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962E1" w14:paraId="335CFE75" w14:textId="77777777">
        <w:trPr>
          <w:cantSplit/>
        </w:trPr>
        <w:tc>
          <w:tcPr>
            <w:tcW w:w="6911" w:type="dxa"/>
          </w:tcPr>
          <w:p w14:paraId="2EF1C266" w14:textId="6541B85E" w:rsidR="00BC7BC0" w:rsidRPr="00D962E1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962E1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D962E1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D962E1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D962E1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D962E1">
              <w:rPr>
                <w:b/>
                <w:bCs/>
                <w:szCs w:val="22"/>
                <w:lang w:val="ru-RU"/>
              </w:rPr>
              <w:t>Женева</w:t>
            </w:r>
            <w:r w:rsidR="00225368" w:rsidRPr="00D962E1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D962E1">
              <w:rPr>
                <w:b/>
                <w:bCs/>
                <w:szCs w:val="22"/>
                <w:lang w:val="ru-RU"/>
              </w:rPr>
              <w:t>21</w:t>
            </w:r>
            <w:r w:rsidR="005B3DEC" w:rsidRPr="00D962E1">
              <w:rPr>
                <w:b/>
                <w:bCs/>
                <w:szCs w:val="22"/>
                <w:lang w:val="ru-RU"/>
              </w:rPr>
              <w:t>–</w:t>
            </w:r>
            <w:r w:rsidR="00005BE0" w:rsidRPr="00D962E1">
              <w:rPr>
                <w:b/>
                <w:bCs/>
                <w:szCs w:val="22"/>
                <w:lang w:val="ru-RU"/>
              </w:rPr>
              <w:t>31</w:t>
            </w:r>
            <w:r w:rsidR="00005BE0" w:rsidRPr="00D962E1">
              <w:rPr>
                <w:rFonts w:ascii="Verdana" w:hAnsi="Verdana"/>
                <w:b/>
                <w:bCs/>
                <w:szCs w:val="22"/>
                <w:lang w:val="ru-RU"/>
              </w:rPr>
              <w:t xml:space="preserve"> </w:t>
            </w:r>
            <w:r w:rsidR="00005BE0" w:rsidRPr="00D962E1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D962E1">
              <w:rPr>
                <w:b/>
                <w:bCs/>
                <w:szCs w:val="22"/>
                <w:lang w:val="ru-RU"/>
              </w:rPr>
              <w:t>20</w:t>
            </w:r>
            <w:r w:rsidR="00442515" w:rsidRPr="00D962E1">
              <w:rPr>
                <w:b/>
                <w:bCs/>
                <w:szCs w:val="22"/>
                <w:lang w:val="ru-RU"/>
              </w:rPr>
              <w:t>2</w:t>
            </w:r>
            <w:r w:rsidR="00005BE0" w:rsidRPr="00D962E1">
              <w:rPr>
                <w:b/>
                <w:bCs/>
                <w:szCs w:val="22"/>
                <w:lang w:val="ru-RU"/>
              </w:rPr>
              <w:t>2</w:t>
            </w:r>
            <w:r w:rsidR="00225368" w:rsidRPr="00D962E1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0BBB8153" w14:textId="77777777" w:rsidR="00BC7BC0" w:rsidRPr="00D962E1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D962E1">
              <w:rPr>
                <w:noProof/>
                <w:lang w:val="ru-RU"/>
              </w:rPr>
              <w:drawing>
                <wp:inline distT="0" distB="0" distL="0" distR="0" wp14:anchorId="5CB956B6" wp14:editId="4D40635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962E1" w14:paraId="3089F0D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19A95EA" w14:textId="77777777" w:rsidR="00BC7BC0" w:rsidRPr="00D962E1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275E974" w14:textId="77777777" w:rsidR="00BC7BC0" w:rsidRPr="00D962E1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962E1" w14:paraId="5CFC8D61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6EA3384" w14:textId="77777777" w:rsidR="00BC7BC0" w:rsidRPr="00D962E1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1C711A3" w14:textId="77777777" w:rsidR="00BC7BC0" w:rsidRPr="00D962E1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962E1" w14:paraId="0C12546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FC8A30B" w14:textId="254AE5F6" w:rsidR="00BC7BC0" w:rsidRPr="00D962E1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D962E1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D962E1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359EC" w:rsidRPr="00D962E1">
              <w:rPr>
                <w:b/>
                <w:bCs/>
                <w:caps/>
                <w:color w:val="000000"/>
                <w:szCs w:val="22"/>
                <w:lang w:val="ru-RU"/>
              </w:rPr>
              <w:t>ADM 8</w:t>
            </w:r>
          </w:p>
        </w:tc>
        <w:tc>
          <w:tcPr>
            <w:tcW w:w="3120" w:type="dxa"/>
          </w:tcPr>
          <w:p w14:paraId="2F23D0E9" w14:textId="77777777" w:rsidR="00BC7BC0" w:rsidRPr="00D962E1" w:rsidRDefault="00BC7BC0" w:rsidP="000359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962E1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D962E1">
              <w:rPr>
                <w:b/>
                <w:bCs/>
                <w:szCs w:val="22"/>
                <w:lang w:val="ru-RU"/>
              </w:rPr>
              <w:t>2</w:t>
            </w:r>
            <w:r w:rsidR="00005BE0" w:rsidRPr="00D962E1">
              <w:rPr>
                <w:b/>
                <w:bCs/>
                <w:szCs w:val="22"/>
                <w:lang w:val="ru-RU"/>
              </w:rPr>
              <w:t>2</w:t>
            </w:r>
            <w:r w:rsidRPr="00D962E1">
              <w:rPr>
                <w:b/>
                <w:bCs/>
                <w:szCs w:val="22"/>
                <w:lang w:val="ru-RU"/>
              </w:rPr>
              <w:t>/</w:t>
            </w:r>
            <w:r w:rsidR="000359EC" w:rsidRPr="00D962E1">
              <w:rPr>
                <w:b/>
                <w:bCs/>
                <w:szCs w:val="22"/>
                <w:lang w:val="ru-RU"/>
              </w:rPr>
              <w:t>39</w:t>
            </w:r>
            <w:r w:rsidRPr="00D962E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962E1" w14:paraId="537171D2" w14:textId="77777777">
        <w:trPr>
          <w:cantSplit/>
          <w:trHeight w:val="23"/>
        </w:trPr>
        <w:tc>
          <w:tcPr>
            <w:tcW w:w="6911" w:type="dxa"/>
            <w:vMerge/>
          </w:tcPr>
          <w:p w14:paraId="363D0AD9" w14:textId="77777777" w:rsidR="00BC7BC0" w:rsidRPr="00D962E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ED60457" w14:textId="77777777" w:rsidR="00BC7BC0" w:rsidRPr="00D962E1" w:rsidRDefault="000359EC" w:rsidP="000359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962E1">
              <w:rPr>
                <w:b/>
                <w:bCs/>
                <w:szCs w:val="22"/>
                <w:lang w:val="ru-RU"/>
              </w:rPr>
              <w:t xml:space="preserve">15 февраля 2022 </w:t>
            </w:r>
            <w:r w:rsidR="00BC7BC0" w:rsidRPr="00D962E1">
              <w:rPr>
                <w:b/>
                <w:bCs/>
                <w:szCs w:val="22"/>
                <w:lang w:val="ru-RU"/>
              </w:rPr>
              <w:t>года</w:t>
            </w:r>
          </w:p>
        </w:tc>
      </w:tr>
      <w:tr w:rsidR="00BC7BC0" w:rsidRPr="00D962E1" w14:paraId="77994833" w14:textId="77777777">
        <w:trPr>
          <w:cantSplit/>
          <w:trHeight w:val="23"/>
        </w:trPr>
        <w:tc>
          <w:tcPr>
            <w:tcW w:w="6911" w:type="dxa"/>
            <w:vMerge/>
          </w:tcPr>
          <w:p w14:paraId="42285490" w14:textId="77777777" w:rsidR="00BC7BC0" w:rsidRPr="00D962E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040F8E6" w14:textId="77777777" w:rsidR="00BC7BC0" w:rsidRPr="00D962E1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962E1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D962E1" w14:paraId="4799A0B0" w14:textId="77777777">
        <w:trPr>
          <w:cantSplit/>
        </w:trPr>
        <w:tc>
          <w:tcPr>
            <w:tcW w:w="10031" w:type="dxa"/>
            <w:gridSpan w:val="2"/>
          </w:tcPr>
          <w:p w14:paraId="4E73B2A7" w14:textId="77777777" w:rsidR="00BC7BC0" w:rsidRPr="00D962E1" w:rsidRDefault="00BC7BC0" w:rsidP="000359EC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962E1">
              <w:rPr>
                <w:lang w:val="ru-RU"/>
              </w:rPr>
              <w:t>Отчет Генерального секретаря</w:t>
            </w:r>
          </w:p>
        </w:tc>
      </w:tr>
      <w:tr w:rsidR="00BC7BC0" w:rsidRPr="00D962E1" w14:paraId="4B0CB695" w14:textId="77777777">
        <w:trPr>
          <w:cantSplit/>
        </w:trPr>
        <w:tc>
          <w:tcPr>
            <w:tcW w:w="10031" w:type="dxa"/>
            <w:gridSpan w:val="2"/>
          </w:tcPr>
          <w:p w14:paraId="6BB6489E" w14:textId="77777777" w:rsidR="00BC7BC0" w:rsidRPr="00D962E1" w:rsidRDefault="000359EC" w:rsidP="000359EC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D962E1">
              <w:rPr>
                <w:lang w:val="ru-RU"/>
              </w:rPr>
              <w:t xml:space="preserve">Освобождение </w:t>
            </w:r>
            <w:r w:rsidRPr="00D962E1">
              <w:rPr>
                <w:color w:val="000000"/>
                <w:lang w:val="ru-RU"/>
              </w:rPr>
              <w:t xml:space="preserve">организаций международного характера </w:t>
            </w:r>
            <w:r w:rsidRPr="00D962E1">
              <w:rPr>
                <w:color w:val="000000"/>
                <w:lang w:val="ru-RU"/>
              </w:rPr>
              <w:br/>
              <w:t xml:space="preserve">от уплаты членских </w:t>
            </w:r>
            <w:r w:rsidRPr="00D962E1">
              <w:rPr>
                <w:lang w:val="ru-RU"/>
              </w:rPr>
              <w:t>взносов</w:t>
            </w:r>
          </w:p>
        </w:tc>
      </w:tr>
      <w:bookmarkEnd w:id="2"/>
    </w:tbl>
    <w:p w14:paraId="41C53C3C" w14:textId="77777777" w:rsidR="002D2F57" w:rsidRPr="00D962E1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D962E1" w14:paraId="7BE9F0EE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495ED" w14:textId="77777777" w:rsidR="002D2F57" w:rsidRPr="00D962E1" w:rsidRDefault="002D2F57">
            <w:pPr>
              <w:pStyle w:val="Headingb"/>
              <w:rPr>
                <w:szCs w:val="22"/>
                <w:lang w:val="ru-RU"/>
              </w:rPr>
            </w:pPr>
            <w:r w:rsidRPr="00D962E1">
              <w:rPr>
                <w:szCs w:val="22"/>
                <w:lang w:val="ru-RU"/>
              </w:rPr>
              <w:t>Резюме</w:t>
            </w:r>
          </w:p>
          <w:p w14:paraId="33186D8E" w14:textId="0E78425D" w:rsidR="000359EC" w:rsidRPr="00D962E1" w:rsidRDefault="009149D1" w:rsidP="00D06E09">
            <w:pPr>
              <w:rPr>
                <w:rFonts w:eastAsia="Calibri"/>
                <w:lang w:val="ru-RU"/>
              </w:rPr>
            </w:pPr>
            <w:r w:rsidRPr="00D962E1">
              <w:rPr>
                <w:rFonts w:eastAsia="Calibri"/>
                <w:lang w:val="ru-RU"/>
              </w:rPr>
              <w:t xml:space="preserve">Ежегодно </w:t>
            </w:r>
            <w:r w:rsidR="00A6553E" w:rsidRPr="00D962E1">
              <w:rPr>
                <w:rFonts w:eastAsia="Calibri"/>
                <w:lang w:val="ru-RU"/>
              </w:rPr>
              <w:t>МСЭ</w:t>
            </w:r>
            <w:r w:rsidR="000359EC" w:rsidRPr="00D962E1">
              <w:rPr>
                <w:rFonts w:eastAsia="Calibri"/>
                <w:lang w:val="ru-RU"/>
              </w:rPr>
              <w:t xml:space="preserve"> </w:t>
            </w:r>
            <w:r w:rsidRPr="00D962E1">
              <w:rPr>
                <w:rFonts w:eastAsia="Calibri"/>
                <w:lang w:val="ru-RU"/>
              </w:rPr>
              <w:t>получает</w:t>
            </w:r>
            <w:r w:rsidR="000359EC" w:rsidRPr="00D962E1">
              <w:rPr>
                <w:rFonts w:eastAsia="Calibri"/>
                <w:lang w:val="ru-RU"/>
              </w:rPr>
              <w:t xml:space="preserve"> </w:t>
            </w:r>
            <w:r w:rsidR="008E07DA" w:rsidRPr="00D962E1">
              <w:rPr>
                <w:rFonts w:eastAsia="Calibri"/>
                <w:lang w:val="ru-RU"/>
              </w:rPr>
              <w:t>заявки</w:t>
            </w:r>
            <w:r w:rsidRPr="00D962E1">
              <w:rPr>
                <w:rFonts w:eastAsia="Calibri"/>
                <w:lang w:val="ru-RU"/>
              </w:rPr>
              <w:t xml:space="preserve"> от организаций международного характера</w:t>
            </w:r>
            <w:r w:rsidR="005F506F" w:rsidRPr="00D962E1">
              <w:rPr>
                <w:rFonts w:eastAsia="Calibri"/>
                <w:lang w:val="ru-RU"/>
              </w:rPr>
              <w:t>,</w:t>
            </w:r>
            <w:r w:rsidR="008A3376" w:rsidRPr="00D962E1">
              <w:rPr>
                <w:rFonts w:eastAsia="Calibri"/>
                <w:lang w:val="ru-RU"/>
              </w:rPr>
              <w:t xml:space="preserve"> запрашивающих</w:t>
            </w:r>
            <w:r w:rsidR="005F506F" w:rsidRPr="00D962E1">
              <w:rPr>
                <w:rFonts w:eastAsia="Calibri"/>
                <w:lang w:val="ru-RU"/>
              </w:rPr>
              <w:t xml:space="preserve"> освобо</w:t>
            </w:r>
            <w:r w:rsidR="008A3376" w:rsidRPr="00D962E1">
              <w:rPr>
                <w:rFonts w:eastAsia="Calibri"/>
                <w:lang w:val="ru-RU"/>
              </w:rPr>
              <w:t xml:space="preserve">ждение </w:t>
            </w:r>
            <w:r w:rsidR="005F506F" w:rsidRPr="00D962E1">
              <w:rPr>
                <w:rFonts w:eastAsia="Calibri"/>
                <w:lang w:val="ru-RU"/>
              </w:rPr>
              <w:t>от уплаты членских взносов и других финансовых вкладов в Союз</w:t>
            </w:r>
            <w:r w:rsidR="008A3376" w:rsidRPr="00D962E1">
              <w:rPr>
                <w:rFonts w:eastAsia="Calibri"/>
                <w:lang w:val="ru-RU"/>
              </w:rPr>
              <w:t xml:space="preserve"> на основе принципа взаимности</w:t>
            </w:r>
            <w:r w:rsidR="000359EC" w:rsidRPr="00D962E1">
              <w:rPr>
                <w:rFonts w:eastAsia="Calibri"/>
                <w:lang w:val="ru-RU"/>
              </w:rPr>
              <w:t xml:space="preserve">. </w:t>
            </w:r>
            <w:r w:rsidR="005F506F" w:rsidRPr="00D962E1">
              <w:rPr>
                <w:rFonts w:eastAsia="Calibri"/>
                <w:lang w:val="ru-RU"/>
              </w:rPr>
              <w:t xml:space="preserve">Эти новые </w:t>
            </w:r>
            <w:r w:rsidR="008E07DA" w:rsidRPr="00D962E1">
              <w:rPr>
                <w:rFonts w:eastAsia="Calibri"/>
                <w:lang w:val="ru-RU"/>
              </w:rPr>
              <w:t>заявки</w:t>
            </w:r>
            <w:r w:rsidR="005F506F" w:rsidRPr="00D962E1">
              <w:rPr>
                <w:rFonts w:eastAsia="Calibri"/>
                <w:lang w:val="ru-RU"/>
              </w:rPr>
              <w:t xml:space="preserve"> рассматриваются секретариатом в соответствии с критериями, установленными </w:t>
            </w:r>
            <w:r w:rsidR="008A3376" w:rsidRPr="00D962E1">
              <w:rPr>
                <w:rFonts w:eastAsia="Calibri"/>
                <w:lang w:val="ru-RU"/>
              </w:rPr>
              <w:t>Советом</w:t>
            </w:r>
            <w:r w:rsidR="000359EC" w:rsidRPr="00D962E1">
              <w:rPr>
                <w:rFonts w:eastAsia="Calibri"/>
                <w:lang w:val="ru-RU"/>
              </w:rPr>
              <w:t>.</w:t>
            </w:r>
          </w:p>
          <w:p w14:paraId="4B2FACDD" w14:textId="77777777" w:rsidR="002D2F57" w:rsidRPr="00D962E1" w:rsidRDefault="005F506F" w:rsidP="00D06E09">
            <w:pPr>
              <w:rPr>
                <w:szCs w:val="22"/>
                <w:lang w:val="ru-RU"/>
              </w:rPr>
            </w:pPr>
            <w:r w:rsidRPr="00D962E1">
              <w:rPr>
                <w:rFonts w:eastAsia="Calibri"/>
                <w:lang w:val="ru-RU"/>
              </w:rPr>
              <w:t xml:space="preserve">Секретариат также рассматривает полный </w:t>
            </w:r>
            <w:r w:rsidRPr="00D962E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Список объединений, освобожденных от уплаты взносов</w:t>
            </w:r>
            <w:r w:rsidR="006B32BA" w:rsidRPr="00D962E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,</w:t>
            </w:r>
            <w:r w:rsidRPr="00D962E1">
              <w:rPr>
                <w:rFonts w:asciiTheme="minorHAnsi" w:eastAsia="Calibri" w:hAnsiTheme="minorHAnsi" w:cstheme="minorHAnsi"/>
                <w:lang w:val="ru-RU"/>
              </w:rPr>
              <w:t xml:space="preserve"> </w:t>
            </w:r>
            <w:r w:rsidRPr="00D962E1">
              <w:rPr>
                <w:rFonts w:eastAsia="Calibri"/>
                <w:lang w:val="ru-RU"/>
              </w:rPr>
              <w:t>с целью оценки насколько по</w:t>
            </w:r>
            <w:r w:rsidR="006B32BA" w:rsidRPr="00D962E1">
              <w:rPr>
                <w:rFonts w:eastAsia="Calibri"/>
                <w:lang w:val="ru-RU"/>
              </w:rPr>
              <w:t xml:space="preserve">лно они соответствуют критериям, пересмотренным Советом в </w:t>
            </w:r>
            <w:r w:rsidR="000359EC" w:rsidRPr="00D962E1">
              <w:rPr>
                <w:rFonts w:eastAsia="Calibri"/>
                <w:lang w:val="ru-RU"/>
              </w:rPr>
              <w:t>2017</w:t>
            </w:r>
            <w:r w:rsidR="00AC4555" w:rsidRPr="00D962E1">
              <w:rPr>
                <w:rFonts w:eastAsia="Calibri"/>
                <w:lang w:val="ru-RU"/>
              </w:rPr>
              <w:t> году</w:t>
            </w:r>
            <w:r w:rsidR="000359EC" w:rsidRPr="00D962E1">
              <w:rPr>
                <w:rFonts w:eastAsia="Calibri"/>
                <w:lang w:val="ru-RU"/>
              </w:rPr>
              <w:t>.</w:t>
            </w:r>
            <w:r w:rsidR="006B32BA" w:rsidRPr="00D962E1">
              <w:rPr>
                <w:rFonts w:eastAsia="Calibri"/>
                <w:lang w:val="ru-RU"/>
              </w:rPr>
              <w:t xml:space="preserve"> Идет подготовка</w:t>
            </w:r>
            <w:r w:rsidR="000359EC" w:rsidRPr="00D962E1">
              <w:rPr>
                <w:rFonts w:eastAsia="Calibri"/>
                <w:lang w:val="ru-RU"/>
              </w:rPr>
              <w:t xml:space="preserve"> </w:t>
            </w:r>
            <w:r w:rsidR="006B32BA" w:rsidRPr="00D962E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ru-RU"/>
              </w:rPr>
              <w:t>полного отчета</w:t>
            </w:r>
            <w:r w:rsidR="006B32BA" w:rsidRPr="00D962E1">
              <w:rPr>
                <w:rFonts w:eastAsia="Calibri"/>
                <w:lang w:val="ru-RU"/>
              </w:rPr>
              <w:t xml:space="preserve"> для рассмотрения на следующем собрании Совета в сентябре</w:t>
            </w:r>
            <w:r w:rsidR="000359EC" w:rsidRPr="00D962E1">
              <w:rPr>
                <w:rFonts w:eastAsia="Calibri"/>
                <w:lang w:val="ru-RU"/>
              </w:rPr>
              <w:t xml:space="preserve"> 2022</w:t>
            </w:r>
            <w:r w:rsidR="00AC4555" w:rsidRPr="00D962E1">
              <w:rPr>
                <w:rFonts w:eastAsia="Calibri"/>
                <w:lang w:val="ru-RU"/>
              </w:rPr>
              <w:t> года</w:t>
            </w:r>
            <w:r w:rsidR="000359EC" w:rsidRPr="00D962E1">
              <w:rPr>
                <w:rFonts w:eastAsia="Calibri"/>
                <w:lang w:val="ru-RU"/>
              </w:rPr>
              <w:t>.</w:t>
            </w:r>
          </w:p>
          <w:p w14:paraId="7F0770AD" w14:textId="77777777" w:rsidR="002D2F57" w:rsidRPr="00D962E1" w:rsidRDefault="002D2F57" w:rsidP="00E55121">
            <w:pPr>
              <w:pStyle w:val="Headingb"/>
              <w:rPr>
                <w:lang w:val="ru-RU"/>
              </w:rPr>
            </w:pPr>
            <w:r w:rsidRPr="00D962E1">
              <w:rPr>
                <w:lang w:val="ru-RU"/>
              </w:rPr>
              <w:t xml:space="preserve">Необходимые </w:t>
            </w:r>
            <w:r w:rsidR="00F5225B" w:rsidRPr="00D962E1">
              <w:rPr>
                <w:lang w:val="ru-RU"/>
              </w:rPr>
              <w:t>действия</w:t>
            </w:r>
          </w:p>
          <w:p w14:paraId="5B7A873F" w14:textId="335A016C" w:rsidR="00303A5E" w:rsidRPr="00D962E1" w:rsidRDefault="008E07DA" w:rsidP="00303A5E">
            <w:pPr>
              <w:rPr>
                <w:rFonts w:asciiTheme="minorHAnsi" w:hAnsiTheme="minorHAnsi" w:cstheme="minorHAnsi"/>
                <w:szCs w:val="22"/>
                <w:lang w:val="ru-RU"/>
              </w:rPr>
            </w:pPr>
            <w:r w:rsidRPr="00D962E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ru-RU"/>
              </w:rPr>
              <w:t xml:space="preserve">Совету предлагается </w:t>
            </w:r>
            <w:r w:rsidRPr="00D962E1"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  <w:lang w:val="ru-RU"/>
              </w:rPr>
              <w:t>рассмотреть</w:t>
            </w:r>
            <w:r w:rsidRPr="00D962E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ru-RU"/>
              </w:rPr>
              <w:t xml:space="preserve"> рекомендации Генерального секретаря </w:t>
            </w:r>
            <w:r w:rsidRPr="00D962E1">
              <w:rPr>
                <w:rFonts w:asciiTheme="minorHAnsi" w:hAnsiTheme="minorHAnsi" w:cstheme="minorHAnsi"/>
                <w:bCs/>
                <w:szCs w:val="22"/>
                <w:lang w:val="ru-RU"/>
              </w:rPr>
              <w:t>относительно</w:t>
            </w:r>
            <w:r w:rsidRPr="00D962E1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Pr="00D962E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новых заявок на освобождение</w:t>
            </w:r>
            <w:r w:rsidR="000359EC" w:rsidRPr="00D962E1">
              <w:rPr>
                <w:rFonts w:asciiTheme="minorHAnsi" w:hAnsiTheme="minorHAnsi" w:cstheme="minorHAnsi"/>
                <w:szCs w:val="22"/>
                <w:lang w:val="ru-RU"/>
              </w:rPr>
              <w:t>.</w:t>
            </w:r>
          </w:p>
          <w:p w14:paraId="06A35308" w14:textId="77777777" w:rsidR="00303A5E" w:rsidRPr="00D962E1" w:rsidRDefault="00303A5E" w:rsidP="00303A5E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D962E1">
              <w:rPr>
                <w:caps/>
                <w:szCs w:val="22"/>
                <w:lang w:val="ru-RU"/>
              </w:rPr>
              <w:t>____________</w:t>
            </w:r>
          </w:p>
          <w:p w14:paraId="42B516E6" w14:textId="77777777" w:rsidR="002D2F57" w:rsidRPr="00D962E1" w:rsidRDefault="002D2F57">
            <w:pPr>
              <w:pStyle w:val="Headingb"/>
              <w:rPr>
                <w:szCs w:val="22"/>
                <w:lang w:val="ru-RU"/>
              </w:rPr>
            </w:pPr>
            <w:r w:rsidRPr="00D962E1">
              <w:rPr>
                <w:szCs w:val="22"/>
                <w:lang w:val="ru-RU"/>
              </w:rPr>
              <w:t>Справочные материалы</w:t>
            </w:r>
          </w:p>
          <w:p w14:paraId="383C49DA" w14:textId="3C6EB160" w:rsidR="002D2F57" w:rsidRPr="00D962E1" w:rsidRDefault="00622D10" w:rsidP="008F3BE2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 w:rsidRPr="00622D1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22D1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22D10">
              <w:rPr>
                <w:lang w:val="ru-RU"/>
              </w:rPr>
              <w:instrText>://</w:instrText>
            </w:r>
            <w:r>
              <w:instrText>www</w:instrText>
            </w:r>
            <w:r w:rsidRPr="00622D10">
              <w:rPr>
                <w:lang w:val="ru-RU"/>
              </w:rPr>
              <w:instrText>.</w:instrText>
            </w:r>
            <w:r>
              <w:instrText>itu</w:instrText>
            </w:r>
            <w:r w:rsidRPr="00622D10">
              <w:rPr>
                <w:lang w:val="ru-RU"/>
              </w:rPr>
              <w:instrText>.</w:instrText>
            </w:r>
            <w:r>
              <w:instrText>int</w:instrText>
            </w:r>
            <w:r w:rsidRPr="00622D10">
              <w:rPr>
                <w:lang w:val="ru-RU"/>
              </w:rPr>
              <w:instrText>/</w:instrText>
            </w:r>
            <w:r>
              <w:instrText>itudoc</w:instrText>
            </w:r>
            <w:r w:rsidRPr="00622D10">
              <w:rPr>
                <w:lang w:val="ru-RU"/>
              </w:rPr>
              <w:instrText>/</w:instrText>
            </w:r>
            <w:r>
              <w:instrText>gs</w:instrText>
            </w:r>
            <w:r w:rsidRPr="00622D10">
              <w:rPr>
                <w:lang w:val="ru-RU"/>
              </w:rPr>
              <w:instrText>/</w:instrText>
            </w:r>
            <w:r>
              <w:instrText>council</w:instrText>
            </w:r>
            <w:r w:rsidRPr="00622D10">
              <w:rPr>
                <w:lang w:val="ru-RU"/>
              </w:rPr>
              <w:instrText>/</w:instrText>
            </w:r>
            <w:r>
              <w:instrText>c</w:instrText>
            </w:r>
            <w:r w:rsidRPr="00622D10">
              <w:rPr>
                <w:lang w:val="ru-RU"/>
              </w:rPr>
              <w:instrText>00/</w:instrText>
            </w:r>
            <w:r>
              <w:instrText>docs</w:instrText>
            </w:r>
            <w:r w:rsidRPr="00622D10">
              <w:rPr>
                <w:lang w:val="ru-RU"/>
              </w:rPr>
              <w:instrText>/28</w:instrText>
            </w:r>
            <w:r>
              <w:instrText>rev</w:instrText>
            </w:r>
            <w:r w:rsidRPr="00622D10">
              <w:rPr>
                <w:lang w:val="ru-RU"/>
              </w:rPr>
              <w:instrText>1.</w:instrText>
            </w:r>
            <w:r>
              <w:instrText>html</w:instrText>
            </w:r>
            <w:r w:rsidRPr="00622D1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359EC" w:rsidRPr="00D962E1">
              <w:rPr>
                <w:rStyle w:val="Hyperlink"/>
                <w:rFonts w:eastAsia="Calibri" w:cs="Calibri"/>
                <w:i/>
                <w:iCs/>
                <w:lang w:val="ru-RU"/>
              </w:rPr>
              <w:t>C2000/28(</w:t>
            </w:r>
            <w:r w:rsidR="008A3376" w:rsidRPr="00D962E1">
              <w:rPr>
                <w:rStyle w:val="Hyperlink"/>
                <w:rFonts w:eastAsia="Calibri" w:cs="Calibri"/>
                <w:i/>
                <w:iCs/>
                <w:lang w:val="ru-RU"/>
              </w:rPr>
              <w:t>Rev</w:t>
            </w:r>
            <w:r w:rsidR="000359EC" w:rsidRPr="00D962E1">
              <w:rPr>
                <w:rStyle w:val="Hyperlink"/>
                <w:rFonts w:eastAsia="Calibri" w:cs="Calibri"/>
                <w:i/>
                <w:iCs/>
                <w:lang w:val="ru-RU"/>
              </w:rPr>
              <w:t>.1)</w:t>
            </w:r>
            <w:r>
              <w:rPr>
                <w:rStyle w:val="Hyperlink"/>
                <w:rFonts w:eastAsia="Calibri" w:cs="Calibri"/>
                <w:i/>
                <w:iCs/>
                <w:lang w:val="ru-RU"/>
              </w:rPr>
              <w:fldChar w:fldCharType="end"/>
            </w:r>
            <w:r w:rsidR="000359EC" w:rsidRPr="00D962E1">
              <w:rPr>
                <w:rStyle w:val="Hyperlink"/>
                <w:rFonts w:eastAsia="Calibri" w:cs="Calibri"/>
                <w:color w:val="auto"/>
                <w:u w:val="none"/>
                <w:lang w:val="ru-RU"/>
              </w:rPr>
              <w:t>,</w:t>
            </w:r>
            <w:r w:rsidR="000359EC" w:rsidRPr="00D962E1">
              <w:rPr>
                <w:rStyle w:val="Hyperlink"/>
                <w:rFonts w:eastAsia="Calibri" w:cs="Calibri"/>
                <w:i/>
                <w:iCs/>
                <w:color w:val="auto"/>
                <w:u w:val="none"/>
                <w:lang w:val="ru-RU"/>
              </w:rPr>
              <w:t xml:space="preserve"> </w:t>
            </w:r>
            <w:r>
              <w:fldChar w:fldCharType="begin"/>
            </w:r>
            <w:r w:rsidRPr="00622D1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22D1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22D10">
              <w:rPr>
                <w:lang w:val="ru-RU"/>
              </w:rPr>
              <w:instrText>://</w:instrText>
            </w:r>
            <w:r>
              <w:instrText>www</w:instrText>
            </w:r>
            <w:r w:rsidRPr="00622D10">
              <w:rPr>
                <w:lang w:val="ru-RU"/>
              </w:rPr>
              <w:instrText>.</w:instrText>
            </w:r>
            <w:r>
              <w:instrText>itu</w:instrText>
            </w:r>
            <w:r w:rsidRPr="00622D10">
              <w:rPr>
                <w:lang w:val="ru-RU"/>
              </w:rPr>
              <w:instrText>.</w:instrText>
            </w:r>
            <w:r>
              <w:instrText>int</w:instrText>
            </w:r>
            <w:r w:rsidRPr="00622D10">
              <w:rPr>
                <w:lang w:val="ru-RU"/>
              </w:rPr>
              <w:instrText>/</w:instrText>
            </w:r>
            <w:r>
              <w:instrText>md</w:instrText>
            </w:r>
            <w:r w:rsidRPr="00622D10">
              <w:rPr>
                <w:lang w:val="ru-RU"/>
              </w:rPr>
              <w:instrText>/</w:instrText>
            </w:r>
            <w:r>
              <w:instrText>S</w:instrText>
            </w:r>
            <w:r w:rsidRPr="00622D10">
              <w:rPr>
                <w:lang w:val="ru-RU"/>
              </w:rPr>
              <w:instrText>19-</w:instrText>
            </w:r>
            <w:r>
              <w:instrText>CL</w:instrText>
            </w:r>
            <w:r w:rsidRPr="00622D10">
              <w:rPr>
                <w:lang w:val="ru-RU"/>
              </w:rPr>
              <w:instrText>-</w:instrText>
            </w:r>
            <w:r>
              <w:instrText>C</w:instrText>
            </w:r>
            <w:r w:rsidRPr="00622D10">
              <w:rPr>
                <w:lang w:val="ru-RU"/>
              </w:rPr>
              <w:instrText>-0141/</w:instrText>
            </w:r>
            <w:r>
              <w:instrText>rus</w:instrText>
            </w:r>
            <w:r w:rsidRPr="00622D1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B63996" w:rsidRPr="00D962E1">
              <w:rPr>
                <w:rStyle w:val="Hyperlink"/>
                <w:rFonts w:eastAsia="Calibri" w:cs="Calibri"/>
                <w:i/>
                <w:iCs/>
                <w:lang w:val="ru-RU"/>
              </w:rPr>
              <w:t>Резолюция</w:t>
            </w:r>
            <w:r w:rsidR="000359EC" w:rsidRPr="00D962E1">
              <w:rPr>
                <w:rStyle w:val="Hyperlink"/>
                <w:rFonts w:eastAsia="Calibri" w:cs="Calibri"/>
                <w:i/>
                <w:iCs/>
                <w:lang w:val="ru-RU"/>
              </w:rPr>
              <w:t xml:space="preserve"> 925</w:t>
            </w:r>
            <w:r w:rsidR="00AC4555" w:rsidRPr="00D962E1">
              <w:rPr>
                <w:rStyle w:val="Hyperlink"/>
                <w:rFonts w:eastAsia="Calibri" w:cs="Calibri"/>
                <w:i/>
                <w:iCs/>
                <w:lang w:val="ru-RU"/>
              </w:rPr>
              <w:t xml:space="preserve"> Совета</w:t>
            </w:r>
            <w:r>
              <w:rPr>
                <w:rStyle w:val="Hyperlink"/>
                <w:rFonts w:eastAsia="Calibri" w:cs="Calibri"/>
                <w:i/>
                <w:iCs/>
                <w:lang w:val="ru-RU"/>
              </w:rPr>
              <w:fldChar w:fldCharType="end"/>
            </w:r>
            <w:r w:rsidR="000359EC" w:rsidRPr="00D962E1">
              <w:rPr>
                <w:rStyle w:val="Hyperlink"/>
                <w:rFonts w:eastAsia="Calibri" w:cs="Calibri"/>
                <w:i/>
                <w:iCs/>
                <w:color w:val="auto"/>
                <w:u w:val="none"/>
                <w:lang w:val="ru-RU"/>
              </w:rPr>
              <w:t xml:space="preserve">, </w:t>
            </w:r>
            <w:r>
              <w:fldChar w:fldCharType="begin"/>
            </w:r>
            <w:r w:rsidRPr="00622D1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22D1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22D10">
              <w:rPr>
                <w:lang w:val="ru-RU"/>
              </w:rPr>
              <w:instrText>://</w:instrText>
            </w:r>
            <w:r>
              <w:instrText>www</w:instrText>
            </w:r>
            <w:r w:rsidRPr="00622D10">
              <w:rPr>
                <w:lang w:val="ru-RU"/>
              </w:rPr>
              <w:instrText>.</w:instrText>
            </w:r>
            <w:r>
              <w:instrText>itu</w:instrText>
            </w:r>
            <w:r w:rsidRPr="00622D10">
              <w:rPr>
                <w:lang w:val="ru-RU"/>
              </w:rPr>
              <w:instrText>.</w:instrText>
            </w:r>
            <w:r>
              <w:instrText>int</w:instrText>
            </w:r>
            <w:r w:rsidRPr="00622D10">
              <w:rPr>
                <w:lang w:val="ru-RU"/>
              </w:rPr>
              <w:instrText>/</w:instrText>
            </w:r>
            <w:r>
              <w:instrText>hub</w:instrText>
            </w:r>
            <w:r w:rsidRPr="00622D10">
              <w:rPr>
                <w:lang w:val="ru-RU"/>
              </w:rPr>
              <w:instrText>/</w:instrText>
            </w:r>
            <w:r>
              <w:instrText>membership</w:instrText>
            </w:r>
            <w:r w:rsidRPr="00622D10">
              <w:rPr>
                <w:lang w:val="ru-RU"/>
              </w:rPr>
              <w:instrText>/</w:instrText>
            </w:r>
            <w:r>
              <w:instrText>our</w:instrText>
            </w:r>
            <w:r w:rsidRPr="00622D10">
              <w:rPr>
                <w:lang w:val="ru-RU"/>
              </w:rPr>
              <w:instrText>-</w:instrText>
            </w:r>
            <w:r>
              <w:instrText>members</w:instrText>
            </w:r>
            <w:r w:rsidRPr="00622D10">
              <w:rPr>
                <w:lang w:val="ru-RU"/>
              </w:rPr>
              <w:instrText>/</w:instrText>
            </w:r>
            <w:r>
              <w:instrText>exempted</w:instrText>
            </w:r>
            <w:r w:rsidRPr="00622D10">
              <w:rPr>
                <w:lang w:val="ru-RU"/>
              </w:rPr>
              <w:instrText>-</w:instrText>
            </w:r>
            <w:r>
              <w:instrText>entities</w:instrText>
            </w:r>
            <w:r w:rsidRPr="00622D10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8E07DA" w:rsidRPr="00D962E1">
              <w:rPr>
                <w:rStyle w:val="Hyperlink"/>
                <w:rFonts w:eastAsia="Calibri" w:cs="Calibri"/>
                <w:i/>
                <w:iCs/>
                <w:lang w:val="ru-RU"/>
              </w:rPr>
              <w:t>Критерии С</w:t>
            </w:r>
            <w:r w:rsidR="008A3376" w:rsidRPr="00D962E1">
              <w:rPr>
                <w:rStyle w:val="Hyperlink"/>
                <w:rFonts w:eastAsia="Calibri" w:cs="Calibri"/>
                <w:i/>
                <w:iCs/>
                <w:lang w:val="ru-RU"/>
              </w:rPr>
              <w:t>о</w:t>
            </w:r>
            <w:r w:rsidR="008E07DA" w:rsidRPr="00D962E1">
              <w:rPr>
                <w:rStyle w:val="Hyperlink"/>
                <w:rFonts w:eastAsia="Calibri" w:cs="Calibri"/>
                <w:i/>
                <w:iCs/>
                <w:lang w:val="ru-RU"/>
              </w:rPr>
              <w:t>вета для освобождения</w:t>
            </w:r>
            <w:r w:rsidR="000359EC" w:rsidRPr="00D962E1">
              <w:rPr>
                <w:rStyle w:val="Hyperlink"/>
                <w:rFonts w:eastAsia="Calibri" w:cs="Calibri"/>
                <w:i/>
                <w:iCs/>
                <w:lang w:val="ru-RU"/>
              </w:rPr>
              <w:t xml:space="preserve"> (</w:t>
            </w:r>
            <w:r w:rsidR="00B63996" w:rsidRPr="00D962E1">
              <w:rPr>
                <w:rStyle w:val="Hyperlink"/>
                <w:rFonts w:eastAsia="Calibri" w:cs="Calibri"/>
                <w:i/>
                <w:iCs/>
                <w:lang w:val="ru-RU"/>
              </w:rPr>
              <w:t>Пересм.</w:t>
            </w:r>
            <w:r w:rsidR="00AC4555" w:rsidRPr="00D962E1">
              <w:rPr>
                <w:rStyle w:val="Hyperlink"/>
                <w:rFonts w:eastAsia="Calibri" w:cs="Calibri"/>
                <w:i/>
                <w:iCs/>
                <w:lang w:val="ru-RU"/>
              </w:rPr>
              <w:t> </w:t>
            </w:r>
            <w:r w:rsidR="000359EC" w:rsidRPr="00D962E1">
              <w:rPr>
                <w:rStyle w:val="Hyperlink"/>
                <w:rFonts w:eastAsia="Calibri" w:cs="Calibri"/>
                <w:i/>
                <w:iCs/>
                <w:lang w:val="ru-RU"/>
              </w:rPr>
              <w:t>2017</w:t>
            </w:r>
            <w:r w:rsidR="008A3376" w:rsidRPr="00D962E1">
              <w:rPr>
                <w:rStyle w:val="Hyperlink"/>
                <w:rFonts w:eastAsia="Calibri" w:cs="Calibri"/>
                <w:i/>
                <w:iCs/>
                <w:lang w:val="ru-RU"/>
              </w:rPr>
              <w:t xml:space="preserve"> г.</w:t>
            </w:r>
            <w:r w:rsidR="000359EC" w:rsidRPr="00D962E1">
              <w:rPr>
                <w:rStyle w:val="Hyperlink"/>
                <w:rFonts w:eastAsia="Calibri" w:cs="Calibri"/>
                <w:i/>
                <w:iCs/>
                <w:lang w:val="ru-RU"/>
              </w:rPr>
              <w:t>)</w:t>
            </w:r>
            <w:r>
              <w:rPr>
                <w:rStyle w:val="Hyperlink"/>
                <w:rFonts w:eastAsia="Calibri" w:cs="Calibri"/>
                <w:i/>
                <w:iCs/>
                <w:lang w:val="ru-RU"/>
              </w:rPr>
              <w:fldChar w:fldCharType="end"/>
            </w:r>
          </w:p>
        </w:tc>
      </w:tr>
    </w:tbl>
    <w:p w14:paraId="58CCD844" w14:textId="77777777" w:rsidR="00275E99" w:rsidRPr="00D962E1" w:rsidRDefault="00275E99" w:rsidP="00275E99">
      <w:pPr>
        <w:pStyle w:val="Heading1"/>
        <w:rPr>
          <w:rFonts w:eastAsia="Calibri"/>
          <w:lang w:val="ru-RU"/>
        </w:rPr>
      </w:pPr>
      <w:r w:rsidRPr="00D962E1">
        <w:rPr>
          <w:rFonts w:eastAsia="Calibri"/>
          <w:lang w:val="ru-RU"/>
        </w:rPr>
        <w:t>1</w:t>
      </w:r>
      <w:r w:rsidRPr="00D962E1">
        <w:rPr>
          <w:rFonts w:eastAsia="Calibri"/>
          <w:lang w:val="ru-RU"/>
        </w:rPr>
        <w:tab/>
      </w:r>
      <w:r w:rsidR="00D404EC" w:rsidRPr="00D962E1">
        <w:rPr>
          <w:rFonts w:eastAsia="Calibri"/>
          <w:lang w:val="ru-RU"/>
        </w:rPr>
        <w:t>Базовая информация</w:t>
      </w:r>
    </w:p>
    <w:p w14:paraId="459181A5" w14:textId="39BEC0D3" w:rsidR="00275E99" w:rsidRPr="00D962E1" w:rsidRDefault="00275E99" w:rsidP="00275E99">
      <w:pPr>
        <w:rPr>
          <w:rFonts w:eastAsia="Calibri"/>
          <w:lang w:val="ru-RU"/>
        </w:rPr>
      </w:pPr>
      <w:r w:rsidRPr="00D962E1">
        <w:rPr>
          <w:rFonts w:eastAsia="Calibri"/>
          <w:lang w:val="ru-RU"/>
        </w:rPr>
        <w:t>1.1</w:t>
      </w:r>
      <w:r w:rsidRPr="00D962E1">
        <w:rPr>
          <w:lang w:val="ru-RU"/>
        </w:rPr>
        <w:tab/>
      </w:r>
      <w:r w:rsidR="00B80712" w:rsidRPr="00D962E1">
        <w:rPr>
          <w:rFonts w:eastAsia="Calibri"/>
          <w:lang w:val="ru-RU"/>
        </w:rPr>
        <w:t xml:space="preserve">Ежегодно МСЭ получает заявки от организаций международного характера, </w:t>
      </w:r>
      <w:r w:rsidR="008A3376" w:rsidRPr="00D962E1">
        <w:rPr>
          <w:rFonts w:eastAsia="Calibri"/>
          <w:lang w:val="ru-RU"/>
        </w:rPr>
        <w:t>запрашивающих освобождение от уплаты членских взносов и других финансовых вкладов в Союз на основе принципа взаимности</w:t>
      </w:r>
      <w:r w:rsidRPr="00D962E1">
        <w:rPr>
          <w:rFonts w:eastAsia="Calibri"/>
          <w:lang w:val="ru-RU"/>
        </w:rPr>
        <w:t xml:space="preserve">. </w:t>
      </w:r>
      <w:r w:rsidR="00B80712" w:rsidRPr="00D962E1">
        <w:rPr>
          <w:rFonts w:eastAsia="Calibri"/>
          <w:lang w:val="ru-RU"/>
        </w:rPr>
        <w:t>Эти заявки рассматриваются в соответствии с процедурой, установленной на сессии Совета в 2000 году</w:t>
      </w:r>
      <w:r w:rsidRPr="00D962E1">
        <w:rPr>
          <w:rFonts w:eastAsia="Calibri"/>
          <w:lang w:val="ru-RU"/>
        </w:rPr>
        <w:t xml:space="preserve"> (</w:t>
      </w:r>
      <w:hyperlink r:id="rId8" w:history="1">
        <w:r w:rsidRPr="00D962E1">
          <w:rPr>
            <w:rStyle w:val="Hyperlink"/>
            <w:rFonts w:eastAsia="Calibri" w:cs="Calibri"/>
            <w:lang w:val="ru-RU"/>
          </w:rPr>
          <w:t>C2000/28(</w:t>
        </w:r>
        <w:r w:rsidR="008A3376" w:rsidRPr="00D962E1">
          <w:rPr>
            <w:rStyle w:val="Hyperlink"/>
            <w:rFonts w:eastAsia="Calibri" w:cs="Calibri"/>
            <w:lang w:val="ru-RU"/>
          </w:rPr>
          <w:t>Rev</w:t>
        </w:r>
        <w:r w:rsidRPr="00D962E1">
          <w:rPr>
            <w:rStyle w:val="Hyperlink"/>
            <w:rFonts w:eastAsia="Calibri" w:cs="Calibri"/>
            <w:lang w:val="ru-RU"/>
          </w:rPr>
          <w:t>.1)</w:t>
        </w:r>
      </w:hyperlink>
      <w:r w:rsidRPr="00D962E1">
        <w:rPr>
          <w:rFonts w:eastAsia="Calibri"/>
          <w:lang w:val="ru-RU"/>
        </w:rPr>
        <w:t>)</w:t>
      </w:r>
      <w:r w:rsidR="00B80712" w:rsidRPr="00D962E1">
        <w:rPr>
          <w:rFonts w:eastAsia="Calibri"/>
          <w:lang w:val="ru-RU"/>
        </w:rPr>
        <w:t>, а также с п.</w:t>
      </w:r>
      <w:r w:rsidRPr="00D962E1">
        <w:rPr>
          <w:rFonts w:eastAsia="Calibri"/>
          <w:lang w:val="ru-RU"/>
        </w:rPr>
        <w:t xml:space="preserve"> 476 </w:t>
      </w:r>
      <w:r w:rsidR="00B80712" w:rsidRPr="00D962E1">
        <w:rPr>
          <w:rFonts w:eastAsia="Calibri"/>
          <w:lang w:val="ru-RU"/>
        </w:rPr>
        <w:t>Конвенции и</w:t>
      </w:r>
      <w:r w:rsidRPr="00D962E1">
        <w:rPr>
          <w:rFonts w:eastAsia="Calibri"/>
          <w:lang w:val="ru-RU"/>
        </w:rPr>
        <w:t xml:space="preserve"> </w:t>
      </w:r>
      <w:hyperlink r:id="rId9" w:history="1">
        <w:r w:rsidRPr="00D962E1">
          <w:rPr>
            <w:rStyle w:val="Hyperlink"/>
            <w:rFonts w:eastAsia="Calibri" w:cs="Calibri"/>
            <w:lang w:val="ru-RU"/>
          </w:rPr>
          <w:t>Резолюци</w:t>
        </w:r>
        <w:r w:rsidR="00B80712" w:rsidRPr="00D962E1">
          <w:rPr>
            <w:rStyle w:val="Hyperlink"/>
            <w:rFonts w:eastAsia="Calibri" w:cs="Calibri"/>
            <w:lang w:val="ru-RU"/>
          </w:rPr>
          <w:t>ей</w:t>
        </w:r>
        <w:r w:rsidRPr="00D962E1">
          <w:rPr>
            <w:rStyle w:val="Hyperlink"/>
            <w:rFonts w:eastAsia="Calibri" w:cs="Calibri"/>
            <w:lang w:val="ru-RU"/>
          </w:rPr>
          <w:t xml:space="preserve"> </w:t>
        </w:r>
        <w:r w:rsidR="008A3376" w:rsidRPr="00D962E1">
          <w:rPr>
            <w:rStyle w:val="Hyperlink"/>
            <w:rFonts w:eastAsia="Calibri" w:cs="Calibri"/>
            <w:lang w:val="ru-RU"/>
          </w:rPr>
          <w:t xml:space="preserve">925 </w:t>
        </w:r>
        <w:r w:rsidRPr="00D962E1">
          <w:rPr>
            <w:rStyle w:val="Hyperlink"/>
            <w:rFonts w:eastAsia="Calibri" w:cs="Calibri"/>
            <w:lang w:val="ru-RU"/>
          </w:rPr>
          <w:t>Совета</w:t>
        </w:r>
      </w:hyperlink>
      <w:r w:rsidRPr="00D962E1">
        <w:rPr>
          <w:rFonts w:eastAsia="Calibri"/>
          <w:lang w:val="ru-RU"/>
        </w:rPr>
        <w:t>.</w:t>
      </w:r>
    </w:p>
    <w:p w14:paraId="7A2761B7" w14:textId="77777777" w:rsidR="00275E99" w:rsidRPr="00D962E1" w:rsidRDefault="00275E99" w:rsidP="00275E99">
      <w:pPr>
        <w:rPr>
          <w:rFonts w:asciiTheme="minorHAnsi" w:eastAsia="Calibri" w:hAnsiTheme="minorHAnsi" w:cstheme="minorHAnsi"/>
          <w:szCs w:val="22"/>
          <w:lang w:val="ru-RU"/>
        </w:rPr>
      </w:pPr>
      <w:r w:rsidRPr="00D962E1">
        <w:rPr>
          <w:rFonts w:asciiTheme="minorHAnsi" w:eastAsia="Calibri" w:hAnsiTheme="minorHAnsi" w:cstheme="minorHAnsi"/>
          <w:szCs w:val="22"/>
          <w:lang w:val="ru-RU"/>
        </w:rPr>
        <w:t>1.2</w:t>
      </w:r>
      <w:r w:rsidRPr="00D962E1">
        <w:rPr>
          <w:rFonts w:asciiTheme="minorHAnsi" w:hAnsiTheme="minorHAnsi" w:cstheme="minorHAnsi"/>
          <w:szCs w:val="22"/>
          <w:lang w:val="ru-RU"/>
        </w:rPr>
        <w:tab/>
      </w:r>
      <w:r w:rsidR="00201681" w:rsidRPr="00D962E1">
        <w:rPr>
          <w:rFonts w:asciiTheme="minorHAnsi" w:eastAsia="Calibri" w:hAnsiTheme="minorHAnsi" w:cstheme="minorHAnsi"/>
          <w:szCs w:val="22"/>
          <w:lang w:val="ru-RU"/>
        </w:rPr>
        <w:t>Освобождение от уплаты взносов предоставляется Советом после анализа соответствующих Секторов и по рекомендации Генерального секретаря.</w:t>
      </w:r>
      <w:r w:rsidRPr="00D962E1">
        <w:rPr>
          <w:rFonts w:asciiTheme="minorHAnsi" w:eastAsia="Calibri" w:hAnsiTheme="minorHAnsi" w:cstheme="minorHAnsi"/>
          <w:szCs w:val="22"/>
          <w:lang w:val="ru-RU"/>
        </w:rPr>
        <w:t xml:space="preserve"> </w:t>
      </w:r>
      <w:r w:rsidR="004A6209" w:rsidRPr="00D962E1">
        <w:rPr>
          <w:rFonts w:asciiTheme="minorHAnsi" w:eastAsia="Calibri" w:hAnsiTheme="minorHAnsi" w:cstheme="minorHAnsi"/>
          <w:szCs w:val="22"/>
          <w:lang w:val="ru-RU"/>
        </w:rPr>
        <w:t>В случае утверждения они становятся Членами Секторов или Ассоциированными членами согласно п.</w:t>
      </w:r>
      <w:r w:rsidR="00BC31CD" w:rsidRPr="00D962E1">
        <w:rPr>
          <w:rFonts w:asciiTheme="minorHAnsi" w:eastAsia="Calibri" w:hAnsiTheme="minorHAnsi" w:cstheme="minorHAnsi"/>
          <w:szCs w:val="22"/>
          <w:lang w:val="ru-RU"/>
        </w:rPr>
        <w:t> </w:t>
      </w:r>
      <w:r w:rsidR="004A6209" w:rsidRPr="00D962E1">
        <w:rPr>
          <w:rFonts w:asciiTheme="minorHAnsi" w:eastAsia="Calibri" w:hAnsiTheme="minorHAnsi" w:cstheme="minorHAnsi"/>
          <w:szCs w:val="22"/>
          <w:lang w:val="ru-RU"/>
        </w:rPr>
        <w:t>231 Конвенции.</w:t>
      </w:r>
    </w:p>
    <w:p w14:paraId="53DCB452" w14:textId="0A57868C" w:rsidR="00275E99" w:rsidRPr="00D962E1" w:rsidRDefault="00275E99" w:rsidP="00275E99">
      <w:pPr>
        <w:rPr>
          <w:rFonts w:asciiTheme="minorHAnsi" w:eastAsia="Calibri" w:hAnsiTheme="minorHAnsi" w:cstheme="minorHAnsi"/>
          <w:szCs w:val="22"/>
          <w:lang w:val="ru-RU"/>
        </w:rPr>
      </w:pPr>
      <w:r w:rsidRPr="00D962E1">
        <w:rPr>
          <w:rFonts w:asciiTheme="minorHAnsi" w:eastAsia="Calibri" w:hAnsiTheme="minorHAnsi" w:cstheme="minorHAnsi"/>
          <w:szCs w:val="22"/>
          <w:lang w:val="ru-RU"/>
        </w:rPr>
        <w:t>1.3</w:t>
      </w:r>
      <w:r w:rsidRPr="00D962E1">
        <w:rPr>
          <w:rFonts w:asciiTheme="minorHAnsi" w:hAnsiTheme="minorHAnsi" w:cstheme="minorHAnsi"/>
          <w:szCs w:val="22"/>
          <w:lang w:val="ru-RU"/>
        </w:rPr>
        <w:tab/>
      </w:r>
      <w:r w:rsidR="00E20A56" w:rsidRPr="00D962E1">
        <w:rPr>
          <w:rFonts w:asciiTheme="minorHAnsi" w:hAnsiTheme="minorHAnsi" w:cstheme="minorHAnsi"/>
          <w:color w:val="000000"/>
          <w:szCs w:val="22"/>
          <w:lang w:val="ru-RU"/>
        </w:rPr>
        <w:t>В настоящее время от сборов освобождены 130 организаций международного характера</w:t>
      </w:r>
      <w:r w:rsidRPr="00D962E1">
        <w:rPr>
          <w:rFonts w:asciiTheme="minorHAnsi" w:eastAsia="Calibri" w:hAnsiTheme="minorHAnsi" w:cstheme="minorHAnsi"/>
          <w:szCs w:val="22"/>
          <w:lang w:val="ru-RU"/>
        </w:rPr>
        <w:t xml:space="preserve">. </w:t>
      </w:r>
      <w:r w:rsidR="00E20A56" w:rsidRPr="00D962E1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Полный список организаций доступен</w:t>
      </w:r>
      <w:r w:rsidR="00E20A56" w:rsidRPr="00D962E1">
        <w:rPr>
          <w:rFonts w:asciiTheme="minorHAnsi" w:hAnsiTheme="minorHAnsi" w:cstheme="minorHAnsi"/>
          <w:szCs w:val="22"/>
          <w:lang w:val="ru-RU"/>
        </w:rPr>
        <w:t xml:space="preserve"> </w:t>
      </w:r>
      <w:r w:rsidR="00622D10">
        <w:fldChar w:fldCharType="begin"/>
      </w:r>
      <w:r w:rsidR="00622D10" w:rsidRPr="00622D10">
        <w:rPr>
          <w:lang w:val="ru-RU"/>
        </w:rPr>
        <w:instrText xml:space="preserve"> </w:instrText>
      </w:r>
      <w:r w:rsidR="00622D10">
        <w:instrText>HYPERLINK</w:instrText>
      </w:r>
      <w:r w:rsidR="00622D10" w:rsidRPr="00622D10">
        <w:rPr>
          <w:lang w:val="ru-RU"/>
        </w:rPr>
        <w:instrText xml:space="preserve"> "</w:instrText>
      </w:r>
      <w:r w:rsidR="00622D10">
        <w:instrText>https</w:instrText>
      </w:r>
      <w:r w:rsidR="00622D10" w:rsidRPr="00622D10">
        <w:rPr>
          <w:lang w:val="ru-RU"/>
        </w:rPr>
        <w:instrText>://</w:instrText>
      </w:r>
      <w:r w:rsidR="00622D10">
        <w:instrText>www</w:instrText>
      </w:r>
      <w:r w:rsidR="00622D10" w:rsidRPr="00622D10">
        <w:rPr>
          <w:lang w:val="ru-RU"/>
        </w:rPr>
        <w:instrText>.</w:instrText>
      </w:r>
      <w:r w:rsidR="00622D10">
        <w:instrText>itu</w:instrText>
      </w:r>
      <w:r w:rsidR="00622D10" w:rsidRPr="00622D10">
        <w:rPr>
          <w:lang w:val="ru-RU"/>
        </w:rPr>
        <w:instrText>.</w:instrText>
      </w:r>
      <w:r w:rsidR="00622D10">
        <w:instrText>int</w:instrText>
      </w:r>
      <w:r w:rsidR="00622D10" w:rsidRPr="00622D10">
        <w:rPr>
          <w:lang w:val="ru-RU"/>
        </w:rPr>
        <w:instrText>/</w:instrText>
      </w:r>
      <w:r w:rsidR="00622D10">
        <w:instrText>hub</w:instrText>
      </w:r>
      <w:r w:rsidR="00622D10" w:rsidRPr="00622D10">
        <w:rPr>
          <w:lang w:val="ru-RU"/>
        </w:rPr>
        <w:instrText>/</w:instrText>
      </w:r>
      <w:r w:rsidR="00622D10">
        <w:instrText>membership</w:instrText>
      </w:r>
      <w:r w:rsidR="00622D10" w:rsidRPr="00622D10">
        <w:rPr>
          <w:lang w:val="ru-RU"/>
        </w:rPr>
        <w:instrText>/</w:instrText>
      </w:r>
      <w:r w:rsidR="00622D10">
        <w:instrText>itu</w:instrText>
      </w:r>
      <w:r w:rsidR="00622D10" w:rsidRPr="00622D10">
        <w:rPr>
          <w:lang w:val="ru-RU"/>
        </w:rPr>
        <w:instrText>-</w:instrText>
      </w:r>
      <w:r w:rsidR="00622D10">
        <w:instrText>family</w:instrText>
      </w:r>
      <w:r w:rsidR="00622D10" w:rsidRPr="00622D10">
        <w:rPr>
          <w:lang w:val="ru-RU"/>
        </w:rPr>
        <w:instrText>/</w:instrText>
      </w:r>
      <w:r w:rsidR="00622D10">
        <w:instrText>organizations</w:instrText>
      </w:r>
      <w:r w:rsidR="00622D10" w:rsidRPr="00622D10">
        <w:rPr>
          <w:lang w:val="ru-RU"/>
        </w:rPr>
        <w:instrText>/</w:instrText>
      </w:r>
      <w:r w:rsidR="00622D10">
        <w:instrText>exempted</w:instrText>
      </w:r>
      <w:r w:rsidR="00622D10" w:rsidRPr="00622D10">
        <w:rPr>
          <w:lang w:val="ru-RU"/>
        </w:rPr>
        <w:instrText>-</w:instrText>
      </w:r>
      <w:r w:rsidR="00622D10">
        <w:instrText>entities</w:instrText>
      </w:r>
      <w:r w:rsidR="00622D10" w:rsidRPr="00622D10">
        <w:rPr>
          <w:lang w:val="ru-RU"/>
        </w:rPr>
        <w:instrText xml:space="preserve">/" </w:instrText>
      </w:r>
      <w:r w:rsidR="00622D10">
        <w:fldChar w:fldCharType="separate"/>
      </w:r>
      <w:r w:rsidR="00E20A56" w:rsidRPr="00D962E1">
        <w:rPr>
          <w:rStyle w:val="Hyperlink"/>
          <w:rFonts w:asciiTheme="minorHAnsi" w:eastAsia="Calibri" w:hAnsiTheme="minorHAnsi" w:cstheme="minorHAnsi"/>
          <w:szCs w:val="22"/>
          <w:lang w:val="ru-RU"/>
        </w:rPr>
        <w:t>здесь</w:t>
      </w:r>
      <w:r w:rsidR="00622D10">
        <w:rPr>
          <w:rStyle w:val="Hyperlink"/>
          <w:rFonts w:asciiTheme="minorHAnsi" w:eastAsia="Calibri" w:hAnsiTheme="minorHAnsi" w:cstheme="minorHAnsi"/>
          <w:szCs w:val="22"/>
          <w:lang w:val="ru-RU"/>
        </w:rPr>
        <w:fldChar w:fldCharType="end"/>
      </w:r>
      <w:r w:rsidRPr="00D962E1">
        <w:rPr>
          <w:rFonts w:asciiTheme="minorHAnsi" w:eastAsiaTheme="minorEastAsia" w:hAnsiTheme="minorHAnsi" w:cstheme="minorHAnsi"/>
          <w:szCs w:val="22"/>
          <w:lang w:val="ru-RU"/>
        </w:rPr>
        <w:t>.</w:t>
      </w:r>
    </w:p>
    <w:p w14:paraId="54FE9DF5" w14:textId="77777777" w:rsidR="00275E99" w:rsidRPr="00D962E1" w:rsidRDefault="00275E99" w:rsidP="00275E99">
      <w:pPr>
        <w:rPr>
          <w:rFonts w:asciiTheme="minorHAnsi" w:eastAsia="Calibri" w:hAnsiTheme="minorHAnsi" w:cstheme="minorHAnsi"/>
          <w:szCs w:val="22"/>
          <w:lang w:val="ru-RU"/>
        </w:rPr>
      </w:pPr>
      <w:r w:rsidRPr="00D962E1">
        <w:rPr>
          <w:rFonts w:asciiTheme="minorHAnsi" w:eastAsia="Calibri" w:hAnsiTheme="minorHAnsi" w:cstheme="minorHAnsi"/>
          <w:szCs w:val="22"/>
          <w:lang w:val="ru-RU"/>
        </w:rPr>
        <w:t>1.4</w:t>
      </w:r>
      <w:r w:rsidRPr="00D962E1">
        <w:rPr>
          <w:rFonts w:asciiTheme="minorHAnsi" w:hAnsiTheme="minorHAnsi" w:cstheme="minorHAnsi"/>
          <w:szCs w:val="22"/>
          <w:lang w:val="ru-RU"/>
        </w:rPr>
        <w:tab/>
      </w:r>
      <w:r w:rsidR="00E926A9" w:rsidRPr="00D962E1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В своей Резолюции 187 (Пусан, 2014 г.) Полномочная конференция 2014 года поручила Совету "рассмотреть практику и критерии освобождения объединений от членских сборов и при </w:t>
      </w:r>
      <w:r w:rsidR="00E926A9" w:rsidRPr="00D962E1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lastRenderedPageBreak/>
        <w:t>необходимости внести изменения, направленные на ужесточение критериев соответствия условиям, чтобы содействовать большей ясности, последовательности и справедливости в отношении платящих и не платящих взносы членов и сократить общее количество освобожденных объединений"</w:t>
      </w:r>
      <w:r w:rsidR="00E926A9" w:rsidRPr="00D962E1">
        <w:rPr>
          <w:rFonts w:asciiTheme="minorHAnsi" w:eastAsia="Calibri" w:hAnsiTheme="minorHAnsi" w:cstheme="minorHAnsi"/>
          <w:szCs w:val="22"/>
          <w:lang w:val="ru-RU"/>
        </w:rPr>
        <w:t>.</w:t>
      </w:r>
    </w:p>
    <w:p w14:paraId="46FE969F" w14:textId="77777777" w:rsidR="00275E99" w:rsidRPr="00D962E1" w:rsidRDefault="00275E99" w:rsidP="00275E99">
      <w:pPr>
        <w:rPr>
          <w:rFonts w:asciiTheme="minorHAnsi" w:eastAsia="Calibri" w:hAnsiTheme="minorHAnsi" w:cstheme="minorHAnsi"/>
          <w:szCs w:val="22"/>
          <w:lang w:val="ru-RU"/>
        </w:rPr>
      </w:pPr>
      <w:r w:rsidRPr="00D962E1">
        <w:rPr>
          <w:rFonts w:asciiTheme="minorHAnsi" w:eastAsia="Calibri" w:hAnsiTheme="minorHAnsi" w:cstheme="minorHAnsi"/>
          <w:szCs w:val="22"/>
          <w:lang w:val="ru-RU"/>
        </w:rPr>
        <w:t>1.5</w:t>
      </w:r>
      <w:r w:rsidRPr="00D962E1">
        <w:rPr>
          <w:rFonts w:asciiTheme="minorHAnsi" w:hAnsiTheme="minorHAnsi" w:cstheme="minorHAnsi"/>
          <w:szCs w:val="22"/>
          <w:lang w:val="ru-RU"/>
        </w:rPr>
        <w:tab/>
      </w:r>
      <w:r w:rsidR="00E926A9" w:rsidRPr="00D962E1">
        <w:rPr>
          <w:rFonts w:asciiTheme="minorHAnsi" w:eastAsia="Calibri" w:hAnsiTheme="minorHAnsi" w:cstheme="minorHAnsi"/>
          <w:szCs w:val="22"/>
          <w:lang w:val="ru-RU"/>
        </w:rPr>
        <w:t>Совет</w:t>
      </w:r>
      <w:r w:rsidRPr="00D962E1">
        <w:rPr>
          <w:rFonts w:asciiTheme="minorHAnsi" w:eastAsia="Calibri" w:hAnsiTheme="minorHAnsi" w:cstheme="minorHAnsi"/>
          <w:szCs w:val="22"/>
          <w:lang w:val="ru-RU"/>
        </w:rPr>
        <w:t xml:space="preserve"> </w:t>
      </w:r>
      <w:r w:rsidR="00E926A9" w:rsidRPr="00D962E1">
        <w:rPr>
          <w:rFonts w:asciiTheme="minorHAnsi" w:eastAsia="Calibri" w:hAnsiTheme="minorHAnsi" w:cstheme="minorHAnsi"/>
          <w:szCs w:val="22"/>
          <w:lang w:val="ru-RU"/>
        </w:rPr>
        <w:t>20</w:t>
      </w:r>
      <w:r w:rsidRPr="00D962E1">
        <w:rPr>
          <w:rFonts w:asciiTheme="minorHAnsi" w:eastAsia="Calibri" w:hAnsiTheme="minorHAnsi" w:cstheme="minorHAnsi"/>
          <w:szCs w:val="22"/>
          <w:lang w:val="ru-RU"/>
        </w:rPr>
        <w:t>17</w:t>
      </w:r>
      <w:r w:rsidR="00E926A9" w:rsidRPr="00D962E1">
        <w:rPr>
          <w:rFonts w:asciiTheme="minorHAnsi" w:eastAsia="Calibri" w:hAnsiTheme="minorHAnsi" w:cstheme="minorHAnsi"/>
          <w:szCs w:val="22"/>
          <w:lang w:val="ru-RU"/>
        </w:rPr>
        <w:t xml:space="preserve"> года</w:t>
      </w:r>
      <w:r w:rsidRPr="00D962E1">
        <w:rPr>
          <w:rFonts w:asciiTheme="minorHAnsi" w:eastAsia="Calibri" w:hAnsiTheme="minorHAnsi" w:cstheme="minorHAnsi"/>
          <w:szCs w:val="22"/>
          <w:lang w:val="ru-RU"/>
        </w:rPr>
        <w:t xml:space="preserve"> </w:t>
      </w:r>
      <w:r w:rsidR="00E926A9" w:rsidRPr="00D962E1">
        <w:rPr>
          <w:rFonts w:asciiTheme="minorHAnsi" w:eastAsia="Calibri" w:hAnsiTheme="minorHAnsi" w:cstheme="minorHAnsi"/>
          <w:szCs w:val="22"/>
          <w:lang w:val="ru-RU"/>
        </w:rPr>
        <w:t>утвердил пересмотренные критерии, представленные</w:t>
      </w:r>
      <w:r w:rsidRPr="00D962E1">
        <w:rPr>
          <w:rFonts w:asciiTheme="minorHAnsi" w:eastAsia="Calibri" w:hAnsiTheme="minorHAnsi" w:cstheme="minorHAnsi"/>
          <w:szCs w:val="22"/>
          <w:lang w:val="ru-RU"/>
        </w:rPr>
        <w:t xml:space="preserve"> </w:t>
      </w:r>
      <w:r w:rsidR="00622D10">
        <w:fldChar w:fldCharType="begin"/>
      </w:r>
      <w:r w:rsidR="00622D10" w:rsidRPr="00622D10">
        <w:rPr>
          <w:lang w:val="ru-RU"/>
        </w:rPr>
        <w:instrText xml:space="preserve"> </w:instrText>
      </w:r>
      <w:r w:rsidR="00622D10">
        <w:instrText>HYPERLINK</w:instrText>
      </w:r>
      <w:r w:rsidR="00622D10" w:rsidRPr="00622D10">
        <w:rPr>
          <w:lang w:val="ru-RU"/>
        </w:rPr>
        <w:instrText xml:space="preserve"> "</w:instrText>
      </w:r>
      <w:r w:rsidR="00622D10">
        <w:instrText>https</w:instrText>
      </w:r>
      <w:r w:rsidR="00622D10" w:rsidRPr="00622D10">
        <w:rPr>
          <w:lang w:val="ru-RU"/>
        </w:rPr>
        <w:instrText>://</w:instrText>
      </w:r>
      <w:r w:rsidR="00622D10">
        <w:instrText>www</w:instrText>
      </w:r>
      <w:r w:rsidR="00622D10" w:rsidRPr="00622D10">
        <w:rPr>
          <w:lang w:val="ru-RU"/>
        </w:rPr>
        <w:instrText>.</w:instrText>
      </w:r>
      <w:r w:rsidR="00622D10">
        <w:instrText>itu</w:instrText>
      </w:r>
      <w:r w:rsidR="00622D10" w:rsidRPr="00622D10">
        <w:rPr>
          <w:lang w:val="ru-RU"/>
        </w:rPr>
        <w:instrText>.</w:instrText>
      </w:r>
      <w:r w:rsidR="00622D10">
        <w:instrText>int</w:instrText>
      </w:r>
      <w:r w:rsidR="00622D10" w:rsidRPr="00622D10">
        <w:rPr>
          <w:lang w:val="ru-RU"/>
        </w:rPr>
        <w:instrText>/</w:instrText>
      </w:r>
      <w:r w:rsidR="00622D10">
        <w:instrText>hub</w:instrText>
      </w:r>
      <w:r w:rsidR="00622D10" w:rsidRPr="00622D10">
        <w:rPr>
          <w:lang w:val="ru-RU"/>
        </w:rPr>
        <w:instrText>/</w:instrText>
      </w:r>
      <w:r w:rsidR="00622D10">
        <w:instrText>membership</w:instrText>
      </w:r>
      <w:r w:rsidR="00622D10" w:rsidRPr="00622D10">
        <w:rPr>
          <w:lang w:val="ru-RU"/>
        </w:rPr>
        <w:instrText>/</w:instrText>
      </w:r>
      <w:r w:rsidR="00622D10">
        <w:instrText>itu</w:instrText>
      </w:r>
      <w:r w:rsidR="00622D10" w:rsidRPr="00622D10">
        <w:rPr>
          <w:lang w:val="ru-RU"/>
        </w:rPr>
        <w:instrText>-</w:instrText>
      </w:r>
      <w:r w:rsidR="00622D10">
        <w:instrText>family</w:instrText>
      </w:r>
      <w:r w:rsidR="00622D10" w:rsidRPr="00622D10">
        <w:rPr>
          <w:lang w:val="ru-RU"/>
        </w:rPr>
        <w:instrText>/</w:instrText>
      </w:r>
      <w:r w:rsidR="00622D10">
        <w:instrText>organizations</w:instrText>
      </w:r>
      <w:r w:rsidR="00622D10" w:rsidRPr="00622D10">
        <w:rPr>
          <w:lang w:val="ru-RU"/>
        </w:rPr>
        <w:instrText>/</w:instrText>
      </w:r>
      <w:r w:rsidR="00622D10">
        <w:instrText>exempted</w:instrText>
      </w:r>
      <w:r w:rsidR="00622D10" w:rsidRPr="00622D10">
        <w:rPr>
          <w:lang w:val="ru-RU"/>
        </w:rPr>
        <w:instrText>-</w:instrText>
      </w:r>
      <w:r w:rsidR="00622D10">
        <w:instrText>entities</w:instrText>
      </w:r>
      <w:r w:rsidR="00622D10" w:rsidRPr="00622D10">
        <w:rPr>
          <w:lang w:val="ru-RU"/>
        </w:rPr>
        <w:instrText>/</w:instrText>
      </w:r>
      <w:r w:rsidR="00622D10">
        <w:instrText>exemption</w:instrText>
      </w:r>
      <w:r w:rsidR="00622D10" w:rsidRPr="00622D10">
        <w:rPr>
          <w:lang w:val="ru-RU"/>
        </w:rPr>
        <w:instrText>-</w:instrText>
      </w:r>
      <w:r w:rsidR="00622D10">
        <w:instrText>criteria</w:instrText>
      </w:r>
      <w:r w:rsidR="00622D10" w:rsidRPr="00622D10">
        <w:rPr>
          <w:lang w:val="ru-RU"/>
        </w:rPr>
        <w:instrText xml:space="preserve">/" </w:instrText>
      </w:r>
      <w:r w:rsidR="00622D10">
        <w:fldChar w:fldCharType="separate"/>
      </w:r>
      <w:r w:rsidR="00E926A9" w:rsidRPr="00D962E1">
        <w:rPr>
          <w:rStyle w:val="Hyperlink"/>
          <w:rFonts w:asciiTheme="minorHAnsi" w:eastAsia="Calibri" w:hAnsiTheme="minorHAnsi" w:cstheme="minorHAnsi"/>
          <w:szCs w:val="22"/>
          <w:lang w:val="ru-RU"/>
        </w:rPr>
        <w:t>здесь</w:t>
      </w:r>
      <w:r w:rsidR="00622D10">
        <w:rPr>
          <w:rStyle w:val="Hyperlink"/>
          <w:rFonts w:asciiTheme="minorHAnsi" w:eastAsia="Calibri" w:hAnsiTheme="minorHAnsi" w:cstheme="minorHAnsi"/>
          <w:szCs w:val="22"/>
          <w:lang w:val="ru-RU"/>
        </w:rPr>
        <w:fldChar w:fldCharType="end"/>
      </w:r>
      <w:r w:rsidRPr="00D962E1">
        <w:rPr>
          <w:rFonts w:asciiTheme="minorHAnsi" w:eastAsia="Calibri" w:hAnsiTheme="minorHAnsi" w:cstheme="minorHAnsi"/>
          <w:szCs w:val="22"/>
          <w:lang w:val="ru-RU"/>
        </w:rPr>
        <w:t xml:space="preserve">. </w:t>
      </w:r>
      <w:r w:rsidR="00E926A9" w:rsidRPr="00D962E1">
        <w:rPr>
          <w:rFonts w:asciiTheme="minorHAnsi" w:eastAsia="Calibri" w:hAnsiTheme="minorHAnsi" w:cstheme="minorHAnsi"/>
          <w:szCs w:val="22"/>
          <w:lang w:val="ru-RU"/>
        </w:rPr>
        <w:t xml:space="preserve">С этого </w:t>
      </w:r>
      <w:r w:rsidR="00240E44" w:rsidRPr="00D962E1">
        <w:rPr>
          <w:rFonts w:asciiTheme="minorHAnsi" w:eastAsia="Calibri" w:hAnsiTheme="minorHAnsi" w:cstheme="minorHAnsi"/>
          <w:szCs w:val="22"/>
          <w:lang w:val="ru-RU"/>
        </w:rPr>
        <w:t>времени</w:t>
      </w:r>
      <w:r w:rsidRPr="00D962E1">
        <w:rPr>
          <w:rFonts w:asciiTheme="minorHAnsi" w:eastAsia="Calibri" w:hAnsiTheme="minorHAnsi" w:cstheme="minorHAnsi"/>
          <w:szCs w:val="22"/>
          <w:lang w:val="ru-RU"/>
        </w:rPr>
        <w:t xml:space="preserve">, </w:t>
      </w:r>
      <w:r w:rsidR="00E926A9" w:rsidRPr="00D962E1">
        <w:rPr>
          <w:rFonts w:asciiTheme="minorHAnsi" w:eastAsia="Calibri" w:hAnsiTheme="minorHAnsi" w:cstheme="minorHAnsi"/>
          <w:szCs w:val="22"/>
          <w:lang w:val="ru-RU"/>
        </w:rPr>
        <w:t xml:space="preserve">на </w:t>
      </w:r>
      <w:r w:rsidR="00E926A9" w:rsidRPr="00D962E1">
        <w:rPr>
          <w:rFonts w:asciiTheme="minorHAnsi" w:hAnsiTheme="minorHAnsi" w:cstheme="minorHAnsi"/>
          <w:color w:val="000000"/>
          <w:szCs w:val="22"/>
          <w:lang w:val="ru-RU"/>
        </w:rPr>
        <w:t>каждой сессии Совет рассматривает новые заявки в соответствии с этими критериями</w:t>
      </w:r>
      <w:r w:rsidRPr="00D962E1">
        <w:rPr>
          <w:rFonts w:asciiTheme="minorHAnsi" w:eastAsia="Calibri" w:hAnsiTheme="minorHAnsi" w:cstheme="minorHAnsi"/>
          <w:szCs w:val="22"/>
          <w:lang w:val="ru-RU"/>
        </w:rPr>
        <w:t xml:space="preserve">. </w:t>
      </w:r>
    </w:p>
    <w:p w14:paraId="2FE52AB4" w14:textId="7AC9C8C5" w:rsidR="00275E99" w:rsidRPr="00D962E1" w:rsidRDefault="00275E99" w:rsidP="00275E99">
      <w:pPr>
        <w:rPr>
          <w:rFonts w:asciiTheme="minorHAnsi" w:eastAsiaTheme="minorEastAsia" w:hAnsiTheme="minorHAnsi" w:cstheme="minorBidi"/>
          <w:szCs w:val="24"/>
          <w:lang w:val="ru-RU" w:eastAsia="zh-CN"/>
        </w:rPr>
      </w:pPr>
      <w:r w:rsidRPr="00D962E1">
        <w:rPr>
          <w:rFonts w:eastAsia="Calibri"/>
          <w:lang w:val="ru-RU"/>
        </w:rPr>
        <w:t>1.6</w:t>
      </w:r>
      <w:r w:rsidRPr="00D962E1">
        <w:rPr>
          <w:rFonts w:eastAsia="Calibri"/>
          <w:lang w:val="ru-RU"/>
        </w:rPr>
        <w:tab/>
      </w:r>
      <w:r w:rsidR="00E926A9" w:rsidRPr="00D962E1">
        <w:rPr>
          <w:rFonts w:eastAsia="Calibri"/>
          <w:lang w:val="ru-RU"/>
        </w:rPr>
        <w:t>На сессии</w:t>
      </w:r>
      <w:r w:rsidRPr="00D962E1">
        <w:rPr>
          <w:rFonts w:eastAsia="Calibri"/>
          <w:lang w:val="ru-RU"/>
        </w:rPr>
        <w:t xml:space="preserve"> 2019</w:t>
      </w:r>
      <w:r w:rsidR="00E926A9" w:rsidRPr="00D962E1">
        <w:rPr>
          <w:rFonts w:eastAsia="Calibri"/>
          <w:lang w:val="ru-RU"/>
        </w:rPr>
        <w:t xml:space="preserve"> года Совет принял решение </w:t>
      </w:r>
      <w:r w:rsidR="00240E44" w:rsidRPr="00D962E1">
        <w:rPr>
          <w:rFonts w:eastAsia="Calibri"/>
          <w:lang w:val="ru-RU"/>
        </w:rPr>
        <w:t>применять пересмотренные критерии к новым заявкам и сохран</w:t>
      </w:r>
      <w:r w:rsidR="00A958F2" w:rsidRPr="00D962E1">
        <w:rPr>
          <w:rFonts w:eastAsia="Calibri"/>
          <w:lang w:val="ru-RU"/>
        </w:rPr>
        <w:t>и</w:t>
      </w:r>
      <w:r w:rsidR="00240E44" w:rsidRPr="00D962E1">
        <w:rPr>
          <w:rFonts w:eastAsia="Calibri"/>
          <w:lang w:val="ru-RU"/>
        </w:rPr>
        <w:t>ть</w:t>
      </w:r>
      <w:r w:rsidRPr="00D962E1">
        <w:rPr>
          <w:rFonts w:eastAsia="Calibri"/>
          <w:lang w:val="ru-RU"/>
        </w:rPr>
        <w:t xml:space="preserve"> (</w:t>
      </w:r>
      <w:r w:rsidR="00240E44" w:rsidRPr="00D962E1">
        <w:rPr>
          <w:rFonts w:eastAsia="Calibri"/>
          <w:lang w:val="ru-RU"/>
        </w:rPr>
        <w:t>т.</w:t>
      </w:r>
      <w:r w:rsidR="00A958F2" w:rsidRPr="00D962E1">
        <w:rPr>
          <w:rFonts w:eastAsia="Calibri"/>
          <w:lang w:val="ru-RU"/>
        </w:rPr>
        <w:t xml:space="preserve"> </w:t>
      </w:r>
      <w:r w:rsidR="00240E44" w:rsidRPr="00D962E1">
        <w:rPr>
          <w:rFonts w:eastAsia="Calibri"/>
          <w:lang w:val="ru-RU"/>
        </w:rPr>
        <w:t>е.</w:t>
      </w:r>
      <w:r w:rsidRPr="00D962E1">
        <w:rPr>
          <w:rFonts w:eastAsia="Calibri"/>
          <w:lang w:val="ru-RU"/>
        </w:rPr>
        <w:t xml:space="preserve"> </w:t>
      </w:r>
      <w:r w:rsidR="00A958F2" w:rsidRPr="00D962E1">
        <w:rPr>
          <w:rFonts w:eastAsia="Calibri"/>
          <w:lang w:val="ru-RU"/>
        </w:rPr>
        <w:t>освободить от применения новых правил)</w:t>
      </w:r>
      <w:r w:rsidRPr="00D962E1">
        <w:rPr>
          <w:rFonts w:eastAsia="Calibri"/>
          <w:lang w:val="ru-RU"/>
        </w:rPr>
        <w:t xml:space="preserve"> </w:t>
      </w:r>
      <w:r w:rsidR="00240E44" w:rsidRPr="00D962E1">
        <w:rPr>
          <w:rFonts w:eastAsia="Calibri"/>
          <w:lang w:val="ru-RU"/>
        </w:rPr>
        <w:t>существующий список в течение последующих четырех лет в качестве переходной меры</w:t>
      </w:r>
      <w:r w:rsidRPr="00D962E1">
        <w:rPr>
          <w:rFonts w:eastAsia="Calibri"/>
          <w:lang w:val="ru-RU"/>
        </w:rPr>
        <w:t xml:space="preserve">. </w:t>
      </w:r>
      <w:r w:rsidR="00675159" w:rsidRPr="00D962E1">
        <w:rPr>
          <w:rFonts w:eastAsia="Calibri"/>
          <w:lang w:val="ru-RU"/>
        </w:rPr>
        <w:t xml:space="preserve">В течение </w:t>
      </w:r>
      <w:r w:rsidR="00240E44" w:rsidRPr="00D962E1">
        <w:rPr>
          <w:rFonts w:eastAsia="Calibri"/>
          <w:lang w:val="ru-RU"/>
        </w:rPr>
        <w:t>последни</w:t>
      </w:r>
      <w:r w:rsidR="00675159" w:rsidRPr="00D962E1">
        <w:rPr>
          <w:rFonts w:eastAsia="Calibri"/>
          <w:lang w:val="ru-RU"/>
        </w:rPr>
        <w:t>х</w:t>
      </w:r>
      <w:r w:rsidR="00240E44" w:rsidRPr="00D962E1">
        <w:rPr>
          <w:rFonts w:eastAsia="Calibri"/>
          <w:lang w:val="ru-RU"/>
        </w:rPr>
        <w:t xml:space="preserve"> месяц</w:t>
      </w:r>
      <w:r w:rsidR="00675159" w:rsidRPr="00D962E1">
        <w:rPr>
          <w:rFonts w:eastAsia="Calibri"/>
          <w:lang w:val="ru-RU"/>
        </w:rPr>
        <w:t>ев</w:t>
      </w:r>
      <w:r w:rsidR="00240E44" w:rsidRPr="00D962E1">
        <w:rPr>
          <w:rFonts w:eastAsia="Calibri"/>
          <w:lang w:val="ru-RU"/>
        </w:rPr>
        <w:t xml:space="preserve"> секретариат </w:t>
      </w:r>
      <w:r w:rsidR="00675159" w:rsidRPr="00D962E1">
        <w:rPr>
          <w:rFonts w:eastAsia="Calibri"/>
          <w:lang w:val="ru-RU"/>
        </w:rPr>
        <w:t xml:space="preserve">связался </w:t>
      </w:r>
      <w:r w:rsidR="00240E44" w:rsidRPr="00D962E1">
        <w:rPr>
          <w:rFonts w:eastAsia="Calibri"/>
          <w:lang w:val="ru-RU"/>
        </w:rPr>
        <w:t>со всем</w:t>
      </w:r>
      <w:r w:rsidR="00675159" w:rsidRPr="00D962E1">
        <w:rPr>
          <w:rFonts w:eastAsia="Calibri"/>
          <w:lang w:val="ru-RU"/>
        </w:rPr>
        <w:t>и</w:t>
      </w:r>
      <w:r w:rsidR="00240E44" w:rsidRPr="00D962E1">
        <w:rPr>
          <w:rFonts w:eastAsia="Calibri"/>
          <w:lang w:val="ru-RU"/>
        </w:rPr>
        <w:t xml:space="preserve"> организациями, пол</w:t>
      </w:r>
      <w:r w:rsidR="00675159" w:rsidRPr="00D962E1">
        <w:rPr>
          <w:rFonts w:eastAsia="Calibri"/>
          <w:lang w:val="ru-RU"/>
        </w:rPr>
        <w:t xml:space="preserve">ьзующимися </w:t>
      </w:r>
      <w:r w:rsidR="00240E44" w:rsidRPr="00D962E1">
        <w:rPr>
          <w:rFonts w:eastAsia="Calibri"/>
          <w:lang w:val="ru-RU"/>
        </w:rPr>
        <w:t xml:space="preserve">в настоящее время </w:t>
      </w:r>
      <w:r w:rsidR="00B21379" w:rsidRPr="00D962E1">
        <w:rPr>
          <w:rFonts w:eastAsia="Calibri"/>
          <w:lang w:val="ru-RU"/>
        </w:rPr>
        <w:t>освобождени</w:t>
      </w:r>
      <w:r w:rsidR="00675159" w:rsidRPr="00D962E1">
        <w:rPr>
          <w:rFonts w:eastAsia="Calibri"/>
          <w:lang w:val="ru-RU"/>
        </w:rPr>
        <w:t>ем</w:t>
      </w:r>
      <w:r w:rsidR="00240E44" w:rsidRPr="00D962E1">
        <w:rPr>
          <w:rFonts w:eastAsia="Calibri"/>
          <w:lang w:val="ru-RU"/>
        </w:rPr>
        <w:t xml:space="preserve"> от </w:t>
      </w:r>
      <w:r w:rsidR="00B21379" w:rsidRPr="00D962E1">
        <w:rPr>
          <w:rFonts w:eastAsia="Calibri"/>
          <w:lang w:val="ru-RU"/>
        </w:rPr>
        <w:t>уплаты</w:t>
      </w:r>
      <w:r w:rsidR="00240E44" w:rsidRPr="00D962E1">
        <w:rPr>
          <w:rFonts w:eastAsia="Calibri"/>
          <w:lang w:val="ru-RU"/>
        </w:rPr>
        <w:t xml:space="preserve"> взносов, чтобы обновить их документацию и </w:t>
      </w:r>
      <w:r w:rsidR="00B21379" w:rsidRPr="00D962E1">
        <w:rPr>
          <w:rFonts w:eastAsia="Calibri"/>
          <w:lang w:val="ru-RU"/>
        </w:rPr>
        <w:t xml:space="preserve">получить </w:t>
      </w:r>
      <w:r w:rsidR="00240E44" w:rsidRPr="00D962E1">
        <w:rPr>
          <w:rFonts w:eastAsia="Calibri"/>
          <w:lang w:val="ru-RU"/>
        </w:rPr>
        <w:t>подтвер</w:t>
      </w:r>
      <w:r w:rsidR="00B21379" w:rsidRPr="00D962E1">
        <w:rPr>
          <w:rFonts w:eastAsia="Calibri"/>
          <w:lang w:val="ru-RU"/>
        </w:rPr>
        <w:t>ждение их желания продолжать сохранять свой статус на основе взаимности</w:t>
      </w:r>
      <w:r w:rsidRPr="00D962E1">
        <w:rPr>
          <w:rFonts w:eastAsia="Calibri"/>
          <w:lang w:val="ru-RU"/>
        </w:rPr>
        <w:t xml:space="preserve">. </w:t>
      </w:r>
      <w:r w:rsidR="00B21379" w:rsidRPr="00D962E1">
        <w:rPr>
          <w:rFonts w:eastAsia="Calibri"/>
          <w:lang w:val="ru-RU"/>
        </w:rPr>
        <w:t>На этом основании секретариат пересматривает весь список освобожденных от уплаты взносов организаций для оценки того</w:t>
      </w:r>
      <w:r w:rsidR="00D33362" w:rsidRPr="00D962E1">
        <w:rPr>
          <w:rFonts w:eastAsia="Calibri"/>
          <w:lang w:val="ru-RU"/>
        </w:rPr>
        <w:t>,</w:t>
      </w:r>
      <w:r w:rsidR="00B21379" w:rsidRPr="00D962E1">
        <w:rPr>
          <w:rFonts w:eastAsia="Calibri"/>
          <w:lang w:val="ru-RU"/>
        </w:rPr>
        <w:t xml:space="preserve"> насколько они соответствуют пересмотренным критериям</w:t>
      </w:r>
      <w:r w:rsidRPr="00D962E1">
        <w:rPr>
          <w:rFonts w:eastAsia="Calibri"/>
          <w:lang w:val="ru-RU"/>
        </w:rPr>
        <w:t xml:space="preserve">, </w:t>
      </w:r>
      <w:r w:rsidR="00B21379" w:rsidRPr="00D962E1">
        <w:rPr>
          <w:rFonts w:eastAsia="Calibri"/>
          <w:lang w:val="ru-RU"/>
        </w:rPr>
        <w:t>с тем чтобы представить полный отчет следующей сессии Совета для рассмотрения</w:t>
      </w:r>
      <w:r w:rsidRPr="00D962E1">
        <w:rPr>
          <w:rFonts w:eastAsia="Calibri"/>
          <w:lang w:val="ru-RU"/>
        </w:rPr>
        <w:t>.</w:t>
      </w:r>
    </w:p>
    <w:p w14:paraId="05A4062C" w14:textId="77777777" w:rsidR="00275E99" w:rsidRPr="00D962E1" w:rsidRDefault="00275E99" w:rsidP="00275E99">
      <w:pPr>
        <w:pStyle w:val="Heading1"/>
        <w:rPr>
          <w:rFonts w:eastAsia="Calibri"/>
          <w:lang w:val="ru-RU"/>
        </w:rPr>
      </w:pPr>
      <w:r w:rsidRPr="00D962E1">
        <w:rPr>
          <w:rFonts w:eastAsia="Calibri"/>
          <w:lang w:val="ru-RU"/>
        </w:rPr>
        <w:t>2</w:t>
      </w:r>
      <w:r w:rsidRPr="00D962E1">
        <w:rPr>
          <w:rFonts w:eastAsia="Calibri"/>
          <w:lang w:val="ru-RU"/>
        </w:rPr>
        <w:tab/>
      </w:r>
      <w:r w:rsidR="0008134C" w:rsidRPr="00D962E1">
        <w:rPr>
          <w:rFonts w:eastAsia="Calibri"/>
          <w:lang w:val="ru-RU"/>
        </w:rPr>
        <w:t xml:space="preserve">Новые заявки и </w:t>
      </w:r>
      <w:r w:rsidR="005E13D0" w:rsidRPr="00D962E1">
        <w:rPr>
          <w:rFonts w:eastAsia="Calibri"/>
          <w:lang w:val="ru-RU"/>
        </w:rPr>
        <w:t>рекомендации</w:t>
      </w:r>
    </w:p>
    <w:p w14:paraId="008D841B" w14:textId="77777777" w:rsidR="00275E99" w:rsidRPr="00D962E1" w:rsidRDefault="00275E99" w:rsidP="00F11259">
      <w:pPr>
        <w:spacing w:after="120"/>
        <w:rPr>
          <w:lang w:val="ru-RU"/>
        </w:rPr>
      </w:pPr>
      <w:r w:rsidRPr="00D962E1">
        <w:rPr>
          <w:lang w:val="ru-RU"/>
        </w:rPr>
        <w:t>2.1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87"/>
        <w:gridCol w:w="1559"/>
        <w:gridCol w:w="3685"/>
      </w:tblGrid>
      <w:tr w:rsidR="00275E99" w:rsidRPr="00D962E1" w14:paraId="286234A5" w14:textId="77777777" w:rsidTr="008F3BE2">
        <w:trPr>
          <w:cantSplit/>
        </w:trPr>
        <w:tc>
          <w:tcPr>
            <w:tcW w:w="4387" w:type="dxa"/>
            <w:vAlign w:val="center"/>
          </w:tcPr>
          <w:p w14:paraId="5011A32D" w14:textId="77777777" w:rsidR="00275E99" w:rsidRPr="00D962E1" w:rsidRDefault="00843AF3" w:rsidP="00726D94">
            <w:pPr>
              <w:pStyle w:val="TableHead0"/>
              <w:keepLines/>
              <w:spacing w:before="60" w:after="60"/>
              <w:rPr>
                <w:rFonts w:asciiTheme="minorHAnsi" w:hAnsiTheme="minorHAnsi" w:cs="Calibri"/>
                <w:sz w:val="20"/>
                <w:lang w:val="ru-RU"/>
              </w:rPr>
            </w:pPr>
            <w:r w:rsidRPr="00D962E1">
              <w:rPr>
                <w:rFonts w:asciiTheme="minorHAnsi" w:hAnsiTheme="minorHAnsi" w:cs="Calibri"/>
                <w:bCs/>
                <w:sz w:val="20"/>
                <w:lang w:val="ru-RU"/>
              </w:rPr>
              <w:t>Организация</w:t>
            </w:r>
          </w:p>
        </w:tc>
        <w:tc>
          <w:tcPr>
            <w:tcW w:w="1559" w:type="dxa"/>
            <w:vAlign w:val="center"/>
          </w:tcPr>
          <w:p w14:paraId="4FADC4FF" w14:textId="77777777" w:rsidR="00275E99" w:rsidRPr="00D962E1" w:rsidRDefault="00843AF3" w:rsidP="00726D94">
            <w:pPr>
              <w:pStyle w:val="TableHead0"/>
              <w:keepLines/>
              <w:spacing w:before="60" w:after="60"/>
              <w:rPr>
                <w:rFonts w:asciiTheme="minorHAnsi" w:hAnsiTheme="minorHAnsi" w:cs="Calibri"/>
                <w:sz w:val="20"/>
                <w:lang w:val="ru-RU"/>
              </w:rPr>
            </w:pPr>
            <w:r w:rsidRPr="00D962E1">
              <w:rPr>
                <w:rFonts w:asciiTheme="minorHAnsi" w:hAnsiTheme="minorHAnsi" w:cs="Calibri"/>
                <w:bCs/>
                <w:sz w:val="20"/>
                <w:lang w:val="ru-RU"/>
              </w:rPr>
              <w:t>Сектор</w:t>
            </w:r>
          </w:p>
        </w:tc>
        <w:tc>
          <w:tcPr>
            <w:tcW w:w="3685" w:type="dxa"/>
            <w:vAlign w:val="center"/>
          </w:tcPr>
          <w:p w14:paraId="586B5329" w14:textId="77777777" w:rsidR="00275E99" w:rsidRPr="00D962E1" w:rsidRDefault="00843AF3" w:rsidP="00726D94">
            <w:pPr>
              <w:pStyle w:val="TableHead0"/>
              <w:keepLines/>
              <w:spacing w:before="60" w:after="60"/>
              <w:rPr>
                <w:rFonts w:asciiTheme="minorHAnsi" w:hAnsiTheme="minorHAnsi" w:cs="Calibri"/>
                <w:sz w:val="20"/>
                <w:lang w:val="ru-RU"/>
              </w:rPr>
            </w:pPr>
            <w:r w:rsidRPr="00D962E1">
              <w:rPr>
                <w:rFonts w:asciiTheme="minorHAnsi" w:hAnsiTheme="minorHAnsi" w:cstheme="minorHAnsi"/>
                <w:bCs/>
                <w:sz w:val="20"/>
                <w:lang w:val="ru-RU"/>
              </w:rPr>
              <w:t>Рекомендация</w:t>
            </w:r>
          </w:p>
        </w:tc>
      </w:tr>
      <w:tr w:rsidR="00275E99" w:rsidRPr="00D962E1" w14:paraId="722B2B9C" w14:textId="77777777" w:rsidTr="008F3BE2">
        <w:trPr>
          <w:cantSplit/>
          <w:trHeight w:val="448"/>
        </w:trPr>
        <w:tc>
          <w:tcPr>
            <w:tcW w:w="4387" w:type="dxa"/>
            <w:vAlign w:val="center"/>
          </w:tcPr>
          <w:p w14:paraId="5A8A753B" w14:textId="77777777" w:rsidR="00275E99" w:rsidRPr="00D962E1" w:rsidRDefault="0008134C" w:rsidP="00445B87">
            <w:pPr>
              <w:pStyle w:val="Tabletext"/>
              <w:rPr>
                <w:b/>
                <w:lang w:val="ru-RU"/>
              </w:rPr>
            </w:pPr>
            <w:r w:rsidRPr="00D962E1">
              <w:rPr>
                <w:b/>
                <w:lang w:val="ru-RU"/>
              </w:rPr>
              <w:t>Организации цифрового сотрудничества</w:t>
            </w:r>
            <w:r w:rsidRPr="00D962E1">
              <w:rPr>
                <w:rFonts w:ascii="Segoe UI" w:hAnsi="Segoe UI" w:cs="Segoe UI"/>
                <w:color w:val="000000"/>
                <w:shd w:val="clear" w:color="auto" w:fill="F0F0F0"/>
                <w:lang w:val="ru-RU"/>
              </w:rPr>
              <w:t xml:space="preserve"> </w:t>
            </w:r>
            <w:r w:rsidR="00275E99" w:rsidRPr="00D962E1">
              <w:rPr>
                <w:b/>
                <w:lang w:val="ru-RU"/>
              </w:rPr>
              <w:t>(DCO)</w:t>
            </w:r>
          </w:p>
        </w:tc>
        <w:tc>
          <w:tcPr>
            <w:tcW w:w="1559" w:type="dxa"/>
            <w:vAlign w:val="center"/>
          </w:tcPr>
          <w:p w14:paraId="0CC049BB" w14:textId="77777777" w:rsidR="00275E99" w:rsidRPr="00D962E1" w:rsidRDefault="00843AF3" w:rsidP="00445B87">
            <w:pPr>
              <w:pStyle w:val="Tabletext"/>
              <w:jc w:val="center"/>
              <w:rPr>
                <w:szCs w:val="24"/>
                <w:lang w:val="ru-RU"/>
              </w:rPr>
            </w:pPr>
            <w:r w:rsidRPr="00D962E1">
              <w:rPr>
                <w:szCs w:val="24"/>
                <w:lang w:val="ru-RU"/>
              </w:rPr>
              <w:t>МСЭ-D</w:t>
            </w:r>
          </w:p>
        </w:tc>
        <w:tc>
          <w:tcPr>
            <w:tcW w:w="3685" w:type="dxa"/>
            <w:vAlign w:val="center"/>
          </w:tcPr>
          <w:p w14:paraId="47D9309F" w14:textId="77777777" w:rsidR="00275E99" w:rsidRPr="00D962E1" w:rsidRDefault="00843AF3" w:rsidP="00445B87">
            <w:pPr>
              <w:pStyle w:val="Tabletext"/>
              <w:jc w:val="center"/>
              <w:rPr>
                <w:szCs w:val="24"/>
                <w:highlight w:val="yellow"/>
                <w:lang w:val="ru-RU"/>
              </w:rPr>
            </w:pPr>
            <w:r w:rsidRPr="00D962E1">
              <w:rPr>
                <w:szCs w:val="24"/>
                <w:lang w:val="ru-RU"/>
              </w:rPr>
              <w:t>ДА</w:t>
            </w:r>
          </w:p>
        </w:tc>
      </w:tr>
    </w:tbl>
    <w:p w14:paraId="7D34F66E" w14:textId="5292A72A" w:rsidR="00275E99" w:rsidRPr="00D962E1" w:rsidRDefault="005E13D0" w:rsidP="00D962E1">
      <w:pPr>
        <w:rPr>
          <w:lang w:val="ru-RU"/>
        </w:rPr>
      </w:pPr>
      <w:r w:rsidRPr="00D962E1">
        <w:rPr>
          <w:color w:val="17212A"/>
          <w:szCs w:val="24"/>
          <w:lang w:val="ru-RU" w:eastAsia="en-GB"/>
        </w:rPr>
        <w:t xml:space="preserve">Штаб-квартира DCO находится в Саудовской Аравии; </w:t>
      </w:r>
      <w:r w:rsidR="00675159" w:rsidRPr="00D962E1">
        <w:rPr>
          <w:color w:val="17212A"/>
          <w:szCs w:val="24"/>
          <w:lang w:val="ru-RU" w:eastAsia="en-GB"/>
        </w:rPr>
        <w:t xml:space="preserve">организация </w:t>
      </w:r>
      <w:r w:rsidRPr="00D962E1">
        <w:rPr>
          <w:lang w:val="ru-RU"/>
        </w:rPr>
        <w:t>была основана в</w:t>
      </w:r>
      <w:r w:rsidR="00275E99" w:rsidRPr="00D962E1">
        <w:rPr>
          <w:lang w:val="ru-RU"/>
        </w:rPr>
        <w:t xml:space="preserve"> 2020</w:t>
      </w:r>
      <w:r w:rsidR="00BC31CD" w:rsidRPr="00D962E1">
        <w:rPr>
          <w:lang w:val="ru-RU"/>
        </w:rPr>
        <w:t> году</w:t>
      </w:r>
      <w:r w:rsidR="00275E99" w:rsidRPr="00D962E1">
        <w:rPr>
          <w:lang w:val="ru-RU"/>
        </w:rPr>
        <w:t xml:space="preserve"> </w:t>
      </w:r>
      <w:r w:rsidRPr="00D962E1">
        <w:rPr>
          <w:lang w:val="ru-RU"/>
        </w:rPr>
        <w:t>семью Государствами-Членами</w:t>
      </w:r>
      <w:r w:rsidR="00275E99" w:rsidRPr="00D962E1">
        <w:rPr>
          <w:lang w:val="ru-RU"/>
        </w:rPr>
        <w:t xml:space="preserve"> </w:t>
      </w:r>
      <w:r w:rsidRPr="00D962E1">
        <w:rPr>
          <w:lang w:val="ru-RU"/>
        </w:rPr>
        <w:t>с целью придать импульс широкому взаимодействию и сотрудничеству</w:t>
      </w:r>
      <w:r w:rsidR="00275E99" w:rsidRPr="00D962E1">
        <w:rPr>
          <w:lang w:val="ru-RU"/>
        </w:rPr>
        <w:t xml:space="preserve"> </w:t>
      </w:r>
      <w:r w:rsidRPr="00D962E1">
        <w:rPr>
          <w:lang w:val="ru-RU"/>
        </w:rPr>
        <w:t>в предпринимательской среде</w:t>
      </w:r>
      <w:r w:rsidR="00275E99" w:rsidRPr="00D962E1">
        <w:rPr>
          <w:lang w:val="ru-RU"/>
        </w:rPr>
        <w:t xml:space="preserve">, </w:t>
      </w:r>
      <w:r w:rsidRPr="00D962E1">
        <w:rPr>
          <w:lang w:val="ru-RU"/>
        </w:rPr>
        <w:t>инновациям, росту бизнеса</w:t>
      </w:r>
      <w:r w:rsidR="00275E99" w:rsidRPr="00D962E1">
        <w:rPr>
          <w:lang w:val="ru-RU"/>
        </w:rPr>
        <w:t xml:space="preserve">, </w:t>
      </w:r>
      <w:r w:rsidRPr="00D962E1">
        <w:rPr>
          <w:lang w:val="ru-RU"/>
        </w:rPr>
        <w:t>и занятости в общей цифровой экономике</w:t>
      </w:r>
      <w:r w:rsidR="00275E99" w:rsidRPr="00D962E1">
        <w:rPr>
          <w:lang w:val="ru-RU"/>
        </w:rPr>
        <w:t xml:space="preserve">. </w:t>
      </w:r>
      <w:r w:rsidRPr="00D962E1">
        <w:rPr>
          <w:lang w:val="ru-RU"/>
        </w:rPr>
        <w:t>К этим семи странам относятся</w:t>
      </w:r>
      <w:r w:rsidR="00275E99" w:rsidRPr="00D962E1">
        <w:rPr>
          <w:lang w:val="ru-RU"/>
        </w:rPr>
        <w:t xml:space="preserve"> </w:t>
      </w:r>
      <w:r w:rsidR="00BC31CD" w:rsidRPr="00D962E1">
        <w:rPr>
          <w:lang w:val="ru-RU"/>
        </w:rPr>
        <w:t>Бахрейн</w:t>
      </w:r>
      <w:r w:rsidR="00275E99" w:rsidRPr="00D962E1">
        <w:rPr>
          <w:lang w:val="ru-RU"/>
        </w:rPr>
        <w:t xml:space="preserve">, </w:t>
      </w:r>
      <w:r w:rsidR="00205716" w:rsidRPr="00D962E1">
        <w:rPr>
          <w:lang w:val="ru-RU"/>
        </w:rPr>
        <w:t>Иордания</w:t>
      </w:r>
      <w:r w:rsidR="00275E99" w:rsidRPr="00D962E1">
        <w:rPr>
          <w:lang w:val="ru-RU"/>
        </w:rPr>
        <w:t xml:space="preserve">, </w:t>
      </w:r>
      <w:r w:rsidR="00205716" w:rsidRPr="00D962E1">
        <w:rPr>
          <w:lang w:val="ru-RU"/>
        </w:rPr>
        <w:t>Кувейт</w:t>
      </w:r>
      <w:r w:rsidR="00275E99" w:rsidRPr="00D962E1">
        <w:rPr>
          <w:lang w:val="ru-RU"/>
        </w:rPr>
        <w:t xml:space="preserve">, </w:t>
      </w:r>
      <w:r w:rsidR="00205716" w:rsidRPr="00D962E1">
        <w:rPr>
          <w:lang w:val="ru-RU"/>
        </w:rPr>
        <w:t>Нигерия</w:t>
      </w:r>
      <w:r w:rsidRPr="00D962E1">
        <w:rPr>
          <w:lang w:val="ru-RU"/>
        </w:rPr>
        <w:t>,</w:t>
      </w:r>
      <w:r w:rsidR="00275E99" w:rsidRPr="00D962E1">
        <w:rPr>
          <w:lang w:val="ru-RU"/>
        </w:rPr>
        <w:t xml:space="preserve"> </w:t>
      </w:r>
      <w:r w:rsidR="00205716" w:rsidRPr="00D962E1">
        <w:rPr>
          <w:lang w:val="ru-RU"/>
        </w:rPr>
        <w:t>Оман</w:t>
      </w:r>
      <w:r w:rsidR="00275E99" w:rsidRPr="00D962E1">
        <w:rPr>
          <w:lang w:val="ru-RU"/>
        </w:rPr>
        <w:t xml:space="preserve">, </w:t>
      </w:r>
      <w:r w:rsidR="00205716" w:rsidRPr="00D962E1">
        <w:rPr>
          <w:lang w:val="ru-RU"/>
        </w:rPr>
        <w:t>Пакистан</w:t>
      </w:r>
      <w:r w:rsidR="00275E99" w:rsidRPr="00D962E1">
        <w:rPr>
          <w:lang w:val="ru-RU"/>
        </w:rPr>
        <w:t xml:space="preserve">, </w:t>
      </w:r>
      <w:r w:rsidRPr="00D962E1">
        <w:rPr>
          <w:lang w:val="ru-RU"/>
        </w:rPr>
        <w:t>и</w:t>
      </w:r>
      <w:r w:rsidR="00275E99" w:rsidRPr="00D962E1">
        <w:rPr>
          <w:lang w:val="ru-RU"/>
        </w:rPr>
        <w:t xml:space="preserve"> </w:t>
      </w:r>
      <w:r w:rsidR="00205716" w:rsidRPr="00D962E1">
        <w:rPr>
          <w:lang w:val="ru-RU"/>
        </w:rPr>
        <w:t>Саудовская Аравия</w:t>
      </w:r>
      <w:r w:rsidR="00275E99" w:rsidRPr="00D962E1">
        <w:rPr>
          <w:lang w:val="ru-RU"/>
        </w:rPr>
        <w:t xml:space="preserve">. </w:t>
      </w:r>
      <w:r w:rsidR="00843AF3" w:rsidRPr="00D962E1">
        <w:rPr>
          <w:lang w:val="ru-RU"/>
        </w:rPr>
        <w:t>Секретариат считает, что это учреждение удовлетворяет критериям предоставления освобождения от взносов по линии МСЭ-D.</w:t>
      </w:r>
      <w:r w:rsidR="00275E99" w:rsidRPr="00D962E1">
        <w:rPr>
          <w:lang w:val="ru-RU"/>
        </w:rPr>
        <w:t xml:space="preserve"> </w:t>
      </w:r>
    </w:p>
    <w:p w14:paraId="73DED66A" w14:textId="77777777" w:rsidR="00275E99" w:rsidRPr="00D962E1" w:rsidRDefault="00275E99" w:rsidP="00F11259">
      <w:pPr>
        <w:spacing w:after="120"/>
        <w:rPr>
          <w:lang w:val="ru-RU"/>
        </w:rPr>
      </w:pPr>
      <w:r w:rsidRPr="00D962E1">
        <w:rPr>
          <w:lang w:val="ru-RU"/>
        </w:rPr>
        <w:t>2.2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87"/>
        <w:gridCol w:w="1559"/>
        <w:gridCol w:w="3685"/>
      </w:tblGrid>
      <w:tr w:rsidR="00843AF3" w:rsidRPr="00D962E1" w14:paraId="5373FAA1" w14:textId="77777777" w:rsidTr="008F3BE2">
        <w:trPr>
          <w:cantSplit/>
        </w:trPr>
        <w:tc>
          <w:tcPr>
            <w:tcW w:w="4387" w:type="dxa"/>
            <w:vAlign w:val="center"/>
          </w:tcPr>
          <w:p w14:paraId="46D49579" w14:textId="77777777" w:rsidR="00843AF3" w:rsidRPr="00D962E1" w:rsidRDefault="00843AF3" w:rsidP="00BC31CD">
            <w:pPr>
              <w:pStyle w:val="Tabletext"/>
              <w:jc w:val="center"/>
              <w:rPr>
                <w:b/>
                <w:lang w:val="ru-RU"/>
              </w:rPr>
            </w:pPr>
            <w:r w:rsidRPr="00D962E1">
              <w:rPr>
                <w:b/>
                <w:lang w:val="ru-RU"/>
              </w:rPr>
              <w:t>Организация</w:t>
            </w:r>
          </w:p>
        </w:tc>
        <w:tc>
          <w:tcPr>
            <w:tcW w:w="1559" w:type="dxa"/>
            <w:vAlign w:val="center"/>
          </w:tcPr>
          <w:p w14:paraId="64770B43" w14:textId="77777777" w:rsidR="00843AF3" w:rsidRPr="00D962E1" w:rsidRDefault="00843AF3" w:rsidP="00BC31CD">
            <w:pPr>
              <w:pStyle w:val="Tabletext"/>
              <w:jc w:val="center"/>
              <w:rPr>
                <w:b/>
                <w:lang w:val="ru-RU"/>
              </w:rPr>
            </w:pPr>
            <w:r w:rsidRPr="00D962E1">
              <w:rPr>
                <w:b/>
                <w:lang w:val="ru-RU"/>
              </w:rPr>
              <w:t>Сектор</w:t>
            </w:r>
          </w:p>
        </w:tc>
        <w:tc>
          <w:tcPr>
            <w:tcW w:w="3685" w:type="dxa"/>
            <w:vAlign w:val="center"/>
          </w:tcPr>
          <w:p w14:paraId="45F7EE0B" w14:textId="77777777" w:rsidR="00843AF3" w:rsidRPr="00D962E1" w:rsidRDefault="00843AF3" w:rsidP="00BC31CD">
            <w:pPr>
              <w:pStyle w:val="Tabletext"/>
              <w:jc w:val="center"/>
              <w:rPr>
                <w:b/>
                <w:lang w:val="ru-RU"/>
              </w:rPr>
            </w:pPr>
            <w:r w:rsidRPr="00D962E1">
              <w:rPr>
                <w:b/>
                <w:lang w:val="ru-RU"/>
              </w:rPr>
              <w:t>Рекомендация</w:t>
            </w:r>
          </w:p>
        </w:tc>
      </w:tr>
      <w:tr w:rsidR="00275E99" w:rsidRPr="00622D10" w14:paraId="4F446E22" w14:textId="77777777" w:rsidTr="008F3BE2">
        <w:trPr>
          <w:cantSplit/>
        </w:trPr>
        <w:tc>
          <w:tcPr>
            <w:tcW w:w="4387" w:type="dxa"/>
            <w:vAlign w:val="center"/>
          </w:tcPr>
          <w:p w14:paraId="2362DC24" w14:textId="77777777" w:rsidR="00275E99" w:rsidRPr="00D962E1" w:rsidRDefault="00EA50E2" w:rsidP="00BC31CD">
            <w:pPr>
              <w:pStyle w:val="Tabletext"/>
              <w:rPr>
                <w:b/>
                <w:lang w:val="ru-RU"/>
              </w:rPr>
            </w:pPr>
            <w:r w:rsidRPr="00D962E1">
              <w:rPr>
                <w:b/>
                <w:lang w:val="ru-RU"/>
              </w:rPr>
              <w:t xml:space="preserve">Общество разработки стандартов электросвязи, Индия </w:t>
            </w:r>
            <w:r w:rsidR="00275E99" w:rsidRPr="00D962E1">
              <w:rPr>
                <w:b/>
                <w:lang w:val="ru-RU"/>
              </w:rPr>
              <w:t>(TSDSI)</w:t>
            </w:r>
          </w:p>
        </w:tc>
        <w:tc>
          <w:tcPr>
            <w:tcW w:w="1559" w:type="dxa"/>
            <w:vAlign w:val="center"/>
          </w:tcPr>
          <w:p w14:paraId="09F645C3" w14:textId="61D2184E" w:rsidR="00275E99" w:rsidRPr="00D962E1" w:rsidRDefault="00843AF3" w:rsidP="008F3BE2">
            <w:pPr>
              <w:pStyle w:val="TableText0"/>
              <w:jc w:val="center"/>
              <w:rPr>
                <w:rFonts w:ascii="Calibri" w:eastAsia="Times New Roman" w:hAnsi="Calibri"/>
                <w:sz w:val="20"/>
                <w:lang w:val="ru-RU"/>
              </w:rPr>
            </w:pPr>
            <w:r w:rsidRPr="00D962E1">
              <w:rPr>
                <w:rFonts w:ascii="Calibri" w:eastAsia="Times New Roman" w:hAnsi="Calibri"/>
                <w:sz w:val="20"/>
                <w:lang w:val="ru-RU"/>
              </w:rPr>
              <w:t>МСЭ-R</w:t>
            </w:r>
            <w:r w:rsidR="008F3BE2" w:rsidRPr="00D962E1">
              <w:rPr>
                <w:rFonts w:ascii="Calibri" w:eastAsia="Times New Roman" w:hAnsi="Calibri"/>
                <w:sz w:val="20"/>
                <w:lang w:val="ru-RU"/>
              </w:rPr>
              <w:br/>
            </w:r>
            <w:r w:rsidRPr="00D962E1">
              <w:rPr>
                <w:rFonts w:ascii="Calibri" w:eastAsia="Times New Roman" w:hAnsi="Calibri"/>
                <w:sz w:val="20"/>
                <w:lang w:val="ru-RU"/>
              </w:rPr>
              <w:t>МСЭ-T</w:t>
            </w:r>
          </w:p>
        </w:tc>
        <w:tc>
          <w:tcPr>
            <w:tcW w:w="3685" w:type="dxa"/>
            <w:vAlign w:val="center"/>
          </w:tcPr>
          <w:p w14:paraId="47DEF406" w14:textId="77777777" w:rsidR="00275E99" w:rsidRPr="00D962E1" w:rsidRDefault="0008134C" w:rsidP="00EA50E2">
            <w:pPr>
              <w:pStyle w:val="TableText0"/>
              <w:jc w:val="center"/>
              <w:rPr>
                <w:rFonts w:ascii="Calibri" w:eastAsia="Times New Roman" w:hAnsi="Calibri"/>
                <w:sz w:val="20"/>
                <w:lang w:val="ru-RU"/>
              </w:rPr>
            </w:pPr>
            <w:r w:rsidRPr="00D962E1">
              <w:rPr>
                <w:rFonts w:ascii="Calibri" w:eastAsia="Times New Roman" w:hAnsi="Calibri"/>
                <w:sz w:val="20"/>
                <w:lang w:val="ru-RU"/>
              </w:rPr>
              <w:t xml:space="preserve">Отложить </w:t>
            </w:r>
            <w:r w:rsidR="00EA50E2" w:rsidRPr="00D962E1">
              <w:rPr>
                <w:rFonts w:ascii="Calibri" w:eastAsia="Times New Roman" w:hAnsi="Calibri"/>
                <w:sz w:val="20"/>
                <w:lang w:val="ru-RU"/>
              </w:rPr>
              <w:t>до следующей сессии Совета для пересмотра всего списка</w:t>
            </w:r>
          </w:p>
        </w:tc>
      </w:tr>
    </w:tbl>
    <w:p w14:paraId="0F41F408" w14:textId="588C69C4" w:rsidR="00275E99" w:rsidRPr="00D962E1" w:rsidRDefault="002901D4" w:rsidP="008F3BE2">
      <w:pPr>
        <w:rPr>
          <w:lang w:val="ru-RU" w:eastAsia="en-GB"/>
        </w:rPr>
      </w:pPr>
      <w:r w:rsidRPr="00D962E1">
        <w:rPr>
          <w:lang w:val="ru-RU" w:eastAsia="en-GB"/>
        </w:rPr>
        <w:t>Общество</w:t>
      </w:r>
      <w:r w:rsidR="005E13D0" w:rsidRPr="00D962E1">
        <w:rPr>
          <w:lang w:val="ru-RU" w:eastAsia="en-GB"/>
        </w:rPr>
        <w:t xml:space="preserve"> </w:t>
      </w:r>
      <w:r w:rsidR="00275E99" w:rsidRPr="00D962E1">
        <w:rPr>
          <w:lang w:val="ru-RU" w:eastAsia="en-GB"/>
        </w:rPr>
        <w:t xml:space="preserve">TSDSI </w:t>
      </w:r>
      <w:r w:rsidR="005E13D0" w:rsidRPr="00D962E1">
        <w:rPr>
          <w:lang w:val="ru-RU" w:eastAsia="en-GB"/>
        </w:rPr>
        <w:t>как автономная организация</w:t>
      </w:r>
      <w:r w:rsidRPr="00D962E1">
        <w:rPr>
          <w:lang w:val="ru-RU" w:eastAsia="en-GB"/>
        </w:rPr>
        <w:t xml:space="preserve"> </w:t>
      </w:r>
      <w:r w:rsidR="005E13D0" w:rsidRPr="00D962E1">
        <w:rPr>
          <w:lang w:val="ru-RU" w:eastAsia="en-GB"/>
        </w:rPr>
        <w:t>была основана компаниями, представляющими индийскую промышленность, академическими организациями</w:t>
      </w:r>
      <w:r w:rsidR="00275E99" w:rsidRPr="00D962E1">
        <w:rPr>
          <w:lang w:val="ru-RU" w:eastAsia="en-GB"/>
        </w:rPr>
        <w:t xml:space="preserve">, </w:t>
      </w:r>
      <w:r w:rsidR="005E13D0" w:rsidRPr="00D962E1">
        <w:rPr>
          <w:lang w:val="ru-RU" w:eastAsia="en-GB"/>
        </w:rPr>
        <w:t xml:space="preserve">исследовательскими институтами и правительством Индии в </w:t>
      </w:r>
      <w:r w:rsidRPr="00D962E1">
        <w:rPr>
          <w:lang w:val="ru-RU" w:eastAsia="en-GB"/>
        </w:rPr>
        <w:t>качестве</w:t>
      </w:r>
      <w:r w:rsidR="005E13D0" w:rsidRPr="00D962E1">
        <w:rPr>
          <w:lang w:val="ru-RU" w:eastAsia="en-GB"/>
        </w:rPr>
        <w:t xml:space="preserve"> некоммерческой </w:t>
      </w:r>
      <w:r w:rsidRPr="00D962E1">
        <w:rPr>
          <w:lang w:val="ru-RU" w:eastAsia="en-GB"/>
        </w:rPr>
        <w:t>организации</w:t>
      </w:r>
      <w:r w:rsidR="005E13D0" w:rsidRPr="00D962E1">
        <w:rPr>
          <w:lang w:val="ru-RU" w:eastAsia="en-GB"/>
        </w:rPr>
        <w:t xml:space="preserve"> с целью придать импульс </w:t>
      </w:r>
      <w:r w:rsidRPr="00D962E1">
        <w:rPr>
          <w:color w:val="000000"/>
          <w:lang w:val="ru-RU"/>
        </w:rPr>
        <w:t>деятельности по стандартизации</w:t>
      </w:r>
      <w:r w:rsidRPr="00D962E1">
        <w:rPr>
          <w:lang w:val="ru-RU" w:eastAsia="en-GB"/>
        </w:rPr>
        <w:t xml:space="preserve"> электросвязи в Индии и представлять интересы Индии на глобальных форумах</w:t>
      </w:r>
      <w:r w:rsidR="00275E99" w:rsidRPr="00D962E1">
        <w:rPr>
          <w:lang w:val="ru-RU" w:eastAsia="en-GB"/>
        </w:rPr>
        <w:t xml:space="preserve">. </w:t>
      </w:r>
      <w:r w:rsidRPr="00D962E1">
        <w:rPr>
          <w:lang w:val="ru-RU" w:eastAsia="en-GB"/>
        </w:rPr>
        <w:t xml:space="preserve">Членами </w:t>
      </w:r>
      <w:r w:rsidR="00275E99" w:rsidRPr="00D962E1">
        <w:rPr>
          <w:lang w:val="ru-RU" w:eastAsia="en-GB"/>
        </w:rPr>
        <w:t xml:space="preserve">TSDSI </w:t>
      </w:r>
      <w:r w:rsidRPr="00D962E1">
        <w:rPr>
          <w:lang w:val="ru-RU" w:eastAsia="en-GB"/>
        </w:rPr>
        <w:t xml:space="preserve">являются компании и академические/исследовательские </w:t>
      </w:r>
      <w:r w:rsidR="004E171B" w:rsidRPr="00D962E1">
        <w:rPr>
          <w:lang w:val="ru-RU" w:eastAsia="en-GB"/>
        </w:rPr>
        <w:t>учреждения</w:t>
      </w:r>
      <w:r w:rsidRPr="00D962E1">
        <w:rPr>
          <w:lang w:val="ru-RU" w:eastAsia="en-GB"/>
        </w:rPr>
        <w:t xml:space="preserve"> из многих стран</w:t>
      </w:r>
      <w:r w:rsidR="00275E99" w:rsidRPr="00D962E1">
        <w:rPr>
          <w:lang w:val="ru-RU" w:eastAsia="en-GB"/>
        </w:rPr>
        <w:t xml:space="preserve">. </w:t>
      </w:r>
      <w:r w:rsidRPr="00D962E1">
        <w:rPr>
          <w:lang w:val="ru-RU" w:eastAsia="en-GB"/>
        </w:rPr>
        <w:t xml:space="preserve">Общество TSDSI подписало партнерские соглашения с несколькими глобальными </w:t>
      </w:r>
      <w:r w:rsidRPr="00D962E1">
        <w:rPr>
          <w:color w:val="000000"/>
          <w:lang w:val="ru-RU"/>
        </w:rPr>
        <w:t>ОРС</w:t>
      </w:r>
      <w:r w:rsidRPr="00D962E1">
        <w:rPr>
          <w:lang w:val="ru-RU" w:eastAsia="en-GB"/>
        </w:rPr>
        <w:t xml:space="preserve"> и форумами ИКТ, а также стало членом МСЭ с целью внесения вклада в развитие международных стандартов</w:t>
      </w:r>
      <w:r w:rsidR="00275E99" w:rsidRPr="00D962E1">
        <w:rPr>
          <w:lang w:val="ru-RU" w:eastAsia="en-GB"/>
        </w:rPr>
        <w:t xml:space="preserve">. TSDSI </w:t>
      </w:r>
      <w:r w:rsidRPr="00D962E1">
        <w:rPr>
          <w:lang w:val="ru-RU" w:eastAsia="en-GB"/>
        </w:rPr>
        <w:t>в настоящее время платит взносы и является ассоциированным членом</w:t>
      </w:r>
      <w:r w:rsidR="00275E99" w:rsidRPr="00D962E1">
        <w:rPr>
          <w:lang w:val="ru-RU" w:eastAsia="en-GB"/>
        </w:rPr>
        <w:t xml:space="preserve"> </w:t>
      </w:r>
      <w:r w:rsidR="00750FFB" w:rsidRPr="00D962E1">
        <w:rPr>
          <w:lang w:val="ru-RU"/>
        </w:rPr>
        <w:t>МСЭ-R</w:t>
      </w:r>
      <w:r w:rsidR="00750FFB" w:rsidRPr="00D962E1">
        <w:rPr>
          <w:lang w:val="ru-RU" w:eastAsia="en-GB"/>
        </w:rPr>
        <w:t xml:space="preserve"> </w:t>
      </w:r>
      <w:r w:rsidRPr="00D962E1">
        <w:rPr>
          <w:lang w:val="ru-RU" w:eastAsia="en-GB"/>
        </w:rPr>
        <w:t>и</w:t>
      </w:r>
      <w:r w:rsidR="00275E99" w:rsidRPr="00D962E1">
        <w:rPr>
          <w:lang w:val="ru-RU" w:eastAsia="en-GB"/>
        </w:rPr>
        <w:t xml:space="preserve"> </w:t>
      </w:r>
      <w:r w:rsidR="00750FFB" w:rsidRPr="00D962E1">
        <w:rPr>
          <w:lang w:val="ru-RU"/>
        </w:rPr>
        <w:t>МСЭ-T</w:t>
      </w:r>
      <w:r w:rsidR="00275E99" w:rsidRPr="00D962E1">
        <w:rPr>
          <w:lang w:val="ru-RU" w:eastAsia="en-GB"/>
        </w:rPr>
        <w:t xml:space="preserve">. </w:t>
      </w:r>
    </w:p>
    <w:p w14:paraId="703B9D09" w14:textId="021FDAB5" w:rsidR="00275E99" w:rsidRPr="00D962E1" w:rsidRDefault="00275E99" w:rsidP="008F3BE2">
      <w:pPr>
        <w:rPr>
          <w:rFonts w:asciiTheme="minorHAnsi" w:hAnsiTheme="minorHAnsi" w:cstheme="minorHAnsi"/>
          <w:szCs w:val="22"/>
          <w:lang w:val="ru-RU" w:eastAsia="en-GB"/>
        </w:rPr>
      </w:pPr>
      <w:r w:rsidRPr="00D962E1">
        <w:rPr>
          <w:rFonts w:asciiTheme="minorHAnsi" w:hAnsiTheme="minorHAnsi" w:cstheme="minorHAnsi"/>
          <w:color w:val="000000"/>
          <w:szCs w:val="22"/>
          <w:lang w:val="ru-RU"/>
        </w:rPr>
        <w:t xml:space="preserve">TSDSI </w:t>
      </w:r>
      <w:r w:rsidR="00F8163D" w:rsidRPr="00D962E1">
        <w:rPr>
          <w:rFonts w:asciiTheme="minorHAnsi" w:hAnsiTheme="minorHAnsi" w:cstheme="minorHAnsi"/>
          <w:color w:val="000000"/>
          <w:szCs w:val="22"/>
          <w:lang w:val="ru-RU"/>
        </w:rPr>
        <w:t>активн</w:t>
      </w:r>
      <w:r w:rsidR="004E171B" w:rsidRPr="00D962E1">
        <w:rPr>
          <w:rFonts w:asciiTheme="minorHAnsi" w:hAnsiTheme="minorHAnsi" w:cstheme="minorHAnsi"/>
          <w:color w:val="000000"/>
          <w:szCs w:val="22"/>
          <w:lang w:val="ru-RU"/>
        </w:rPr>
        <w:t xml:space="preserve">о участвует </w:t>
      </w:r>
      <w:r w:rsidR="00F8163D" w:rsidRPr="00D962E1">
        <w:rPr>
          <w:rFonts w:asciiTheme="minorHAnsi" w:hAnsiTheme="minorHAnsi" w:cstheme="minorHAnsi"/>
          <w:color w:val="000000"/>
          <w:szCs w:val="22"/>
          <w:lang w:val="ru-RU"/>
        </w:rPr>
        <w:t>в международно</w:t>
      </w:r>
      <w:r w:rsidR="004E171B" w:rsidRPr="00D962E1">
        <w:rPr>
          <w:rFonts w:asciiTheme="minorHAnsi" w:hAnsiTheme="minorHAnsi" w:cstheme="minorHAnsi"/>
          <w:color w:val="000000"/>
          <w:szCs w:val="22"/>
          <w:lang w:val="ru-RU"/>
        </w:rPr>
        <w:t>й деятельности</w:t>
      </w:r>
      <w:r w:rsidR="00F8163D" w:rsidRPr="00D962E1">
        <w:rPr>
          <w:rFonts w:asciiTheme="minorHAnsi" w:hAnsiTheme="minorHAnsi" w:cstheme="minorHAnsi"/>
          <w:color w:val="000000"/>
          <w:szCs w:val="22"/>
          <w:lang w:val="ru-RU"/>
        </w:rPr>
        <w:t>, в том числе в МСЭ</w:t>
      </w:r>
      <w:r w:rsidRPr="00D962E1">
        <w:rPr>
          <w:rFonts w:asciiTheme="minorHAnsi" w:hAnsiTheme="minorHAnsi" w:cstheme="minorHAnsi"/>
          <w:color w:val="000000"/>
          <w:szCs w:val="22"/>
          <w:lang w:val="ru-RU"/>
        </w:rPr>
        <w:t xml:space="preserve">, </w:t>
      </w:r>
      <w:r w:rsidR="004E171B" w:rsidRPr="00D962E1">
        <w:rPr>
          <w:rFonts w:asciiTheme="minorHAnsi" w:hAnsiTheme="minorHAnsi" w:cstheme="minorHAnsi"/>
          <w:color w:val="000000"/>
          <w:szCs w:val="22"/>
          <w:lang w:val="ru-RU"/>
        </w:rPr>
        <w:t xml:space="preserve">но при этом </w:t>
      </w:r>
      <w:r w:rsidR="00F8163D" w:rsidRPr="00D962E1">
        <w:rPr>
          <w:rFonts w:asciiTheme="minorHAnsi" w:hAnsiTheme="minorHAnsi" w:cstheme="minorHAnsi"/>
          <w:color w:val="000000"/>
          <w:szCs w:val="22"/>
          <w:lang w:val="ru-RU"/>
        </w:rPr>
        <w:t>также имеет международных членов</w:t>
      </w:r>
      <w:r w:rsidRPr="00D962E1">
        <w:rPr>
          <w:rFonts w:asciiTheme="minorHAnsi" w:hAnsiTheme="minorHAnsi" w:cstheme="minorHAnsi"/>
          <w:color w:val="000000"/>
          <w:szCs w:val="22"/>
          <w:lang w:val="ru-RU"/>
        </w:rPr>
        <w:t xml:space="preserve">, </w:t>
      </w:r>
      <w:r w:rsidR="00F8163D" w:rsidRPr="00D962E1">
        <w:rPr>
          <w:rFonts w:asciiTheme="minorHAnsi" w:hAnsiTheme="minorHAnsi" w:cstheme="minorHAnsi"/>
          <w:color w:val="000000"/>
          <w:szCs w:val="22"/>
          <w:lang w:val="ru-RU"/>
        </w:rPr>
        <w:t>которые в основном являются коммерческими организациями</w:t>
      </w:r>
      <w:r w:rsidRPr="00D962E1">
        <w:rPr>
          <w:rFonts w:asciiTheme="minorHAnsi" w:hAnsiTheme="minorHAnsi" w:cstheme="minorHAnsi"/>
          <w:color w:val="000000"/>
          <w:szCs w:val="22"/>
          <w:lang w:val="ru-RU"/>
        </w:rPr>
        <w:t xml:space="preserve">. </w:t>
      </w:r>
      <w:r w:rsidR="00F8163D" w:rsidRPr="00D962E1">
        <w:rPr>
          <w:rFonts w:asciiTheme="minorHAnsi" w:hAnsiTheme="minorHAnsi" w:cstheme="minorHAnsi"/>
          <w:color w:val="000000"/>
          <w:szCs w:val="22"/>
          <w:lang w:val="ru-RU"/>
        </w:rPr>
        <w:t>Кроме того,</w:t>
      </w:r>
      <w:r w:rsidRPr="00D962E1">
        <w:rPr>
          <w:rFonts w:asciiTheme="minorHAnsi" w:hAnsiTheme="minorHAnsi" w:cstheme="minorHAnsi"/>
          <w:color w:val="000000"/>
          <w:szCs w:val="22"/>
          <w:lang w:val="ru-RU"/>
        </w:rPr>
        <w:t xml:space="preserve"> TSDSI </w:t>
      </w:r>
      <w:r w:rsidR="00F8163D" w:rsidRPr="00D962E1">
        <w:rPr>
          <w:rFonts w:asciiTheme="minorHAnsi" w:hAnsiTheme="minorHAnsi" w:cstheme="minorHAnsi"/>
          <w:color w:val="000000"/>
          <w:szCs w:val="22"/>
          <w:lang w:val="ru-RU"/>
        </w:rPr>
        <w:t>создано как национальная организация, а не международная либо региональная организация</w:t>
      </w:r>
      <w:r w:rsidRPr="00D962E1">
        <w:rPr>
          <w:rFonts w:asciiTheme="minorHAnsi" w:hAnsiTheme="minorHAnsi" w:cstheme="minorHAnsi"/>
          <w:color w:val="000000"/>
          <w:szCs w:val="22"/>
          <w:lang w:val="ru-RU"/>
        </w:rPr>
        <w:t xml:space="preserve">. </w:t>
      </w:r>
      <w:r w:rsidR="00F8163D" w:rsidRPr="00D962E1">
        <w:rPr>
          <w:rFonts w:asciiTheme="minorHAnsi" w:hAnsiTheme="minorHAnsi" w:cstheme="minorHAnsi"/>
          <w:szCs w:val="22"/>
          <w:lang w:val="ru-RU"/>
        </w:rPr>
        <w:t xml:space="preserve">Секретариат рекомендует отложить это заявление до следующего пересмотра списка освобожденных от уплаты взносов организаций с учетом критериев, пересмотренных Советом в </w:t>
      </w:r>
      <w:r w:rsidRPr="00D962E1">
        <w:rPr>
          <w:rFonts w:asciiTheme="minorHAnsi" w:hAnsiTheme="minorHAnsi" w:cstheme="minorHAnsi"/>
          <w:color w:val="000000"/>
          <w:szCs w:val="22"/>
          <w:lang w:val="ru-RU"/>
        </w:rPr>
        <w:t>2017</w:t>
      </w:r>
      <w:r w:rsidR="00750FFB" w:rsidRPr="00D962E1">
        <w:rPr>
          <w:rFonts w:asciiTheme="minorHAnsi" w:hAnsiTheme="minorHAnsi" w:cstheme="minorHAnsi"/>
          <w:color w:val="000000"/>
          <w:szCs w:val="22"/>
          <w:lang w:val="ru-RU"/>
        </w:rPr>
        <w:t> году</w:t>
      </w:r>
      <w:r w:rsidR="00F8163D" w:rsidRPr="00D962E1">
        <w:rPr>
          <w:rFonts w:asciiTheme="minorHAnsi" w:hAnsiTheme="minorHAnsi" w:cstheme="minorHAnsi"/>
          <w:color w:val="000000"/>
          <w:szCs w:val="22"/>
          <w:lang w:val="ru-RU"/>
        </w:rPr>
        <w:t xml:space="preserve">, чтобы обеспечить </w:t>
      </w:r>
      <w:r w:rsidR="004E171B" w:rsidRPr="00D962E1">
        <w:rPr>
          <w:rFonts w:asciiTheme="minorHAnsi" w:hAnsiTheme="minorHAnsi" w:cstheme="minorHAnsi"/>
          <w:color w:val="000000"/>
          <w:szCs w:val="22"/>
          <w:lang w:val="ru-RU"/>
        </w:rPr>
        <w:t xml:space="preserve">согласованный подход к </w:t>
      </w:r>
      <w:r w:rsidR="00F8163D" w:rsidRPr="00D962E1">
        <w:rPr>
          <w:rFonts w:asciiTheme="minorHAnsi" w:hAnsiTheme="minorHAnsi" w:cstheme="minorHAnsi"/>
          <w:color w:val="000000"/>
          <w:szCs w:val="22"/>
          <w:lang w:val="ru-RU"/>
        </w:rPr>
        <w:t>организаци</w:t>
      </w:r>
      <w:r w:rsidR="004E171B" w:rsidRPr="00D962E1">
        <w:rPr>
          <w:rFonts w:asciiTheme="minorHAnsi" w:hAnsiTheme="minorHAnsi" w:cstheme="minorHAnsi"/>
          <w:color w:val="000000"/>
          <w:szCs w:val="22"/>
          <w:lang w:val="ru-RU"/>
        </w:rPr>
        <w:t>ям</w:t>
      </w:r>
      <w:r w:rsidR="00F8163D" w:rsidRPr="00D962E1">
        <w:rPr>
          <w:rFonts w:asciiTheme="minorHAnsi" w:hAnsiTheme="minorHAnsi" w:cstheme="minorHAnsi"/>
          <w:color w:val="000000"/>
          <w:szCs w:val="22"/>
          <w:lang w:val="ru-RU"/>
        </w:rPr>
        <w:t xml:space="preserve"> аналогичного характера</w:t>
      </w:r>
      <w:r w:rsidRPr="00D962E1">
        <w:rPr>
          <w:rFonts w:asciiTheme="minorHAnsi" w:hAnsiTheme="minorHAnsi" w:cstheme="minorHAnsi"/>
          <w:color w:val="000000"/>
          <w:szCs w:val="22"/>
          <w:lang w:val="ru-RU"/>
        </w:rPr>
        <w:t xml:space="preserve">. </w:t>
      </w:r>
    </w:p>
    <w:p w14:paraId="3A046312" w14:textId="77777777" w:rsidR="00275E99" w:rsidRPr="00D962E1" w:rsidRDefault="00275E99" w:rsidP="00275E99">
      <w:pPr>
        <w:spacing w:after="120"/>
        <w:rPr>
          <w:rFonts w:asciiTheme="minorHAnsi" w:hAnsiTheme="minorHAnsi" w:cs="Calibri"/>
          <w:lang w:val="ru-RU"/>
        </w:rPr>
      </w:pPr>
      <w:r w:rsidRPr="00D962E1">
        <w:rPr>
          <w:rFonts w:asciiTheme="minorHAnsi" w:hAnsiTheme="minorHAnsi" w:cstheme="minorHAnsi"/>
          <w:bCs/>
          <w:lang w:val="ru-RU"/>
        </w:rPr>
        <w:lastRenderedPageBreak/>
        <w:t>2.3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87"/>
        <w:gridCol w:w="1559"/>
        <w:gridCol w:w="3685"/>
      </w:tblGrid>
      <w:tr w:rsidR="00C6526F" w:rsidRPr="00D962E1" w14:paraId="5D7A6DA3" w14:textId="77777777" w:rsidTr="008F3BE2">
        <w:trPr>
          <w:cantSplit/>
        </w:trPr>
        <w:tc>
          <w:tcPr>
            <w:tcW w:w="4387" w:type="dxa"/>
            <w:vAlign w:val="center"/>
          </w:tcPr>
          <w:p w14:paraId="55598CAB" w14:textId="77777777" w:rsidR="00C6526F" w:rsidRPr="00D962E1" w:rsidRDefault="00C6526F" w:rsidP="00C6526F">
            <w:pPr>
              <w:pStyle w:val="TableHead0"/>
              <w:keepLines/>
              <w:spacing w:before="60" w:after="6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 w:rsidRPr="00D962E1">
              <w:rPr>
                <w:rFonts w:asciiTheme="minorHAnsi" w:hAnsiTheme="minorHAnsi" w:cs="Calibri"/>
                <w:bCs/>
                <w:sz w:val="22"/>
                <w:szCs w:val="22"/>
                <w:lang w:val="ru-RU"/>
              </w:rPr>
              <w:t>Организация</w:t>
            </w:r>
          </w:p>
        </w:tc>
        <w:tc>
          <w:tcPr>
            <w:tcW w:w="1559" w:type="dxa"/>
            <w:vAlign w:val="center"/>
          </w:tcPr>
          <w:p w14:paraId="677661DF" w14:textId="77777777" w:rsidR="00C6526F" w:rsidRPr="00D962E1" w:rsidRDefault="00C6526F" w:rsidP="00C6526F">
            <w:pPr>
              <w:pStyle w:val="TableHead0"/>
              <w:keepLines/>
              <w:spacing w:before="60" w:after="6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 w:rsidRPr="00D962E1">
              <w:rPr>
                <w:rFonts w:asciiTheme="minorHAnsi" w:hAnsiTheme="minorHAnsi" w:cs="Calibri"/>
                <w:bCs/>
                <w:sz w:val="22"/>
                <w:szCs w:val="22"/>
                <w:lang w:val="ru-RU"/>
              </w:rPr>
              <w:t>Сектор</w:t>
            </w:r>
          </w:p>
        </w:tc>
        <w:tc>
          <w:tcPr>
            <w:tcW w:w="3685" w:type="dxa"/>
            <w:vAlign w:val="center"/>
          </w:tcPr>
          <w:p w14:paraId="43959B7A" w14:textId="77777777" w:rsidR="00C6526F" w:rsidRPr="00D962E1" w:rsidRDefault="00C6526F" w:rsidP="00C6526F">
            <w:pPr>
              <w:pStyle w:val="TableHead0"/>
              <w:keepLines/>
              <w:spacing w:before="60" w:after="6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 w:rsidRPr="00D962E1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Рекомендация</w:t>
            </w:r>
            <w:r w:rsidRPr="00D962E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</w:p>
        </w:tc>
      </w:tr>
      <w:tr w:rsidR="00275E99" w:rsidRPr="00622D10" w14:paraId="0EEAA5D5" w14:textId="77777777" w:rsidTr="008F3BE2">
        <w:trPr>
          <w:cantSplit/>
        </w:trPr>
        <w:tc>
          <w:tcPr>
            <w:tcW w:w="4387" w:type="dxa"/>
            <w:vAlign w:val="center"/>
          </w:tcPr>
          <w:p w14:paraId="3CCCE9A5" w14:textId="7FFB2835" w:rsidR="00275E99" w:rsidRPr="00D962E1" w:rsidRDefault="004E171B" w:rsidP="008F3BE2">
            <w:pPr>
              <w:pStyle w:val="TableHead0"/>
              <w:keepLines/>
              <w:spacing w:before="60" w:after="60"/>
              <w:jc w:val="left"/>
              <w:rPr>
                <w:rFonts w:asciiTheme="minorHAnsi" w:hAnsiTheme="minorHAnsi"/>
                <w:b w:val="0"/>
                <w:sz w:val="20"/>
                <w:lang w:val="ru-RU"/>
              </w:rPr>
            </w:pPr>
            <w:r w:rsidRPr="00D962E1">
              <w:rPr>
                <w:rFonts w:asciiTheme="minorHAnsi" w:hAnsiTheme="minorHAnsi" w:cs="Calibri"/>
                <w:bCs/>
                <w:sz w:val="22"/>
                <w:szCs w:val="22"/>
                <w:lang w:val="ru-RU"/>
              </w:rPr>
              <w:t xml:space="preserve">Компания </w:t>
            </w:r>
            <w:r w:rsidR="009F7927" w:rsidRPr="00D962E1">
              <w:rPr>
                <w:rFonts w:asciiTheme="minorHAnsi" w:hAnsiTheme="minorHAnsi" w:cs="Calibri"/>
                <w:bCs/>
                <w:sz w:val="22"/>
                <w:szCs w:val="22"/>
                <w:lang w:val="ru-RU"/>
              </w:rPr>
              <w:t>IoT Lab</w:t>
            </w:r>
          </w:p>
        </w:tc>
        <w:tc>
          <w:tcPr>
            <w:tcW w:w="1559" w:type="dxa"/>
            <w:vAlign w:val="center"/>
          </w:tcPr>
          <w:p w14:paraId="1C2C3A35" w14:textId="77777777" w:rsidR="00275E99" w:rsidRPr="00D962E1" w:rsidRDefault="00C6526F" w:rsidP="00445B87">
            <w:pPr>
              <w:pStyle w:val="TableText0"/>
              <w:jc w:val="center"/>
              <w:rPr>
                <w:rFonts w:asciiTheme="minorHAnsi" w:hAnsiTheme="minorHAnsi"/>
                <w:sz w:val="20"/>
                <w:lang w:val="ru-RU"/>
              </w:rPr>
            </w:pPr>
            <w:r w:rsidRPr="00D962E1">
              <w:rPr>
                <w:rFonts w:asciiTheme="minorHAnsi" w:hAnsiTheme="minorHAnsi"/>
                <w:sz w:val="20"/>
                <w:lang w:val="ru-RU"/>
              </w:rPr>
              <w:t>МСЭ-Т</w:t>
            </w:r>
          </w:p>
        </w:tc>
        <w:tc>
          <w:tcPr>
            <w:tcW w:w="3685" w:type="dxa"/>
            <w:vAlign w:val="center"/>
          </w:tcPr>
          <w:p w14:paraId="67C1BFDE" w14:textId="77777777" w:rsidR="00275E99" w:rsidRPr="00D962E1" w:rsidRDefault="009F7927" w:rsidP="00445B87">
            <w:pPr>
              <w:pStyle w:val="TableText0"/>
              <w:jc w:val="center"/>
              <w:rPr>
                <w:rFonts w:asciiTheme="minorHAnsi" w:hAnsiTheme="minorHAnsi"/>
                <w:sz w:val="20"/>
                <w:lang w:val="ru-RU"/>
              </w:rPr>
            </w:pPr>
            <w:r w:rsidRPr="00D962E1">
              <w:rPr>
                <w:rFonts w:ascii="Calibri" w:eastAsia="Times New Roman" w:hAnsi="Calibri"/>
                <w:sz w:val="20"/>
                <w:lang w:val="ru-RU"/>
              </w:rPr>
              <w:t>Отложить до следующей сессии Совета для пересмотра всего списка</w:t>
            </w:r>
          </w:p>
        </w:tc>
      </w:tr>
    </w:tbl>
    <w:p w14:paraId="5AE88B5C" w14:textId="74B19944" w:rsidR="00275E99" w:rsidRPr="00D962E1" w:rsidRDefault="009F7927" w:rsidP="008F3BE2">
      <w:pPr>
        <w:rPr>
          <w:lang w:val="ru-RU"/>
        </w:rPr>
      </w:pPr>
      <w:r w:rsidRPr="00D962E1">
        <w:rPr>
          <w:lang w:val="ru-RU"/>
        </w:rPr>
        <w:t xml:space="preserve">Расположенная в Швейцарии компания IoT Lab – международная платформа услуг и ресурсов для интернета вещей (IoT), объединяющая сообщества в различных областях деятельности: услуги IoT, неприкосновенность частной жизни и безопасность, тестирование и передача технологий, ЦУР и </w:t>
      </w:r>
      <w:proofErr w:type="gramStart"/>
      <w:r w:rsidRPr="00D962E1">
        <w:rPr>
          <w:lang w:val="ru-RU"/>
        </w:rPr>
        <w:t>сети</w:t>
      </w:r>
      <w:proofErr w:type="gramEnd"/>
      <w:r w:rsidRPr="00D962E1">
        <w:rPr>
          <w:lang w:val="ru-RU"/>
        </w:rPr>
        <w:t xml:space="preserve"> и сообщества.</w:t>
      </w:r>
      <w:r w:rsidR="00275E99" w:rsidRPr="00D962E1">
        <w:rPr>
          <w:lang w:val="ru-RU"/>
        </w:rPr>
        <w:t xml:space="preserve"> </w:t>
      </w:r>
      <w:r w:rsidR="00D33362" w:rsidRPr="00D962E1">
        <w:rPr>
          <w:lang w:val="ru-RU"/>
        </w:rPr>
        <w:t>Эта заявка была отложена Советом</w:t>
      </w:r>
      <w:r w:rsidR="00275E99" w:rsidRPr="00D962E1">
        <w:rPr>
          <w:lang w:val="ru-RU"/>
        </w:rPr>
        <w:t xml:space="preserve"> 2021</w:t>
      </w:r>
      <w:r w:rsidR="00D33362" w:rsidRPr="00D962E1">
        <w:rPr>
          <w:lang w:val="ru-RU"/>
        </w:rPr>
        <w:t xml:space="preserve"> года</w:t>
      </w:r>
      <w:r w:rsidR="00275E99" w:rsidRPr="00D962E1">
        <w:rPr>
          <w:lang w:val="ru-RU"/>
        </w:rPr>
        <w:t xml:space="preserve"> </w:t>
      </w:r>
      <w:r w:rsidR="00D33362" w:rsidRPr="00D962E1">
        <w:rPr>
          <w:lang w:val="ru-RU"/>
        </w:rPr>
        <w:t>до проведения дальнейших консультаций и изучения</w:t>
      </w:r>
      <w:r w:rsidR="00275E99" w:rsidRPr="00D962E1">
        <w:rPr>
          <w:lang w:val="ru-RU"/>
        </w:rPr>
        <w:t xml:space="preserve">. </w:t>
      </w:r>
      <w:r w:rsidR="00D33362" w:rsidRPr="00D962E1">
        <w:rPr>
          <w:lang w:val="ru-RU"/>
        </w:rPr>
        <w:t xml:space="preserve">С учетом того, что членство в организации является смешенным и состоит из организаций, представляющих </w:t>
      </w:r>
      <w:r w:rsidR="004E171B" w:rsidRPr="00D962E1">
        <w:rPr>
          <w:lang w:val="ru-RU"/>
        </w:rPr>
        <w:t>компании отрасли</w:t>
      </w:r>
      <w:r w:rsidR="00D33362" w:rsidRPr="00D962E1">
        <w:rPr>
          <w:lang w:val="ru-RU"/>
        </w:rPr>
        <w:t xml:space="preserve"> и академические </w:t>
      </w:r>
      <w:r w:rsidR="004E171B" w:rsidRPr="00D962E1">
        <w:rPr>
          <w:lang w:val="ru-RU"/>
        </w:rPr>
        <w:t>организации</w:t>
      </w:r>
      <w:r w:rsidR="00275E99" w:rsidRPr="00D962E1">
        <w:rPr>
          <w:lang w:val="ru-RU"/>
        </w:rPr>
        <w:t xml:space="preserve">, </w:t>
      </w:r>
      <w:r w:rsidR="00D33362" w:rsidRPr="00D962E1">
        <w:rPr>
          <w:lang w:val="ru-RU"/>
        </w:rPr>
        <w:t xml:space="preserve">Секретариат рекомендует отложить это заявление до следующего пересмотра списка освобожденных от уплаты взносов организаций с учетом критериев, пересмотренных Советом в 2017 году, чтобы обеспечить </w:t>
      </w:r>
      <w:r w:rsidR="004E171B" w:rsidRPr="00D962E1">
        <w:rPr>
          <w:lang w:val="ru-RU"/>
        </w:rPr>
        <w:t xml:space="preserve">согласованный подход к организациям </w:t>
      </w:r>
      <w:r w:rsidR="00D33362" w:rsidRPr="00D962E1">
        <w:rPr>
          <w:lang w:val="ru-RU"/>
        </w:rPr>
        <w:t>аналогичного характера</w:t>
      </w:r>
      <w:r w:rsidR="00275E99" w:rsidRPr="00D962E1">
        <w:rPr>
          <w:lang w:val="ru-RU"/>
        </w:rPr>
        <w:t>.</w:t>
      </w:r>
    </w:p>
    <w:p w14:paraId="2B865D63" w14:textId="77777777" w:rsidR="00275E99" w:rsidRPr="00D962E1" w:rsidRDefault="00275E99" w:rsidP="008F3BE2">
      <w:pPr>
        <w:spacing w:before="480"/>
        <w:jc w:val="center"/>
        <w:rPr>
          <w:lang w:val="ru-RU"/>
        </w:rPr>
      </w:pPr>
      <w:r w:rsidRPr="00D962E1">
        <w:rPr>
          <w:lang w:val="ru-RU"/>
        </w:rPr>
        <w:t>______________</w:t>
      </w:r>
    </w:p>
    <w:sectPr w:rsidR="00275E99" w:rsidRPr="00D962E1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AE2A" w14:textId="77777777" w:rsidR="00AE25A6" w:rsidRDefault="00AE25A6">
      <w:r>
        <w:separator/>
      </w:r>
    </w:p>
  </w:endnote>
  <w:endnote w:type="continuationSeparator" w:id="0">
    <w:p w14:paraId="4F6589DB" w14:textId="77777777" w:rsidR="00AE25A6" w:rsidRDefault="00AE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252F" w14:textId="77777777" w:rsidR="000E568E" w:rsidRPr="008F3BE2" w:rsidRDefault="00707304" w:rsidP="009B0BAE">
    <w:pPr>
      <w:pStyle w:val="Footer"/>
      <w:rPr>
        <w:sz w:val="18"/>
        <w:szCs w:val="18"/>
        <w:lang w:val="fr-CH"/>
      </w:rPr>
    </w:pPr>
    <w:r w:rsidRPr="00622D10">
      <w:rPr>
        <w:color w:val="F2F2F2" w:themeColor="background1" w:themeShade="F2"/>
      </w:rPr>
      <w:fldChar w:fldCharType="begin"/>
    </w:r>
    <w:r w:rsidRPr="00622D10">
      <w:rPr>
        <w:color w:val="F2F2F2" w:themeColor="background1" w:themeShade="F2"/>
        <w:lang w:val="fr-CH"/>
      </w:rPr>
      <w:instrText xml:space="preserve"> FILENAME \p  \* MERGEFORMAT </w:instrText>
    </w:r>
    <w:r w:rsidRPr="00622D10">
      <w:rPr>
        <w:color w:val="F2F2F2" w:themeColor="background1" w:themeShade="F2"/>
      </w:rPr>
      <w:fldChar w:fldCharType="separate"/>
    </w:r>
    <w:r w:rsidR="00275E99" w:rsidRPr="00622D10">
      <w:rPr>
        <w:color w:val="F2F2F2" w:themeColor="background1" w:themeShade="F2"/>
        <w:lang w:val="fr-CH"/>
      </w:rPr>
      <w:t>P:\SG\CONSEIL\C22\000\039R.docx</w:t>
    </w:r>
    <w:r w:rsidRPr="00622D10">
      <w:rPr>
        <w:color w:val="F2F2F2" w:themeColor="background1" w:themeShade="F2"/>
        <w:lang w:val="en-US"/>
      </w:rPr>
      <w:fldChar w:fldCharType="end"/>
    </w:r>
    <w:r w:rsidR="000E568E" w:rsidRPr="00622D10">
      <w:rPr>
        <w:color w:val="F2F2F2" w:themeColor="background1" w:themeShade="F2"/>
        <w:lang w:val="fr-CH"/>
      </w:rPr>
      <w:t xml:space="preserve"> (</w:t>
    </w:r>
    <w:r w:rsidR="00275E99" w:rsidRPr="00622D10">
      <w:rPr>
        <w:color w:val="F2F2F2" w:themeColor="background1" w:themeShade="F2"/>
        <w:lang w:val="fr-CH"/>
      </w:rPr>
      <w:t>498352</w:t>
    </w:r>
    <w:r w:rsidR="000E568E" w:rsidRPr="00622D10">
      <w:rPr>
        <w:color w:val="F2F2F2" w:themeColor="background1" w:themeShade="F2"/>
        <w:lang w:val="fr-CH"/>
      </w:rPr>
      <w:t>)</w:t>
    </w:r>
    <w:r w:rsidR="00275E99" w:rsidRPr="00622D10">
      <w:rPr>
        <w:color w:val="F2F2F2" w:themeColor="background1" w:themeShade="F2"/>
        <w:sz w:val="18"/>
        <w:szCs w:val="18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CCFE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485D" w14:textId="77777777" w:rsidR="00AE25A6" w:rsidRDefault="00AE25A6">
      <w:r>
        <w:t>____________________</w:t>
      </w:r>
    </w:p>
  </w:footnote>
  <w:footnote w:type="continuationSeparator" w:id="0">
    <w:p w14:paraId="7C3C07FB" w14:textId="77777777" w:rsidR="00AE25A6" w:rsidRDefault="00AE2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06E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33362">
      <w:rPr>
        <w:noProof/>
      </w:rPr>
      <w:t>2</w:t>
    </w:r>
    <w:r>
      <w:rPr>
        <w:noProof/>
      </w:rPr>
      <w:fldChar w:fldCharType="end"/>
    </w:r>
  </w:p>
  <w:p w14:paraId="6088AEAC" w14:textId="77777777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 w:rsidR="00204EAA">
      <w:t>/39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A6"/>
    <w:rsid w:val="00005BE0"/>
    <w:rsid w:val="0002183E"/>
    <w:rsid w:val="000359EC"/>
    <w:rsid w:val="000569B4"/>
    <w:rsid w:val="00080E82"/>
    <w:rsid w:val="0008134C"/>
    <w:rsid w:val="000E568E"/>
    <w:rsid w:val="00125AC5"/>
    <w:rsid w:val="00136F53"/>
    <w:rsid w:val="0014734F"/>
    <w:rsid w:val="0015710D"/>
    <w:rsid w:val="00163A32"/>
    <w:rsid w:val="00192B41"/>
    <w:rsid w:val="001B7B09"/>
    <w:rsid w:val="001E6719"/>
    <w:rsid w:val="001E7F50"/>
    <w:rsid w:val="00201681"/>
    <w:rsid w:val="00204EAA"/>
    <w:rsid w:val="00205716"/>
    <w:rsid w:val="00225368"/>
    <w:rsid w:val="00227FF0"/>
    <w:rsid w:val="00240E44"/>
    <w:rsid w:val="00275E99"/>
    <w:rsid w:val="002901D4"/>
    <w:rsid w:val="00291EB6"/>
    <w:rsid w:val="002A2BB7"/>
    <w:rsid w:val="002D2F57"/>
    <w:rsid w:val="002D48C5"/>
    <w:rsid w:val="00303A5E"/>
    <w:rsid w:val="0035619E"/>
    <w:rsid w:val="003F099E"/>
    <w:rsid w:val="003F235E"/>
    <w:rsid w:val="004023E0"/>
    <w:rsid w:val="00403DD8"/>
    <w:rsid w:val="00442515"/>
    <w:rsid w:val="00445B87"/>
    <w:rsid w:val="0045686C"/>
    <w:rsid w:val="004918C4"/>
    <w:rsid w:val="00497703"/>
    <w:rsid w:val="004A0374"/>
    <w:rsid w:val="004A45B5"/>
    <w:rsid w:val="004A6209"/>
    <w:rsid w:val="004D0129"/>
    <w:rsid w:val="004E171B"/>
    <w:rsid w:val="00503A89"/>
    <w:rsid w:val="005A64D5"/>
    <w:rsid w:val="005B3DEC"/>
    <w:rsid w:val="005E13D0"/>
    <w:rsid w:val="005F506F"/>
    <w:rsid w:val="00601994"/>
    <w:rsid w:val="00622D10"/>
    <w:rsid w:val="00675159"/>
    <w:rsid w:val="006B32BA"/>
    <w:rsid w:val="006E2D42"/>
    <w:rsid w:val="00703676"/>
    <w:rsid w:val="00705204"/>
    <w:rsid w:val="00707304"/>
    <w:rsid w:val="00732269"/>
    <w:rsid w:val="00750FFB"/>
    <w:rsid w:val="00785ABD"/>
    <w:rsid w:val="007A2DD4"/>
    <w:rsid w:val="007D38B5"/>
    <w:rsid w:val="007E7EA0"/>
    <w:rsid w:val="00807255"/>
    <w:rsid w:val="0081023E"/>
    <w:rsid w:val="008173AA"/>
    <w:rsid w:val="00840A14"/>
    <w:rsid w:val="00843AF3"/>
    <w:rsid w:val="008A3376"/>
    <w:rsid w:val="008B62B4"/>
    <w:rsid w:val="008D2D7B"/>
    <w:rsid w:val="008E0737"/>
    <w:rsid w:val="008E07DA"/>
    <w:rsid w:val="008F3BE2"/>
    <w:rsid w:val="008F7C2C"/>
    <w:rsid w:val="009149D1"/>
    <w:rsid w:val="00940E96"/>
    <w:rsid w:val="009B0BAE"/>
    <w:rsid w:val="009C1C89"/>
    <w:rsid w:val="009F3448"/>
    <w:rsid w:val="009F7927"/>
    <w:rsid w:val="00A01CF9"/>
    <w:rsid w:val="00A50B92"/>
    <w:rsid w:val="00A6553E"/>
    <w:rsid w:val="00A71773"/>
    <w:rsid w:val="00A958F2"/>
    <w:rsid w:val="00AC4555"/>
    <w:rsid w:val="00AE25A6"/>
    <w:rsid w:val="00AE2C85"/>
    <w:rsid w:val="00B12A37"/>
    <w:rsid w:val="00B21379"/>
    <w:rsid w:val="00B4381C"/>
    <w:rsid w:val="00B63996"/>
    <w:rsid w:val="00B63EF2"/>
    <w:rsid w:val="00B66791"/>
    <w:rsid w:val="00B80712"/>
    <w:rsid w:val="00B81B6D"/>
    <w:rsid w:val="00BA7D89"/>
    <w:rsid w:val="00BC0D39"/>
    <w:rsid w:val="00BC31CD"/>
    <w:rsid w:val="00BC7BC0"/>
    <w:rsid w:val="00BD57B7"/>
    <w:rsid w:val="00BE63E2"/>
    <w:rsid w:val="00C6526F"/>
    <w:rsid w:val="00CD2009"/>
    <w:rsid w:val="00CF629C"/>
    <w:rsid w:val="00D06E09"/>
    <w:rsid w:val="00D33362"/>
    <w:rsid w:val="00D404EC"/>
    <w:rsid w:val="00D92EEA"/>
    <w:rsid w:val="00D962E1"/>
    <w:rsid w:val="00DA5D4E"/>
    <w:rsid w:val="00E176BA"/>
    <w:rsid w:val="00E20A56"/>
    <w:rsid w:val="00E423EC"/>
    <w:rsid w:val="00E55121"/>
    <w:rsid w:val="00E926A9"/>
    <w:rsid w:val="00EA50E2"/>
    <w:rsid w:val="00EB4FCB"/>
    <w:rsid w:val="00EC6BC5"/>
    <w:rsid w:val="00F11259"/>
    <w:rsid w:val="00F35898"/>
    <w:rsid w:val="00F5225B"/>
    <w:rsid w:val="00F8163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177855F"/>
  <w15:docId w15:val="{DAA32861-36B5-405F-8E05-ED56EE33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5B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customStyle="1" w:styleId="TableHead0">
    <w:name w:val="Table_Head"/>
    <w:basedOn w:val="Normal"/>
    <w:rsid w:val="00275E9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" w:eastAsia="SimSun" w:hAnsi="Times New Roman"/>
      <w:b/>
      <w:sz w:val="24"/>
    </w:rPr>
  </w:style>
  <w:style w:type="paragraph" w:customStyle="1" w:styleId="TableText0">
    <w:name w:val="Table_Text"/>
    <w:basedOn w:val="Normal"/>
    <w:rsid w:val="00275E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SimSu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275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doc/gs/council/c00/docs/28rev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141/ru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3</Pages>
  <Words>777</Words>
  <Characters>5990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6754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Exemptions from fees for organizations of an international character</dc:title>
  <dc:subject>Council 2022</dc:subject>
  <dc:creator>Isupova, Varvara</dc:creator>
  <cp:keywords>C2022, C22</cp:keywords>
  <dc:description/>
  <cp:lastModifiedBy>Xue, Kun</cp:lastModifiedBy>
  <cp:revision>2</cp:revision>
  <cp:lastPrinted>2006-03-28T16:12:00Z</cp:lastPrinted>
  <dcterms:created xsi:type="dcterms:W3CDTF">2022-03-17T13:00:00Z</dcterms:created>
  <dcterms:modified xsi:type="dcterms:W3CDTF">2022-03-17T13:00:00Z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