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9324A" w14:paraId="70D749D1" w14:textId="77777777">
        <w:trPr>
          <w:cantSplit/>
        </w:trPr>
        <w:tc>
          <w:tcPr>
            <w:tcW w:w="6912" w:type="dxa"/>
          </w:tcPr>
          <w:p w14:paraId="112B8401" w14:textId="77777777" w:rsidR="00093EEB" w:rsidRPr="0099324A" w:rsidRDefault="00093EEB" w:rsidP="00C2727F">
            <w:pPr>
              <w:spacing w:before="360"/>
              <w:rPr>
                <w:szCs w:val="24"/>
              </w:rPr>
            </w:pPr>
            <w:bookmarkStart w:id="0" w:name="dc06"/>
            <w:bookmarkStart w:id="1" w:name="dbluepink" w:colFirst="0" w:colLast="0"/>
            <w:bookmarkEnd w:id="0"/>
            <w:r w:rsidRPr="0099324A">
              <w:rPr>
                <w:b/>
                <w:bCs/>
                <w:sz w:val="30"/>
                <w:szCs w:val="30"/>
              </w:rPr>
              <w:t>Consejo 20</w:t>
            </w:r>
            <w:r w:rsidR="007955DA" w:rsidRPr="0099324A">
              <w:rPr>
                <w:b/>
                <w:bCs/>
                <w:sz w:val="30"/>
                <w:szCs w:val="30"/>
              </w:rPr>
              <w:t>2</w:t>
            </w:r>
            <w:r w:rsidR="00D50A36" w:rsidRPr="0099324A">
              <w:rPr>
                <w:b/>
                <w:bCs/>
                <w:sz w:val="30"/>
                <w:szCs w:val="30"/>
              </w:rPr>
              <w:t>2</w:t>
            </w:r>
            <w:r w:rsidRPr="0099324A">
              <w:rPr>
                <w:b/>
                <w:bCs/>
                <w:sz w:val="26"/>
                <w:szCs w:val="26"/>
              </w:rPr>
              <w:br/>
            </w:r>
            <w:r w:rsidR="00D50A36" w:rsidRPr="0099324A">
              <w:rPr>
                <w:b/>
                <w:bCs/>
                <w:sz w:val="26"/>
                <w:szCs w:val="26"/>
              </w:rPr>
              <w:t>Ginebra</w:t>
            </w:r>
            <w:r w:rsidRPr="0099324A">
              <w:rPr>
                <w:b/>
                <w:bCs/>
                <w:sz w:val="26"/>
                <w:szCs w:val="26"/>
              </w:rPr>
              <w:t xml:space="preserve">, </w:t>
            </w:r>
            <w:r w:rsidR="00D50A36" w:rsidRPr="0099324A">
              <w:rPr>
                <w:b/>
                <w:bCs/>
                <w:sz w:val="26"/>
                <w:szCs w:val="26"/>
              </w:rPr>
              <w:t>21</w:t>
            </w:r>
            <w:r w:rsidRPr="0099324A">
              <w:rPr>
                <w:b/>
                <w:bCs/>
                <w:sz w:val="26"/>
                <w:szCs w:val="26"/>
              </w:rPr>
              <w:t>-</w:t>
            </w:r>
            <w:r w:rsidR="00D50A36" w:rsidRPr="0099324A">
              <w:rPr>
                <w:b/>
                <w:bCs/>
                <w:sz w:val="26"/>
                <w:szCs w:val="26"/>
              </w:rPr>
              <w:t>31</w:t>
            </w:r>
            <w:r w:rsidRPr="0099324A">
              <w:rPr>
                <w:b/>
                <w:bCs/>
                <w:sz w:val="26"/>
                <w:szCs w:val="26"/>
              </w:rPr>
              <w:t xml:space="preserve"> de </w:t>
            </w:r>
            <w:r w:rsidR="00D50A36" w:rsidRPr="0099324A">
              <w:rPr>
                <w:b/>
                <w:bCs/>
                <w:sz w:val="26"/>
                <w:szCs w:val="26"/>
              </w:rPr>
              <w:t>marzo</w:t>
            </w:r>
            <w:r w:rsidRPr="0099324A">
              <w:rPr>
                <w:b/>
                <w:bCs/>
                <w:sz w:val="26"/>
                <w:szCs w:val="26"/>
              </w:rPr>
              <w:t xml:space="preserve"> de 20</w:t>
            </w:r>
            <w:r w:rsidR="007955DA" w:rsidRPr="0099324A">
              <w:rPr>
                <w:b/>
                <w:bCs/>
                <w:sz w:val="26"/>
                <w:szCs w:val="26"/>
              </w:rPr>
              <w:t>2</w:t>
            </w:r>
            <w:r w:rsidR="00D50A36" w:rsidRPr="0099324A">
              <w:rPr>
                <w:b/>
                <w:bCs/>
                <w:sz w:val="26"/>
                <w:szCs w:val="26"/>
              </w:rPr>
              <w:t>2</w:t>
            </w:r>
          </w:p>
        </w:tc>
        <w:tc>
          <w:tcPr>
            <w:tcW w:w="3261" w:type="dxa"/>
          </w:tcPr>
          <w:p w14:paraId="4D73DC4D" w14:textId="77777777" w:rsidR="00093EEB" w:rsidRPr="0099324A" w:rsidRDefault="007955DA" w:rsidP="007955DA">
            <w:pPr>
              <w:spacing w:before="0"/>
              <w:rPr>
                <w:szCs w:val="24"/>
              </w:rPr>
            </w:pPr>
            <w:bookmarkStart w:id="2" w:name="ditulogo"/>
            <w:bookmarkEnd w:id="2"/>
            <w:r w:rsidRPr="0099324A">
              <w:rPr>
                <w:noProof/>
                <w:lang w:eastAsia="zh-CN"/>
              </w:rPr>
              <w:drawing>
                <wp:inline distT="0" distB="0" distL="0" distR="0" wp14:anchorId="67D75643" wp14:editId="4B153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9324A" w14:paraId="0AFDB016" w14:textId="77777777">
        <w:trPr>
          <w:cantSplit/>
          <w:trHeight w:val="20"/>
        </w:trPr>
        <w:tc>
          <w:tcPr>
            <w:tcW w:w="10173" w:type="dxa"/>
            <w:gridSpan w:val="2"/>
            <w:tcBorders>
              <w:bottom w:val="single" w:sz="12" w:space="0" w:color="auto"/>
            </w:tcBorders>
          </w:tcPr>
          <w:p w14:paraId="0E37BA95" w14:textId="77777777" w:rsidR="00093EEB" w:rsidRPr="0099324A" w:rsidRDefault="00093EEB">
            <w:pPr>
              <w:spacing w:before="0"/>
              <w:rPr>
                <w:b/>
                <w:bCs/>
                <w:szCs w:val="24"/>
              </w:rPr>
            </w:pPr>
          </w:p>
        </w:tc>
      </w:tr>
      <w:tr w:rsidR="00093EEB" w:rsidRPr="0099324A" w14:paraId="69515075" w14:textId="77777777">
        <w:trPr>
          <w:cantSplit/>
          <w:trHeight w:val="20"/>
        </w:trPr>
        <w:tc>
          <w:tcPr>
            <w:tcW w:w="6912" w:type="dxa"/>
            <w:tcBorders>
              <w:top w:val="single" w:sz="12" w:space="0" w:color="auto"/>
            </w:tcBorders>
          </w:tcPr>
          <w:p w14:paraId="4158FA2F" w14:textId="77777777" w:rsidR="00093EEB" w:rsidRPr="0099324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D82ADC7" w14:textId="77777777" w:rsidR="00093EEB" w:rsidRPr="0099324A" w:rsidRDefault="00093EEB">
            <w:pPr>
              <w:spacing w:before="0"/>
              <w:rPr>
                <w:b/>
                <w:bCs/>
                <w:szCs w:val="24"/>
              </w:rPr>
            </w:pPr>
          </w:p>
        </w:tc>
      </w:tr>
      <w:tr w:rsidR="00093EEB" w:rsidRPr="0099324A" w14:paraId="593D26DE" w14:textId="77777777">
        <w:trPr>
          <w:cantSplit/>
          <w:trHeight w:val="20"/>
        </w:trPr>
        <w:tc>
          <w:tcPr>
            <w:tcW w:w="6912" w:type="dxa"/>
            <w:shd w:val="clear" w:color="auto" w:fill="auto"/>
          </w:tcPr>
          <w:p w14:paraId="6F8875F0" w14:textId="0207E2A0" w:rsidR="00093EEB" w:rsidRPr="0099324A" w:rsidRDefault="000D3D0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99324A">
              <w:rPr>
                <w:rFonts w:cs="Times"/>
                <w:b/>
                <w:szCs w:val="24"/>
              </w:rPr>
              <w:t>Punto del orden del día: ADM 8</w:t>
            </w:r>
          </w:p>
        </w:tc>
        <w:tc>
          <w:tcPr>
            <w:tcW w:w="3261" w:type="dxa"/>
          </w:tcPr>
          <w:p w14:paraId="6121656E" w14:textId="38625C54" w:rsidR="00093EEB" w:rsidRPr="0099324A" w:rsidRDefault="00093EEB" w:rsidP="00C2727F">
            <w:pPr>
              <w:spacing w:before="0"/>
              <w:rPr>
                <w:b/>
                <w:bCs/>
                <w:szCs w:val="24"/>
              </w:rPr>
            </w:pPr>
            <w:r w:rsidRPr="0099324A">
              <w:rPr>
                <w:b/>
                <w:bCs/>
                <w:szCs w:val="24"/>
              </w:rPr>
              <w:t>Documento C</w:t>
            </w:r>
            <w:r w:rsidR="007955DA" w:rsidRPr="0099324A">
              <w:rPr>
                <w:b/>
                <w:bCs/>
                <w:szCs w:val="24"/>
              </w:rPr>
              <w:t>2</w:t>
            </w:r>
            <w:r w:rsidR="00D50A36" w:rsidRPr="0099324A">
              <w:rPr>
                <w:b/>
                <w:bCs/>
                <w:szCs w:val="24"/>
              </w:rPr>
              <w:t>2</w:t>
            </w:r>
            <w:r w:rsidRPr="0099324A">
              <w:rPr>
                <w:b/>
                <w:bCs/>
                <w:szCs w:val="24"/>
              </w:rPr>
              <w:t>/</w:t>
            </w:r>
            <w:r w:rsidR="000D3D0C" w:rsidRPr="0099324A">
              <w:rPr>
                <w:b/>
                <w:bCs/>
                <w:szCs w:val="24"/>
              </w:rPr>
              <w:t>39</w:t>
            </w:r>
            <w:r w:rsidRPr="0099324A">
              <w:rPr>
                <w:b/>
                <w:bCs/>
                <w:szCs w:val="24"/>
              </w:rPr>
              <w:t>-S</w:t>
            </w:r>
          </w:p>
        </w:tc>
      </w:tr>
      <w:tr w:rsidR="00093EEB" w:rsidRPr="0099324A" w14:paraId="7C3B9C62" w14:textId="77777777">
        <w:trPr>
          <w:cantSplit/>
          <w:trHeight w:val="20"/>
        </w:trPr>
        <w:tc>
          <w:tcPr>
            <w:tcW w:w="6912" w:type="dxa"/>
            <w:shd w:val="clear" w:color="auto" w:fill="auto"/>
          </w:tcPr>
          <w:p w14:paraId="1A0900CC" w14:textId="77777777" w:rsidR="00093EEB" w:rsidRPr="0099324A" w:rsidRDefault="00093EEB">
            <w:pPr>
              <w:shd w:val="solid" w:color="FFFFFF" w:fill="FFFFFF"/>
              <w:spacing w:before="0"/>
              <w:rPr>
                <w:smallCaps/>
                <w:szCs w:val="24"/>
              </w:rPr>
            </w:pPr>
            <w:bookmarkStart w:id="5" w:name="ddate" w:colFirst="1" w:colLast="1"/>
            <w:bookmarkEnd w:id="3"/>
            <w:bookmarkEnd w:id="4"/>
          </w:p>
        </w:tc>
        <w:tc>
          <w:tcPr>
            <w:tcW w:w="3261" w:type="dxa"/>
          </w:tcPr>
          <w:p w14:paraId="66704608" w14:textId="6ED72592" w:rsidR="00093EEB" w:rsidRPr="0099324A" w:rsidRDefault="000D3D0C" w:rsidP="00C2727F">
            <w:pPr>
              <w:spacing w:before="0"/>
              <w:rPr>
                <w:b/>
                <w:bCs/>
                <w:szCs w:val="24"/>
              </w:rPr>
            </w:pPr>
            <w:r w:rsidRPr="0099324A">
              <w:rPr>
                <w:b/>
                <w:bCs/>
                <w:szCs w:val="24"/>
              </w:rPr>
              <w:t>1</w:t>
            </w:r>
            <w:r w:rsidR="007F57B7">
              <w:rPr>
                <w:b/>
                <w:bCs/>
                <w:szCs w:val="24"/>
              </w:rPr>
              <w:t>8</w:t>
            </w:r>
            <w:r w:rsidRPr="0099324A">
              <w:rPr>
                <w:b/>
                <w:bCs/>
                <w:szCs w:val="24"/>
              </w:rPr>
              <w:t xml:space="preserve"> de febrero</w:t>
            </w:r>
            <w:r w:rsidR="00093EEB" w:rsidRPr="0099324A">
              <w:rPr>
                <w:b/>
                <w:bCs/>
                <w:szCs w:val="24"/>
              </w:rPr>
              <w:t xml:space="preserve"> de 20</w:t>
            </w:r>
            <w:r w:rsidR="007955DA" w:rsidRPr="0099324A">
              <w:rPr>
                <w:b/>
                <w:bCs/>
                <w:szCs w:val="24"/>
              </w:rPr>
              <w:t>2</w:t>
            </w:r>
            <w:r w:rsidRPr="0099324A">
              <w:rPr>
                <w:b/>
                <w:bCs/>
                <w:szCs w:val="24"/>
              </w:rPr>
              <w:t>2</w:t>
            </w:r>
          </w:p>
        </w:tc>
      </w:tr>
      <w:tr w:rsidR="00093EEB" w:rsidRPr="0099324A" w14:paraId="2384643F" w14:textId="77777777">
        <w:trPr>
          <w:cantSplit/>
          <w:trHeight w:val="20"/>
        </w:trPr>
        <w:tc>
          <w:tcPr>
            <w:tcW w:w="6912" w:type="dxa"/>
            <w:shd w:val="clear" w:color="auto" w:fill="auto"/>
          </w:tcPr>
          <w:p w14:paraId="15EB68FF" w14:textId="77777777" w:rsidR="00093EEB" w:rsidRPr="0099324A" w:rsidRDefault="00093EEB">
            <w:pPr>
              <w:shd w:val="solid" w:color="FFFFFF" w:fill="FFFFFF"/>
              <w:spacing w:before="0"/>
              <w:rPr>
                <w:smallCaps/>
                <w:szCs w:val="24"/>
              </w:rPr>
            </w:pPr>
            <w:bookmarkStart w:id="6" w:name="dorlang" w:colFirst="1" w:colLast="1"/>
            <w:bookmarkEnd w:id="5"/>
          </w:p>
        </w:tc>
        <w:tc>
          <w:tcPr>
            <w:tcW w:w="3261" w:type="dxa"/>
          </w:tcPr>
          <w:p w14:paraId="0327A8D3" w14:textId="77777777" w:rsidR="00093EEB" w:rsidRPr="0099324A" w:rsidRDefault="00093EEB" w:rsidP="00093EEB">
            <w:pPr>
              <w:spacing w:before="0"/>
              <w:rPr>
                <w:b/>
                <w:bCs/>
                <w:szCs w:val="24"/>
              </w:rPr>
            </w:pPr>
            <w:r w:rsidRPr="0099324A">
              <w:rPr>
                <w:b/>
                <w:bCs/>
                <w:szCs w:val="24"/>
              </w:rPr>
              <w:t>Original: inglés</w:t>
            </w:r>
          </w:p>
        </w:tc>
      </w:tr>
      <w:tr w:rsidR="00093EEB" w:rsidRPr="0099324A" w14:paraId="7A0A9C06" w14:textId="77777777">
        <w:trPr>
          <w:cantSplit/>
        </w:trPr>
        <w:tc>
          <w:tcPr>
            <w:tcW w:w="10173" w:type="dxa"/>
            <w:gridSpan w:val="2"/>
          </w:tcPr>
          <w:p w14:paraId="29068435" w14:textId="5DE95141" w:rsidR="00093EEB" w:rsidRPr="0099324A" w:rsidRDefault="000D3D0C">
            <w:pPr>
              <w:pStyle w:val="Source"/>
            </w:pPr>
            <w:bookmarkStart w:id="7" w:name="dsource" w:colFirst="0" w:colLast="0"/>
            <w:bookmarkEnd w:id="1"/>
            <w:bookmarkEnd w:id="6"/>
            <w:r w:rsidRPr="0099324A">
              <w:t>Informe del Secretario General</w:t>
            </w:r>
          </w:p>
        </w:tc>
      </w:tr>
      <w:tr w:rsidR="00093EEB" w:rsidRPr="0099324A" w14:paraId="0987BA0A" w14:textId="77777777">
        <w:trPr>
          <w:cantSplit/>
        </w:trPr>
        <w:tc>
          <w:tcPr>
            <w:tcW w:w="10173" w:type="dxa"/>
            <w:gridSpan w:val="2"/>
          </w:tcPr>
          <w:p w14:paraId="041089EB" w14:textId="1F3B4405" w:rsidR="00093EEB" w:rsidRPr="0099324A" w:rsidRDefault="000D3D0C" w:rsidP="0099324A">
            <w:pPr>
              <w:pStyle w:val="Title1"/>
            </w:pPr>
            <w:bookmarkStart w:id="8" w:name="dtitle1" w:colFirst="0" w:colLast="0"/>
            <w:bookmarkStart w:id="9" w:name="_Hlk97111121"/>
            <w:bookmarkEnd w:id="7"/>
            <w:r w:rsidRPr="0099324A">
              <w:t>EXONERACIÓN DE PAGO DE LA CUOTA DE AFILIACIÓN PARA LAS</w:t>
            </w:r>
            <w:r w:rsidR="0099324A" w:rsidRPr="0099324A">
              <w:br/>
            </w:r>
            <w:r w:rsidRPr="0099324A">
              <w:t>ORGANIZACIONES</w:t>
            </w:r>
            <w:r w:rsidR="0099324A" w:rsidRPr="0099324A">
              <w:t xml:space="preserve"> </w:t>
            </w:r>
            <w:r w:rsidRPr="0099324A">
              <w:t>DE CARÁCTER INTERNACIONAL</w:t>
            </w:r>
            <w:bookmarkEnd w:id="9"/>
          </w:p>
        </w:tc>
      </w:tr>
      <w:bookmarkEnd w:id="8"/>
    </w:tbl>
    <w:p w14:paraId="36F8D7EB" w14:textId="77777777" w:rsidR="00093EEB" w:rsidRPr="0099324A"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99324A" w14:paraId="6C54AEAC"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3801463" w14:textId="77777777" w:rsidR="00093EEB" w:rsidRPr="0099324A" w:rsidRDefault="00093EEB">
            <w:pPr>
              <w:pStyle w:val="Headingb"/>
            </w:pPr>
            <w:r w:rsidRPr="0099324A">
              <w:t>Resumen</w:t>
            </w:r>
          </w:p>
          <w:p w14:paraId="243A44BD" w14:textId="77777777" w:rsidR="000D3D0C" w:rsidRPr="0099324A" w:rsidRDefault="000D3D0C" w:rsidP="000D3D0C">
            <w:r w:rsidRPr="0099324A">
              <w:t>Cada año, la UIT recibe solicitudes de organizaciones de carácter internacional relativas a la exoneración del pago de las cuotas de afiliación y de otras contribuciones financieras a la Unión en régimen de reciprocidad. La Secretaría examina estas nuevas solicitudes en base de los criterios establecidos por el Consejo.</w:t>
            </w:r>
          </w:p>
          <w:p w14:paraId="639ACE6A" w14:textId="6A6BDE53" w:rsidR="00093EEB" w:rsidRPr="0099324A" w:rsidRDefault="000D3D0C" w:rsidP="000D3D0C">
            <w:r w:rsidRPr="0099324A">
              <w:t>La Secretaría también está examinando la lista completa de entidades que gozan de exoneración con el fin de determinar si cumplen plenamente los criterios revisados por el Consejo en su reunión de 2017. Se está preparando un informe completo a ese respecto para su consideración en la próxima reunión del Consejo en septiembre de 2022.</w:t>
            </w:r>
          </w:p>
          <w:p w14:paraId="44ED980B" w14:textId="77777777" w:rsidR="00093EEB" w:rsidRPr="0099324A" w:rsidRDefault="00093EEB">
            <w:pPr>
              <w:pStyle w:val="Headingb"/>
            </w:pPr>
            <w:r w:rsidRPr="0099324A">
              <w:t>Acción solicitada</w:t>
            </w:r>
          </w:p>
          <w:p w14:paraId="58E57729" w14:textId="77777777" w:rsidR="000D3D0C" w:rsidRPr="000D3D0C" w:rsidRDefault="000D3D0C" w:rsidP="000D3D0C">
            <w:bookmarkStart w:id="10" w:name="lt_pId019"/>
            <w:r w:rsidRPr="000D3D0C">
              <w:t xml:space="preserve">Se invita al Consejo a </w:t>
            </w:r>
            <w:r w:rsidRPr="000D3D0C">
              <w:rPr>
                <w:b/>
              </w:rPr>
              <w:t>examinar</w:t>
            </w:r>
            <w:r w:rsidRPr="000D3D0C">
              <w:t xml:space="preserve"> las recomendaciones del Secretario General en relación con las nuevas solicitudes de exoneración.</w:t>
            </w:r>
            <w:bookmarkEnd w:id="10"/>
          </w:p>
          <w:p w14:paraId="03B69972" w14:textId="77777777" w:rsidR="00093EEB" w:rsidRPr="0099324A" w:rsidRDefault="00093EEB">
            <w:pPr>
              <w:pStyle w:val="Table"/>
              <w:keepNext w:val="0"/>
              <w:spacing w:before="0" w:after="0"/>
              <w:rPr>
                <w:caps w:val="0"/>
                <w:sz w:val="22"/>
                <w:lang w:val="es-ES_tradnl"/>
              </w:rPr>
            </w:pPr>
            <w:r w:rsidRPr="0099324A">
              <w:rPr>
                <w:caps w:val="0"/>
                <w:sz w:val="22"/>
                <w:lang w:val="es-ES_tradnl"/>
              </w:rPr>
              <w:t>____________</w:t>
            </w:r>
          </w:p>
          <w:p w14:paraId="0F296EC1" w14:textId="77777777" w:rsidR="00093EEB" w:rsidRPr="0099324A" w:rsidRDefault="00093EEB">
            <w:pPr>
              <w:pStyle w:val="Headingb"/>
            </w:pPr>
            <w:r w:rsidRPr="0099324A">
              <w:t>Referencia</w:t>
            </w:r>
          </w:p>
          <w:bookmarkStart w:id="11" w:name="lt_pId021"/>
          <w:p w14:paraId="349FAA4A" w14:textId="12DDD514" w:rsidR="00093EEB" w:rsidRPr="0099324A" w:rsidRDefault="000D3D0C">
            <w:pPr>
              <w:spacing w:after="120"/>
              <w:rPr>
                <w:i/>
                <w:iCs/>
              </w:rPr>
            </w:pPr>
            <w:r w:rsidRPr="0099324A">
              <w:rPr>
                <w:i/>
                <w:iCs/>
              </w:rPr>
              <w:fldChar w:fldCharType="begin"/>
            </w:r>
            <w:r w:rsidR="00B4644F">
              <w:rPr>
                <w:i/>
                <w:iCs/>
              </w:rPr>
              <w:instrText>HYPERLINK "https://www.itu.int/itudoc/gs/council/c00/docs/28rev1-es.html"</w:instrText>
            </w:r>
            <w:r w:rsidRPr="0099324A">
              <w:rPr>
                <w:i/>
                <w:iCs/>
              </w:rPr>
              <w:fldChar w:fldCharType="separate"/>
            </w:r>
            <w:r w:rsidRPr="0099324A">
              <w:rPr>
                <w:rStyle w:val="Hyperlink"/>
                <w:i/>
                <w:iCs/>
              </w:rPr>
              <w:t>C2000/28(Rev.1)</w:t>
            </w:r>
            <w:r w:rsidRPr="0099324A">
              <w:rPr>
                <w:i/>
                <w:iCs/>
              </w:rPr>
              <w:fldChar w:fldCharType="end"/>
            </w:r>
            <w:r w:rsidRPr="0099324A">
              <w:rPr>
                <w:i/>
                <w:iCs/>
              </w:rPr>
              <w:t>,</w:t>
            </w:r>
            <w:r w:rsidRPr="0099324A">
              <w:rPr>
                <w:i/>
                <w:iCs/>
                <w:u w:val="single"/>
              </w:rPr>
              <w:t xml:space="preserve"> </w:t>
            </w:r>
            <w:hyperlink r:id="rId7" w:history="1">
              <w:r w:rsidRPr="0099324A">
                <w:rPr>
                  <w:rStyle w:val="Hyperlink"/>
                  <w:i/>
                  <w:iCs/>
                </w:rPr>
                <w:t>Resolución 925</w:t>
              </w:r>
            </w:hyperlink>
            <w:r w:rsidRPr="0099324A">
              <w:rPr>
                <w:i/>
                <w:iCs/>
              </w:rPr>
              <w:t xml:space="preserve"> del Consejo, </w:t>
            </w:r>
            <w:hyperlink r:id="rId8" w:history="1">
              <w:r w:rsidRPr="0099324A">
                <w:rPr>
                  <w:rStyle w:val="Hyperlink"/>
                  <w:i/>
                  <w:iCs/>
                </w:rPr>
                <w:t>Criterios de exoneración del Consejo (Rev</w:t>
              </w:r>
              <w:r w:rsidR="00B4644F">
                <w:rPr>
                  <w:rStyle w:val="Hyperlink"/>
                  <w:i/>
                  <w:iCs/>
                </w:rPr>
                <w:t>.</w:t>
              </w:r>
              <w:r w:rsidRPr="0099324A">
                <w:rPr>
                  <w:rStyle w:val="Hyperlink"/>
                  <w:i/>
                  <w:iCs/>
                </w:rPr>
                <w:t> 2017)</w:t>
              </w:r>
            </w:hyperlink>
            <w:bookmarkEnd w:id="11"/>
          </w:p>
        </w:tc>
      </w:tr>
    </w:tbl>
    <w:p w14:paraId="27F5D6EC" w14:textId="6C55DF79" w:rsidR="0099324A" w:rsidRPr="0099324A" w:rsidRDefault="0099324A" w:rsidP="0099324A">
      <w:pPr>
        <w:pStyle w:val="Heading1"/>
        <w:rPr>
          <w:rFonts w:eastAsia="Calibri"/>
        </w:rPr>
      </w:pPr>
      <w:bookmarkStart w:id="12" w:name="lt_pId023"/>
      <w:r w:rsidRPr="0099324A">
        <w:rPr>
          <w:rFonts w:eastAsia="Calibri"/>
        </w:rPr>
        <w:t>1</w:t>
      </w:r>
      <w:r w:rsidRPr="0099324A">
        <w:rPr>
          <w:rFonts w:eastAsia="Calibri"/>
        </w:rPr>
        <w:tab/>
        <w:t>Antecedentes</w:t>
      </w:r>
      <w:bookmarkEnd w:id="12"/>
    </w:p>
    <w:p w14:paraId="1D42EAA3" w14:textId="2C4EDC3E" w:rsidR="0099324A" w:rsidRPr="0099324A" w:rsidRDefault="0099324A" w:rsidP="0099324A">
      <w:pPr>
        <w:rPr>
          <w:rFonts w:eastAsia="Calibri" w:cs="Calibri"/>
        </w:rPr>
      </w:pPr>
      <w:r w:rsidRPr="0099324A">
        <w:rPr>
          <w:rFonts w:eastAsia="Calibri" w:cs="Calibri"/>
        </w:rPr>
        <w:t>1.1</w:t>
      </w:r>
      <w:r w:rsidRPr="0099324A">
        <w:tab/>
      </w:r>
      <w:bookmarkStart w:id="13" w:name="lt_pId025"/>
      <w:r w:rsidRPr="0099324A">
        <w:t>Cada año, la UIT recibe solicitudes de organizaciones de carácter internacional relativas a la exoneración del pago de las cuotas de afiliación y de otras contribuciones financieras a la Unión. Estas solicitudes se examinan con arreglo al procedimiento establecido por el Consejo en su reunión de 2000 (</w:t>
      </w:r>
      <w:hyperlink r:id="rId9" w:history="1">
        <w:r w:rsidRPr="00B4644F">
          <w:rPr>
            <w:rStyle w:val="Hyperlink"/>
          </w:rPr>
          <w:t>C2000/28(Rev.1)</w:t>
        </w:r>
      </w:hyperlink>
      <w:r w:rsidR="00B4644F">
        <w:t>)</w:t>
      </w:r>
      <w:r w:rsidRPr="0099324A">
        <w:t xml:space="preserve"> y de conformidad con el número 476 del Convenio y la </w:t>
      </w:r>
      <w:hyperlink r:id="rId10" w:history="1">
        <w:r w:rsidRPr="00B4644F">
          <w:rPr>
            <w:rStyle w:val="Hyperlink"/>
          </w:rPr>
          <w:t>Resolución 925 del Consejo</w:t>
        </w:r>
      </w:hyperlink>
      <w:r w:rsidRPr="0099324A">
        <w:t>.</w:t>
      </w:r>
      <w:bookmarkEnd w:id="13"/>
    </w:p>
    <w:p w14:paraId="2B302CF5" w14:textId="5E0BDD0A" w:rsidR="0099324A" w:rsidRPr="0099324A" w:rsidRDefault="0099324A" w:rsidP="0099324A">
      <w:r w:rsidRPr="0099324A">
        <w:lastRenderedPageBreak/>
        <w:t>1.2</w:t>
      </w:r>
      <w:r w:rsidRPr="0099324A">
        <w:tab/>
        <w:t>El Consejo concede la exoneración del pago de contribuciones después de proceder a un análisis de los Sectores pertinentes y de la recomendación del Secretario General. Si son aprobadas, esas organizaciones pasan a ser Miembros de Sector o Asociados en virtud del número</w:t>
      </w:r>
      <w:r w:rsidR="00B4644F">
        <w:t> </w:t>
      </w:r>
      <w:r w:rsidRPr="0099324A">
        <w:t>231 del Convenio.</w:t>
      </w:r>
    </w:p>
    <w:p w14:paraId="72398041" w14:textId="730E830F" w:rsidR="0099324A" w:rsidRPr="0099324A" w:rsidRDefault="0099324A" w:rsidP="0099324A">
      <w:pPr>
        <w:rPr>
          <w:rFonts w:asciiTheme="minorHAnsi" w:eastAsiaTheme="minorEastAsia" w:hAnsiTheme="minorHAnsi" w:cstheme="minorBidi"/>
        </w:rPr>
      </w:pPr>
      <w:r w:rsidRPr="0099324A">
        <w:t>1.3</w:t>
      </w:r>
      <w:r w:rsidRPr="0099324A">
        <w:tab/>
      </w:r>
      <w:bookmarkStart w:id="14" w:name="lt_pId031"/>
      <w:r w:rsidRPr="0099324A">
        <w:t xml:space="preserve">Actualmente hay unas 130 organizaciones de carácter internacional que gozan de exoneración. Se puede consultar la lista completa </w:t>
      </w:r>
      <w:hyperlink r:id="rId11" w:history="1">
        <w:r w:rsidRPr="00B4644F">
          <w:rPr>
            <w:rStyle w:val="Hyperlink"/>
          </w:rPr>
          <w:t>aquí</w:t>
        </w:r>
        <w:bookmarkStart w:id="15" w:name="lt_pId032"/>
        <w:bookmarkEnd w:id="14"/>
      </w:hyperlink>
      <w:r w:rsidRPr="0099324A">
        <w:rPr>
          <w:rFonts w:asciiTheme="minorHAnsi" w:eastAsiaTheme="minorEastAsia" w:hAnsiTheme="minorHAnsi" w:cstheme="minorBidi"/>
        </w:rPr>
        <w:t>.</w:t>
      </w:r>
      <w:bookmarkEnd w:id="15"/>
    </w:p>
    <w:p w14:paraId="22FA21DF" w14:textId="77777777" w:rsidR="0099324A" w:rsidRPr="0099324A" w:rsidRDefault="0099324A" w:rsidP="0099324A">
      <w:r w:rsidRPr="0099324A">
        <w:rPr>
          <w:rFonts w:asciiTheme="minorHAnsi" w:eastAsiaTheme="minorEastAsia" w:hAnsiTheme="minorHAnsi" w:cstheme="minorBidi"/>
        </w:rPr>
        <w:t>1.4</w:t>
      </w:r>
      <w:r w:rsidRPr="0099324A">
        <w:rPr>
          <w:rFonts w:asciiTheme="minorHAnsi" w:eastAsiaTheme="minorEastAsia" w:hAnsiTheme="minorHAnsi" w:cstheme="minorBidi"/>
        </w:rPr>
        <w:tab/>
      </w:r>
      <w:r w:rsidRPr="0099324A">
        <w:t>En su Resolución 187 (Busán, 2014), la PP-14 encarga al Consejo "que examine la práctica y los criterios para exonerar a las entidades del pago de contribuciones y, de ser necesario, realice los cambios para hacer más estrictos los criterios de admisibilidad a fin de aportar mayor claridad, coherencia y equidad entre los miembros que pagan y que no pagan, y reducir el número total de entidades exoneradas".</w:t>
      </w:r>
    </w:p>
    <w:p w14:paraId="70F21CFC" w14:textId="2EE22D35" w:rsidR="0099324A" w:rsidRPr="0099324A" w:rsidRDefault="0099324A" w:rsidP="0099324A">
      <w:pPr>
        <w:rPr>
          <w:rFonts w:eastAsia="Calibri"/>
        </w:rPr>
      </w:pPr>
      <w:r w:rsidRPr="0099324A">
        <w:t>1.5</w:t>
      </w:r>
      <w:r w:rsidRPr="0099324A">
        <w:tab/>
      </w:r>
      <w:bookmarkStart w:id="16" w:name="lt_pId036"/>
      <w:r w:rsidRPr="0099324A">
        <w:rPr>
          <w:rFonts w:eastAsia="Calibri"/>
        </w:rPr>
        <w:t xml:space="preserve">En su reunión de 2017, el Consejo aprobó los criterios revisados, que se pueden consultar </w:t>
      </w:r>
      <w:hyperlink r:id="rId12" w:history="1">
        <w:r w:rsidRPr="00B4644F">
          <w:rPr>
            <w:rStyle w:val="Hyperlink"/>
            <w:rFonts w:eastAsia="Calibri"/>
          </w:rPr>
          <w:t>aquí</w:t>
        </w:r>
      </w:hyperlink>
      <w:r w:rsidRPr="0099324A">
        <w:rPr>
          <w:rFonts w:eastAsia="Calibri"/>
        </w:rPr>
        <w:t xml:space="preserve">. </w:t>
      </w:r>
      <w:r w:rsidRPr="0099324A">
        <w:t>Desde</w:t>
      </w:r>
      <w:r w:rsidRPr="0099324A">
        <w:rPr>
          <w:rFonts w:eastAsia="Calibri"/>
        </w:rPr>
        <w:t xml:space="preserve"> entonces, en cada reunión del Consejo se examinan las nuevas solicitudes con arreglo a estos criterios</w:t>
      </w:r>
      <w:bookmarkEnd w:id="16"/>
      <w:r w:rsidR="00B4644F">
        <w:rPr>
          <w:rFonts w:eastAsia="Calibri"/>
        </w:rPr>
        <w:t>.</w:t>
      </w:r>
    </w:p>
    <w:p w14:paraId="134ED980" w14:textId="77777777" w:rsidR="0099324A" w:rsidRPr="0099324A" w:rsidRDefault="0099324A" w:rsidP="0099324A">
      <w:pPr>
        <w:rPr>
          <w:rFonts w:asciiTheme="minorHAnsi" w:eastAsiaTheme="minorEastAsia" w:hAnsiTheme="minorHAnsi" w:cstheme="minorBidi"/>
          <w:lang w:eastAsia="zh-CN"/>
        </w:rPr>
      </w:pPr>
      <w:r w:rsidRPr="0099324A">
        <w:rPr>
          <w:rFonts w:eastAsia="Calibri" w:cs="Calibri"/>
        </w:rPr>
        <w:t>1.6</w:t>
      </w:r>
      <w:r w:rsidRPr="0099324A">
        <w:rPr>
          <w:rFonts w:eastAsia="Calibri"/>
        </w:rPr>
        <w:tab/>
      </w:r>
      <w:bookmarkStart w:id="17" w:name="lt_pId039"/>
      <w:r w:rsidRPr="0099324A">
        <w:rPr>
          <w:rFonts w:eastAsia="Calibri"/>
        </w:rPr>
        <w:t>En su reunión de 2019, el Consejo decidió aplicar los criterios revisados a las nuevas solicitudes y mantener (es decir, "preservar") la lista actual durante otros cuatro años como medida de transición. En los últimos meses, la Secretaría se ha puesto en contacto con todas las entidades que actualmente gozan de exoneración a fin de que actualicen su documentación y confirmen si desean seguir beneficiándose de la exoneración en régimen de reciprocidad. Por consiguiente, la Secretaría está examinando la lista de las entidades con exoneración para determinar si cumplen los criterios revisados con el fin de presentar un informe completo para su consideración en la próxima reunión del Consejo.</w:t>
      </w:r>
      <w:bookmarkEnd w:id="17"/>
    </w:p>
    <w:p w14:paraId="52FAB0FB" w14:textId="77777777" w:rsidR="0099324A" w:rsidRPr="0099324A" w:rsidRDefault="0099324A" w:rsidP="0099324A">
      <w:pPr>
        <w:pStyle w:val="Heading1"/>
        <w:rPr>
          <w:rFonts w:eastAsia="Calibri"/>
        </w:rPr>
      </w:pPr>
      <w:r w:rsidRPr="0099324A">
        <w:rPr>
          <w:rFonts w:eastAsia="Calibri"/>
        </w:rPr>
        <w:t>2</w:t>
      </w:r>
      <w:r w:rsidRPr="0099324A">
        <w:rPr>
          <w:rFonts w:eastAsia="Calibri"/>
        </w:rPr>
        <w:tab/>
      </w:r>
      <w:bookmarkStart w:id="18" w:name="lt_pId043"/>
      <w:r w:rsidRPr="0099324A">
        <w:rPr>
          <w:rFonts w:eastAsia="Calibri"/>
        </w:rPr>
        <w:t>Nuevas solicitudes y recomendaciones</w:t>
      </w:r>
      <w:bookmarkEnd w:id="18"/>
    </w:p>
    <w:p w14:paraId="766470D6" w14:textId="77777777" w:rsidR="0099324A" w:rsidRPr="0099324A" w:rsidRDefault="0099324A" w:rsidP="0099324A">
      <w:pPr>
        <w:rPr>
          <w:rFonts w:eastAsia="SimSun"/>
        </w:rPr>
      </w:pPr>
      <w:r w:rsidRPr="0099324A">
        <w:rPr>
          <w:rFonts w:eastAsia="SimSun"/>
        </w:rPr>
        <w:t>2.1</w:t>
      </w:r>
    </w:p>
    <w:tbl>
      <w:tblPr>
        <w:tblW w:w="8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874"/>
        <w:gridCol w:w="1292"/>
        <w:gridCol w:w="3141"/>
      </w:tblGrid>
      <w:tr w:rsidR="0099324A" w:rsidRPr="0099324A" w14:paraId="741473D3" w14:textId="77777777" w:rsidTr="00EB1D91">
        <w:trPr>
          <w:cantSplit/>
          <w:trHeight w:val="155"/>
          <w:jc w:val="center"/>
        </w:trPr>
        <w:tc>
          <w:tcPr>
            <w:tcW w:w="3874" w:type="dxa"/>
          </w:tcPr>
          <w:p w14:paraId="0649B1EA" w14:textId="77777777" w:rsidR="0099324A" w:rsidRPr="0099324A" w:rsidRDefault="0099324A" w:rsidP="00EB1D91">
            <w:pPr>
              <w:pStyle w:val="Tablehead"/>
              <w:rPr>
                <w:rFonts w:eastAsia="Calibri"/>
              </w:rPr>
            </w:pPr>
            <w:bookmarkStart w:id="19" w:name="lt_pId045"/>
            <w:r w:rsidRPr="0099324A">
              <w:rPr>
                <w:rFonts w:eastAsia="Calibri"/>
              </w:rPr>
              <w:t>Organización</w:t>
            </w:r>
            <w:bookmarkEnd w:id="19"/>
          </w:p>
        </w:tc>
        <w:tc>
          <w:tcPr>
            <w:tcW w:w="1292" w:type="dxa"/>
          </w:tcPr>
          <w:p w14:paraId="543B0E56" w14:textId="77777777" w:rsidR="0099324A" w:rsidRPr="0099324A" w:rsidRDefault="0099324A" w:rsidP="00EB1D91">
            <w:pPr>
              <w:pStyle w:val="Tablehead"/>
              <w:rPr>
                <w:rFonts w:eastAsia="Calibri"/>
              </w:rPr>
            </w:pPr>
            <w:bookmarkStart w:id="20" w:name="lt_pId046"/>
            <w:r w:rsidRPr="0099324A">
              <w:rPr>
                <w:rFonts w:eastAsia="Calibri"/>
              </w:rPr>
              <w:t>Sector</w:t>
            </w:r>
            <w:bookmarkEnd w:id="20"/>
          </w:p>
        </w:tc>
        <w:tc>
          <w:tcPr>
            <w:tcW w:w="3141" w:type="dxa"/>
          </w:tcPr>
          <w:p w14:paraId="78A1D926" w14:textId="77777777" w:rsidR="0099324A" w:rsidRPr="0099324A" w:rsidRDefault="0099324A" w:rsidP="00EB1D91">
            <w:pPr>
              <w:pStyle w:val="Tablehead"/>
              <w:rPr>
                <w:rFonts w:eastAsia="Calibri"/>
              </w:rPr>
            </w:pPr>
            <w:bookmarkStart w:id="21" w:name="lt_pId047"/>
            <w:r w:rsidRPr="0099324A">
              <w:rPr>
                <w:rFonts w:eastAsia="Calibri"/>
              </w:rPr>
              <w:t>Recomendación:</w:t>
            </w:r>
            <w:bookmarkEnd w:id="21"/>
          </w:p>
        </w:tc>
      </w:tr>
      <w:tr w:rsidR="0099324A" w:rsidRPr="0099324A" w14:paraId="0963B0F7" w14:textId="77777777" w:rsidTr="00EB1D91">
        <w:trPr>
          <w:cantSplit/>
          <w:trHeight w:val="45"/>
          <w:jc w:val="center"/>
        </w:trPr>
        <w:tc>
          <w:tcPr>
            <w:tcW w:w="3874" w:type="dxa"/>
            <w:vAlign w:val="center"/>
          </w:tcPr>
          <w:p w14:paraId="4FAC4A95" w14:textId="77777777" w:rsidR="0099324A" w:rsidRPr="0099324A" w:rsidRDefault="0099324A" w:rsidP="00B4644F">
            <w:pPr>
              <w:pStyle w:val="Tabletext"/>
              <w:rPr>
                <w:rFonts w:eastAsia="Calibri"/>
                <w:b/>
                <w:bCs/>
              </w:rPr>
            </w:pPr>
            <w:bookmarkStart w:id="22" w:name="lt_pId048"/>
            <w:r w:rsidRPr="0099324A">
              <w:rPr>
                <w:rFonts w:eastAsia="Calibri"/>
                <w:b/>
                <w:bCs/>
              </w:rPr>
              <w:t>Digital Cooperation Organization (DCO)</w:t>
            </w:r>
            <w:bookmarkEnd w:id="22"/>
          </w:p>
        </w:tc>
        <w:tc>
          <w:tcPr>
            <w:tcW w:w="1292" w:type="dxa"/>
            <w:vAlign w:val="center"/>
          </w:tcPr>
          <w:p w14:paraId="1FB60362" w14:textId="77777777" w:rsidR="0099324A" w:rsidRPr="0099324A" w:rsidRDefault="0099324A" w:rsidP="00EB1D91">
            <w:pPr>
              <w:pStyle w:val="Tabletext"/>
              <w:jc w:val="center"/>
              <w:rPr>
                <w:rFonts w:eastAsia="Calibri"/>
              </w:rPr>
            </w:pPr>
            <w:bookmarkStart w:id="23" w:name="lt_pId049"/>
            <w:r w:rsidRPr="0099324A">
              <w:rPr>
                <w:rFonts w:eastAsia="Calibri"/>
              </w:rPr>
              <w:t>UIT-D</w:t>
            </w:r>
            <w:bookmarkEnd w:id="23"/>
          </w:p>
        </w:tc>
        <w:tc>
          <w:tcPr>
            <w:tcW w:w="3141" w:type="dxa"/>
            <w:vAlign w:val="center"/>
          </w:tcPr>
          <w:p w14:paraId="24AC847F" w14:textId="77777777" w:rsidR="0099324A" w:rsidRPr="0099324A" w:rsidRDefault="0099324A" w:rsidP="00EB1D91">
            <w:pPr>
              <w:pStyle w:val="Tabletext"/>
              <w:jc w:val="center"/>
              <w:rPr>
                <w:rFonts w:eastAsia="Calibri"/>
              </w:rPr>
            </w:pPr>
            <w:bookmarkStart w:id="24" w:name="lt_pId050"/>
            <w:r w:rsidRPr="0099324A">
              <w:rPr>
                <w:rFonts w:eastAsia="Calibri"/>
              </w:rPr>
              <w:t>SÍ</w:t>
            </w:r>
            <w:bookmarkEnd w:id="24"/>
          </w:p>
        </w:tc>
      </w:tr>
    </w:tbl>
    <w:p w14:paraId="25D6CA2D" w14:textId="77777777" w:rsidR="0099324A" w:rsidRPr="0099324A" w:rsidRDefault="0099324A" w:rsidP="0099324A">
      <w:pPr>
        <w:rPr>
          <w:rFonts w:eastAsia="Calibri"/>
        </w:rPr>
      </w:pPr>
      <w:r w:rsidRPr="0099324A">
        <w:rPr>
          <w:rFonts w:eastAsia="Calibri"/>
        </w:rPr>
        <w:t>Con sede en Arabia Saudita, la Organización de Cooperación Digital (DCO) fue creada en 2020 por siete Estados Miembros con el fin de impulsar una mayor colaboración y cooperación en materia de emprendimiento, innovación, crecimiento empresarial y empleo en una economía digital compartida. Sus siete países miembros fundadores son Arabia Saudita, Bahréin, Jordania, Kuwait, Nigeria, Omán y Pakistán. La Secretaría considera que esta entidad cumple los criterios para la obtención de la exoneración del UIT-D.</w:t>
      </w:r>
    </w:p>
    <w:p w14:paraId="3C16F551" w14:textId="77777777" w:rsidR="0099324A" w:rsidRPr="0099324A" w:rsidRDefault="0099324A" w:rsidP="0099324A">
      <w:r w:rsidRPr="0099324A">
        <w:t>2.2</w:t>
      </w:r>
    </w:p>
    <w:tbl>
      <w:tblPr>
        <w:tblW w:w="8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16"/>
        <w:gridCol w:w="1414"/>
        <w:gridCol w:w="3377"/>
      </w:tblGrid>
      <w:tr w:rsidR="0099324A" w:rsidRPr="0099324A" w14:paraId="1CE930E7" w14:textId="77777777" w:rsidTr="00EB1D91">
        <w:trPr>
          <w:cantSplit/>
          <w:jc w:val="center"/>
        </w:trPr>
        <w:tc>
          <w:tcPr>
            <w:tcW w:w="3516" w:type="dxa"/>
          </w:tcPr>
          <w:p w14:paraId="57CDFD84" w14:textId="77777777" w:rsidR="0099324A" w:rsidRPr="0099324A" w:rsidRDefault="0099324A" w:rsidP="00EB1D91">
            <w:pPr>
              <w:pStyle w:val="Tablehead"/>
              <w:rPr>
                <w:rFonts w:eastAsia="Calibri"/>
              </w:rPr>
            </w:pPr>
            <w:bookmarkStart w:id="25" w:name="lt_pId055"/>
            <w:r w:rsidRPr="0099324A">
              <w:rPr>
                <w:rFonts w:eastAsia="Calibri"/>
              </w:rPr>
              <w:t>Organización</w:t>
            </w:r>
            <w:bookmarkEnd w:id="25"/>
          </w:p>
        </w:tc>
        <w:tc>
          <w:tcPr>
            <w:tcW w:w="1414" w:type="dxa"/>
          </w:tcPr>
          <w:p w14:paraId="148389AC" w14:textId="77777777" w:rsidR="0099324A" w:rsidRPr="0099324A" w:rsidRDefault="0099324A" w:rsidP="00EB1D91">
            <w:pPr>
              <w:pStyle w:val="Tablehead"/>
              <w:rPr>
                <w:rFonts w:eastAsia="Calibri"/>
              </w:rPr>
            </w:pPr>
            <w:bookmarkStart w:id="26" w:name="lt_pId056"/>
            <w:r w:rsidRPr="0099324A">
              <w:rPr>
                <w:rFonts w:eastAsia="Calibri"/>
              </w:rPr>
              <w:t>Sector</w:t>
            </w:r>
            <w:bookmarkEnd w:id="26"/>
          </w:p>
        </w:tc>
        <w:tc>
          <w:tcPr>
            <w:tcW w:w="3377" w:type="dxa"/>
          </w:tcPr>
          <w:p w14:paraId="1545415C" w14:textId="77777777" w:rsidR="0099324A" w:rsidRPr="0099324A" w:rsidRDefault="0099324A" w:rsidP="00EB1D91">
            <w:pPr>
              <w:pStyle w:val="Tablehead"/>
              <w:rPr>
                <w:rFonts w:eastAsia="Calibri"/>
              </w:rPr>
            </w:pPr>
            <w:bookmarkStart w:id="27" w:name="lt_pId057"/>
            <w:r w:rsidRPr="0099324A">
              <w:rPr>
                <w:rFonts w:eastAsia="Calibri"/>
              </w:rPr>
              <w:t>Recomendación:</w:t>
            </w:r>
            <w:bookmarkEnd w:id="27"/>
          </w:p>
        </w:tc>
      </w:tr>
      <w:tr w:rsidR="0099324A" w:rsidRPr="0099324A" w14:paraId="23241337" w14:textId="77777777" w:rsidTr="00EB1D91">
        <w:trPr>
          <w:cantSplit/>
          <w:jc w:val="center"/>
        </w:trPr>
        <w:tc>
          <w:tcPr>
            <w:tcW w:w="3516" w:type="dxa"/>
            <w:vAlign w:val="center"/>
          </w:tcPr>
          <w:p w14:paraId="3905D686" w14:textId="77777777" w:rsidR="0099324A" w:rsidRPr="0099324A" w:rsidRDefault="0099324A" w:rsidP="00EB1D91">
            <w:pPr>
              <w:pStyle w:val="Tabletext"/>
              <w:rPr>
                <w:rFonts w:eastAsia="Calibri"/>
                <w:b/>
                <w:bCs/>
              </w:rPr>
            </w:pPr>
            <w:bookmarkStart w:id="28" w:name="lt_pId058"/>
            <w:r w:rsidRPr="0099324A">
              <w:rPr>
                <w:rFonts w:eastAsia="Calibri"/>
                <w:b/>
                <w:bCs/>
              </w:rPr>
              <w:t xml:space="preserve">Telecommunications </w:t>
            </w:r>
            <w:r w:rsidRPr="0099324A">
              <w:rPr>
                <w:rFonts w:eastAsia="SimSun"/>
                <w:b/>
                <w:bCs/>
              </w:rPr>
              <w:t>Standards</w:t>
            </w:r>
            <w:r w:rsidRPr="0099324A">
              <w:rPr>
                <w:rFonts w:eastAsia="Calibri"/>
                <w:b/>
                <w:bCs/>
              </w:rPr>
              <w:t xml:space="preserve"> Development Society, India (TSDSI)</w:t>
            </w:r>
            <w:bookmarkEnd w:id="28"/>
          </w:p>
        </w:tc>
        <w:tc>
          <w:tcPr>
            <w:tcW w:w="1414" w:type="dxa"/>
            <w:vAlign w:val="center"/>
          </w:tcPr>
          <w:p w14:paraId="180C9B58" w14:textId="618CBB04" w:rsidR="0099324A" w:rsidRPr="0099324A" w:rsidRDefault="0099324A" w:rsidP="0099324A">
            <w:pPr>
              <w:pStyle w:val="Tabletext"/>
              <w:jc w:val="center"/>
              <w:rPr>
                <w:rFonts w:eastAsia="Calibri"/>
              </w:rPr>
            </w:pPr>
            <w:r w:rsidRPr="0099324A">
              <w:rPr>
                <w:rFonts w:eastAsia="Calibri"/>
              </w:rPr>
              <w:t>UIT-R</w:t>
            </w:r>
            <w:r w:rsidRPr="0099324A">
              <w:rPr>
                <w:rFonts w:eastAsia="Calibri"/>
              </w:rPr>
              <w:br/>
              <w:t>UIT-T</w:t>
            </w:r>
          </w:p>
        </w:tc>
        <w:tc>
          <w:tcPr>
            <w:tcW w:w="3377" w:type="dxa"/>
            <w:vAlign w:val="center"/>
          </w:tcPr>
          <w:p w14:paraId="36B043C1" w14:textId="77777777" w:rsidR="0099324A" w:rsidRPr="0099324A" w:rsidRDefault="0099324A" w:rsidP="00EB1D91">
            <w:pPr>
              <w:pStyle w:val="Tabletext"/>
              <w:jc w:val="center"/>
              <w:rPr>
                <w:rFonts w:eastAsia="Calibri"/>
              </w:rPr>
            </w:pPr>
            <w:bookmarkStart w:id="29" w:name="lt_pId061"/>
            <w:r w:rsidRPr="0099324A">
              <w:rPr>
                <w:rFonts w:eastAsia="Calibri"/>
              </w:rPr>
              <w:t>Aplazar hasta la próxima reunión del Consejo en el marco del examen de la lista completa</w:t>
            </w:r>
            <w:bookmarkEnd w:id="29"/>
          </w:p>
        </w:tc>
      </w:tr>
    </w:tbl>
    <w:p w14:paraId="74D9A6AA" w14:textId="356B1833" w:rsidR="0099324A" w:rsidRPr="0099324A" w:rsidRDefault="0099324A" w:rsidP="0099324A">
      <w:bookmarkStart w:id="30" w:name="lt_pId062"/>
      <w:r w:rsidRPr="0099324A">
        <w:t xml:space="preserve">La TSDSI fue creada como organismo autónomo por representantes del sector industrial de la India, de instituciones académicas y de investigación y del Gobierno de la India como entidad sin ánimo de lucro, con el fin de impulsar las actividades de normalización de las telecomunicaciones </w:t>
      </w:r>
      <w:r w:rsidRPr="0099324A">
        <w:lastRenderedPageBreak/>
        <w:t>en la India y proyectar los intereses de la India en los foros internacionales. Entre los miembros de la TSDSI figuran empresas internacionales e instituciones académicas y de investigación de numerosos países. La TSDSI ha firmado acuerdos de asociación con varias organizaciones de normalización y foros de TIC mundiales y se ha hecho miembro de la UIT para contribuir a la elaboración de normas internacionales. Actualmente, la TSDSI es miembro asociado de pago del UIT-R y del UIT-T.</w:t>
      </w:r>
      <w:bookmarkEnd w:id="30"/>
    </w:p>
    <w:p w14:paraId="5CDBB201" w14:textId="77777777" w:rsidR="0099324A" w:rsidRPr="0099324A" w:rsidRDefault="0099324A" w:rsidP="0099324A">
      <w:bookmarkStart w:id="31" w:name="lt_pId066"/>
      <w:r w:rsidRPr="0099324A">
        <w:t xml:space="preserve">Si bien la TSDSI realiza actividades a nivel internacional, incluso en la UIT, y cuenta con miembros internacionales, sus integrantes son principalmente empresas con fines de lucro. Además, la TSDSI está registrada como entidad nacional y no como organización internacional o regional. La Secretaría recomienda que esta solicitud se aplace hasta que se examine la lista completa de entidades que gozan de exoneración con arreglo a los criterios revisados por el Consejo en 2017 a fin de asegurar la coherencia entre organizaciones de naturaleza similar. </w:t>
      </w:r>
      <w:bookmarkEnd w:id="31"/>
    </w:p>
    <w:p w14:paraId="7348C014" w14:textId="77777777" w:rsidR="0099324A" w:rsidRPr="0099324A" w:rsidRDefault="0099324A" w:rsidP="0099324A">
      <w:r w:rsidRPr="0099324A">
        <w:t>2.3</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99324A" w:rsidRPr="0099324A" w14:paraId="27A4AAAE" w14:textId="77777777" w:rsidTr="00EB1D91">
        <w:trPr>
          <w:cantSplit/>
          <w:jc w:val="center"/>
        </w:trPr>
        <w:tc>
          <w:tcPr>
            <w:tcW w:w="4331" w:type="dxa"/>
          </w:tcPr>
          <w:p w14:paraId="48FDB8CD" w14:textId="77777777" w:rsidR="0099324A" w:rsidRPr="0099324A" w:rsidRDefault="0099324A" w:rsidP="00EB1D91">
            <w:pPr>
              <w:pStyle w:val="Tablehead"/>
              <w:rPr>
                <w:rFonts w:eastAsia="Calibri"/>
              </w:rPr>
            </w:pPr>
            <w:bookmarkStart w:id="32" w:name="lt_pId070"/>
            <w:r w:rsidRPr="0099324A">
              <w:rPr>
                <w:rFonts w:eastAsia="Calibri"/>
              </w:rPr>
              <w:t>Organización</w:t>
            </w:r>
            <w:bookmarkEnd w:id="32"/>
          </w:p>
        </w:tc>
        <w:tc>
          <w:tcPr>
            <w:tcW w:w="1559" w:type="dxa"/>
          </w:tcPr>
          <w:p w14:paraId="48A75BED" w14:textId="77777777" w:rsidR="0099324A" w:rsidRPr="0099324A" w:rsidRDefault="0099324A" w:rsidP="00EB1D91">
            <w:pPr>
              <w:pStyle w:val="Tablehead"/>
              <w:rPr>
                <w:rFonts w:eastAsia="Calibri"/>
              </w:rPr>
            </w:pPr>
            <w:bookmarkStart w:id="33" w:name="lt_pId071"/>
            <w:r w:rsidRPr="0099324A">
              <w:rPr>
                <w:rFonts w:eastAsia="Calibri"/>
              </w:rPr>
              <w:t>Sector</w:t>
            </w:r>
            <w:bookmarkEnd w:id="33"/>
          </w:p>
        </w:tc>
        <w:tc>
          <w:tcPr>
            <w:tcW w:w="3325" w:type="dxa"/>
          </w:tcPr>
          <w:p w14:paraId="577E6990" w14:textId="77777777" w:rsidR="0099324A" w:rsidRPr="0099324A" w:rsidRDefault="0099324A" w:rsidP="00EB1D91">
            <w:pPr>
              <w:pStyle w:val="Tablehead"/>
              <w:rPr>
                <w:rFonts w:eastAsia="Calibri"/>
              </w:rPr>
            </w:pPr>
            <w:bookmarkStart w:id="34" w:name="lt_pId072"/>
            <w:r w:rsidRPr="0099324A">
              <w:rPr>
                <w:rFonts w:eastAsia="Calibri"/>
              </w:rPr>
              <w:t>Recomendación:</w:t>
            </w:r>
            <w:bookmarkEnd w:id="34"/>
          </w:p>
        </w:tc>
      </w:tr>
      <w:tr w:rsidR="0099324A" w:rsidRPr="0099324A" w14:paraId="76902C45" w14:textId="77777777" w:rsidTr="00EB1D91">
        <w:trPr>
          <w:cantSplit/>
          <w:jc w:val="center"/>
        </w:trPr>
        <w:tc>
          <w:tcPr>
            <w:tcW w:w="4331" w:type="dxa"/>
            <w:vAlign w:val="center"/>
          </w:tcPr>
          <w:p w14:paraId="7334A83B" w14:textId="77777777" w:rsidR="0099324A" w:rsidRPr="0099324A" w:rsidRDefault="0099324A" w:rsidP="0099324A">
            <w:pPr>
              <w:pStyle w:val="Tabletext"/>
              <w:rPr>
                <w:rFonts w:eastAsia="SimSun"/>
                <w:b/>
                <w:bCs/>
              </w:rPr>
            </w:pPr>
            <w:bookmarkStart w:id="35" w:name="lt_pId073"/>
            <w:r w:rsidRPr="0099324A">
              <w:rPr>
                <w:rFonts w:eastAsia="SimSun"/>
                <w:b/>
                <w:bCs/>
              </w:rPr>
              <w:t>IoT Lab</w:t>
            </w:r>
            <w:bookmarkEnd w:id="35"/>
          </w:p>
        </w:tc>
        <w:tc>
          <w:tcPr>
            <w:tcW w:w="1559" w:type="dxa"/>
            <w:vAlign w:val="center"/>
          </w:tcPr>
          <w:p w14:paraId="4626C32A" w14:textId="77777777" w:rsidR="0099324A" w:rsidRPr="0099324A" w:rsidRDefault="0099324A" w:rsidP="0099324A">
            <w:pPr>
              <w:pStyle w:val="Tabletext"/>
              <w:jc w:val="center"/>
              <w:rPr>
                <w:rFonts w:eastAsia="SimSun"/>
              </w:rPr>
            </w:pPr>
            <w:bookmarkStart w:id="36" w:name="lt_pId074"/>
            <w:r w:rsidRPr="0099324A">
              <w:rPr>
                <w:rFonts w:eastAsia="SimSun"/>
              </w:rPr>
              <w:t>ITU-T</w:t>
            </w:r>
            <w:bookmarkEnd w:id="36"/>
          </w:p>
        </w:tc>
        <w:tc>
          <w:tcPr>
            <w:tcW w:w="3325" w:type="dxa"/>
            <w:vAlign w:val="center"/>
          </w:tcPr>
          <w:p w14:paraId="5819F31B" w14:textId="77777777" w:rsidR="0099324A" w:rsidRPr="0099324A" w:rsidRDefault="0099324A" w:rsidP="0099324A">
            <w:pPr>
              <w:pStyle w:val="Tabletext"/>
              <w:jc w:val="center"/>
              <w:rPr>
                <w:rFonts w:eastAsia="SimSun"/>
              </w:rPr>
            </w:pPr>
            <w:bookmarkStart w:id="37" w:name="lt_pId075"/>
            <w:r w:rsidRPr="0099324A">
              <w:rPr>
                <w:rFonts w:eastAsia="SimSun"/>
              </w:rPr>
              <w:t>Aplazar hasta la próxima reunión del Consejo en el marco del examen de la lista completa</w:t>
            </w:r>
            <w:bookmarkEnd w:id="37"/>
          </w:p>
        </w:tc>
      </w:tr>
    </w:tbl>
    <w:p w14:paraId="13FF4EA0" w14:textId="77777777" w:rsidR="0099324A" w:rsidRPr="0099324A" w:rsidRDefault="0099324A" w:rsidP="0099324A">
      <w:bookmarkStart w:id="38" w:name="lt_pId076"/>
      <w:r w:rsidRPr="0099324A">
        <w:t>Ubicada en Suiza, IoT Lab es una plataforma internacional de servicios y recursos para la Internet de las cosas (IoT), que reúne a diversos servicios, entre los que destacan los servicios de IoT, privacidad y seguridad, laboratorio de pruebas, la transferencia de Tecnología, los ODS y las redes y la comunidad. Esta solicitud fue aplazada por el Consejo en su reunión de 2021, a la espera de nuevas consultas y estudios. Dada su composición mixta de actores industriales y académicos, la Secretaría recomienda que esta solicitud se aplace hasta tanto se examine la lista completa de entidades con exoneración con arreglo a los criterios revisados por el Consejo en 2017, a fin de asegurar la coherencia entre organizaciones de naturaleza similar.</w:t>
      </w:r>
    </w:p>
    <w:bookmarkEnd w:id="38"/>
    <w:p w14:paraId="6BF7EF4F" w14:textId="77777777" w:rsidR="0099324A" w:rsidRPr="0099324A" w:rsidRDefault="0099324A" w:rsidP="00411C49">
      <w:pPr>
        <w:pStyle w:val="Reasons"/>
      </w:pPr>
    </w:p>
    <w:p w14:paraId="21A49599" w14:textId="77777777" w:rsidR="0099324A" w:rsidRPr="0099324A" w:rsidRDefault="0099324A">
      <w:pPr>
        <w:jc w:val="center"/>
      </w:pPr>
      <w:r w:rsidRPr="0099324A">
        <w:t>______________</w:t>
      </w:r>
    </w:p>
    <w:sectPr w:rsidR="0099324A" w:rsidRPr="0099324A"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6D62" w14:textId="77777777" w:rsidR="000D3D0C" w:rsidRDefault="000D3D0C">
      <w:r>
        <w:separator/>
      </w:r>
    </w:p>
  </w:endnote>
  <w:endnote w:type="continuationSeparator" w:id="0">
    <w:p w14:paraId="2CC12A4D" w14:textId="77777777" w:rsidR="000D3D0C" w:rsidRDefault="000D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88E6" w14:textId="72A94E2E" w:rsidR="00760F1C" w:rsidRPr="0099324A" w:rsidRDefault="00D50A36">
    <w:pPr>
      <w:pStyle w:val="Footer"/>
      <w:rPr>
        <w:lang w:val="fr-FR"/>
      </w:rPr>
    </w:pPr>
    <w:r w:rsidRPr="007F57B7">
      <w:rPr>
        <w:color w:val="F2F2F2" w:themeColor="background1" w:themeShade="F2"/>
      </w:rPr>
      <w:fldChar w:fldCharType="begin"/>
    </w:r>
    <w:r w:rsidRPr="007F57B7">
      <w:rPr>
        <w:color w:val="F2F2F2" w:themeColor="background1" w:themeShade="F2"/>
        <w:lang w:val="fr-FR"/>
      </w:rPr>
      <w:instrText xml:space="preserve"> FILENAME \p \* MERGEFORMAT </w:instrText>
    </w:r>
    <w:r w:rsidRPr="007F57B7">
      <w:rPr>
        <w:color w:val="F2F2F2" w:themeColor="background1" w:themeShade="F2"/>
      </w:rPr>
      <w:fldChar w:fldCharType="separate"/>
    </w:r>
    <w:r w:rsidR="00B4644F" w:rsidRPr="007F57B7">
      <w:rPr>
        <w:color w:val="F2F2F2" w:themeColor="background1" w:themeShade="F2"/>
        <w:lang w:val="fr-FR"/>
      </w:rPr>
      <w:t>P:\ESP\SG\CONSEIL\C22\000\039S.docx</w:t>
    </w:r>
    <w:r w:rsidRPr="007F57B7">
      <w:rPr>
        <w:color w:val="F2F2F2" w:themeColor="background1" w:themeShade="F2"/>
        <w:lang w:val="en-US"/>
      </w:rPr>
      <w:fldChar w:fldCharType="end"/>
    </w:r>
    <w:r w:rsidR="0099324A" w:rsidRPr="007F57B7">
      <w:rPr>
        <w:color w:val="F2F2F2" w:themeColor="background1" w:themeShade="F2"/>
        <w:lang w:val="fr-FR"/>
      </w:rPr>
      <w:t xml:space="preserve"> (498352)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C5D0"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43F8" w14:textId="77777777" w:rsidR="000D3D0C" w:rsidRDefault="000D3D0C">
      <w:r>
        <w:t>____________________</w:t>
      </w:r>
    </w:p>
  </w:footnote>
  <w:footnote w:type="continuationSeparator" w:id="0">
    <w:p w14:paraId="6BD3C9B0" w14:textId="77777777" w:rsidR="000D3D0C" w:rsidRDefault="000D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F99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E4CBBD1" w14:textId="76B095C5" w:rsidR="00760F1C" w:rsidRDefault="00760F1C" w:rsidP="00C2727F">
    <w:pPr>
      <w:pStyle w:val="Header"/>
    </w:pPr>
    <w:r>
      <w:t>C</w:t>
    </w:r>
    <w:r w:rsidR="007955DA">
      <w:t>2</w:t>
    </w:r>
    <w:r w:rsidR="00D50A36">
      <w:t>2</w:t>
    </w:r>
    <w:r>
      <w:t>/</w:t>
    </w:r>
    <w:r w:rsidR="0099324A">
      <w:t>39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0C"/>
    <w:rsid w:val="000007D1"/>
    <w:rsid w:val="00093EEB"/>
    <w:rsid w:val="000B0D00"/>
    <w:rsid w:val="000B7C15"/>
    <w:rsid w:val="000D1D0F"/>
    <w:rsid w:val="000D3D0C"/>
    <w:rsid w:val="000F5290"/>
    <w:rsid w:val="0010165C"/>
    <w:rsid w:val="00146BFB"/>
    <w:rsid w:val="001F14A2"/>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7F57B7"/>
    <w:rsid w:val="00820BE4"/>
    <w:rsid w:val="008451E8"/>
    <w:rsid w:val="00913B9C"/>
    <w:rsid w:val="00956E77"/>
    <w:rsid w:val="0099324A"/>
    <w:rsid w:val="009F4811"/>
    <w:rsid w:val="00AA390C"/>
    <w:rsid w:val="00B0200A"/>
    <w:rsid w:val="00B4644F"/>
    <w:rsid w:val="00B574DB"/>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0ADFC"/>
  <w15:docId w15:val="{C8AB44EB-0FBC-463B-848C-31CC2C8E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0D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hub/membership/our-members/exempted-entitie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S19-CL-C-0141/es" TargetMode="External"/><Relationship Id="rId12" Type="http://schemas.openxmlformats.org/officeDocument/2006/relationships/hyperlink" Target="https://www.itu.int/hub/membership/our-members/exempted-entities/exemption-criteri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hub/membership/our-members/exempted-entitie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19-CL-C-0141/es" TargetMode="External"/><Relationship Id="rId4" Type="http://schemas.openxmlformats.org/officeDocument/2006/relationships/footnotes" Target="footnotes.xml"/><Relationship Id="rId9" Type="http://schemas.openxmlformats.org/officeDocument/2006/relationships/hyperlink" Target="https://www.itu.int/itudoc/gs/council/c00/docs/28rev1-es.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2</TotalTime>
  <Pages>3</Pages>
  <Words>999</Words>
  <Characters>6000</Characters>
  <Application>Microsoft Office Word</Application>
  <DocSecurity>4</DocSecurity>
  <Lines>50</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6986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Exoneración de pago de la cuota de afiliación para las organizaciones de carácter internacional</dc:title>
  <dc:subject>Consejo 2022</dc:subject>
  <dc:creator>SPANISH</dc:creator>
  <cp:keywords>C2022, C22, Council-22</cp:keywords>
  <dc:description/>
  <cp:lastModifiedBy>Xue, Kun</cp:lastModifiedBy>
  <cp:revision>2</cp:revision>
  <cp:lastPrinted>2022-03-01T15:32:00Z</cp:lastPrinted>
  <dcterms:created xsi:type="dcterms:W3CDTF">2022-03-02T10:01:00Z</dcterms:created>
  <dcterms:modified xsi:type="dcterms:W3CDTF">2022-03-02T10:01:00Z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