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3.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A1B23" w:rsidRPr="000C156A" w14:paraId="6CC0403B" w14:textId="77777777" w:rsidTr="00AC0486">
        <w:trPr>
          <w:cantSplit/>
        </w:trPr>
        <w:tc>
          <w:tcPr>
            <w:tcW w:w="6911" w:type="dxa"/>
          </w:tcPr>
          <w:p w14:paraId="16A6F565" w14:textId="1B8D932F" w:rsidR="008A1B23" w:rsidRPr="000C156A" w:rsidRDefault="008A1B23" w:rsidP="008A1B23">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202</w:t>
            </w:r>
            <w:r>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Pr="00AE195F">
              <w:rPr>
                <w:b/>
                <w:bCs/>
                <w:color w:val="000000"/>
                <w:sz w:val="22"/>
                <w:szCs w:val="22"/>
                <w:lang w:eastAsia="zh-CN"/>
              </w:rPr>
              <w:t>2022</w:t>
            </w:r>
            <w:r w:rsidRPr="00AE195F">
              <w:rPr>
                <w:rFonts w:hint="eastAsia"/>
                <w:b/>
                <w:bCs/>
                <w:color w:val="000000"/>
                <w:sz w:val="22"/>
                <w:szCs w:val="22"/>
                <w:lang w:eastAsia="zh-CN"/>
              </w:rPr>
              <w:t>年</w:t>
            </w:r>
            <w:r w:rsidRPr="00AE195F">
              <w:rPr>
                <w:b/>
                <w:bCs/>
                <w:color w:val="000000"/>
                <w:sz w:val="22"/>
                <w:szCs w:val="22"/>
                <w:lang w:eastAsia="zh-CN"/>
              </w:rPr>
              <w:t>3</w:t>
            </w:r>
            <w:r w:rsidRPr="00AE195F">
              <w:rPr>
                <w:rFonts w:hint="eastAsia"/>
                <w:b/>
                <w:bCs/>
                <w:color w:val="000000"/>
                <w:sz w:val="22"/>
                <w:szCs w:val="22"/>
                <w:lang w:eastAsia="zh-CN"/>
              </w:rPr>
              <w:t>月</w:t>
            </w:r>
            <w:r w:rsidRPr="00AE195F">
              <w:rPr>
                <w:b/>
                <w:bCs/>
                <w:color w:val="000000"/>
                <w:sz w:val="22"/>
                <w:szCs w:val="22"/>
                <w:lang w:eastAsia="zh-CN"/>
              </w:rPr>
              <w:t>21-31</w:t>
            </w:r>
            <w:r w:rsidRPr="00AE195F">
              <w:rPr>
                <w:rFonts w:hint="eastAsia"/>
                <w:b/>
                <w:bCs/>
                <w:color w:val="000000"/>
                <w:sz w:val="22"/>
                <w:szCs w:val="22"/>
                <w:lang w:eastAsia="zh-CN"/>
              </w:rPr>
              <w:t>日</w:t>
            </w:r>
            <w:bookmarkStart w:id="0" w:name="_Hlk53061815"/>
            <w:r w:rsidRPr="00AE195F">
              <w:rPr>
                <w:rFonts w:ascii="SimSun" w:hAnsi="SimSun" w:cs="SimSun" w:hint="eastAsia"/>
                <w:b/>
                <w:bCs/>
                <w:smallCaps/>
                <w:sz w:val="22"/>
                <w:szCs w:val="22"/>
                <w:lang w:eastAsia="zh-CN"/>
              </w:rPr>
              <w:t>，</w:t>
            </w:r>
            <w:bookmarkEnd w:id="0"/>
            <w:r w:rsidRPr="00AE195F">
              <w:rPr>
                <w:rFonts w:hint="eastAsia"/>
                <w:b/>
                <w:bCs/>
                <w:color w:val="000000"/>
                <w:sz w:val="22"/>
                <w:szCs w:val="22"/>
                <w:lang w:eastAsia="zh-CN"/>
              </w:rPr>
              <w:t>日内瓦</w:t>
            </w:r>
          </w:p>
        </w:tc>
        <w:tc>
          <w:tcPr>
            <w:tcW w:w="3120" w:type="dxa"/>
          </w:tcPr>
          <w:p w14:paraId="1E20D60C" w14:textId="77777777" w:rsidR="008A1B23" w:rsidRPr="000C156A" w:rsidRDefault="008A1B23" w:rsidP="008A1B23">
            <w:pPr>
              <w:spacing w:before="0"/>
            </w:pPr>
            <w:bookmarkStart w:id="1" w:name="ditulogo"/>
            <w:bookmarkEnd w:id="1"/>
            <w:r w:rsidRPr="000C156A">
              <w:rPr>
                <w:noProof/>
                <w:lang w:val="en-US" w:eastAsia="zh-CN"/>
              </w:rPr>
              <w:drawing>
                <wp:inline distT="0" distB="0" distL="0" distR="0" wp14:anchorId="11C4BE85" wp14:editId="43CD9E0D">
                  <wp:extent cx="682402" cy="720000"/>
                  <wp:effectExtent l="0" t="0" r="3810" b="4445"/>
                  <wp:docPr id="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A1B23" w:rsidRPr="000C156A" w14:paraId="0F2F6703" w14:textId="77777777" w:rsidTr="00AC0486">
        <w:trPr>
          <w:cantSplit/>
        </w:trPr>
        <w:tc>
          <w:tcPr>
            <w:tcW w:w="6911" w:type="dxa"/>
            <w:tcBorders>
              <w:bottom w:val="single" w:sz="12" w:space="0" w:color="auto"/>
            </w:tcBorders>
          </w:tcPr>
          <w:p w14:paraId="266D0847" w14:textId="77777777" w:rsidR="008A1B23" w:rsidRPr="000C156A" w:rsidRDefault="008A1B23" w:rsidP="008A1B23">
            <w:pPr>
              <w:spacing w:before="0" w:after="48"/>
              <w:rPr>
                <w:b/>
                <w:smallCaps/>
                <w:szCs w:val="24"/>
              </w:rPr>
            </w:pPr>
          </w:p>
        </w:tc>
        <w:tc>
          <w:tcPr>
            <w:tcW w:w="3120" w:type="dxa"/>
            <w:tcBorders>
              <w:bottom w:val="single" w:sz="12" w:space="0" w:color="auto"/>
            </w:tcBorders>
          </w:tcPr>
          <w:p w14:paraId="3FE3548C" w14:textId="77777777" w:rsidR="008A1B23" w:rsidRPr="000C156A" w:rsidRDefault="008A1B23" w:rsidP="008A1B23">
            <w:pPr>
              <w:spacing w:before="0"/>
              <w:rPr>
                <w:rFonts w:ascii="Verdana" w:hAnsi="Verdana"/>
                <w:szCs w:val="24"/>
              </w:rPr>
            </w:pPr>
          </w:p>
        </w:tc>
      </w:tr>
      <w:tr w:rsidR="00603F80" w:rsidRPr="000C156A" w14:paraId="14DEA5D4" w14:textId="77777777" w:rsidTr="00AC0486">
        <w:trPr>
          <w:cantSplit/>
        </w:trPr>
        <w:tc>
          <w:tcPr>
            <w:tcW w:w="6911" w:type="dxa"/>
            <w:tcBorders>
              <w:top w:val="single" w:sz="12" w:space="0" w:color="auto"/>
            </w:tcBorders>
          </w:tcPr>
          <w:p w14:paraId="288FA400" w14:textId="77777777" w:rsidR="00603F80" w:rsidRPr="000C156A" w:rsidRDefault="00603F80" w:rsidP="00AC0486">
            <w:pPr>
              <w:spacing w:before="0" w:after="48"/>
              <w:rPr>
                <w:b/>
                <w:smallCaps/>
                <w:szCs w:val="24"/>
              </w:rPr>
            </w:pPr>
          </w:p>
        </w:tc>
        <w:tc>
          <w:tcPr>
            <w:tcW w:w="3120" w:type="dxa"/>
            <w:tcBorders>
              <w:top w:val="single" w:sz="12" w:space="0" w:color="auto"/>
            </w:tcBorders>
          </w:tcPr>
          <w:p w14:paraId="29935989" w14:textId="77777777" w:rsidR="00603F80" w:rsidRPr="000C156A" w:rsidRDefault="00603F80" w:rsidP="00AC0486">
            <w:pPr>
              <w:spacing w:before="0"/>
              <w:rPr>
                <w:rFonts w:ascii="Verdana" w:hAnsi="Verdana"/>
                <w:szCs w:val="24"/>
              </w:rPr>
            </w:pPr>
          </w:p>
        </w:tc>
      </w:tr>
      <w:tr w:rsidR="00603F80" w:rsidRPr="000C156A" w14:paraId="2CFE7F3B" w14:textId="77777777" w:rsidTr="00AC0486">
        <w:trPr>
          <w:cantSplit/>
          <w:trHeight w:val="23"/>
        </w:trPr>
        <w:tc>
          <w:tcPr>
            <w:tcW w:w="6911" w:type="dxa"/>
            <w:vMerge w:val="restart"/>
          </w:tcPr>
          <w:p w14:paraId="3C8C6D50" w14:textId="3142C7F5" w:rsidR="00603F80" w:rsidRPr="000C156A" w:rsidRDefault="00603F80" w:rsidP="00133DFF">
            <w:pPr>
              <w:tabs>
                <w:tab w:val="left" w:pos="851"/>
              </w:tabs>
              <w:spacing w:before="0"/>
              <w:rPr>
                <w:b/>
                <w:szCs w:val="24"/>
                <w:lang w:eastAsia="zh-CN"/>
              </w:rPr>
            </w:pPr>
            <w:bookmarkStart w:id="2" w:name="dmeeting" w:colFirst="0" w:colLast="0"/>
            <w:r w:rsidRPr="000C156A">
              <w:rPr>
                <w:rFonts w:hint="eastAsia"/>
                <w:b/>
                <w:szCs w:val="24"/>
                <w:lang w:eastAsia="zh-CN"/>
              </w:rPr>
              <w:t>议项</w:t>
            </w:r>
            <w:r w:rsidRPr="000C156A">
              <w:rPr>
                <w:b/>
                <w:szCs w:val="24"/>
                <w:lang w:eastAsia="zh-CN"/>
              </w:rPr>
              <w:t>：</w:t>
            </w:r>
            <w:r w:rsidRPr="000C156A">
              <w:rPr>
                <w:b/>
              </w:rPr>
              <w:t>ADM 1</w:t>
            </w:r>
            <w:r w:rsidR="008A1B23">
              <w:rPr>
                <w:b/>
              </w:rPr>
              <w:t>1</w:t>
            </w:r>
          </w:p>
        </w:tc>
        <w:tc>
          <w:tcPr>
            <w:tcW w:w="3120" w:type="dxa"/>
          </w:tcPr>
          <w:p w14:paraId="724A71D9" w14:textId="0FD2AD63" w:rsidR="00603F80" w:rsidRPr="000C156A" w:rsidRDefault="00603F80" w:rsidP="00AC0486">
            <w:pPr>
              <w:tabs>
                <w:tab w:val="left" w:pos="851"/>
              </w:tabs>
              <w:spacing w:before="0"/>
              <w:rPr>
                <w:b/>
                <w:bCs/>
                <w:lang w:eastAsia="zh-CN"/>
              </w:rPr>
            </w:pPr>
            <w:r w:rsidRPr="000C156A">
              <w:rPr>
                <w:rFonts w:hint="eastAsia"/>
                <w:b/>
                <w:bCs/>
                <w:szCs w:val="24"/>
                <w:lang w:val="fr-CH" w:eastAsia="zh-CN"/>
              </w:rPr>
              <w:t>文件</w:t>
            </w:r>
            <w:r w:rsidRPr="000C156A">
              <w:rPr>
                <w:b/>
                <w:bCs/>
                <w:sz w:val="20"/>
                <w:lang w:eastAsia="zh-CN"/>
              </w:rPr>
              <w:t xml:space="preserve"> </w:t>
            </w:r>
            <w:r w:rsidRPr="000C156A">
              <w:rPr>
                <w:b/>
                <w:bCs/>
                <w:szCs w:val="24"/>
                <w:lang w:eastAsia="zh-CN"/>
              </w:rPr>
              <w:t>C2</w:t>
            </w:r>
            <w:r w:rsidR="008A1B23">
              <w:rPr>
                <w:b/>
                <w:bCs/>
                <w:szCs w:val="24"/>
                <w:lang w:eastAsia="zh-CN"/>
              </w:rPr>
              <w:t>2</w:t>
            </w:r>
            <w:r w:rsidRPr="000C156A">
              <w:rPr>
                <w:b/>
                <w:bCs/>
                <w:szCs w:val="24"/>
                <w:lang w:eastAsia="zh-CN"/>
              </w:rPr>
              <w:t>/42-C</w:t>
            </w:r>
          </w:p>
        </w:tc>
      </w:tr>
      <w:bookmarkEnd w:id="2"/>
      <w:tr w:rsidR="00603F80" w:rsidRPr="000C156A" w14:paraId="26D57AE2" w14:textId="77777777" w:rsidTr="00AC0486">
        <w:trPr>
          <w:cantSplit/>
          <w:trHeight w:val="23"/>
        </w:trPr>
        <w:tc>
          <w:tcPr>
            <w:tcW w:w="6911" w:type="dxa"/>
            <w:vMerge/>
          </w:tcPr>
          <w:p w14:paraId="3A63B567" w14:textId="77777777" w:rsidR="00603F80" w:rsidRPr="000C156A" w:rsidRDefault="00603F80" w:rsidP="00AC0486">
            <w:pPr>
              <w:tabs>
                <w:tab w:val="left" w:pos="851"/>
              </w:tabs>
              <w:rPr>
                <w:b/>
                <w:lang w:eastAsia="zh-CN"/>
              </w:rPr>
            </w:pPr>
          </w:p>
        </w:tc>
        <w:tc>
          <w:tcPr>
            <w:tcW w:w="3120" w:type="dxa"/>
          </w:tcPr>
          <w:p w14:paraId="1E330863" w14:textId="6B5124D6" w:rsidR="00603F80" w:rsidRPr="000C156A" w:rsidRDefault="00603F80" w:rsidP="00AC0486">
            <w:pPr>
              <w:tabs>
                <w:tab w:val="left" w:pos="993"/>
              </w:tabs>
              <w:spacing w:before="0"/>
              <w:rPr>
                <w:b/>
                <w:bCs/>
                <w:szCs w:val="24"/>
                <w:lang w:eastAsia="zh-CN"/>
              </w:rPr>
            </w:pPr>
            <w:r w:rsidRPr="000C156A">
              <w:rPr>
                <w:b/>
                <w:bCs/>
                <w:szCs w:val="24"/>
                <w:lang w:eastAsia="zh-CN"/>
              </w:rPr>
              <w:t>202</w:t>
            </w:r>
            <w:r w:rsidR="008A1B23">
              <w:rPr>
                <w:b/>
                <w:bCs/>
                <w:szCs w:val="24"/>
                <w:lang w:eastAsia="zh-CN"/>
              </w:rPr>
              <w:t>2</w:t>
            </w:r>
            <w:r w:rsidRPr="000C156A">
              <w:rPr>
                <w:rFonts w:hint="eastAsia"/>
                <w:b/>
                <w:bCs/>
                <w:szCs w:val="24"/>
                <w:lang w:eastAsia="zh-CN"/>
              </w:rPr>
              <w:t>年</w:t>
            </w:r>
            <w:r w:rsidR="008A1B23">
              <w:rPr>
                <w:rFonts w:asciiTheme="minorHAnsi" w:hAnsiTheme="minorHAnsi" w:cstheme="minorHAnsi"/>
                <w:b/>
                <w:bCs/>
                <w:szCs w:val="24"/>
                <w:lang w:eastAsia="zh-CN"/>
              </w:rPr>
              <w:t>1</w:t>
            </w:r>
            <w:r w:rsidRPr="000C156A">
              <w:rPr>
                <w:rFonts w:hint="eastAsia"/>
                <w:b/>
                <w:bCs/>
                <w:szCs w:val="24"/>
                <w:lang w:eastAsia="zh-CN"/>
              </w:rPr>
              <w:t>月</w:t>
            </w:r>
            <w:r w:rsidRPr="000C156A">
              <w:rPr>
                <w:rFonts w:asciiTheme="minorHAnsi" w:hAnsiTheme="minorHAnsi" w:cstheme="minorHAnsi"/>
                <w:b/>
                <w:bCs/>
                <w:szCs w:val="24"/>
                <w:lang w:eastAsia="zh-CN"/>
              </w:rPr>
              <w:t>1</w:t>
            </w:r>
            <w:r w:rsidR="008A1B23">
              <w:rPr>
                <w:rFonts w:asciiTheme="minorHAnsi" w:hAnsiTheme="minorHAnsi" w:cstheme="minorHAnsi"/>
                <w:b/>
                <w:bCs/>
                <w:szCs w:val="24"/>
                <w:lang w:eastAsia="zh-CN"/>
              </w:rPr>
              <w:t>8</w:t>
            </w:r>
            <w:r w:rsidRPr="000C156A">
              <w:rPr>
                <w:rFonts w:hint="eastAsia"/>
                <w:b/>
                <w:bCs/>
                <w:szCs w:val="24"/>
                <w:lang w:eastAsia="zh-CN"/>
              </w:rPr>
              <w:t>日</w:t>
            </w:r>
          </w:p>
        </w:tc>
      </w:tr>
      <w:tr w:rsidR="00603F80" w:rsidRPr="000C156A" w14:paraId="44AB345B" w14:textId="77777777" w:rsidTr="00AC0486">
        <w:trPr>
          <w:cantSplit/>
          <w:trHeight w:val="23"/>
        </w:trPr>
        <w:tc>
          <w:tcPr>
            <w:tcW w:w="6911" w:type="dxa"/>
            <w:vMerge/>
          </w:tcPr>
          <w:p w14:paraId="66D7FD6D" w14:textId="77777777" w:rsidR="00603F80" w:rsidRPr="000C156A" w:rsidRDefault="00603F80" w:rsidP="00AC0486">
            <w:pPr>
              <w:tabs>
                <w:tab w:val="left" w:pos="851"/>
              </w:tabs>
              <w:rPr>
                <w:b/>
                <w:lang w:eastAsia="zh-CN"/>
              </w:rPr>
            </w:pPr>
          </w:p>
        </w:tc>
        <w:tc>
          <w:tcPr>
            <w:tcW w:w="3120" w:type="dxa"/>
          </w:tcPr>
          <w:p w14:paraId="072229D3" w14:textId="77777777" w:rsidR="00603F80" w:rsidRPr="000C156A" w:rsidRDefault="00603F80" w:rsidP="00AC0486">
            <w:pPr>
              <w:tabs>
                <w:tab w:val="left" w:pos="993"/>
              </w:tabs>
              <w:spacing w:before="0"/>
              <w:rPr>
                <w:rFonts w:ascii="SimSun" w:hAnsi="SimSun"/>
                <w:b/>
                <w:bCs/>
                <w:szCs w:val="24"/>
                <w:lang w:eastAsia="zh-CN"/>
              </w:rPr>
            </w:pPr>
            <w:r w:rsidRPr="000C156A">
              <w:rPr>
                <w:rFonts w:hint="eastAsia"/>
                <w:b/>
                <w:bCs/>
                <w:szCs w:val="24"/>
                <w:lang w:eastAsia="zh-CN"/>
              </w:rPr>
              <w:t>原文：英文</w:t>
            </w:r>
          </w:p>
        </w:tc>
      </w:tr>
    </w:tbl>
    <w:tbl>
      <w:tblPr>
        <w:tblW w:w="10031" w:type="dxa"/>
        <w:tblLayout w:type="fixed"/>
        <w:tblLook w:val="0000" w:firstRow="0" w:lastRow="0" w:firstColumn="0" w:lastColumn="0" w:noHBand="0" w:noVBand="0"/>
      </w:tblPr>
      <w:tblGrid>
        <w:gridCol w:w="10031"/>
      </w:tblGrid>
      <w:tr w:rsidR="00603F80" w:rsidRPr="000C156A" w14:paraId="7E67E4D3" w14:textId="77777777" w:rsidTr="00AC0486">
        <w:trPr>
          <w:cantSplit/>
        </w:trPr>
        <w:tc>
          <w:tcPr>
            <w:tcW w:w="10031" w:type="dxa"/>
          </w:tcPr>
          <w:p w14:paraId="77046371" w14:textId="77777777" w:rsidR="00603F80" w:rsidRPr="000C156A" w:rsidRDefault="00603F80" w:rsidP="00AC0486">
            <w:pPr>
              <w:pStyle w:val="Source"/>
              <w:rPr>
                <w:lang w:eastAsia="zh-CN"/>
              </w:rPr>
            </w:pPr>
            <w:r w:rsidRPr="000C156A">
              <w:rPr>
                <w:rFonts w:hint="eastAsia"/>
                <w:lang w:val="fr-CH"/>
              </w:rPr>
              <w:t>秘书长的</w:t>
            </w:r>
            <w:r w:rsidRPr="000C156A">
              <w:rPr>
                <w:rFonts w:hint="eastAsia"/>
              </w:rPr>
              <w:t>报告</w:t>
            </w:r>
          </w:p>
        </w:tc>
      </w:tr>
      <w:tr w:rsidR="00603F80" w:rsidRPr="000C156A" w14:paraId="2AAB7710" w14:textId="77777777" w:rsidTr="00AC0486">
        <w:trPr>
          <w:cantSplit/>
        </w:trPr>
        <w:tc>
          <w:tcPr>
            <w:tcW w:w="10031" w:type="dxa"/>
          </w:tcPr>
          <w:p w14:paraId="72C27FBD" w14:textId="0B2EA446" w:rsidR="00603F80" w:rsidRPr="000C156A" w:rsidRDefault="00603F80" w:rsidP="00AC0486">
            <w:pPr>
              <w:pStyle w:val="Title1"/>
              <w:rPr>
                <w:bCs/>
                <w:lang w:eastAsia="zh-CN"/>
              </w:rPr>
            </w:pPr>
            <w:r w:rsidRPr="000C156A">
              <w:rPr>
                <w:szCs w:val="28"/>
                <w:lang w:val="en-US"/>
              </w:rPr>
              <w:t>2020</w:t>
            </w:r>
            <w:r w:rsidRPr="000C156A">
              <w:rPr>
                <w:rFonts w:hint="eastAsia"/>
                <w:lang w:eastAsia="zh-CN"/>
              </w:rPr>
              <w:t>财年财务工作报告</w:t>
            </w:r>
          </w:p>
        </w:tc>
      </w:tr>
    </w:tbl>
    <w:p w14:paraId="61C43F23" w14:textId="77777777" w:rsidR="00603F80" w:rsidRPr="000C156A" w:rsidRDefault="00603F80" w:rsidP="00E111A0">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E111A0" w:rsidRPr="000C156A" w14:paraId="24AD4BEE" w14:textId="77777777" w:rsidTr="00E111A0">
        <w:trPr>
          <w:trHeight w:val="3372"/>
        </w:trPr>
        <w:tc>
          <w:tcPr>
            <w:tcW w:w="8080" w:type="dxa"/>
            <w:tcBorders>
              <w:top w:val="single" w:sz="12" w:space="0" w:color="auto"/>
              <w:left w:val="single" w:sz="12" w:space="0" w:color="auto"/>
              <w:bottom w:val="single" w:sz="12" w:space="0" w:color="auto"/>
              <w:right w:val="single" w:sz="12" w:space="0" w:color="auto"/>
            </w:tcBorders>
          </w:tcPr>
          <w:p w14:paraId="4B05EC35" w14:textId="408387EC" w:rsidR="00E111A0" w:rsidRPr="000C156A" w:rsidRDefault="00E111A0" w:rsidP="00E111A0">
            <w:pPr>
              <w:pStyle w:val="Headingb"/>
              <w:rPr>
                <w:lang w:val="fr-FR" w:eastAsia="zh-CN"/>
              </w:rPr>
            </w:pPr>
            <w:bookmarkStart w:id="3" w:name="_Toc72744910"/>
            <w:bookmarkStart w:id="4" w:name="_Toc72747194"/>
            <w:bookmarkStart w:id="5" w:name="_Toc73460991"/>
            <w:bookmarkStart w:id="6" w:name="_Toc73518638"/>
            <w:bookmarkStart w:id="7" w:name="_Toc73518785"/>
            <w:bookmarkStart w:id="8" w:name="_Toc73519185"/>
            <w:bookmarkStart w:id="9" w:name="_Toc73636209"/>
            <w:r w:rsidRPr="000C156A">
              <w:rPr>
                <w:rFonts w:hint="eastAsia"/>
                <w:lang w:val="fr-FR" w:eastAsia="zh-CN"/>
              </w:rPr>
              <w:t>概</w:t>
            </w:r>
            <w:r w:rsidRPr="000C156A">
              <w:rPr>
                <w:rFonts w:hint="eastAsia"/>
                <w:lang w:eastAsia="zh-CN"/>
              </w:rPr>
              <w:t>要</w:t>
            </w:r>
            <w:bookmarkEnd w:id="3"/>
            <w:bookmarkEnd w:id="4"/>
            <w:bookmarkEnd w:id="5"/>
            <w:bookmarkEnd w:id="6"/>
            <w:bookmarkEnd w:id="7"/>
            <w:bookmarkEnd w:id="8"/>
            <w:bookmarkEnd w:id="9"/>
          </w:p>
          <w:p w14:paraId="3D43836C" w14:textId="77777777" w:rsidR="00E111A0" w:rsidRPr="000C156A" w:rsidRDefault="00E111A0" w:rsidP="00E111A0">
            <w:pPr>
              <w:ind w:firstLineChars="200" w:firstLine="480"/>
              <w:rPr>
                <w:lang w:eastAsia="zh-CN"/>
              </w:rPr>
            </w:pPr>
            <w:r w:rsidRPr="000C156A">
              <w:rPr>
                <w:rFonts w:hint="eastAsia"/>
                <w:lang w:eastAsia="zh-CN"/>
              </w:rPr>
              <w:t>根据国际电信联盟《公约》第</w:t>
            </w:r>
            <w:r w:rsidRPr="000C156A">
              <w:rPr>
                <w:lang w:eastAsia="zh-CN"/>
              </w:rPr>
              <w:t>101</w:t>
            </w:r>
            <w:r w:rsidRPr="000C156A">
              <w:rPr>
                <w:rFonts w:hint="eastAsia"/>
                <w:lang w:eastAsia="zh-CN"/>
              </w:rPr>
              <w:t>款和国际电联《财务规则》第</w:t>
            </w:r>
            <w:r w:rsidRPr="000C156A">
              <w:rPr>
                <w:lang w:eastAsia="zh-CN"/>
              </w:rPr>
              <w:t>30</w:t>
            </w:r>
            <w:r w:rsidRPr="000C156A">
              <w:rPr>
                <w:rFonts w:hint="eastAsia"/>
                <w:lang w:eastAsia="zh-CN"/>
              </w:rPr>
              <w:t>条的有关条款，秘书长需每年向理事会提交财务工作报告。</w:t>
            </w:r>
          </w:p>
          <w:p w14:paraId="62159BBA" w14:textId="77777777" w:rsidR="00E111A0" w:rsidRPr="000C156A" w:rsidRDefault="00E111A0" w:rsidP="00E111A0">
            <w:pPr>
              <w:ind w:firstLineChars="200" w:firstLine="480"/>
              <w:rPr>
                <w:lang w:eastAsia="zh-CN"/>
              </w:rPr>
            </w:pPr>
            <w:r w:rsidRPr="000C156A">
              <w:rPr>
                <w:rFonts w:cs="Calibri"/>
                <w:lang w:val="en-US" w:eastAsia="zh-CN"/>
              </w:rPr>
              <w:t>2020</w:t>
            </w:r>
            <w:r w:rsidRPr="000C156A">
              <w:rPr>
                <w:rFonts w:hint="eastAsia"/>
                <w:lang w:eastAsia="zh-CN"/>
              </w:rPr>
              <w:t>财年财务工作报告包括：</w:t>
            </w:r>
          </w:p>
          <w:p w14:paraId="72041213" w14:textId="77777777" w:rsidR="00E111A0" w:rsidRPr="000C156A" w:rsidRDefault="00E111A0" w:rsidP="00E111A0">
            <w:pPr>
              <w:pStyle w:val="enumlev1"/>
              <w:rPr>
                <w:lang w:eastAsia="zh-CN"/>
              </w:rPr>
            </w:pPr>
            <w:r w:rsidRPr="000C156A">
              <w:rPr>
                <w:lang w:eastAsia="zh-CN"/>
              </w:rPr>
              <w:t>•</w:t>
            </w:r>
            <w:r w:rsidRPr="000C156A">
              <w:rPr>
                <w:lang w:eastAsia="zh-CN"/>
              </w:rPr>
              <w:tab/>
            </w:r>
            <w:r w:rsidRPr="000C156A">
              <w:rPr>
                <w:rFonts w:hint="eastAsia"/>
                <w:lang w:eastAsia="zh-CN"/>
              </w:rPr>
              <w:t>经审计的国际电联</w:t>
            </w:r>
            <w:r w:rsidRPr="000C156A">
              <w:rPr>
                <w:rFonts w:cs="Calibri"/>
                <w:lang w:val="en-US" w:eastAsia="zh-CN"/>
              </w:rPr>
              <w:t>2020</w:t>
            </w:r>
            <w:r w:rsidRPr="000C156A">
              <w:rPr>
                <w:rFonts w:hint="eastAsia"/>
                <w:lang w:eastAsia="zh-CN"/>
              </w:rPr>
              <w:t>财年预算账目。</w:t>
            </w:r>
          </w:p>
          <w:p w14:paraId="21364523" w14:textId="77777777" w:rsidR="00E111A0" w:rsidRPr="000C156A" w:rsidRDefault="00E111A0" w:rsidP="00E111A0">
            <w:pPr>
              <w:pStyle w:val="enumlev1"/>
              <w:rPr>
                <w:lang w:eastAsia="zh-CN"/>
              </w:rPr>
            </w:pPr>
            <w:r w:rsidRPr="000C156A">
              <w:rPr>
                <w:lang w:eastAsia="zh-CN"/>
              </w:rPr>
              <w:t>•</w:t>
            </w:r>
            <w:r w:rsidRPr="000C156A">
              <w:rPr>
                <w:lang w:eastAsia="zh-CN"/>
              </w:rPr>
              <w:tab/>
            </w:r>
            <w:r w:rsidRPr="000C156A">
              <w:rPr>
                <w:rFonts w:hint="eastAsia"/>
                <w:lang w:eastAsia="zh-CN"/>
              </w:rPr>
              <w:t>经审计的</w:t>
            </w:r>
            <w:r w:rsidRPr="000C156A">
              <w:rPr>
                <w:rFonts w:cs="Calibri"/>
                <w:lang w:val="en-US" w:eastAsia="zh-CN"/>
              </w:rPr>
              <w:t>2020</w:t>
            </w:r>
            <w:r w:rsidRPr="000C156A">
              <w:rPr>
                <w:rFonts w:hint="eastAsia"/>
                <w:lang w:eastAsia="zh-CN"/>
              </w:rPr>
              <w:t>年技术合作项目、自愿捐款和国际电联职员退休和福利基金各账目。</w:t>
            </w:r>
          </w:p>
          <w:p w14:paraId="3A070849" w14:textId="77777777" w:rsidR="00E111A0" w:rsidRPr="000C156A" w:rsidRDefault="00E111A0" w:rsidP="00E111A0">
            <w:pPr>
              <w:pStyle w:val="enumlev1"/>
              <w:rPr>
                <w:szCs w:val="22"/>
                <w:lang w:eastAsia="zh-CN"/>
              </w:rPr>
            </w:pPr>
            <w:r w:rsidRPr="000C156A">
              <w:rPr>
                <w:lang w:eastAsia="zh-CN"/>
              </w:rPr>
              <w:t>•</w:t>
            </w:r>
            <w:r w:rsidRPr="000C156A">
              <w:rPr>
                <w:lang w:eastAsia="zh-CN"/>
              </w:rPr>
              <w:tab/>
            </w:r>
            <w:r w:rsidRPr="000C156A">
              <w:rPr>
                <w:rFonts w:hint="eastAsia"/>
                <w:lang w:eastAsia="zh-CN"/>
              </w:rPr>
              <w:t>经审计的国际电联</w:t>
            </w:r>
            <w:r w:rsidRPr="000C156A">
              <w:rPr>
                <w:rFonts w:cs="Calibri"/>
                <w:lang w:val="en-US" w:eastAsia="zh-CN"/>
              </w:rPr>
              <w:t>2020</w:t>
            </w:r>
            <w:r w:rsidRPr="000C156A">
              <w:rPr>
                <w:rFonts w:hint="eastAsia"/>
                <w:lang w:eastAsia="zh-CN"/>
              </w:rPr>
              <w:t>年世界电信展账目。</w:t>
            </w:r>
          </w:p>
          <w:p w14:paraId="3AD5B7AE" w14:textId="6C634EB0" w:rsidR="00E111A0" w:rsidRPr="000C156A" w:rsidRDefault="00E111A0" w:rsidP="00E111A0">
            <w:pPr>
              <w:pStyle w:val="Headingb"/>
              <w:rPr>
                <w:lang w:eastAsia="zh-CN"/>
              </w:rPr>
            </w:pPr>
            <w:bookmarkStart w:id="10" w:name="_Toc72744911"/>
            <w:bookmarkStart w:id="11" w:name="_Toc72747195"/>
            <w:bookmarkStart w:id="12" w:name="_Toc73460992"/>
            <w:bookmarkStart w:id="13" w:name="_Toc73518639"/>
            <w:bookmarkStart w:id="14" w:name="_Toc73518786"/>
            <w:bookmarkStart w:id="15" w:name="_Toc73519186"/>
            <w:bookmarkStart w:id="16" w:name="_Toc73636068"/>
            <w:bookmarkStart w:id="17" w:name="_Toc73636210"/>
            <w:r w:rsidRPr="000C156A">
              <w:rPr>
                <w:rFonts w:hint="eastAsia"/>
                <w:lang w:eastAsia="zh-CN"/>
              </w:rPr>
              <w:t>需采取的行动</w:t>
            </w:r>
            <w:bookmarkEnd w:id="10"/>
            <w:bookmarkEnd w:id="11"/>
            <w:bookmarkEnd w:id="12"/>
            <w:bookmarkEnd w:id="13"/>
            <w:bookmarkEnd w:id="14"/>
            <w:bookmarkEnd w:id="15"/>
            <w:bookmarkEnd w:id="16"/>
            <w:bookmarkEnd w:id="17"/>
          </w:p>
          <w:p w14:paraId="33F45BEA" w14:textId="77777777" w:rsidR="00E111A0" w:rsidRPr="000C156A" w:rsidRDefault="00E111A0" w:rsidP="00E111A0">
            <w:pPr>
              <w:tabs>
                <w:tab w:val="left" w:pos="851"/>
                <w:tab w:val="left" w:pos="1418"/>
              </w:tabs>
              <w:spacing w:after="120"/>
              <w:ind w:firstLineChars="200" w:firstLine="480"/>
              <w:rPr>
                <w:lang w:eastAsia="zh-CN"/>
              </w:rPr>
            </w:pPr>
            <w:r w:rsidRPr="000C156A">
              <w:rPr>
                <w:rFonts w:hint="eastAsia"/>
                <w:lang w:eastAsia="zh-CN"/>
              </w:rPr>
              <w:t>有关审定账目的财务工作报告和附件</w:t>
            </w:r>
            <w:r w:rsidRPr="000C156A">
              <w:rPr>
                <w:rFonts w:hint="eastAsia"/>
                <w:lang w:eastAsia="zh-CN"/>
              </w:rPr>
              <w:t>A</w:t>
            </w:r>
            <w:r w:rsidRPr="000C156A">
              <w:rPr>
                <w:rFonts w:hint="eastAsia"/>
                <w:lang w:eastAsia="zh-CN"/>
              </w:rPr>
              <w:t>中的决议草案现提交理事会</w:t>
            </w:r>
            <w:r w:rsidRPr="000C156A">
              <w:rPr>
                <w:rFonts w:hint="eastAsia"/>
                <w:b/>
                <w:bCs/>
                <w:lang w:eastAsia="zh-CN"/>
              </w:rPr>
              <w:t>审议</w:t>
            </w:r>
            <w:r w:rsidRPr="000C156A">
              <w:rPr>
                <w:rFonts w:hint="eastAsia"/>
                <w:lang w:eastAsia="zh-CN"/>
              </w:rPr>
              <w:t>和</w:t>
            </w:r>
            <w:r w:rsidRPr="000C156A">
              <w:rPr>
                <w:rFonts w:hint="eastAsia"/>
                <w:b/>
                <w:bCs/>
                <w:lang w:eastAsia="zh-CN"/>
              </w:rPr>
              <w:t>批准</w:t>
            </w:r>
            <w:r w:rsidRPr="000C156A">
              <w:rPr>
                <w:rFonts w:hint="eastAsia"/>
                <w:lang w:eastAsia="zh-CN"/>
              </w:rPr>
              <w:t>。</w:t>
            </w:r>
          </w:p>
          <w:p w14:paraId="4076E158" w14:textId="77777777" w:rsidR="00E111A0" w:rsidRPr="000C156A" w:rsidRDefault="00E111A0" w:rsidP="00E111A0">
            <w:pPr>
              <w:tabs>
                <w:tab w:val="left" w:pos="851"/>
                <w:tab w:val="left" w:pos="1418"/>
              </w:tabs>
              <w:spacing w:after="120"/>
              <w:ind w:firstLineChars="200" w:firstLine="480"/>
              <w:rPr>
                <w:lang w:eastAsia="zh-CN"/>
              </w:rPr>
            </w:pPr>
            <w:r w:rsidRPr="000C156A">
              <w:rPr>
                <w:rFonts w:hint="eastAsia"/>
                <w:lang w:eastAsia="zh-CN"/>
              </w:rPr>
              <w:t>在经理事会审查和批准后，报告</w:t>
            </w:r>
            <w:r w:rsidRPr="000C156A">
              <w:rPr>
                <w:rFonts w:hint="eastAsia"/>
                <w:szCs w:val="24"/>
                <w:lang w:eastAsia="zh-CN"/>
              </w:rPr>
              <w:t>将通报给国际电联成员国和部门成员</w:t>
            </w:r>
            <w:r w:rsidRPr="000C156A">
              <w:rPr>
                <w:rFonts w:hint="eastAsia"/>
                <w:lang w:eastAsia="zh-CN"/>
              </w:rPr>
              <w:t>。</w:t>
            </w:r>
          </w:p>
          <w:p w14:paraId="2BAFD5CC" w14:textId="77777777" w:rsidR="00E111A0" w:rsidRPr="000C156A" w:rsidRDefault="00E111A0" w:rsidP="00E111A0">
            <w:pPr>
              <w:jc w:val="center"/>
              <w:rPr>
                <w:sz w:val="28"/>
                <w:szCs w:val="22"/>
                <w:lang w:eastAsia="zh-CN"/>
              </w:rPr>
            </w:pPr>
            <w:r w:rsidRPr="000C156A">
              <w:rPr>
                <w:sz w:val="28"/>
                <w:szCs w:val="22"/>
                <w:lang w:eastAsia="zh-CN"/>
              </w:rPr>
              <w:t>______________</w:t>
            </w:r>
          </w:p>
          <w:p w14:paraId="6F123288" w14:textId="5B61475E" w:rsidR="00E111A0" w:rsidRPr="000C156A" w:rsidRDefault="00E111A0" w:rsidP="00E111A0">
            <w:pPr>
              <w:pStyle w:val="Headingb"/>
              <w:rPr>
                <w:lang w:eastAsia="zh-CN"/>
              </w:rPr>
            </w:pPr>
            <w:bookmarkStart w:id="18" w:name="_Toc72744912"/>
            <w:bookmarkStart w:id="19" w:name="_Toc72747196"/>
            <w:bookmarkStart w:id="20" w:name="_Toc73460993"/>
            <w:bookmarkStart w:id="21" w:name="_Toc73518640"/>
            <w:bookmarkStart w:id="22" w:name="_Toc73518787"/>
            <w:bookmarkStart w:id="23" w:name="_Toc73519187"/>
            <w:bookmarkStart w:id="24" w:name="_Toc73636069"/>
            <w:bookmarkStart w:id="25" w:name="_Toc73636211"/>
            <w:r w:rsidRPr="000C156A">
              <w:rPr>
                <w:rFonts w:hint="eastAsia"/>
                <w:lang w:eastAsia="zh-CN"/>
              </w:rPr>
              <w:t>参考文件</w:t>
            </w:r>
            <w:bookmarkEnd w:id="18"/>
            <w:bookmarkEnd w:id="19"/>
            <w:bookmarkEnd w:id="20"/>
            <w:bookmarkEnd w:id="21"/>
            <w:bookmarkEnd w:id="22"/>
            <w:bookmarkEnd w:id="23"/>
            <w:bookmarkEnd w:id="24"/>
            <w:bookmarkEnd w:id="25"/>
          </w:p>
          <w:p w14:paraId="28297E33" w14:textId="1080404C" w:rsidR="00E111A0" w:rsidRPr="000C156A" w:rsidRDefault="00E111A0" w:rsidP="00E111A0">
            <w:pPr>
              <w:rPr>
                <w:rFonts w:eastAsia="STKaiti" w:cs="Calibri"/>
                <w:szCs w:val="24"/>
                <w:lang w:eastAsia="zh-CN"/>
              </w:rPr>
            </w:pPr>
            <w:r w:rsidRPr="000C156A">
              <w:rPr>
                <w:rFonts w:eastAsia="STKaiti" w:cs="Calibri" w:hint="eastAsia"/>
                <w:szCs w:val="24"/>
                <w:lang w:eastAsia="zh-CN"/>
              </w:rPr>
              <w:t>《公约》：</w:t>
            </w:r>
            <w:hyperlink r:id="rId9" w:history="1">
              <w:r w:rsidRPr="000C156A">
                <w:rPr>
                  <w:rStyle w:val="Hyperlink"/>
                  <w:rFonts w:eastAsia="STKaiti" w:cs="Calibri" w:hint="eastAsia"/>
                  <w:szCs w:val="24"/>
                  <w:lang w:eastAsia="zh-CN"/>
                </w:rPr>
                <w:t>第</w:t>
              </w:r>
              <w:r w:rsidRPr="000C156A">
                <w:rPr>
                  <w:rStyle w:val="Hyperlink"/>
                  <w:rFonts w:eastAsia="STKaiti" w:cs="Calibri"/>
                  <w:szCs w:val="24"/>
                  <w:lang w:eastAsia="zh-CN"/>
                </w:rPr>
                <w:t>101</w:t>
              </w:r>
              <w:r w:rsidRPr="000C156A">
                <w:rPr>
                  <w:rStyle w:val="Hyperlink"/>
                  <w:rFonts w:eastAsia="STKaiti" w:cs="Calibri" w:hint="eastAsia"/>
                  <w:szCs w:val="24"/>
                  <w:lang w:eastAsia="zh-CN"/>
                </w:rPr>
                <w:t>款</w:t>
              </w:r>
            </w:hyperlink>
          </w:p>
          <w:p w14:paraId="5ADB287E" w14:textId="6368D397" w:rsidR="00E111A0" w:rsidRPr="000C156A" w:rsidRDefault="00E111A0" w:rsidP="00E111A0">
            <w:pPr>
              <w:snapToGrid w:val="0"/>
              <w:spacing w:before="0"/>
              <w:rPr>
                <w:rFonts w:eastAsia="STKaiti" w:cs="Calibri"/>
                <w:color w:val="0000FF"/>
                <w:szCs w:val="24"/>
                <w:u w:val="single"/>
                <w:lang w:eastAsia="zh-CN"/>
              </w:rPr>
            </w:pPr>
            <w:r w:rsidRPr="000C156A">
              <w:rPr>
                <w:rFonts w:eastAsia="STKaiti" w:cs="Calibri" w:hint="eastAsia"/>
                <w:szCs w:val="24"/>
                <w:lang w:eastAsia="zh-CN"/>
              </w:rPr>
              <w:t>国际电联《财务规则》：</w:t>
            </w:r>
            <w:hyperlink r:id="rId10" w:history="1">
              <w:r w:rsidRPr="000C156A">
                <w:rPr>
                  <w:rStyle w:val="Hyperlink"/>
                  <w:rFonts w:eastAsia="STKaiti" w:cs="Calibri" w:hint="eastAsia"/>
                  <w:szCs w:val="24"/>
                  <w:lang w:eastAsia="zh-CN"/>
                </w:rPr>
                <w:t>第</w:t>
              </w:r>
              <w:r w:rsidRPr="000C156A">
                <w:rPr>
                  <w:rStyle w:val="Hyperlink"/>
                  <w:rFonts w:eastAsia="STKaiti" w:cs="Calibri"/>
                  <w:szCs w:val="24"/>
                  <w:lang w:eastAsia="zh-CN"/>
                </w:rPr>
                <w:t>30</w:t>
              </w:r>
              <w:r w:rsidRPr="000C156A">
                <w:rPr>
                  <w:rStyle w:val="Hyperlink"/>
                  <w:rFonts w:eastAsia="STKaiti" w:cs="Calibri" w:hint="eastAsia"/>
                  <w:szCs w:val="24"/>
                  <w:lang w:eastAsia="zh-CN"/>
                </w:rPr>
                <w:t>条</w:t>
              </w:r>
            </w:hyperlink>
          </w:p>
        </w:tc>
      </w:tr>
    </w:tbl>
    <w:p w14:paraId="2746C15B" w14:textId="77777777" w:rsidR="00E111A0" w:rsidRPr="000C156A" w:rsidRDefault="00E111A0" w:rsidP="00E111A0">
      <w:pPr>
        <w:spacing w:before="960"/>
        <w:rPr>
          <w:lang w:val="en-US"/>
        </w:rPr>
      </w:pPr>
      <w:r w:rsidRPr="000C156A">
        <w:rPr>
          <w:rFonts w:hint="eastAsia"/>
          <w:b/>
          <w:bCs/>
          <w:lang w:eastAsia="zh-CN"/>
        </w:rPr>
        <w:t>附件：</w:t>
      </w:r>
      <w:r w:rsidRPr="000C156A">
        <w:rPr>
          <w:lang w:eastAsia="zh-CN"/>
        </w:rPr>
        <w:t>12</w:t>
      </w:r>
      <w:r w:rsidRPr="000C156A">
        <w:rPr>
          <w:rFonts w:hint="eastAsia"/>
          <w:lang w:eastAsia="zh-CN"/>
        </w:rPr>
        <w:t>件</w:t>
      </w:r>
    </w:p>
    <w:p w14:paraId="60747601" w14:textId="77777777" w:rsidR="00E111A0" w:rsidRPr="000C156A" w:rsidRDefault="00E111A0" w:rsidP="00E111A0">
      <w:pPr>
        <w:overflowPunct/>
        <w:autoSpaceDE/>
        <w:autoSpaceDN/>
        <w:adjustRightInd/>
        <w:spacing w:before="0"/>
        <w:textAlignment w:val="auto"/>
        <w:rPr>
          <w:lang w:val="en-US"/>
        </w:rPr>
      </w:pPr>
      <w:r w:rsidRPr="000C156A">
        <w:rPr>
          <w:i/>
          <w:lang w:val="en-US"/>
        </w:rPr>
        <w:br w:type="page"/>
      </w:r>
    </w:p>
    <w:p w14:paraId="7DB5E5B4" w14:textId="77777777" w:rsidR="009478C0" w:rsidRPr="000C156A" w:rsidRDefault="009478C0" w:rsidP="009478C0">
      <w:pPr>
        <w:pStyle w:val="Title"/>
        <w:spacing w:before="840"/>
        <w:rPr>
          <w:sz w:val="28"/>
          <w:szCs w:val="28"/>
        </w:rPr>
      </w:pPr>
      <w:r w:rsidRPr="000C156A">
        <w:rPr>
          <w:noProof/>
          <w:lang w:val="en-US"/>
        </w:rPr>
        <w:lastRenderedPageBreak/>
        <w:drawing>
          <wp:inline distT="0" distB="0" distL="0" distR="0" wp14:anchorId="463A2666" wp14:editId="3FDFE235">
            <wp:extent cx="684000" cy="738000"/>
            <wp:effectExtent l="0" t="0" r="1905" b="5080"/>
            <wp:docPr id="1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38000"/>
                    </a:xfrm>
                    <a:prstGeom prst="rect">
                      <a:avLst/>
                    </a:prstGeom>
                  </pic:spPr>
                </pic:pic>
              </a:graphicData>
            </a:graphic>
          </wp:inline>
        </w:drawing>
      </w:r>
    </w:p>
    <w:p w14:paraId="4E525FBF" w14:textId="77777777" w:rsidR="00E02111" w:rsidRPr="000C156A" w:rsidRDefault="00E02111" w:rsidP="009478C0">
      <w:pPr>
        <w:pStyle w:val="Title4"/>
        <w:spacing w:before="360"/>
        <w:rPr>
          <w:sz w:val="36"/>
          <w:szCs w:val="36"/>
          <w:lang w:eastAsia="zh-CN"/>
        </w:rPr>
      </w:pPr>
      <w:r w:rsidRPr="000C156A">
        <w:rPr>
          <w:rFonts w:hint="eastAsia"/>
          <w:sz w:val="36"/>
          <w:szCs w:val="36"/>
          <w:lang w:eastAsia="zh-CN"/>
        </w:rPr>
        <w:t>财务工作报告</w:t>
      </w:r>
    </w:p>
    <w:p w14:paraId="492FFABA" w14:textId="55D8F8C6" w:rsidR="00E02111" w:rsidRPr="000C156A" w:rsidRDefault="00E02111" w:rsidP="00E02111">
      <w:pPr>
        <w:pStyle w:val="Normalaftertitle"/>
        <w:ind w:firstLineChars="200" w:firstLine="480"/>
        <w:rPr>
          <w:lang w:eastAsia="zh-CN"/>
        </w:rPr>
      </w:pPr>
      <w:r w:rsidRPr="000C156A">
        <w:rPr>
          <w:rFonts w:hint="eastAsia"/>
          <w:lang w:eastAsia="zh-CN"/>
        </w:rPr>
        <w:t>按照国际电联《财务规则》（</w:t>
      </w:r>
      <w:r w:rsidRPr="000C156A">
        <w:rPr>
          <w:lang w:eastAsia="zh-CN"/>
        </w:rPr>
        <w:t>2018</w:t>
      </w:r>
      <w:r w:rsidRPr="000C156A">
        <w:rPr>
          <w:rFonts w:hint="eastAsia"/>
          <w:lang w:eastAsia="zh-CN"/>
        </w:rPr>
        <w:t>年版）第</w:t>
      </w:r>
      <w:r w:rsidRPr="000C156A">
        <w:rPr>
          <w:lang w:eastAsia="zh-CN"/>
        </w:rPr>
        <w:t>30</w:t>
      </w:r>
      <w:r w:rsidRPr="000C156A">
        <w:rPr>
          <w:rFonts w:hint="eastAsia"/>
          <w:lang w:eastAsia="zh-CN"/>
        </w:rPr>
        <w:t>条的规定，有关</w:t>
      </w:r>
      <w:r w:rsidRPr="000C156A">
        <w:rPr>
          <w:rFonts w:hint="eastAsia"/>
          <w:lang w:val="en-US" w:eastAsia="zh-CN"/>
        </w:rPr>
        <w:t>各</w:t>
      </w:r>
      <w:r w:rsidRPr="000C156A">
        <w:rPr>
          <w:rFonts w:hint="eastAsia"/>
          <w:lang w:eastAsia="zh-CN"/>
        </w:rPr>
        <w:t>审定账目的本财务工作报告介绍了截至</w:t>
      </w:r>
      <w:r w:rsidR="00671310" w:rsidRPr="000C156A">
        <w:rPr>
          <w:lang w:val="en-US" w:eastAsia="zh-CN"/>
        </w:rPr>
        <w:t>2020</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日国际电信联盟（</w:t>
      </w:r>
      <w:r w:rsidRPr="000C156A">
        <w:rPr>
          <w:lang w:eastAsia="zh-CN"/>
        </w:rPr>
        <w:t>ITU</w:t>
      </w:r>
      <w:r w:rsidRPr="000C156A">
        <w:rPr>
          <w:rFonts w:hint="eastAsia"/>
          <w:lang w:eastAsia="zh-CN"/>
        </w:rPr>
        <w:t>）各项账目的财务结果：</w:t>
      </w:r>
    </w:p>
    <w:p w14:paraId="6D7E2299" w14:textId="77777777" w:rsidR="00E02111" w:rsidRPr="000C156A" w:rsidRDefault="00E02111" w:rsidP="00715F85">
      <w:pPr>
        <w:ind w:firstLineChars="200" w:firstLine="480"/>
        <w:jc w:val="both"/>
        <w:rPr>
          <w:lang w:val="en-US" w:eastAsia="zh-CN"/>
        </w:rPr>
      </w:pPr>
      <w:r w:rsidRPr="000C156A">
        <w:rPr>
          <w:rFonts w:hint="eastAsia"/>
          <w:lang w:val="en-US" w:eastAsia="zh-CN"/>
        </w:rPr>
        <w:t>自</w:t>
      </w:r>
      <w:r w:rsidRPr="000C156A">
        <w:rPr>
          <w:rFonts w:hint="eastAsia"/>
          <w:lang w:val="en-US" w:eastAsia="zh-CN"/>
        </w:rPr>
        <w:t>2</w:t>
      </w:r>
      <w:r w:rsidRPr="000C156A">
        <w:rPr>
          <w:lang w:val="en-US" w:eastAsia="zh-CN"/>
        </w:rPr>
        <w:t>010</w:t>
      </w:r>
      <w:r w:rsidRPr="000C156A">
        <w:rPr>
          <w:rFonts w:hint="eastAsia"/>
          <w:lang w:val="en-US" w:eastAsia="zh-CN"/>
        </w:rPr>
        <w:t>年起，财务报表根据国际公共部门会计准则（</w:t>
      </w:r>
      <w:r w:rsidRPr="000C156A">
        <w:rPr>
          <w:rFonts w:hint="eastAsia"/>
          <w:lang w:val="en-US" w:eastAsia="zh-CN"/>
        </w:rPr>
        <w:t>IPSAS</w:t>
      </w:r>
      <w:r w:rsidRPr="000C156A">
        <w:rPr>
          <w:rFonts w:hint="eastAsia"/>
          <w:lang w:val="en-US" w:eastAsia="zh-CN"/>
        </w:rPr>
        <w:t>）起草，涵盖以下方面：</w:t>
      </w:r>
    </w:p>
    <w:p w14:paraId="1B0234AE" w14:textId="77777777" w:rsidR="00E02111" w:rsidRPr="000C156A" w:rsidRDefault="00E02111" w:rsidP="00E02111">
      <w:pPr>
        <w:pStyle w:val="enumlev1"/>
        <w:rPr>
          <w:lang w:eastAsia="zh-CN"/>
        </w:rPr>
      </w:pPr>
      <w:r w:rsidRPr="000C156A">
        <w:rPr>
          <w:lang w:eastAsia="zh-CN"/>
        </w:rPr>
        <w:t>–</w:t>
      </w:r>
      <w:r w:rsidRPr="000C156A">
        <w:rPr>
          <w:lang w:eastAsia="zh-CN"/>
        </w:rPr>
        <w:tab/>
      </w:r>
      <w:r w:rsidRPr="000C156A">
        <w:rPr>
          <w:rFonts w:hint="eastAsia"/>
          <w:lang w:eastAsia="zh-CN"/>
        </w:rPr>
        <w:t>国际电联</w:t>
      </w:r>
      <w:r w:rsidRPr="000C156A">
        <w:rPr>
          <w:lang w:val="en-US" w:eastAsia="zh-CN"/>
        </w:rPr>
        <w:t>2020</w:t>
      </w:r>
      <w:r w:rsidRPr="000C156A">
        <w:rPr>
          <w:rFonts w:hint="eastAsia"/>
          <w:lang w:eastAsia="zh-CN"/>
        </w:rPr>
        <w:t>财年</w:t>
      </w:r>
    </w:p>
    <w:p w14:paraId="3EABBCAB" w14:textId="77777777" w:rsidR="00E02111" w:rsidRPr="000C156A" w:rsidRDefault="00E02111" w:rsidP="00E02111">
      <w:pPr>
        <w:pStyle w:val="enumlev1"/>
        <w:rPr>
          <w:lang w:eastAsia="zh-CN"/>
        </w:rPr>
      </w:pPr>
      <w:r w:rsidRPr="000C156A">
        <w:rPr>
          <w:lang w:eastAsia="zh-CN"/>
        </w:rPr>
        <w:t>–</w:t>
      </w:r>
      <w:r w:rsidRPr="000C156A">
        <w:rPr>
          <w:lang w:eastAsia="zh-CN"/>
        </w:rPr>
        <w:tab/>
      </w:r>
      <w:r w:rsidRPr="000C156A">
        <w:rPr>
          <w:lang w:val="en-US" w:eastAsia="zh-CN"/>
        </w:rPr>
        <w:t>2020</w:t>
      </w:r>
      <w:r w:rsidRPr="000C156A">
        <w:rPr>
          <w:rFonts w:hint="eastAsia"/>
          <w:lang w:eastAsia="zh-CN"/>
        </w:rPr>
        <w:t>年度国际电联职员退休和福利基金</w:t>
      </w:r>
    </w:p>
    <w:p w14:paraId="5D71D492" w14:textId="77777777" w:rsidR="00E02111" w:rsidRPr="000C156A" w:rsidRDefault="00E02111" w:rsidP="00E02111">
      <w:pPr>
        <w:pStyle w:val="enumlev1"/>
        <w:rPr>
          <w:lang w:eastAsia="zh-CN"/>
        </w:rPr>
      </w:pPr>
      <w:r w:rsidRPr="000C156A">
        <w:rPr>
          <w:lang w:eastAsia="zh-CN"/>
        </w:rPr>
        <w:t>–</w:t>
      </w:r>
      <w:r w:rsidRPr="000C156A">
        <w:rPr>
          <w:lang w:eastAsia="zh-CN"/>
        </w:rPr>
        <w:tab/>
      </w:r>
      <w:r w:rsidRPr="000C156A">
        <w:rPr>
          <w:lang w:val="en-US" w:eastAsia="zh-CN"/>
        </w:rPr>
        <w:t>2020</w:t>
      </w:r>
      <w:r w:rsidRPr="000C156A">
        <w:rPr>
          <w:rFonts w:hint="eastAsia"/>
          <w:lang w:eastAsia="zh-CN"/>
        </w:rPr>
        <w:t>年度联合国合办职员养恤基金</w:t>
      </w:r>
    </w:p>
    <w:p w14:paraId="72F4C6D1" w14:textId="77777777" w:rsidR="00E02111" w:rsidRPr="000C156A" w:rsidRDefault="00E02111" w:rsidP="00E02111">
      <w:pPr>
        <w:pStyle w:val="enumlev1"/>
        <w:rPr>
          <w:lang w:eastAsia="zh-CN"/>
        </w:rPr>
      </w:pPr>
      <w:r w:rsidRPr="000C156A">
        <w:rPr>
          <w:lang w:eastAsia="zh-CN"/>
        </w:rPr>
        <w:t>–</w:t>
      </w:r>
      <w:r w:rsidRPr="000C156A">
        <w:rPr>
          <w:lang w:eastAsia="zh-CN"/>
        </w:rPr>
        <w:tab/>
      </w:r>
      <w:r w:rsidRPr="000C156A">
        <w:rPr>
          <w:lang w:val="en-US" w:eastAsia="zh-CN"/>
        </w:rPr>
        <w:t>2020</w:t>
      </w:r>
      <w:r w:rsidRPr="000C156A">
        <w:rPr>
          <w:rFonts w:hint="eastAsia"/>
          <w:lang w:eastAsia="zh-CN"/>
        </w:rPr>
        <w:t>年度联合国开发计划署（</w:t>
      </w:r>
      <w:r w:rsidRPr="000C156A">
        <w:rPr>
          <w:lang w:eastAsia="zh-CN"/>
        </w:rPr>
        <w:t>UNDP</w:t>
      </w:r>
      <w:r w:rsidRPr="000C156A">
        <w:rPr>
          <w:rFonts w:hint="eastAsia"/>
          <w:lang w:eastAsia="zh-CN"/>
        </w:rPr>
        <w:t>）资助的技术合作项目</w:t>
      </w:r>
    </w:p>
    <w:p w14:paraId="337C41B4" w14:textId="77777777" w:rsidR="00E02111" w:rsidRPr="000C156A" w:rsidRDefault="00E02111" w:rsidP="00E02111">
      <w:pPr>
        <w:pStyle w:val="enumlev1"/>
        <w:rPr>
          <w:lang w:eastAsia="zh-CN"/>
        </w:rPr>
      </w:pPr>
      <w:r w:rsidRPr="000C156A">
        <w:rPr>
          <w:lang w:eastAsia="zh-CN"/>
        </w:rPr>
        <w:t>–</w:t>
      </w:r>
      <w:r w:rsidRPr="000C156A">
        <w:rPr>
          <w:lang w:eastAsia="zh-CN"/>
        </w:rPr>
        <w:tab/>
      </w:r>
      <w:r w:rsidRPr="000C156A">
        <w:rPr>
          <w:lang w:val="en-US" w:eastAsia="zh-CN"/>
        </w:rPr>
        <w:t>2020</w:t>
      </w:r>
      <w:r w:rsidRPr="000C156A">
        <w:rPr>
          <w:rFonts w:hint="eastAsia"/>
          <w:lang w:eastAsia="zh-CN"/>
        </w:rPr>
        <w:t>年度信托基金</w:t>
      </w:r>
    </w:p>
    <w:p w14:paraId="40F160F2" w14:textId="77777777" w:rsidR="00E02111" w:rsidRPr="000C156A" w:rsidRDefault="00E02111" w:rsidP="00E02111">
      <w:pPr>
        <w:pStyle w:val="enumlev1"/>
        <w:rPr>
          <w:lang w:eastAsia="zh-CN"/>
        </w:rPr>
      </w:pPr>
      <w:r w:rsidRPr="000C156A">
        <w:rPr>
          <w:lang w:eastAsia="zh-CN"/>
        </w:rPr>
        <w:t>–</w:t>
      </w:r>
      <w:r w:rsidRPr="000C156A">
        <w:rPr>
          <w:lang w:eastAsia="zh-CN"/>
        </w:rPr>
        <w:tab/>
      </w:r>
      <w:r w:rsidRPr="000C156A">
        <w:rPr>
          <w:lang w:val="en-US" w:eastAsia="zh-CN"/>
        </w:rPr>
        <w:t>2020</w:t>
      </w:r>
      <w:r w:rsidRPr="000C156A">
        <w:rPr>
          <w:rFonts w:hint="eastAsia"/>
          <w:lang w:eastAsia="zh-CN"/>
        </w:rPr>
        <w:t>年度自愿捐款</w:t>
      </w:r>
    </w:p>
    <w:p w14:paraId="0720F37E" w14:textId="77777777" w:rsidR="00E02111" w:rsidRPr="000C156A" w:rsidRDefault="00E02111" w:rsidP="00E02111">
      <w:pPr>
        <w:pStyle w:val="enumlev1"/>
        <w:rPr>
          <w:lang w:eastAsia="zh-CN"/>
        </w:rPr>
      </w:pPr>
      <w:r w:rsidRPr="000C156A">
        <w:rPr>
          <w:lang w:eastAsia="zh-CN"/>
        </w:rPr>
        <w:t>–</w:t>
      </w:r>
      <w:r w:rsidRPr="000C156A">
        <w:rPr>
          <w:lang w:eastAsia="zh-CN"/>
        </w:rPr>
        <w:tab/>
      </w:r>
      <w:r w:rsidRPr="000C156A">
        <w:rPr>
          <w:lang w:val="en-US" w:eastAsia="zh-CN"/>
        </w:rPr>
        <w:t>2020</w:t>
      </w:r>
      <w:r w:rsidRPr="000C156A">
        <w:rPr>
          <w:rFonts w:hint="eastAsia"/>
          <w:lang w:eastAsia="zh-CN"/>
        </w:rPr>
        <w:t>年度信息通信技术发展基金</w:t>
      </w:r>
    </w:p>
    <w:p w14:paraId="1629D881" w14:textId="77777777" w:rsidR="00E02111" w:rsidRPr="000C156A" w:rsidRDefault="00E02111" w:rsidP="00E02111">
      <w:pPr>
        <w:pStyle w:val="enumlev1"/>
        <w:rPr>
          <w:lang w:eastAsia="zh-CN"/>
        </w:rPr>
      </w:pPr>
      <w:r w:rsidRPr="000C156A">
        <w:rPr>
          <w:lang w:eastAsia="zh-CN"/>
        </w:rPr>
        <w:t>–</w:t>
      </w:r>
      <w:r w:rsidRPr="000C156A">
        <w:rPr>
          <w:lang w:eastAsia="zh-CN"/>
        </w:rPr>
        <w:tab/>
      </w:r>
      <w:r w:rsidRPr="000C156A">
        <w:rPr>
          <w:rFonts w:hint="eastAsia"/>
          <w:lang w:eastAsia="zh-CN"/>
        </w:rPr>
        <w:t>国际电联</w:t>
      </w:r>
      <w:r w:rsidRPr="000C156A">
        <w:rPr>
          <w:lang w:val="en-US" w:eastAsia="zh-CN"/>
        </w:rPr>
        <w:t>2020</w:t>
      </w:r>
      <w:r w:rsidRPr="000C156A">
        <w:rPr>
          <w:rFonts w:hint="eastAsia"/>
          <w:lang w:eastAsia="zh-CN"/>
        </w:rPr>
        <w:t>年世界电信展</w:t>
      </w:r>
    </w:p>
    <w:p w14:paraId="5E639B63" w14:textId="77777777" w:rsidR="00E02111" w:rsidRPr="000C156A" w:rsidRDefault="00E02111" w:rsidP="00E02111">
      <w:pPr>
        <w:pStyle w:val="enumlev1"/>
        <w:rPr>
          <w:sz w:val="23"/>
          <w:szCs w:val="23"/>
          <w:lang w:val="en-US" w:eastAsia="zh-CN"/>
        </w:rPr>
      </w:pPr>
      <w:r w:rsidRPr="000C156A">
        <w:rPr>
          <w:lang w:eastAsia="zh-CN"/>
        </w:rPr>
        <w:t>–</w:t>
      </w:r>
      <w:r w:rsidRPr="000C156A">
        <w:rPr>
          <w:lang w:eastAsia="zh-CN"/>
        </w:rPr>
        <w:tab/>
      </w:r>
      <w:r w:rsidRPr="000C156A">
        <w:rPr>
          <w:rFonts w:hint="eastAsia"/>
          <w:lang w:eastAsia="zh-CN"/>
        </w:rPr>
        <w:t>新办公楼项目</w:t>
      </w:r>
    </w:p>
    <w:p w14:paraId="431B95E4" w14:textId="77777777" w:rsidR="0022373A" w:rsidRPr="000C156A" w:rsidRDefault="0022373A" w:rsidP="005D3458">
      <w:pPr>
        <w:spacing w:after="200"/>
        <w:rPr>
          <w:sz w:val="23"/>
          <w:szCs w:val="23"/>
          <w:lang w:val="en-US" w:eastAsia="zh-CN"/>
        </w:rPr>
      </w:pPr>
      <w:r w:rsidRPr="000C156A">
        <w:rPr>
          <w:sz w:val="23"/>
          <w:szCs w:val="23"/>
          <w:lang w:val="en-US" w:eastAsia="zh-CN"/>
        </w:rPr>
        <w:br w:type="page"/>
      </w:r>
    </w:p>
    <w:p w14:paraId="7818B37A" w14:textId="77777777" w:rsidR="00E02111" w:rsidRPr="000C156A" w:rsidRDefault="00E02111" w:rsidP="003C6628">
      <w:pPr>
        <w:pStyle w:val="Title3"/>
        <w:rPr>
          <w:b/>
          <w:bCs/>
          <w:lang w:val="fr-FR"/>
        </w:rPr>
      </w:pPr>
      <w:r w:rsidRPr="000C156A">
        <w:rPr>
          <w:rFonts w:cs="Microsoft YaHei" w:hint="eastAsia"/>
          <w:b/>
          <w:bCs/>
          <w:lang w:val="fr-FR"/>
        </w:rPr>
        <w:lastRenderedPageBreak/>
        <w:t>目录</w:t>
      </w:r>
    </w:p>
    <w:p w14:paraId="66AA3CDD" w14:textId="77777777" w:rsidR="00E02111" w:rsidRPr="000C156A" w:rsidRDefault="00E02111" w:rsidP="004D3A2E">
      <w:pPr>
        <w:pStyle w:val="toc0"/>
        <w:spacing w:before="80"/>
        <w:jc w:val="right"/>
        <w:rPr>
          <w:lang w:val="fr-FR"/>
        </w:rPr>
      </w:pPr>
      <w:r w:rsidRPr="000C156A">
        <w:rPr>
          <w:rFonts w:cs="Microsoft YaHei" w:hint="eastAsia"/>
          <w:lang w:val="fr-FR"/>
        </w:rPr>
        <w:t>页码</w:t>
      </w:r>
    </w:p>
    <w:sdt>
      <w:sdtPr>
        <w:id w:val="1567146310"/>
        <w:docPartObj>
          <w:docPartGallery w:val="Table of Contents"/>
          <w:docPartUnique/>
        </w:docPartObj>
      </w:sdtPr>
      <w:sdtEndPr>
        <w:rPr>
          <w:b/>
          <w:bCs/>
          <w:noProof/>
        </w:rPr>
      </w:sdtEndPr>
      <w:sdtContent>
        <w:p w14:paraId="07976195" w14:textId="419D9A3D" w:rsidR="003C6628" w:rsidRPr="000C156A" w:rsidRDefault="003C6628">
          <w:pPr>
            <w:pStyle w:val="TOC1"/>
            <w:rPr>
              <w:rFonts w:asciiTheme="minorHAnsi" w:eastAsiaTheme="minorEastAsia" w:hAnsiTheme="minorHAnsi" w:cstheme="minorBidi"/>
              <w:noProof/>
              <w:sz w:val="22"/>
              <w:szCs w:val="22"/>
              <w:lang w:val="en-US" w:eastAsia="zh-CN"/>
            </w:rPr>
          </w:pPr>
          <w:r w:rsidRPr="000C156A">
            <w:rPr>
              <w:rStyle w:val="Hyperlink"/>
              <w:lang w:eastAsia="zh-CN"/>
            </w:rPr>
            <w:fldChar w:fldCharType="begin"/>
          </w:r>
          <w:r w:rsidRPr="000C156A">
            <w:rPr>
              <w:rStyle w:val="Hyperlink"/>
              <w:noProof/>
              <w:lang w:eastAsia="zh-CN"/>
            </w:rPr>
            <w:instrText xml:space="preserve"> TOC \o "1-3" \h \z \u </w:instrText>
          </w:r>
          <w:r w:rsidRPr="000C156A">
            <w:rPr>
              <w:rStyle w:val="Hyperlink"/>
              <w:lang w:eastAsia="zh-CN"/>
            </w:rPr>
            <w:fldChar w:fldCharType="separate"/>
          </w:r>
          <w:hyperlink w:anchor="_Toc73519188" w:history="1">
            <w:r w:rsidRPr="000C156A">
              <w:rPr>
                <w:rStyle w:val="Hyperlink"/>
                <w:rFonts w:hint="eastAsia"/>
                <w:noProof/>
                <w:lang w:eastAsia="zh-CN"/>
              </w:rPr>
              <w:t>秘书长的前言</w:t>
            </w:r>
            <w:r w:rsidRPr="000C156A">
              <w:rPr>
                <w:noProof/>
                <w:webHidden/>
              </w:rPr>
              <w:tab/>
            </w:r>
            <w:r w:rsidRPr="000C156A">
              <w:rPr>
                <w:noProof/>
                <w:webHidden/>
              </w:rPr>
              <w:fldChar w:fldCharType="begin"/>
            </w:r>
            <w:r w:rsidRPr="000C156A">
              <w:rPr>
                <w:noProof/>
                <w:webHidden/>
              </w:rPr>
              <w:instrText xml:space="preserve"> PAGEREF _Toc73519188 \h </w:instrText>
            </w:r>
            <w:r w:rsidRPr="000C156A">
              <w:rPr>
                <w:noProof/>
                <w:webHidden/>
              </w:rPr>
            </w:r>
            <w:r w:rsidRPr="000C156A">
              <w:rPr>
                <w:noProof/>
                <w:webHidden/>
              </w:rPr>
              <w:fldChar w:fldCharType="separate"/>
            </w:r>
            <w:r w:rsidR="00C01875">
              <w:rPr>
                <w:noProof/>
                <w:webHidden/>
              </w:rPr>
              <w:t>4</w:t>
            </w:r>
            <w:r w:rsidRPr="000C156A">
              <w:rPr>
                <w:noProof/>
                <w:webHidden/>
              </w:rPr>
              <w:fldChar w:fldCharType="end"/>
            </w:r>
          </w:hyperlink>
        </w:p>
        <w:p w14:paraId="221ADA0E" w14:textId="7931388F" w:rsidR="003C6628" w:rsidRPr="000C156A" w:rsidRDefault="00A100EC">
          <w:pPr>
            <w:pStyle w:val="TOC1"/>
            <w:rPr>
              <w:rFonts w:asciiTheme="minorHAnsi" w:eastAsiaTheme="minorEastAsia" w:hAnsiTheme="minorHAnsi" w:cstheme="minorBidi"/>
              <w:noProof/>
              <w:sz w:val="22"/>
              <w:szCs w:val="22"/>
              <w:lang w:val="en-US" w:eastAsia="zh-CN"/>
            </w:rPr>
          </w:pPr>
          <w:hyperlink w:anchor="_Toc73519202" w:history="1">
            <w:r w:rsidR="003C6628" w:rsidRPr="000C156A">
              <w:rPr>
                <w:rStyle w:val="Hyperlink"/>
                <w:noProof/>
                <w:w w:val="105"/>
                <w:lang w:val="en-US" w:eastAsia="zh-CN"/>
              </w:rPr>
              <w:t>2020</w:t>
            </w:r>
            <w:r w:rsidR="003C6628" w:rsidRPr="000C156A">
              <w:rPr>
                <w:rStyle w:val="Hyperlink"/>
                <w:rFonts w:hint="eastAsia"/>
                <w:noProof/>
                <w:lang w:eastAsia="zh-CN"/>
              </w:rPr>
              <w:t>年管理报告</w:t>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_Toc73519202 \h </w:instrText>
            </w:r>
            <w:r w:rsidR="003C6628" w:rsidRPr="000C156A">
              <w:rPr>
                <w:noProof/>
                <w:webHidden/>
              </w:rPr>
            </w:r>
            <w:r w:rsidR="003C6628" w:rsidRPr="000C156A">
              <w:rPr>
                <w:noProof/>
                <w:webHidden/>
              </w:rPr>
              <w:fldChar w:fldCharType="separate"/>
            </w:r>
            <w:r w:rsidR="00C01875">
              <w:rPr>
                <w:noProof/>
                <w:webHidden/>
              </w:rPr>
              <w:t>13</w:t>
            </w:r>
            <w:r w:rsidR="003C6628" w:rsidRPr="000C156A">
              <w:rPr>
                <w:noProof/>
                <w:webHidden/>
              </w:rPr>
              <w:fldChar w:fldCharType="end"/>
            </w:r>
          </w:hyperlink>
        </w:p>
        <w:p w14:paraId="17CF87AC" w14:textId="58E877B6" w:rsidR="003C6628" w:rsidRPr="000C156A" w:rsidRDefault="00A100EC">
          <w:pPr>
            <w:pStyle w:val="TOC1"/>
            <w:rPr>
              <w:rFonts w:asciiTheme="minorHAnsi" w:eastAsiaTheme="minorEastAsia" w:hAnsiTheme="minorHAnsi" w:cstheme="minorBidi"/>
              <w:noProof/>
              <w:sz w:val="22"/>
              <w:szCs w:val="22"/>
              <w:lang w:val="en-US" w:eastAsia="zh-CN"/>
            </w:rPr>
          </w:pPr>
          <w:hyperlink w:anchor="_Toc73519210" w:history="1">
            <w:r w:rsidR="003C6628" w:rsidRPr="000C156A">
              <w:rPr>
                <w:rStyle w:val="Hyperlink"/>
                <w:rFonts w:hint="eastAsia"/>
                <w:noProof/>
                <w:lang w:eastAsia="zh-CN"/>
              </w:rPr>
              <w:t>财务报表</w:t>
            </w:r>
            <w:r w:rsidR="003C6628" w:rsidRPr="000C156A">
              <w:rPr>
                <w:noProof/>
                <w:webHidden/>
              </w:rPr>
              <w:tab/>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_Toc73519210 \h </w:instrText>
            </w:r>
            <w:r w:rsidR="003C6628" w:rsidRPr="000C156A">
              <w:rPr>
                <w:noProof/>
                <w:webHidden/>
              </w:rPr>
            </w:r>
            <w:r w:rsidR="003C6628" w:rsidRPr="000C156A">
              <w:rPr>
                <w:noProof/>
                <w:webHidden/>
              </w:rPr>
              <w:fldChar w:fldCharType="separate"/>
            </w:r>
            <w:r w:rsidR="00C01875">
              <w:rPr>
                <w:noProof/>
                <w:webHidden/>
              </w:rPr>
              <w:t>20</w:t>
            </w:r>
            <w:r w:rsidR="003C6628" w:rsidRPr="000C156A">
              <w:rPr>
                <w:noProof/>
                <w:webHidden/>
              </w:rPr>
              <w:fldChar w:fldCharType="end"/>
            </w:r>
          </w:hyperlink>
        </w:p>
        <w:p w14:paraId="3C8AF435" w14:textId="2412C270" w:rsidR="003C6628" w:rsidRPr="000C156A" w:rsidRDefault="00A100EC">
          <w:pPr>
            <w:pStyle w:val="TOC1"/>
            <w:rPr>
              <w:rFonts w:asciiTheme="minorHAnsi" w:eastAsiaTheme="minorEastAsia" w:hAnsiTheme="minorHAnsi" w:cstheme="minorBidi"/>
              <w:noProof/>
              <w:sz w:val="22"/>
              <w:szCs w:val="22"/>
              <w:lang w:val="en-US" w:eastAsia="zh-CN"/>
            </w:rPr>
          </w:pPr>
          <w:hyperlink w:anchor="_Toc73519279" w:history="1">
            <w:r w:rsidR="003C6628" w:rsidRPr="000C156A">
              <w:rPr>
                <w:rStyle w:val="Hyperlink"/>
                <w:rFonts w:hint="eastAsia"/>
                <w:noProof/>
                <w:lang w:eastAsia="zh-CN"/>
              </w:rPr>
              <w:t>一</w:t>
            </w:r>
            <w:r w:rsidR="003C6628" w:rsidRPr="000C156A">
              <w:rPr>
                <w:rFonts w:asciiTheme="minorHAnsi" w:eastAsiaTheme="minorEastAsia" w:hAnsiTheme="minorHAnsi" w:cstheme="minorBidi"/>
                <w:noProof/>
                <w:sz w:val="22"/>
                <w:szCs w:val="22"/>
                <w:lang w:val="en-US" w:eastAsia="zh-CN"/>
              </w:rPr>
              <w:tab/>
            </w:r>
            <w:r w:rsidR="003C6628" w:rsidRPr="000C156A">
              <w:rPr>
                <w:rStyle w:val="Hyperlink"/>
                <w:rFonts w:hint="eastAsia"/>
                <w:noProof/>
                <w:lang w:eastAsia="zh-CN"/>
              </w:rPr>
              <w:t>正常预算（附件</w:t>
            </w:r>
            <w:r w:rsidR="003C6628" w:rsidRPr="000C156A">
              <w:rPr>
                <w:rStyle w:val="Hyperlink"/>
                <w:noProof/>
                <w:lang w:eastAsia="zh-CN"/>
              </w:rPr>
              <w:t>B1</w:t>
            </w:r>
            <w:r w:rsidR="003C6628" w:rsidRPr="000C156A">
              <w:rPr>
                <w:rStyle w:val="Hyperlink"/>
                <w:rFonts w:hint="eastAsia"/>
                <w:noProof/>
                <w:lang w:eastAsia="zh-CN"/>
              </w:rPr>
              <w:t>）</w:t>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_Toc73519279 \h </w:instrText>
            </w:r>
            <w:r w:rsidR="003C6628" w:rsidRPr="000C156A">
              <w:rPr>
                <w:noProof/>
                <w:webHidden/>
              </w:rPr>
            </w:r>
            <w:r w:rsidR="003C6628" w:rsidRPr="000C156A">
              <w:rPr>
                <w:noProof/>
                <w:webHidden/>
              </w:rPr>
              <w:fldChar w:fldCharType="separate"/>
            </w:r>
            <w:r w:rsidR="00C01875">
              <w:rPr>
                <w:noProof/>
                <w:webHidden/>
              </w:rPr>
              <w:t>66</w:t>
            </w:r>
            <w:r w:rsidR="003C6628" w:rsidRPr="000C156A">
              <w:rPr>
                <w:noProof/>
                <w:webHidden/>
              </w:rPr>
              <w:fldChar w:fldCharType="end"/>
            </w:r>
          </w:hyperlink>
        </w:p>
        <w:p w14:paraId="04CB1F8F" w14:textId="41A39E38" w:rsidR="003C6628" w:rsidRPr="000C156A" w:rsidRDefault="00A100EC">
          <w:pPr>
            <w:pStyle w:val="TOC1"/>
            <w:rPr>
              <w:rFonts w:asciiTheme="minorHAnsi" w:eastAsiaTheme="minorEastAsia" w:hAnsiTheme="minorHAnsi" w:cstheme="minorBidi"/>
              <w:noProof/>
              <w:sz w:val="22"/>
              <w:szCs w:val="22"/>
              <w:lang w:val="en-US" w:eastAsia="zh-CN"/>
            </w:rPr>
          </w:pPr>
          <w:hyperlink w:anchor="_Toc73519290" w:history="1">
            <w:r w:rsidR="003C6628" w:rsidRPr="000C156A">
              <w:rPr>
                <w:rStyle w:val="Hyperlink"/>
                <w:rFonts w:hint="eastAsia"/>
                <w:noProof/>
                <w:lang w:eastAsia="zh-CN"/>
              </w:rPr>
              <w:t>二</w:t>
            </w:r>
            <w:r w:rsidR="003C6628" w:rsidRPr="000C156A">
              <w:rPr>
                <w:rFonts w:asciiTheme="minorHAnsi" w:eastAsiaTheme="minorEastAsia" w:hAnsiTheme="minorHAnsi" w:cstheme="minorBidi"/>
                <w:noProof/>
                <w:sz w:val="22"/>
                <w:szCs w:val="22"/>
                <w:lang w:val="en-US" w:eastAsia="zh-CN"/>
              </w:rPr>
              <w:tab/>
            </w:r>
            <w:r w:rsidR="003C6628" w:rsidRPr="000C156A">
              <w:rPr>
                <w:rStyle w:val="Hyperlink"/>
                <w:rFonts w:hint="eastAsia"/>
                <w:noProof/>
                <w:lang w:eastAsia="zh-CN"/>
              </w:rPr>
              <w:t>总部新办公楼（附件</w:t>
            </w:r>
            <w:r w:rsidR="003C6628" w:rsidRPr="000C156A">
              <w:rPr>
                <w:rStyle w:val="Hyperlink"/>
                <w:noProof/>
                <w:lang w:eastAsia="zh-CN"/>
              </w:rPr>
              <w:t>B2</w:t>
            </w:r>
            <w:r w:rsidR="003C6628" w:rsidRPr="000C156A">
              <w:rPr>
                <w:rStyle w:val="Hyperlink"/>
                <w:rFonts w:hint="eastAsia"/>
                <w:noProof/>
                <w:lang w:eastAsia="zh-CN"/>
              </w:rPr>
              <w:t>）</w:t>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_Toc73519290 \h </w:instrText>
            </w:r>
            <w:r w:rsidR="003C6628" w:rsidRPr="000C156A">
              <w:rPr>
                <w:noProof/>
                <w:webHidden/>
              </w:rPr>
            </w:r>
            <w:r w:rsidR="003C6628" w:rsidRPr="000C156A">
              <w:rPr>
                <w:noProof/>
                <w:webHidden/>
              </w:rPr>
              <w:fldChar w:fldCharType="separate"/>
            </w:r>
            <w:r w:rsidR="00C01875">
              <w:rPr>
                <w:noProof/>
                <w:webHidden/>
              </w:rPr>
              <w:t>68</w:t>
            </w:r>
            <w:r w:rsidR="003C6628" w:rsidRPr="000C156A">
              <w:rPr>
                <w:noProof/>
                <w:webHidden/>
              </w:rPr>
              <w:fldChar w:fldCharType="end"/>
            </w:r>
          </w:hyperlink>
        </w:p>
        <w:p w14:paraId="7F86725C" w14:textId="50EB676F" w:rsidR="003C6628" w:rsidRPr="000C156A" w:rsidRDefault="00A100EC">
          <w:pPr>
            <w:pStyle w:val="TOC1"/>
            <w:rPr>
              <w:rFonts w:asciiTheme="minorHAnsi" w:eastAsiaTheme="minorEastAsia" w:hAnsiTheme="minorHAnsi" w:cstheme="minorBidi"/>
              <w:noProof/>
              <w:sz w:val="22"/>
              <w:szCs w:val="22"/>
              <w:lang w:val="en-US" w:eastAsia="zh-CN"/>
            </w:rPr>
          </w:pPr>
          <w:hyperlink w:anchor="_Toc73519291" w:history="1">
            <w:r w:rsidR="003C6628" w:rsidRPr="000C156A">
              <w:rPr>
                <w:rStyle w:val="Hyperlink"/>
                <w:rFonts w:hint="eastAsia"/>
                <w:noProof/>
                <w:lang w:eastAsia="zh-CN"/>
              </w:rPr>
              <w:t>三</w:t>
            </w:r>
            <w:r w:rsidR="003C6628" w:rsidRPr="000C156A">
              <w:rPr>
                <w:rFonts w:asciiTheme="minorHAnsi" w:eastAsiaTheme="minorEastAsia" w:hAnsiTheme="minorHAnsi" w:cstheme="minorBidi"/>
                <w:noProof/>
                <w:sz w:val="22"/>
                <w:szCs w:val="22"/>
                <w:lang w:val="en-US" w:eastAsia="zh-CN"/>
              </w:rPr>
              <w:tab/>
            </w:r>
            <w:r w:rsidR="003C6628" w:rsidRPr="000C156A">
              <w:rPr>
                <w:rStyle w:val="Hyperlink"/>
                <w:rFonts w:hint="eastAsia"/>
                <w:noProof/>
                <w:lang w:eastAsia="zh-CN"/>
              </w:rPr>
              <w:t>职员退休和福利基金（附件</w:t>
            </w:r>
            <w:r w:rsidR="003C6628" w:rsidRPr="000C156A">
              <w:rPr>
                <w:rStyle w:val="Hyperlink"/>
                <w:noProof/>
                <w:lang w:eastAsia="zh-CN"/>
              </w:rPr>
              <w:t>B3</w:t>
            </w:r>
            <w:r w:rsidR="003C6628" w:rsidRPr="000C156A">
              <w:rPr>
                <w:rStyle w:val="Hyperlink"/>
                <w:rFonts w:hint="eastAsia"/>
                <w:noProof/>
                <w:lang w:eastAsia="zh-CN"/>
              </w:rPr>
              <w:t>）</w:t>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_Toc73519291 \h </w:instrText>
            </w:r>
            <w:r w:rsidR="003C6628" w:rsidRPr="000C156A">
              <w:rPr>
                <w:noProof/>
                <w:webHidden/>
              </w:rPr>
            </w:r>
            <w:r w:rsidR="003C6628" w:rsidRPr="000C156A">
              <w:rPr>
                <w:noProof/>
                <w:webHidden/>
              </w:rPr>
              <w:fldChar w:fldCharType="separate"/>
            </w:r>
            <w:r w:rsidR="00C01875">
              <w:rPr>
                <w:noProof/>
                <w:webHidden/>
              </w:rPr>
              <w:t>68</w:t>
            </w:r>
            <w:r w:rsidR="003C6628" w:rsidRPr="000C156A">
              <w:rPr>
                <w:noProof/>
                <w:webHidden/>
              </w:rPr>
              <w:fldChar w:fldCharType="end"/>
            </w:r>
          </w:hyperlink>
        </w:p>
        <w:p w14:paraId="63DE2337" w14:textId="0385B71F" w:rsidR="003C6628" w:rsidRPr="000C156A" w:rsidRDefault="00A100EC">
          <w:pPr>
            <w:pStyle w:val="TOC1"/>
            <w:rPr>
              <w:rFonts w:asciiTheme="minorHAnsi" w:eastAsiaTheme="minorEastAsia" w:hAnsiTheme="minorHAnsi" w:cstheme="minorBidi"/>
              <w:noProof/>
              <w:sz w:val="22"/>
              <w:szCs w:val="22"/>
              <w:lang w:val="en-US" w:eastAsia="zh-CN"/>
            </w:rPr>
          </w:pPr>
          <w:hyperlink w:anchor="_Toc73519292" w:history="1">
            <w:r w:rsidR="003C6628" w:rsidRPr="000C156A">
              <w:rPr>
                <w:rStyle w:val="Hyperlink"/>
                <w:rFonts w:hint="eastAsia"/>
                <w:noProof/>
                <w:lang w:val="en-US" w:eastAsia="zh-CN"/>
              </w:rPr>
              <w:t>四</w:t>
            </w:r>
            <w:r w:rsidR="003C6628" w:rsidRPr="000C156A">
              <w:rPr>
                <w:rFonts w:asciiTheme="minorHAnsi" w:eastAsiaTheme="minorEastAsia" w:hAnsiTheme="minorHAnsi" w:cstheme="minorBidi"/>
                <w:noProof/>
                <w:sz w:val="22"/>
                <w:szCs w:val="22"/>
                <w:lang w:val="en-US" w:eastAsia="zh-CN"/>
              </w:rPr>
              <w:tab/>
            </w:r>
            <w:r w:rsidR="003C6628" w:rsidRPr="000C156A">
              <w:rPr>
                <w:rStyle w:val="Hyperlink"/>
                <w:rFonts w:hint="eastAsia"/>
                <w:noProof/>
                <w:lang w:eastAsia="zh-CN"/>
              </w:rPr>
              <w:t>联合国开发计划署</w:t>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_Toc73519292 \h </w:instrText>
            </w:r>
            <w:r w:rsidR="003C6628" w:rsidRPr="000C156A">
              <w:rPr>
                <w:noProof/>
                <w:webHidden/>
              </w:rPr>
            </w:r>
            <w:r w:rsidR="003C6628" w:rsidRPr="000C156A">
              <w:rPr>
                <w:noProof/>
                <w:webHidden/>
              </w:rPr>
              <w:fldChar w:fldCharType="separate"/>
            </w:r>
            <w:r w:rsidR="00C01875">
              <w:rPr>
                <w:noProof/>
                <w:webHidden/>
              </w:rPr>
              <w:t>68</w:t>
            </w:r>
            <w:r w:rsidR="003C6628" w:rsidRPr="000C156A">
              <w:rPr>
                <w:noProof/>
                <w:webHidden/>
              </w:rPr>
              <w:fldChar w:fldCharType="end"/>
            </w:r>
          </w:hyperlink>
        </w:p>
        <w:p w14:paraId="5BF9CF1E" w14:textId="08C049C9" w:rsidR="003C6628" w:rsidRPr="000C156A" w:rsidRDefault="00A100EC">
          <w:pPr>
            <w:pStyle w:val="TOC1"/>
            <w:rPr>
              <w:rFonts w:asciiTheme="minorHAnsi" w:eastAsiaTheme="minorEastAsia" w:hAnsiTheme="minorHAnsi" w:cstheme="minorBidi"/>
              <w:noProof/>
              <w:sz w:val="22"/>
              <w:szCs w:val="22"/>
              <w:lang w:val="en-US" w:eastAsia="zh-CN"/>
            </w:rPr>
          </w:pPr>
          <w:hyperlink w:anchor="_Toc73519293" w:history="1">
            <w:r w:rsidR="003C6628" w:rsidRPr="000C156A">
              <w:rPr>
                <w:rStyle w:val="Hyperlink"/>
                <w:rFonts w:hint="eastAsia"/>
                <w:noProof/>
                <w:lang w:eastAsia="zh-CN"/>
              </w:rPr>
              <w:t>五</w:t>
            </w:r>
            <w:r w:rsidR="003C6628" w:rsidRPr="000C156A">
              <w:rPr>
                <w:rFonts w:asciiTheme="minorHAnsi" w:eastAsiaTheme="minorEastAsia" w:hAnsiTheme="minorHAnsi" w:cstheme="minorBidi"/>
                <w:noProof/>
                <w:sz w:val="22"/>
                <w:szCs w:val="22"/>
                <w:lang w:val="en-US" w:eastAsia="zh-CN"/>
              </w:rPr>
              <w:tab/>
            </w:r>
            <w:r w:rsidR="003C6628" w:rsidRPr="000C156A">
              <w:rPr>
                <w:rStyle w:val="Hyperlink"/>
                <w:rFonts w:hint="eastAsia"/>
                <w:noProof/>
                <w:lang w:eastAsia="zh-CN"/>
              </w:rPr>
              <w:t>信托基金（附件</w:t>
            </w:r>
            <w:r w:rsidR="003C6628" w:rsidRPr="000C156A">
              <w:rPr>
                <w:rStyle w:val="Hyperlink"/>
                <w:noProof/>
                <w:lang w:eastAsia="zh-CN"/>
              </w:rPr>
              <w:t>B4</w:t>
            </w:r>
            <w:r w:rsidR="003C6628" w:rsidRPr="000C156A">
              <w:rPr>
                <w:rStyle w:val="Hyperlink"/>
                <w:rFonts w:hint="eastAsia"/>
                <w:noProof/>
                <w:lang w:eastAsia="zh-CN"/>
              </w:rPr>
              <w:t>）</w:t>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_Toc73519293 \h </w:instrText>
            </w:r>
            <w:r w:rsidR="003C6628" w:rsidRPr="000C156A">
              <w:rPr>
                <w:noProof/>
                <w:webHidden/>
              </w:rPr>
            </w:r>
            <w:r w:rsidR="003C6628" w:rsidRPr="000C156A">
              <w:rPr>
                <w:noProof/>
                <w:webHidden/>
              </w:rPr>
              <w:fldChar w:fldCharType="separate"/>
            </w:r>
            <w:r w:rsidR="00C01875">
              <w:rPr>
                <w:noProof/>
                <w:webHidden/>
              </w:rPr>
              <w:t>68</w:t>
            </w:r>
            <w:r w:rsidR="003C6628" w:rsidRPr="000C156A">
              <w:rPr>
                <w:noProof/>
                <w:webHidden/>
              </w:rPr>
              <w:fldChar w:fldCharType="end"/>
            </w:r>
          </w:hyperlink>
        </w:p>
        <w:p w14:paraId="1C70A152" w14:textId="1EFDC8BA" w:rsidR="003C6628" w:rsidRPr="000C156A" w:rsidRDefault="00A100EC">
          <w:pPr>
            <w:pStyle w:val="TOC1"/>
            <w:rPr>
              <w:rFonts w:asciiTheme="minorHAnsi" w:eastAsiaTheme="minorEastAsia" w:hAnsiTheme="minorHAnsi" w:cstheme="minorBidi"/>
              <w:noProof/>
              <w:sz w:val="22"/>
              <w:szCs w:val="22"/>
              <w:lang w:val="en-US" w:eastAsia="zh-CN"/>
            </w:rPr>
          </w:pPr>
          <w:hyperlink w:anchor="_Toc73519295" w:history="1">
            <w:r w:rsidR="003C6628" w:rsidRPr="000C156A">
              <w:rPr>
                <w:rStyle w:val="Hyperlink"/>
                <w:rFonts w:hint="eastAsia"/>
                <w:noProof/>
                <w:lang w:eastAsia="zh-CN"/>
              </w:rPr>
              <w:t>六</w:t>
            </w:r>
            <w:r w:rsidR="003C6628" w:rsidRPr="000C156A">
              <w:rPr>
                <w:rFonts w:asciiTheme="minorHAnsi" w:eastAsiaTheme="minorEastAsia" w:hAnsiTheme="minorHAnsi" w:cstheme="minorBidi"/>
                <w:noProof/>
                <w:sz w:val="22"/>
                <w:szCs w:val="22"/>
                <w:lang w:val="en-US" w:eastAsia="zh-CN"/>
              </w:rPr>
              <w:tab/>
            </w:r>
            <w:r w:rsidR="003C6628" w:rsidRPr="000C156A">
              <w:rPr>
                <w:rStyle w:val="Hyperlink"/>
                <w:rFonts w:hint="eastAsia"/>
                <w:noProof/>
                <w:lang w:eastAsia="zh-CN"/>
              </w:rPr>
              <w:t>自愿捐款（附件</w:t>
            </w:r>
            <w:r w:rsidR="003C6628" w:rsidRPr="000C156A">
              <w:rPr>
                <w:rStyle w:val="Hyperlink"/>
                <w:noProof/>
                <w:lang w:eastAsia="zh-CN"/>
              </w:rPr>
              <w:t>B5</w:t>
            </w:r>
            <w:r w:rsidR="003C6628" w:rsidRPr="000C156A">
              <w:rPr>
                <w:rStyle w:val="Hyperlink"/>
                <w:rFonts w:hint="eastAsia"/>
                <w:noProof/>
                <w:lang w:eastAsia="zh-CN"/>
              </w:rPr>
              <w:t>）</w:t>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_Toc73519295 \h </w:instrText>
            </w:r>
            <w:r w:rsidR="003C6628" w:rsidRPr="000C156A">
              <w:rPr>
                <w:noProof/>
                <w:webHidden/>
              </w:rPr>
            </w:r>
            <w:r w:rsidR="003C6628" w:rsidRPr="000C156A">
              <w:rPr>
                <w:noProof/>
                <w:webHidden/>
              </w:rPr>
              <w:fldChar w:fldCharType="separate"/>
            </w:r>
            <w:r w:rsidR="00C01875">
              <w:rPr>
                <w:noProof/>
                <w:webHidden/>
              </w:rPr>
              <w:t>69</w:t>
            </w:r>
            <w:r w:rsidR="003C6628" w:rsidRPr="000C156A">
              <w:rPr>
                <w:noProof/>
                <w:webHidden/>
              </w:rPr>
              <w:fldChar w:fldCharType="end"/>
            </w:r>
          </w:hyperlink>
        </w:p>
        <w:p w14:paraId="27E99684" w14:textId="6B95E9DA" w:rsidR="003C6628" w:rsidRPr="000C156A" w:rsidRDefault="00A100EC">
          <w:pPr>
            <w:pStyle w:val="TOC1"/>
            <w:rPr>
              <w:rFonts w:asciiTheme="minorHAnsi" w:eastAsiaTheme="minorEastAsia" w:hAnsiTheme="minorHAnsi" w:cstheme="minorBidi"/>
              <w:noProof/>
              <w:sz w:val="22"/>
              <w:szCs w:val="22"/>
              <w:lang w:val="en-US" w:eastAsia="zh-CN"/>
            </w:rPr>
          </w:pPr>
          <w:hyperlink w:anchor="_Toc73519296" w:history="1">
            <w:r w:rsidR="003C6628" w:rsidRPr="000C156A">
              <w:rPr>
                <w:rStyle w:val="Hyperlink"/>
                <w:rFonts w:hint="eastAsia"/>
                <w:noProof/>
                <w:lang w:eastAsia="zh-CN"/>
              </w:rPr>
              <w:t>七</w:t>
            </w:r>
            <w:r w:rsidR="003C6628" w:rsidRPr="000C156A">
              <w:rPr>
                <w:rFonts w:asciiTheme="minorHAnsi" w:eastAsiaTheme="minorEastAsia" w:hAnsiTheme="minorHAnsi" w:cstheme="minorBidi"/>
                <w:noProof/>
                <w:sz w:val="22"/>
                <w:szCs w:val="22"/>
                <w:lang w:val="en-US" w:eastAsia="zh-CN"/>
              </w:rPr>
              <w:tab/>
            </w:r>
            <w:r w:rsidR="003C6628" w:rsidRPr="000C156A">
              <w:rPr>
                <w:rStyle w:val="Hyperlink"/>
                <w:rFonts w:hint="eastAsia"/>
                <w:noProof/>
                <w:lang w:eastAsia="zh-CN"/>
              </w:rPr>
              <w:t>信息通信技术（</w:t>
            </w:r>
            <w:r w:rsidR="003C6628" w:rsidRPr="000C156A">
              <w:rPr>
                <w:rStyle w:val="Hyperlink"/>
                <w:noProof/>
                <w:lang w:eastAsia="zh-CN"/>
              </w:rPr>
              <w:t>ICT</w:t>
            </w:r>
            <w:r w:rsidR="003C6628" w:rsidRPr="000C156A">
              <w:rPr>
                <w:rStyle w:val="Hyperlink"/>
                <w:rFonts w:hint="eastAsia"/>
                <w:noProof/>
                <w:lang w:eastAsia="zh-CN"/>
              </w:rPr>
              <w:t>）发展基金（附件</w:t>
            </w:r>
            <w:r w:rsidR="003C6628" w:rsidRPr="000C156A">
              <w:rPr>
                <w:rStyle w:val="Hyperlink"/>
                <w:noProof/>
                <w:lang w:eastAsia="zh-CN"/>
              </w:rPr>
              <w:t>B6</w:t>
            </w:r>
            <w:r w:rsidR="003C6628" w:rsidRPr="000C156A">
              <w:rPr>
                <w:rStyle w:val="Hyperlink"/>
                <w:rFonts w:hint="eastAsia"/>
                <w:noProof/>
                <w:lang w:eastAsia="zh-CN"/>
              </w:rPr>
              <w:t>）</w:t>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_Toc73519296 \h </w:instrText>
            </w:r>
            <w:r w:rsidR="003C6628" w:rsidRPr="000C156A">
              <w:rPr>
                <w:noProof/>
                <w:webHidden/>
              </w:rPr>
            </w:r>
            <w:r w:rsidR="003C6628" w:rsidRPr="000C156A">
              <w:rPr>
                <w:noProof/>
                <w:webHidden/>
              </w:rPr>
              <w:fldChar w:fldCharType="separate"/>
            </w:r>
            <w:r w:rsidR="00C01875">
              <w:rPr>
                <w:noProof/>
                <w:webHidden/>
              </w:rPr>
              <w:t>69</w:t>
            </w:r>
            <w:r w:rsidR="003C6628" w:rsidRPr="000C156A">
              <w:rPr>
                <w:noProof/>
                <w:webHidden/>
              </w:rPr>
              <w:fldChar w:fldCharType="end"/>
            </w:r>
          </w:hyperlink>
        </w:p>
        <w:p w14:paraId="4740039E" w14:textId="3D7AFA10" w:rsidR="003C6628" w:rsidRPr="000C156A" w:rsidRDefault="00A100EC">
          <w:pPr>
            <w:pStyle w:val="TOC1"/>
            <w:rPr>
              <w:rFonts w:asciiTheme="minorHAnsi" w:eastAsiaTheme="minorEastAsia" w:hAnsiTheme="minorHAnsi" w:cstheme="minorBidi"/>
              <w:noProof/>
              <w:sz w:val="22"/>
              <w:szCs w:val="22"/>
              <w:lang w:val="en-US" w:eastAsia="zh-CN"/>
            </w:rPr>
          </w:pPr>
          <w:hyperlink w:anchor="_Toc73519297" w:history="1">
            <w:r w:rsidR="003C6628" w:rsidRPr="000C156A">
              <w:rPr>
                <w:rStyle w:val="Hyperlink"/>
                <w:rFonts w:hint="eastAsia"/>
                <w:noProof/>
                <w:lang w:val="en-US" w:eastAsia="zh-CN"/>
              </w:rPr>
              <w:t>八</w:t>
            </w:r>
            <w:r w:rsidR="003C6628" w:rsidRPr="000C156A">
              <w:rPr>
                <w:rFonts w:asciiTheme="minorHAnsi" w:eastAsiaTheme="minorEastAsia" w:hAnsiTheme="minorHAnsi" w:cstheme="minorBidi"/>
                <w:noProof/>
                <w:sz w:val="22"/>
                <w:szCs w:val="22"/>
                <w:lang w:val="en-US" w:eastAsia="zh-CN"/>
              </w:rPr>
              <w:tab/>
            </w:r>
            <w:r w:rsidR="003C6628" w:rsidRPr="000C156A">
              <w:rPr>
                <w:rStyle w:val="Hyperlink"/>
                <w:rFonts w:hint="eastAsia"/>
                <w:noProof/>
                <w:lang w:val="en-US" w:eastAsia="zh-CN"/>
              </w:rPr>
              <w:t>国际电联</w:t>
            </w:r>
            <w:r w:rsidR="003C6628" w:rsidRPr="000C156A">
              <w:rPr>
                <w:rStyle w:val="Hyperlink"/>
                <w:noProof/>
                <w:lang w:val="en-US" w:eastAsia="zh-CN"/>
              </w:rPr>
              <w:t>2019</w:t>
            </w:r>
            <w:r w:rsidR="003C6628" w:rsidRPr="000C156A">
              <w:rPr>
                <w:rStyle w:val="Hyperlink"/>
                <w:rFonts w:hint="eastAsia"/>
                <w:noProof/>
                <w:lang w:val="en-US" w:eastAsia="zh-CN"/>
              </w:rPr>
              <w:t>年世界电信展（附件</w:t>
            </w:r>
            <w:r w:rsidR="003C6628" w:rsidRPr="000C156A">
              <w:rPr>
                <w:rStyle w:val="Hyperlink"/>
                <w:noProof/>
                <w:lang w:eastAsia="zh-CN"/>
              </w:rPr>
              <w:t>B7</w:t>
            </w:r>
            <w:r w:rsidR="003C6628" w:rsidRPr="000C156A">
              <w:rPr>
                <w:rStyle w:val="Hyperlink"/>
                <w:rFonts w:hint="eastAsia"/>
                <w:noProof/>
                <w:lang w:val="en-US" w:eastAsia="zh-CN"/>
              </w:rPr>
              <w:t>）</w:t>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_Toc73519297 \h </w:instrText>
            </w:r>
            <w:r w:rsidR="003C6628" w:rsidRPr="000C156A">
              <w:rPr>
                <w:noProof/>
                <w:webHidden/>
              </w:rPr>
            </w:r>
            <w:r w:rsidR="003C6628" w:rsidRPr="000C156A">
              <w:rPr>
                <w:noProof/>
                <w:webHidden/>
              </w:rPr>
              <w:fldChar w:fldCharType="separate"/>
            </w:r>
            <w:r w:rsidR="00C01875">
              <w:rPr>
                <w:noProof/>
                <w:webHidden/>
              </w:rPr>
              <w:t>69</w:t>
            </w:r>
            <w:r w:rsidR="003C6628" w:rsidRPr="000C156A">
              <w:rPr>
                <w:noProof/>
                <w:webHidden/>
              </w:rPr>
              <w:fldChar w:fldCharType="end"/>
            </w:r>
          </w:hyperlink>
        </w:p>
        <w:p w14:paraId="7DD7B10A" w14:textId="4849CF6D" w:rsidR="003C6628" w:rsidRPr="000C156A" w:rsidRDefault="00A100EC">
          <w:pPr>
            <w:pStyle w:val="TOC1"/>
            <w:rPr>
              <w:rFonts w:asciiTheme="minorHAnsi" w:eastAsiaTheme="minorEastAsia" w:hAnsiTheme="minorHAnsi" w:cstheme="minorBidi"/>
              <w:noProof/>
              <w:sz w:val="22"/>
              <w:szCs w:val="22"/>
              <w:lang w:val="en-US" w:eastAsia="zh-CN"/>
            </w:rPr>
          </w:pPr>
          <w:hyperlink w:anchor="_Toc73519298" w:history="1">
            <w:r w:rsidR="003C6628" w:rsidRPr="000C156A">
              <w:rPr>
                <w:rStyle w:val="Hyperlink"/>
                <w:rFonts w:hint="eastAsia"/>
                <w:noProof/>
                <w:lang w:eastAsia="zh-CN"/>
              </w:rPr>
              <w:t>九</w:t>
            </w:r>
            <w:r w:rsidR="003C6628" w:rsidRPr="000C156A">
              <w:rPr>
                <w:rFonts w:asciiTheme="minorHAnsi" w:eastAsiaTheme="minorEastAsia" w:hAnsiTheme="minorHAnsi" w:cstheme="minorBidi"/>
                <w:noProof/>
                <w:sz w:val="22"/>
                <w:szCs w:val="22"/>
                <w:lang w:val="en-US" w:eastAsia="zh-CN"/>
              </w:rPr>
              <w:tab/>
            </w:r>
            <w:r w:rsidR="003C6628" w:rsidRPr="000C156A">
              <w:rPr>
                <w:rStyle w:val="Hyperlink"/>
                <w:rFonts w:hint="eastAsia"/>
                <w:noProof/>
                <w:lang w:eastAsia="zh-CN"/>
              </w:rPr>
              <w:t>财务披露</w:t>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_Toc73519298 \h </w:instrText>
            </w:r>
            <w:r w:rsidR="003C6628" w:rsidRPr="000C156A">
              <w:rPr>
                <w:noProof/>
                <w:webHidden/>
              </w:rPr>
            </w:r>
            <w:r w:rsidR="003C6628" w:rsidRPr="000C156A">
              <w:rPr>
                <w:noProof/>
                <w:webHidden/>
              </w:rPr>
              <w:fldChar w:fldCharType="separate"/>
            </w:r>
            <w:r w:rsidR="00C01875">
              <w:rPr>
                <w:noProof/>
                <w:webHidden/>
              </w:rPr>
              <w:t>70</w:t>
            </w:r>
            <w:r w:rsidR="003C6628" w:rsidRPr="000C156A">
              <w:rPr>
                <w:noProof/>
                <w:webHidden/>
              </w:rPr>
              <w:fldChar w:fldCharType="end"/>
            </w:r>
          </w:hyperlink>
        </w:p>
        <w:p w14:paraId="56AFDB5F" w14:textId="7C949C0B" w:rsidR="003C6628" w:rsidRPr="000C156A" w:rsidRDefault="00A100EC">
          <w:pPr>
            <w:pStyle w:val="TOC1"/>
            <w:rPr>
              <w:rFonts w:asciiTheme="minorHAnsi" w:eastAsiaTheme="minorEastAsia" w:hAnsiTheme="minorHAnsi" w:cstheme="minorBidi"/>
              <w:noProof/>
              <w:sz w:val="22"/>
              <w:szCs w:val="22"/>
              <w:lang w:val="en-US" w:eastAsia="zh-CN"/>
            </w:rPr>
          </w:pPr>
          <w:hyperlink w:anchor="_Toc73519299" w:history="1">
            <w:r w:rsidR="003C6628" w:rsidRPr="000C156A">
              <w:rPr>
                <w:rStyle w:val="Hyperlink"/>
                <w:rFonts w:hint="eastAsia"/>
                <w:noProof/>
                <w:lang w:eastAsia="zh-CN"/>
              </w:rPr>
              <w:t>十</w:t>
            </w:r>
            <w:r w:rsidR="003C6628" w:rsidRPr="000C156A">
              <w:rPr>
                <w:rFonts w:asciiTheme="minorHAnsi" w:eastAsiaTheme="minorEastAsia" w:hAnsiTheme="minorHAnsi" w:cstheme="minorBidi"/>
                <w:noProof/>
                <w:sz w:val="22"/>
                <w:szCs w:val="22"/>
                <w:lang w:val="en-US" w:eastAsia="zh-CN"/>
              </w:rPr>
              <w:tab/>
            </w:r>
            <w:r w:rsidR="003C6628" w:rsidRPr="000C156A">
              <w:rPr>
                <w:rStyle w:val="Hyperlink"/>
                <w:rFonts w:hint="eastAsia"/>
                <w:noProof/>
                <w:lang w:eastAsia="zh-CN"/>
              </w:rPr>
              <w:t>国际电联账目的外部审计</w:t>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_Toc73519299 \h </w:instrText>
            </w:r>
            <w:r w:rsidR="003C6628" w:rsidRPr="000C156A">
              <w:rPr>
                <w:noProof/>
                <w:webHidden/>
              </w:rPr>
            </w:r>
            <w:r w:rsidR="003C6628" w:rsidRPr="000C156A">
              <w:rPr>
                <w:noProof/>
                <w:webHidden/>
              </w:rPr>
              <w:fldChar w:fldCharType="separate"/>
            </w:r>
            <w:r w:rsidR="00C01875">
              <w:rPr>
                <w:noProof/>
                <w:webHidden/>
              </w:rPr>
              <w:t>71</w:t>
            </w:r>
            <w:r w:rsidR="003C6628" w:rsidRPr="000C156A">
              <w:rPr>
                <w:noProof/>
                <w:webHidden/>
              </w:rPr>
              <w:fldChar w:fldCharType="end"/>
            </w:r>
          </w:hyperlink>
        </w:p>
        <w:p w14:paraId="337FA667" w14:textId="06B48DFD" w:rsidR="003C6628" w:rsidRPr="000C156A" w:rsidRDefault="00A100EC">
          <w:pPr>
            <w:pStyle w:val="TOC1"/>
            <w:rPr>
              <w:rFonts w:asciiTheme="minorHAnsi" w:eastAsiaTheme="minorEastAsia" w:hAnsiTheme="minorHAnsi" w:cstheme="minorBidi"/>
              <w:noProof/>
              <w:sz w:val="22"/>
              <w:szCs w:val="22"/>
              <w:lang w:val="en-US" w:eastAsia="zh-CN"/>
            </w:rPr>
          </w:pPr>
          <w:hyperlink w:anchor="_Toc73519300" w:history="1">
            <w:r w:rsidR="003C6628" w:rsidRPr="000C156A">
              <w:rPr>
                <w:rStyle w:val="Hyperlink"/>
                <w:rFonts w:hint="eastAsia"/>
                <w:noProof/>
                <w:lang w:eastAsia="zh-CN"/>
              </w:rPr>
              <w:t>附件</w:t>
            </w:r>
            <w:r w:rsidR="003C6628" w:rsidRPr="000C156A">
              <w:rPr>
                <w:rStyle w:val="Hyperlink"/>
                <w:noProof/>
                <w:lang w:eastAsia="zh-CN"/>
              </w:rPr>
              <w:t>A</w:t>
            </w:r>
            <w:r w:rsidR="003C6628" w:rsidRPr="000C156A">
              <w:rPr>
                <w:rStyle w:val="Hyperlink"/>
                <w:noProof/>
                <w:lang w:eastAsia="zh-CN"/>
              </w:rPr>
              <w:tab/>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_Toc73519300 \h </w:instrText>
            </w:r>
            <w:r w:rsidR="003C6628" w:rsidRPr="000C156A">
              <w:rPr>
                <w:noProof/>
                <w:webHidden/>
              </w:rPr>
            </w:r>
            <w:r w:rsidR="003C6628" w:rsidRPr="000C156A">
              <w:rPr>
                <w:noProof/>
                <w:webHidden/>
              </w:rPr>
              <w:fldChar w:fldCharType="separate"/>
            </w:r>
            <w:r w:rsidR="00C01875">
              <w:rPr>
                <w:noProof/>
                <w:webHidden/>
              </w:rPr>
              <w:t>72</w:t>
            </w:r>
            <w:r w:rsidR="003C6628" w:rsidRPr="000C156A">
              <w:rPr>
                <w:noProof/>
                <w:webHidden/>
              </w:rPr>
              <w:fldChar w:fldCharType="end"/>
            </w:r>
          </w:hyperlink>
        </w:p>
        <w:p w14:paraId="2A209D02" w14:textId="401EC2DD" w:rsidR="003C6628" w:rsidRPr="000C156A" w:rsidRDefault="00A100EC">
          <w:pPr>
            <w:pStyle w:val="TOC1"/>
            <w:rPr>
              <w:rFonts w:asciiTheme="minorHAnsi" w:eastAsiaTheme="minorEastAsia" w:hAnsiTheme="minorHAnsi" w:cstheme="minorBidi"/>
              <w:noProof/>
              <w:sz w:val="22"/>
              <w:szCs w:val="22"/>
              <w:lang w:val="en-US" w:eastAsia="zh-CN"/>
            </w:rPr>
          </w:pPr>
          <w:hyperlink w:anchor="_Toc73519302" w:history="1">
            <w:r w:rsidR="003C6628" w:rsidRPr="000C156A">
              <w:rPr>
                <w:rStyle w:val="Hyperlink"/>
                <w:rFonts w:hint="eastAsia"/>
                <w:noProof/>
                <w:lang w:eastAsia="zh-CN"/>
              </w:rPr>
              <w:t>附件</w:t>
            </w:r>
            <w:r w:rsidR="003C6628" w:rsidRPr="000C156A">
              <w:rPr>
                <w:rStyle w:val="Hyperlink"/>
                <w:noProof/>
                <w:lang w:eastAsia="zh-CN"/>
              </w:rPr>
              <w:t>B1</w:t>
            </w:r>
            <w:r w:rsidR="003C6628" w:rsidRPr="000C156A">
              <w:rPr>
                <w:noProof/>
                <w:webHidden/>
              </w:rPr>
              <w:tab/>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_Toc73519302 \h </w:instrText>
            </w:r>
            <w:r w:rsidR="003C6628" w:rsidRPr="000C156A">
              <w:rPr>
                <w:noProof/>
                <w:webHidden/>
              </w:rPr>
            </w:r>
            <w:r w:rsidR="003C6628" w:rsidRPr="000C156A">
              <w:rPr>
                <w:noProof/>
                <w:webHidden/>
              </w:rPr>
              <w:fldChar w:fldCharType="separate"/>
            </w:r>
            <w:r w:rsidR="00C01875">
              <w:rPr>
                <w:noProof/>
                <w:webHidden/>
              </w:rPr>
              <w:t>73</w:t>
            </w:r>
            <w:r w:rsidR="003C6628" w:rsidRPr="000C156A">
              <w:rPr>
                <w:noProof/>
                <w:webHidden/>
              </w:rPr>
              <w:fldChar w:fldCharType="end"/>
            </w:r>
          </w:hyperlink>
        </w:p>
        <w:p w14:paraId="40342932" w14:textId="1A7BF5B6" w:rsidR="003C6628" w:rsidRPr="000C156A" w:rsidRDefault="00A100EC">
          <w:pPr>
            <w:pStyle w:val="TOC1"/>
            <w:rPr>
              <w:rFonts w:asciiTheme="minorHAnsi" w:eastAsiaTheme="minorEastAsia" w:hAnsiTheme="minorHAnsi" w:cstheme="minorBidi"/>
              <w:noProof/>
              <w:sz w:val="22"/>
              <w:szCs w:val="22"/>
              <w:lang w:val="en-US" w:eastAsia="zh-CN"/>
            </w:rPr>
          </w:pPr>
          <w:hyperlink w:anchor="_Toc73519303" w:history="1">
            <w:r w:rsidR="003C6628" w:rsidRPr="000C156A">
              <w:rPr>
                <w:rStyle w:val="Hyperlink"/>
                <w:rFonts w:cs="Microsoft YaHei" w:hint="eastAsia"/>
                <w:noProof/>
                <w:lang w:val="fr-CH"/>
              </w:rPr>
              <w:t>附件</w:t>
            </w:r>
            <w:r w:rsidR="003C6628" w:rsidRPr="000C156A">
              <w:rPr>
                <w:rStyle w:val="Hyperlink"/>
                <w:noProof/>
                <w:lang w:val="fr-CH"/>
              </w:rPr>
              <w:t>B2</w:t>
            </w:r>
            <w:r w:rsidR="003C6628" w:rsidRPr="000C156A">
              <w:rPr>
                <w:noProof/>
                <w:webHidden/>
              </w:rPr>
              <w:tab/>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_Toc73519303 \h </w:instrText>
            </w:r>
            <w:r w:rsidR="003C6628" w:rsidRPr="000C156A">
              <w:rPr>
                <w:noProof/>
                <w:webHidden/>
              </w:rPr>
            </w:r>
            <w:r w:rsidR="003C6628" w:rsidRPr="000C156A">
              <w:rPr>
                <w:noProof/>
                <w:webHidden/>
              </w:rPr>
              <w:fldChar w:fldCharType="separate"/>
            </w:r>
            <w:r w:rsidR="00C01875">
              <w:rPr>
                <w:noProof/>
                <w:webHidden/>
              </w:rPr>
              <w:t>74</w:t>
            </w:r>
            <w:r w:rsidR="003C6628" w:rsidRPr="000C156A">
              <w:rPr>
                <w:noProof/>
                <w:webHidden/>
              </w:rPr>
              <w:fldChar w:fldCharType="end"/>
            </w:r>
          </w:hyperlink>
        </w:p>
        <w:p w14:paraId="2C1D4A58" w14:textId="0406D18C" w:rsidR="003C6628" w:rsidRPr="000C156A" w:rsidRDefault="00A100EC">
          <w:pPr>
            <w:pStyle w:val="TOC1"/>
            <w:rPr>
              <w:rFonts w:asciiTheme="minorHAnsi" w:eastAsiaTheme="minorEastAsia" w:hAnsiTheme="minorHAnsi" w:cstheme="minorBidi"/>
              <w:noProof/>
              <w:sz w:val="22"/>
              <w:szCs w:val="22"/>
              <w:lang w:val="en-US" w:eastAsia="zh-CN"/>
            </w:rPr>
          </w:pPr>
          <w:hyperlink w:anchor="_Toc73519304" w:history="1">
            <w:r w:rsidR="003C6628" w:rsidRPr="000C156A">
              <w:rPr>
                <w:rStyle w:val="Hyperlink"/>
                <w:rFonts w:hint="eastAsia"/>
                <w:noProof/>
                <w:w w:val="105"/>
                <w:lang w:val="en-US" w:eastAsia="zh-CN"/>
              </w:rPr>
              <w:t>附件</w:t>
            </w:r>
            <w:r w:rsidR="003C6628" w:rsidRPr="000C156A">
              <w:rPr>
                <w:rStyle w:val="Hyperlink"/>
                <w:noProof/>
                <w:w w:val="105"/>
                <w:lang w:val="en-US" w:eastAsia="zh-CN"/>
              </w:rPr>
              <w:t>B3</w:t>
            </w:r>
            <w:r w:rsidR="003C6628" w:rsidRPr="000C156A">
              <w:rPr>
                <w:noProof/>
                <w:webHidden/>
              </w:rPr>
              <w:tab/>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_Toc73519304 \h </w:instrText>
            </w:r>
            <w:r w:rsidR="003C6628" w:rsidRPr="000C156A">
              <w:rPr>
                <w:noProof/>
                <w:webHidden/>
              </w:rPr>
            </w:r>
            <w:r w:rsidR="003C6628" w:rsidRPr="000C156A">
              <w:rPr>
                <w:noProof/>
                <w:webHidden/>
              </w:rPr>
              <w:fldChar w:fldCharType="separate"/>
            </w:r>
            <w:r w:rsidR="00C01875">
              <w:rPr>
                <w:noProof/>
                <w:webHidden/>
              </w:rPr>
              <w:t>76</w:t>
            </w:r>
            <w:r w:rsidR="003C6628" w:rsidRPr="000C156A">
              <w:rPr>
                <w:noProof/>
                <w:webHidden/>
              </w:rPr>
              <w:fldChar w:fldCharType="end"/>
            </w:r>
          </w:hyperlink>
        </w:p>
        <w:p w14:paraId="4487D032" w14:textId="166F4850" w:rsidR="003C6628" w:rsidRPr="000C156A" w:rsidRDefault="00A100EC">
          <w:pPr>
            <w:pStyle w:val="TOC1"/>
            <w:rPr>
              <w:rFonts w:asciiTheme="minorHAnsi" w:eastAsiaTheme="minorEastAsia" w:hAnsiTheme="minorHAnsi" w:cstheme="minorBidi"/>
              <w:noProof/>
              <w:sz w:val="22"/>
              <w:szCs w:val="22"/>
              <w:lang w:val="en-US" w:eastAsia="zh-CN"/>
            </w:rPr>
          </w:pPr>
          <w:hyperlink w:anchor="_Toc73519306" w:history="1">
            <w:r w:rsidR="003C6628" w:rsidRPr="000C156A">
              <w:rPr>
                <w:rStyle w:val="Hyperlink"/>
                <w:rFonts w:hint="eastAsia"/>
                <w:noProof/>
                <w:w w:val="105"/>
                <w:lang w:val="en-US" w:eastAsia="zh-CN"/>
              </w:rPr>
              <w:t>附件</w:t>
            </w:r>
            <w:r w:rsidR="003C6628" w:rsidRPr="000C156A">
              <w:rPr>
                <w:rStyle w:val="Hyperlink"/>
                <w:noProof/>
                <w:w w:val="105"/>
                <w:lang w:val="en-US" w:eastAsia="zh-CN"/>
              </w:rPr>
              <w:t>B4</w:t>
            </w:r>
            <w:r w:rsidR="003C6628" w:rsidRPr="000C156A">
              <w:rPr>
                <w:rStyle w:val="Hyperlink"/>
                <w:noProof/>
                <w:w w:val="105"/>
                <w:lang w:val="en-US" w:eastAsia="zh-CN"/>
              </w:rPr>
              <w:tab/>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_Toc73519306 \h </w:instrText>
            </w:r>
            <w:r w:rsidR="003C6628" w:rsidRPr="000C156A">
              <w:rPr>
                <w:noProof/>
                <w:webHidden/>
              </w:rPr>
            </w:r>
            <w:r w:rsidR="003C6628" w:rsidRPr="000C156A">
              <w:rPr>
                <w:noProof/>
                <w:webHidden/>
              </w:rPr>
              <w:fldChar w:fldCharType="separate"/>
            </w:r>
            <w:r w:rsidR="00C01875">
              <w:rPr>
                <w:noProof/>
                <w:webHidden/>
              </w:rPr>
              <w:t>77</w:t>
            </w:r>
            <w:r w:rsidR="003C6628" w:rsidRPr="000C156A">
              <w:rPr>
                <w:noProof/>
                <w:webHidden/>
              </w:rPr>
              <w:fldChar w:fldCharType="end"/>
            </w:r>
          </w:hyperlink>
        </w:p>
        <w:p w14:paraId="294AF8CA" w14:textId="1E6FCD63" w:rsidR="003C6628" w:rsidRPr="000C156A" w:rsidRDefault="00A100EC">
          <w:pPr>
            <w:pStyle w:val="TOC1"/>
            <w:rPr>
              <w:rFonts w:asciiTheme="minorHAnsi" w:eastAsiaTheme="minorEastAsia" w:hAnsiTheme="minorHAnsi" w:cstheme="minorBidi"/>
              <w:noProof/>
              <w:sz w:val="22"/>
              <w:szCs w:val="22"/>
              <w:lang w:val="en-US" w:eastAsia="zh-CN"/>
            </w:rPr>
          </w:pPr>
          <w:hyperlink w:anchor="_Toc73519307" w:history="1">
            <w:r w:rsidR="003C6628" w:rsidRPr="000C156A">
              <w:rPr>
                <w:rStyle w:val="Hyperlink"/>
                <w:rFonts w:hint="eastAsia"/>
                <w:noProof/>
                <w:lang w:eastAsia="zh-CN"/>
              </w:rPr>
              <w:t>附件</w:t>
            </w:r>
            <w:r w:rsidR="003C6628" w:rsidRPr="000C156A">
              <w:rPr>
                <w:rStyle w:val="Hyperlink"/>
                <w:noProof/>
                <w:lang w:eastAsia="zh-CN"/>
              </w:rPr>
              <w:t>B5</w:t>
            </w:r>
            <w:r w:rsidR="003C6628" w:rsidRPr="000C156A">
              <w:rPr>
                <w:rStyle w:val="Hyperlink"/>
                <w:noProof/>
                <w:lang w:eastAsia="zh-CN"/>
              </w:rPr>
              <w:tab/>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_Toc73519307 \h </w:instrText>
            </w:r>
            <w:r w:rsidR="003C6628" w:rsidRPr="000C156A">
              <w:rPr>
                <w:noProof/>
                <w:webHidden/>
              </w:rPr>
            </w:r>
            <w:r w:rsidR="003C6628" w:rsidRPr="000C156A">
              <w:rPr>
                <w:noProof/>
                <w:webHidden/>
              </w:rPr>
              <w:fldChar w:fldCharType="separate"/>
            </w:r>
            <w:r w:rsidR="00C01875">
              <w:rPr>
                <w:noProof/>
                <w:webHidden/>
              </w:rPr>
              <w:t>83</w:t>
            </w:r>
            <w:r w:rsidR="003C6628" w:rsidRPr="000C156A">
              <w:rPr>
                <w:noProof/>
                <w:webHidden/>
              </w:rPr>
              <w:fldChar w:fldCharType="end"/>
            </w:r>
          </w:hyperlink>
        </w:p>
        <w:p w14:paraId="3C372311" w14:textId="71EB08CD" w:rsidR="003C6628" w:rsidRPr="000C156A" w:rsidRDefault="00A100EC">
          <w:pPr>
            <w:pStyle w:val="TOC1"/>
            <w:rPr>
              <w:rFonts w:asciiTheme="minorHAnsi" w:eastAsiaTheme="minorEastAsia" w:hAnsiTheme="minorHAnsi" w:cstheme="minorBidi"/>
              <w:noProof/>
              <w:sz w:val="22"/>
              <w:szCs w:val="22"/>
              <w:lang w:val="en-US" w:eastAsia="zh-CN"/>
            </w:rPr>
          </w:pPr>
          <w:hyperlink w:anchor="_Toc73519308" w:history="1">
            <w:r w:rsidR="003C6628" w:rsidRPr="000C156A">
              <w:rPr>
                <w:rStyle w:val="Hyperlink"/>
                <w:rFonts w:hint="eastAsia"/>
                <w:noProof/>
                <w:lang w:eastAsia="zh-CN"/>
              </w:rPr>
              <w:t>附件</w:t>
            </w:r>
            <w:r w:rsidR="003C6628" w:rsidRPr="000C156A">
              <w:rPr>
                <w:rStyle w:val="Hyperlink"/>
                <w:noProof/>
                <w:lang w:eastAsia="zh-CN"/>
              </w:rPr>
              <w:t>B6</w:t>
            </w:r>
            <w:r w:rsidR="003C6628" w:rsidRPr="000C156A">
              <w:rPr>
                <w:noProof/>
                <w:webHidden/>
              </w:rPr>
              <w:tab/>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_Toc73519308 \h </w:instrText>
            </w:r>
            <w:r w:rsidR="003C6628" w:rsidRPr="000C156A">
              <w:rPr>
                <w:noProof/>
                <w:webHidden/>
              </w:rPr>
            </w:r>
            <w:r w:rsidR="003C6628" w:rsidRPr="000C156A">
              <w:rPr>
                <w:noProof/>
                <w:webHidden/>
              </w:rPr>
              <w:fldChar w:fldCharType="separate"/>
            </w:r>
            <w:r w:rsidR="00C01875">
              <w:rPr>
                <w:noProof/>
                <w:webHidden/>
              </w:rPr>
              <w:t>88</w:t>
            </w:r>
            <w:r w:rsidR="003C6628" w:rsidRPr="000C156A">
              <w:rPr>
                <w:noProof/>
                <w:webHidden/>
              </w:rPr>
              <w:fldChar w:fldCharType="end"/>
            </w:r>
          </w:hyperlink>
        </w:p>
        <w:p w14:paraId="2A491A2B" w14:textId="630C7E26" w:rsidR="003C6628" w:rsidRPr="000C156A" w:rsidRDefault="00A100EC">
          <w:pPr>
            <w:pStyle w:val="TOC1"/>
            <w:rPr>
              <w:rFonts w:asciiTheme="minorHAnsi" w:eastAsiaTheme="minorEastAsia" w:hAnsiTheme="minorHAnsi" w:cstheme="minorBidi"/>
              <w:noProof/>
              <w:sz w:val="22"/>
              <w:szCs w:val="22"/>
              <w:lang w:val="en-US" w:eastAsia="zh-CN"/>
            </w:rPr>
          </w:pPr>
          <w:hyperlink w:anchor="_Toc73519309" w:history="1">
            <w:r w:rsidR="003C6628" w:rsidRPr="000C156A">
              <w:rPr>
                <w:rStyle w:val="Hyperlink"/>
                <w:rFonts w:hint="eastAsia"/>
                <w:noProof/>
                <w:lang w:eastAsia="zh-CN"/>
              </w:rPr>
              <w:t>附件</w:t>
            </w:r>
            <w:r w:rsidR="003C6628" w:rsidRPr="000C156A">
              <w:rPr>
                <w:rStyle w:val="Hyperlink"/>
                <w:noProof/>
                <w:lang w:eastAsia="zh-CN"/>
              </w:rPr>
              <w:t>B7</w:t>
            </w:r>
            <w:r w:rsidR="003C6628" w:rsidRPr="000C156A">
              <w:rPr>
                <w:noProof/>
                <w:webHidden/>
              </w:rPr>
              <w:tab/>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_Toc73519309 \h </w:instrText>
            </w:r>
            <w:r w:rsidR="003C6628" w:rsidRPr="000C156A">
              <w:rPr>
                <w:noProof/>
                <w:webHidden/>
              </w:rPr>
            </w:r>
            <w:r w:rsidR="003C6628" w:rsidRPr="000C156A">
              <w:rPr>
                <w:noProof/>
                <w:webHidden/>
              </w:rPr>
              <w:fldChar w:fldCharType="separate"/>
            </w:r>
            <w:r w:rsidR="00C01875">
              <w:rPr>
                <w:noProof/>
                <w:webHidden/>
              </w:rPr>
              <w:t>89</w:t>
            </w:r>
            <w:r w:rsidR="003C6628" w:rsidRPr="000C156A">
              <w:rPr>
                <w:noProof/>
                <w:webHidden/>
              </w:rPr>
              <w:fldChar w:fldCharType="end"/>
            </w:r>
          </w:hyperlink>
        </w:p>
        <w:p w14:paraId="517DB90A" w14:textId="33897F65" w:rsidR="003C6628" w:rsidRPr="000C156A" w:rsidRDefault="00A100EC">
          <w:pPr>
            <w:pStyle w:val="TOC1"/>
            <w:rPr>
              <w:rFonts w:asciiTheme="minorHAnsi" w:eastAsiaTheme="minorEastAsia" w:hAnsiTheme="minorHAnsi" w:cstheme="minorBidi"/>
              <w:noProof/>
              <w:sz w:val="22"/>
              <w:szCs w:val="22"/>
              <w:lang w:val="en-US" w:eastAsia="zh-CN"/>
            </w:rPr>
          </w:pPr>
          <w:hyperlink w:anchor="_Toc73519310" w:history="1">
            <w:r w:rsidR="003C6628" w:rsidRPr="000C156A">
              <w:rPr>
                <w:rStyle w:val="Hyperlink"/>
                <w:rFonts w:hint="eastAsia"/>
                <w:noProof/>
                <w:lang w:eastAsia="zh-CN"/>
              </w:rPr>
              <w:t>附件</w:t>
            </w:r>
            <w:r w:rsidR="003C6628" w:rsidRPr="000C156A">
              <w:rPr>
                <w:rStyle w:val="Hyperlink"/>
                <w:noProof/>
                <w:lang w:eastAsia="zh-CN"/>
              </w:rPr>
              <w:t>C</w:t>
            </w:r>
            <w:r w:rsidR="003C6628" w:rsidRPr="000C156A">
              <w:rPr>
                <w:noProof/>
                <w:webHidden/>
              </w:rPr>
              <w:tab/>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_Toc73519310 \h </w:instrText>
            </w:r>
            <w:r w:rsidR="003C6628" w:rsidRPr="000C156A">
              <w:rPr>
                <w:noProof/>
                <w:webHidden/>
              </w:rPr>
            </w:r>
            <w:r w:rsidR="003C6628" w:rsidRPr="000C156A">
              <w:rPr>
                <w:noProof/>
                <w:webHidden/>
              </w:rPr>
              <w:fldChar w:fldCharType="separate"/>
            </w:r>
            <w:r w:rsidR="00C01875">
              <w:rPr>
                <w:noProof/>
                <w:webHidden/>
              </w:rPr>
              <w:t>90</w:t>
            </w:r>
            <w:r w:rsidR="003C6628" w:rsidRPr="000C156A">
              <w:rPr>
                <w:noProof/>
                <w:webHidden/>
              </w:rPr>
              <w:fldChar w:fldCharType="end"/>
            </w:r>
          </w:hyperlink>
        </w:p>
        <w:p w14:paraId="5F30912B" w14:textId="56AAB33B" w:rsidR="003C6628" w:rsidRPr="000C156A" w:rsidRDefault="00A100EC">
          <w:pPr>
            <w:pStyle w:val="TOC1"/>
            <w:rPr>
              <w:rFonts w:asciiTheme="minorHAnsi" w:eastAsiaTheme="minorEastAsia" w:hAnsiTheme="minorHAnsi" w:cstheme="minorBidi"/>
              <w:noProof/>
              <w:sz w:val="22"/>
              <w:szCs w:val="22"/>
              <w:lang w:val="en-US" w:eastAsia="zh-CN"/>
            </w:rPr>
          </w:pPr>
          <w:hyperlink w:anchor="_Toc73519311" w:history="1">
            <w:r w:rsidR="003C6628" w:rsidRPr="000C156A">
              <w:rPr>
                <w:rStyle w:val="Hyperlink"/>
                <w:rFonts w:hint="eastAsia"/>
                <w:noProof/>
                <w:lang w:eastAsia="zh-CN"/>
              </w:rPr>
              <w:t>附件</w:t>
            </w:r>
            <w:r w:rsidR="003C6628" w:rsidRPr="000C156A">
              <w:rPr>
                <w:rStyle w:val="Hyperlink"/>
                <w:noProof/>
                <w:lang w:eastAsia="zh-CN"/>
              </w:rPr>
              <w:t>D</w:t>
            </w:r>
            <w:r w:rsidR="003C6628" w:rsidRPr="000C156A">
              <w:rPr>
                <w:noProof/>
                <w:webHidden/>
              </w:rPr>
              <w:tab/>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_Toc73519311 \h </w:instrText>
            </w:r>
            <w:r w:rsidR="003C6628" w:rsidRPr="000C156A">
              <w:rPr>
                <w:noProof/>
                <w:webHidden/>
              </w:rPr>
            </w:r>
            <w:r w:rsidR="003C6628" w:rsidRPr="000C156A">
              <w:rPr>
                <w:noProof/>
                <w:webHidden/>
              </w:rPr>
              <w:fldChar w:fldCharType="separate"/>
            </w:r>
            <w:r w:rsidR="00C01875">
              <w:rPr>
                <w:noProof/>
                <w:webHidden/>
              </w:rPr>
              <w:t>105</w:t>
            </w:r>
            <w:r w:rsidR="003C6628" w:rsidRPr="000C156A">
              <w:rPr>
                <w:noProof/>
                <w:webHidden/>
              </w:rPr>
              <w:fldChar w:fldCharType="end"/>
            </w:r>
          </w:hyperlink>
        </w:p>
        <w:p w14:paraId="59C25FCF" w14:textId="4D03FDB7" w:rsidR="003C6628" w:rsidRPr="000C156A" w:rsidRDefault="00A100EC" w:rsidP="004D3A2E">
          <w:pPr>
            <w:pStyle w:val="TOC1"/>
          </w:pPr>
          <w:hyperlink w:anchor="_Toc73519312" w:history="1">
            <w:r w:rsidR="003C6628" w:rsidRPr="000C156A">
              <w:rPr>
                <w:rStyle w:val="Hyperlink"/>
                <w:rFonts w:hint="eastAsia"/>
                <w:noProof/>
                <w:lang w:eastAsia="zh-CN"/>
              </w:rPr>
              <w:t>附件</w:t>
            </w:r>
            <w:r w:rsidR="003C6628" w:rsidRPr="000C156A">
              <w:rPr>
                <w:rStyle w:val="Hyperlink"/>
                <w:noProof/>
                <w:lang w:eastAsia="zh-CN"/>
              </w:rPr>
              <w:t>E</w:t>
            </w:r>
            <w:r w:rsidR="003C6628" w:rsidRPr="000C156A">
              <w:rPr>
                <w:noProof/>
                <w:webHidden/>
              </w:rPr>
              <w:tab/>
            </w:r>
            <w:r w:rsidR="003C6628" w:rsidRPr="000C156A">
              <w:rPr>
                <w:noProof/>
                <w:webHidden/>
              </w:rPr>
              <w:tab/>
            </w:r>
            <w:r w:rsidR="003C6628" w:rsidRPr="000C156A">
              <w:rPr>
                <w:noProof/>
                <w:webHidden/>
              </w:rPr>
              <w:fldChar w:fldCharType="begin"/>
            </w:r>
            <w:r w:rsidR="003C6628" w:rsidRPr="000C156A">
              <w:rPr>
                <w:noProof/>
                <w:webHidden/>
              </w:rPr>
              <w:instrText xml:space="preserve"> PAGEREF _Toc73519312 \h </w:instrText>
            </w:r>
            <w:r w:rsidR="003C6628" w:rsidRPr="000C156A">
              <w:rPr>
                <w:noProof/>
                <w:webHidden/>
              </w:rPr>
            </w:r>
            <w:r w:rsidR="003C6628" w:rsidRPr="000C156A">
              <w:rPr>
                <w:noProof/>
                <w:webHidden/>
              </w:rPr>
              <w:fldChar w:fldCharType="separate"/>
            </w:r>
            <w:r w:rsidR="00C01875">
              <w:rPr>
                <w:noProof/>
                <w:webHidden/>
              </w:rPr>
              <w:t>108</w:t>
            </w:r>
            <w:r w:rsidR="003C6628" w:rsidRPr="000C156A">
              <w:rPr>
                <w:noProof/>
                <w:webHidden/>
              </w:rPr>
              <w:fldChar w:fldCharType="end"/>
            </w:r>
          </w:hyperlink>
          <w:r w:rsidR="003C6628" w:rsidRPr="000C156A">
            <w:rPr>
              <w:b/>
              <w:bCs/>
              <w:noProof/>
            </w:rPr>
            <w:fldChar w:fldCharType="end"/>
          </w:r>
        </w:p>
      </w:sdtContent>
    </w:sdt>
    <w:p w14:paraId="11BB9BA3" w14:textId="39D58293" w:rsidR="008C2A8A" w:rsidRPr="000C156A" w:rsidRDefault="008C2A8A" w:rsidP="000B4718">
      <w:pPr>
        <w:pStyle w:val="Heading1"/>
        <w:rPr>
          <w:lang w:eastAsia="zh-CN"/>
        </w:rPr>
      </w:pPr>
      <w:bookmarkStart w:id="26" w:name="_Toc41907961"/>
      <w:bookmarkStart w:id="27" w:name="_Toc72744913"/>
      <w:bookmarkStart w:id="28" w:name="_Toc72747197"/>
      <w:bookmarkStart w:id="29" w:name="_Toc73460994"/>
      <w:bookmarkStart w:id="30" w:name="_Toc73519188"/>
      <w:bookmarkStart w:id="31" w:name="_Toc73636070"/>
      <w:bookmarkStart w:id="32" w:name="_Toc73636212"/>
      <w:r w:rsidRPr="000C156A">
        <w:rPr>
          <w:rFonts w:hint="eastAsia"/>
          <w:lang w:eastAsia="zh-CN"/>
        </w:rPr>
        <w:lastRenderedPageBreak/>
        <w:t>秘书长的前言</w:t>
      </w:r>
      <w:bookmarkEnd w:id="26"/>
      <w:bookmarkEnd w:id="27"/>
      <w:bookmarkEnd w:id="28"/>
      <w:bookmarkEnd w:id="29"/>
      <w:bookmarkEnd w:id="30"/>
      <w:bookmarkEnd w:id="31"/>
      <w:bookmarkEnd w:id="32"/>
    </w:p>
    <w:p w14:paraId="6D873754" w14:textId="2DDCD1DD" w:rsidR="0022373A" w:rsidRPr="000C156A" w:rsidRDefault="006423EB" w:rsidP="006423EB">
      <w:pPr>
        <w:rPr>
          <w:lang w:eastAsia="zh-CN"/>
        </w:rPr>
      </w:pPr>
      <w:r w:rsidRPr="000C156A">
        <w:rPr>
          <w:lang w:eastAsia="zh-CN"/>
        </w:rPr>
        <w:t>1</w:t>
      </w:r>
      <w:r w:rsidRPr="000C156A">
        <w:rPr>
          <w:lang w:eastAsia="zh-CN"/>
        </w:rPr>
        <w:tab/>
      </w:r>
      <w:r w:rsidR="008C2A8A" w:rsidRPr="000C156A">
        <w:rPr>
          <w:rFonts w:hint="eastAsia"/>
          <w:lang w:eastAsia="zh-CN"/>
        </w:rPr>
        <w:t>根据国际电联《财务规则》（</w:t>
      </w:r>
      <w:r w:rsidR="008C2A8A" w:rsidRPr="000C156A">
        <w:rPr>
          <w:lang w:eastAsia="zh-CN"/>
        </w:rPr>
        <w:t>201</w:t>
      </w:r>
      <w:r w:rsidR="008C2A8A" w:rsidRPr="000C156A">
        <w:rPr>
          <w:rFonts w:hint="eastAsia"/>
          <w:lang w:eastAsia="zh-CN"/>
        </w:rPr>
        <w:t>8</w:t>
      </w:r>
      <w:r w:rsidR="008C2A8A" w:rsidRPr="000C156A">
        <w:rPr>
          <w:rFonts w:hint="eastAsia"/>
          <w:lang w:eastAsia="zh-CN"/>
        </w:rPr>
        <w:t>年版）第</w:t>
      </w:r>
      <w:r w:rsidR="008C2A8A" w:rsidRPr="000C156A">
        <w:rPr>
          <w:lang w:eastAsia="zh-CN"/>
        </w:rPr>
        <w:t>30</w:t>
      </w:r>
      <w:r w:rsidR="008C2A8A" w:rsidRPr="000C156A">
        <w:rPr>
          <w:rFonts w:hint="eastAsia"/>
          <w:lang w:eastAsia="zh-CN"/>
        </w:rPr>
        <w:t>条的规定，我荣幸地向理事会提交截至</w:t>
      </w:r>
      <w:r w:rsidR="008C2A8A" w:rsidRPr="000C156A">
        <w:rPr>
          <w:lang w:eastAsia="zh-CN"/>
        </w:rPr>
        <w:t>2020</w:t>
      </w:r>
      <w:r w:rsidR="008C2A8A" w:rsidRPr="000C156A">
        <w:rPr>
          <w:rFonts w:hint="eastAsia"/>
          <w:lang w:eastAsia="zh-CN"/>
        </w:rPr>
        <w:t>年</w:t>
      </w:r>
      <w:r w:rsidR="008C2A8A" w:rsidRPr="000C156A">
        <w:rPr>
          <w:lang w:eastAsia="zh-CN"/>
        </w:rPr>
        <w:t>12</w:t>
      </w:r>
      <w:r w:rsidR="008C2A8A" w:rsidRPr="000C156A">
        <w:rPr>
          <w:rFonts w:hint="eastAsia"/>
          <w:lang w:eastAsia="zh-CN"/>
        </w:rPr>
        <w:t>月</w:t>
      </w:r>
      <w:r w:rsidR="008C2A8A" w:rsidRPr="000C156A">
        <w:rPr>
          <w:lang w:eastAsia="zh-CN"/>
        </w:rPr>
        <w:t>31</w:t>
      </w:r>
      <w:r w:rsidR="008C2A8A" w:rsidRPr="000C156A">
        <w:rPr>
          <w:rFonts w:hint="eastAsia"/>
          <w:lang w:eastAsia="zh-CN"/>
        </w:rPr>
        <w:t>日财年的经审计财务报表，供</w:t>
      </w:r>
      <w:r w:rsidR="008C2A8A" w:rsidRPr="000C156A">
        <w:rPr>
          <w:lang w:eastAsia="zh-CN"/>
        </w:rPr>
        <w:t>审查</w:t>
      </w:r>
      <w:r w:rsidR="008C2A8A" w:rsidRPr="000C156A">
        <w:rPr>
          <w:rFonts w:hint="eastAsia"/>
          <w:lang w:eastAsia="zh-CN"/>
        </w:rPr>
        <w:t>。</w:t>
      </w:r>
    </w:p>
    <w:p w14:paraId="1707E503" w14:textId="3BDE7921" w:rsidR="0022373A" w:rsidRPr="000C156A" w:rsidRDefault="006423EB" w:rsidP="006423EB">
      <w:pPr>
        <w:rPr>
          <w:lang w:eastAsia="zh-CN"/>
        </w:rPr>
      </w:pPr>
      <w:r w:rsidRPr="000C156A">
        <w:rPr>
          <w:lang w:eastAsia="zh-CN"/>
        </w:rPr>
        <w:t>2</w:t>
      </w:r>
      <w:r w:rsidRPr="000C156A">
        <w:rPr>
          <w:lang w:eastAsia="zh-CN"/>
        </w:rPr>
        <w:tab/>
      </w:r>
      <w:r w:rsidR="00E02111" w:rsidRPr="000C156A">
        <w:rPr>
          <w:rFonts w:hint="eastAsia"/>
          <w:lang w:eastAsia="zh-CN"/>
        </w:rPr>
        <w:t>国际电联《财务规则》第</w:t>
      </w:r>
      <w:r w:rsidR="00E02111" w:rsidRPr="000C156A">
        <w:rPr>
          <w:lang w:eastAsia="zh-CN"/>
        </w:rPr>
        <w:t>28</w:t>
      </w:r>
      <w:r w:rsidR="00E02111" w:rsidRPr="000C156A">
        <w:rPr>
          <w:rFonts w:hint="eastAsia"/>
          <w:lang w:eastAsia="zh-CN"/>
        </w:rPr>
        <w:t>条和附件</w:t>
      </w:r>
      <w:r w:rsidR="00E02111" w:rsidRPr="000C156A">
        <w:rPr>
          <w:lang w:eastAsia="zh-CN"/>
        </w:rPr>
        <w:t>1</w:t>
      </w:r>
      <w:r w:rsidR="00E02111" w:rsidRPr="000C156A">
        <w:rPr>
          <w:rFonts w:hint="eastAsia"/>
          <w:lang w:eastAsia="zh-CN"/>
        </w:rPr>
        <w:t>所要求的外部审计员有关</w:t>
      </w:r>
      <w:r w:rsidR="00E02111" w:rsidRPr="000C156A">
        <w:rPr>
          <w:lang w:eastAsia="zh-CN"/>
        </w:rPr>
        <w:t>20</w:t>
      </w:r>
      <w:r w:rsidR="001E34A1" w:rsidRPr="000C156A">
        <w:rPr>
          <w:lang w:eastAsia="zh-CN"/>
        </w:rPr>
        <w:t>20</w:t>
      </w:r>
      <w:r w:rsidR="00E02111" w:rsidRPr="000C156A">
        <w:rPr>
          <w:rFonts w:hint="eastAsia"/>
          <w:lang w:eastAsia="zh-CN"/>
        </w:rPr>
        <w:t>年财务报表的报告及其有关财务报表的意见，将作为单独文件提交</w:t>
      </w:r>
      <w:r w:rsidR="001E34A1" w:rsidRPr="000C156A">
        <w:rPr>
          <w:lang w:eastAsia="zh-CN"/>
        </w:rPr>
        <w:t>理事磋商会虚拟会</w:t>
      </w:r>
      <w:r w:rsidR="001E34A1" w:rsidRPr="000C156A">
        <w:rPr>
          <w:rFonts w:hint="eastAsia"/>
          <w:lang w:eastAsia="zh-CN"/>
        </w:rPr>
        <w:t>议</w:t>
      </w:r>
      <w:r w:rsidR="00E02111" w:rsidRPr="000C156A">
        <w:rPr>
          <w:rFonts w:hint="eastAsia"/>
          <w:lang w:eastAsia="zh-CN"/>
        </w:rPr>
        <w:t>。</w:t>
      </w:r>
    </w:p>
    <w:p w14:paraId="26D12759" w14:textId="62D0861B" w:rsidR="00F443CC" w:rsidRPr="000C156A" w:rsidRDefault="006423EB" w:rsidP="006423EB">
      <w:pPr>
        <w:rPr>
          <w:lang w:eastAsia="zh-CN"/>
        </w:rPr>
      </w:pPr>
      <w:r w:rsidRPr="000C156A">
        <w:rPr>
          <w:lang w:eastAsia="zh-CN"/>
        </w:rPr>
        <w:t>3</w:t>
      </w:r>
      <w:r w:rsidRPr="000C156A">
        <w:rPr>
          <w:lang w:eastAsia="zh-CN"/>
        </w:rPr>
        <w:tab/>
      </w:r>
      <w:r w:rsidR="00E02111" w:rsidRPr="000C156A">
        <w:rPr>
          <w:lang w:eastAsia="zh-CN"/>
        </w:rPr>
        <w:t>2020</w:t>
      </w:r>
      <w:r w:rsidR="00E02111" w:rsidRPr="000C156A">
        <w:rPr>
          <w:lang w:eastAsia="zh-CN"/>
        </w:rPr>
        <w:t>年财务报表根据国际公共部门会计准则（</w:t>
      </w:r>
      <w:r w:rsidR="00E02111" w:rsidRPr="000C156A">
        <w:rPr>
          <w:lang w:eastAsia="zh-CN"/>
        </w:rPr>
        <w:t>IPSAS</w:t>
      </w:r>
      <w:r w:rsidR="00E02111" w:rsidRPr="000C156A">
        <w:rPr>
          <w:lang w:eastAsia="zh-CN"/>
        </w:rPr>
        <w:t>）制定。《财务规则》规定了双年度预算期；然而，为全面实施</w:t>
      </w:r>
      <w:r w:rsidR="00E02111" w:rsidRPr="000C156A">
        <w:rPr>
          <w:lang w:eastAsia="zh-CN"/>
        </w:rPr>
        <w:t>IPSAS</w:t>
      </w:r>
      <w:r w:rsidR="00E02111" w:rsidRPr="000C156A">
        <w:rPr>
          <w:lang w:eastAsia="zh-CN"/>
        </w:rPr>
        <w:t>，财务报表按年度提交。</w:t>
      </w:r>
    </w:p>
    <w:p w14:paraId="53A8396E" w14:textId="725C1258" w:rsidR="00451977" w:rsidRPr="000C156A" w:rsidRDefault="006423EB" w:rsidP="006423EB">
      <w:pPr>
        <w:rPr>
          <w:lang w:eastAsia="zh-CN"/>
        </w:rPr>
      </w:pPr>
      <w:r w:rsidRPr="000C156A">
        <w:rPr>
          <w:lang w:eastAsia="zh-CN"/>
        </w:rPr>
        <w:t>4</w:t>
      </w:r>
      <w:r w:rsidRPr="000C156A">
        <w:rPr>
          <w:lang w:eastAsia="zh-CN"/>
        </w:rPr>
        <w:tab/>
      </w:r>
      <w:r w:rsidR="00E02111" w:rsidRPr="000C156A">
        <w:rPr>
          <w:lang w:eastAsia="zh-CN"/>
        </w:rPr>
        <w:t>国际电联采用了</w:t>
      </w:r>
      <w:r w:rsidR="00E02111" w:rsidRPr="000C156A">
        <w:rPr>
          <w:lang w:eastAsia="zh-CN"/>
        </w:rPr>
        <w:t>2020</w:t>
      </w:r>
      <w:r w:rsidR="00E02111" w:rsidRPr="000C156A">
        <w:rPr>
          <w:lang w:eastAsia="zh-CN"/>
        </w:rPr>
        <w:t>年</w:t>
      </w:r>
      <w:r w:rsidR="00E02111" w:rsidRPr="000C156A">
        <w:rPr>
          <w:lang w:eastAsia="zh-CN"/>
        </w:rPr>
        <w:t>1</w:t>
      </w:r>
      <w:r w:rsidR="00E02111" w:rsidRPr="000C156A">
        <w:rPr>
          <w:lang w:eastAsia="zh-CN"/>
        </w:rPr>
        <w:t>月</w:t>
      </w:r>
      <w:r w:rsidR="00E02111" w:rsidRPr="000C156A">
        <w:rPr>
          <w:lang w:eastAsia="zh-CN"/>
        </w:rPr>
        <w:t>1</w:t>
      </w:r>
      <w:r w:rsidR="00E02111" w:rsidRPr="000C156A">
        <w:rPr>
          <w:lang w:eastAsia="zh-CN"/>
        </w:rPr>
        <w:t>日有效的</w:t>
      </w:r>
      <w:r w:rsidR="00E02111" w:rsidRPr="000C156A">
        <w:rPr>
          <w:lang w:eastAsia="zh-CN"/>
        </w:rPr>
        <w:t>IPSAS</w:t>
      </w:r>
      <w:r w:rsidR="00E02111" w:rsidRPr="000C156A">
        <w:rPr>
          <w:lang w:eastAsia="zh-CN"/>
        </w:rPr>
        <w:t>标准。财务报表提及的唯一减损是出版物估值中直接劳动成本未进行资本化，但这违反了</w:t>
      </w:r>
      <w:r w:rsidR="00E02111" w:rsidRPr="000C156A">
        <w:rPr>
          <w:lang w:eastAsia="zh-CN"/>
        </w:rPr>
        <w:t>IPSAS</w:t>
      </w:r>
      <w:r w:rsidR="00E02111" w:rsidRPr="000C156A">
        <w:rPr>
          <w:lang w:eastAsia="zh-CN"/>
        </w:rPr>
        <w:t>第</w:t>
      </w:r>
      <w:r w:rsidR="00E02111" w:rsidRPr="000C156A">
        <w:rPr>
          <w:lang w:eastAsia="zh-CN"/>
        </w:rPr>
        <w:t>12</w:t>
      </w:r>
      <w:r w:rsidR="00E02111" w:rsidRPr="000C156A">
        <w:rPr>
          <w:lang w:eastAsia="zh-CN"/>
        </w:rPr>
        <w:t>号要求。劳动力成本的资本化可能使出版物估值结果大大超出根据目前出版物价格得出的可实现净值，因此，在减值中分别采用更低成本或可实现净值取代现有成本。</w:t>
      </w:r>
    </w:p>
    <w:p w14:paraId="3B3E823E" w14:textId="5BCC8348" w:rsidR="00F443CC" w:rsidRPr="000C156A" w:rsidRDefault="006423EB" w:rsidP="006423EB">
      <w:pPr>
        <w:rPr>
          <w:rFonts w:asciiTheme="minorHAnsi" w:eastAsia="Times New Roman" w:hAnsiTheme="minorHAnsi"/>
          <w:lang w:eastAsia="zh-CN"/>
        </w:rPr>
      </w:pPr>
      <w:r w:rsidRPr="000C156A">
        <w:rPr>
          <w:rFonts w:asciiTheme="minorHAnsi" w:eastAsia="Times New Roman" w:hAnsiTheme="minorHAnsi" w:cs="Calibri"/>
          <w:szCs w:val="24"/>
          <w:lang w:val="en-US" w:eastAsia="zh-CN"/>
        </w:rPr>
        <w:t>5</w:t>
      </w:r>
      <w:r w:rsidRPr="000C156A">
        <w:rPr>
          <w:rFonts w:asciiTheme="minorHAnsi" w:eastAsia="Times New Roman" w:hAnsiTheme="minorHAnsi" w:cs="Calibri"/>
          <w:szCs w:val="24"/>
          <w:lang w:val="en-US" w:eastAsia="zh-CN"/>
        </w:rPr>
        <w:tab/>
      </w:r>
      <w:r w:rsidR="00E02111" w:rsidRPr="000C156A">
        <w:rPr>
          <w:rFonts w:asciiTheme="minorHAnsi" w:hAnsiTheme="minorHAnsi"/>
          <w:lang w:eastAsia="zh-CN"/>
        </w:rPr>
        <w:t>C11/INF/9</w:t>
      </w:r>
      <w:r w:rsidR="00E02111" w:rsidRPr="000C156A">
        <w:rPr>
          <w:rFonts w:asciiTheme="minorHAnsi" w:hAnsiTheme="minorHAnsi"/>
          <w:lang w:eastAsia="zh-CN"/>
        </w:rPr>
        <w:t>号文件提供了若干关键财务术语的定义，</w:t>
      </w:r>
      <w:r w:rsidR="00E02111" w:rsidRPr="000C156A">
        <w:rPr>
          <w:lang w:eastAsia="zh-CN"/>
        </w:rPr>
        <w:t>以方便读者使用和理解财务报表</w:t>
      </w:r>
      <w:r w:rsidR="00E02111" w:rsidRPr="000C156A">
        <w:rPr>
          <w:rFonts w:asciiTheme="minorHAnsi" w:hAnsiTheme="minorHAnsi"/>
          <w:lang w:eastAsia="zh-CN"/>
        </w:rPr>
        <w:t>。</w:t>
      </w:r>
    </w:p>
    <w:p w14:paraId="246144CE" w14:textId="58F79FD3" w:rsidR="00E02111" w:rsidRPr="000C156A" w:rsidRDefault="00E02111" w:rsidP="006423EB">
      <w:pPr>
        <w:pStyle w:val="Headingb"/>
        <w:rPr>
          <w:lang w:eastAsia="zh-CN"/>
        </w:rPr>
      </w:pPr>
      <w:bookmarkStart w:id="33" w:name="_Toc72744914"/>
      <w:bookmarkStart w:id="34" w:name="_Toc72747198"/>
      <w:bookmarkStart w:id="35" w:name="_Toc73460995"/>
      <w:bookmarkStart w:id="36" w:name="_Toc73519189"/>
      <w:bookmarkStart w:id="37" w:name="_Toc73636071"/>
      <w:bookmarkStart w:id="38" w:name="_Toc73636213"/>
      <w:r w:rsidRPr="000C156A">
        <w:rPr>
          <w:bCs/>
          <w:lang w:val="en-US" w:eastAsia="zh-CN"/>
        </w:rPr>
        <w:t>2020</w:t>
      </w:r>
      <w:r w:rsidRPr="000C156A">
        <w:rPr>
          <w:rFonts w:hint="eastAsia"/>
          <w:lang w:eastAsia="zh-CN"/>
        </w:rPr>
        <w:t>年</w:t>
      </w:r>
      <w:r w:rsidR="00CD4839" w:rsidRPr="000C156A">
        <w:rPr>
          <w:rFonts w:hint="eastAsia"/>
          <w:lang w:eastAsia="zh-CN"/>
        </w:rPr>
        <w:t>财政</w:t>
      </w:r>
      <w:r w:rsidRPr="000C156A">
        <w:rPr>
          <w:rFonts w:hint="eastAsia"/>
          <w:lang w:eastAsia="zh-CN"/>
        </w:rPr>
        <w:t>期的重要活动</w:t>
      </w:r>
      <w:bookmarkEnd w:id="33"/>
      <w:bookmarkEnd w:id="34"/>
      <w:bookmarkEnd w:id="35"/>
      <w:bookmarkEnd w:id="36"/>
      <w:bookmarkEnd w:id="37"/>
      <w:bookmarkEnd w:id="38"/>
    </w:p>
    <w:p w14:paraId="3685C8CD" w14:textId="30C97B6F" w:rsidR="00923E30" w:rsidRPr="000C156A" w:rsidRDefault="006423EB" w:rsidP="006423EB">
      <w:pPr>
        <w:rPr>
          <w:lang w:eastAsia="zh-CN"/>
        </w:rPr>
      </w:pPr>
      <w:r w:rsidRPr="000C156A">
        <w:rPr>
          <w:rFonts w:cs="Calibri"/>
          <w:szCs w:val="24"/>
          <w:lang w:val="en-US" w:eastAsia="zh-CN"/>
        </w:rPr>
        <w:t>6</w:t>
      </w:r>
      <w:r w:rsidRPr="000C156A">
        <w:rPr>
          <w:rFonts w:cs="Calibri"/>
          <w:szCs w:val="24"/>
          <w:lang w:val="en-US" w:eastAsia="zh-CN"/>
        </w:rPr>
        <w:tab/>
      </w:r>
      <w:r w:rsidR="0096209A" w:rsidRPr="000C156A">
        <w:rPr>
          <w:rFonts w:hint="eastAsia"/>
          <w:lang w:eastAsia="zh-CN"/>
        </w:rPr>
        <w:t>新冠肺炎</w:t>
      </w:r>
      <w:r w:rsidR="00CD4839" w:rsidRPr="000C156A">
        <w:rPr>
          <w:rFonts w:hint="eastAsia"/>
          <w:lang w:eastAsia="zh-CN"/>
        </w:rPr>
        <w:t>疫情（</w:t>
      </w:r>
      <w:r w:rsidR="00CD4839" w:rsidRPr="000C156A">
        <w:rPr>
          <w:rFonts w:eastAsia="Times New Roman"/>
          <w:lang w:eastAsia="zh-CN"/>
        </w:rPr>
        <w:t>COVID-19</w:t>
      </w:r>
      <w:r w:rsidR="00CD4839" w:rsidRPr="000C156A">
        <w:rPr>
          <w:rFonts w:ascii="SimSun" w:hAnsi="SimSun" w:cs="SimSun" w:hint="eastAsia"/>
          <w:lang w:eastAsia="zh-CN"/>
        </w:rPr>
        <w:t>）</w:t>
      </w:r>
      <w:r w:rsidR="00CD4839" w:rsidRPr="000C156A">
        <w:rPr>
          <w:rFonts w:hint="eastAsia"/>
          <w:lang w:eastAsia="zh-CN"/>
        </w:rPr>
        <w:t>在</w:t>
      </w:r>
      <w:r w:rsidR="0096209A" w:rsidRPr="000C156A">
        <w:rPr>
          <w:rFonts w:hint="eastAsia"/>
          <w:lang w:eastAsia="zh-CN"/>
        </w:rPr>
        <w:t>全球</w:t>
      </w:r>
      <w:r w:rsidR="00CD4839" w:rsidRPr="000C156A">
        <w:rPr>
          <w:rFonts w:hint="eastAsia"/>
          <w:lang w:eastAsia="zh-CN"/>
        </w:rPr>
        <w:t>的爆发</w:t>
      </w:r>
      <w:r w:rsidR="0096209A" w:rsidRPr="000C156A">
        <w:rPr>
          <w:rFonts w:hint="eastAsia"/>
          <w:lang w:eastAsia="zh-CN"/>
        </w:rPr>
        <w:t>迫使国际电联在远程工作和虚拟会议模式的基础上进行调整和重组</w:t>
      </w:r>
      <w:r w:rsidR="00CD4839" w:rsidRPr="000C156A">
        <w:rPr>
          <w:rFonts w:hint="eastAsia"/>
          <w:lang w:eastAsia="zh-CN"/>
        </w:rPr>
        <w:t>。</w:t>
      </w:r>
    </w:p>
    <w:p w14:paraId="45753105" w14:textId="2BB116A3" w:rsidR="00923E30" w:rsidRPr="000C156A" w:rsidRDefault="006423EB" w:rsidP="006423EB">
      <w:pPr>
        <w:rPr>
          <w:lang w:eastAsia="zh-CN"/>
        </w:rPr>
      </w:pPr>
      <w:r w:rsidRPr="000C156A">
        <w:rPr>
          <w:rFonts w:eastAsia="Times New Roman" w:cs="Calibri"/>
          <w:szCs w:val="24"/>
          <w:lang w:val="en-US" w:eastAsia="zh-CN"/>
        </w:rPr>
        <w:t>7</w:t>
      </w:r>
      <w:r w:rsidRPr="000C156A">
        <w:rPr>
          <w:rFonts w:eastAsia="Times New Roman" w:cs="Calibri"/>
          <w:szCs w:val="24"/>
          <w:lang w:val="en-US" w:eastAsia="zh-CN"/>
        </w:rPr>
        <w:tab/>
      </w:r>
      <w:r w:rsidR="0096209A" w:rsidRPr="000C156A">
        <w:rPr>
          <w:rFonts w:hint="eastAsia"/>
          <w:lang w:eastAsia="zh-CN"/>
        </w:rPr>
        <w:t>实际上，</w:t>
      </w:r>
      <w:r w:rsidR="00BC4FCE" w:rsidRPr="000C156A">
        <w:rPr>
          <w:rFonts w:hint="eastAsia"/>
          <w:lang w:eastAsia="zh-CN"/>
        </w:rPr>
        <w:t>卫生</w:t>
      </w:r>
      <w:r w:rsidR="0096209A" w:rsidRPr="000C156A">
        <w:rPr>
          <w:rFonts w:hint="eastAsia"/>
          <w:lang w:eastAsia="zh-CN"/>
        </w:rPr>
        <w:t>状况不允许国际电联举行</w:t>
      </w:r>
      <w:r w:rsidR="007F3C67" w:rsidRPr="000C156A">
        <w:rPr>
          <w:rFonts w:hint="eastAsia"/>
          <w:lang w:eastAsia="zh-CN"/>
        </w:rPr>
        <w:t>已</w:t>
      </w:r>
      <w:r w:rsidR="00BC4FCE" w:rsidRPr="000C156A">
        <w:rPr>
          <w:rFonts w:hint="eastAsia"/>
          <w:lang w:eastAsia="zh-CN"/>
        </w:rPr>
        <w:t>计划</w:t>
      </w:r>
      <w:r w:rsidR="0096209A" w:rsidRPr="000C156A">
        <w:rPr>
          <w:rFonts w:hint="eastAsia"/>
          <w:lang w:eastAsia="zh-CN"/>
        </w:rPr>
        <w:t>的</w:t>
      </w:r>
      <w:r w:rsidR="00BC4FCE" w:rsidRPr="000C156A">
        <w:rPr>
          <w:rFonts w:hint="eastAsia"/>
          <w:lang w:eastAsia="zh-CN"/>
        </w:rPr>
        <w:t>面对面</w:t>
      </w:r>
      <w:r w:rsidR="0096209A" w:rsidRPr="000C156A">
        <w:rPr>
          <w:rFonts w:hint="eastAsia"/>
          <w:lang w:eastAsia="zh-CN"/>
        </w:rPr>
        <w:t>会议</w:t>
      </w:r>
      <w:r w:rsidR="00BC4FCE" w:rsidRPr="000C156A">
        <w:rPr>
          <w:rFonts w:ascii="SimSun" w:hAnsi="SimSun" w:cs="SimSun" w:hint="eastAsia"/>
          <w:lang w:eastAsia="zh-CN"/>
        </w:rPr>
        <w:t>。</w:t>
      </w:r>
    </w:p>
    <w:p w14:paraId="3BE670C5" w14:textId="76BDE509" w:rsidR="00923E30" w:rsidRPr="000C156A" w:rsidRDefault="006423EB" w:rsidP="006423EB">
      <w:pPr>
        <w:rPr>
          <w:lang w:eastAsia="zh-CN"/>
        </w:rPr>
      </w:pPr>
      <w:r w:rsidRPr="000C156A">
        <w:rPr>
          <w:rFonts w:eastAsia="Times New Roman" w:cs="Calibri"/>
          <w:szCs w:val="24"/>
          <w:lang w:val="en-US" w:eastAsia="zh-CN"/>
        </w:rPr>
        <w:t>8</w:t>
      </w:r>
      <w:r w:rsidRPr="000C156A">
        <w:rPr>
          <w:rFonts w:eastAsia="Times New Roman" w:cs="Calibri"/>
          <w:szCs w:val="24"/>
          <w:lang w:val="en-US" w:eastAsia="zh-CN"/>
        </w:rPr>
        <w:tab/>
      </w:r>
      <w:r w:rsidR="0096209A" w:rsidRPr="000C156A">
        <w:rPr>
          <w:rFonts w:hint="eastAsia"/>
          <w:lang w:eastAsia="zh-CN"/>
        </w:rPr>
        <w:t>然而，在调动技术手段以及我们所有伙伴</w:t>
      </w:r>
      <w:r w:rsidR="00255BC4" w:rsidRPr="000C156A">
        <w:rPr>
          <w:rFonts w:hint="eastAsia"/>
          <w:lang w:eastAsia="zh-CN"/>
        </w:rPr>
        <w:t>（</w:t>
      </w:r>
      <w:r w:rsidR="0096209A" w:rsidRPr="000C156A">
        <w:rPr>
          <w:rFonts w:hint="eastAsia"/>
          <w:lang w:eastAsia="zh-CN"/>
        </w:rPr>
        <w:t>成员国、部门成员、</w:t>
      </w:r>
      <w:r w:rsidR="00255BC4" w:rsidRPr="000C156A">
        <w:rPr>
          <w:rFonts w:hint="eastAsia"/>
          <w:lang w:eastAsia="zh-CN"/>
        </w:rPr>
        <w:t>部门准成员</w:t>
      </w:r>
      <w:r w:rsidR="0096209A" w:rsidRPr="000C156A">
        <w:rPr>
          <w:rFonts w:hint="eastAsia"/>
          <w:lang w:eastAsia="zh-CN"/>
        </w:rPr>
        <w:t>和学术</w:t>
      </w:r>
      <w:r w:rsidR="00255BC4" w:rsidRPr="000C156A">
        <w:rPr>
          <w:rFonts w:hint="eastAsia"/>
          <w:lang w:eastAsia="zh-CN"/>
        </w:rPr>
        <w:t>成员）</w:t>
      </w:r>
      <w:r w:rsidR="0096209A" w:rsidRPr="000C156A">
        <w:rPr>
          <w:rFonts w:hint="eastAsia"/>
          <w:lang w:eastAsia="zh-CN"/>
        </w:rPr>
        <w:t>的意愿之后，</w:t>
      </w:r>
      <w:r w:rsidR="00255BC4" w:rsidRPr="000C156A">
        <w:rPr>
          <w:rFonts w:hint="eastAsia"/>
          <w:lang w:eastAsia="zh-CN"/>
        </w:rPr>
        <w:t>国际电联</w:t>
      </w:r>
      <w:r w:rsidR="0096209A" w:rsidRPr="000C156A">
        <w:rPr>
          <w:rFonts w:hint="eastAsia"/>
          <w:lang w:eastAsia="zh-CN"/>
        </w:rPr>
        <w:t>的活动</w:t>
      </w:r>
      <w:r w:rsidR="00255BC4" w:rsidRPr="000C156A">
        <w:rPr>
          <w:rFonts w:hint="eastAsia"/>
          <w:lang w:eastAsia="zh-CN"/>
        </w:rPr>
        <w:t>得以</w:t>
      </w:r>
      <w:r w:rsidR="0096209A" w:rsidRPr="000C156A">
        <w:rPr>
          <w:rFonts w:hint="eastAsia"/>
          <w:lang w:eastAsia="zh-CN"/>
        </w:rPr>
        <w:t>继续</w:t>
      </w:r>
      <w:r w:rsidR="00255BC4" w:rsidRPr="000C156A">
        <w:rPr>
          <w:rFonts w:hint="eastAsia"/>
          <w:lang w:eastAsia="zh-CN"/>
        </w:rPr>
        <w:t>。</w:t>
      </w:r>
    </w:p>
    <w:p w14:paraId="30D0870C" w14:textId="609F28A2" w:rsidR="00562749" w:rsidRPr="000C156A" w:rsidRDefault="006423EB" w:rsidP="006423EB">
      <w:pPr>
        <w:rPr>
          <w:lang w:eastAsia="zh-CN"/>
        </w:rPr>
      </w:pPr>
      <w:r w:rsidRPr="000C156A">
        <w:rPr>
          <w:rFonts w:asciiTheme="minorHAnsi" w:eastAsia="Times New Roman" w:hAnsiTheme="minorHAnsi" w:cs="Calibri"/>
          <w:szCs w:val="24"/>
          <w:lang w:val="en-US" w:eastAsia="zh-CN"/>
        </w:rPr>
        <w:t>9</w:t>
      </w:r>
      <w:r w:rsidRPr="000C156A">
        <w:rPr>
          <w:rFonts w:asciiTheme="minorHAnsi" w:eastAsia="Times New Roman" w:hAnsiTheme="minorHAnsi" w:cs="Calibri"/>
          <w:szCs w:val="24"/>
          <w:lang w:val="en-US" w:eastAsia="zh-CN"/>
        </w:rPr>
        <w:tab/>
      </w:r>
      <w:r w:rsidR="00E02111" w:rsidRPr="000C156A">
        <w:rPr>
          <w:rFonts w:hint="eastAsia"/>
          <w:lang w:eastAsia="zh-CN"/>
        </w:rPr>
        <w:t>国际电联</w:t>
      </w:r>
      <w:r w:rsidR="00E02111" w:rsidRPr="000C156A">
        <w:rPr>
          <w:lang w:eastAsia="zh-CN"/>
        </w:rPr>
        <w:t>20</w:t>
      </w:r>
      <w:r w:rsidR="00F836D6" w:rsidRPr="000C156A">
        <w:rPr>
          <w:lang w:eastAsia="zh-CN"/>
        </w:rPr>
        <w:t>20</w:t>
      </w:r>
      <w:r w:rsidR="00E02111" w:rsidRPr="000C156A">
        <w:rPr>
          <w:rFonts w:hint="eastAsia"/>
          <w:lang w:val="fr-CH" w:eastAsia="zh-CN"/>
        </w:rPr>
        <w:t>年开展的活动项目包括</w:t>
      </w:r>
      <w:r w:rsidR="00F836D6" w:rsidRPr="000C156A">
        <w:rPr>
          <w:rFonts w:hint="eastAsia"/>
          <w:lang w:val="fr-CH" w:eastAsia="zh-CN"/>
        </w:rPr>
        <w:t>诸多虚拟</w:t>
      </w:r>
      <w:r w:rsidR="00E02111" w:rsidRPr="000C156A">
        <w:rPr>
          <w:rFonts w:hint="eastAsia"/>
          <w:lang w:val="fr-CH" w:eastAsia="zh-CN"/>
        </w:rPr>
        <w:t>会议</w:t>
      </w:r>
      <w:r w:rsidR="00E02111" w:rsidRPr="000C156A">
        <w:rPr>
          <w:rFonts w:hint="eastAsia"/>
          <w:lang w:eastAsia="zh-CN"/>
        </w:rPr>
        <w:t>，</w:t>
      </w:r>
      <w:r w:rsidR="00E02111" w:rsidRPr="000C156A">
        <w:rPr>
          <w:rFonts w:hint="eastAsia"/>
          <w:lang w:val="fr-CH" w:eastAsia="zh-CN"/>
        </w:rPr>
        <w:t>其中主要</w:t>
      </w:r>
      <w:r w:rsidR="00F836D6" w:rsidRPr="000C156A">
        <w:rPr>
          <w:rFonts w:hint="eastAsia"/>
          <w:lang w:val="fr-CH" w:eastAsia="zh-CN"/>
        </w:rPr>
        <w:t>活动</w:t>
      </w:r>
      <w:r w:rsidR="00E02111" w:rsidRPr="000C156A">
        <w:rPr>
          <w:rFonts w:hint="eastAsia"/>
          <w:lang w:val="fr-CH" w:eastAsia="zh-CN"/>
        </w:rPr>
        <w:t>有</w:t>
      </w:r>
      <w:r w:rsidR="00E02111" w:rsidRPr="000C156A">
        <w:rPr>
          <w:rFonts w:hint="eastAsia"/>
          <w:lang w:eastAsia="zh-CN"/>
        </w:rPr>
        <w:t>：</w:t>
      </w:r>
    </w:p>
    <w:p w14:paraId="55121192" w14:textId="5ED72631" w:rsidR="00357C34" w:rsidRPr="000C156A" w:rsidRDefault="006423EB" w:rsidP="006423EB">
      <w:pPr>
        <w:rPr>
          <w:lang w:eastAsia="zh-CN"/>
        </w:rPr>
      </w:pPr>
      <w:r w:rsidRPr="000C156A">
        <w:rPr>
          <w:rFonts w:asciiTheme="minorHAnsi" w:hAnsiTheme="minorHAnsi" w:cs="Calibri"/>
          <w:szCs w:val="24"/>
          <w:lang w:val="en-US" w:eastAsia="zh-CN"/>
        </w:rPr>
        <w:t>10</w:t>
      </w:r>
      <w:r w:rsidRPr="000C156A">
        <w:rPr>
          <w:rFonts w:asciiTheme="minorHAnsi" w:hAnsiTheme="minorHAnsi" w:cs="Calibri"/>
          <w:szCs w:val="24"/>
          <w:lang w:val="en-US" w:eastAsia="zh-CN"/>
        </w:rPr>
        <w:tab/>
      </w:r>
      <w:r w:rsidR="0096209A" w:rsidRPr="000C156A">
        <w:rPr>
          <w:rFonts w:hint="eastAsia"/>
          <w:lang w:val="fr-CH" w:eastAsia="zh-CN"/>
        </w:rPr>
        <w:t>信息社会世界</w:t>
      </w:r>
      <w:r w:rsidR="00F836D6" w:rsidRPr="000C156A">
        <w:rPr>
          <w:rFonts w:hint="eastAsia"/>
          <w:lang w:val="fr-CH" w:eastAsia="zh-CN"/>
        </w:rPr>
        <w:t>峰会（</w:t>
      </w:r>
      <w:r w:rsidR="0096209A" w:rsidRPr="000C156A">
        <w:rPr>
          <w:rFonts w:hint="eastAsia"/>
          <w:lang w:val="fr-CH" w:eastAsia="zh-CN"/>
        </w:rPr>
        <w:t>WSIS</w:t>
      </w:r>
      <w:r w:rsidR="00F836D6" w:rsidRPr="000C156A">
        <w:rPr>
          <w:rFonts w:hint="eastAsia"/>
          <w:lang w:val="fr-CH" w:eastAsia="zh-CN"/>
        </w:rPr>
        <w:t>）</w:t>
      </w:r>
      <w:r w:rsidR="0096209A" w:rsidRPr="000C156A">
        <w:rPr>
          <w:rFonts w:hint="eastAsia"/>
          <w:lang w:val="fr-CH" w:eastAsia="zh-CN"/>
        </w:rPr>
        <w:t>在夏季</w:t>
      </w:r>
      <w:r w:rsidR="00F836D6" w:rsidRPr="000C156A">
        <w:rPr>
          <w:rFonts w:hint="eastAsia"/>
          <w:lang w:val="fr-CH" w:eastAsia="zh-CN"/>
        </w:rPr>
        <w:t>若干月</w:t>
      </w:r>
      <w:r w:rsidR="0096209A" w:rsidRPr="000C156A">
        <w:rPr>
          <w:rFonts w:hint="eastAsia"/>
          <w:lang w:val="fr-CH" w:eastAsia="zh-CN"/>
        </w:rPr>
        <w:t>举行，</w:t>
      </w:r>
      <w:r w:rsidR="00F836D6" w:rsidRPr="000C156A">
        <w:rPr>
          <w:rFonts w:hint="eastAsia"/>
          <w:lang w:val="fr-CH" w:eastAsia="zh-CN"/>
        </w:rPr>
        <w:t>并</w:t>
      </w:r>
      <w:r w:rsidR="0096209A" w:rsidRPr="000C156A">
        <w:rPr>
          <w:rFonts w:hint="eastAsia"/>
          <w:lang w:val="fr-CH" w:eastAsia="zh-CN"/>
        </w:rPr>
        <w:t>在</w:t>
      </w:r>
      <w:r w:rsidR="00F836D6" w:rsidRPr="000C156A">
        <w:rPr>
          <w:rFonts w:hint="eastAsia"/>
          <w:lang w:val="fr-CH" w:eastAsia="zh-CN"/>
        </w:rPr>
        <w:t>最后一周</w:t>
      </w:r>
      <w:r w:rsidRPr="000C156A">
        <w:rPr>
          <w:rFonts w:hint="eastAsia"/>
          <w:lang w:val="fr-CH" w:eastAsia="zh-CN"/>
        </w:rPr>
        <w:t xml:space="preserve"> </w:t>
      </w:r>
      <w:r w:rsidRPr="000C156A">
        <w:rPr>
          <w:lang w:val="fr-CH" w:eastAsia="zh-CN"/>
        </w:rPr>
        <w:t xml:space="preserve">– </w:t>
      </w:r>
      <w:r w:rsidR="0096209A" w:rsidRPr="000C156A">
        <w:rPr>
          <w:rFonts w:hint="eastAsia"/>
          <w:lang w:val="fr-CH" w:eastAsia="zh-CN"/>
        </w:rPr>
        <w:t>2020</w:t>
      </w:r>
      <w:r w:rsidR="0096209A" w:rsidRPr="000C156A">
        <w:rPr>
          <w:rFonts w:hint="eastAsia"/>
          <w:lang w:val="fr-CH" w:eastAsia="zh-CN"/>
        </w:rPr>
        <w:t>年</w:t>
      </w:r>
      <w:r w:rsidR="0096209A" w:rsidRPr="000C156A">
        <w:rPr>
          <w:rFonts w:hint="eastAsia"/>
          <w:lang w:val="fr-CH" w:eastAsia="zh-CN"/>
        </w:rPr>
        <w:t>9</w:t>
      </w:r>
      <w:r w:rsidR="0096209A" w:rsidRPr="000C156A">
        <w:rPr>
          <w:rFonts w:hint="eastAsia"/>
          <w:lang w:val="fr-CH" w:eastAsia="zh-CN"/>
        </w:rPr>
        <w:t>月</w:t>
      </w:r>
      <w:r w:rsidR="0096209A" w:rsidRPr="000C156A">
        <w:rPr>
          <w:rFonts w:hint="eastAsia"/>
          <w:lang w:val="fr-CH" w:eastAsia="zh-CN"/>
        </w:rPr>
        <w:t>7</w:t>
      </w:r>
      <w:r w:rsidR="0096209A" w:rsidRPr="000C156A">
        <w:rPr>
          <w:rFonts w:hint="eastAsia"/>
          <w:lang w:val="fr-CH" w:eastAsia="zh-CN"/>
        </w:rPr>
        <w:t>日至</w:t>
      </w:r>
      <w:r w:rsidR="0096209A" w:rsidRPr="000C156A">
        <w:rPr>
          <w:rFonts w:hint="eastAsia"/>
          <w:lang w:val="fr-CH" w:eastAsia="zh-CN"/>
        </w:rPr>
        <w:t>10</w:t>
      </w:r>
      <w:r w:rsidR="0096209A" w:rsidRPr="000C156A">
        <w:rPr>
          <w:rFonts w:hint="eastAsia"/>
          <w:lang w:val="fr-CH" w:eastAsia="zh-CN"/>
        </w:rPr>
        <w:t>日举行的论坛</w:t>
      </w:r>
      <w:r w:rsidR="00520227" w:rsidRPr="000C156A">
        <w:rPr>
          <w:rFonts w:hint="eastAsia"/>
          <w:lang w:val="fr-CH" w:eastAsia="zh-CN"/>
        </w:rPr>
        <w:t xml:space="preserve"> </w:t>
      </w:r>
      <w:r w:rsidR="00D30B68" w:rsidRPr="000C156A">
        <w:rPr>
          <w:lang w:val="fr-CH" w:eastAsia="zh-CN"/>
        </w:rPr>
        <w:t>—</w:t>
      </w:r>
      <w:r w:rsidR="00520227" w:rsidRPr="000C156A">
        <w:rPr>
          <w:lang w:val="fr-CH" w:eastAsia="zh-CN"/>
        </w:rPr>
        <w:t xml:space="preserve"> </w:t>
      </w:r>
      <w:r w:rsidR="00D30B68" w:rsidRPr="000C156A">
        <w:rPr>
          <w:rFonts w:hint="eastAsia"/>
          <w:lang w:val="fr-CH" w:eastAsia="zh-CN"/>
        </w:rPr>
        <w:t>期间</w:t>
      </w:r>
      <w:r w:rsidR="0096209A" w:rsidRPr="000C156A">
        <w:rPr>
          <w:rFonts w:hint="eastAsia"/>
          <w:lang w:val="fr-CH" w:eastAsia="zh-CN"/>
        </w:rPr>
        <w:t>达到高潮。与实体活动一样，与会者能够观看和收听所有现场会议，通过问答与小组</w:t>
      </w:r>
      <w:r w:rsidR="00F836D6" w:rsidRPr="000C156A">
        <w:rPr>
          <w:rFonts w:hint="eastAsia"/>
          <w:lang w:val="fr-CH" w:eastAsia="zh-CN"/>
        </w:rPr>
        <w:t>讨论嘉宾</w:t>
      </w:r>
      <w:r w:rsidR="0096209A" w:rsidRPr="000C156A">
        <w:rPr>
          <w:rFonts w:hint="eastAsia"/>
          <w:lang w:val="fr-CH" w:eastAsia="zh-CN"/>
        </w:rPr>
        <w:t>互动，与不同</w:t>
      </w:r>
      <w:r w:rsidR="00F836D6" w:rsidRPr="000C156A">
        <w:rPr>
          <w:rFonts w:hint="eastAsia"/>
          <w:lang w:val="fr-CH" w:eastAsia="zh-CN"/>
        </w:rPr>
        <w:t>群体接触</w:t>
      </w:r>
      <w:r w:rsidR="0096209A" w:rsidRPr="000C156A">
        <w:rPr>
          <w:rFonts w:hint="eastAsia"/>
          <w:lang w:val="fr-CH" w:eastAsia="zh-CN"/>
        </w:rPr>
        <w:t>和</w:t>
      </w:r>
      <w:r w:rsidR="00F836D6" w:rsidRPr="000C156A">
        <w:rPr>
          <w:rFonts w:hint="eastAsia"/>
          <w:lang w:val="fr-CH" w:eastAsia="zh-CN"/>
        </w:rPr>
        <w:t>联谊</w:t>
      </w:r>
      <w:r w:rsidR="0096209A" w:rsidRPr="000C156A">
        <w:rPr>
          <w:rFonts w:hint="eastAsia"/>
          <w:lang w:val="fr-CH" w:eastAsia="zh-CN"/>
        </w:rPr>
        <w:t>，分享新兴技术和</w:t>
      </w:r>
      <w:r w:rsidR="00F836D6" w:rsidRPr="000C156A">
        <w:rPr>
          <w:rFonts w:hint="eastAsia"/>
          <w:lang w:val="fr-CH" w:eastAsia="zh-CN"/>
        </w:rPr>
        <w:t>信息通信技术（</w:t>
      </w:r>
      <w:r w:rsidR="00F836D6" w:rsidRPr="000C156A">
        <w:rPr>
          <w:rFonts w:hint="eastAsia"/>
          <w:lang w:val="fr-CH" w:eastAsia="zh-CN"/>
        </w:rPr>
        <w:t>ICT</w:t>
      </w:r>
      <w:r w:rsidR="00F836D6" w:rsidRPr="000C156A">
        <w:rPr>
          <w:rFonts w:hint="eastAsia"/>
          <w:lang w:val="fr-CH" w:eastAsia="zh-CN"/>
        </w:rPr>
        <w:t>）</w:t>
      </w:r>
      <w:r w:rsidR="00924FAA" w:rsidRPr="000C156A">
        <w:rPr>
          <w:rFonts w:hint="eastAsia"/>
          <w:lang w:val="fr-CH" w:eastAsia="zh-CN"/>
        </w:rPr>
        <w:t>行业</w:t>
      </w:r>
      <w:r w:rsidR="0096209A" w:rsidRPr="000C156A">
        <w:rPr>
          <w:rFonts w:hint="eastAsia"/>
          <w:lang w:val="fr-CH" w:eastAsia="zh-CN"/>
        </w:rPr>
        <w:t>在应对</w:t>
      </w:r>
      <w:r w:rsidR="00924FAA" w:rsidRPr="000C156A">
        <w:rPr>
          <w:rFonts w:eastAsia="Times New Roman"/>
          <w:lang w:eastAsia="zh-CN"/>
        </w:rPr>
        <w:t>COVID-19</w:t>
      </w:r>
      <w:r w:rsidR="0096209A" w:rsidRPr="000C156A">
        <w:rPr>
          <w:rFonts w:hint="eastAsia"/>
          <w:lang w:val="fr-CH" w:eastAsia="zh-CN"/>
        </w:rPr>
        <w:t>大流行方面的最新发展，以继续努力建设</w:t>
      </w:r>
      <w:r w:rsidR="00924FAA" w:rsidRPr="000C156A">
        <w:rPr>
          <w:rFonts w:hint="eastAsia"/>
          <w:lang w:val="fr-CH" w:eastAsia="zh-CN"/>
        </w:rPr>
        <w:t>具有</w:t>
      </w:r>
      <w:r w:rsidR="0096209A" w:rsidRPr="000C156A">
        <w:rPr>
          <w:rFonts w:hint="eastAsia"/>
          <w:lang w:val="fr-CH" w:eastAsia="zh-CN"/>
        </w:rPr>
        <w:t>包容性的信息和知识社会</w:t>
      </w:r>
      <w:r w:rsidRPr="000C156A">
        <w:rPr>
          <w:rFonts w:hint="eastAsia"/>
          <w:lang w:val="fr-CH" w:eastAsia="zh-CN"/>
        </w:rPr>
        <w:t>。</w:t>
      </w:r>
      <w:r w:rsidR="0096209A" w:rsidRPr="000C156A">
        <w:rPr>
          <w:rFonts w:hint="eastAsia"/>
          <w:lang w:val="fr-CH" w:eastAsia="zh-CN"/>
        </w:rPr>
        <w:t>2020</w:t>
      </w:r>
      <w:r w:rsidR="0096209A" w:rsidRPr="000C156A">
        <w:rPr>
          <w:rFonts w:hint="eastAsia"/>
          <w:lang w:val="fr-CH" w:eastAsia="zh-CN"/>
        </w:rPr>
        <w:t>年的主题是</w:t>
      </w:r>
      <w:r w:rsidRPr="000C156A">
        <w:rPr>
          <w:rFonts w:hint="eastAsia"/>
          <w:lang w:eastAsia="zh-CN"/>
        </w:rPr>
        <w:t>“</w:t>
      </w:r>
      <w:r w:rsidR="00924FAA" w:rsidRPr="000C156A">
        <w:rPr>
          <w:b/>
          <w:bCs/>
          <w:lang w:val="fr-CH" w:eastAsia="zh-CN"/>
        </w:rPr>
        <w:t>加强数字</w:t>
      </w:r>
      <w:r w:rsidR="00924FAA" w:rsidRPr="000C156A">
        <w:rPr>
          <w:rFonts w:hint="eastAsia"/>
          <w:b/>
          <w:bCs/>
          <w:lang w:val="fr-CH" w:eastAsia="zh-CN"/>
        </w:rPr>
        <w:t>化</w:t>
      </w:r>
      <w:r w:rsidR="00924FAA" w:rsidRPr="000C156A">
        <w:rPr>
          <w:b/>
          <w:bCs/>
          <w:lang w:val="fr-CH" w:eastAsia="zh-CN"/>
        </w:rPr>
        <w:t>变革和全球伙伴关系：将</w:t>
      </w:r>
      <w:r w:rsidR="00924FAA" w:rsidRPr="000C156A">
        <w:rPr>
          <w:b/>
          <w:bCs/>
          <w:lang w:val="fr-CH" w:eastAsia="zh-CN"/>
        </w:rPr>
        <w:t>WSIS</w:t>
      </w:r>
      <w:r w:rsidR="00924FAA" w:rsidRPr="000C156A">
        <w:rPr>
          <w:b/>
          <w:bCs/>
          <w:lang w:val="fr-CH" w:eastAsia="zh-CN"/>
        </w:rPr>
        <w:t>行动方面用于实现可持续发展目标（</w:t>
      </w:r>
      <w:r w:rsidR="00924FAA" w:rsidRPr="000C156A">
        <w:rPr>
          <w:b/>
          <w:bCs/>
          <w:lang w:val="fr-CH" w:eastAsia="zh-CN"/>
        </w:rPr>
        <w:t>SDG</w:t>
      </w:r>
      <w:r w:rsidR="00924FAA" w:rsidRPr="000C156A">
        <w:rPr>
          <w:rFonts w:hint="eastAsia"/>
          <w:b/>
          <w:bCs/>
          <w:lang w:val="fr-CH" w:eastAsia="zh-CN"/>
        </w:rPr>
        <w:t>）</w:t>
      </w:r>
      <w:r w:rsidRPr="000C156A">
        <w:rPr>
          <w:rFonts w:hint="eastAsia"/>
          <w:bCs/>
          <w:lang w:val="fr-CH" w:eastAsia="zh-CN"/>
        </w:rPr>
        <w:t>”</w:t>
      </w:r>
      <w:r w:rsidR="0096209A" w:rsidRPr="000C156A">
        <w:rPr>
          <w:rFonts w:hint="eastAsia"/>
          <w:lang w:val="fr-CH" w:eastAsia="zh-CN"/>
        </w:rPr>
        <w:t>。第</w:t>
      </w:r>
      <w:r w:rsidR="0096209A" w:rsidRPr="000C156A">
        <w:rPr>
          <w:rFonts w:hint="eastAsia"/>
          <w:lang w:val="fr-CH" w:eastAsia="zh-CN"/>
        </w:rPr>
        <w:t>15</w:t>
      </w:r>
      <w:r w:rsidR="0096209A" w:rsidRPr="000C156A">
        <w:rPr>
          <w:rFonts w:hint="eastAsia"/>
          <w:lang w:val="fr-CH" w:eastAsia="zh-CN"/>
        </w:rPr>
        <w:t>届论坛在全球范围内引起了</w:t>
      </w:r>
      <w:r w:rsidR="00924FAA" w:rsidRPr="000C156A">
        <w:rPr>
          <w:rFonts w:hint="eastAsia"/>
          <w:lang w:val="fr-CH" w:eastAsia="zh-CN"/>
        </w:rPr>
        <w:t>人们</w:t>
      </w:r>
      <w:r w:rsidR="0096209A" w:rsidRPr="000C156A">
        <w:rPr>
          <w:rFonts w:hint="eastAsia"/>
          <w:lang w:val="fr-CH" w:eastAsia="zh-CN"/>
        </w:rPr>
        <w:t>极大的兴趣</w:t>
      </w:r>
      <w:r w:rsidR="00924FAA" w:rsidRPr="000C156A">
        <w:rPr>
          <w:rFonts w:hint="eastAsia"/>
          <w:lang w:val="fr-CH" w:eastAsia="zh-CN"/>
        </w:rPr>
        <w:t>并令人</w:t>
      </w:r>
      <w:r w:rsidR="0096209A" w:rsidRPr="000C156A">
        <w:rPr>
          <w:rFonts w:hint="eastAsia"/>
          <w:lang w:val="fr-CH" w:eastAsia="zh-CN"/>
        </w:rPr>
        <w:t>兴奋</w:t>
      </w:r>
      <w:r w:rsidR="00A71D5D">
        <w:rPr>
          <w:lang w:val="en-US" w:eastAsia="zh-CN"/>
        </w:rPr>
        <w:t> </w:t>
      </w:r>
      <w:r w:rsidR="00A71D5D" w:rsidRPr="00A71D5D">
        <w:rPr>
          <w:lang w:val="fr-CH" w:eastAsia="zh-CN"/>
        </w:rPr>
        <w:t>–</w:t>
      </w:r>
      <w:r w:rsidR="00A71D5D">
        <w:rPr>
          <w:lang w:val="en-US" w:eastAsia="zh-CN"/>
        </w:rPr>
        <w:t> </w:t>
      </w:r>
      <w:r w:rsidR="0096209A" w:rsidRPr="000C156A">
        <w:rPr>
          <w:rFonts w:hint="eastAsia"/>
          <w:lang w:val="fr-CH" w:eastAsia="zh-CN"/>
        </w:rPr>
        <w:t>来自大约</w:t>
      </w:r>
      <w:r w:rsidR="0096209A" w:rsidRPr="000C156A">
        <w:rPr>
          <w:rFonts w:hint="eastAsia"/>
          <w:lang w:val="fr-CH" w:eastAsia="zh-CN"/>
        </w:rPr>
        <w:t>150</w:t>
      </w:r>
      <w:r w:rsidR="0096209A" w:rsidRPr="000C156A">
        <w:rPr>
          <w:rFonts w:hint="eastAsia"/>
          <w:lang w:val="fr-CH" w:eastAsia="zh-CN"/>
        </w:rPr>
        <w:t>个国家的</w:t>
      </w:r>
      <w:r w:rsidR="0096209A" w:rsidRPr="000C156A">
        <w:rPr>
          <w:rFonts w:hint="eastAsia"/>
          <w:lang w:val="fr-CH" w:eastAsia="zh-CN"/>
        </w:rPr>
        <w:t>15</w:t>
      </w:r>
      <w:r w:rsidR="0005594B" w:rsidRPr="000C156A">
        <w:rPr>
          <w:lang w:val="fr-CH" w:eastAsia="zh-CN"/>
        </w:rPr>
        <w:t xml:space="preserve"> </w:t>
      </w:r>
      <w:r w:rsidR="0096209A" w:rsidRPr="000C156A">
        <w:rPr>
          <w:rFonts w:hint="eastAsia"/>
          <w:lang w:val="fr-CH" w:eastAsia="zh-CN"/>
        </w:rPr>
        <w:t>000</w:t>
      </w:r>
      <w:r w:rsidR="0096209A" w:rsidRPr="000C156A">
        <w:rPr>
          <w:rFonts w:hint="eastAsia"/>
          <w:lang w:val="fr-CH" w:eastAsia="zh-CN"/>
        </w:rPr>
        <w:t>多名与会者参加了大约</w:t>
      </w:r>
      <w:r w:rsidR="0096209A" w:rsidRPr="000C156A">
        <w:rPr>
          <w:rFonts w:hint="eastAsia"/>
          <w:lang w:val="fr-CH" w:eastAsia="zh-CN"/>
        </w:rPr>
        <w:t>160</w:t>
      </w:r>
      <w:r w:rsidR="0096209A" w:rsidRPr="000C156A">
        <w:rPr>
          <w:rFonts w:hint="eastAsia"/>
          <w:lang w:val="fr-CH" w:eastAsia="zh-CN"/>
        </w:rPr>
        <w:t>场虚拟会议，</w:t>
      </w:r>
      <w:r w:rsidR="0096209A" w:rsidRPr="000C156A">
        <w:rPr>
          <w:rFonts w:hint="eastAsia"/>
          <w:lang w:val="fr-CH" w:eastAsia="zh-CN"/>
        </w:rPr>
        <w:t>846</w:t>
      </w:r>
      <w:r w:rsidR="0096209A" w:rsidRPr="000C156A">
        <w:rPr>
          <w:rFonts w:hint="eastAsia"/>
          <w:lang w:val="fr-CH" w:eastAsia="zh-CN"/>
        </w:rPr>
        <w:t>名不同发言</w:t>
      </w:r>
      <w:r w:rsidR="00924FAA" w:rsidRPr="000C156A">
        <w:rPr>
          <w:rFonts w:hint="eastAsia"/>
          <w:lang w:val="fr-CH" w:eastAsia="zh-CN"/>
        </w:rPr>
        <w:t>人做了发言</w:t>
      </w:r>
      <w:r w:rsidR="0096209A" w:rsidRPr="000C156A">
        <w:rPr>
          <w:rFonts w:hint="eastAsia"/>
          <w:lang w:val="fr-CH" w:eastAsia="zh-CN"/>
        </w:rPr>
        <w:t>。虚拟会议由</w:t>
      </w:r>
      <w:r w:rsidR="0096209A" w:rsidRPr="000C156A">
        <w:rPr>
          <w:rFonts w:hint="eastAsia"/>
          <w:lang w:val="fr-CH" w:eastAsia="zh-CN"/>
        </w:rPr>
        <w:t>WSIS</w:t>
      </w:r>
      <w:r w:rsidR="0096209A" w:rsidRPr="000C156A">
        <w:rPr>
          <w:rFonts w:hint="eastAsia"/>
          <w:lang w:val="fr-CH" w:eastAsia="zh-CN"/>
        </w:rPr>
        <w:t>利益攸关方组织，旨在强调</w:t>
      </w:r>
      <w:r w:rsidR="00924FAA" w:rsidRPr="000C156A">
        <w:rPr>
          <w:rFonts w:hint="eastAsia"/>
          <w:lang w:val="fr-CH" w:eastAsia="zh-CN"/>
        </w:rPr>
        <w:t>ICT</w:t>
      </w:r>
      <w:r w:rsidR="0096209A" w:rsidRPr="000C156A">
        <w:rPr>
          <w:rFonts w:hint="eastAsia"/>
          <w:lang w:val="fr-CH" w:eastAsia="zh-CN"/>
        </w:rPr>
        <w:t>在可持续发展中的作用。</w:t>
      </w:r>
    </w:p>
    <w:p w14:paraId="072024ED" w14:textId="063F6C38" w:rsidR="00601F3B" w:rsidRPr="000C156A" w:rsidRDefault="006423EB" w:rsidP="006423EB">
      <w:pPr>
        <w:rPr>
          <w:lang w:eastAsia="zh-CN"/>
        </w:rPr>
      </w:pPr>
      <w:r w:rsidRPr="000C156A">
        <w:rPr>
          <w:rFonts w:asciiTheme="minorHAnsi" w:eastAsia="Times New Roman" w:hAnsiTheme="minorHAnsi" w:cs="Calibri"/>
          <w:szCs w:val="24"/>
          <w:lang w:val="en-US" w:eastAsia="zh-CN"/>
        </w:rPr>
        <w:t>11</w:t>
      </w:r>
      <w:r w:rsidRPr="000C156A">
        <w:rPr>
          <w:rFonts w:asciiTheme="minorHAnsi" w:eastAsia="Times New Roman" w:hAnsiTheme="minorHAnsi" w:cs="Calibri"/>
          <w:szCs w:val="24"/>
          <w:lang w:val="en-US" w:eastAsia="zh-CN"/>
        </w:rPr>
        <w:tab/>
      </w:r>
      <w:r w:rsidR="0096209A" w:rsidRPr="000C156A">
        <w:rPr>
          <w:rFonts w:hint="eastAsia"/>
          <w:lang w:val="fr-CH" w:eastAsia="zh-CN"/>
        </w:rPr>
        <w:t>由于</w:t>
      </w:r>
      <w:r w:rsidR="00924FAA" w:rsidRPr="000C156A">
        <w:rPr>
          <w:rFonts w:eastAsia="Times New Roman"/>
          <w:lang w:eastAsia="zh-CN"/>
        </w:rPr>
        <w:t>COVID-19</w:t>
      </w:r>
      <w:r w:rsidR="0096209A" w:rsidRPr="000C156A">
        <w:rPr>
          <w:rFonts w:hint="eastAsia"/>
          <w:lang w:val="fr-CH" w:eastAsia="zh-CN"/>
        </w:rPr>
        <w:t>大流行，</w:t>
      </w:r>
      <w:r w:rsidR="00924FAA" w:rsidRPr="000C156A">
        <w:rPr>
          <w:lang w:val="fr-CH" w:eastAsia="zh-CN"/>
        </w:rPr>
        <w:t>人工智能惠及人类全球峰</w:t>
      </w:r>
      <w:r w:rsidR="00924FAA" w:rsidRPr="000C156A">
        <w:rPr>
          <w:rFonts w:hint="eastAsia"/>
          <w:lang w:val="fr-CH" w:eastAsia="zh-CN"/>
        </w:rPr>
        <w:t>会</w:t>
      </w:r>
      <w:r w:rsidR="0096209A" w:rsidRPr="000C156A">
        <w:rPr>
          <w:rFonts w:hint="eastAsia"/>
          <w:lang w:val="fr-CH" w:eastAsia="zh-CN"/>
        </w:rPr>
        <w:t>变成了为期一年的虚拟活动</w:t>
      </w:r>
      <w:r w:rsidR="00924FAA" w:rsidRPr="000C156A">
        <w:rPr>
          <w:rFonts w:hint="eastAsia"/>
          <w:lang w:val="fr-CH" w:eastAsia="zh-CN"/>
        </w:rPr>
        <w:t>，</w:t>
      </w:r>
      <w:r w:rsidR="00924FAA" w:rsidRPr="000C156A">
        <w:rPr>
          <w:lang w:val="fr-CH" w:eastAsia="zh-CN"/>
        </w:rPr>
        <w:t>每周都</w:t>
      </w:r>
      <w:r w:rsidR="00D30B68" w:rsidRPr="000C156A">
        <w:rPr>
          <w:rFonts w:hint="eastAsia"/>
          <w:lang w:val="fr-CH" w:eastAsia="zh-CN"/>
        </w:rPr>
        <w:t>实施</w:t>
      </w:r>
      <w:r w:rsidR="00924FAA" w:rsidRPr="000C156A">
        <w:rPr>
          <w:rFonts w:hint="eastAsia"/>
          <w:lang w:val="fr-CH" w:eastAsia="zh-CN"/>
        </w:rPr>
        <w:t>数字日程</w:t>
      </w:r>
      <w:r w:rsidR="00924FAA" w:rsidRPr="000C156A">
        <w:rPr>
          <w:lang w:val="fr-CH" w:eastAsia="zh-CN"/>
        </w:rPr>
        <w:t>，</w:t>
      </w:r>
      <w:r w:rsidR="00E57569" w:rsidRPr="000C156A">
        <w:rPr>
          <w:rFonts w:hint="eastAsia"/>
          <w:lang w:val="fr-CH" w:eastAsia="zh-CN"/>
        </w:rPr>
        <w:t>具体</w:t>
      </w:r>
      <w:r w:rsidR="00924FAA" w:rsidRPr="000C156A">
        <w:rPr>
          <w:lang w:val="fr-CH" w:eastAsia="zh-CN"/>
        </w:rPr>
        <w:t>包括主题演讲、专家网络研讨会、项目推介、问答、演示</w:t>
      </w:r>
      <w:r w:rsidR="00E57569" w:rsidRPr="000C156A">
        <w:rPr>
          <w:rFonts w:hint="eastAsia"/>
          <w:lang w:val="fr-CH" w:eastAsia="zh-CN"/>
        </w:rPr>
        <w:t>和联谊</w:t>
      </w:r>
      <w:r w:rsidR="00924FAA" w:rsidRPr="000C156A">
        <w:rPr>
          <w:lang w:val="fr-CH" w:eastAsia="zh-CN"/>
        </w:rPr>
        <w:t>交流等</w:t>
      </w:r>
      <w:r w:rsidR="00E57569" w:rsidRPr="000C156A">
        <w:rPr>
          <w:rFonts w:hint="eastAsia"/>
          <w:lang w:val="fr-CH" w:eastAsia="zh-CN"/>
        </w:rPr>
        <w:t>活动</w:t>
      </w:r>
      <w:r w:rsidR="0096209A" w:rsidRPr="000C156A">
        <w:rPr>
          <w:rFonts w:hint="eastAsia"/>
          <w:lang w:val="fr-CH" w:eastAsia="zh-CN"/>
        </w:rPr>
        <w:t>。因此，至少</w:t>
      </w:r>
      <w:r w:rsidR="00E57569" w:rsidRPr="000C156A">
        <w:rPr>
          <w:rFonts w:hint="eastAsia"/>
          <w:lang w:val="fr-CH" w:eastAsia="zh-CN"/>
        </w:rPr>
        <w:t>举办</w:t>
      </w:r>
      <w:r w:rsidR="0096209A" w:rsidRPr="000C156A">
        <w:rPr>
          <w:rFonts w:hint="eastAsia"/>
          <w:lang w:val="fr-CH" w:eastAsia="zh-CN"/>
        </w:rPr>
        <w:t>了</w:t>
      </w:r>
      <w:r w:rsidR="0096209A" w:rsidRPr="000C156A">
        <w:rPr>
          <w:rFonts w:hint="eastAsia"/>
          <w:lang w:val="fr-CH" w:eastAsia="zh-CN"/>
        </w:rPr>
        <w:t>50</w:t>
      </w:r>
      <w:r w:rsidR="00E57569" w:rsidRPr="000C156A">
        <w:rPr>
          <w:rFonts w:hint="eastAsia"/>
          <w:lang w:val="fr-CH" w:eastAsia="zh-CN"/>
        </w:rPr>
        <w:t>场活动</w:t>
      </w:r>
      <w:r w:rsidR="0096209A" w:rsidRPr="000C156A">
        <w:rPr>
          <w:rFonts w:hint="eastAsia"/>
          <w:lang w:val="fr-CH" w:eastAsia="zh-CN"/>
        </w:rPr>
        <w:t>。全年讨论了人工智能促进</w:t>
      </w:r>
      <w:r w:rsidR="00E57569" w:rsidRPr="000C156A">
        <w:rPr>
          <w:rFonts w:hint="eastAsia"/>
          <w:lang w:val="fr-CH" w:eastAsia="zh-CN"/>
        </w:rPr>
        <w:t>卫生</w:t>
      </w:r>
      <w:r w:rsidR="0096209A" w:rsidRPr="000C156A">
        <w:rPr>
          <w:rFonts w:hint="eastAsia"/>
          <w:lang w:val="fr-CH" w:eastAsia="zh-CN"/>
        </w:rPr>
        <w:t>、</w:t>
      </w:r>
      <w:r w:rsidR="00E57569" w:rsidRPr="000C156A">
        <w:rPr>
          <w:rFonts w:hint="eastAsia"/>
          <w:lang w:val="fr-CH" w:eastAsia="zh-CN"/>
        </w:rPr>
        <w:t>利用</w:t>
      </w:r>
      <w:r w:rsidR="0096209A" w:rsidRPr="000C156A">
        <w:rPr>
          <w:rFonts w:hint="eastAsia"/>
          <w:lang w:val="fr-CH" w:eastAsia="zh-CN"/>
        </w:rPr>
        <w:t>人工智能技术实现性别平等或利用人工智能保护儿童安全等几个主题</w:t>
      </w:r>
      <w:r w:rsidR="0096209A" w:rsidRPr="000C156A">
        <w:rPr>
          <w:rFonts w:hint="eastAsia"/>
          <w:lang w:eastAsia="zh-CN"/>
        </w:rPr>
        <w:t>。</w:t>
      </w:r>
    </w:p>
    <w:p w14:paraId="25AD565C" w14:textId="4B7D7F02" w:rsidR="00F409FC" w:rsidRPr="000C156A" w:rsidRDefault="006423EB" w:rsidP="006423EB">
      <w:pPr>
        <w:rPr>
          <w:lang w:eastAsia="zh-CN"/>
        </w:rPr>
      </w:pPr>
      <w:r w:rsidRPr="000C156A">
        <w:rPr>
          <w:rFonts w:asciiTheme="minorHAnsi" w:hAnsiTheme="minorHAnsi" w:cs="Calibri"/>
          <w:szCs w:val="24"/>
          <w:lang w:val="en-US" w:eastAsia="zh-CN"/>
        </w:rPr>
        <w:t>12</w:t>
      </w:r>
      <w:r w:rsidRPr="000C156A">
        <w:rPr>
          <w:rFonts w:asciiTheme="minorHAnsi" w:hAnsiTheme="minorHAnsi" w:cs="Calibri"/>
          <w:szCs w:val="24"/>
          <w:lang w:val="en-US" w:eastAsia="zh-CN"/>
        </w:rPr>
        <w:tab/>
      </w:r>
      <w:r w:rsidR="0096209A" w:rsidRPr="000C156A">
        <w:rPr>
          <w:rFonts w:hint="eastAsia"/>
          <w:lang w:val="fr-CH" w:eastAsia="zh-CN"/>
        </w:rPr>
        <w:t>原定于</w:t>
      </w:r>
      <w:r w:rsidR="0096209A" w:rsidRPr="000C156A">
        <w:rPr>
          <w:rFonts w:hint="eastAsia"/>
          <w:lang w:val="fr-CH" w:eastAsia="zh-CN"/>
        </w:rPr>
        <w:t>2020</w:t>
      </w:r>
      <w:r w:rsidR="0096209A" w:rsidRPr="000C156A">
        <w:rPr>
          <w:rFonts w:hint="eastAsia"/>
          <w:lang w:val="fr-CH" w:eastAsia="zh-CN"/>
        </w:rPr>
        <w:t>年</w:t>
      </w:r>
      <w:r w:rsidR="0096209A" w:rsidRPr="000C156A">
        <w:rPr>
          <w:rFonts w:hint="eastAsia"/>
          <w:lang w:val="fr-CH" w:eastAsia="zh-CN"/>
        </w:rPr>
        <w:t>9</w:t>
      </w:r>
      <w:r w:rsidR="0096209A" w:rsidRPr="000C156A">
        <w:rPr>
          <w:rFonts w:hint="eastAsia"/>
          <w:lang w:val="fr-CH" w:eastAsia="zh-CN"/>
        </w:rPr>
        <w:t>月</w:t>
      </w:r>
      <w:r w:rsidR="0096209A" w:rsidRPr="000C156A">
        <w:rPr>
          <w:rFonts w:hint="eastAsia"/>
          <w:lang w:val="fr-CH" w:eastAsia="zh-CN"/>
        </w:rPr>
        <w:t>6</w:t>
      </w:r>
      <w:r w:rsidR="0096209A" w:rsidRPr="000C156A">
        <w:rPr>
          <w:rFonts w:hint="eastAsia"/>
          <w:lang w:val="fr-CH" w:eastAsia="zh-CN"/>
        </w:rPr>
        <w:t>日至</w:t>
      </w:r>
      <w:r w:rsidR="0096209A" w:rsidRPr="000C156A">
        <w:rPr>
          <w:rFonts w:hint="eastAsia"/>
          <w:lang w:val="fr-CH" w:eastAsia="zh-CN"/>
        </w:rPr>
        <w:t>9</w:t>
      </w:r>
      <w:r w:rsidR="0096209A" w:rsidRPr="000C156A">
        <w:rPr>
          <w:rFonts w:hint="eastAsia"/>
          <w:lang w:val="fr-CH" w:eastAsia="zh-CN"/>
        </w:rPr>
        <w:t>日在越南河内举行</w:t>
      </w:r>
      <w:r w:rsidR="00E57569" w:rsidRPr="000C156A">
        <w:rPr>
          <w:rFonts w:hint="eastAsia"/>
          <w:lang w:val="fr-CH" w:eastAsia="zh-CN"/>
        </w:rPr>
        <w:t>国际电联世界电信展</w:t>
      </w:r>
      <w:r w:rsidR="0096209A" w:rsidRPr="000C156A">
        <w:rPr>
          <w:rFonts w:hint="eastAsia"/>
          <w:lang w:val="fr-CH" w:eastAsia="zh-CN"/>
        </w:rPr>
        <w:t>，</w:t>
      </w:r>
      <w:r w:rsidR="00E57569" w:rsidRPr="000C156A">
        <w:rPr>
          <w:rFonts w:hint="eastAsia"/>
          <w:lang w:val="fr-CH" w:eastAsia="zh-CN"/>
        </w:rPr>
        <w:t>但由于疫情</w:t>
      </w:r>
      <w:r w:rsidR="00A50277" w:rsidRPr="000C156A">
        <w:rPr>
          <w:rFonts w:hint="eastAsia"/>
          <w:lang w:val="fr-CH" w:eastAsia="zh-CN"/>
        </w:rPr>
        <w:t>未能举办实体活动</w:t>
      </w:r>
      <w:r w:rsidR="00E57569" w:rsidRPr="000C156A">
        <w:rPr>
          <w:rFonts w:hint="eastAsia"/>
          <w:lang w:val="fr-CH" w:eastAsia="zh-CN"/>
        </w:rPr>
        <w:t>，</w:t>
      </w:r>
      <w:r w:rsidR="00A50277" w:rsidRPr="000C156A">
        <w:rPr>
          <w:rFonts w:hint="eastAsia"/>
          <w:lang w:val="fr-CH" w:eastAsia="zh-CN"/>
        </w:rPr>
        <w:t>因此</w:t>
      </w:r>
      <w:r w:rsidR="0096209A" w:rsidRPr="000C156A">
        <w:rPr>
          <w:rFonts w:hint="eastAsia"/>
          <w:lang w:val="fr-CH" w:eastAsia="zh-CN"/>
        </w:rPr>
        <w:t>国际电联电信</w:t>
      </w:r>
      <w:r w:rsidR="00E57569" w:rsidRPr="000C156A">
        <w:rPr>
          <w:rFonts w:hint="eastAsia"/>
          <w:lang w:val="fr-CH" w:eastAsia="zh-CN"/>
        </w:rPr>
        <w:t>展览部</w:t>
      </w:r>
      <w:r w:rsidR="0096209A" w:rsidRPr="000C156A">
        <w:rPr>
          <w:rFonts w:hint="eastAsia"/>
          <w:lang w:val="fr-CH" w:eastAsia="zh-CN"/>
        </w:rPr>
        <w:t>秘书处在东道国的支持下，在</w:t>
      </w:r>
      <w:r w:rsidR="0096209A" w:rsidRPr="000C156A">
        <w:rPr>
          <w:rFonts w:hint="eastAsia"/>
          <w:lang w:val="fr-CH" w:eastAsia="zh-CN"/>
        </w:rPr>
        <w:t>2020</w:t>
      </w:r>
      <w:r w:rsidR="0096209A" w:rsidRPr="000C156A">
        <w:rPr>
          <w:rFonts w:hint="eastAsia"/>
          <w:lang w:val="fr-CH" w:eastAsia="zh-CN"/>
        </w:rPr>
        <w:t>年期间组织了一系列虚拟活动，为实体活动</w:t>
      </w:r>
      <w:r w:rsidR="00E57569" w:rsidRPr="000C156A">
        <w:rPr>
          <w:rFonts w:hint="eastAsia"/>
          <w:lang w:val="fr-CH" w:eastAsia="zh-CN"/>
        </w:rPr>
        <w:t>确立</w:t>
      </w:r>
      <w:r w:rsidR="0096209A" w:rsidRPr="000C156A">
        <w:rPr>
          <w:rFonts w:hint="eastAsia"/>
          <w:lang w:val="fr-CH" w:eastAsia="zh-CN"/>
        </w:rPr>
        <w:t>了框架，并继续为我们所有的利益攸关方提供平台，直至他们能够</w:t>
      </w:r>
      <w:r w:rsidR="00E57569" w:rsidRPr="000C156A">
        <w:rPr>
          <w:rFonts w:hint="eastAsia"/>
          <w:lang w:val="fr-CH" w:eastAsia="zh-CN"/>
        </w:rPr>
        <w:t>举行面对面活动</w:t>
      </w:r>
      <w:r w:rsidR="0096209A" w:rsidRPr="000C156A">
        <w:rPr>
          <w:rFonts w:hint="eastAsia"/>
          <w:lang w:val="fr-CH" w:eastAsia="zh-CN"/>
        </w:rPr>
        <w:t>。第一项活动是</w:t>
      </w:r>
      <w:r w:rsidR="0096209A" w:rsidRPr="000C156A">
        <w:rPr>
          <w:rFonts w:hint="eastAsia"/>
          <w:lang w:val="fr-CH" w:eastAsia="zh-CN"/>
        </w:rPr>
        <w:t>2020</w:t>
      </w:r>
      <w:r w:rsidR="0096209A" w:rsidRPr="000C156A">
        <w:rPr>
          <w:rFonts w:hint="eastAsia"/>
          <w:lang w:val="fr-CH" w:eastAsia="zh-CN"/>
        </w:rPr>
        <w:t>年</w:t>
      </w:r>
      <w:r w:rsidR="0096209A" w:rsidRPr="000C156A">
        <w:rPr>
          <w:rFonts w:hint="eastAsia"/>
          <w:lang w:val="fr-CH" w:eastAsia="zh-CN"/>
        </w:rPr>
        <w:t>10</w:t>
      </w:r>
      <w:r w:rsidR="0096209A" w:rsidRPr="000C156A">
        <w:rPr>
          <w:rFonts w:hint="eastAsia"/>
          <w:lang w:val="fr-CH" w:eastAsia="zh-CN"/>
        </w:rPr>
        <w:t>月举行的</w:t>
      </w:r>
      <w:r w:rsidR="00A50277" w:rsidRPr="000C156A">
        <w:rPr>
          <w:lang w:val="fr-CH" w:eastAsia="zh-CN"/>
        </w:rPr>
        <w:t>国际电联</w:t>
      </w:r>
      <w:r w:rsidR="00A50277" w:rsidRPr="000C156A">
        <w:rPr>
          <w:lang w:val="fr-CH" w:eastAsia="zh-CN"/>
        </w:rPr>
        <w:t>2020</w:t>
      </w:r>
      <w:r w:rsidR="00A50277" w:rsidRPr="000C156A">
        <w:rPr>
          <w:rFonts w:hint="eastAsia"/>
          <w:lang w:val="fr-CH" w:eastAsia="zh-CN"/>
        </w:rPr>
        <w:t>年</w:t>
      </w:r>
      <w:r w:rsidR="00A50277" w:rsidRPr="000C156A">
        <w:rPr>
          <w:lang w:val="fr-CH" w:eastAsia="zh-CN"/>
        </w:rPr>
        <w:t>虚拟数字世界</w:t>
      </w:r>
      <w:r w:rsidR="0096209A" w:rsidRPr="000C156A">
        <w:rPr>
          <w:rFonts w:hint="eastAsia"/>
          <w:lang w:val="fr-CH" w:eastAsia="zh-CN"/>
        </w:rPr>
        <w:t>，包括侧重于</w:t>
      </w:r>
      <w:r w:rsidR="0096209A" w:rsidRPr="000C156A">
        <w:rPr>
          <w:rFonts w:asciiTheme="majorEastAsia" w:eastAsiaTheme="majorEastAsia" w:hAnsiTheme="majorEastAsia"/>
          <w:lang w:val="fr-CH" w:eastAsia="zh-CN"/>
        </w:rPr>
        <w:t>“</w:t>
      </w:r>
      <w:r w:rsidR="0096209A" w:rsidRPr="000C156A">
        <w:rPr>
          <w:rFonts w:hint="eastAsia"/>
          <w:lang w:val="fr-CH" w:eastAsia="zh-CN"/>
        </w:rPr>
        <w:t>数字技术在</w:t>
      </w:r>
      <w:r w:rsidR="00A50277" w:rsidRPr="000C156A">
        <w:rPr>
          <w:rFonts w:eastAsia="Times New Roman"/>
          <w:lang w:eastAsia="zh-CN"/>
        </w:rPr>
        <w:t>COVID-19</w:t>
      </w:r>
      <w:r w:rsidR="0096209A" w:rsidRPr="000C156A">
        <w:rPr>
          <w:rFonts w:hint="eastAsia"/>
          <w:lang w:val="fr-CH" w:eastAsia="zh-CN"/>
        </w:rPr>
        <w:t>大流行期间和之后的作用</w:t>
      </w:r>
      <w:r w:rsidR="0096209A" w:rsidRPr="000C156A">
        <w:rPr>
          <w:rFonts w:asciiTheme="majorEastAsia" w:eastAsiaTheme="majorEastAsia" w:hAnsiTheme="majorEastAsia"/>
          <w:lang w:val="fr-CH" w:eastAsia="zh-CN"/>
        </w:rPr>
        <w:t>”</w:t>
      </w:r>
      <w:r w:rsidR="0096209A" w:rsidRPr="000C156A">
        <w:rPr>
          <w:rFonts w:hint="eastAsia"/>
          <w:lang w:val="fr-CH" w:eastAsia="zh-CN"/>
        </w:rPr>
        <w:t>的部长级圆桌会议，以及论坛</w:t>
      </w:r>
      <w:r w:rsidR="00A50277" w:rsidRPr="000C156A">
        <w:rPr>
          <w:rFonts w:hint="eastAsia"/>
          <w:lang w:val="fr-CH" w:eastAsia="zh-CN"/>
        </w:rPr>
        <w:t>网络</w:t>
      </w:r>
      <w:r w:rsidR="0096209A" w:rsidRPr="000C156A">
        <w:rPr>
          <w:rFonts w:hint="eastAsia"/>
          <w:lang w:val="fr-CH" w:eastAsia="zh-CN"/>
        </w:rPr>
        <w:t>研讨会。</w:t>
      </w:r>
      <w:r w:rsidR="00A50277" w:rsidRPr="000C156A">
        <w:rPr>
          <w:lang w:val="fr-CH" w:eastAsia="zh-CN"/>
        </w:rPr>
        <w:t>2020</w:t>
      </w:r>
      <w:r w:rsidR="00A50277" w:rsidRPr="000C156A">
        <w:rPr>
          <w:lang w:val="fr-CH" w:eastAsia="zh-CN"/>
        </w:rPr>
        <w:t>年</w:t>
      </w:r>
      <w:r w:rsidR="00A50277" w:rsidRPr="000C156A">
        <w:rPr>
          <w:lang w:val="fr-CH" w:eastAsia="zh-CN"/>
        </w:rPr>
        <w:t>11</w:t>
      </w:r>
      <w:r w:rsidR="00A50277" w:rsidRPr="000C156A">
        <w:rPr>
          <w:lang w:val="fr-CH" w:eastAsia="zh-CN"/>
        </w:rPr>
        <w:t>月和</w:t>
      </w:r>
      <w:r w:rsidR="00A50277" w:rsidRPr="000C156A">
        <w:rPr>
          <w:lang w:val="fr-CH" w:eastAsia="zh-CN"/>
        </w:rPr>
        <w:t>12</w:t>
      </w:r>
      <w:r w:rsidR="00A50277" w:rsidRPr="000C156A">
        <w:rPr>
          <w:lang w:val="fr-CH" w:eastAsia="zh-CN"/>
        </w:rPr>
        <w:t>月举办了国际电联</w:t>
      </w:r>
      <w:r w:rsidR="00A50277" w:rsidRPr="000C156A">
        <w:rPr>
          <w:lang w:val="fr-CH" w:eastAsia="zh-CN"/>
        </w:rPr>
        <w:t>2020</w:t>
      </w:r>
      <w:r w:rsidR="00A50277" w:rsidRPr="000C156A">
        <w:rPr>
          <w:lang w:val="fr-CH" w:eastAsia="zh-CN"/>
        </w:rPr>
        <w:t>年数字世界中小企业虚拟评奖和大师讲堂活动</w:t>
      </w:r>
      <w:r w:rsidR="00A50277" w:rsidRPr="000C156A">
        <w:rPr>
          <w:rFonts w:hint="eastAsia"/>
          <w:lang w:val="fr-CH" w:eastAsia="zh-CN"/>
        </w:rPr>
        <w:t>。</w:t>
      </w:r>
    </w:p>
    <w:p w14:paraId="5681BB1D" w14:textId="76F47DBD" w:rsidR="00985154" w:rsidRPr="000C156A" w:rsidRDefault="006423EB" w:rsidP="00437ED0">
      <w:pPr>
        <w:rPr>
          <w:lang w:eastAsia="zh-CN"/>
        </w:rPr>
      </w:pPr>
      <w:r w:rsidRPr="000C156A">
        <w:rPr>
          <w:rFonts w:asciiTheme="minorHAnsi" w:eastAsia="Times New Roman" w:hAnsiTheme="minorHAnsi" w:cs="Calibri"/>
          <w:szCs w:val="24"/>
          <w:lang w:val="en-US" w:eastAsia="zh-CN"/>
        </w:rPr>
        <w:lastRenderedPageBreak/>
        <w:t>13</w:t>
      </w:r>
      <w:r w:rsidRPr="000C156A">
        <w:rPr>
          <w:rFonts w:asciiTheme="minorHAnsi" w:eastAsia="Times New Roman" w:hAnsiTheme="minorHAnsi" w:cs="Calibri"/>
          <w:szCs w:val="24"/>
          <w:lang w:val="en-US" w:eastAsia="zh-CN"/>
        </w:rPr>
        <w:tab/>
      </w:r>
      <w:r w:rsidR="00E02111" w:rsidRPr="000C156A">
        <w:rPr>
          <w:rFonts w:hint="eastAsia"/>
          <w:lang w:eastAsia="zh-CN"/>
        </w:rPr>
        <w:t>国际电联在</w:t>
      </w:r>
      <w:r w:rsidR="00E02111" w:rsidRPr="000C156A">
        <w:rPr>
          <w:lang w:eastAsia="zh-CN"/>
        </w:rPr>
        <w:t>20</w:t>
      </w:r>
      <w:r w:rsidR="00906A76" w:rsidRPr="000C156A">
        <w:rPr>
          <w:lang w:eastAsia="zh-CN"/>
        </w:rPr>
        <w:t>20</w:t>
      </w:r>
      <w:r w:rsidR="00E02111" w:rsidRPr="000C156A">
        <w:rPr>
          <w:rFonts w:hint="eastAsia"/>
          <w:lang w:eastAsia="zh-CN"/>
        </w:rPr>
        <w:t>年期间继续按照第</w:t>
      </w:r>
      <w:r w:rsidR="00E02111" w:rsidRPr="000C156A">
        <w:rPr>
          <w:lang w:eastAsia="zh-CN"/>
        </w:rPr>
        <w:t>5</w:t>
      </w:r>
      <w:r w:rsidR="00E02111" w:rsidRPr="000C156A">
        <w:rPr>
          <w:rFonts w:hint="eastAsia"/>
          <w:lang w:eastAsia="zh-CN"/>
        </w:rPr>
        <w:t>号决定（</w:t>
      </w:r>
      <w:r w:rsidR="00E02111" w:rsidRPr="000C156A">
        <w:rPr>
          <w:lang w:eastAsia="zh-CN"/>
        </w:rPr>
        <w:t>2018</w:t>
      </w:r>
      <w:r w:rsidR="00E02111" w:rsidRPr="000C156A">
        <w:rPr>
          <w:rFonts w:hint="eastAsia"/>
          <w:lang w:eastAsia="zh-CN"/>
        </w:rPr>
        <w:t>年，迪拜，修订版）附件</w:t>
      </w:r>
      <w:r w:rsidR="00E02111" w:rsidRPr="000C156A">
        <w:rPr>
          <w:lang w:eastAsia="zh-CN"/>
        </w:rPr>
        <w:t>2</w:t>
      </w:r>
      <w:r w:rsidR="00E02111" w:rsidRPr="000C156A">
        <w:rPr>
          <w:rFonts w:hint="eastAsia"/>
          <w:lang w:eastAsia="zh-CN"/>
        </w:rPr>
        <w:t>的要求，协调改善工作流程和节约成本的工作。</w:t>
      </w:r>
    </w:p>
    <w:p w14:paraId="6B545741" w14:textId="31A479F5" w:rsidR="00344284" w:rsidRPr="000C156A" w:rsidRDefault="006423EB" w:rsidP="00437ED0">
      <w:pPr>
        <w:rPr>
          <w:lang w:eastAsia="zh-CN"/>
        </w:rPr>
      </w:pPr>
      <w:r w:rsidRPr="000C156A">
        <w:rPr>
          <w:rFonts w:asciiTheme="minorHAnsi" w:hAnsiTheme="minorHAnsi" w:cs="Calibri"/>
          <w:szCs w:val="24"/>
          <w:lang w:val="en-US" w:eastAsia="zh-CN"/>
        </w:rPr>
        <w:t>14</w:t>
      </w:r>
      <w:r w:rsidRPr="000C156A">
        <w:rPr>
          <w:rFonts w:asciiTheme="minorHAnsi" w:hAnsiTheme="minorHAnsi" w:cs="Calibri"/>
          <w:szCs w:val="24"/>
          <w:lang w:val="en-US" w:eastAsia="zh-CN"/>
        </w:rPr>
        <w:tab/>
      </w:r>
      <w:r w:rsidR="004F6AAB" w:rsidRPr="000C156A">
        <w:rPr>
          <w:rFonts w:hint="eastAsia"/>
          <w:lang w:eastAsia="zh-CN"/>
        </w:rPr>
        <w:t>国际电联积极参与了</w:t>
      </w:r>
      <w:bookmarkStart w:id="39" w:name="_Hlk55993177"/>
      <w:r w:rsidR="004F6AAB" w:rsidRPr="000C156A">
        <w:rPr>
          <w:rFonts w:hint="eastAsia"/>
          <w:lang w:eastAsia="zh-CN"/>
        </w:rPr>
        <w:t>联合国共同出资的活动</w:t>
      </w:r>
      <w:bookmarkEnd w:id="39"/>
      <w:r w:rsidR="004F6AAB" w:rsidRPr="000C156A">
        <w:rPr>
          <w:rFonts w:hint="eastAsia"/>
          <w:lang w:eastAsia="zh-CN"/>
        </w:rPr>
        <w:t>。最近的一系列举措降低了参与实体的成本，即，降低了用电</w:t>
      </w:r>
      <w:r w:rsidR="004F6AAB" w:rsidRPr="000C156A">
        <w:rPr>
          <w:rFonts w:hint="eastAsia"/>
          <w:lang w:val="fr-CH" w:eastAsia="zh-CN"/>
        </w:rPr>
        <w:t>、办公用品、燃油和邮政服务的费用并</w:t>
      </w:r>
      <w:bookmarkStart w:id="40" w:name="_Hlk55993465"/>
      <w:r w:rsidR="004F6AAB" w:rsidRPr="000C156A">
        <w:rPr>
          <w:rFonts w:hint="eastAsia"/>
          <w:lang w:val="fr-CH" w:eastAsia="zh-CN"/>
        </w:rPr>
        <w:t>通过谈判得到航空公司的折扣</w:t>
      </w:r>
      <w:bookmarkEnd w:id="40"/>
      <w:r w:rsidR="004F6AAB" w:rsidRPr="000C156A">
        <w:rPr>
          <w:rFonts w:hint="eastAsia"/>
          <w:lang w:val="fr-CH" w:eastAsia="zh-CN"/>
        </w:rPr>
        <w:t>。</w:t>
      </w:r>
    </w:p>
    <w:p w14:paraId="7ABD70D9" w14:textId="68C7ADDD" w:rsidR="0022762F" w:rsidRPr="000C156A" w:rsidRDefault="006423EB" w:rsidP="00437ED0">
      <w:pPr>
        <w:rPr>
          <w:lang w:eastAsia="zh-CN"/>
        </w:rPr>
      </w:pPr>
      <w:bookmarkStart w:id="41" w:name="OLE_LINK13"/>
      <w:bookmarkStart w:id="42" w:name="OLE_LINK14"/>
      <w:r w:rsidRPr="000C156A">
        <w:rPr>
          <w:rFonts w:asciiTheme="minorHAnsi" w:hAnsiTheme="minorHAnsi" w:cs="Calibri"/>
          <w:w w:val="105"/>
          <w:szCs w:val="24"/>
          <w:lang w:val="en-US" w:eastAsia="zh-CN"/>
        </w:rPr>
        <w:t>15</w:t>
      </w:r>
      <w:r w:rsidRPr="000C156A">
        <w:rPr>
          <w:rFonts w:asciiTheme="minorHAnsi" w:hAnsiTheme="minorHAnsi" w:cs="Calibri"/>
          <w:w w:val="105"/>
          <w:szCs w:val="24"/>
          <w:lang w:val="en-US" w:eastAsia="zh-CN"/>
        </w:rPr>
        <w:tab/>
      </w:r>
      <w:r w:rsidR="004F6AAB" w:rsidRPr="000C156A">
        <w:rPr>
          <w:rFonts w:hint="eastAsia"/>
          <w:lang w:eastAsia="zh-CN"/>
        </w:rPr>
        <w:t>自</w:t>
      </w:r>
      <w:r w:rsidR="004F6AAB" w:rsidRPr="000C156A">
        <w:rPr>
          <w:rFonts w:hint="eastAsia"/>
          <w:lang w:eastAsia="zh-CN"/>
        </w:rPr>
        <w:t>2020</w:t>
      </w:r>
      <w:r w:rsidR="004F6AAB" w:rsidRPr="000C156A">
        <w:rPr>
          <w:rFonts w:hint="eastAsia"/>
          <w:lang w:eastAsia="zh-CN"/>
        </w:rPr>
        <w:t>年</w:t>
      </w:r>
      <w:r w:rsidR="004F6AAB" w:rsidRPr="000C156A">
        <w:rPr>
          <w:rFonts w:hint="eastAsia"/>
          <w:lang w:eastAsia="zh-CN"/>
        </w:rPr>
        <w:t>1</w:t>
      </w:r>
      <w:r w:rsidR="004F6AAB" w:rsidRPr="000C156A">
        <w:rPr>
          <w:rFonts w:hint="eastAsia"/>
          <w:lang w:eastAsia="zh-CN"/>
        </w:rPr>
        <w:t>月</w:t>
      </w:r>
      <w:r w:rsidR="004F6AAB" w:rsidRPr="000C156A">
        <w:rPr>
          <w:rFonts w:hint="eastAsia"/>
          <w:lang w:eastAsia="zh-CN"/>
        </w:rPr>
        <w:t>1</w:t>
      </w:r>
      <w:r w:rsidR="004F6AAB" w:rsidRPr="000C156A">
        <w:rPr>
          <w:rFonts w:hint="eastAsia"/>
          <w:lang w:eastAsia="zh-CN"/>
        </w:rPr>
        <w:t>日起，秘书长根据</w:t>
      </w:r>
      <w:r w:rsidR="004F6AAB" w:rsidRPr="000C156A">
        <w:rPr>
          <w:rFonts w:eastAsia="STKaiti" w:hint="eastAsia"/>
          <w:lang w:eastAsia="zh-CN"/>
        </w:rPr>
        <w:t>医疗保险方案委员会</w:t>
      </w:r>
      <w:r w:rsidR="004F6AAB" w:rsidRPr="000C156A">
        <w:rPr>
          <w:rFonts w:hint="eastAsia"/>
          <w:lang w:eastAsia="zh-CN"/>
        </w:rPr>
        <w:t>的建议，做出了加入联合国工作人员疾病和意外相互保险协会（</w:t>
      </w:r>
      <w:r w:rsidR="004F6AAB" w:rsidRPr="000C156A">
        <w:rPr>
          <w:rFonts w:hint="eastAsia"/>
          <w:lang w:eastAsia="zh-CN"/>
        </w:rPr>
        <w:t>UNMSIS</w:t>
      </w:r>
      <w:r w:rsidR="004F6AAB" w:rsidRPr="000C156A">
        <w:rPr>
          <w:rFonts w:hint="eastAsia"/>
          <w:lang w:eastAsia="zh-CN"/>
        </w:rPr>
        <w:t>）的决定。参加此方案的有设在日内瓦的多家联合国组织和专门机构</w:t>
      </w:r>
      <w:r w:rsidR="004F6AAB" w:rsidRPr="000C156A">
        <w:rPr>
          <w:rFonts w:hint="eastAsia"/>
          <w:lang w:val="fr-CH" w:eastAsia="zh-CN"/>
        </w:rPr>
        <w:t>，并且</w:t>
      </w:r>
      <w:r w:rsidR="004F6AAB" w:rsidRPr="000C156A">
        <w:rPr>
          <w:rFonts w:hint="eastAsia"/>
          <w:lang w:eastAsia="zh-CN"/>
        </w:rPr>
        <w:t>包括联合国日内瓦办事处、联合国难民署（</w:t>
      </w:r>
      <w:r w:rsidR="004F6AAB" w:rsidRPr="000C156A">
        <w:rPr>
          <w:rFonts w:eastAsia="Times New Roman" w:cs="Calibri"/>
          <w:lang w:eastAsia="zh-CN"/>
        </w:rPr>
        <w:t>UNHCR</w:t>
      </w:r>
      <w:r w:rsidR="004F6AAB" w:rsidRPr="000C156A">
        <w:rPr>
          <w:rFonts w:hint="eastAsia"/>
          <w:lang w:eastAsia="zh-CN"/>
        </w:rPr>
        <w:t>）和世界气象组织（</w:t>
      </w:r>
      <w:r w:rsidR="004F6AAB" w:rsidRPr="000C156A">
        <w:rPr>
          <w:rFonts w:eastAsia="Times New Roman" w:cs="Calibri"/>
          <w:lang w:eastAsia="zh-CN"/>
        </w:rPr>
        <w:t>WMO</w:t>
      </w:r>
      <w:r w:rsidR="004F6AAB" w:rsidRPr="000C156A">
        <w:rPr>
          <w:rFonts w:hint="eastAsia"/>
          <w:lang w:eastAsia="zh-CN"/>
        </w:rPr>
        <w:t>）的工作人员。</w:t>
      </w:r>
      <w:bookmarkEnd w:id="41"/>
      <w:bookmarkEnd w:id="42"/>
    </w:p>
    <w:p w14:paraId="28897E13" w14:textId="192C3091" w:rsidR="004F6AAB" w:rsidRPr="000C156A" w:rsidRDefault="004F6AAB" w:rsidP="00437ED0">
      <w:pPr>
        <w:pStyle w:val="Headingb"/>
        <w:rPr>
          <w:spacing w:val="-6"/>
          <w:w w:val="105"/>
          <w:lang w:val="en-US" w:eastAsia="zh-CN"/>
        </w:rPr>
      </w:pPr>
      <w:bookmarkStart w:id="43" w:name="_Toc72744915"/>
      <w:bookmarkStart w:id="44" w:name="_Toc72747199"/>
      <w:bookmarkStart w:id="45" w:name="_Toc73460996"/>
      <w:bookmarkStart w:id="46" w:name="_Toc73518643"/>
      <w:bookmarkStart w:id="47" w:name="_Toc73519190"/>
      <w:bookmarkStart w:id="48" w:name="_Toc73636072"/>
      <w:bookmarkStart w:id="49" w:name="_Toc73636214"/>
      <w:r w:rsidRPr="000C156A">
        <w:rPr>
          <w:rFonts w:hint="eastAsia"/>
          <w:w w:val="105"/>
          <w:lang w:val="en-US" w:eastAsia="zh-CN"/>
        </w:rPr>
        <w:t>财务工作报告要点</w:t>
      </w:r>
      <w:bookmarkEnd w:id="43"/>
      <w:bookmarkEnd w:id="44"/>
      <w:bookmarkEnd w:id="45"/>
      <w:bookmarkEnd w:id="46"/>
      <w:bookmarkEnd w:id="47"/>
      <w:bookmarkEnd w:id="48"/>
      <w:bookmarkEnd w:id="49"/>
    </w:p>
    <w:p w14:paraId="4A8AA4D9" w14:textId="596419B2" w:rsidR="0022762F" w:rsidRPr="000C156A" w:rsidRDefault="006423EB" w:rsidP="00437ED0">
      <w:pPr>
        <w:rPr>
          <w:lang w:eastAsia="zh-CN"/>
        </w:rPr>
      </w:pPr>
      <w:r w:rsidRPr="000C156A">
        <w:rPr>
          <w:rFonts w:asciiTheme="minorHAnsi" w:eastAsia="Times New Roman" w:hAnsiTheme="minorHAnsi" w:cs="Calibri"/>
          <w:szCs w:val="24"/>
          <w:lang w:val="en-US" w:eastAsia="zh-CN"/>
        </w:rPr>
        <w:t>16</w:t>
      </w:r>
      <w:r w:rsidRPr="000C156A">
        <w:rPr>
          <w:rFonts w:asciiTheme="minorHAnsi" w:eastAsia="Times New Roman" w:hAnsiTheme="minorHAnsi" w:cs="Calibri"/>
          <w:szCs w:val="24"/>
          <w:lang w:val="en-US" w:eastAsia="zh-CN"/>
        </w:rPr>
        <w:tab/>
      </w:r>
      <w:r w:rsidR="004F6AAB" w:rsidRPr="000C156A">
        <w:rPr>
          <w:rFonts w:hint="eastAsia"/>
          <w:lang w:eastAsia="zh-CN"/>
        </w:rPr>
        <w:t>国际电联账目以瑞郎为单位，提交的财务报表包含国际电联的预算外活动。</w:t>
      </w:r>
    </w:p>
    <w:p w14:paraId="675B50C3" w14:textId="2B362108" w:rsidR="000F144A" w:rsidRPr="000C156A" w:rsidRDefault="006423EB" w:rsidP="009B3D1E">
      <w:pPr>
        <w:spacing w:after="240"/>
        <w:rPr>
          <w:lang w:eastAsia="zh-CN"/>
        </w:rPr>
      </w:pPr>
      <w:r w:rsidRPr="000C156A">
        <w:rPr>
          <w:rFonts w:asciiTheme="minorHAnsi" w:hAnsiTheme="minorHAnsi" w:cs="Calibri"/>
          <w:szCs w:val="24"/>
          <w:lang w:val="en-US" w:eastAsia="zh-CN"/>
        </w:rPr>
        <w:t>17</w:t>
      </w:r>
      <w:r w:rsidRPr="000C156A">
        <w:rPr>
          <w:rFonts w:asciiTheme="minorHAnsi" w:hAnsiTheme="minorHAnsi" w:cs="Calibri"/>
          <w:szCs w:val="24"/>
          <w:lang w:val="en-US" w:eastAsia="zh-CN"/>
        </w:rPr>
        <w:tab/>
      </w:r>
      <w:r w:rsidR="004F6AAB" w:rsidRPr="000C156A">
        <w:rPr>
          <w:rFonts w:hint="eastAsia"/>
          <w:lang w:eastAsia="zh-CN"/>
        </w:rPr>
        <w:t>下表归纳了与</w:t>
      </w:r>
      <w:r w:rsidR="004F6AAB" w:rsidRPr="000C156A">
        <w:rPr>
          <w:lang w:eastAsia="zh-CN"/>
        </w:rPr>
        <w:t>201</w:t>
      </w:r>
      <w:r w:rsidR="00296D10" w:rsidRPr="000C156A">
        <w:rPr>
          <w:lang w:eastAsia="zh-CN"/>
        </w:rPr>
        <w:t>9</w:t>
      </w:r>
      <w:r w:rsidR="004F6AAB" w:rsidRPr="000C156A">
        <w:rPr>
          <w:rFonts w:hint="eastAsia"/>
          <w:lang w:eastAsia="zh-CN"/>
        </w:rPr>
        <w:t>年相对比的国际电联</w:t>
      </w:r>
      <w:r w:rsidR="004F6AAB" w:rsidRPr="000C156A">
        <w:rPr>
          <w:lang w:eastAsia="zh-CN"/>
        </w:rPr>
        <w:t>20</w:t>
      </w:r>
      <w:r w:rsidR="00296D10" w:rsidRPr="000C156A">
        <w:rPr>
          <w:lang w:eastAsia="zh-CN"/>
        </w:rPr>
        <w:t>20</w:t>
      </w:r>
      <w:r w:rsidR="004F6AAB" w:rsidRPr="000C156A">
        <w:rPr>
          <w:rFonts w:hint="eastAsia"/>
          <w:lang w:eastAsia="zh-CN"/>
        </w:rPr>
        <w:t>年财务状况。</w:t>
      </w:r>
    </w:p>
    <w:tbl>
      <w:tblPr>
        <w:tblW w:w="6227" w:type="dxa"/>
        <w:jc w:val="center"/>
        <w:tblLook w:val="04A0" w:firstRow="1" w:lastRow="0" w:firstColumn="1" w:lastColumn="0" w:noHBand="0" w:noVBand="1"/>
      </w:tblPr>
      <w:tblGrid>
        <w:gridCol w:w="2117"/>
        <w:gridCol w:w="1842"/>
        <w:gridCol w:w="2268"/>
      </w:tblGrid>
      <w:tr w:rsidR="009B3D1E" w:rsidRPr="000C156A" w14:paraId="78643A6C" w14:textId="77777777" w:rsidTr="009B3D1E">
        <w:trPr>
          <w:trHeight w:val="510"/>
          <w:jc w:val="center"/>
        </w:trPr>
        <w:tc>
          <w:tcPr>
            <w:tcW w:w="2117" w:type="dxa"/>
            <w:tcBorders>
              <w:top w:val="single" w:sz="8" w:space="0" w:color="auto"/>
              <w:left w:val="single" w:sz="8" w:space="0" w:color="auto"/>
              <w:bottom w:val="single" w:sz="8" w:space="0" w:color="auto"/>
              <w:right w:val="nil"/>
            </w:tcBorders>
            <w:vAlign w:val="center"/>
          </w:tcPr>
          <w:p w14:paraId="16250F3F" w14:textId="77777777" w:rsidR="009B3D1E" w:rsidRPr="000C156A" w:rsidRDefault="009B3D1E" w:rsidP="00437ED0">
            <w:pPr>
              <w:pStyle w:val="Tablehead"/>
              <w:rPr>
                <w:lang w:eastAsia="zh-CN"/>
              </w:rPr>
            </w:pPr>
            <w:r w:rsidRPr="000C156A">
              <w:rPr>
                <w:rFonts w:hint="eastAsia"/>
                <w:lang w:eastAsia="zh-CN"/>
              </w:rPr>
              <w:t>单位</w:t>
            </w:r>
            <w:r w:rsidRPr="000C156A">
              <w:rPr>
                <w:rFonts w:hint="eastAsia"/>
                <w:lang w:val="fr-CH" w:eastAsia="zh-CN"/>
              </w:rPr>
              <w:t>：</w:t>
            </w:r>
            <w:r w:rsidRPr="000C156A">
              <w:rPr>
                <w:rFonts w:hint="eastAsia"/>
                <w:lang w:eastAsia="zh-CN"/>
              </w:rPr>
              <w:t>千瑞郎</w:t>
            </w:r>
          </w:p>
        </w:tc>
        <w:tc>
          <w:tcPr>
            <w:tcW w:w="1842" w:type="dxa"/>
            <w:tcBorders>
              <w:top w:val="single" w:sz="8" w:space="0" w:color="auto"/>
              <w:left w:val="nil"/>
              <w:bottom w:val="single" w:sz="8" w:space="0" w:color="auto"/>
              <w:right w:val="nil"/>
            </w:tcBorders>
            <w:shd w:val="clear" w:color="auto" w:fill="auto"/>
            <w:noWrap/>
            <w:vAlign w:val="center"/>
            <w:hideMark/>
          </w:tcPr>
          <w:p w14:paraId="2AE34562" w14:textId="77777777" w:rsidR="009B3D1E" w:rsidRPr="000C156A" w:rsidRDefault="009B3D1E" w:rsidP="00437ED0">
            <w:pPr>
              <w:pStyle w:val="Tablehead"/>
              <w:jc w:val="right"/>
              <w:rPr>
                <w:rFonts w:asciiTheme="minorHAnsi" w:hAnsiTheme="minorHAnsi" w:cs="Arial"/>
                <w:color w:val="000000"/>
                <w:lang w:eastAsia="zh-CN"/>
              </w:rPr>
            </w:pPr>
            <w:r w:rsidRPr="000C156A">
              <w:rPr>
                <w:rFonts w:asciiTheme="minorHAnsi" w:hAnsiTheme="minorHAnsi" w:cs="Arial"/>
                <w:color w:val="000000"/>
                <w:lang w:eastAsia="zh-CN"/>
              </w:rPr>
              <w:t>2020</w:t>
            </w:r>
            <w:r w:rsidRPr="000C156A">
              <w:rPr>
                <w:rFonts w:cs="Calibri" w:hint="eastAsia"/>
                <w:lang w:eastAsia="zh-CN"/>
              </w:rPr>
              <w:t>年</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6BE9836F" w14:textId="77777777" w:rsidR="009B3D1E" w:rsidRPr="000C156A" w:rsidRDefault="009B3D1E" w:rsidP="00437ED0">
            <w:pPr>
              <w:pStyle w:val="Tablehead"/>
              <w:jc w:val="right"/>
              <w:rPr>
                <w:rFonts w:asciiTheme="minorHAnsi" w:hAnsiTheme="minorHAnsi" w:cs="Arial"/>
                <w:color w:val="000000"/>
                <w:lang w:eastAsia="zh-CN"/>
              </w:rPr>
            </w:pPr>
            <w:r w:rsidRPr="000C156A">
              <w:rPr>
                <w:rFonts w:asciiTheme="minorHAnsi" w:hAnsiTheme="minorHAnsi"/>
                <w:color w:val="000000"/>
              </w:rPr>
              <w:t>2019</w:t>
            </w:r>
            <w:r w:rsidRPr="000C156A">
              <w:rPr>
                <w:rFonts w:cs="Calibri" w:hint="eastAsia"/>
                <w:lang w:eastAsia="zh-CN"/>
              </w:rPr>
              <w:t>年</w:t>
            </w:r>
          </w:p>
        </w:tc>
      </w:tr>
      <w:tr w:rsidR="009B3D1E" w:rsidRPr="000C156A" w14:paraId="3BDEA56F" w14:textId="77777777" w:rsidTr="009B3D1E">
        <w:trPr>
          <w:trHeight w:val="255"/>
          <w:jc w:val="center"/>
        </w:trPr>
        <w:tc>
          <w:tcPr>
            <w:tcW w:w="2117" w:type="dxa"/>
            <w:tcBorders>
              <w:top w:val="nil"/>
              <w:left w:val="single" w:sz="8" w:space="0" w:color="auto"/>
              <w:bottom w:val="nil"/>
              <w:right w:val="nil"/>
            </w:tcBorders>
            <w:vAlign w:val="bottom"/>
          </w:tcPr>
          <w:p w14:paraId="3822403D" w14:textId="77777777" w:rsidR="009B3D1E" w:rsidRPr="000C156A" w:rsidRDefault="009B3D1E" w:rsidP="00437ED0">
            <w:pPr>
              <w:pStyle w:val="Tabletext"/>
              <w:jc w:val="center"/>
            </w:pPr>
            <w:r w:rsidRPr="000C156A">
              <w:rPr>
                <w:rFonts w:hint="eastAsia"/>
              </w:rPr>
              <w:t>收入</w:t>
            </w:r>
          </w:p>
        </w:tc>
        <w:tc>
          <w:tcPr>
            <w:tcW w:w="1842" w:type="dxa"/>
            <w:tcBorders>
              <w:top w:val="nil"/>
              <w:left w:val="nil"/>
              <w:bottom w:val="nil"/>
              <w:right w:val="nil"/>
            </w:tcBorders>
            <w:shd w:val="clear" w:color="auto" w:fill="auto"/>
            <w:noWrap/>
            <w:vAlign w:val="bottom"/>
            <w:hideMark/>
          </w:tcPr>
          <w:p w14:paraId="5135DF6E" w14:textId="62565C23" w:rsidR="009B3D1E" w:rsidRPr="000C156A" w:rsidRDefault="009B3D1E" w:rsidP="00437ED0">
            <w:pPr>
              <w:pStyle w:val="Tabletext"/>
              <w:jc w:val="right"/>
              <w:rPr>
                <w:rFonts w:asciiTheme="minorHAnsi" w:hAnsiTheme="minorHAnsi" w:cs="Arial"/>
                <w:color w:val="000000"/>
                <w:lang w:val="en-US" w:eastAsia="zh-CN"/>
              </w:rPr>
            </w:pPr>
            <w:r w:rsidRPr="000C156A">
              <w:rPr>
                <w:rFonts w:asciiTheme="minorHAnsi" w:hAnsiTheme="minorHAnsi" w:cs="Arial"/>
                <w:color w:val="000000"/>
                <w:lang w:val="en-US" w:eastAsia="zh-CN"/>
              </w:rPr>
              <w:t>170</w:t>
            </w:r>
            <w:r w:rsidR="00874368" w:rsidRPr="000C156A">
              <w:rPr>
                <w:rFonts w:asciiTheme="minorHAnsi" w:hAnsiTheme="minorHAnsi" w:cs="Arial"/>
                <w:color w:val="000000"/>
                <w:lang w:val="en-US" w:eastAsia="zh-CN"/>
              </w:rPr>
              <w:t xml:space="preserve"> </w:t>
            </w:r>
            <w:r w:rsidRPr="000C156A">
              <w:rPr>
                <w:rFonts w:asciiTheme="minorHAnsi" w:hAnsiTheme="minorHAnsi" w:cs="Arial"/>
                <w:color w:val="000000"/>
                <w:lang w:val="en-US" w:eastAsia="zh-CN"/>
              </w:rPr>
              <w:t>373</w:t>
            </w:r>
          </w:p>
        </w:tc>
        <w:tc>
          <w:tcPr>
            <w:tcW w:w="2268" w:type="dxa"/>
            <w:tcBorders>
              <w:top w:val="nil"/>
              <w:left w:val="nil"/>
              <w:bottom w:val="nil"/>
              <w:right w:val="single" w:sz="8" w:space="0" w:color="auto"/>
            </w:tcBorders>
            <w:shd w:val="clear" w:color="auto" w:fill="auto"/>
            <w:noWrap/>
            <w:vAlign w:val="bottom"/>
            <w:hideMark/>
          </w:tcPr>
          <w:p w14:paraId="1AC96970" w14:textId="04FC2BB4" w:rsidR="009B3D1E" w:rsidRPr="000C156A" w:rsidRDefault="009B3D1E" w:rsidP="00437ED0">
            <w:pPr>
              <w:pStyle w:val="Tabletext"/>
              <w:jc w:val="right"/>
              <w:rPr>
                <w:rFonts w:asciiTheme="minorHAnsi" w:hAnsiTheme="minorHAnsi" w:cs="Arial"/>
                <w:color w:val="000000"/>
                <w:lang w:val="en-US" w:eastAsia="zh-CN"/>
              </w:rPr>
            </w:pPr>
            <w:r w:rsidRPr="000C156A">
              <w:rPr>
                <w:rFonts w:asciiTheme="minorHAnsi" w:hAnsiTheme="minorHAnsi" w:cs="Arial"/>
                <w:color w:val="000000"/>
                <w:lang w:val="en-US" w:eastAsia="zh-CN"/>
              </w:rPr>
              <w:t>187</w:t>
            </w:r>
            <w:r w:rsidR="00874368" w:rsidRPr="000C156A">
              <w:rPr>
                <w:rFonts w:asciiTheme="minorHAnsi" w:hAnsiTheme="minorHAnsi" w:cs="Arial"/>
                <w:color w:val="000000"/>
                <w:lang w:val="en-US" w:eastAsia="zh-CN"/>
              </w:rPr>
              <w:t xml:space="preserve"> </w:t>
            </w:r>
            <w:r w:rsidRPr="000C156A">
              <w:rPr>
                <w:rFonts w:asciiTheme="minorHAnsi" w:hAnsiTheme="minorHAnsi" w:cs="Arial"/>
                <w:color w:val="000000"/>
                <w:lang w:val="en-US" w:eastAsia="zh-CN"/>
              </w:rPr>
              <w:t>177</w:t>
            </w:r>
          </w:p>
        </w:tc>
      </w:tr>
      <w:tr w:rsidR="009B3D1E" w:rsidRPr="000C156A" w14:paraId="1C22E68F" w14:textId="77777777" w:rsidTr="009B3D1E">
        <w:trPr>
          <w:trHeight w:val="255"/>
          <w:jc w:val="center"/>
        </w:trPr>
        <w:tc>
          <w:tcPr>
            <w:tcW w:w="2117" w:type="dxa"/>
            <w:tcBorders>
              <w:top w:val="nil"/>
              <w:left w:val="single" w:sz="8" w:space="0" w:color="auto"/>
              <w:bottom w:val="nil"/>
              <w:right w:val="nil"/>
            </w:tcBorders>
            <w:vAlign w:val="bottom"/>
          </w:tcPr>
          <w:p w14:paraId="677D728E" w14:textId="77777777" w:rsidR="009B3D1E" w:rsidRPr="000C156A" w:rsidRDefault="009B3D1E" w:rsidP="00437ED0">
            <w:pPr>
              <w:pStyle w:val="Tabletext"/>
              <w:jc w:val="center"/>
            </w:pPr>
            <w:r w:rsidRPr="000C156A">
              <w:rPr>
                <w:rFonts w:hint="eastAsia"/>
              </w:rPr>
              <w:t>支出</w:t>
            </w:r>
          </w:p>
        </w:tc>
        <w:tc>
          <w:tcPr>
            <w:tcW w:w="1842" w:type="dxa"/>
            <w:tcBorders>
              <w:top w:val="nil"/>
              <w:left w:val="nil"/>
              <w:bottom w:val="nil"/>
              <w:right w:val="nil"/>
            </w:tcBorders>
            <w:shd w:val="clear" w:color="auto" w:fill="auto"/>
            <w:noWrap/>
            <w:vAlign w:val="bottom"/>
            <w:hideMark/>
          </w:tcPr>
          <w:p w14:paraId="790B0CFA" w14:textId="5BC0F184" w:rsidR="009B3D1E" w:rsidRPr="000C156A" w:rsidRDefault="009B3D1E" w:rsidP="00437ED0">
            <w:pPr>
              <w:pStyle w:val="Tabletext"/>
              <w:jc w:val="right"/>
              <w:rPr>
                <w:rFonts w:asciiTheme="minorHAnsi" w:hAnsiTheme="minorHAnsi" w:cs="Arial"/>
                <w:color w:val="000000"/>
                <w:lang w:val="en-US" w:eastAsia="zh-CN"/>
              </w:rPr>
            </w:pPr>
            <w:r w:rsidRPr="000C156A">
              <w:rPr>
                <w:rFonts w:asciiTheme="minorHAnsi" w:hAnsiTheme="minorHAnsi" w:cs="Arial"/>
                <w:color w:val="000000"/>
                <w:lang w:val="en-US" w:eastAsia="zh-CN"/>
              </w:rPr>
              <w:t>217</w:t>
            </w:r>
            <w:r w:rsidR="00874368" w:rsidRPr="000C156A">
              <w:rPr>
                <w:rFonts w:asciiTheme="minorHAnsi" w:hAnsiTheme="minorHAnsi" w:cs="Arial"/>
                <w:color w:val="000000"/>
                <w:lang w:val="en-US" w:eastAsia="zh-CN"/>
              </w:rPr>
              <w:t xml:space="preserve"> </w:t>
            </w:r>
            <w:r w:rsidRPr="000C156A">
              <w:rPr>
                <w:rFonts w:asciiTheme="minorHAnsi" w:hAnsiTheme="minorHAnsi" w:cs="Arial"/>
                <w:color w:val="000000"/>
                <w:lang w:val="en-US" w:eastAsia="zh-CN"/>
              </w:rPr>
              <w:t>632</w:t>
            </w:r>
          </w:p>
        </w:tc>
        <w:tc>
          <w:tcPr>
            <w:tcW w:w="2268" w:type="dxa"/>
            <w:tcBorders>
              <w:top w:val="nil"/>
              <w:left w:val="nil"/>
              <w:bottom w:val="nil"/>
              <w:right w:val="single" w:sz="8" w:space="0" w:color="auto"/>
            </w:tcBorders>
            <w:shd w:val="clear" w:color="auto" w:fill="auto"/>
            <w:noWrap/>
            <w:vAlign w:val="bottom"/>
            <w:hideMark/>
          </w:tcPr>
          <w:p w14:paraId="37FDBC05" w14:textId="3C44C278" w:rsidR="009B3D1E" w:rsidRPr="000C156A" w:rsidRDefault="009B3D1E" w:rsidP="00437ED0">
            <w:pPr>
              <w:pStyle w:val="Tabletext"/>
              <w:jc w:val="right"/>
              <w:rPr>
                <w:rFonts w:asciiTheme="minorHAnsi" w:hAnsiTheme="minorHAnsi" w:cs="Arial"/>
                <w:color w:val="000000"/>
                <w:lang w:val="en-US" w:eastAsia="zh-CN"/>
              </w:rPr>
            </w:pPr>
            <w:r w:rsidRPr="000C156A">
              <w:rPr>
                <w:rFonts w:asciiTheme="minorHAnsi" w:hAnsiTheme="minorHAnsi" w:cs="Arial"/>
                <w:color w:val="000000"/>
                <w:lang w:val="en-US" w:eastAsia="zh-CN"/>
              </w:rPr>
              <w:t>244</w:t>
            </w:r>
            <w:r w:rsidR="00874368" w:rsidRPr="000C156A">
              <w:rPr>
                <w:rFonts w:asciiTheme="minorHAnsi" w:hAnsiTheme="minorHAnsi" w:cs="Arial"/>
                <w:color w:val="000000"/>
                <w:lang w:val="en-US" w:eastAsia="zh-CN"/>
              </w:rPr>
              <w:t xml:space="preserve"> </w:t>
            </w:r>
            <w:r w:rsidRPr="000C156A">
              <w:rPr>
                <w:rFonts w:asciiTheme="minorHAnsi" w:hAnsiTheme="minorHAnsi" w:cs="Arial"/>
                <w:color w:val="000000"/>
                <w:lang w:val="en-US" w:eastAsia="zh-CN"/>
              </w:rPr>
              <w:t>640</w:t>
            </w:r>
          </w:p>
        </w:tc>
      </w:tr>
      <w:tr w:rsidR="009B3D1E" w:rsidRPr="000C156A" w14:paraId="32C26CA8" w14:textId="77777777" w:rsidTr="009B3D1E">
        <w:trPr>
          <w:trHeight w:val="270"/>
          <w:jc w:val="center"/>
        </w:trPr>
        <w:tc>
          <w:tcPr>
            <w:tcW w:w="2117" w:type="dxa"/>
            <w:tcBorders>
              <w:top w:val="single" w:sz="8" w:space="0" w:color="auto"/>
              <w:left w:val="single" w:sz="8" w:space="0" w:color="auto"/>
              <w:bottom w:val="single" w:sz="8" w:space="0" w:color="auto"/>
              <w:right w:val="nil"/>
            </w:tcBorders>
            <w:vAlign w:val="bottom"/>
          </w:tcPr>
          <w:p w14:paraId="01F3AE28" w14:textId="217EE588" w:rsidR="009B3D1E" w:rsidRPr="000C156A" w:rsidRDefault="009B3D1E" w:rsidP="009B3D1E">
            <w:pPr>
              <w:pStyle w:val="Tabletext"/>
              <w:jc w:val="center"/>
              <w:rPr>
                <w:b/>
                <w:bCs/>
              </w:rPr>
            </w:pPr>
            <w:r w:rsidRPr="000C156A">
              <w:rPr>
                <w:rFonts w:hint="eastAsia"/>
                <w:b/>
                <w:bCs/>
              </w:rPr>
              <w:t>盈余（赤字）</w:t>
            </w:r>
          </w:p>
        </w:tc>
        <w:tc>
          <w:tcPr>
            <w:tcW w:w="1842" w:type="dxa"/>
            <w:tcBorders>
              <w:top w:val="single" w:sz="8" w:space="0" w:color="auto"/>
              <w:left w:val="nil"/>
              <w:bottom w:val="single" w:sz="8" w:space="0" w:color="auto"/>
              <w:right w:val="nil"/>
            </w:tcBorders>
            <w:shd w:val="clear" w:color="auto" w:fill="auto"/>
            <w:noWrap/>
            <w:vAlign w:val="center"/>
            <w:hideMark/>
          </w:tcPr>
          <w:p w14:paraId="7752BA50" w14:textId="3A783978" w:rsidR="009B3D1E" w:rsidRPr="000C156A" w:rsidRDefault="009B3D1E" w:rsidP="00437ED0">
            <w:pPr>
              <w:pStyle w:val="Tabletext"/>
              <w:jc w:val="right"/>
              <w:rPr>
                <w:rFonts w:asciiTheme="minorHAnsi" w:hAnsiTheme="minorHAnsi" w:cs="Arial"/>
                <w:b/>
                <w:bCs/>
                <w:color w:val="000000"/>
                <w:lang w:val="en-US" w:eastAsia="zh-CN"/>
              </w:rPr>
            </w:pPr>
            <w:r w:rsidRPr="000C156A">
              <w:rPr>
                <w:rFonts w:asciiTheme="minorHAnsi" w:hAnsiTheme="minorHAnsi" w:cs="Arial"/>
                <w:b/>
                <w:bCs/>
                <w:color w:val="000000"/>
                <w:lang w:val="en-US" w:eastAsia="zh-CN"/>
              </w:rPr>
              <w:t>-47</w:t>
            </w:r>
            <w:r w:rsidR="00874368" w:rsidRPr="000C156A">
              <w:rPr>
                <w:rFonts w:asciiTheme="minorHAnsi" w:hAnsiTheme="minorHAnsi" w:cs="Arial"/>
                <w:b/>
                <w:bCs/>
                <w:color w:val="000000"/>
                <w:lang w:val="en-US" w:eastAsia="zh-CN"/>
              </w:rPr>
              <w:t xml:space="preserve"> </w:t>
            </w:r>
            <w:r w:rsidRPr="000C156A">
              <w:rPr>
                <w:rFonts w:asciiTheme="minorHAnsi" w:hAnsiTheme="minorHAnsi" w:cs="Arial"/>
                <w:b/>
                <w:bCs/>
                <w:color w:val="000000"/>
                <w:lang w:val="en-US" w:eastAsia="zh-CN"/>
              </w:rPr>
              <w:t>259</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3BC2945C" w14:textId="648EA147" w:rsidR="009B3D1E" w:rsidRPr="000C156A" w:rsidRDefault="009B3D1E" w:rsidP="00437ED0">
            <w:pPr>
              <w:pStyle w:val="Tabletext"/>
              <w:jc w:val="right"/>
              <w:rPr>
                <w:rFonts w:asciiTheme="minorHAnsi" w:hAnsiTheme="minorHAnsi" w:cs="Arial"/>
                <w:b/>
                <w:bCs/>
                <w:color w:val="000000"/>
                <w:lang w:val="en-US" w:eastAsia="zh-CN"/>
              </w:rPr>
            </w:pPr>
            <w:r w:rsidRPr="000C156A">
              <w:rPr>
                <w:rFonts w:asciiTheme="minorHAnsi" w:hAnsiTheme="minorHAnsi" w:cs="Arial"/>
                <w:b/>
                <w:bCs/>
                <w:color w:val="000000"/>
                <w:lang w:val="en-US" w:eastAsia="zh-CN"/>
              </w:rPr>
              <w:t>-57</w:t>
            </w:r>
            <w:r w:rsidR="00874368" w:rsidRPr="000C156A">
              <w:rPr>
                <w:rFonts w:asciiTheme="minorHAnsi" w:hAnsiTheme="minorHAnsi" w:cs="Arial"/>
                <w:b/>
                <w:bCs/>
                <w:color w:val="000000"/>
                <w:lang w:val="en-US" w:eastAsia="zh-CN"/>
              </w:rPr>
              <w:t xml:space="preserve"> </w:t>
            </w:r>
            <w:r w:rsidRPr="000C156A">
              <w:rPr>
                <w:rFonts w:asciiTheme="minorHAnsi" w:hAnsiTheme="minorHAnsi" w:cs="Arial"/>
                <w:b/>
                <w:bCs/>
                <w:color w:val="000000"/>
                <w:lang w:val="en-US" w:eastAsia="zh-CN"/>
              </w:rPr>
              <w:t>463</w:t>
            </w:r>
          </w:p>
        </w:tc>
      </w:tr>
      <w:tr w:rsidR="009B3D1E" w:rsidRPr="000C156A" w14:paraId="2E77934C" w14:textId="77777777" w:rsidTr="009B3D1E">
        <w:trPr>
          <w:trHeight w:val="255"/>
          <w:jc w:val="center"/>
        </w:trPr>
        <w:tc>
          <w:tcPr>
            <w:tcW w:w="2117" w:type="dxa"/>
            <w:tcBorders>
              <w:top w:val="nil"/>
              <w:left w:val="single" w:sz="8" w:space="0" w:color="auto"/>
              <w:bottom w:val="nil"/>
              <w:right w:val="nil"/>
            </w:tcBorders>
            <w:vAlign w:val="bottom"/>
          </w:tcPr>
          <w:p w14:paraId="67CF3DB3" w14:textId="77777777" w:rsidR="009B3D1E" w:rsidRPr="000C156A" w:rsidRDefault="009B3D1E" w:rsidP="00437ED0">
            <w:pPr>
              <w:pStyle w:val="Tabletext"/>
              <w:jc w:val="center"/>
            </w:pPr>
            <w:r w:rsidRPr="000C156A">
              <w:rPr>
                <w:rFonts w:hint="eastAsia"/>
              </w:rPr>
              <w:t>资产</w:t>
            </w:r>
          </w:p>
        </w:tc>
        <w:tc>
          <w:tcPr>
            <w:tcW w:w="1842" w:type="dxa"/>
            <w:tcBorders>
              <w:top w:val="nil"/>
              <w:left w:val="nil"/>
              <w:bottom w:val="nil"/>
              <w:right w:val="nil"/>
            </w:tcBorders>
            <w:shd w:val="clear" w:color="auto" w:fill="auto"/>
            <w:noWrap/>
            <w:vAlign w:val="bottom"/>
            <w:hideMark/>
          </w:tcPr>
          <w:p w14:paraId="62552682" w14:textId="3A932BF9" w:rsidR="009B3D1E" w:rsidRPr="000C156A" w:rsidRDefault="009B3D1E" w:rsidP="00437ED0">
            <w:pPr>
              <w:pStyle w:val="Tabletext"/>
              <w:jc w:val="right"/>
              <w:rPr>
                <w:rFonts w:asciiTheme="minorHAnsi" w:hAnsiTheme="minorHAnsi" w:cs="Arial"/>
                <w:color w:val="000000"/>
                <w:lang w:val="en-US" w:eastAsia="zh-CN"/>
              </w:rPr>
            </w:pPr>
            <w:r w:rsidRPr="000C156A">
              <w:rPr>
                <w:rFonts w:asciiTheme="minorHAnsi" w:hAnsiTheme="minorHAnsi" w:cs="Arial"/>
                <w:color w:val="000000"/>
                <w:lang w:val="en-US" w:eastAsia="zh-CN"/>
              </w:rPr>
              <w:t>408</w:t>
            </w:r>
            <w:r w:rsidR="00874368" w:rsidRPr="000C156A">
              <w:rPr>
                <w:rFonts w:asciiTheme="minorHAnsi" w:hAnsiTheme="minorHAnsi" w:cs="Arial"/>
                <w:color w:val="000000"/>
                <w:lang w:val="en-US" w:eastAsia="zh-CN"/>
              </w:rPr>
              <w:t xml:space="preserve"> </w:t>
            </w:r>
            <w:r w:rsidRPr="000C156A">
              <w:rPr>
                <w:rFonts w:asciiTheme="minorHAnsi" w:hAnsiTheme="minorHAnsi" w:cs="Arial"/>
                <w:color w:val="000000"/>
                <w:lang w:val="en-US" w:eastAsia="zh-CN"/>
              </w:rPr>
              <w:t>974</w:t>
            </w:r>
          </w:p>
        </w:tc>
        <w:tc>
          <w:tcPr>
            <w:tcW w:w="2268" w:type="dxa"/>
            <w:tcBorders>
              <w:top w:val="nil"/>
              <w:left w:val="nil"/>
              <w:bottom w:val="nil"/>
              <w:right w:val="single" w:sz="8" w:space="0" w:color="auto"/>
            </w:tcBorders>
            <w:shd w:val="clear" w:color="auto" w:fill="auto"/>
            <w:noWrap/>
            <w:vAlign w:val="bottom"/>
            <w:hideMark/>
          </w:tcPr>
          <w:p w14:paraId="77B323F6" w14:textId="420EF83E" w:rsidR="009B3D1E" w:rsidRPr="000C156A" w:rsidRDefault="009B3D1E" w:rsidP="00437ED0">
            <w:pPr>
              <w:pStyle w:val="Tabletext"/>
              <w:jc w:val="right"/>
              <w:rPr>
                <w:rFonts w:asciiTheme="minorHAnsi" w:hAnsiTheme="minorHAnsi" w:cs="Arial"/>
                <w:color w:val="000000"/>
                <w:lang w:val="en-US" w:eastAsia="zh-CN"/>
              </w:rPr>
            </w:pPr>
            <w:r w:rsidRPr="000C156A">
              <w:rPr>
                <w:rFonts w:asciiTheme="minorHAnsi" w:hAnsiTheme="minorHAnsi" w:cs="Arial"/>
                <w:color w:val="000000"/>
                <w:lang w:val="en-US" w:eastAsia="zh-CN"/>
              </w:rPr>
              <w:t>457</w:t>
            </w:r>
            <w:r w:rsidR="00874368" w:rsidRPr="000C156A">
              <w:rPr>
                <w:rFonts w:asciiTheme="minorHAnsi" w:hAnsiTheme="minorHAnsi" w:cs="Arial"/>
                <w:color w:val="000000"/>
                <w:lang w:val="en-US" w:eastAsia="zh-CN"/>
              </w:rPr>
              <w:t xml:space="preserve"> </w:t>
            </w:r>
            <w:r w:rsidRPr="000C156A">
              <w:rPr>
                <w:rFonts w:asciiTheme="minorHAnsi" w:hAnsiTheme="minorHAnsi" w:cs="Arial"/>
                <w:color w:val="000000"/>
                <w:lang w:val="en-US" w:eastAsia="zh-CN"/>
              </w:rPr>
              <w:t>501</w:t>
            </w:r>
          </w:p>
        </w:tc>
      </w:tr>
      <w:tr w:rsidR="009B3D1E" w:rsidRPr="000C156A" w14:paraId="7EE1D55D" w14:textId="77777777" w:rsidTr="009B3D1E">
        <w:trPr>
          <w:trHeight w:val="255"/>
          <w:jc w:val="center"/>
        </w:trPr>
        <w:tc>
          <w:tcPr>
            <w:tcW w:w="2117" w:type="dxa"/>
            <w:tcBorders>
              <w:top w:val="nil"/>
              <w:left w:val="single" w:sz="8" w:space="0" w:color="auto"/>
              <w:bottom w:val="nil"/>
              <w:right w:val="nil"/>
            </w:tcBorders>
            <w:vAlign w:val="bottom"/>
          </w:tcPr>
          <w:p w14:paraId="3C5A990F" w14:textId="77777777" w:rsidR="009B3D1E" w:rsidRPr="000C156A" w:rsidRDefault="009B3D1E" w:rsidP="00437ED0">
            <w:pPr>
              <w:pStyle w:val="Tabletext"/>
              <w:jc w:val="center"/>
            </w:pPr>
            <w:r w:rsidRPr="000C156A">
              <w:rPr>
                <w:rFonts w:hint="eastAsia"/>
              </w:rPr>
              <w:t>负债</w:t>
            </w:r>
          </w:p>
        </w:tc>
        <w:tc>
          <w:tcPr>
            <w:tcW w:w="1842" w:type="dxa"/>
            <w:tcBorders>
              <w:top w:val="nil"/>
              <w:left w:val="nil"/>
              <w:bottom w:val="nil"/>
              <w:right w:val="nil"/>
            </w:tcBorders>
            <w:shd w:val="clear" w:color="auto" w:fill="auto"/>
            <w:noWrap/>
            <w:vAlign w:val="bottom"/>
            <w:hideMark/>
          </w:tcPr>
          <w:p w14:paraId="1B66B2CA" w14:textId="0A8DB369" w:rsidR="009B3D1E" w:rsidRPr="000C156A" w:rsidRDefault="009B3D1E" w:rsidP="00437ED0">
            <w:pPr>
              <w:pStyle w:val="Tabletext"/>
              <w:jc w:val="right"/>
              <w:rPr>
                <w:rFonts w:asciiTheme="minorHAnsi" w:hAnsiTheme="minorHAnsi" w:cs="Arial"/>
                <w:color w:val="000000"/>
                <w:lang w:val="en-US" w:eastAsia="zh-CN"/>
              </w:rPr>
            </w:pPr>
            <w:r w:rsidRPr="000C156A">
              <w:rPr>
                <w:rFonts w:asciiTheme="minorHAnsi" w:hAnsiTheme="minorHAnsi" w:cs="Arial"/>
                <w:color w:val="000000"/>
                <w:lang w:val="en-US" w:eastAsia="zh-CN"/>
              </w:rPr>
              <w:t>909</w:t>
            </w:r>
            <w:r w:rsidR="00874368" w:rsidRPr="000C156A">
              <w:rPr>
                <w:rFonts w:asciiTheme="minorHAnsi" w:hAnsiTheme="minorHAnsi" w:cs="Arial"/>
                <w:color w:val="000000"/>
                <w:lang w:val="en-US" w:eastAsia="zh-CN"/>
              </w:rPr>
              <w:t xml:space="preserve"> </w:t>
            </w:r>
            <w:r w:rsidRPr="000C156A">
              <w:rPr>
                <w:rFonts w:asciiTheme="minorHAnsi" w:hAnsiTheme="minorHAnsi" w:cs="Arial"/>
                <w:color w:val="000000"/>
                <w:lang w:val="en-US" w:eastAsia="zh-CN"/>
              </w:rPr>
              <w:t>543</w:t>
            </w:r>
          </w:p>
        </w:tc>
        <w:tc>
          <w:tcPr>
            <w:tcW w:w="2268" w:type="dxa"/>
            <w:tcBorders>
              <w:top w:val="nil"/>
              <w:left w:val="nil"/>
              <w:bottom w:val="nil"/>
              <w:right w:val="single" w:sz="8" w:space="0" w:color="auto"/>
            </w:tcBorders>
            <w:shd w:val="clear" w:color="auto" w:fill="auto"/>
            <w:noWrap/>
            <w:vAlign w:val="bottom"/>
            <w:hideMark/>
          </w:tcPr>
          <w:p w14:paraId="4DE5AB1A" w14:textId="7B199B27" w:rsidR="009B3D1E" w:rsidRPr="000C156A" w:rsidRDefault="009B3D1E" w:rsidP="00437ED0">
            <w:pPr>
              <w:pStyle w:val="Tabletext"/>
              <w:jc w:val="right"/>
              <w:rPr>
                <w:rFonts w:asciiTheme="minorHAnsi" w:hAnsiTheme="minorHAnsi" w:cs="Arial"/>
                <w:color w:val="000000"/>
                <w:lang w:val="en-US" w:eastAsia="zh-CN"/>
              </w:rPr>
            </w:pPr>
            <w:r w:rsidRPr="000C156A">
              <w:rPr>
                <w:rFonts w:asciiTheme="minorHAnsi" w:hAnsiTheme="minorHAnsi" w:cs="Arial"/>
                <w:color w:val="000000"/>
                <w:lang w:val="en-US" w:eastAsia="zh-CN"/>
              </w:rPr>
              <w:t>910</w:t>
            </w:r>
            <w:r w:rsidR="00874368" w:rsidRPr="000C156A">
              <w:rPr>
                <w:rFonts w:asciiTheme="minorHAnsi" w:hAnsiTheme="minorHAnsi" w:cs="Arial"/>
                <w:color w:val="000000"/>
                <w:lang w:val="en-US" w:eastAsia="zh-CN"/>
              </w:rPr>
              <w:t xml:space="preserve"> </w:t>
            </w:r>
            <w:r w:rsidRPr="000C156A">
              <w:rPr>
                <w:rFonts w:asciiTheme="minorHAnsi" w:hAnsiTheme="minorHAnsi" w:cs="Arial"/>
                <w:color w:val="000000"/>
                <w:lang w:val="en-US" w:eastAsia="zh-CN"/>
              </w:rPr>
              <w:t>147</w:t>
            </w:r>
          </w:p>
        </w:tc>
      </w:tr>
      <w:tr w:rsidR="009B3D1E" w:rsidRPr="000C156A" w14:paraId="2E1590ED" w14:textId="77777777" w:rsidTr="009B3D1E">
        <w:trPr>
          <w:trHeight w:val="270"/>
          <w:jc w:val="center"/>
        </w:trPr>
        <w:tc>
          <w:tcPr>
            <w:tcW w:w="2117" w:type="dxa"/>
            <w:tcBorders>
              <w:top w:val="single" w:sz="8" w:space="0" w:color="auto"/>
              <w:left w:val="single" w:sz="8" w:space="0" w:color="auto"/>
              <w:bottom w:val="single" w:sz="8" w:space="0" w:color="auto"/>
              <w:right w:val="nil"/>
            </w:tcBorders>
            <w:vAlign w:val="bottom"/>
          </w:tcPr>
          <w:p w14:paraId="38C35795" w14:textId="77777777" w:rsidR="009B3D1E" w:rsidRPr="000C156A" w:rsidRDefault="009B3D1E" w:rsidP="00437ED0">
            <w:pPr>
              <w:pStyle w:val="Tabletext"/>
              <w:jc w:val="center"/>
              <w:rPr>
                <w:b/>
                <w:bCs/>
              </w:rPr>
            </w:pPr>
            <w:r w:rsidRPr="000C156A">
              <w:rPr>
                <w:rFonts w:hint="eastAsia"/>
                <w:b/>
                <w:bCs/>
              </w:rPr>
              <w:t>净资产</w:t>
            </w:r>
          </w:p>
        </w:tc>
        <w:tc>
          <w:tcPr>
            <w:tcW w:w="1842" w:type="dxa"/>
            <w:tcBorders>
              <w:top w:val="single" w:sz="8" w:space="0" w:color="auto"/>
              <w:left w:val="nil"/>
              <w:bottom w:val="single" w:sz="8" w:space="0" w:color="auto"/>
              <w:right w:val="nil"/>
            </w:tcBorders>
            <w:shd w:val="clear" w:color="auto" w:fill="auto"/>
            <w:noWrap/>
            <w:vAlign w:val="center"/>
            <w:hideMark/>
          </w:tcPr>
          <w:p w14:paraId="5FF432C4" w14:textId="634B908A" w:rsidR="009B3D1E" w:rsidRPr="000C156A" w:rsidRDefault="009B3D1E" w:rsidP="00437ED0">
            <w:pPr>
              <w:pStyle w:val="Tabletext"/>
              <w:jc w:val="right"/>
              <w:rPr>
                <w:rFonts w:asciiTheme="minorHAnsi" w:hAnsiTheme="minorHAnsi" w:cs="Arial"/>
                <w:b/>
                <w:bCs/>
                <w:color w:val="000000"/>
                <w:lang w:val="en-US" w:eastAsia="zh-CN"/>
              </w:rPr>
            </w:pPr>
            <w:r w:rsidRPr="000C156A">
              <w:rPr>
                <w:rFonts w:asciiTheme="minorHAnsi" w:hAnsiTheme="minorHAnsi" w:cs="Arial"/>
                <w:b/>
                <w:bCs/>
                <w:color w:val="000000"/>
                <w:lang w:val="en-US" w:eastAsia="zh-CN"/>
              </w:rPr>
              <w:t>-500</w:t>
            </w:r>
            <w:r w:rsidR="00874368" w:rsidRPr="000C156A">
              <w:rPr>
                <w:rFonts w:asciiTheme="minorHAnsi" w:hAnsiTheme="minorHAnsi" w:cs="Arial"/>
                <w:b/>
                <w:bCs/>
                <w:color w:val="000000"/>
                <w:lang w:val="en-US" w:eastAsia="zh-CN"/>
              </w:rPr>
              <w:t xml:space="preserve"> </w:t>
            </w:r>
            <w:r w:rsidRPr="000C156A">
              <w:rPr>
                <w:rFonts w:asciiTheme="minorHAnsi" w:hAnsiTheme="minorHAnsi" w:cs="Arial"/>
                <w:b/>
                <w:bCs/>
                <w:color w:val="000000"/>
                <w:lang w:val="en-US" w:eastAsia="zh-CN"/>
              </w:rPr>
              <w:t>570</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364C7447" w14:textId="3401C1F9" w:rsidR="009B3D1E" w:rsidRPr="000C156A" w:rsidRDefault="009B3D1E" w:rsidP="00437ED0">
            <w:pPr>
              <w:pStyle w:val="Tabletext"/>
              <w:jc w:val="right"/>
              <w:rPr>
                <w:rFonts w:asciiTheme="minorHAnsi" w:hAnsiTheme="minorHAnsi" w:cs="Arial"/>
                <w:b/>
                <w:bCs/>
                <w:color w:val="000000"/>
                <w:lang w:val="en-US" w:eastAsia="zh-CN"/>
              </w:rPr>
            </w:pPr>
            <w:r w:rsidRPr="000C156A">
              <w:rPr>
                <w:rFonts w:asciiTheme="minorHAnsi" w:hAnsiTheme="minorHAnsi" w:cs="Arial"/>
                <w:b/>
                <w:bCs/>
                <w:color w:val="000000"/>
                <w:lang w:val="en-US" w:eastAsia="zh-CN"/>
              </w:rPr>
              <w:t>-452</w:t>
            </w:r>
            <w:r w:rsidR="00874368" w:rsidRPr="000C156A">
              <w:rPr>
                <w:rFonts w:asciiTheme="minorHAnsi" w:hAnsiTheme="minorHAnsi" w:cs="Arial"/>
                <w:b/>
                <w:bCs/>
                <w:color w:val="000000"/>
                <w:lang w:val="en-US" w:eastAsia="zh-CN"/>
              </w:rPr>
              <w:t xml:space="preserve"> </w:t>
            </w:r>
            <w:r w:rsidRPr="000C156A">
              <w:rPr>
                <w:rFonts w:asciiTheme="minorHAnsi" w:hAnsiTheme="minorHAnsi" w:cs="Arial"/>
                <w:b/>
                <w:bCs/>
                <w:color w:val="000000"/>
                <w:lang w:val="en-US" w:eastAsia="zh-CN"/>
              </w:rPr>
              <w:t>646</w:t>
            </w:r>
          </w:p>
        </w:tc>
      </w:tr>
    </w:tbl>
    <w:p w14:paraId="4E134C7C" w14:textId="3C11A66C" w:rsidR="000F144A" w:rsidRPr="000C156A" w:rsidRDefault="006423EB" w:rsidP="002F14A4">
      <w:pPr>
        <w:spacing w:before="360"/>
        <w:rPr>
          <w:lang w:eastAsia="zh-CN"/>
        </w:rPr>
      </w:pPr>
      <w:r w:rsidRPr="000C156A">
        <w:rPr>
          <w:rFonts w:asciiTheme="minorHAnsi" w:eastAsia="Times New Roman" w:hAnsiTheme="minorHAnsi" w:cs="Calibri"/>
          <w:szCs w:val="24"/>
          <w:lang w:val="en-US" w:eastAsia="zh-CN"/>
        </w:rPr>
        <w:t>18</w:t>
      </w:r>
      <w:r w:rsidRPr="000C156A">
        <w:rPr>
          <w:rFonts w:asciiTheme="minorHAnsi" w:eastAsia="Times New Roman" w:hAnsiTheme="minorHAnsi" w:cs="Calibri"/>
          <w:szCs w:val="24"/>
          <w:lang w:val="en-US" w:eastAsia="zh-CN"/>
        </w:rPr>
        <w:tab/>
      </w:r>
      <w:r w:rsidR="004F6AAB" w:rsidRPr="000C156A">
        <w:rPr>
          <w:rFonts w:hint="eastAsia"/>
          <w:lang w:eastAsia="zh-CN"/>
        </w:rPr>
        <w:t>上表显示的财务结果包括折旧和离职后健康保险基金（</w:t>
      </w:r>
      <w:r w:rsidR="004F6AAB" w:rsidRPr="000C156A">
        <w:rPr>
          <w:lang w:eastAsia="zh-CN"/>
        </w:rPr>
        <w:t>ASHI</w:t>
      </w:r>
      <w:r w:rsidR="004F6AAB" w:rsidRPr="000C156A">
        <w:rPr>
          <w:lang w:eastAsia="zh-CN"/>
        </w:rPr>
        <w:t>）</w:t>
      </w:r>
      <w:r w:rsidR="004F6AAB" w:rsidRPr="000C156A">
        <w:rPr>
          <w:rFonts w:hint="eastAsia"/>
          <w:lang w:eastAsia="zh-CN"/>
        </w:rPr>
        <w:t>准备金调整等未列入预算的项目。根据</w:t>
      </w:r>
      <w:r w:rsidR="004F6AAB" w:rsidRPr="000C156A">
        <w:rPr>
          <w:lang w:eastAsia="zh-CN"/>
        </w:rPr>
        <w:t>IPSAS 24</w:t>
      </w:r>
      <w:r w:rsidR="004F6AAB" w:rsidRPr="000C156A">
        <w:rPr>
          <w:rFonts w:hint="eastAsia"/>
          <w:lang w:eastAsia="zh-CN"/>
        </w:rPr>
        <w:t>的要求，财务报表的表五提供了可比基础上的预算和实际数额的比较。</w:t>
      </w:r>
    </w:p>
    <w:p w14:paraId="06ED954A" w14:textId="6BD43098" w:rsidR="00E00837" w:rsidRPr="000C156A" w:rsidRDefault="006423EB" w:rsidP="00437ED0">
      <w:pPr>
        <w:rPr>
          <w:lang w:eastAsia="zh-CN"/>
        </w:rPr>
      </w:pPr>
      <w:r w:rsidRPr="000C156A">
        <w:rPr>
          <w:rFonts w:asciiTheme="minorHAnsi" w:hAnsiTheme="minorHAnsi"/>
          <w:szCs w:val="24"/>
          <w:lang w:val="en-US" w:eastAsia="zh-CN"/>
        </w:rPr>
        <w:t>19</w:t>
      </w:r>
      <w:r w:rsidRPr="000C156A">
        <w:rPr>
          <w:rFonts w:asciiTheme="minorHAnsi" w:hAnsiTheme="minorHAnsi"/>
          <w:szCs w:val="24"/>
          <w:lang w:val="en-US" w:eastAsia="zh-CN"/>
        </w:rPr>
        <w:tab/>
      </w:r>
      <w:r w:rsidR="0096209A" w:rsidRPr="000C156A">
        <w:rPr>
          <w:rFonts w:hint="eastAsia"/>
          <w:lang w:eastAsia="zh-CN"/>
        </w:rPr>
        <w:t>预算</w:t>
      </w:r>
      <w:r w:rsidR="009831CB" w:rsidRPr="000C156A">
        <w:rPr>
          <w:rFonts w:hint="eastAsia"/>
          <w:lang w:eastAsia="zh-CN"/>
        </w:rPr>
        <w:t>方面</w:t>
      </w:r>
      <w:r w:rsidR="0096209A" w:rsidRPr="000C156A">
        <w:rPr>
          <w:rFonts w:hint="eastAsia"/>
          <w:lang w:eastAsia="zh-CN"/>
        </w:rPr>
        <w:t>，</w:t>
      </w:r>
      <w:r w:rsidR="009831CB" w:rsidRPr="000C156A">
        <w:rPr>
          <w:rFonts w:hint="eastAsia"/>
          <w:lang w:eastAsia="zh-CN"/>
        </w:rPr>
        <w:t>国际电联</w:t>
      </w:r>
      <w:r w:rsidR="0096209A" w:rsidRPr="000C156A">
        <w:rPr>
          <w:rFonts w:hint="eastAsia"/>
          <w:lang w:eastAsia="zh-CN"/>
        </w:rPr>
        <w:t>2020</w:t>
      </w:r>
      <w:r w:rsidR="0096209A" w:rsidRPr="000C156A">
        <w:rPr>
          <w:rFonts w:hint="eastAsia"/>
          <w:lang w:eastAsia="zh-CN"/>
        </w:rPr>
        <w:t>年的赤字为</w:t>
      </w:r>
      <w:r w:rsidR="0096209A" w:rsidRPr="000C156A">
        <w:rPr>
          <w:rFonts w:hint="eastAsia"/>
          <w:lang w:eastAsia="zh-CN"/>
        </w:rPr>
        <w:t>148</w:t>
      </w:r>
      <w:r w:rsidR="0096209A" w:rsidRPr="000C156A">
        <w:rPr>
          <w:rFonts w:hint="eastAsia"/>
          <w:lang w:eastAsia="zh-CN"/>
        </w:rPr>
        <w:t>万郎。然而，在关于</w:t>
      </w:r>
      <w:r w:rsidR="009831CB" w:rsidRPr="000C156A">
        <w:rPr>
          <w:rFonts w:hint="eastAsia"/>
          <w:lang w:eastAsia="zh-CN"/>
        </w:rPr>
        <w:t>国际电联</w:t>
      </w:r>
      <w:r w:rsidR="0096209A" w:rsidRPr="000C156A">
        <w:rPr>
          <w:rFonts w:hint="eastAsia"/>
          <w:lang w:eastAsia="zh-CN"/>
        </w:rPr>
        <w:t>2020-2021</w:t>
      </w:r>
      <w:r w:rsidR="0096209A" w:rsidRPr="000C156A">
        <w:rPr>
          <w:rFonts w:hint="eastAsia"/>
          <w:lang w:eastAsia="zh-CN"/>
        </w:rPr>
        <w:t>年预算的第</w:t>
      </w:r>
      <w:r w:rsidR="0096209A" w:rsidRPr="000C156A">
        <w:rPr>
          <w:rFonts w:hint="eastAsia"/>
          <w:lang w:eastAsia="zh-CN"/>
        </w:rPr>
        <w:t>1396</w:t>
      </w:r>
      <w:r w:rsidR="0096209A" w:rsidRPr="000C156A">
        <w:rPr>
          <w:rFonts w:hint="eastAsia"/>
          <w:lang w:eastAsia="zh-CN"/>
        </w:rPr>
        <w:t>号决议中，计划为平衡</w:t>
      </w:r>
      <w:r w:rsidR="0096209A" w:rsidRPr="000C156A">
        <w:rPr>
          <w:rFonts w:hint="eastAsia"/>
          <w:lang w:eastAsia="zh-CN"/>
        </w:rPr>
        <w:t>2020</w:t>
      </w:r>
      <w:r w:rsidR="0096209A" w:rsidRPr="000C156A">
        <w:rPr>
          <w:rFonts w:hint="eastAsia"/>
          <w:lang w:eastAsia="zh-CN"/>
        </w:rPr>
        <w:t>年预算拨款</w:t>
      </w:r>
      <w:r w:rsidR="0096209A" w:rsidRPr="000C156A">
        <w:rPr>
          <w:rFonts w:hint="eastAsia"/>
          <w:lang w:eastAsia="zh-CN"/>
        </w:rPr>
        <w:t>365</w:t>
      </w:r>
      <w:r w:rsidR="0096209A" w:rsidRPr="000C156A">
        <w:rPr>
          <w:rFonts w:hint="eastAsia"/>
          <w:lang w:eastAsia="zh-CN"/>
        </w:rPr>
        <w:t>万瑞郎</w:t>
      </w:r>
      <w:r w:rsidR="009831CB" w:rsidRPr="000C156A">
        <w:rPr>
          <w:rFonts w:hint="eastAsia"/>
          <w:lang w:eastAsia="zh-CN"/>
        </w:rPr>
        <w:t>。</w:t>
      </w:r>
    </w:p>
    <w:p w14:paraId="52CD8E3D" w14:textId="3DF8FDBD" w:rsidR="00963AC1" w:rsidRPr="000C156A" w:rsidRDefault="006423EB" w:rsidP="00437ED0">
      <w:pPr>
        <w:rPr>
          <w:lang w:eastAsia="zh-CN"/>
        </w:rPr>
      </w:pPr>
      <w:r w:rsidRPr="000C156A">
        <w:rPr>
          <w:rFonts w:asciiTheme="minorHAnsi" w:hAnsiTheme="minorHAnsi"/>
          <w:szCs w:val="24"/>
          <w:lang w:val="en-US" w:eastAsia="zh-CN"/>
        </w:rPr>
        <w:t>20</w:t>
      </w:r>
      <w:r w:rsidRPr="000C156A">
        <w:rPr>
          <w:rFonts w:asciiTheme="minorHAnsi" w:hAnsiTheme="minorHAnsi"/>
          <w:szCs w:val="24"/>
          <w:lang w:val="en-US" w:eastAsia="zh-CN"/>
        </w:rPr>
        <w:tab/>
      </w:r>
      <w:r w:rsidR="008223AF" w:rsidRPr="000C156A">
        <w:rPr>
          <w:rFonts w:hint="eastAsia"/>
          <w:lang w:eastAsia="zh-CN"/>
        </w:rPr>
        <w:t>因此，预算赤字从第</w:t>
      </w:r>
      <w:r w:rsidR="008223AF" w:rsidRPr="000C156A">
        <w:rPr>
          <w:rFonts w:hint="eastAsia"/>
          <w:lang w:eastAsia="zh-CN"/>
        </w:rPr>
        <w:t>1396</w:t>
      </w:r>
      <w:r w:rsidR="008223AF" w:rsidRPr="000C156A">
        <w:rPr>
          <w:rFonts w:hint="eastAsia"/>
          <w:lang w:eastAsia="zh-CN"/>
        </w:rPr>
        <w:t>号决议核准的前一年节余中</w:t>
      </w:r>
      <w:r w:rsidR="00C15ED9" w:rsidRPr="000C156A">
        <w:rPr>
          <w:rFonts w:hint="eastAsia"/>
          <w:lang w:eastAsia="zh-CN"/>
        </w:rPr>
        <w:t>提款弥补。</w:t>
      </w:r>
    </w:p>
    <w:p w14:paraId="03EEEC30" w14:textId="47D13604" w:rsidR="00963AC1" w:rsidRPr="000C156A" w:rsidRDefault="006423EB" w:rsidP="00437ED0">
      <w:pPr>
        <w:rPr>
          <w:lang w:eastAsia="zh-CN"/>
        </w:rPr>
      </w:pPr>
      <w:bookmarkStart w:id="50" w:name="_Hlk70501160"/>
      <w:r w:rsidRPr="000C156A">
        <w:rPr>
          <w:rFonts w:asciiTheme="minorHAnsi" w:hAnsiTheme="minorHAnsi"/>
          <w:szCs w:val="24"/>
          <w:lang w:val="en-US" w:eastAsia="zh-CN"/>
        </w:rPr>
        <w:t>21</w:t>
      </w:r>
      <w:r w:rsidRPr="000C156A">
        <w:rPr>
          <w:rFonts w:asciiTheme="minorHAnsi" w:hAnsiTheme="minorHAnsi"/>
          <w:szCs w:val="24"/>
          <w:lang w:val="en-US" w:eastAsia="zh-CN"/>
        </w:rPr>
        <w:tab/>
      </w:r>
      <w:r w:rsidR="008223AF" w:rsidRPr="000C156A">
        <w:rPr>
          <w:rFonts w:hint="eastAsia"/>
          <w:lang w:eastAsia="zh-CN"/>
        </w:rPr>
        <w:t>2020</w:t>
      </w:r>
      <w:r w:rsidR="008223AF" w:rsidRPr="000C156A">
        <w:rPr>
          <w:rFonts w:hint="eastAsia"/>
          <w:lang w:eastAsia="zh-CN"/>
        </w:rPr>
        <w:t>年，</w:t>
      </w:r>
      <w:r w:rsidR="00C15ED9" w:rsidRPr="000C156A">
        <w:rPr>
          <w:lang w:eastAsia="zh-CN"/>
        </w:rPr>
        <w:t>继</w:t>
      </w:r>
      <w:r w:rsidR="00C15ED9" w:rsidRPr="000C156A">
        <w:rPr>
          <w:rFonts w:hint="eastAsia"/>
          <w:lang w:eastAsia="zh-CN"/>
        </w:rPr>
        <w:t>上一次</w:t>
      </w:r>
      <w:r w:rsidR="00C15ED9" w:rsidRPr="000C156A">
        <w:rPr>
          <w:lang w:eastAsia="zh-CN"/>
        </w:rPr>
        <w:t>盈余</w:t>
      </w:r>
      <w:r w:rsidR="00C15ED9" w:rsidRPr="000C156A">
        <w:rPr>
          <w:rFonts w:hint="eastAsia"/>
          <w:lang w:eastAsia="zh-CN"/>
        </w:rPr>
        <w:t>拨款</w:t>
      </w:r>
      <w:r w:rsidR="00C15ED9" w:rsidRPr="000C156A">
        <w:rPr>
          <w:lang w:eastAsia="zh-CN"/>
        </w:rPr>
        <w:t>之后</w:t>
      </w:r>
      <w:r w:rsidR="008223AF" w:rsidRPr="000C156A">
        <w:rPr>
          <w:rFonts w:hint="eastAsia"/>
          <w:lang w:eastAsia="zh-CN"/>
        </w:rPr>
        <w:t>，又进行了后续</w:t>
      </w:r>
      <w:r w:rsidR="00C15ED9" w:rsidRPr="000C156A">
        <w:rPr>
          <w:rFonts w:hint="eastAsia"/>
          <w:lang w:eastAsia="zh-CN"/>
        </w:rPr>
        <w:t>拨款</w:t>
      </w:r>
      <w:r w:rsidR="008223AF" w:rsidRPr="000C156A">
        <w:rPr>
          <w:rFonts w:hint="eastAsia"/>
          <w:lang w:eastAsia="zh-CN"/>
        </w:rPr>
        <w:t>。从未</w:t>
      </w:r>
      <w:r w:rsidR="00C15ED9" w:rsidRPr="000C156A">
        <w:rPr>
          <w:rFonts w:hint="eastAsia"/>
          <w:lang w:eastAsia="zh-CN"/>
        </w:rPr>
        <w:t>完全</w:t>
      </w:r>
      <w:r w:rsidR="008223AF" w:rsidRPr="000C156A">
        <w:rPr>
          <w:rFonts w:hint="eastAsia"/>
          <w:lang w:eastAsia="zh-CN"/>
        </w:rPr>
        <w:t>使用的节余中，</w:t>
      </w:r>
      <w:r w:rsidR="008223AF" w:rsidRPr="000C156A">
        <w:rPr>
          <w:rFonts w:hint="eastAsia"/>
          <w:lang w:eastAsia="zh-CN"/>
        </w:rPr>
        <w:t>68</w:t>
      </w:r>
      <w:r w:rsidR="008223AF" w:rsidRPr="000C156A">
        <w:rPr>
          <w:rFonts w:hint="eastAsia"/>
          <w:lang w:eastAsia="zh-CN"/>
        </w:rPr>
        <w:t>万瑞郎</w:t>
      </w:r>
      <w:r w:rsidR="00C15ED9" w:rsidRPr="000C156A">
        <w:rPr>
          <w:rFonts w:hint="eastAsia"/>
          <w:lang w:eastAsia="zh-CN"/>
        </w:rPr>
        <w:t>预留用于第</w:t>
      </w:r>
      <w:r w:rsidR="00C15ED9" w:rsidRPr="000C156A">
        <w:rPr>
          <w:rFonts w:hint="eastAsia"/>
          <w:lang w:eastAsia="zh-CN"/>
        </w:rPr>
        <w:t>619</w:t>
      </w:r>
      <w:r w:rsidR="00C15ED9" w:rsidRPr="000C156A">
        <w:rPr>
          <w:rFonts w:hint="eastAsia"/>
          <w:lang w:eastAsia="zh-CN"/>
        </w:rPr>
        <w:t>号决定规定的</w:t>
      </w:r>
      <w:r w:rsidR="008223AF" w:rsidRPr="000C156A">
        <w:rPr>
          <w:rFonts w:hint="eastAsia"/>
          <w:lang w:eastAsia="zh-CN"/>
        </w:rPr>
        <w:t>总部</w:t>
      </w:r>
      <w:r w:rsidR="00C15ED9" w:rsidRPr="000C156A">
        <w:rPr>
          <w:rFonts w:hint="eastAsia"/>
          <w:lang w:eastAsia="zh-CN"/>
        </w:rPr>
        <w:t>办公场所项目</w:t>
      </w:r>
      <w:r w:rsidR="008223AF" w:rsidRPr="000C156A">
        <w:rPr>
          <w:rFonts w:hint="eastAsia"/>
          <w:lang w:eastAsia="zh-CN"/>
        </w:rPr>
        <w:t>和</w:t>
      </w:r>
      <w:r w:rsidR="008223AF" w:rsidRPr="000C156A">
        <w:rPr>
          <w:rFonts w:hint="eastAsia"/>
          <w:lang w:eastAsia="zh-CN"/>
        </w:rPr>
        <w:t>2021</w:t>
      </w:r>
      <w:r w:rsidR="008223AF" w:rsidRPr="000C156A">
        <w:rPr>
          <w:rFonts w:hint="eastAsia"/>
          <w:lang w:eastAsia="zh-CN"/>
        </w:rPr>
        <w:t>年</w:t>
      </w:r>
      <w:r w:rsidR="00C15ED9" w:rsidRPr="000C156A">
        <w:rPr>
          <w:rFonts w:hint="eastAsia"/>
          <w:lang w:eastAsia="zh-CN"/>
        </w:rPr>
        <w:t>的</w:t>
      </w:r>
      <w:r w:rsidR="008223AF" w:rsidRPr="000C156A">
        <w:rPr>
          <w:rFonts w:hint="eastAsia"/>
          <w:lang w:eastAsia="zh-CN"/>
        </w:rPr>
        <w:t>需求。</w:t>
      </w:r>
      <w:r w:rsidR="008223AF" w:rsidRPr="000C156A">
        <w:rPr>
          <w:rFonts w:hint="eastAsia"/>
          <w:lang w:eastAsia="zh-CN"/>
        </w:rPr>
        <w:t>200</w:t>
      </w:r>
      <w:r w:rsidR="008223AF" w:rsidRPr="000C156A">
        <w:rPr>
          <w:rFonts w:hint="eastAsia"/>
          <w:lang w:eastAsia="zh-CN"/>
        </w:rPr>
        <w:t>万瑞郎已存入新</w:t>
      </w:r>
      <w:r w:rsidR="00C15ED9" w:rsidRPr="000C156A">
        <w:rPr>
          <w:rFonts w:hint="eastAsia"/>
          <w:lang w:eastAsia="zh-CN"/>
        </w:rPr>
        <w:t>办公</w:t>
      </w:r>
      <w:r w:rsidR="008223AF" w:rsidRPr="000C156A">
        <w:rPr>
          <w:rFonts w:hint="eastAsia"/>
          <w:lang w:eastAsia="zh-CN"/>
        </w:rPr>
        <w:t>楼的风险</w:t>
      </w:r>
      <w:r w:rsidR="00C15ED9" w:rsidRPr="000C156A">
        <w:rPr>
          <w:rFonts w:hint="eastAsia"/>
          <w:lang w:eastAsia="zh-CN"/>
        </w:rPr>
        <w:t>管控</w:t>
      </w:r>
      <w:r w:rsidR="008223AF" w:rsidRPr="000C156A">
        <w:rPr>
          <w:rFonts w:hint="eastAsia"/>
          <w:lang w:eastAsia="zh-CN"/>
        </w:rPr>
        <w:t>基金。</w:t>
      </w:r>
    </w:p>
    <w:p w14:paraId="484EDFA6" w14:textId="404098A3" w:rsidR="008223AF" w:rsidRPr="000C156A" w:rsidRDefault="006423EB" w:rsidP="00437ED0">
      <w:pPr>
        <w:rPr>
          <w:lang w:eastAsia="zh-CN"/>
        </w:rPr>
      </w:pPr>
      <w:bookmarkStart w:id="51" w:name="_Hlk39136047"/>
      <w:bookmarkStart w:id="52" w:name="_Hlk39136102"/>
      <w:bookmarkEnd w:id="50"/>
      <w:r w:rsidRPr="000C156A">
        <w:rPr>
          <w:rFonts w:asciiTheme="minorHAnsi" w:hAnsiTheme="minorHAnsi"/>
          <w:szCs w:val="24"/>
          <w:lang w:val="en-US" w:eastAsia="zh-CN"/>
        </w:rPr>
        <w:t>22</w:t>
      </w:r>
      <w:r w:rsidRPr="000C156A">
        <w:rPr>
          <w:rFonts w:asciiTheme="minorHAnsi" w:hAnsiTheme="minorHAnsi"/>
          <w:szCs w:val="24"/>
          <w:lang w:val="en-US" w:eastAsia="zh-CN"/>
        </w:rPr>
        <w:tab/>
      </w:r>
      <w:r w:rsidR="00AE49ED" w:rsidRPr="000C156A">
        <w:rPr>
          <w:rFonts w:hint="eastAsia"/>
          <w:lang w:eastAsia="zh-CN"/>
        </w:rPr>
        <w:t>还应指出，根据第</w:t>
      </w:r>
      <w:r w:rsidR="00AE49ED" w:rsidRPr="000C156A">
        <w:rPr>
          <w:rFonts w:hint="eastAsia"/>
          <w:lang w:eastAsia="zh-CN"/>
        </w:rPr>
        <w:t>5</w:t>
      </w:r>
      <w:r w:rsidR="00AE49ED" w:rsidRPr="000C156A">
        <w:rPr>
          <w:rFonts w:hint="eastAsia"/>
          <w:lang w:eastAsia="zh-CN"/>
        </w:rPr>
        <w:t>号决定</w:t>
      </w:r>
      <w:r w:rsidR="00F054BD" w:rsidRPr="000C156A">
        <w:rPr>
          <w:rFonts w:hint="eastAsia"/>
          <w:lang w:eastAsia="zh-CN"/>
        </w:rPr>
        <w:t>（</w:t>
      </w:r>
      <w:r w:rsidR="00AE49ED" w:rsidRPr="000C156A">
        <w:rPr>
          <w:rFonts w:hint="eastAsia"/>
          <w:lang w:eastAsia="zh-CN"/>
        </w:rPr>
        <w:t>2018</w:t>
      </w:r>
      <w:r w:rsidR="00AE49ED" w:rsidRPr="000C156A">
        <w:rPr>
          <w:rFonts w:hint="eastAsia"/>
          <w:lang w:eastAsia="zh-CN"/>
        </w:rPr>
        <w:t>年</w:t>
      </w:r>
      <w:r w:rsidR="00F054BD" w:rsidRPr="000C156A">
        <w:rPr>
          <w:rFonts w:hint="eastAsia"/>
          <w:lang w:eastAsia="zh-CN"/>
        </w:rPr>
        <w:t>，</w:t>
      </w:r>
      <w:r w:rsidR="00AE49ED" w:rsidRPr="000C156A">
        <w:rPr>
          <w:rFonts w:hint="eastAsia"/>
          <w:lang w:eastAsia="zh-CN"/>
        </w:rPr>
        <w:t>迪拜</w:t>
      </w:r>
      <w:r w:rsidR="00F054BD" w:rsidRPr="000C156A">
        <w:rPr>
          <w:rFonts w:hint="eastAsia"/>
          <w:lang w:eastAsia="zh-CN"/>
        </w:rPr>
        <w:t>，</w:t>
      </w:r>
      <w:r w:rsidR="00AE49ED" w:rsidRPr="000C156A">
        <w:rPr>
          <w:rFonts w:hint="eastAsia"/>
          <w:lang w:eastAsia="zh-CN"/>
        </w:rPr>
        <w:t>修订版</w:t>
      </w:r>
      <w:r w:rsidR="00F054BD" w:rsidRPr="000C156A">
        <w:rPr>
          <w:rFonts w:hint="eastAsia"/>
          <w:lang w:eastAsia="zh-CN"/>
        </w:rPr>
        <w:t>）</w:t>
      </w:r>
      <w:r w:rsidR="00AE49ED" w:rsidRPr="000C156A">
        <w:rPr>
          <w:rFonts w:hint="eastAsia"/>
          <w:lang w:eastAsia="zh-CN"/>
        </w:rPr>
        <w:t>，从储备</w:t>
      </w:r>
      <w:r w:rsidR="00F054BD" w:rsidRPr="000C156A">
        <w:rPr>
          <w:rFonts w:hint="eastAsia"/>
          <w:lang w:eastAsia="zh-CN"/>
        </w:rPr>
        <w:t>账目</w:t>
      </w:r>
      <w:r w:rsidR="00AE49ED" w:rsidRPr="000C156A">
        <w:rPr>
          <w:rFonts w:hint="eastAsia"/>
          <w:lang w:eastAsia="zh-CN"/>
        </w:rPr>
        <w:t>中提取了</w:t>
      </w:r>
      <w:r w:rsidR="00AE49ED" w:rsidRPr="000C156A">
        <w:rPr>
          <w:rFonts w:hint="eastAsia"/>
          <w:lang w:eastAsia="zh-CN"/>
        </w:rPr>
        <w:t>100</w:t>
      </w:r>
      <w:r w:rsidR="00AE49ED" w:rsidRPr="000C156A">
        <w:rPr>
          <w:rFonts w:hint="eastAsia"/>
          <w:lang w:eastAsia="zh-CN"/>
        </w:rPr>
        <w:t>万瑞郎，</w:t>
      </w:r>
      <w:r w:rsidR="00F054BD" w:rsidRPr="000C156A">
        <w:rPr>
          <w:rFonts w:hint="eastAsia"/>
          <w:lang w:eastAsia="zh-CN"/>
        </w:rPr>
        <w:t>将</w:t>
      </w:r>
      <w:r w:rsidR="00AE49ED" w:rsidRPr="000C156A">
        <w:rPr>
          <w:rFonts w:hint="eastAsia"/>
          <w:lang w:eastAsia="zh-CN"/>
        </w:rPr>
        <w:t>支付</w:t>
      </w:r>
      <w:r w:rsidR="00F054BD" w:rsidRPr="000C156A">
        <w:rPr>
          <w:rFonts w:hint="eastAsia"/>
          <w:lang w:eastAsia="zh-CN"/>
        </w:rPr>
        <w:t>到</w:t>
      </w:r>
      <w:r w:rsidR="00AE49ED" w:rsidRPr="000C156A">
        <w:rPr>
          <w:rFonts w:hint="eastAsia"/>
          <w:lang w:eastAsia="zh-CN"/>
        </w:rPr>
        <w:t>ASHI</w:t>
      </w:r>
      <w:r w:rsidR="00AE49ED" w:rsidRPr="000C156A">
        <w:rPr>
          <w:rFonts w:hint="eastAsia"/>
          <w:lang w:eastAsia="zh-CN"/>
        </w:rPr>
        <w:t>储备</w:t>
      </w:r>
      <w:r w:rsidR="00F054BD" w:rsidRPr="000C156A">
        <w:rPr>
          <w:rFonts w:hint="eastAsia"/>
          <w:lang w:eastAsia="zh-CN"/>
        </w:rPr>
        <w:t>金中</w:t>
      </w:r>
      <w:r w:rsidR="00AE49ED" w:rsidRPr="000C156A">
        <w:rPr>
          <w:rFonts w:hint="eastAsia"/>
          <w:lang w:eastAsia="zh-CN"/>
        </w:rPr>
        <w:t>。</w:t>
      </w:r>
    </w:p>
    <w:p w14:paraId="60132D4F" w14:textId="0EE779C5" w:rsidR="00B03A97" w:rsidRPr="000C156A" w:rsidRDefault="006423EB" w:rsidP="00437ED0">
      <w:pPr>
        <w:rPr>
          <w:lang w:eastAsia="zh-CN"/>
        </w:rPr>
      </w:pPr>
      <w:r w:rsidRPr="000C156A">
        <w:rPr>
          <w:rFonts w:asciiTheme="minorHAnsi" w:hAnsiTheme="minorHAnsi"/>
          <w:szCs w:val="24"/>
          <w:lang w:val="en-US" w:eastAsia="zh-CN"/>
        </w:rPr>
        <w:t>23</w:t>
      </w:r>
      <w:r w:rsidRPr="000C156A">
        <w:rPr>
          <w:rFonts w:asciiTheme="minorHAnsi" w:hAnsiTheme="minorHAnsi"/>
          <w:szCs w:val="24"/>
          <w:lang w:val="en-US" w:eastAsia="zh-CN"/>
        </w:rPr>
        <w:tab/>
      </w:r>
      <w:r w:rsidR="00AE49ED" w:rsidRPr="000C156A">
        <w:rPr>
          <w:rFonts w:hint="eastAsia"/>
          <w:lang w:eastAsia="zh-CN"/>
        </w:rPr>
        <w:t>由于</w:t>
      </w:r>
      <w:r w:rsidR="00D05674" w:rsidRPr="000C156A">
        <w:rPr>
          <w:rFonts w:hint="eastAsia"/>
          <w:lang w:eastAsia="zh-CN"/>
        </w:rPr>
        <w:t>世界电信标准化全会（</w:t>
      </w:r>
      <w:r w:rsidR="00AE49ED" w:rsidRPr="000C156A">
        <w:rPr>
          <w:rFonts w:hint="eastAsia"/>
          <w:lang w:eastAsia="zh-CN"/>
        </w:rPr>
        <w:t>WTSA</w:t>
      </w:r>
      <w:r w:rsidR="00D05674" w:rsidRPr="000C156A">
        <w:rPr>
          <w:rFonts w:hint="eastAsia"/>
          <w:lang w:eastAsia="zh-CN"/>
        </w:rPr>
        <w:t>）本身</w:t>
      </w:r>
      <w:r w:rsidR="00AE49ED" w:rsidRPr="000C156A">
        <w:rPr>
          <w:rFonts w:hint="eastAsia"/>
          <w:lang w:eastAsia="zh-CN"/>
        </w:rPr>
        <w:t>和</w:t>
      </w:r>
      <w:r w:rsidR="00D05674" w:rsidRPr="000C156A">
        <w:rPr>
          <w:rFonts w:hint="eastAsia"/>
          <w:lang w:eastAsia="zh-CN"/>
        </w:rPr>
        <w:t>世界电信发展大会（</w:t>
      </w:r>
      <w:r w:rsidR="00AE49ED" w:rsidRPr="000C156A">
        <w:rPr>
          <w:rFonts w:hint="eastAsia"/>
          <w:lang w:eastAsia="zh-CN"/>
        </w:rPr>
        <w:t>WTDC</w:t>
      </w:r>
      <w:r w:rsidR="00D05674" w:rsidRPr="000C156A">
        <w:rPr>
          <w:rFonts w:hint="eastAsia"/>
          <w:lang w:eastAsia="zh-CN"/>
        </w:rPr>
        <w:t>）的区域性筹备会议（</w:t>
      </w:r>
      <w:r w:rsidR="00F054BD" w:rsidRPr="000C156A">
        <w:rPr>
          <w:rFonts w:hint="eastAsia"/>
          <w:lang w:eastAsia="zh-CN"/>
        </w:rPr>
        <w:t>RPM</w:t>
      </w:r>
      <w:r w:rsidR="00D05674" w:rsidRPr="000C156A">
        <w:rPr>
          <w:rFonts w:hint="eastAsia"/>
          <w:lang w:eastAsia="zh-CN"/>
        </w:rPr>
        <w:t>）被</w:t>
      </w:r>
      <w:r w:rsidR="00AE49ED" w:rsidRPr="000C156A">
        <w:rPr>
          <w:rFonts w:hint="eastAsia"/>
          <w:lang w:eastAsia="zh-CN"/>
        </w:rPr>
        <w:t>推迟，共计</w:t>
      </w:r>
      <w:r w:rsidR="00AE49ED" w:rsidRPr="000C156A">
        <w:rPr>
          <w:rFonts w:hint="eastAsia"/>
          <w:lang w:eastAsia="zh-CN"/>
        </w:rPr>
        <w:t>186</w:t>
      </w:r>
      <w:r w:rsidR="00AE49ED" w:rsidRPr="000C156A">
        <w:rPr>
          <w:rFonts w:hint="eastAsia"/>
          <w:lang w:eastAsia="zh-CN"/>
        </w:rPr>
        <w:t>万瑞郎被确认为推迟的活动，将从储备</w:t>
      </w:r>
      <w:r w:rsidR="00F054BD" w:rsidRPr="000C156A">
        <w:rPr>
          <w:rFonts w:hint="eastAsia"/>
          <w:lang w:eastAsia="zh-CN"/>
        </w:rPr>
        <w:t>金账目</w:t>
      </w:r>
      <w:r w:rsidR="00AE49ED" w:rsidRPr="000C156A">
        <w:rPr>
          <w:rFonts w:hint="eastAsia"/>
          <w:lang w:eastAsia="zh-CN"/>
        </w:rPr>
        <w:t>中提取，用于</w:t>
      </w:r>
      <w:r w:rsidR="00AE49ED" w:rsidRPr="000C156A">
        <w:rPr>
          <w:rFonts w:hint="eastAsia"/>
          <w:lang w:eastAsia="zh-CN"/>
        </w:rPr>
        <w:t>2021</w:t>
      </w:r>
      <w:r w:rsidR="00AE49ED" w:rsidRPr="000C156A">
        <w:rPr>
          <w:rFonts w:hint="eastAsia"/>
          <w:lang w:eastAsia="zh-CN"/>
        </w:rPr>
        <w:t>年和</w:t>
      </w:r>
      <w:r w:rsidR="00AE49ED" w:rsidRPr="000C156A">
        <w:rPr>
          <w:rFonts w:hint="eastAsia"/>
          <w:lang w:eastAsia="zh-CN"/>
        </w:rPr>
        <w:t>2022</w:t>
      </w:r>
      <w:r w:rsidR="00AE49ED" w:rsidRPr="000C156A">
        <w:rPr>
          <w:rFonts w:hint="eastAsia"/>
          <w:lang w:eastAsia="zh-CN"/>
        </w:rPr>
        <w:t>年</w:t>
      </w:r>
      <w:r w:rsidR="00F054BD" w:rsidRPr="000C156A">
        <w:rPr>
          <w:rFonts w:hint="eastAsia"/>
          <w:lang w:eastAsia="zh-CN"/>
        </w:rPr>
        <w:t>的活动</w:t>
      </w:r>
      <w:r w:rsidR="00AE49ED" w:rsidRPr="000C156A">
        <w:rPr>
          <w:rFonts w:hint="eastAsia"/>
          <w:lang w:eastAsia="zh-CN"/>
        </w:rPr>
        <w:t>。截至</w:t>
      </w:r>
      <w:r w:rsidR="00AE49ED" w:rsidRPr="000C156A">
        <w:rPr>
          <w:rFonts w:hint="eastAsia"/>
          <w:lang w:eastAsia="zh-CN"/>
        </w:rPr>
        <w:t>2020</w:t>
      </w:r>
      <w:r w:rsidR="00AE49ED" w:rsidRPr="000C156A">
        <w:rPr>
          <w:rFonts w:hint="eastAsia"/>
          <w:lang w:eastAsia="zh-CN"/>
        </w:rPr>
        <w:t>年</w:t>
      </w:r>
      <w:r w:rsidR="00AE49ED" w:rsidRPr="000C156A">
        <w:rPr>
          <w:rFonts w:hint="eastAsia"/>
          <w:lang w:eastAsia="zh-CN"/>
        </w:rPr>
        <w:t>12</w:t>
      </w:r>
      <w:r w:rsidR="00AE49ED" w:rsidRPr="000C156A">
        <w:rPr>
          <w:rFonts w:hint="eastAsia"/>
          <w:lang w:eastAsia="zh-CN"/>
        </w:rPr>
        <w:t>月</w:t>
      </w:r>
      <w:r w:rsidR="00AE49ED" w:rsidRPr="000C156A">
        <w:rPr>
          <w:rFonts w:hint="eastAsia"/>
          <w:lang w:eastAsia="zh-CN"/>
        </w:rPr>
        <w:t>31</w:t>
      </w:r>
      <w:r w:rsidR="00AE49ED" w:rsidRPr="000C156A">
        <w:rPr>
          <w:rFonts w:hint="eastAsia"/>
          <w:lang w:eastAsia="zh-CN"/>
        </w:rPr>
        <w:t>日，储备</w:t>
      </w:r>
      <w:r w:rsidR="00F054BD" w:rsidRPr="000C156A">
        <w:rPr>
          <w:rFonts w:hint="eastAsia"/>
          <w:lang w:eastAsia="zh-CN"/>
        </w:rPr>
        <w:t>金账目</w:t>
      </w:r>
      <w:r w:rsidR="00AE49ED" w:rsidRPr="000C156A">
        <w:rPr>
          <w:rFonts w:hint="eastAsia"/>
          <w:lang w:eastAsia="zh-CN"/>
        </w:rPr>
        <w:t>余额为</w:t>
      </w:r>
      <w:r w:rsidR="00AE49ED" w:rsidRPr="000C156A">
        <w:rPr>
          <w:rFonts w:hint="eastAsia"/>
          <w:lang w:eastAsia="zh-CN"/>
        </w:rPr>
        <w:t>2</w:t>
      </w:r>
      <w:r w:rsidR="00D05674" w:rsidRPr="000C156A">
        <w:rPr>
          <w:lang w:eastAsia="zh-CN"/>
        </w:rPr>
        <w:t xml:space="preserve"> </w:t>
      </w:r>
      <w:r w:rsidR="00AE49ED" w:rsidRPr="000C156A">
        <w:rPr>
          <w:rFonts w:hint="eastAsia"/>
          <w:lang w:eastAsia="zh-CN"/>
        </w:rPr>
        <w:t>580</w:t>
      </w:r>
      <w:r w:rsidR="00AE49ED" w:rsidRPr="000C156A">
        <w:rPr>
          <w:rFonts w:hint="eastAsia"/>
          <w:lang w:eastAsia="zh-CN"/>
        </w:rPr>
        <w:t>万瑞郎，相当于</w:t>
      </w:r>
      <w:r w:rsidR="00AE49ED" w:rsidRPr="000C156A">
        <w:rPr>
          <w:rFonts w:hint="eastAsia"/>
          <w:lang w:eastAsia="zh-CN"/>
        </w:rPr>
        <w:t>2020</w:t>
      </w:r>
      <w:r w:rsidR="00AE49ED" w:rsidRPr="000C156A">
        <w:rPr>
          <w:rFonts w:hint="eastAsia"/>
          <w:lang w:eastAsia="zh-CN"/>
        </w:rPr>
        <w:t>年预算的</w:t>
      </w:r>
      <w:r w:rsidR="00AE49ED" w:rsidRPr="000C156A">
        <w:rPr>
          <w:rFonts w:hint="eastAsia"/>
          <w:lang w:eastAsia="zh-CN"/>
        </w:rPr>
        <w:t>15.6%</w:t>
      </w:r>
      <w:r w:rsidR="00F054BD" w:rsidRPr="000C156A">
        <w:rPr>
          <w:rFonts w:hint="eastAsia"/>
          <w:lang w:eastAsia="zh-CN"/>
        </w:rPr>
        <w:t>（</w:t>
      </w:r>
      <w:r w:rsidR="00AE49ED" w:rsidRPr="000C156A">
        <w:rPr>
          <w:rFonts w:hint="eastAsia"/>
          <w:lang w:eastAsia="zh-CN"/>
        </w:rPr>
        <w:t>2019</w:t>
      </w:r>
      <w:r w:rsidR="00AE49ED" w:rsidRPr="000C156A">
        <w:rPr>
          <w:rFonts w:hint="eastAsia"/>
          <w:lang w:eastAsia="zh-CN"/>
        </w:rPr>
        <w:t>年为</w:t>
      </w:r>
      <w:r w:rsidR="00AE49ED" w:rsidRPr="000C156A">
        <w:rPr>
          <w:rFonts w:hint="eastAsia"/>
          <w:lang w:eastAsia="zh-CN"/>
        </w:rPr>
        <w:t>2</w:t>
      </w:r>
      <w:r w:rsidR="00D05674" w:rsidRPr="000C156A">
        <w:rPr>
          <w:lang w:eastAsia="zh-CN"/>
        </w:rPr>
        <w:t xml:space="preserve"> </w:t>
      </w:r>
      <w:r w:rsidR="00AE49ED" w:rsidRPr="000C156A">
        <w:rPr>
          <w:rFonts w:hint="eastAsia"/>
          <w:lang w:eastAsia="zh-CN"/>
        </w:rPr>
        <w:t>490</w:t>
      </w:r>
      <w:r w:rsidR="00AE49ED" w:rsidRPr="000C156A">
        <w:rPr>
          <w:rFonts w:hint="eastAsia"/>
          <w:lang w:eastAsia="zh-CN"/>
        </w:rPr>
        <w:t>万瑞郎</w:t>
      </w:r>
      <w:r w:rsidR="00F054BD" w:rsidRPr="000C156A">
        <w:rPr>
          <w:rFonts w:hint="eastAsia"/>
          <w:lang w:eastAsia="zh-CN"/>
        </w:rPr>
        <w:t>）。</w:t>
      </w:r>
    </w:p>
    <w:p w14:paraId="39E8D875" w14:textId="4655FD05" w:rsidR="00EB1339" w:rsidRPr="000C156A" w:rsidRDefault="006423EB" w:rsidP="004F154B">
      <w:pPr>
        <w:keepNext/>
        <w:spacing w:after="240"/>
        <w:rPr>
          <w:lang w:eastAsia="zh-CN"/>
        </w:rPr>
      </w:pPr>
      <w:r w:rsidRPr="000C156A">
        <w:rPr>
          <w:rFonts w:asciiTheme="minorHAnsi" w:hAnsiTheme="minorHAnsi" w:cs="Calibri"/>
          <w:szCs w:val="24"/>
          <w:lang w:val="en-US" w:eastAsia="zh-CN"/>
        </w:rPr>
        <w:lastRenderedPageBreak/>
        <w:t>24</w:t>
      </w:r>
      <w:r w:rsidRPr="000C156A">
        <w:rPr>
          <w:rFonts w:asciiTheme="minorHAnsi" w:hAnsiTheme="minorHAnsi" w:cs="Calibri"/>
          <w:szCs w:val="24"/>
          <w:lang w:val="en-US" w:eastAsia="zh-CN"/>
        </w:rPr>
        <w:tab/>
      </w:r>
      <w:r w:rsidR="004F6AAB" w:rsidRPr="000C156A">
        <w:rPr>
          <w:rFonts w:hint="eastAsia"/>
          <w:lang w:eastAsia="zh-CN"/>
        </w:rPr>
        <w:t>国际电联</w:t>
      </w:r>
      <w:r w:rsidR="004F6AAB" w:rsidRPr="000C156A">
        <w:rPr>
          <w:lang w:eastAsia="zh-CN"/>
        </w:rPr>
        <w:t>20</w:t>
      </w:r>
      <w:r w:rsidR="009D34F3" w:rsidRPr="000C156A">
        <w:rPr>
          <w:lang w:eastAsia="zh-CN"/>
        </w:rPr>
        <w:t>20</w:t>
      </w:r>
      <w:r w:rsidR="004F6AAB" w:rsidRPr="000C156A">
        <w:rPr>
          <w:rFonts w:hint="eastAsia"/>
          <w:lang w:eastAsia="zh-CN"/>
        </w:rPr>
        <w:t>年的收入达</w:t>
      </w:r>
      <w:r w:rsidR="009D34F3" w:rsidRPr="000C156A">
        <w:rPr>
          <w:rFonts w:asciiTheme="minorHAnsi" w:hAnsiTheme="minorHAnsi" w:cstheme="minorHAnsi"/>
          <w:lang w:eastAsia="zh-CN"/>
        </w:rPr>
        <w:t>1.70373</w:t>
      </w:r>
      <w:r w:rsidR="004F6AAB" w:rsidRPr="000C156A">
        <w:rPr>
          <w:rFonts w:hint="eastAsia"/>
          <w:lang w:eastAsia="zh-CN"/>
        </w:rPr>
        <w:t>亿瑞郎（</w:t>
      </w:r>
      <w:r w:rsidR="004F6AAB" w:rsidRPr="000C156A">
        <w:rPr>
          <w:lang w:eastAsia="zh-CN"/>
        </w:rPr>
        <w:t>201</w:t>
      </w:r>
      <w:r w:rsidR="009D34F3" w:rsidRPr="000C156A">
        <w:rPr>
          <w:lang w:eastAsia="zh-CN"/>
        </w:rPr>
        <w:t>9</w:t>
      </w:r>
      <w:r w:rsidR="004F6AAB" w:rsidRPr="000C156A">
        <w:rPr>
          <w:rFonts w:hint="eastAsia"/>
          <w:lang w:eastAsia="zh-CN"/>
        </w:rPr>
        <w:t>年为</w:t>
      </w:r>
      <w:r w:rsidR="009D34F3" w:rsidRPr="000C156A">
        <w:rPr>
          <w:lang w:eastAsia="zh-CN"/>
        </w:rPr>
        <w:t>1.87177</w:t>
      </w:r>
      <w:r w:rsidR="004F6AAB" w:rsidRPr="000C156A">
        <w:rPr>
          <w:rFonts w:hint="eastAsia"/>
          <w:lang w:eastAsia="zh-CN"/>
        </w:rPr>
        <w:t>亿瑞郎），详情如下：</w:t>
      </w:r>
      <w:bookmarkEnd w:id="51"/>
      <w:bookmarkEnd w:id="52"/>
    </w:p>
    <w:p w14:paraId="34C4D732" w14:textId="05A83748" w:rsidR="0022762F" w:rsidRPr="000C156A" w:rsidRDefault="004F2D53" w:rsidP="00331C33">
      <w:pPr>
        <w:pStyle w:val="Figure"/>
        <w:rPr>
          <w:rFonts w:eastAsia="Times New Roman"/>
          <w:noProof/>
          <w:lang w:val="en-US" w:eastAsia="zh-CN"/>
        </w:rPr>
      </w:pPr>
      <w:r w:rsidRPr="000C156A">
        <w:rPr>
          <w:rFonts w:eastAsia="Times New Roman"/>
          <w:noProof/>
          <w:lang w:val="en-US" w:eastAsia="zh-CN"/>
        </w:rPr>
        <w:drawing>
          <wp:inline distT="0" distB="0" distL="0" distR="0" wp14:anchorId="215D81ED" wp14:editId="57A05533">
            <wp:extent cx="4572000" cy="2735580"/>
            <wp:effectExtent l="0" t="0" r="0" b="7620"/>
            <wp:docPr id="17" name="Chart 17">
              <a:extLst xmlns:a="http://schemas.openxmlformats.org/drawingml/2006/main">
                <a:ext uri="{FF2B5EF4-FFF2-40B4-BE49-F238E27FC236}">
                  <a16:creationId xmlns:a16="http://schemas.microsoft.com/office/drawing/2014/main" id="{FD5816AA-70E2-455F-BCAE-9A65C4D262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8382EB" w14:textId="7B391969" w:rsidR="0022762F" w:rsidRPr="000C156A" w:rsidRDefault="006423EB" w:rsidP="00293249">
      <w:pPr>
        <w:spacing w:before="360" w:after="240"/>
        <w:rPr>
          <w:lang w:eastAsia="zh-CN"/>
        </w:rPr>
      </w:pPr>
      <w:bookmarkStart w:id="53" w:name="_Hlk39136284"/>
      <w:r w:rsidRPr="000C156A">
        <w:rPr>
          <w:rFonts w:asciiTheme="minorHAnsi" w:hAnsiTheme="minorHAnsi" w:cs="Calibri"/>
          <w:szCs w:val="24"/>
          <w:lang w:val="en-US" w:eastAsia="zh-CN"/>
        </w:rPr>
        <w:t>25</w:t>
      </w:r>
      <w:r w:rsidRPr="000C156A">
        <w:rPr>
          <w:rFonts w:asciiTheme="minorHAnsi" w:hAnsiTheme="minorHAnsi" w:cs="Calibri"/>
          <w:szCs w:val="24"/>
          <w:lang w:val="en-US" w:eastAsia="zh-CN"/>
        </w:rPr>
        <w:tab/>
      </w:r>
      <w:r w:rsidR="004E5FB6" w:rsidRPr="000C156A">
        <w:rPr>
          <w:rFonts w:hint="eastAsia"/>
          <w:lang w:eastAsia="zh-CN"/>
        </w:rPr>
        <w:t>分摊会费是收入的主要来源，</w:t>
      </w:r>
      <w:r w:rsidR="004E5FB6" w:rsidRPr="000C156A">
        <w:rPr>
          <w:lang w:eastAsia="zh-CN"/>
        </w:rPr>
        <w:t>20</w:t>
      </w:r>
      <w:r w:rsidR="007456B0" w:rsidRPr="000C156A">
        <w:rPr>
          <w:lang w:eastAsia="zh-CN"/>
        </w:rPr>
        <w:t>20</w:t>
      </w:r>
      <w:r w:rsidR="004E5FB6" w:rsidRPr="000C156A">
        <w:rPr>
          <w:rFonts w:hint="eastAsia"/>
          <w:lang w:eastAsia="zh-CN"/>
        </w:rPr>
        <w:t>年占总收入的</w:t>
      </w:r>
      <w:r w:rsidR="007456B0" w:rsidRPr="000C156A">
        <w:rPr>
          <w:lang w:eastAsia="zh-CN"/>
        </w:rPr>
        <w:t>74</w:t>
      </w:r>
      <w:r w:rsidR="004E5FB6" w:rsidRPr="000C156A">
        <w:rPr>
          <w:lang w:eastAsia="zh-CN"/>
        </w:rPr>
        <w:t>%</w:t>
      </w:r>
      <w:r w:rsidR="004E5FB6" w:rsidRPr="000C156A">
        <w:rPr>
          <w:rFonts w:hint="eastAsia"/>
          <w:lang w:eastAsia="zh-CN"/>
        </w:rPr>
        <w:t>，与</w:t>
      </w:r>
      <w:r w:rsidR="004E5FB6" w:rsidRPr="000C156A">
        <w:rPr>
          <w:lang w:eastAsia="zh-CN"/>
        </w:rPr>
        <w:t>201</w:t>
      </w:r>
      <w:r w:rsidR="007456B0" w:rsidRPr="000C156A">
        <w:rPr>
          <w:lang w:eastAsia="zh-CN"/>
        </w:rPr>
        <w:t>9</w:t>
      </w:r>
      <w:r w:rsidR="004E5FB6" w:rsidRPr="000C156A">
        <w:rPr>
          <w:rFonts w:hint="eastAsia"/>
          <w:lang w:eastAsia="zh-CN"/>
        </w:rPr>
        <w:t>年相比略有增加，其后为占比</w:t>
      </w:r>
      <w:r w:rsidR="004E5FB6" w:rsidRPr="000C156A">
        <w:rPr>
          <w:lang w:eastAsia="zh-CN"/>
        </w:rPr>
        <w:t>2</w:t>
      </w:r>
      <w:r w:rsidR="007456B0" w:rsidRPr="000C156A">
        <w:rPr>
          <w:lang w:eastAsia="zh-CN"/>
        </w:rPr>
        <w:t>4</w:t>
      </w:r>
      <w:r w:rsidR="004E5FB6" w:rsidRPr="000C156A">
        <w:rPr>
          <w:lang w:eastAsia="zh-CN"/>
        </w:rPr>
        <w:t>%</w:t>
      </w:r>
      <w:r w:rsidR="004E5FB6" w:rsidRPr="000C156A">
        <w:rPr>
          <w:rFonts w:hint="eastAsia"/>
          <w:lang w:eastAsia="zh-CN"/>
        </w:rPr>
        <w:t>的成本回收收入，主要包括出版物销售和卫星网络申报资料。</w:t>
      </w:r>
    </w:p>
    <w:bookmarkEnd w:id="53"/>
    <w:p w14:paraId="2610A48F" w14:textId="3EBA67C7" w:rsidR="00855924" w:rsidRPr="000C156A" w:rsidRDefault="004E5FB6" w:rsidP="00A15366">
      <w:pPr>
        <w:pStyle w:val="Figure"/>
        <w:keepNext w:val="0"/>
        <w:rPr>
          <w:rFonts w:eastAsia="Times New Roman"/>
          <w:noProof/>
          <w:lang w:val="en-US" w:eastAsia="zh-CN"/>
        </w:rPr>
      </w:pPr>
      <w:r w:rsidRPr="000C156A">
        <w:rPr>
          <w:rFonts w:eastAsia="Times New Roman"/>
          <w:noProof/>
          <w:lang w:val="en-US" w:eastAsia="zh-CN"/>
        </w:rPr>
        <w:drawing>
          <wp:inline distT="0" distB="0" distL="0" distR="0" wp14:anchorId="102C1A48" wp14:editId="602C0B72">
            <wp:extent cx="5017008" cy="3291840"/>
            <wp:effectExtent l="0" t="0" r="12700" b="3810"/>
            <wp:docPr id="18" name="Chart 18">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D2E52B" w14:textId="193D729C" w:rsidR="00E00837" w:rsidRPr="000C156A" w:rsidRDefault="006423EB" w:rsidP="003D75D9">
      <w:pPr>
        <w:keepNext/>
        <w:keepLines/>
        <w:snapToGrid w:val="0"/>
        <w:spacing w:before="240" w:after="240"/>
        <w:jc w:val="both"/>
        <w:rPr>
          <w:rFonts w:asciiTheme="minorHAnsi" w:hAnsiTheme="minorHAnsi" w:cstheme="minorHAnsi"/>
          <w:lang w:eastAsia="zh-CN"/>
        </w:rPr>
      </w:pPr>
      <w:r w:rsidRPr="000C156A">
        <w:rPr>
          <w:rFonts w:asciiTheme="minorHAnsi" w:hAnsiTheme="minorHAnsi" w:cs="Calibri"/>
          <w:szCs w:val="24"/>
          <w:lang w:val="en-US" w:eastAsia="zh-CN"/>
        </w:rPr>
        <w:lastRenderedPageBreak/>
        <w:t>26</w:t>
      </w:r>
      <w:r w:rsidRPr="000C156A">
        <w:rPr>
          <w:rFonts w:asciiTheme="minorHAnsi" w:hAnsiTheme="minorHAnsi" w:cs="Calibri"/>
          <w:szCs w:val="24"/>
          <w:lang w:val="en-US" w:eastAsia="zh-CN"/>
        </w:rPr>
        <w:tab/>
      </w:r>
      <w:r w:rsidR="004E5FB6" w:rsidRPr="000C156A">
        <w:rPr>
          <w:rFonts w:hint="eastAsia"/>
          <w:lang w:eastAsia="zh-CN"/>
        </w:rPr>
        <w:t>国际电联</w:t>
      </w:r>
      <w:r w:rsidR="00FD373E" w:rsidRPr="000C156A">
        <w:rPr>
          <w:lang w:eastAsia="zh-CN"/>
        </w:rPr>
        <w:t>2020</w:t>
      </w:r>
      <w:r w:rsidR="00FD373E" w:rsidRPr="000C156A">
        <w:rPr>
          <w:rFonts w:hint="eastAsia"/>
          <w:lang w:eastAsia="zh-CN"/>
        </w:rPr>
        <w:t>年</w:t>
      </w:r>
      <w:r w:rsidR="004E5FB6" w:rsidRPr="000C156A">
        <w:rPr>
          <w:rFonts w:hint="eastAsia"/>
          <w:lang w:eastAsia="zh-CN"/>
        </w:rPr>
        <w:t>的支出达</w:t>
      </w:r>
      <w:r w:rsidR="00FD373E" w:rsidRPr="000C156A">
        <w:rPr>
          <w:rFonts w:asciiTheme="minorHAnsi" w:hAnsiTheme="minorHAnsi" w:cstheme="minorHAnsi"/>
          <w:lang w:eastAsia="zh-CN"/>
        </w:rPr>
        <w:t>2.17632</w:t>
      </w:r>
      <w:r w:rsidR="004E5FB6" w:rsidRPr="000C156A">
        <w:rPr>
          <w:rFonts w:hint="eastAsia"/>
          <w:lang w:eastAsia="zh-CN"/>
        </w:rPr>
        <w:t>亿瑞郎（</w:t>
      </w:r>
      <w:r w:rsidR="004E5FB6" w:rsidRPr="000C156A">
        <w:rPr>
          <w:lang w:eastAsia="zh-CN"/>
        </w:rPr>
        <w:t>201</w:t>
      </w:r>
      <w:r w:rsidR="00FD373E" w:rsidRPr="000C156A">
        <w:rPr>
          <w:lang w:eastAsia="zh-CN"/>
        </w:rPr>
        <w:t>9</w:t>
      </w:r>
      <w:r w:rsidR="004E5FB6" w:rsidRPr="000C156A">
        <w:rPr>
          <w:rFonts w:hint="eastAsia"/>
          <w:lang w:eastAsia="zh-CN"/>
        </w:rPr>
        <w:t>年为</w:t>
      </w:r>
      <w:r w:rsidR="00FD373E" w:rsidRPr="000C156A">
        <w:rPr>
          <w:rFonts w:hint="eastAsia"/>
          <w:lang w:eastAsia="zh-CN"/>
        </w:rPr>
        <w:t>2</w:t>
      </w:r>
      <w:r w:rsidR="00FD373E" w:rsidRPr="000C156A">
        <w:rPr>
          <w:lang w:eastAsia="zh-CN"/>
        </w:rPr>
        <w:t>.</w:t>
      </w:r>
      <w:r w:rsidR="00FD373E" w:rsidRPr="000C156A">
        <w:rPr>
          <w:rFonts w:hint="eastAsia"/>
          <w:lang w:eastAsia="zh-CN"/>
        </w:rPr>
        <w:t>4464</w:t>
      </w:r>
      <w:r w:rsidR="00FD373E" w:rsidRPr="000C156A">
        <w:rPr>
          <w:lang w:eastAsia="zh-CN"/>
        </w:rPr>
        <w:t>0</w:t>
      </w:r>
      <w:r w:rsidR="004E5FB6" w:rsidRPr="000C156A">
        <w:rPr>
          <w:rFonts w:hint="eastAsia"/>
          <w:lang w:eastAsia="zh-CN"/>
        </w:rPr>
        <w:t>亿瑞郎），详见下图：</w:t>
      </w:r>
    </w:p>
    <w:p w14:paraId="45857398" w14:textId="66EF6C71" w:rsidR="00855924" w:rsidRPr="000C156A" w:rsidRDefault="004E5FB6" w:rsidP="00855924">
      <w:pPr>
        <w:snapToGrid w:val="0"/>
        <w:jc w:val="center"/>
        <w:rPr>
          <w:rFonts w:asciiTheme="minorHAnsi" w:hAnsiTheme="minorHAnsi" w:cstheme="minorHAnsi"/>
          <w:lang w:eastAsia="zh-CN"/>
        </w:rPr>
      </w:pPr>
      <w:bookmarkStart w:id="54" w:name="_Hlk39136654"/>
      <w:r w:rsidRPr="000C156A">
        <w:rPr>
          <w:noProof/>
          <w:lang w:val="en-US" w:eastAsia="zh-CN"/>
        </w:rPr>
        <w:drawing>
          <wp:inline distT="0" distB="0" distL="0" distR="0" wp14:anchorId="1F108B66" wp14:editId="1A403A4A">
            <wp:extent cx="6120765" cy="3410507"/>
            <wp:effectExtent l="0" t="0" r="13335" b="0"/>
            <wp:docPr id="1" name="Chart 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4CB4A4" w14:textId="42D5DA9A" w:rsidR="004E5FB6" w:rsidRPr="000C156A" w:rsidRDefault="004E5FB6" w:rsidP="00A15366">
      <w:pPr>
        <w:pStyle w:val="Headingb"/>
        <w:spacing w:before="240" w:after="240"/>
        <w:rPr>
          <w:u w:val="single"/>
          <w:lang w:eastAsia="zh-CN"/>
        </w:rPr>
      </w:pPr>
      <w:bookmarkStart w:id="55" w:name="_Toc72744916"/>
      <w:bookmarkStart w:id="56" w:name="_Toc72747200"/>
      <w:bookmarkStart w:id="57" w:name="_Toc73460997"/>
      <w:bookmarkStart w:id="58" w:name="_Toc73518644"/>
      <w:bookmarkStart w:id="59" w:name="_Toc73518791"/>
      <w:bookmarkStart w:id="60" w:name="_Toc73519191"/>
      <w:bookmarkStart w:id="61" w:name="_Toc73636073"/>
      <w:bookmarkStart w:id="62" w:name="_Toc73636215"/>
      <w:bookmarkEnd w:id="54"/>
      <w:r w:rsidRPr="000C156A">
        <w:rPr>
          <w:rFonts w:hint="eastAsia"/>
          <w:u w:val="single"/>
          <w:lang w:eastAsia="zh-CN"/>
        </w:rPr>
        <w:t>财务状况：</w:t>
      </w:r>
      <w:r w:rsidRPr="000C156A">
        <w:rPr>
          <w:sz w:val="28"/>
          <w:szCs w:val="28"/>
          <w:u w:val="single"/>
          <w:lang w:eastAsia="zh-CN"/>
        </w:rPr>
        <w:t>2020</w:t>
      </w:r>
      <w:r w:rsidRPr="000C156A">
        <w:rPr>
          <w:rFonts w:hint="eastAsia"/>
          <w:u w:val="single"/>
          <w:lang w:eastAsia="zh-CN"/>
        </w:rPr>
        <w:t>年资产状况的呈现</w:t>
      </w:r>
      <w:bookmarkEnd w:id="55"/>
      <w:bookmarkEnd w:id="56"/>
      <w:bookmarkEnd w:id="57"/>
      <w:bookmarkEnd w:id="58"/>
      <w:bookmarkEnd w:id="59"/>
      <w:bookmarkEnd w:id="60"/>
      <w:bookmarkEnd w:id="61"/>
      <w:bookmarkEnd w:id="62"/>
    </w:p>
    <w:p w14:paraId="2DD55962" w14:textId="546C5494" w:rsidR="009F60E1" w:rsidRPr="000C156A" w:rsidRDefault="004E5FB6" w:rsidP="00A15366">
      <w:pPr>
        <w:pStyle w:val="Figure"/>
        <w:keepNext w:val="0"/>
        <w:rPr>
          <w:rFonts w:eastAsia="Times New Roman"/>
          <w:noProof/>
          <w:lang w:val="en-US" w:eastAsia="zh-CN"/>
        </w:rPr>
      </w:pPr>
      <w:r w:rsidRPr="000C156A">
        <w:rPr>
          <w:rFonts w:eastAsia="Times New Roman"/>
          <w:noProof/>
          <w:lang w:val="en-US" w:eastAsia="zh-CN"/>
        </w:rPr>
        <w:drawing>
          <wp:inline distT="0" distB="0" distL="0" distR="0" wp14:anchorId="5AF5A321" wp14:editId="1C802260">
            <wp:extent cx="4876800" cy="3115628"/>
            <wp:effectExtent l="0" t="0" r="0" b="8890"/>
            <wp:docPr id="25" name="Chart 25">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408EC66" w14:textId="626A0D76" w:rsidR="003656A7" w:rsidRPr="000C156A" w:rsidRDefault="004E5FB6" w:rsidP="00A51BE1">
      <w:pPr>
        <w:pStyle w:val="Headingb"/>
        <w:spacing w:after="240"/>
        <w:rPr>
          <w:u w:val="single"/>
          <w:lang w:eastAsia="zh-CN"/>
        </w:rPr>
      </w:pPr>
      <w:bookmarkStart w:id="63" w:name="_Toc73460998"/>
      <w:bookmarkStart w:id="64" w:name="_Toc73518645"/>
      <w:bookmarkStart w:id="65" w:name="_Toc73518792"/>
      <w:bookmarkStart w:id="66" w:name="_Toc73519192"/>
      <w:bookmarkStart w:id="67" w:name="_Toc73636074"/>
      <w:bookmarkStart w:id="68" w:name="_Toc73636216"/>
      <w:r w:rsidRPr="000C156A">
        <w:rPr>
          <w:rFonts w:hint="eastAsia"/>
          <w:u w:val="single"/>
          <w:lang w:eastAsia="zh-CN"/>
        </w:rPr>
        <w:lastRenderedPageBreak/>
        <w:t>财务状况：</w:t>
      </w:r>
      <w:r w:rsidRPr="000C156A">
        <w:rPr>
          <w:u w:val="single"/>
          <w:lang w:eastAsia="zh-CN"/>
        </w:rPr>
        <w:t>20</w:t>
      </w:r>
      <w:r w:rsidR="006472AF" w:rsidRPr="000C156A">
        <w:rPr>
          <w:u w:val="single"/>
          <w:lang w:eastAsia="zh-CN"/>
        </w:rPr>
        <w:t>20</w:t>
      </w:r>
      <w:r w:rsidRPr="000C156A">
        <w:rPr>
          <w:rFonts w:hint="eastAsia"/>
          <w:u w:val="single"/>
          <w:lang w:eastAsia="zh-CN"/>
        </w:rPr>
        <w:t>年与</w:t>
      </w:r>
      <w:r w:rsidRPr="000C156A">
        <w:rPr>
          <w:u w:val="single"/>
          <w:lang w:eastAsia="zh-CN"/>
        </w:rPr>
        <w:t>201</w:t>
      </w:r>
      <w:r w:rsidR="006472AF" w:rsidRPr="000C156A">
        <w:rPr>
          <w:u w:val="single"/>
          <w:lang w:eastAsia="zh-CN"/>
        </w:rPr>
        <w:t>9</w:t>
      </w:r>
      <w:r w:rsidRPr="000C156A">
        <w:rPr>
          <w:rFonts w:hint="eastAsia"/>
          <w:u w:val="single"/>
          <w:lang w:eastAsia="zh-CN"/>
        </w:rPr>
        <w:t>年的资产对比</w:t>
      </w:r>
      <w:bookmarkEnd w:id="63"/>
      <w:bookmarkEnd w:id="64"/>
      <w:bookmarkEnd w:id="65"/>
      <w:bookmarkEnd w:id="66"/>
      <w:bookmarkEnd w:id="67"/>
      <w:bookmarkEnd w:id="68"/>
    </w:p>
    <w:p w14:paraId="6E226B68" w14:textId="545C291D" w:rsidR="003656A7" w:rsidRPr="000C156A" w:rsidRDefault="004E5FB6" w:rsidP="00331C33">
      <w:pPr>
        <w:pStyle w:val="Figure"/>
        <w:rPr>
          <w:rFonts w:eastAsia="Times New Roman"/>
          <w:noProof/>
          <w:lang w:val="en-US" w:eastAsia="zh-CN"/>
        </w:rPr>
      </w:pPr>
      <w:r w:rsidRPr="000C156A">
        <w:rPr>
          <w:rFonts w:eastAsia="Times New Roman"/>
          <w:noProof/>
          <w:lang w:val="en-US" w:eastAsia="zh-CN"/>
        </w:rPr>
        <w:drawing>
          <wp:inline distT="0" distB="0" distL="0" distR="0" wp14:anchorId="6EA217AC" wp14:editId="5B730F07">
            <wp:extent cx="4705350" cy="3033712"/>
            <wp:effectExtent l="0" t="0" r="0" b="14605"/>
            <wp:docPr id="6" name="Chart 6">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7C915A" w14:textId="215D9699" w:rsidR="00DB3FD3" w:rsidRPr="000C156A" w:rsidRDefault="006423EB" w:rsidP="00007237">
      <w:pPr>
        <w:spacing w:before="240"/>
        <w:rPr>
          <w:lang w:eastAsia="zh-CN"/>
        </w:rPr>
      </w:pPr>
      <w:bookmarkStart w:id="69" w:name="_Hlk70502937"/>
      <w:r w:rsidRPr="000C156A">
        <w:rPr>
          <w:rFonts w:cs="Calibri"/>
          <w:szCs w:val="24"/>
          <w:lang w:val="en-US" w:eastAsia="zh-CN"/>
        </w:rPr>
        <w:t>27</w:t>
      </w:r>
      <w:r w:rsidRPr="000C156A">
        <w:rPr>
          <w:rFonts w:cs="Calibri"/>
          <w:szCs w:val="24"/>
          <w:lang w:val="en-US" w:eastAsia="zh-CN"/>
        </w:rPr>
        <w:tab/>
      </w:r>
      <w:r w:rsidR="006472AF" w:rsidRPr="000C156A">
        <w:rPr>
          <w:rFonts w:hint="eastAsia"/>
          <w:lang w:eastAsia="zh-CN"/>
        </w:rPr>
        <w:t>我们注意到，</w:t>
      </w:r>
      <w:r w:rsidR="00DB3FD3" w:rsidRPr="000C156A">
        <w:rPr>
          <w:rFonts w:hint="eastAsia"/>
          <w:lang w:eastAsia="zh-CN"/>
        </w:rPr>
        <w:t>2020</w:t>
      </w:r>
      <w:r w:rsidR="00DB3FD3" w:rsidRPr="000C156A">
        <w:rPr>
          <w:rFonts w:hint="eastAsia"/>
          <w:lang w:eastAsia="zh-CN"/>
        </w:rPr>
        <w:t>年投资增加，现金和现金等价物减少。自</w:t>
      </w:r>
      <w:r w:rsidR="00DB3FD3" w:rsidRPr="000C156A">
        <w:rPr>
          <w:rFonts w:hint="eastAsia"/>
          <w:lang w:eastAsia="zh-CN"/>
        </w:rPr>
        <w:t>2015</w:t>
      </w:r>
      <w:r w:rsidR="00DB3FD3" w:rsidRPr="000C156A">
        <w:rPr>
          <w:rFonts w:hint="eastAsia"/>
          <w:lang w:eastAsia="zh-CN"/>
        </w:rPr>
        <w:t>年</w:t>
      </w:r>
      <w:r w:rsidR="006472AF" w:rsidRPr="000C156A">
        <w:rPr>
          <w:rFonts w:hint="eastAsia"/>
          <w:lang w:eastAsia="zh-CN"/>
        </w:rPr>
        <w:t>对</w:t>
      </w:r>
      <w:r w:rsidR="00DB3FD3" w:rsidRPr="000C156A">
        <w:rPr>
          <w:rFonts w:hint="eastAsia"/>
          <w:lang w:eastAsia="zh-CN"/>
        </w:rPr>
        <w:t>瑞郎和欧元引入负利率以来，国际电联不得不重组</w:t>
      </w:r>
      <w:r w:rsidR="006472AF" w:rsidRPr="000C156A">
        <w:rPr>
          <w:rFonts w:hint="eastAsia"/>
          <w:lang w:eastAsia="zh-CN"/>
        </w:rPr>
        <w:t>资金</w:t>
      </w:r>
      <w:r w:rsidR="00DB3FD3" w:rsidRPr="000C156A">
        <w:rPr>
          <w:rFonts w:hint="eastAsia"/>
          <w:lang w:eastAsia="zh-CN"/>
        </w:rPr>
        <w:t>。</w:t>
      </w:r>
      <w:r w:rsidR="00DB3FD3" w:rsidRPr="000C156A">
        <w:rPr>
          <w:rFonts w:hint="eastAsia"/>
          <w:lang w:eastAsia="zh-CN"/>
        </w:rPr>
        <w:t>2020</w:t>
      </w:r>
      <w:r w:rsidR="00DB3FD3" w:rsidRPr="000C156A">
        <w:rPr>
          <w:rFonts w:hint="eastAsia"/>
          <w:lang w:eastAsia="zh-CN"/>
        </w:rPr>
        <w:t>年，国际电联</w:t>
      </w:r>
      <w:r w:rsidR="006472AF" w:rsidRPr="000C156A">
        <w:rPr>
          <w:rFonts w:hint="eastAsia"/>
          <w:lang w:eastAsia="zh-CN"/>
        </w:rPr>
        <w:t>所有</w:t>
      </w:r>
      <w:r w:rsidR="00DB3FD3" w:rsidRPr="000C156A">
        <w:rPr>
          <w:rFonts w:hint="eastAsia"/>
          <w:lang w:eastAsia="zh-CN"/>
        </w:rPr>
        <w:t>账户都不得不面对负</w:t>
      </w:r>
      <w:r w:rsidR="006472AF" w:rsidRPr="000C156A">
        <w:rPr>
          <w:rFonts w:hint="eastAsia"/>
          <w:lang w:eastAsia="zh-CN"/>
        </w:rPr>
        <w:t>利率</w:t>
      </w:r>
      <w:r w:rsidR="00DB3FD3" w:rsidRPr="000C156A">
        <w:rPr>
          <w:rFonts w:hint="eastAsia"/>
          <w:lang w:eastAsia="zh-CN"/>
        </w:rPr>
        <w:t>。为了尽量减少和</w:t>
      </w:r>
      <w:r w:rsidR="006472AF" w:rsidRPr="000C156A">
        <w:rPr>
          <w:rFonts w:hint="eastAsia"/>
          <w:lang w:eastAsia="zh-CN"/>
        </w:rPr>
        <w:t>抵消</w:t>
      </w:r>
      <w:r w:rsidR="00DB3FD3" w:rsidRPr="000C156A">
        <w:rPr>
          <w:rFonts w:hint="eastAsia"/>
          <w:lang w:eastAsia="zh-CN"/>
        </w:rPr>
        <w:t>影响，</w:t>
      </w:r>
      <w:r w:rsidR="006472AF" w:rsidRPr="000C156A">
        <w:rPr>
          <w:rFonts w:hint="eastAsia"/>
          <w:lang w:eastAsia="zh-CN"/>
        </w:rPr>
        <w:t>国际电联</w:t>
      </w:r>
      <w:r w:rsidR="00DB3FD3" w:rsidRPr="000C156A">
        <w:rPr>
          <w:rFonts w:hint="eastAsia"/>
          <w:lang w:eastAsia="zh-CN"/>
        </w:rPr>
        <w:t>决定买入美元投资</w:t>
      </w:r>
      <w:r w:rsidR="006472AF" w:rsidRPr="000C156A">
        <w:rPr>
          <w:rFonts w:hint="eastAsia"/>
          <w:lang w:eastAsia="zh-CN"/>
        </w:rPr>
        <w:t>于</w:t>
      </w:r>
      <w:r w:rsidR="00DB3FD3" w:rsidRPr="000C156A">
        <w:rPr>
          <w:rFonts w:hint="eastAsia"/>
          <w:lang w:eastAsia="zh-CN"/>
        </w:rPr>
        <w:t>短期存款。</w:t>
      </w:r>
    </w:p>
    <w:p w14:paraId="54FCEA07" w14:textId="044DE1B0" w:rsidR="00D352D5" w:rsidRPr="000C156A" w:rsidRDefault="006423EB" w:rsidP="00794115">
      <w:pPr>
        <w:rPr>
          <w:b/>
          <w:bCs/>
          <w:sz w:val="28"/>
          <w:szCs w:val="28"/>
          <w:u w:val="single"/>
          <w:lang w:eastAsia="zh-CN"/>
        </w:rPr>
      </w:pPr>
      <w:bookmarkStart w:id="70" w:name="_Hlk39137255"/>
      <w:bookmarkEnd w:id="69"/>
      <w:r w:rsidRPr="000C156A">
        <w:rPr>
          <w:rFonts w:asciiTheme="minorHAnsi" w:hAnsiTheme="minorHAnsi" w:cs="Calibri"/>
          <w:szCs w:val="24"/>
          <w:lang w:val="en-US" w:eastAsia="zh-CN"/>
        </w:rPr>
        <w:t>28</w:t>
      </w:r>
      <w:r w:rsidRPr="000C156A">
        <w:rPr>
          <w:rFonts w:asciiTheme="minorHAnsi" w:hAnsiTheme="minorHAnsi" w:cs="Calibri"/>
          <w:szCs w:val="24"/>
          <w:lang w:val="en-US" w:eastAsia="zh-CN"/>
        </w:rPr>
        <w:tab/>
      </w:r>
      <w:r w:rsidR="004E5FB6" w:rsidRPr="000C156A">
        <w:rPr>
          <w:lang w:eastAsia="zh-CN"/>
        </w:rPr>
        <w:t>由于对预算</w:t>
      </w:r>
      <w:r w:rsidR="006472AF" w:rsidRPr="000C156A">
        <w:rPr>
          <w:rFonts w:hint="eastAsia"/>
          <w:lang w:eastAsia="zh-CN"/>
        </w:rPr>
        <w:t>进行</w:t>
      </w:r>
      <w:r w:rsidR="004E5FB6" w:rsidRPr="000C156A">
        <w:rPr>
          <w:lang w:eastAsia="zh-CN"/>
        </w:rPr>
        <w:t>严格</w:t>
      </w:r>
      <w:r w:rsidR="006472AF" w:rsidRPr="000C156A">
        <w:rPr>
          <w:rFonts w:hint="eastAsia"/>
          <w:lang w:eastAsia="zh-CN"/>
        </w:rPr>
        <w:t>监督</w:t>
      </w:r>
      <w:r w:rsidR="004E5FB6" w:rsidRPr="000C156A">
        <w:rPr>
          <w:lang w:eastAsia="zh-CN"/>
        </w:rPr>
        <w:t>，</w:t>
      </w:r>
      <w:r w:rsidR="006472AF" w:rsidRPr="000C156A">
        <w:rPr>
          <w:rFonts w:hint="eastAsia"/>
          <w:lang w:eastAsia="zh-CN"/>
        </w:rPr>
        <w:t>因此</w:t>
      </w:r>
      <w:r w:rsidR="004E5FB6" w:rsidRPr="000C156A">
        <w:rPr>
          <w:lang w:eastAsia="zh-CN"/>
        </w:rPr>
        <w:t>20</w:t>
      </w:r>
      <w:r w:rsidR="006472AF" w:rsidRPr="000C156A">
        <w:rPr>
          <w:lang w:eastAsia="zh-CN"/>
        </w:rPr>
        <w:t>20</w:t>
      </w:r>
      <w:r w:rsidR="004E5FB6" w:rsidRPr="000C156A">
        <w:rPr>
          <w:lang w:eastAsia="zh-CN"/>
        </w:rPr>
        <w:t>年预算执行的</w:t>
      </w:r>
      <w:r w:rsidR="004E5FB6" w:rsidRPr="000C156A">
        <w:rPr>
          <w:rFonts w:hint="eastAsia"/>
          <w:lang w:eastAsia="zh-CN"/>
        </w:rPr>
        <w:t>常规</w:t>
      </w:r>
      <w:r w:rsidR="004E5FB6" w:rsidRPr="000C156A">
        <w:rPr>
          <w:lang w:eastAsia="zh-CN"/>
        </w:rPr>
        <w:t>费用保持稳定</w:t>
      </w:r>
      <w:r w:rsidR="004E5FB6" w:rsidRPr="000C156A">
        <w:rPr>
          <w:rFonts w:hint="eastAsia"/>
          <w:lang w:eastAsia="zh-CN"/>
        </w:rPr>
        <w:t>。</w:t>
      </w:r>
    </w:p>
    <w:p w14:paraId="2B30BE31" w14:textId="39C62F2F" w:rsidR="003656A7" w:rsidRPr="000C156A" w:rsidRDefault="004E5FB6" w:rsidP="003A15F9">
      <w:pPr>
        <w:pStyle w:val="Headingb"/>
        <w:spacing w:after="240"/>
        <w:rPr>
          <w:sz w:val="28"/>
          <w:u w:val="single"/>
          <w:lang w:eastAsia="zh-CN"/>
        </w:rPr>
      </w:pPr>
      <w:bookmarkStart w:id="71" w:name="_Toc73460999"/>
      <w:bookmarkStart w:id="72" w:name="_Toc73518646"/>
      <w:bookmarkStart w:id="73" w:name="_Toc73518793"/>
      <w:bookmarkStart w:id="74" w:name="_Toc73519193"/>
      <w:bookmarkStart w:id="75" w:name="_Toc73636075"/>
      <w:bookmarkStart w:id="76" w:name="_Toc73636217"/>
      <w:bookmarkEnd w:id="70"/>
      <w:r w:rsidRPr="000C156A">
        <w:rPr>
          <w:rFonts w:hint="eastAsia"/>
          <w:u w:val="single"/>
          <w:lang w:eastAsia="zh-CN"/>
        </w:rPr>
        <w:t>财务状况：</w:t>
      </w:r>
      <w:r w:rsidRPr="000C156A">
        <w:rPr>
          <w:u w:val="single"/>
          <w:lang w:eastAsia="zh-CN"/>
        </w:rPr>
        <w:t>2020</w:t>
      </w:r>
      <w:r w:rsidRPr="000C156A">
        <w:rPr>
          <w:rFonts w:hint="eastAsia"/>
          <w:u w:val="single"/>
          <w:lang w:eastAsia="zh-CN"/>
        </w:rPr>
        <w:t>年负债</w:t>
      </w:r>
      <w:r w:rsidRPr="000C156A">
        <w:rPr>
          <w:u w:val="single"/>
          <w:lang w:eastAsia="zh-CN"/>
        </w:rPr>
        <w:t>状况</w:t>
      </w:r>
      <w:r w:rsidRPr="000C156A">
        <w:rPr>
          <w:rFonts w:hint="eastAsia"/>
          <w:u w:val="single"/>
          <w:lang w:eastAsia="zh-CN"/>
        </w:rPr>
        <w:t>的</w:t>
      </w:r>
      <w:r w:rsidRPr="000C156A">
        <w:rPr>
          <w:u w:val="single"/>
          <w:lang w:eastAsia="zh-CN"/>
        </w:rPr>
        <w:t>呈现</w:t>
      </w:r>
      <w:bookmarkEnd w:id="71"/>
      <w:bookmarkEnd w:id="72"/>
      <w:bookmarkEnd w:id="73"/>
      <w:bookmarkEnd w:id="74"/>
      <w:bookmarkEnd w:id="75"/>
      <w:bookmarkEnd w:id="76"/>
    </w:p>
    <w:p w14:paraId="18384128" w14:textId="1FCA374D" w:rsidR="00CF43D8" w:rsidRPr="000C156A" w:rsidRDefault="004E5FB6" w:rsidP="00A15366">
      <w:pPr>
        <w:pStyle w:val="Figure"/>
        <w:keepNext w:val="0"/>
        <w:rPr>
          <w:noProof/>
          <w:lang w:val="en-US" w:eastAsia="zh-CN"/>
        </w:rPr>
      </w:pPr>
      <w:r w:rsidRPr="000C156A">
        <w:rPr>
          <w:noProof/>
          <w:lang w:val="en-US" w:eastAsia="zh-CN"/>
        </w:rPr>
        <w:drawing>
          <wp:inline distT="0" distB="0" distL="0" distR="0" wp14:anchorId="2BB8353A" wp14:editId="653689C6">
            <wp:extent cx="4572000" cy="3338512"/>
            <wp:effectExtent l="0" t="0" r="0" b="14605"/>
            <wp:docPr id="24" name="图表 24">
              <a:extLst xmlns:a="http://schemas.openxmlformats.org/drawingml/2006/main">
                <a:ext uri="{FF2B5EF4-FFF2-40B4-BE49-F238E27FC236}">
                  <a16:creationId xmlns:a16="http://schemas.microsoft.com/office/drawing/2014/main" id="{8CB567D4-2814-4020-9262-74B695E5C0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251137D" w14:textId="5B2C615C" w:rsidR="00CF43D8" w:rsidRPr="000C156A" w:rsidRDefault="004E5FB6" w:rsidP="001D1778">
      <w:pPr>
        <w:pStyle w:val="Headingb"/>
        <w:spacing w:before="240" w:after="240"/>
        <w:rPr>
          <w:u w:val="single"/>
          <w:lang w:eastAsia="zh-CN"/>
        </w:rPr>
      </w:pPr>
      <w:bookmarkStart w:id="77" w:name="_Toc73461000"/>
      <w:bookmarkStart w:id="78" w:name="_Toc73518647"/>
      <w:bookmarkStart w:id="79" w:name="_Toc73518794"/>
      <w:bookmarkStart w:id="80" w:name="_Toc73519194"/>
      <w:bookmarkStart w:id="81" w:name="_Toc73636076"/>
      <w:bookmarkStart w:id="82" w:name="_Toc73636218"/>
      <w:r w:rsidRPr="000C156A">
        <w:rPr>
          <w:rFonts w:hint="eastAsia"/>
          <w:u w:val="single"/>
          <w:lang w:val="fr-FR" w:eastAsia="zh-CN"/>
        </w:rPr>
        <w:lastRenderedPageBreak/>
        <w:t>负债比较</w:t>
      </w:r>
      <w:r w:rsidRPr="000C156A">
        <w:rPr>
          <w:rFonts w:hint="eastAsia"/>
          <w:u w:val="single"/>
          <w:lang w:eastAsia="zh-CN"/>
        </w:rPr>
        <w:t>：</w:t>
      </w:r>
      <w:r w:rsidRPr="000C156A">
        <w:rPr>
          <w:u w:val="single"/>
          <w:lang w:eastAsia="zh-CN"/>
        </w:rPr>
        <w:t>20</w:t>
      </w:r>
      <w:r w:rsidR="007F3673" w:rsidRPr="000C156A">
        <w:rPr>
          <w:u w:val="single"/>
          <w:lang w:eastAsia="zh-CN"/>
        </w:rPr>
        <w:t>20</w:t>
      </w:r>
      <w:r w:rsidRPr="000C156A">
        <w:rPr>
          <w:rFonts w:hint="eastAsia"/>
          <w:u w:val="single"/>
          <w:lang w:eastAsia="zh-CN"/>
        </w:rPr>
        <w:t>年</w:t>
      </w:r>
      <w:r w:rsidRPr="000C156A">
        <w:rPr>
          <w:u w:val="single"/>
          <w:lang w:eastAsia="zh-CN"/>
        </w:rPr>
        <w:t>12</w:t>
      </w:r>
      <w:r w:rsidRPr="000C156A">
        <w:rPr>
          <w:rFonts w:hint="eastAsia"/>
          <w:u w:val="single"/>
          <w:lang w:eastAsia="zh-CN"/>
        </w:rPr>
        <w:t>月</w:t>
      </w:r>
      <w:r w:rsidRPr="000C156A">
        <w:rPr>
          <w:u w:val="single"/>
          <w:lang w:eastAsia="zh-CN"/>
        </w:rPr>
        <w:t>31</w:t>
      </w:r>
      <w:r w:rsidRPr="000C156A">
        <w:rPr>
          <w:rFonts w:hint="eastAsia"/>
          <w:u w:val="single"/>
          <w:lang w:eastAsia="zh-CN"/>
        </w:rPr>
        <w:t>日负债总计</w:t>
      </w:r>
      <w:r w:rsidR="007F3673" w:rsidRPr="000C156A">
        <w:rPr>
          <w:u w:val="single"/>
          <w:lang w:eastAsia="zh-CN"/>
        </w:rPr>
        <w:t>909</w:t>
      </w:r>
      <w:r w:rsidR="001D1778" w:rsidRPr="000C156A">
        <w:rPr>
          <w:u w:val="single"/>
          <w:lang w:eastAsia="zh-CN"/>
        </w:rPr>
        <w:t xml:space="preserve"> </w:t>
      </w:r>
      <w:r w:rsidR="007F3673" w:rsidRPr="000C156A">
        <w:rPr>
          <w:u w:val="single"/>
          <w:lang w:eastAsia="zh-CN"/>
        </w:rPr>
        <w:t>542</w:t>
      </w:r>
      <w:r w:rsidRPr="000C156A">
        <w:rPr>
          <w:rFonts w:hint="eastAsia"/>
          <w:u w:val="single"/>
          <w:lang w:eastAsia="zh-CN"/>
        </w:rPr>
        <w:t>瑞郎</w:t>
      </w:r>
      <w:bookmarkEnd w:id="77"/>
      <w:bookmarkEnd w:id="78"/>
      <w:bookmarkEnd w:id="79"/>
      <w:bookmarkEnd w:id="80"/>
      <w:bookmarkEnd w:id="81"/>
      <w:bookmarkEnd w:id="82"/>
    </w:p>
    <w:p w14:paraId="2E767F45" w14:textId="307490FB" w:rsidR="0062532D" w:rsidRPr="000C156A" w:rsidRDefault="003604AE" w:rsidP="00331C33">
      <w:pPr>
        <w:pStyle w:val="Figure"/>
        <w:rPr>
          <w:rFonts w:eastAsia="Times New Roman"/>
          <w:noProof/>
          <w:lang w:val="en-US" w:eastAsia="zh-CN"/>
        </w:rPr>
      </w:pPr>
      <w:r w:rsidRPr="000C156A">
        <w:rPr>
          <w:rFonts w:eastAsia="Times New Roman"/>
          <w:noProof/>
          <w:lang w:val="en-US" w:eastAsia="zh-CN"/>
        </w:rPr>
        <w:drawing>
          <wp:inline distT="0" distB="0" distL="0" distR="0" wp14:anchorId="31A6DE9B" wp14:editId="6E958DAB">
            <wp:extent cx="4572000" cy="2707005"/>
            <wp:effectExtent l="0" t="0" r="0" b="17145"/>
            <wp:docPr id="31" name="Chart 3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760536" w14:textId="65BFE1AA" w:rsidR="00B45046" w:rsidRPr="000C156A" w:rsidRDefault="006423EB" w:rsidP="00A335EA">
      <w:pPr>
        <w:spacing w:before="240"/>
        <w:rPr>
          <w:lang w:eastAsia="zh-CN"/>
        </w:rPr>
      </w:pPr>
      <w:r w:rsidRPr="000C156A">
        <w:rPr>
          <w:rFonts w:asciiTheme="minorHAnsi" w:hAnsiTheme="minorHAnsi" w:cs="Calibri"/>
          <w:szCs w:val="24"/>
          <w:lang w:val="en-US" w:eastAsia="zh-CN"/>
        </w:rPr>
        <w:t>29</w:t>
      </w:r>
      <w:r w:rsidRPr="000C156A">
        <w:rPr>
          <w:rFonts w:asciiTheme="minorHAnsi" w:hAnsiTheme="minorHAnsi" w:cs="Calibri"/>
          <w:szCs w:val="24"/>
          <w:lang w:val="en-US" w:eastAsia="zh-CN"/>
        </w:rPr>
        <w:tab/>
      </w:r>
      <w:r w:rsidR="00330381" w:rsidRPr="000C156A">
        <w:rPr>
          <w:rFonts w:hint="eastAsia"/>
          <w:lang w:eastAsia="zh-CN"/>
        </w:rPr>
        <w:t>最大的负债是职员和退休人员累积的未来职员福利。在</w:t>
      </w:r>
      <w:r w:rsidR="00330381" w:rsidRPr="000C156A">
        <w:rPr>
          <w:lang w:eastAsia="zh-CN"/>
        </w:rPr>
        <w:t>20</w:t>
      </w:r>
      <w:r w:rsidR="00D96136" w:rsidRPr="000C156A">
        <w:rPr>
          <w:lang w:eastAsia="zh-CN"/>
        </w:rPr>
        <w:t>20</w:t>
      </w:r>
      <w:r w:rsidR="00330381" w:rsidRPr="000C156A">
        <w:rPr>
          <w:rFonts w:hint="eastAsia"/>
          <w:lang w:eastAsia="zh-CN"/>
        </w:rPr>
        <w:t>年</w:t>
      </w:r>
      <w:r w:rsidR="00330381" w:rsidRPr="000C156A">
        <w:rPr>
          <w:lang w:eastAsia="zh-CN"/>
        </w:rPr>
        <w:t>12</w:t>
      </w:r>
      <w:r w:rsidR="00330381" w:rsidRPr="000C156A">
        <w:rPr>
          <w:rFonts w:hint="eastAsia"/>
          <w:lang w:eastAsia="zh-CN"/>
        </w:rPr>
        <w:t>月</w:t>
      </w:r>
      <w:r w:rsidR="00330381" w:rsidRPr="000C156A">
        <w:rPr>
          <w:lang w:eastAsia="zh-CN"/>
        </w:rPr>
        <w:t>31</w:t>
      </w:r>
      <w:r w:rsidR="00330381" w:rsidRPr="000C156A">
        <w:rPr>
          <w:rFonts w:hint="eastAsia"/>
          <w:lang w:eastAsia="zh-CN"/>
        </w:rPr>
        <w:t>日时</w:t>
      </w:r>
      <w:r w:rsidR="00330381" w:rsidRPr="000C156A">
        <w:rPr>
          <w:lang w:eastAsia="zh-CN"/>
        </w:rPr>
        <w:t>，这些</w:t>
      </w:r>
      <w:r w:rsidR="00330381" w:rsidRPr="000C156A">
        <w:rPr>
          <w:rFonts w:hint="eastAsia"/>
          <w:lang w:eastAsia="zh-CN"/>
        </w:rPr>
        <w:t>占国际电联总负债的</w:t>
      </w:r>
      <w:r w:rsidR="00330381" w:rsidRPr="000C156A">
        <w:rPr>
          <w:lang w:eastAsia="zh-CN"/>
        </w:rPr>
        <w:t>7</w:t>
      </w:r>
      <w:r w:rsidR="00D96136" w:rsidRPr="000C156A">
        <w:rPr>
          <w:lang w:eastAsia="zh-CN"/>
        </w:rPr>
        <w:t>2</w:t>
      </w:r>
      <w:r w:rsidR="00330381" w:rsidRPr="000C156A">
        <w:rPr>
          <w:lang w:eastAsia="zh-CN"/>
        </w:rPr>
        <w:t>%</w:t>
      </w:r>
      <w:r w:rsidR="00330381" w:rsidRPr="000C156A">
        <w:rPr>
          <w:rFonts w:hint="eastAsia"/>
          <w:lang w:eastAsia="zh-CN"/>
        </w:rPr>
        <w:t>。</w:t>
      </w:r>
    </w:p>
    <w:p w14:paraId="6E9939E8" w14:textId="0649B397" w:rsidR="003B5BED" w:rsidRPr="000C156A" w:rsidRDefault="006423EB" w:rsidP="0050766A">
      <w:pPr>
        <w:rPr>
          <w:lang w:eastAsia="zh-CN"/>
        </w:rPr>
      </w:pPr>
      <w:r w:rsidRPr="000C156A">
        <w:rPr>
          <w:rFonts w:asciiTheme="minorHAnsi" w:hAnsiTheme="minorHAnsi" w:cs="Calibri"/>
          <w:lang w:val="en-US" w:eastAsia="zh-CN"/>
        </w:rPr>
        <w:t>30</w:t>
      </w:r>
      <w:r w:rsidRPr="000C156A">
        <w:rPr>
          <w:rFonts w:asciiTheme="minorHAnsi" w:hAnsiTheme="minorHAnsi" w:cs="Calibri"/>
          <w:lang w:val="en-US" w:eastAsia="zh-CN"/>
        </w:rPr>
        <w:tab/>
      </w:r>
      <w:r w:rsidR="00B76295" w:rsidRPr="000C156A">
        <w:rPr>
          <w:rFonts w:hint="eastAsia"/>
          <w:lang w:eastAsia="zh-CN"/>
        </w:rPr>
        <w:t>离职后健康保险（</w:t>
      </w:r>
      <w:r w:rsidR="00B76295" w:rsidRPr="000C156A">
        <w:rPr>
          <w:rFonts w:hint="eastAsia"/>
          <w:lang w:eastAsia="zh-CN"/>
        </w:rPr>
        <w:t>ASHI</w:t>
      </w:r>
      <w:r w:rsidR="00B76295" w:rsidRPr="000C156A">
        <w:rPr>
          <w:rFonts w:hint="eastAsia"/>
          <w:lang w:eastAsia="zh-CN"/>
        </w:rPr>
        <w:t>）负债</w:t>
      </w:r>
      <w:r w:rsidR="00B76295" w:rsidRPr="000C156A">
        <w:rPr>
          <w:lang w:eastAsia="zh-CN"/>
        </w:rPr>
        <w:t>仍</w:t>
      </w:r>
      <w:r w:rsidR="00B76295" w:rsidRPr="000C156A">
        <w:rPr>
          <w:rFonts w:hint="eastAsia"/>
          <w:lang w:eastAsia="zh-CN"/>
        </w:rPr>
        <w:t>占职员福利负债</w:t>
      </w:r>
      <w:r w:rsidR="00B76295" w:rsidRPr="000C156A">
        <w:rPr>
          <w:lang w:eastAsia="zh-CN"/>
        </w:rPr>
        <w:t>总额</w:t>
      </w:r>
      <w:r w:rsidR="00B76295" w:rsidRPr="000C156A">
        <w:rPr>
          <w:rFonts w:hint="eastAsia"/>
          <w:lang w:eastAsia="zh-CN"/>
        </w:rPr>
        <w:t>的</w:t>
      </w:r>
      <w:r w:rsidR="00B76295" w:rsidRPr="000C156A">
        <w:rPr>
          <w:lang w:eastAsia="zh-CN"/>
        </w:rPr>
        <w:t>96%</w:t>
      </w:r>
      <w:r w:rsidR="006B382D" w:rsidRPr="000C156A">
        <w:rPr>
          <w:rFonts w:hint="eastAsia"/>
          <w:lang w:eastAsia="zh-CN"/>
        </w:rPr>
        <w:t>。</w:t>
      </w:r>
      <w:r w:rsidR="006B382D" w:rsidRPr="000C156A">
        <w:rPr>
          <w:lang w:eastAsia="zh-CN"/>
        </w:rPr>
        <w:t>尽管由于贴现率从</w:t>
      </w:r>
      <w:r w:rsidR="006B382D" w:rsidRPr="000C156A">
        <w:rPr>
          <w:lang w:eastAsia="zh-CN"/>
        </w:rPr>
        <w:t>0.6%</w:t>
      </w:r>
      <w:r w:rsidR="006B382D" w:rsidRPr="000C156A">
        <w:rPr>
          <w:lang w:eastAsia="zh-CN"/>
        </w:rPr>
        <w:t>降至</w:t>
      </w:r>
      <w:r w:rsidR="006B382D" w:rsidRPr="000C156A">
        <w:rPr>
          <w:lang w:eastAsia="zh-CN"/>
        </w:rPr>
        <w:t>0.2%</w:t>
      </w:r>
      <w:r w:rsidR="006B382D" w:rsidRPr="000C156A">
        <w:rPr>
          <w:lang w:eastAsia="zh-CN"/>
        </w:rPr>
        <w:t>，</w:t>
      </w:r>
      <w:r w:rsidR="006B382D" w:rsidRPr="000C156A">
        <w:rPr>
          <w:lang w:eastAsia="zh-CN"/>
        </w:rPr>
        <w:t>ASHI</w:t>
      </w:r>
      <w:r w:rsidR="006B382D" w:rsidRPr="000C156A">
        <w:rPr>
          <w:lang w:eastAsia="zh-CN"/>
        </w:rPr>
        <w:t>负债有所增加，但这一负债是稳定</w:t>
      </w:r>
      <w:r w:rsidR="006B382D" w:rsidRPr="000C156A">
        <w:rPr>
          <w:rFonts w:hint="eastAsia"/>
          <w:lang w:eastAsia="zh-CN"/>
        </w:rPr>
        <w:t>的</w:t>
      </w:r>
      <w:r w:rsidR="00B76295" w:rsidRPr="000C156A">
        <w:rPr>
          <w:rFonts w:hint="eastAsia"/>
          <w:lang w:eastAsia="zh-CN"/>
        </w:rPr>
        <w:t>。</w:t>
      </w:r>
    </w:p>
    <w:p w14:paraId="4A66F932" w14:textId="5466CA18" w:rsidR="003B5BED" w:rsidRPr="000C156A" w:rsidRDefault="006423EB" w:rsidP="0050766A">
      <w:pPr>
        <w:rPr>
          <w:lang w:eastAsia="zh-CN"/>
        </w:rPr>
      </w:pPr>
      <w:r w:rsidRPr="000C156A">
        <w:rPr>
          <w:rFonts w:asciiTheme="minorHAnsi" w:hAnsiTheme="minorHAnsi" w:cs="Calibri"/>
          <w:szCs w:val="24"/>
          <w:lang w:val="en-US" w:eastAsia="zh-CN"/>
        </w:rPr>
        <w:t>31</w:t>
      </w:r>
      <w:r w:rsidRPr="000C156A">
        <w:rPr>
          <w:rFonts w:asciiTheme="minorHAnsi" w:hAnsiTheme="minorHAnsi" w:cs="Calibri"/>
          <w:szCs w:val="24"/>
          <w:lang w:val="en-US" w:eastAsia="zh-CN"/>
        </w:rPr>
        <w:tab/>
      </w:r>
      <w:r w:rsidR="00496FD1" w:rsidRPr="000C156A">
        <w:rPr>
          <w:rFonts w:hint="eastAsia"/>
          <w:lang w:eastAsia="zh-CN"/>
        </w:rPr>
        <w:t>应当</w:t>
      </w:r>
      <w:r w:rsidR="00B76295" w:rsidRPr="000C156A">
        <w:rPr>
          <w:rFonts w:hint="eastAsia"/>
          <w:lang w:eastAsia="zh-CN"/>
        </w:rPr>
        <w:t>指出，某些</w:t>
      </w:r>
      <w:r w:rsidR="00496FD1" w:rsidRPr="000C156A">
        <w:rPr>
          <w:rFonts w:hint="eastAsia"/>
          <w:lang w:eastAsia="zh-CN"/>
        </w:rPr>
        <w:t>费用未列入</w:t>
      </w:r>
      <w:r w:rsidR="00B76295" w:rsidRPr="000C156A">
        <w:rPr>
          <w:rFonts w:hint="eastAsia"/>
          <w:lang w:eastAsia="zh-CN"/>
        </w:rPr>
        <w:t>预算，其中主要涉及折旧、未实现的兑换率损益和离职后健康保险（</w:t>
      </w:r>
      <w:r w:rsidR="00B76295" w:rsidRPr="000C156A">
        <w:rPr>
          <w:lang w:eastAsia="zh-CN"/>
        </w:rPr>
        <w:t>ASHI</w:t>
      </w:r>
      <w:r w:rsidR="00B76295" w:rsidRPr="000C156A">
        <w:rPr>
          <w:rFonts w:hint="eastAsia"/>
          <w:lang w:eastAsia="zh-CN"/>
        </w:rPr>
        <w:t>）准备金的调整。这些费用基本属于统计数据，不代表该年度的现金流出量。这些情况概貌见本文件表五</w:t>
      </w:r>
      <w:r w:rsidR="00B76295" w:rsidRPr="000C156A">
        <w:rPr>
          <w:rFonts w:hint="eastAsia"/>
          <w:lang w:eastAsia="zh-CN"/>
        </w:rPr>
        <w:t xml:space="preserve"> </w:t>
      </w:r>
      <w:r w:rsidR="00B76295" w:rsidRPr="000C156A">
        <w:rPr>
          <w:lang w:eastAsia="zh-CN"/>
        </w:rPr>
        <w:t>– 20</w:t>
      </w:r>
      <w:r w:rsidR="00496FD1" w:rsidRPr="000C156A">
        <w:rPr>
          <w:lang w:eastAsia="zh-CN"/>
        </w:rPr>
        <w:t>20</w:t>
      </w:r>
      <w:r w:rsidR="00496FD1" w:rsidRPr="000C156A">
        <w:rPr>
          <w:rFonts w:hint="eastAsia"/>
          <w:lang w:eastAsia="zh-CN"/>
        </w:rPr>
        <w:t>财政</w:t>
      </w:r>
      <w:r w:rsidR="00B76295" w:rsidRPr="000C156A">
        <w:rPr>
          <w:rFonts w:hint="eastAsia"/>
          <w:lang w:eastAsia="zh-CN"/>
        </w:rPr>
        <w:t>期预算金额和实际发生金额的对比。</w:t>
      </w:r>
    </w:p>
    <w:p w14:paraId="3FC26378" w14:textId="0A19314D" w:rsidR="00A93635" w:rsidRPr="000C156A" w:rsidRDefault="006423EB" w:rsidP="0050766A">
      <w:pPr>
        <w:rPr>
          <w:lang w:eastAsia="zh-CN"/>
        </w:rPr>
      </w:pPr>
      <w:r w:rsidRPr="000C156A">
        <w:rPr>
          <w:rFonts w:asciiTheme="minorHAnsi" w:hAnsiTheme="minorHAnsi" w:cs="Calibri"/>
          <w:szCs w:val="24"/>
          <w:lang w:val="en-US" w:eastAsia="zh-CN"/>
        </w:rPr>
        <w:t>32</w:t>
      </w:r>
      <w:r w:rsidRPr="000C156A">
        <w:rPr>
          <w:rFonts w:asciiTheme="minorHAnsi" w:hAnsiTheme="minorHAnsi" w:cs="Calibri"/>
          <w:szCs w:val="24"/>
          <w:lang w:val="en-US" w:eastAsia="zh-CN"/>
        </w:rPr>
        <w:tab/>
      </w:r>
      <w:r w:rsidR="00B76295" w:rsidRPr="000C156A">
        <w:rPr>
          <w:lang w:eastAsia="zh-CN"/>
        </w:rPr>
        <w:t>20</w:t>
      </w:r>
      <w:r w:rsidR="00496FD1" w:rsidRPr="000C156A">
        <w:rPr>
          <w:lang w:eastAsia="zh-CN"/>
        </w:rPr>
        <w:t>20</w:t>
      </w:r>
      <w:r w:rsidR="00B76295" w:rsidRPr="000C156A">
        <w:rPr>
          <w:rFonts w:hint="eastAsia"/>
          <w:lang w:eastAsia="zh-CN"/>
        </w:rPr>
        <w:t>年信托基金收到的现金捐款为</w:t>
      </w:r>
      <w:r w:rsidR="00496FD1" w:rsidRPr="000C156A">
        <w:rPr>
          <w:rFonts w:hint="eastAsia"/>
          <w:lang w:eastAsia="zh-CN"/>
        </w:rPr>
        <w:t>8</w:t>
      </w:r>
      <w:r w:rsidR="00496FD1" w:rsidRPr="000C156A">
        <w:rPr>
          <w:lang w:eastAsia="zh-CN"/>
        </w:rPr>
        <w:t>00</w:t>
      </w:r>
      <w:r w:rsidR="00B76295" w:rsidRPr="000C156A">
        <w:rPr>
          <w:rFonts w:hint="eastAsia"/>
          <w:lang w:eastAsia="zh-CN"/>
        </w:rPr>
        <w:t>万瑞郎（</w:t>
      </w:r>
      <w:r w:rsidR="00B76295" w:rsidRPr="000C156A">
        <w:rPr>
          <w:lang w:eastAsia="zh-CN"/>
        </w:rPr>
        <w:t>201</w:t>
      </w:r>
      <w:r w:rsidR="00496FD1" w:rsidRPr="000C156A">
        <w:rPr>
          <w:lang w:eastAsia="zh-CN"/>
        </w:rPr>
        <w:t>9</w:t>
      </w:r>
      <w:r w:rsidR="00B76295" w:rsidRPr="000C156A">
        <w:rPr>
          <w:rFonts w:hint="eastAsia"/>
          <w:lang w:eastAsia="zh-CN"/>
        </w:rPr>
        <w:t>年为</w:t>
      </w:r>
      <w:r w:rsidR="00496FD1" w:rsidRPr="000C156A">
        <w:rPr>
          <w:rFonts w:hint="eastAsia"/>
          <w:lang w:eastAsia="zh-CN"/>
        </w:rPr>
        <w:t>1</w:t>
      </w:r>
      <w:r w:rsidR="00496FD1" w:rsidRPr="000C156A">
        <w:rPr>
          <w:lang w:eastAsia="zh-CN"/>
        </w:rPr>
        <w:t xml:space="preserve"> 18</w:t>
      </w:r>
      <w:r w:rsidR="00496FD1" w:rsidRPr="000C156A">
        <w:rPr>
          <w:rFonts w:hint="eastAsia"/>
          <w:lang w:eastAsia="zh-CN"/>
        </w:rPr>
        <w:t>0</w:t>
      </w:r>
      <w:r w:rsidR="00B76295" w:rsidRPr="000C156A">
        <w:rPr>
          <w:rFonts w:hint="eastAsia"/>
          <w:lang w:eastAsia="zh-CN"/>
        </w:rPr>
        <w:t>万瑞郎）。</w:t>
      </w:r>
    </w:p>
    <w:p w14:paraId="491B0425" w14:textId="65B3615A" w:rsidR="009E2348" w:rsidRPr="000C156A" w:rsidRDefault="006423EB" w:rsidP="0050766A">
      <w:pPr>
        <w:rPr>
          <w:lang w:eastAsia="zh-CN"/>
        </w:rPr>
      </w:pPr>
      <w:r w:rsidRPr="000C156A">
        <w:rPr>
          <w:rFonts w:asciiTheme="minorHAnsi" w:hAnsiTheme="minorHAnsi" w:cs="Calibri"/>
          <w:szCs w:val="24"/>
          <w:lang w:val="en-US" w:eastAsia="zh-CN"/>
        </w:rPr>
        <w:t>33</w:t>
      </w:r>
      <w:r w:rsidRPr="000C156A">
        <w:rPr>
          <w:rFonts w:asciiTheme="minorHAnsi" w:hAnsiTheme="minorHAnsi" w:cs="Calibri"/>
          <w:szCs w:val="24"/>
          <w:lang w:val="en-US" w:eastAsia="zh-CN"/>
        </w:rPr>
        <w:tab/>
      </w:r>
      <w:r w:rsidR="00B76295" w:rsidRPr="000C156A">
        <w:rPr>
          <w:lang w:eastAsia="zh-CN"/>
        </w:rPr>
        <w:t>20</w:t>
      </w:r>
      <w:r w:rsidR="009F6AED" w:rsidRPr="000C156A">
        <w:rPr>
          <w:lang w:eastAsia="zh-CN"/>
        </w:rPr>
        <w:t>20</w:t>
      </w:r>
      <w:r w:rsidR="00B76295" w:rsidRPr="000C156A">
        <w:rPr>
          <w:rFonts w:hint="eastAsia"/>
          <w:lang w:eastAsia="zh-CN"/>
        </w:rPr>
        <w:t>年各种活动收到的自愿捐款达</w:t>
      </w:r>
      <w:r w:rsidR="00B76295" w:rsidRPr="000C156A">
        <w:rPr>
          <w:lang w:eastAsia="zh-CN"/>
        </w:rPr>
        <w:t>2</w:t>
      </w:r>
      <w:r w:rsidR="009F6AED" w:rsidRPr="000C156A">
        <w:rPr>
          <w:lang w:eastAsia="zh-CN"/>
        </w:rPr>
        <w:t>8</w:t>
      </w:r>
      <w:r w:rsidR="00B76295" w:rsidRPr="000C156A">
        <w:rPr>
          <w:lang w:eastAsia="zh-CN"/>
        </w:rPr>
        <w:t>0</w:t>
      </w:r>
      <w:r w:rsidR="00B76295" w:rsidRPr="000C156A">
        <w:rPr>
          <w:rFonts w:hint="eastAsia"/>
          <w:lang w:eastAsia="zh-CN"/>
        </w:rPr>
        <w:t>万瑞郎，比</w:t>
      </w:r>
      <w:r w:rsidR="00B76295" w:rsidRPr="000C156A">
        <w:rPr>
          <w:rFonts w:hint="eastAsia"/>
          <w:lang w:eastAsia="zh-CN"/>
        </w:rPr>
        <w:t>2</w:t>
      </w:r>
      <w:r w:rsidR="00B76295" w:rsidRPr="000C156A">
        <w:rPr>
          <w:lang w:eastAsia="zh-CN"/>
        </w:rPr>
        <w:t>0</w:t>
      </w:r>
      <w:r w:rsidR="009F6AED" w:rsidRPr="000C156A">
        <w:rPr>
          <w:lang w:eastAsia="zh-CN"/>
        </w:rPr>
        <w:t>19</w:t>
      </w:r>
      <w:r w:rsidR="00B76295" w:rsidRPr="000C156A">
        <w:rPr>
          <w:rFonts w:hint="eastAsia"/>
          <w:lang w:eastAsia="zh-CN"/>
        </w:rPr>
        <w:t>年（</w:t>
      </w:r>
      <w:r w:rsidR="009F6AED" w:rsidRPr="000C156A">
        <w:rPr>
          <w:lang w:eastAsia="zh-CN"/>
        </w:rPr>
        <w:t>210</w:t>
      </w:r>
      <w:r w:rsidR="00B76295" w:rsidRPr="000C156A">
        <w:rPr>
          <w:rFonts w:hint="eastAsia"/>
          <w:lang w:eastAsia="zh-CN"/>
        </w:rPr>
        <w:t>万瑞郎）增加</w:t>
      </w:r>
      <w:r w:rsidR="009F6AED" w:rsidRPr="000C156A">
        <w:rPr>
          <w:rFonts w:hint="eastAsia"/>
          <w:lang w:eastAsia="zh-CN"/>
        </w:rPr>
        <w:t>了</w:t>
      </w:r>
      <w:r w:rsidR="009F6AED" w:rsidRPr="000C156A">
        <w:rPr>
          <w:lang w:eastAsia="zh-CN"/>
        </w:rPr>
        <w:t>30</w:t>
      </w:r>
      <w:r w:rsidR="00B76295" w:rsidRPr="000C156A">
        <w:rPr>
          <w:rFonts w:hint="eastAsia"/>
          <w:lang w:eastAsia="zh-CN"/>
        </w:rPr>
        <w:t>%</w:t>
      </w:r>
      <w:r w:rsidR="00B76295" w:rsidRPr="000C156A">
        <w:rPr>
          <w:rFonts w:hint="eastAsia"/>
          <w:lang w:eastAsia="zh-CN"/>
        </w:rPr>
        <w:t>。</w:t>
      </w:r>
    </w:p>
    <w:p w14:paraId="2C7AC87F" w14:textId="5E68AC4E" w:rsidR="00030A07" w:rsidRPr="000C156A" w:rsidRDefault="006423EB" w:rsidP="0050766A">
      <w:pPr>
        <w:rPr>
          <w:lang w:eastAsia="zh-CN"/>
        </w:rPr>
      </w:pPr>
      <w:r w:rsidRPr="000C156A">
        <w:rPr>
          <w:rFonts w:asciiTheme="minorHAnsi" w:hAnsiTheme="minorHAnsi" w:cs="Calibri"/>
          <w:szCs w:val="24"/>
          <w:lang w:val="en-US" w:eastAsia="zh-CN"/>
        </w:rPr>
        <w:t>34</w:t>
      </w:r>
      <w:r w:rsidRPr="000C156A">
        <w:rPr>
          <w:rFonts w:asciiTheme="minorHAnsi" w:hAnsiTheme="minorHAnsi" w:cs="Calibri"/>
          <w:szCs w:val="24"/>
          <w:lang w:val="en-US" w:eastAsia="zh-CN"/>
        </w:rPr>
        <w:tab/>
      </w:r>
      <w:r w:rsidR="00B76295" w:rsidRPr="000C156A">
        <w:rPr>
          <w:lang w:eastAsia="zh-CN"/>
        </w:rPr>
        <w:t>ICT</w:t>
      </w:r>
      <w:r w:rsidR="00B76295" w:rsidRPr="000C156A">
        <w:rPr>
          <w:rFonts w:hint="eastAsia"/>
          <w:lang w:eastAsia="zh-CN"/>
        </w:rPr>
        <w:t>发展基金截至</w:t>
      </w:r>
      <w:r w:rsidR="00B76295" w:rsidRPr="000C156A">
        <w:rPr>
          <w:lang w:eastAsia="zh-CN"/>
        </w:rPr>
        <w:t>20</w:t>
      </w:r>
      <w:r w:rsidR="009F6AED" w:rsidRPr="000C156A">
        <w:rPr>
          <w:lang w:eastAsia="zh-CN"/>
        </w:rPr>
        <w:t>20</w:t>
      </w:r>
      <w:r w:rsidR="00B76295" w:rsidRPr="000C156A">
        <w:rPr>
          <w:rFonts w:hint="eastAsia"/>
          <w:lang w:eastAsia="zh-CN"/>
        </w:rPr>
        <w:t>年</w:t>
      </w:r>
      <w:r w:rsidR="00B76295" w:rsidRPr="000C156A">
        <w:rPr>
          <w:lang w:eastAsia="zh-CN"/>
        </w:rPr>
        <w:t>12</w:t>
      </w:r>
      <w:r w:rsidR="00B76295" w:rsidRPr="000C156A">
        <w:rPr>
          <w:rFonts w:hint="eastAsia"/>
          <w:lang w:eastAsia="zh-CN"/>
        </w:rPr>
        <w:t>月</w:t>
      </w:r>
      <w:r w:rsidR="00B76295" w:rsidRPr="000C156A">
        <w:rPr>
          <w:lang w:eastAsia="zh-CN"/>
        </w:rPr>
        <w:t>31</w:t>
      </w:r>
      <w:r w:rsidR="00B76295" w:rsidRPr="000C156A">
        <w:rPr>
          <w:rFonts w:hint="eastAsia"/>
          <w:lang w:eastAsia="zh-CN"/>
        </w:rPr>
        <w:t>日的余额为</w:t>
      </w:r>
      <w:r w:rsidR="009F6AED" w:rsidRPr="000C156A">
        <w:rPr>
          <w:lang w:eastAsia="zh-CN"/>
        </w:rPr>
        <w:t>38</w:t>
      </w:r>
      <w:r w:rsidR="00B76295" w:rsidRPr="000C156A">
        <w:rPr>
          <w:lang w:eastAsia="zh-CN"/>
        </w:rPr>
        <w:t>0</w:t>
      </w:r>
      <w:r w:rsidR="00B76295" w:rsidRPr="000C156A">
        <w:rPr>
          <w:rFonts w:hint="eastAsia"/>
          <w:lang w:eastAsia="zh-CN"/>
        </w:rPr>
        <w:t>万瑞郎（</w:t>
      </w:r>
      <w:r w:rsidR="00B76295" w:rsidRPr="000C156A">
        <w:rPr>
          <w:lang w:eastAsia="zh-CN"/>
        </w:rPr>
        <w:t>201</w:t>
      </w:r>
      <w:r w:rsidR="009F6AED" w:rsidRPr="000C156A">
        <w:rPr>
          <w:lang w:eastAsia="zh-CN"/>
        </w:rPr>
        <w:t>9</w:t>
      </w:r>
      <w:r w:rsidR="00B76295" w:rsidRPr="000C156A">
        <w:rPr>
          <w:rFonts w:hint="eastAsia"/>
          <w:lang w:eastAsia="zh-CN"/>
        </w:rPr>
        <w:t>年</w:t>
      </w:r>
      <w:r w:rsidR="00B76295" w:rsidRPr="000C156A">
        <w:rPr>
          <w:lang w:eastAsia="zh-CN"/>
        </w:rPr>
        <w:t>12</w:t>
      </w:r>
      <w:r w:rsidR="00B76295" w:rsidRPr="000C156A">
        <w:rPr>
          <w:rFonts w:hint="eastAsia"/>
          <w:lang w:eastAsia="zh-CN"/>
        </w:rPr>
        <w:t>月</w:t>
      </w:r>
      <w:r w:rsidR="00B76295" w:rsidRPr="000C156A">
        <w:rPr>
          <w:lang w:eastAsia="zh-CN"/>
        </w:rPr>
        <w:t>31</w:t>
      </w:r>
      <w:r w:rsidR="00B76295" w:rsidRPr="000C156A">
        <w:rPr>
          <w:rFonts w:hint="eastAsia"/>
          <w:lang w:eastAsia="zh-CN"/>
        </w:rPr>
        <w:t>日为</w:t>
      </w:r>
      <w:r w:rsidR="00B76295" w:rsidRPr="000C156A">
        <w:rPr>
          <w:lang w:eastAsia="zh-CN"/>
        </w:rPr>
        <w:t>4</w:t>
      </w:r>
      <w:r w:rsidR="009F6AED" w:rsidRPr="000C156A">
        <w:rPr>
          <w:lang w:eastAsia="zh-CN"/>
        </w:rPr>
        <w:t>6</w:t>
      </w:r>
      <w:r w:rsidR="00B76295" w:rsidRPr="000C156A">
        <w:rPr>
          <w:lang w:eastAsia="zh-CN"/>
        </w:rPr>
        <w:t>0</w:t>
      </w:r>
      <w:r w:rsidR="00B76295" w:rsidRPr="000C156A">
        <w:rPr>
          <w:rFonts w:hint="eastAsia"/>
          <w:lang w:eastAsia="zh-CN"/>
        </w:rPr>
        <w:t>万瑞郎）。</w:t>
      </w:r>
    </w:p>
    <w:p w14:paraId="41E58CA9" w14:textId="0B21ABAD" w:rsidR="00E36ACF" w:rsidRPr="000C156A" w:rsidRDefault="006423EB" w:rsidP="0050766A">
      <w:pPr>
        <w:rPr>
          <w:lang w:eastAsia="zh-CN"/>
        </w:rPr>
      </w:pPr>
      <w:r w:rsidRPr="000C156A">
        <w:rPr>
          <w:rFonts w:asciiTheme="minorHAnsi" w:hAnsiTheme="minorHAnsi" w:cs="Calibri"/>
          <w:szCs w:val="24"/>
          <w:lang w:val="en-US" w:eastAsia="zh-CN"/>
        </w:rPr>
        <w:t>35</w:t>
      </w:r>
      <w:r w:rsidRPr="000C156A">
        <w:rPr>
          <w:rFonts w:asciiTheme="minorHAnsi" w:hAnsiTheme="minorHAnsi" w:cs="Calibri"/>
          <w:szCs w:val="24"/>
          <w:lang w:val="en-US" w:eastAsia="zh-CN"/>
        </w:rPr>
        <w:tab/>
      </w:r>
      <w:r w:rsidR="00B76295" w:rsidRPr="000C156A">
        <w:rPr>
          <w:lang w:eastAsia="zh-CN"/>
        </w:rPr>
        <w:t>20</w:t>
      </w:r>
      <w:r w:rsidR="00130014" w:rsidRPr="000C156A">
        <w:rPr>
          <w:lang w:eastAsia="zh-CN"/>
        </w:rPr>
        <w:t>20</w:t>
      </w:r>
      <w:r w:rsidR="00B76295" w:rsidRPr="000C156A">
        <w:rPr>
          <w:rFonts w:hint="eastAsia"/>
          <w:lang w:eastAsia="zh-CN"/>
        </w:rPr>
        <w:t>年，信托基金总支出为</w:t>
      </w:r>
      <w:r w:rsidR="00130014" w:rsidRPr="000C156A">
        <w:rPr>
          <w:lang w:eastAsia="zh-CN"/>
        </w:rPr>
        <w:t>67</w:t>
      </w:r>
      <w:r w:rsidR="00B76295" w:rsidRPr="000C156A">
        <w:rPr>
          <w:rFonts w:hint="eastAsia"/>
          <w:lang w:eastAsia="zh-CN"/>
        </w:rPr>
        <w:t>0</w:t>
      </w:r>
      <w:r w:rsidR="00B76295" w:rsidRPr="000C156A">
        <w:rPr>
          <w:rFonts w:hint="eastAsia"/>
          <w:lang w:eastAsia="zh-CN"/>
        </w:rPr>
        <w:t>万瑞郎，产生项目支持收入</w:t>
      </w:r>
      <w:r w:rsidR="00130014" w:rsidRPr="000C156A">
        <w:rPr>
          <w:lang w:eastAsia="zh-CN"/>
        </w:rPr>
        <w:t>24</w:t>
      </w:r>
      <w:r w:rsidR="00B76295" w:rsidRPr="000C156A">
        <w:rPr>
          <w:rFonts w:hint="eastAsia"/>
          <w:lang w:eastAsia="zh-CN"/>
        </w:rPr>
        <w:t>万瑞郎。</w:t>
      </w:r>
    </w:p>
    <w:p w14:paraId="4E66BB61" w14:textId="3809C018" w:rsidR="009E2348" w:rsidRPr="000C156A" w:rsidRDefault="006423EB" w:rsidP="0050766A">
      <w:pPr>
        <w:rPr>
          <w:lang w:eastAsia="zh-CN"/>
        </w:rPr>
      </w:pPr>
      <w:r w:rsidRPr="000C156A">
        <w:rPr>
          <w:rFonts w:cs="Calibri"/>
          <w:szCs w:val="24"/>
          <w:lang w:val="en-US" w:eastAsia="zh-CN"/>
        </w:rPr>
        <w:t>36</w:t>
      </w:r>
      <w:r w:rsidRPr="000C156A">
        <w:rPr>
          <w:rFonts w:cs="Calibri"/>
          <w:szCs w:val="24"/>
          <w:lang w:val="en-US" w:eastAsia="zh-CN"/>
        </w:rPr>
        <w:tab/>
      </w:r>
      <w:r w:rsidR="00DB3FD3" w:rsidRPr="000C156A">
        <w:rPr>
          <w:rFonts w:hint="eastAsia"/>
          <w:lang w:eastAsia="zh-CN"/>
        </w:rPr>
        <w:t>由于</w:t>
      </w:r>
      <w:r w:rsidR="0001527A" w:rsidRPr="000C156A">
        <w:rPr>
          <w:lang w:eastAsia="zh-CN"/>
        </w:rPr>
        <w:t>COVID-19</w:t>
      </w:r>
      <w:r w:rsidR="00DB3FD3" w:rsidRPr="000C156A">
        <w:rPr>
          <w:rFonts w:hint="eastAsia"/>
          <w:lang w:eastAsia="zh-CN"/>
        </w:rPr>
        <w:t>，国际电联世界电信展被推迟到</w:t>
      </w:r>
      <w:r w:rsidR="00DB3FD3" w:rsidRPr="000C156A">
        <w:rPr>
          <w:rFonts w:hint="eastAsia"/>
          <w:lang w:eastAsia="zh-CN"/>
        </w:rPr>
        <w:t>2021</w:t>
      </w:r>
      <w:r w:rsidR="00DB3FD3" w:rsidRPr="000C156A">
        <w:rPr>
          <w:rFonts w:hint="eastAsia"/>
          <w:lang w:eastAsia="zh-CN"/>
        </w:rPr>
        <w:t>年。虽然电信</w:t>
      </w:r>
      <w:r w:rsidR="0001527A" w:rsidRPr="000C156A">
        <w:rPr>
          <w:rFonts w:hint="eastAsia"/>
          <w:lang w:eastAsia="zh-CN"/>
        </w:rPr>
        <w:t>展览部</w:t>
      </w:r>
      <w:r w:rsidR="00DB3FD3" w:rsidRPr="000C156A">
        <w:rPr>
          <w:rFonts w:hint="eastAsia"/>
          <w:lang w:eastAsia="zh-CN"/>
        </w:rPr>
        <w:t>秘书处仍需支持诸如工资等直接开支，但不可能</w:t>
      </w:r>
      <w:r w:rsidR="0001527A" w:rsidRPr="000C156A">
        <w:rPr>
          <w:rFonts w:hint="eastAsia"/>
          <w:lang w:eastAsia="zh-CN"/>
        </w:rPr>
        <w:t>带来</w:t>
      </w:r>
      <w:r w:rsidR="00DB3FD3" w:rsidRPr="000C156A">
        <w:rPr>
          <w:rFonts w:hint="eastAsia"/>
          <w:lang w:eastAsia="zh-CN"/>
        </w:rPr>
        <w:t>收入。因此，国际电联</w:t>
      </w:r>
      <w:r w:rsidR="00DB3FD3" w:rsidRPr="000C156A">
        <w:rPr>
          <w:rFonts w:hint="eastAsia"/>
          <w:lang w:eastAsia="zh-CN"/>
        </w:rPr>
        <w:t>2020</w:t>
      </w:r>
      <w:r w:rsidR="00DB3FD3" w:rsidRPr="000C156A">
        <w:rPr>
          <w:rFonts w:hint="eastAsia"/>
          <w:lang w:eastAsia="zh-CN"/>
        </w:rPr>
        <w:t>年数字世界</w:t>
      </w:r>
      <w:r w:rsidR="0001527A" w:rsidRPr="000C156A">
        <w:rPr>
          <w:rFonts w:hint="eastAsia"/>
          <w:lang w:eastAsia="zh-CN"/>
        </w:rPr>
        <w:t>存在</w:t>
      </w:r>
      <w:r w:rsidR="00DB3FD3" w:rsidRPr="000C156A">
        <w:rPr>
          <w:rFonts w:hint="eastAsia"/>
          <w:lang w:eastAsia="zh-CN"/>
        </w:rPr>
        <w:t>190</w:t>
      </w:r>
      <w:r w:rsidR="00DB3FD3" w:rsidRPr="000C156A">
        <w:rPr>
          <w:rFonts w:hint="eastAsia"/>
          <w:lang w:eastAsia="zh-CN"/>
        </w:rPr>
        <w:t>万瑞郎的赤字，从</w:t>
      </w:r>
      <w:r w:rsidR="0001527A" w:rsidRPr="000C156A">
        <w:rPr>
          <w:rFonts w:hint="eastAsia"/>
          <w:lang w:eastAsia="zh-CN"/>
        </w:rPr>
        <w:t>电信</w:t>
      </w:r>
      <w:r w:rsidR="00DB3FD3" w:rsidRPr="000C156A">
        <w:rPr>
          <w:rFonts w:hint="eastAsia"/>
          <w:lang w:eastAsia="zh-CN"/>
        </w:rPr>
        <w:t>展周转基金中提取。截至</w:t>
      </w:r>
      <w:r w:rsidR="00DB3FD3" w:rsidRPr="000C156A">
        <w:rPr>
          <w:rFonts w:hint="eastAsia"/>
          <w:lang w:eastAsia="zh-CN"/>
        </w:rPr>
        <w:t>2020</w:t>
      </w:r>
      <w:r w:rsidR="00DB3FD3" w:rsidRPr="000C156A">
        <w:rPr>
          <w:rFonts w:hint="eastAsia"/>
          <w:lang w:eastAsia="zh-CN"/>
        </w:rPr>
        <w:t>年</w:t>
      </w:r>
      <w:r w:rsidR="00DB3FD3" w:rsidRPr="000C156A">
        <w:rPr>
          <w:rFonts w:hint="eastAsia"/>
          <w:lang w:eastAsia="zh-CN"/>
        </w:rPr>
        <w:t>12</w:t>
      </w:r>
      <w:r w:rsidR="00DB3FD3" w:rsidRPr="000C156A">
        <w:rPr>
          <w:rFonts w:hint="eastAsia"/>
          <w:lang w:eastAsia="zh-CN"/>
        </w:rPr>
        <w:t>月</w:t>
      </w:r>
      <w:r w:rsidR="00DB3FD3" w:rsidRPr="000C156A">
        <w:rPr>
          <w:rFonts w:hint="eastAsia"/>
          <w:lang w:eastAsia="zh-CN"/>
        </w:rPr>
        <w:t>31</w:t>
      </w:r>
      <w:r w:rsidR="00DB3FD3" w:rsidRPr="000C156A">
        <w:rPr>
          <w:rFonts w:hint="eastAsia"/>
          <w:lang w:eastAsia="zh-CN"/>
        </w:rPr>
        <w:t>日，</w:t>
      </w:r>
      <w:r w:rsidR="0001527A" w:rsidRPr="000C156A">
        <w:rPr>
          <w:rFonts w:hint="eastAsia"/>
          <w:lang w:eastAsia="zh-CN"/>
        </w:rPr>
        <w:t>电信</w:t>
      </w:r>
      <w:r w:rsidR="00DB3FD3" w:rsidRPr="000C156A">
        <w:rPr>
          <w:rFonts w:hint="eastAsia"/>
          <w:lang w:eastAsia="zh-CN"/>
        </w:rPr>
        <w:t>展周转基金余额为</w:t>
      </w:r>
      <w:r w:rsidR="00DB3FD3" w:rsidRPr="000C156A">
        <w:rPr>
          <w:rFonts w:hint="eastAsia"/>
          <w:lang w:eastAsia="zh-CN"/>
        </w:rPr>
        <w:t>650</w:t>
      </w:r>
      <w:r w:rsidR="00DB3FD3" w:rsidRPr="000C156A">
        <w:rPr>
          <w:rFonts w:hint="eastAsia"/>
          <w:lang w:eastAsia="zh-CN"/>
        </w:rPr>
        <w:t>万瑞郎</w:t>
      </w:r>
      <w:r w:rsidR="0001527A" w:rsidRPr="000C156A">
        <w:rPr>
          <w:rFonts w:hint="eastAsia"/>
          <w:lang w:eastAsia="zh-CN"/>
        </w:rPr>
        <w:t>（</w:t>
      </w:r>
      <w:r w:rsidR="00DB3FD3" w:rsidRPr="000C156A">
        <w:rPr>
          <w:rFonts w:hint="eastAsia"/>
          <w:lang w:eastAsia="zh-CN"/>
        </w:rPr>
        <w:t>截至</w:t>
      </w:r>
      <w:r w:rsidR="00DB3FD3" w:rsidRPr="000C156A">
        <w:rPr>
          <w:rFonts w:hint="eastAsia"/>
          <w:lang w:eastAsia="zh-CN"/>
        </w:rPr>
        <w:t>2019</w:t>
      </w:r>
      <w:r w:rsidR="00DB3FD3" w:rsidRPr="000C156A">
        <w:rPr>
          <w:rFonts w:hint="eastAsia"/>
          <w:lang w:eastAsia="zh-CN"/>
        </w:rPr>
        <w:t>年</w:t>
      </w:r>
      <w:r w:rsidR="00DB3FD3" w:rsidRPr="000C156A">
        <w:rPr>
          <w:rFonts w:hint="eastAsia"/>
          <w:lang w:eastAsia="zh-CN"/>
        </w:rPr>
        <w:t>12</w:t>
      </w:r>
      <w:r w:rsidR="00DB3FD3" w:rsidRPr="000C156A">
        <w:rPr>
          <w:rFonts w:hint="eastAsia"/>
          <w:lang w:eastAsia="zh-CN"/>
        </w:rPr>
        <w:t>月</w:t>
      </w:r>
      <w:r w:rsidR="00DB3FD3" w:rsidRPr="000C156A">
        <w:rPr>
          <w:rFonts w:hint="eastAsia"/>
          <w:lang w:eastAsia="zh-CN"/>
        </w:rPr>
        <w:t>31</w:t>
      </w:r>
      <w:r w:rsidR="00DB3FD3" w:rsidRPr="000C156A">
        <w:rPr>
          <w:rFonts w:hint="eastAsia"/>
          <w:lang w:eastAsia="zh-CN"/>
        </w:rPr>
        <w:t>日为</w:t>
      </w:r>
      <w:r w:rsidR="00DB3FD3" w:rsidRPr="000C156A">
        <w:rPr>
          <w:rFonts w:hint="eastAsia"/>
          <w:lang w:eastAsia="zh-CN"/>
        </w:rPr>
        <w:t>821</w:t>
      </w:r>
      <w:r w:rsidR="00DB3FD3" w:rsidRPr="000C156A">
        <w:rPr>
          <w:rFonts w:hint="eastAsia"/>
          <w:lang w:eastAsia="zh-CN"/>
        </w:rPr>
        <w:t>万瑞郎</w:t>
      </w:r>
      <w:r w:rsidR="0001527A" w:rsidRPr="000C156A">
        <w:rPr>
          <w:rFonts w:hint="eastAsia"/>
          <w:lang w:eastAsia="zh-CN"/>
        </w:rPr>
        <w:t>）。</w:t>
      </w:r>
    </w:p>
    <w:p w14:paraId="7147111B" w14:textId="7566893B" w:rsidR="00E36ACF" w:rsidRPr="000C156A" w:rsidRDefault="006423EB" w:rsidP="0050766A">
      <w:pPr>
        <w:rPr>
          <w:lang w:eastAsia="zh-CN"/>
        </w:rPr>
      </w:pPr>
      <w:r w:rsidRPr="000C156A">
        <w:rPr>
          <w:rFonts w:asciiTheme="minorHAnsi" w:hAnsiTheme="minorHAnsi" w:cs="Calibri"/>
          <w:szCs w:val="24"/>
          <w:lang w:val="en-US" w:eastAsia="zh-CN"/>
        </w:rPr>
        <w:t>37</w:t>
      </w:r>
      <w:r w:rsidRPr="000C156A">
        <w:rPr>
          <w:rFonts w:asciiTheme="minorHAnsi" w:hAnsiTheme="minorHAnsi" w:cs="Calibri"/>
          <w:szCs w:val="24"/>
          <w:lang w:val="en-US" w:eastAsia="zh-CN"/>
        </w:rPr>
        <w:tab/>
      </w:r>
      <w:r w:rsidR="00B76295" w:rsidRPr="000C156A">
        <w:rPr>
          <w:lang w:eastAsia="zh-CN"/>
        </w:rPr>
        <w:t>第</w:t>
      </w:r>
      <w:r w:rsidR="00B76295" w:rsidRPr="000C156A">
        <w:rPr>
          <w:lang w:eastAsia="zh-CN"/>
        </w:rPr>
        <w:t>11</w:t>
      </w:r>
      <w:r w:rsidR="00B76295" w:rsidRPr="000C156A">
        <w:rPr>
          <w:lang w:eastAsia="zh-CN"/>
        </w:rPr>
        <w:t>号决议</w:t>
      </w:r>
      <w:r w:rsidR="00B76295" w:rsidRPr="000C156A">
        <w:rPr>
          <w:rFonts w:hint="eastAsia"/>
          <w:lang w:eastAsia="zh-CN"/>
        </w:rPr>
        <w:t>（</w:t>
      </w:r>
      <w:r w:rsidR="00B76295" w:rsidRPr="000C156A">
        <w:rPr>
          <w:lang w:eastAsia="zh-CN"/>
        </w:rPr>
        <w:t>2018</w:t>
      </w:r>
      <w:r w:rsidR="00B76295" w:rsidRPr="000C156A">
        <w:rPr>
          <w:lang w:eastAsia="zh-CN"/>
        </w:rPr>
        <w:t>年</w:t>
      </w:r>
      <w:r w:rsidR="00B76295" w:rsidRPr="000C156A">
        <w:rPr>
          <w:rFonts w:hint="eastAsia"/>
          <w:lang w:eastAsia="zh-CN"/>
        </w:rPr>
        <w:t>，</w:t>
      </w:r>
      <w:r w:rsidR="00B76295" w:rsidRPr="000C156A">
        <w:rPr>
          <w:lang w:eastAsia="zh-CN"/>
        </w:rPr>
        <w:t>迪拜</w:t>
      </w:r>
      <w:r w:rsidR="00B76295" w:rsidRPr="000C156A">
        <w:rPr>
          <w:rFonts w:hint="eastAsia"/>
          <w:lang w:eastAsia="zh-CN"/>
        </w:rPr>
        <w:t>，</w:t>
      </w:r>
      <w:r w:rsidR="00B76295" w:rsidRPr="000C156A">
        <w:rPr>
          <w:lang w:eastAsia="zh-CN"/>
        </w:rPr>
        <w:t>修订版</w:t>
      </w:r>
      <w:r w:rsidR="00B76295" w:rsidRPr="000C156A">
        <w:rPr>
          <w:rFonts w:hint="eastAsia"/>
          <w:lang w:eastAsia="zh-CN"/>
        </w:rPr>
        <w:t>）</w:t>
      </w:r>
      <w:r w:rsidR="00AA76E5" w:rsidRPr="000C156A">
        <w:rPr>
          <w:rFonts w:hint="eastAsia"/>
          <w:lang w:eastAsia="zh-CN"/>
        </w:rPr>
        <w:t>决定</w:t>
      </w:r>
      <w:r w:rsidR="00B76295" w:rsidRPr="000C156A">
        <w:rPr>
          <w:lang w:eastAsia="zh-CN"/>
        </w:rPr>
        <w:t>拨款</w:t>
      </w:r>
      <w:r w:rsidR="00B76295" w:rsidRPr="000C156A">
        <w:rPr>
          <w:lang w:eastAsia="zh-CN"/>
        </w:rPr>
        <w:t>750 000</w:t>
      </w:r>
      <w:r w:rsidR="00B76295" w:rsidRPr="000C156A">
        <w:rPr>
          <w:lang w:eastAsia="zh-CN"/>
        </w:rPr>
        <w:t>瑞郎，</w:t>
      </w:r>
      <w:r w:rsidR="0001527A" w:rsidRPr="000C156A">
        <w:rPr>
          <w:rFonts w:hint="eastAsia"/>
          <w:lang w:eastAsia="zh-CN"/>
        </w:rPr>
        <w:t>用于</w:t>
      </w:r>
      <w:r w:rsidR="00B76295" w:rsidRPr="000C156A">
        <w:rPr>
          <w:lang w:eastAsia="zh-CN"/>
        </w:rPr>
        <w:t>继续审查电信</w:t>
      </w:r>
      <w:r w:rsidR="00B76295" w:rsidRPr="000C156A">
        <w:rPr>
          <w:rFonts w:hint="eastAsia"/>
          <w:lang w:eastAsia="zh-CN"/>
        </w:rPr>
        <w:t>展</w:t>
      </w:r>
      <w:r w:rsidR="00B76295" w:rsidRPr="000C156A">
        <w:rPr>
          <w:lang w:eastAsia="zh-CN"/>
        </w:rPr>
        <w:t>活动。已经聘用</w:t>
      </w:r>
      <w:r w:rsidR="00B76295" w:rsidRPr="000C156A">
        <w:rPr>
          <w:rFonts w:hint="eastAsia"/>
          <w:lang w:eastAsia="zh-CN"/>
        </w:rPr>
        <w:t>了</w:t>
      </w:r>
      <w:r w:rsidR="00B76295" w:rsidRPr="000C156A">
        <w:rPr>
          <w:lang w:eastAsia="zh-CN"/>
        </w:rPr>
        <w:t>一家公司并</w:t>
      </w:r>
      <w:r w:rsidR="00B76295" w:rsidRPr="000C156A">
        <w:rPr>
          <w:rFonts w:hint="eastAsia"/>
          <w:lang w:eastAsia="zh-CN"/>
        </w:rPr>
        <w:t>启动了</w:t>
      </w:r>
      <w:r w:rsidR="00B76295" w:rsidRPr="000C156A">
        <w:rPr>
          <w:lang w:eastAsia="zh-CN"/>
        </w:rPr>
        <w:t>审查</w:t>
      </w:r>
      <w:r w:rsidR="00B76295" w:rsidRPr="000C156A">
        <w:rPr>
          <w:rFonts w:hint="eastAsia"/>
          <w:lang w:eastAsia="zh-CN"/>
        </w:rPr>
        <w:t>工作</w:t>
      </w:r>
      <w:r w:rsidR="00B76295" w:rsidRPr="000C156A">
        <w:rPr>
          <w:lang w:eastAsia="zh-CN"/>
        </w:rPr>
        <w:t>。截至</w:t>
      </w:r>
      <w:r w:rsidR="00B76295" w:rsidRPr="000C156A">
        <w:rPr>
          <w:lang w:eastAsia="zh-CN"/>
        </w:rPr>
        <w:t>20</w:t>
      </w:r>
      <w:r w:rsidR="0001527A" w:rsidRPr="000C156A">
        <w:rPr>
          <w:lang w:eastAsia="zh-CN"/>
        </w:rPr>
        <w:t>20</w:t>
      </w:r>
      <w:r w:rsidR="00B76295" w:rsidRPr="000C156A">
        <w:rPr>
          <w:lang w:eastAsia="zh-CN"/>
        </w:rPr>
        <w:t>年</w:t>
      </w:r>
      <w:r w:rsidR="00B76295" w:rsidRPr="000C156A">
        <w:rPr>
          <w:lang w:eastAsia="zh-CN"/>
        </w:rPr>
        <w:t>12</w:t>
      </w:r>
      <w:r w:rsidR="00B76295" w:rsidRPr="000C156A">
        <w:rPr>
          <w:lang w:eastAsia="zh-CN"/>
        </w:rPr>
        <w:t>月</w:t>
      </w:r>
      <w:r w:rsidR="00B76295" w:rsidRPr="000C156A">
        <w:rPr>
          <w:lang w:eastAsia="zh-CN"/>
        </w:rPr>
        <w:t>31</w:t>
      </w:r>
      <w:r w:rsidR="00B76295" w:rsidRPr="000C156A">
        <w:rPr>
          <w:lang w:eastAsia="zh-CN"/>
        </w:rPr>
        <w:t>日，该项目的可用资金为</w:t>
      </w:r>
      <w:r w:rsidR="0001527A" w:rsidRPr="000C156A">
        <w:rPr>
          <w:rFonts w:asciiTheme="minorHAnsi" w:hAnsiTheme="minorHAnsi" w:cstheme="minorHAnsi"/>
          <w:lang w:eastAsia="zh-CN"/>
        </w:rPr>
        <w:t>125</w:t>
      </w:r>
      <w:r w:rsidR="00043E76" w:rsidRPr="000C156A">
        <w:rPr>
          <w:rFonts w:asciiTheme="minorHAnsi" w:hAnsiTheme="minorHAnsi" w:cstheme="minorHAnsi"/>
          <w:lang w:eastAsia="zh-CN"/>
        </w:rPr>
        <w:t xml:space="preserve"> </w:t>
      </w:r>
      <w:r w:rsidR="0001527A" w:rsidRPr="000C156A">
        <w:rPr>
          <w:rFonts w:asciiTheme="minorHAnsi" w:hAnsiTheme="minorHAnsi" w:cstheme="minorHAnsi"/>
          <w:lang w:eastAsia="zh-CN"/>
        </w:rPr>
        <w:t>434</w:t>
      </w:r>
      <w:r w:rsidR="00B76295" w:rsidRPr="000C156A">
        <w:rPr>
          <w:lang w:eastAsia="zh-CN"/>
        </w:rPr>
        <w:t>瑞郎</w:t>
      </w:r>
      <w:r w:rsidR="00B76295" w:rsidRPr="000C156A">
        <w:rPr>
          <w:rFonts w:hint="eastAsia"/>
          <w:lang w:eastAsia="zh-CN"/>
        </w:rPr>
        <w:t>。</w:t>
      </w:r>
    </w:p>
    <w:p w14:paraId="0E5D457B" w14:textId="30967B11" w:rsidR="00F55C0C" w:rsidRPr="000C156A" w:rsidRDefault="006423EB" w:rsidP="0050766A">
      <w:pPr>
        <w:rPr>
          <w:lang w:eastAsia="zh-CN"/>
        </w:rPr>
      </w:pPr>
      <w:r w:rsidRPr="000C156A">
        <w:rPr>
          <w:rFonts w:asciiTheme="minorHAnsi" w:hAnsiTheme="minorHAnsi" w:cs="Calibri"/>
          <w:szCs w:val="24"/>
          <w:lang w:val="en-US" w:eastAsia="zh-CN"/>
        </w:rPr>
        <w:t>38</w:t>
      </w:r>
      <w:r w:rsidRPr="000C156A">
        <w:rPr>
          <w:rFonts w:asciiTheme="minorHAnsi" w:hAnsiTheme="minorHAnsi" w:cs="Calibri"/>
          <w:szCs w:val="24"/>
          <w:lang w:val="en-US" w:eastAsia="zh-CN"/>
        </w:rPr>
        <w:tab/>
      </w:r>
      <w:r w:rsidR="00B76295" w:rsidRPr="000C156A">
        <w:rPr>
          <w:rFonts w:hint="eastAsia"/>
          <w:lang w:eastAsia="zh-CN"/>
        </w:rPr>
        <w:t>本文件附件</w:t>
      </w:r>
      <w:r w:rsidR="00B76295" w:rsidRPr="000C156A">
        <w:rPr>
          <w:rFonts w:hint="eastAsia"/>
          <w:lang w:eastAsia="zh-CN"/>
        </w:rPr>
        <w:t>D</w:t>
      </w:r>
      <w:r w:rsidR="00B76295" w:rsidRPr="000C156A">
        <w:rPr>
          <w:rFonts w:hint="eastAsia"/>
          <w:lang w:eastAsia="zh-CN"/>
        </w:rPr>
        <w:t>显示电信展览部欠款的变化情况。</w:t>
      </w:r>
    </w:p>
    <w:p w14:paraId="31ABE84D" w14:textId="04F42E14" w:rsidR="009E2348" w:rsidRPr="000C156A" w:rsidRDefault="006423EB" w:rsidP="000700CF">
      <w:pPr>
        <w:rPr>
          <w:lang w:eastAsia="zh-CN"/>
        </w:rPr>
      </w:pPr>
      <w:r w:rsidRPr="000C156A">
        <w:rPr>
          <w:rFonts w:asciiTheme="minorHAnsi" w:hAnsiTheme="minorHAnsi" w:cs="Calibri"/>
          <w:szCs w:val="24"/>
          <w:lang w:val="en-US" w:eastAsia="zh-CN"/>
        </w:rPr>
        <w:t>39</w:t>
      </w:r>
      <w:r w:rsidRPr="000C156A">
        <w:rPr>
          <w:rFonts w:asciiTheme="minorHAnsi" w:hAnsiTheme="minorHAnsi" w:cs="Calibri"/>
          <w:szCs w:val="24"/>
          <w:lang w:val="en-US" w:eastAsia="zh-CN"/>
        </w:rPr>
        <w:tab/>
      </w:r>
      <w:r w:rsidR="00B76295" w:rsidRPr="000C156A">
        <w:rPr>
          <w:rFonts w:hint="eastAsia"/>
          <w:lang w:eastAsia="zh-CN"/>
        </w:rPr>
        <w:t>财务报表的辅助说明提供</w:t>
      </w:r>
      <w:r w:rsidR="00B76295" w:rsidRPr="000C156A">
        <w:rPr>
          <w:lang w:eastAsia="zh-CN"/>
        </w:rPr>
        <w:t>20</w:t>
      </w:r>
      <w:r w:rsidR="002809DB" w:rsidRPr="000C156A">
        <w:rPr>
          <w:lang w:eastAsia="zh-CN"/>
        </w:rPr>
        <w:t>20</w:t>
      </w:r>
      <w:r w:rsidR="00B76295" w:rsidRPr="000C156A">
        <w:rPr>
          <w:rFonts w:hint="eastAsia"/>
          <w:lang w:eastAsia="zh-CN"/>
        </w:rPr>
        <w:t>年期间财务各方面的信息。</w:t>
      </w:r>
    </w:p>
    <w:p w14:paraId="33196D3A" w14:textId="7247D660" w:rsidR="00B76295" w:rsidRPr="000C156A" w:rsidRDefault="00B76295" w:rsidP="000700CF">
      <w:pPr>
        <w:pStyle w:val="Headingb"/>
        <w:rPr>
          <w:lang w:eastAsia="zh-CN"/>
        </w:rPr>
      </w:pPr>
      <w:bookmarkStart w:id="83" w:name="_Toc72744917"/>
      <w:bookmarkStart w:id="84" w:name="_Toc72747201"/>
      <w:bookmarkStart w:id="85" w:name="_Toc73461001"/>
      <w:bookmarkStart w:id="86" w:name="_Toc73518648"/>
      <w:bookmarkStart w:id="87" w:name="_Toc73518795"/>
      <w:bookmarkStart w:id="88" w:name="_Toc73519195"/>
      <w:bookmarkStart w:id="89" w:name="_Toc73636077"/>
      <w:bookmarkStart w:id="90" w:name="_Toc73636219"/>
      <w:r w:rsidRPr="000C156A">
        <w:rPr>
          <w:rFonts w:hint="eastAsia"/>
          <w:lang w:val="fr-CH" w:eastAsia="zh-CN"/>
        </w:rPr>
        <w:lastRenderedPageBreak/>
        <w:t>关键财务指标</w:t>
      </w:r>
      <w:bookmarkEnd w:id="83"/>
      <w:bookmarkEnd w:id="84"/>
      <w:bookmarkEnd w:id="85"/>
      <w:bookmarkEnd w:id="86"/>
      <w:bookmarkEnd w:id="87"/>
      <w:bookmarkEnd w:id="88"/>
      <w:bookmarkEnd w:id="89"/>
      <w:bookmarkEnd w:id="90"/>
    </w:p>
    <w:p w14:paraId="17230A6F" w14:textId="3790E8CD" w:rsidR="00C40BCA" w:rsidRPr="000C156A" w:rsidRDefault="006423EB" w:rsidP="000700CF">
      <w:pPr>
        <w:rPr>
          <w:lang w:eastAsia="zh-CN"/>
        </w:rPr>
      </w:pPr>
      <w:r w:rsidRPr="000C156A">
        <w:rPr>
          <w:rFonts w:asciiTheme="minorHAnsi" w:hAnsiTheme="minorHAnsi" w:cs="Calibri"/>
          <w:szCs w:val="24"/>
          <w:lang w:val="en-US" w:eastAsia="zh-CN"/>
        </w:rPr>
        <w:t>40</w:t>
      </w:r>
      <w:r w:rsidRPr="000C156A">
        <w:rPr>
          <w:rFonts w:asciiTheme="minorHAnsi" w:hAnsiTheme="minorHAnsi" w:cs="Calibri"/>
          <w:szCs w:val="24"/>
          <w:lang w:val="en-US" w:eastAsia="zh-CN"/>
        </w:rPr>
        <w:tab/>
      </w:r>
      <w:r w:rsidR="00B76295" w:rsidRPr="000C156A">
        <w:rPr>
          <w:rFonts w:hint="eastAsia"/>
          <w:lang w:eastAsia="zh-CN"/>
        </w:rPr>
        <w:t>自</w:t>
      </w:r>
      <w:r w:rsidR="00B76295" w:rsidRPr="000C156A">
        <w:rPr>
          <w:lang w:eastAsia="zh-CN"/>
        </w:rPr>
        <w:t>2015</w:t>
      </w:r>
      <w:r w:rsidR="00B76295" w:rsidRPr="000C156A">
        <w:rPr>
          <w:rFonts w:hint="eastAsia"/>
          <w:lang w:eastAsia="zh-CN"/>
        </w:rPr>
        <w:t>年起，国际电联一直在报告关键指标，此举是一种了解组织财务状况的变化情况的有益工具，这对于基于结果的预算编制和基于结果的管理框架至关重要。</w:t>
      </w:r>
    </w:p>
    <w:p w14:paraId="4E1707FD" w14:textId="3D40EB62" w:rsidR="00AE63DF" w:rsidRPr="000C156A" w:rsidRDefault="006423EB" w:rsidP="000700CF">
      <w:pPr>
        <w:rPr>
          <w:lang w:eastAsia="zh-CN"/>
        </w:rPr>
      </w:pPr>
      <w:r w:rsidRPr="000C156A">
        <w:rPr>
          <w:rFonts w:asciiTheme="minorHAnsi" w:hAnsiTheme="minorHAnsi" w:cs="Calibri"/>
          <w:szCs w:val="24"/>
          <w:lang w:val="en-US" w:eastAsia="zh-CN"/>
        </w:rPr>
        <w:t>41</w:t>
      </w:r>
      <w:r w:rsidRPr="000C156A">
        <w:rPr>
          <w:rFonts w:asciiTheme="minorHAnsi" w:hAnsiTheme="minorHAnsi" w:cs="Calibri"/>
          <w:szCs w:val="24"/>
          <w:lang w:val="en-US" w:eastAsia="zh-CN"/>
        </w:rPr>
        <w:tab/>
      </w:r>
      <w:r w:rsidR="00B76295" w:rsidRPr="000C156A">
        <w:rPr>
          <w:rFonts w:hint="eastAsia"/>
          <w:lang w:eastAsia="zh-CN"/>
        </w:rPr>
        <w:t>为在与其他联合国组织和专门机构的比较中获得收益，有必要认真诠释各项指标的结果。</w:t>
      </w:r>
    </w:p>
    <w:p w14:paraId="3186F8D3" w14:textId="005970B2" w:rsidR="00B76295" w:rsidRPr="000C156A" w:rsidRDefault="00B76295" w:rsidP="00B76295">
      <w:pPr>
        <w:pStyle w:val="Headingb"/>
        <w:rPr>
          <w:bCs/>
          <w:szCs w:val="28"/>
          <w:u w:val="single"/>
          <w:lang w:val="en-US" w:eastAsia="zh-CN"/>
        </w:rPr>
      </w:pPr>
      <w:bookmarkStart w:id="91" w:name="_Toc72744918"/>
      <w:bookmarkStart w:id="92" w:name="_Toc72747202"/>
      <w:bookmarkStart w:id="93" w:name="_Toc73461002"/>
      <w:bookmarkStart w:id="94" w:name="_Toc73518649"/>
      <w:bookmarkStart w:id="95" w:name="_Toc73518796"/>
      <w:bookmarkStart w:id="96" w:name="_Toc73519196"/>
      <w:bookmarkStart w:id="97" w:name="_Toc73636078"/>
      <w:bookmarkStart w:id="98" w:name="_Toc73636220"/>
      <w:r w:rsidRPr="000C156A">
        <w:rPr>
          <w:rFonts w:hint="eastAsia"/>
          <w:bCs/>
          <w:szCs w:val="28"/>
          <w:u w:val="single"/>
          <w:lang w:val="fr-CH" w:eastAsia="zh-CN"/>
        </w:rPr>
        <w:t>财务稳定性和安全性</w:t>
      </w:r>
      <w:r w:rsidRPr="000C156A">
        <w:rPr>
          <w:bCs/>
          <w:szCs w:val="28"/>
          <w:u w:val="single"/>
          <w:lang w:val="fr-CH" w:eastAsia="zh-CN"/>
        </w:rPr>
        <w:t>/</w:t>
      </w:r>
      <w:r w:rsidRPr="000C156A">
        <w:rPr>
          <w:rFonts w:hint="eastAsia"/>
          <w:bCs/>
          <w:szCs w:val="28"/>
          <w:u w:val="single"/>
          <w:lang w:val="fr-CH" w:eastAsia="zh-CN"/>
        </w:rPr>
        <w:t>风险</w:t>
      </w:r>
      <w:bookmarkEnd w:id="91"/>
      <w:bookmarkEnd w:id="92"/>
      <w:bookmarkEnd w:id="93"/>
      <w:bookmarkEnd w:id="94"/>
      <w:bookmarkEnd w:id="95"/>
      <w:bookmarkEnd w:id="96"/>
      <w:bookmarkEnd w:id="97"/>
      <w:bookmarkEnd w:id="98"/>
    </w:p>
    <w:p w14:paraId="2DF67EE8" w14:textId="7CCBFC46" w:rsidR="002131B9" w:rsidRPr="000C156A" w:rsidRDefault="006A04AB" w:rsidP="00331C33">
      <w:pPr>
        <w:pStyle w:val="Figure"/>
        <w:rPr>
          <w:rFonts w:eastAsia="Times New Roman"/>
          <w:noProof/>
          <w:lang w:val="en-US" w:eastAsia="zh-CN"/>
        </w:rPr>
      </w:pPr>
      <w:r w:rsidRPr="000C156A">
        <w:rPr>
          <w:rFonts w:eastAsia="Times New Roman"/>
          <w:noProof/>
          <w:lang w:val="en-US" w:eastAsia="zh-CN"/>
        </w:rPr>
        <mc:AlternateContent>
          <mc:Choice Requires="wps">
            <w:drawing>
              <wp:anchor distT="0" distB="0" distL="114300" distR="114300" simplePos="0" relativeHeight="251659264" behindDoc="0" locked="0" layoutInCell="1" allowOverlap="1" wp14:anchorId="10F59AFD" wp14:editId="6400B9E6">
                <wp:simplePos x="0" y="0"/>
                <wp:positionH relativeFrom="column">
                  <wp:posOffset>932815</wp:posOffset>
                </wp:positionH>
                <wp:positionV relativeFrom="paragraph">
                  <wp:posOffset>188595</wp:posOffset>
                </wp:positionV>
                <wp:extent cx="862965" cy="153035"/>
                <wp:effectExtent l="0" t="0" r="0" b="0"/>
                <wp:wrapNone/>
                <wp:docPr id="3" name="Text Box 3"/>
                <wp:cNvGraphicFramePr/>
                <a:graphic xmlns:a="http://schemas.openxmlformats.org/drawingml/2006/main">
                  <a:graphicData uri="http://schemas.microsoft.com/office/word/2010/wordprocessingShape">
                    <wps:wsp>
                      <wps:cNvSpPr txBox="1"/>
                      <wps:spPr>
                        <a:xfrm>
                          <a:off x="0" y="0"/>
                          <a:ext cx="862965" cy="153035"/>
                        </a:xfrm>
                        <a:prstGeom prst="rect">
                          <a:avLst/>
                        </a:prstGeom>
                        <a:solidFill>
                          <a:schemeClr val="lt1"/>
                        </a:solidFill>
                        <a:ln w="6350">
                          <a:noFill/>
                        </a:ln>
                      </wps:spPr>
                      <wps:txbx>
                        <w:txbxContent>
                          <w:p w14:paraId="729072F2" w14:textId="1EA71954" w:rsidR="00A100EC" w:rsidRPr="00D21252" w:rsidRDefault="00A100EC" w:rsidP="00D21252">
                            <w:pPr>
                              <w:spacing w:before="0"/>
                              <w:jc w:val="center"/>
                              <w:rPr>
                                <w:b/>
                                <w:sz w:val="12"/>
                                <w:szCs w:val="12"/>
                              </w:rPr>
                            </w:pPr>
                            <w:r w:rsidRPr="00D21252">
                              <w:rPr>
                                <w:rFonts w:hint="eastAsia"/>
                                <w:b/>
                                <w:sz w:val="16"/>
                                <w:szCs w:val="12"/>
                              </w:rPr>
                              <w:t>债务比率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F59AFD" id="_x0000_t202" coordsize="21600,21600" o:spt="202" path="m,l,21600r21600,l21600,xe">
                <v:stroke joinstyle="miter"/>
                <v:path gradientshapeok="t" o:connecttype="rect"/>
              </v:shapetype>
              <v:shape id="Text Box 3" o:spid="_x0000_s1026" type="#_x0000_t202" style="position:absolute;left:0;text-align:left;margin-left:73.45pt;margin-top:14.85pt;width:67.95pt;height:12.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" fillcolor="white [3201]" stroked="f" strokeweight=".5pt">
                <v:textbox inset="0,0,0,0">
                  <w:txbxContent>
                    <w:p w14:paraId="729072F2" w14:textId="1EA71954" w:rsidR="00A100EC" w:rsidRPr="00D21252" w:rsidRDefault="00A100EC" w:rsidP="00D21252">
                      <w:pPr>
                        <w:spacing w:before="0"/>
                        <w:jc w:val="center"/>
                        <w:rPr>
                          <w:b/>
                          <w:sz w:val="12"/>
                          <w:szCs w:val="12"/>
                        </w:rPr>
                      </w:pPr>
                      <w:r w:rsidRPr="00D21252">
                        <w:rPr>
                          <w:rFonts w:hint="eastAsia"/>
                          <w:b/>
                          <w:sz w:val="16"/>
                          <w:szCs w:val="12"/>
                        </w:rPr>
                        <w:t>债务比率</w:t>
                      </w:r>
                    </w:p>
                  </w:txbxContent>
                </v:textbox>
              </v:shape>
            </w:pict>
          </mc:Fallback>
        </mc:AlternateContent>
      </w:r>
      <w:r w:rsidR="00D21252" w:rsidRPr="000C156A">
        <w:rPr>
          <w:rFonts w:eastAsia="Times New Roman"/>
          <w:noProof/>
          <w:lang w:val="en-US" w:eastAsia="zh-CN"/>
        </w:rPr>
        <mc:AlternateContent>
          <mc:Choice Requires="wps">
            <w:drawing>
              <wp:anchor distT="0" distB="0" distL="114300" distR="114300" simplePos="0" relativeHeight="251665408" behindDoc="0" locked="0" layoutInCell="1" allowOverlap="1" wp14:anchorId="1B128023" wp14:editId="0B2E5DF4">
                <wp:simplePos x="0" y="0"/>
                <wp:positionH relativeFrom="column">
                  <wp:posOffset>2844800</wp:posOffset>
                </wp:positionH>
                <wp:positionV relativeFrom="paragraph">
                  <wp:posOffset>760730</wp:posOffset>
                </wp:positionV>
                <wp:extent cx="863193" cy="153619"/>
                <wp:effectExtent l="0" t="0" r="13335" b="18415"/>
                <wp:wrapNone/>
                <wp:docPr id="11" name="Text Box 11"/>
                <wp:cNvGraphicFramePr/>
                <a:graphic xmlns:a="http://schemas.openxmlformats.org/drawingml/2006/main">
                  <a:graphicData uri="http://schemas.microsoft.com/office/word/2010/wordprocessingShape">
                    <wps:wsp>
                      <wps:cNvSpPr txBox="1"/>
                      <wps:spPr>
                        <a:xfrm>
                          <a:off x="0" y="0"/>
                          <a:ext cx="863193" cy="153619"/>
                        </a:xfrm>
                        <a:prstGeom prst="rect">
                          <a:avLst/>
                        </a:prstGeom>
                        <a:solidFill>
                          <a:schemeClr val="lt1"/>
                        </a:solidFill>
                        <a:ln w="6350">
                          <a:solidFill>
                            <a:schemeClr val="bg1"/>
                          </a:solidFill>
                        </a:ln>
                      </wps:spPr>
                      <wps:txbx>
                        <w:txbxContent>
                          <w:p w14:paraId="66A70430" w14:textId="7F534771" w:rsidR="00A100EC" w:rsidRPr="00D21252" w:rsidRDefault="00A100EC" w:rsidP="00D21252">
                            <w:pPr>
                              <w:shd w:val="clear" w:color="auto" w:fill="FFFFFF" w:themeFill="background1"/>
                              <w:spacing w:before="0"/>
                              <w:jc w:val="center"/>
                              <w:rPr>
                                <w:b/>
                                <w:sz w:val="12"/>
                                <w:szCs w:val="12"/>
                              </w:rPr>
                            </w:pPr>
                            <w:r w:rsidRPr="00D21252">
                              <w:rPr>
                                <w:rFonts w:hint="eastAsia"/>
                                <w:b/>
                                <w:sz w:val="16"/>
                                <w:szCs w:val="12"/>
                              </w:rPr>
                              <w:t>总债务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128023" id="Text Box 11" o:spid="_x0000_s1027" type="#_x0000_t202" style="position:absolute;left:0;text-align:left;margin-left:224pt;margin-top:59.9pt;width:67.95pt;height:1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" fillcolor="white [3201]" strokecolor="white [3212]" strokeweight=".5pt">
                <v:textbox inset="0,0,0,0">
                  <w:txbxContent>
                    <w:p w14:paraId="66A70430" w14:textId="7F534771" w:rsidR="00A100EC" w:rsidRPr="00D21252" w:rsidRDefault="00A100EC" w:rsidP="00D21252">
                      <w:pPr>
                        <w:shd w:val="clear" w:color="auto" w:fill="FFFFFF" w:themeFill="background1"/>
                        <w:spacing w:before="0"/>
                        <w:jc w:val="center"/>
                        <w:rPr>
                          <w:b/>
                          <w:sz w:val="12"/>
                          <w:szCs w:val="12"/>
                        </w:rPr>
                      </w:pPr>
                      <w:r w:rsidRPr="00D21252">
                        <w:rPr>
                          <w:rFonts w:hint="eastAsia"/>
                          <w:b/>
                          <w:sz w:val="16"/>
                          <w:szCs w:val="12"/>
                        </w:rPr>
                        <w:t>总债务</w:t>
                      </w:r>
                    </w:p>
                  </w:txbxContent>
                </v:textbox>
              </v:shape>
            </w:pict>
          </mc:Fallback>
        </mc:AlternateContent>
      </w:r>
      <w:r w:rsidR="00D21252" w:rsidRPr="000C156A">
        <w:rPr>
          <w:rFonts w:eastAsia="Times New Roman"/>
          <w:noProof/>
          <w:lang w:val="en-US" w:eastAsia="zh-CN"/>
        </w:rPr>
        <mc:AlternateContent>
          <mc:Choice Requires="wps">
            <w:drawing>
              <wp:anchor distT="0" distB="0" distL="114300" distR="114300" simplePos="0" relativeHeight="251667456" behindDoc="0" locked="0" layoutInCell="1" allowOverlap="1" wp14:anchorId="3E3DC8F0" wp14:editId="3A12E320">
                <wp:simplePos x="0" y="0"/>
                <wp:positionH relativeFrom="column">
                  <wp:posOffset>2830982</wp:posOffset>
                </wp:positionH>
                <wp:positionV relativeFrom="paragraph">
                  <wp:posOffset>981075</wp:posOffset>
                </wp:positionV>
                <wp:extent cx="863193" cy="153619"/>
                <wp:effectExtent l="0" t="0" r="13335" b="18415"/>
                <wp:wrapNone/>
                <wp:docPr id="13" name="Text Box 13"/>
                <wp:cNvGraphicFramePr/>
                <a:graphic xmlns:a="http://schemas.openxmlformats.org/drawingml/2006/main">
                  <a:graphicData uri="http://schemas.microsoft.com/office/word/2010/wordprocessingShape">
                    <wps:wsp>
                      <wps:cNvSpPr txBox="1"/>
                      <wps:spPr>
                        <a:xfrm>
                          <a:off x="0" y="0"/>
                          <a:ext cx="863193" cy="153619"/>
                        </a:xfrm>
                        <a:prstGeom prst="rect">
                          <a:avLst/>
                        </a:prstGeom>
                        <a:solidFill>
                          <a:schemeClr val="lt1"/>
                        </a:solidFill>
                        <a:ln w="6350">
                          <a:solidFill>
                            <a:schemeClr val="bg1"/>
                          </a:solidFill>
                        </a:ln>
                      </wps:spPr>
                      <wps:txbx>
                        <w:txbxContent>
                          <w:p w14:paraId="7DA5E778" w14:textId="586EF1C5" w:rsidR="00A100EC" w:rsidRPr="00D21252" w:rsidRDefault="00A100EC" w:rsidP="00D21252">
                            <w:pPr>
                              <w:shd w:val="clear" w:color="auto" w:fill="FFFFFF" w:themeFill="background1"/>
                              <w:spacing w:before="0"/>
                              <w:jc w:val="center"/>
                              <w:rPr>
                                <w:b/>
                                <w:sz w:val="12"/>
                                <w:szCs w:val="12"/>
                              </w:rPr>
                            </w:pPr>
                            <w:r w:rsidRPr="00D21252">
                              <w:rPr>
                                <w:rFonts w:hint="eastAsia"/>
                                <w:b/>
                                <w:sz w:val="16"/>
                                <w:szCs w:val="12"/>
                              </w:rPr>
                              <w:t>总资产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3DC8F0" id="Text Box 13" o:spid="_x0000_s1028" type="#_x0000_t202" style="position:absolute;left:0;text-align:left;margin-left:222.9pt;margin-top:77.25pt;width:67.95pt;height:12.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" fillcolor="white [3201]" strokecolor="white [3212]" strokeweight=".5pt">
                <v:textbox inset="0,0,0,0">
                  <w:txbxContent>
                    <w:p w14:paraId="7DA5E778" w14:textId="586EF1C5" w:rsidR="00A100EC" w:rsidRPr="00D21252" w:rsidRDefault="00A100EC" w:rsidP="00D21252">
                      <w:pPr>
                        <w:shd w:val="clear" w:color="auto" w:fill="FFFFFF" w:themeFill="background1"/>
                        <w:spacing w:before="0"/>
                        <w:jc w:val="center"/>
                        <w:rPr>
                          <w:b/>
                          <w:sz w:val="12"/>
                          <w:szCs w:val="12"/>
                        </w:rPr>
                      </w:pPr>
                      <w:r w:rsidRPr="00D21252">
                        <w:rPr>
                          <w:rFonts w:hint="eastAsia"/>
                          <w:b/>
                          <w:sz w:val="16"/>
                          <w:szCs w:val="12"/>
                        </w:rPr>
                        <w:t>总资产</w:t>
                      </w:r>
                    </w:p>
                  </w:txbxContent>
                </v:textbox>
              </v:shape>
            </w:pict>
          </mc:Fallback>
        </mc:AlternateContent>
      </w:r>
      <w:r w:rsidR="00D21252" w:rsidRPr="000C156A">
        <w:rPr>
          <w:rFonts w:eastAsia="Times New Roman"/>
          <w:noProof/>
          <w:lang w:val="en-US" w:eastAsia="zh-CN"/>
        </w:rPr>
        <mc:AlternateContent>
          <mc:Choice Requires="wps">
            <w:drawing>
              <wp:anchor distT="0" distB="0" distL="114300" distR="114300" simplePos="0" relativeHeight="251663360" behindDoc="0" locked="0" layoutInCell="1" allowOverlap="1" wp14:anchorId="760008B2" wp14:editId="1ECC0861">
                <wp:simplePos x="0" y="0"/>
                <wp:positionH relativeFrom="column">
                  <wp:posOffset>2852928</wp:posOffset>
                </wp:positionH>
                <wp:positionV relativeFrom="paragraph">
                  <wp:posOffset>1222476</wp:posOffset>
                </wp:positionV>
                <wp:extent cx="863193" cy="153619"/>
                <wp:effectExtent l="0" t="0" r="0" b="0"/>
                <wp:wrapNone/>
                <wp:docPr id="9" name="Text Box 9"/>
                <wp:cNvGraphicFramePr/>
                <a:graphic xmlns:a="http://schemas.openxmlformats.org/drawingml/2006/main">
                  <a:graphicData uri="http://schemas.microsoft.com/office/word/2010/wordprocessingShape">
                    <wps:wsp>
                      <wps:cNvSpPr txBox="1"/>
                      <wps:spPr>
                        <a:xfrm>
                          <a:off x="0" y="0"/>
                          <a:ext cx="863193" cy="153619"/>
                        </a:xfrm>
                        <a:prstGeom prst="rect">
                          <a:avLst/>
                        </a:prstGeom>
                        <a:solidFill>
                          <a:schemeClr val="lt1"/>
                        </a:solidFill>
                        <a:ln w="6350">
                          <a:noFill/>
                        </a:ln>
                      </wps:spPr>
                      <wps:txbx>
                        <w:txbxContent>
                          <w:p w14:paraId="23ED2AE9" w14:textId="77777777" w:rsidR="00A100EC" w:rsidRPr="00675C2C" w:rsidRDefault="00A100EC" w:rsidP="00D21252">
                            <w:pPr>
                              <w:shd w:val="clear" w:color="auto" w:fill="C6D9F1" w:themeFill="text2" w:themeFillTint="33"/>
                              <w:spacing w:before="0"/>
                              <w:jc w:val="center"/>
                              <w:rPr>
                                <w:b/>
                                <w:sz w:val="12"/>
                                <w:szCs w:val="12"/>
                              </w:rPr>
                            </w:pPr>
                            <w:r w:rsidRPr="00675C2C">
                              <w:rPr>
                                <w:rFonts w:hint="eastAsia"/>
                                <w:b/>
                                <w:sz w:val="16"/>
                                <w:szCs w:val="12"/>
                              </w:rPr>
                              <w:t>债务比率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0008B2" id="Text Box 9" o:spid="_x0000_s1029" type="#_x0000_t202" style="position:absolute;left:0;text-align:left;margin-left:224.65pt;margin-top:96.25pt;width:67.95pt;height:12.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" fillcolor="white [3201]" stroked="f" strokeweight=".5pt">
                <v:textbox inset="0,0,0,0">
                  <w:txbxContent>
                    <w:p w14:paraId="23ED2AE9" w14:textId="77777777" w:rsidR="00A100EC" w:rsidRPr="00675C2C" w:rsidRDefault="00A100EC" w:rsidP="00D21252">
                      <w:pPr>
                        <w:shd w:val="clear" w:color="auto" w:fill="C6D9F1" w:themeFill="text2" w:themeFillTint="33"/>
                        <w:spacing w:before="0"/>
                        <w:jc w:val="center"/>
                        <w:rPr>
                          <w:b/>
                          <w:sz w:val="12"/>
                          <w:szCs w:val="12"/>
                        </w:rPr>
                      </w:pPr>
                      <w:r w:rsidRPr="00675C2C">
                        <w:rPr>
                          <w:rFonts w:hint="eastAsia"/>
                          <w:b/>
                          <w:sz w:val="16"/>
                          <w:szCs w:val="12"/>
                        </w:rPr>
                        <w:t>债务比率</w:t>
                      </w:r>
                    </w:p>
                  </w:txbxContent>
                </v:textbox>
              </v:shape>
            </w:pict>
          </mc:Fallback>
        </mc:AlternateContent>
      </w:r>
      <w:r w:rsidR="00D21252" w:rsidRPr="000C156A">
        <w:rPr>
          <w:rFonts w:eastAsia="Times New Roman"/>
          <w:noProof/>
          <w:lang w:val="en-US" w:eastAsia="zh-CN"/>
        </w:rPr>
        <mc:AlternateContent>
          <mc:Choice Requires="wps">
            <w:drawing>
              <wp:anchor distT="0" distB="0" distL="114300" distR="114300" simplePos="0" relativeHeight="251661312" behindDoc="0" locked="0" layoutInCell="1" allowOverlap="1" wp14:anchorId="3A1EBB0A" wp14:editId="3899F9E6">
                <wp:simplePos x="0" y="0"/>
                <wp:positionH relativeFrom="column">
                  <wp:posOffset>2838298</wp:posOffset>
                </wp:positionH>
                <wp:positionV relativeFrom="paragraph">
                  <wp:posOffset>483641</wp:posOffset>
                </wp:positionV>
                <wp:extent cx="863193" cy="153619"/>
                <wp:effectExtent l="0" t="0" r="13335" b="18415"/>
                <wp:wrapNone/>
                <wp:docPr id="7" name="Text Box 7"/>
                <wp:cNvGraphicFramePr/>
                <a:graphic xmlns:a="http://schemas.openxmlformats.org/drawingml/2006/main">
                  <a:graphicData uri="http://schemas.microsoft.com/office/word/2010/wordprocessingShape">
                    <wps:wsp>
                      <wps:cNvSpPr txBox="1"/>
                      <wps:spPr>
                        <a:xfrm>
                          <a:off x="0" y="0"/>
                          <a:ext cx="863193" cy="153619"/>
                        </a:xfrm>
                        <a:prstGeom prst="rect">
                          <a:avLst/>
                        </a:prstGeom>
                        <a:solidFill>
                          <a:schemeClr val="lt1"/>
                        </a:solidFill>
                        <a:ln w="6350">
                          <a:solidFill>
                            <a:schemeClr val="tx2">
                              <a:lumMod val="20000"/>
                              <a:lumOff val="80000"/>
                            </a:schemeClr>
                          </a:solidFill>
                        </a:ln>
                      </wps:spPr>
                      <wps:txbx>
                        <w:txbxContent>
                          <w:p w14:paraId="771DDDD8" w14:textId="77777777" w:rsidR="00A100EC" w:rsidRPr="00D21252" w:rsidRDefault="00A100EC" w:rsidP="00D21252">
                            <w:pPr>
                              <w:shd w:val="clear" w:color="auto" w:fill="DBE5F1" w:themeFill="accent1" w:themeFillTint="33"/>
                              <w:spacing w:before="0"/>
                              <w:jc w:val="center"/>
                              <w:rPr>
                                <w:b/>
                                <w:sz w:val="12"/>
                                <w:szCs w:val="12"/>
                              </w:rPr>
                            </w:pPr>
                            <w:r w:rsidRPr="00D21252">
                              <w:rPr>
                                <w:rFonts w:hint="eastAsia"/>
                                <w:b/>
                                <w:sz w:val="16"/>
                                <w:szCs w:val="12"/>
                              </w:rPr>
                              <w:t>债务比率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1EBB0A" id="Text Box 7" o:spid="_x0000_s1030" type="#_x0000_t202" style="position:absolute;left:0;text-align:left;margin-left:223.5pt;margin-top:38.1pt;width:67.95pt;height:1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" fillcolor="white [3201]" strokecolor="#c6d9f1 [671]" strokeweight=".5pt">
                <v:textbox inset="0,0,0,0">
                  <w:txbxContent>
                    <w:p w14:paraId="771DDDD8" w14:textId="77777777" w:rsidR="00A100EC" w:rsidRPr="00D21252" w:rsidRDefault="00A100EC" w:rsidP="00D21252">
                      <w:pPr>
                        <w:shd w:val="clear" w:color="auto" w:fill="DBE5F1" w:themeFill="accent1" w:themeFillTint="33"/>
                        <w:spacing w:before="0"/>
                        <w:jc w:val="center"/>
                        <w:rPr>
                          <w:b/>
                          <w:sz w:val="12"/>
                          <w:szCs w:val="12"/>
                        </w:rPr>
                      </w:pPr>
                      <w:r w:rsidRPr="00D21252">
                        <w:rPr>
                          <w:rFonts w:hint="eastAsia"/>
                          <w:b/>
                          <w:sz w:val="16"/>
                          <w:szCs w:val="12"/>
                        </w:rPr>
                        <w:t>债务比率</w:t>
                      </w:r>
                    </w:p>
                  </w:txbxContent>
                </v:textbox>
              </v:shape>
            </w:pict>
          </mc:Fallback>
        </mc:AlternateContent>
      </w:r>
      <w:r w:rsidR="003604AE" w:rsidRPr="000C156A">
        <w:rPr>
          <w:rFonts w:eastAsia="Times New Roman"/>
          <w:noProof/>
          <w:lang w:val="en-US" w:eastAsia="zh-CN"/>
        </w:rPr>
        <w:drawing>
          <wp:inline distT="0" distB="0" distL="0" distR="0" wp14:anchorId="25D0CA26" wp14:editId="10F0D7E9">
            <wp:extent cx="6210935" cy="1768475"/>
            <wp:effectExtent l="0" t="0" r="0" b="3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10935" cy="1768475"/>
                    </a:xfrm>
                    <a:prstGeom prst="rect">
                      <a:avLst/>
                    </a:prstGeom>
                  </pic:spPr>
                </pic:pic>
              </a:graphicData>
            </a:graphic>
          </wp:inline>
        </w:drawing>
      </w:r>
    </w:p>
    <w:p w14:paraId="119566C5" w14:textId="4E933CE8" w:rsidR="002926B9" w:rsidRPr="000C156A" w:rsidRDefault="002926B9" w:rsidP="00D21252">
      <w:pPr>
        <w:pStyle w:val="Headingb"/>
        <w:rPr>
          <w:u w:val="single"/>
          <w:lang w:eastAsia="zh-CN"/>
        </w:rPr>
      </w:pPr>
      <w:bookmarkStart w:id="99" w:name="_Toc73461003"/>
      <w:bookmarkStart w:id="100" w:name="_Toc73518650"/>
      <w:bookmarkStart w:id="101" w:name="_Toc73518797"/>
      <w:bookmarkStart w:id="102" w:name="_Toc73519197"/>
      <w:bookmarkStart w:id="103" w:name="_Toc73636079"/>
      <w:bookmarkStart w:id="104" w:name="_Toc73636221"/>
      <w:r w:rsidRPr="000C156A">
        <w:rPr>
          <w:rFonts w:hint="eastAsia"/>
          <w:u w:val="single"/>
          <w:lang w:eastAsia="zh-CN"/>
        </w:rPr>
        <w:t>产权和现金储备</w:t>
      </w:r>
      <w:bookmarkEnd w:id="99"/>
      <w:bookmarkEnd w:id="100"/>
      <w:bookmarkEnd w:id="101"/>
      <w:bookmarkEnd w:id="102"/>
      <w:bookmarkEnd w:id="103"/>
      <w:bookmarkEnd w:id="104"/>
    </w:p>
    <w:p w14:paraId="5E9A913B" w14:textId="5338862D" w:rsidR="004950D1" w:rsidRPr="000C156A" w:rsidRDefault="00D21252" w:rsidP="00331C33">
      <w:pPr>
        <w:pStyle w:val="Figure"/>
        <w:rPr>
          <w:rFonts w:eastAsia="Times New Roman"/>
          <w:noProof/>
          <w:lang w:val="en-US" w:eastAsia="zh-CN"/>
        </w:rPr>
      </w:pPr>
      <w:r w:rsidRPr="000C156A">
        <w:rPr>
          <w:rFonts w:eastAsia="Times New Roman"/>
          <w:noProof/>
          <w:lang w:val="en-US" w:eastAsia="zh-CN"/>
        </w:rPr>
        <mc:AlternateContent>
          <mc:Choice Requires="wps">
            <w:drawing>
              <wp:anchor distT="0" distB="0" distL="114300" distR="114300" simplePos="0" relativeHeight="251671552" behindDoc="0" locked="0" layoutInCell="1" allowOverlap="1" wp14:anchorId="4BB99EF1" wp14:editId="4C629599">
                <wp:simplePos x="0" y="0"/>
                <wp:positionH relativeFrom="column">
                  <wp:posOffset>2703145</wp:posOffset>
                </wp:positionH>
                <wp:positionV relativeFrom="paragraph">
                  <wp:posOffset>501320</wp:posOffset>
                </wp:positionV>
                <wp:extent cx="1009269" cy="248716"/>
                <wp:effectExtent l="0" t="0" r="19685" b="18415"/>
                <wp:wrapNone/>
                <wp:docPr id="15" name="Text Box 15"/>
                <wp:cNvGraphicFramePr/>
                <a:graphic xmlns:a="http://schemas.openxmlformats.org/drawingml/2006/main">
                  <a:graphicData uri="http://schemas.microsoft.com/office/word/2010/wordprocessingShape">
                    <wps:wsp>
                      <wps:cNvSpPr txBox="1"/>
                      <wps:spPr>
                        <a:xfrm>
                          <a:off x="0" y="0"/>
                          <a:ext cx="1009269" cy="248716"/>
                        </a:xfrm>
                        <a:prstGeom prst="rect">
                          <a:avLst/>
                        </a:prstGeom>
                        <a:solidFill>
                          <a:schemeClr val="lt1"/>
                        </a:solidFill>
                        <a:ln w="6350">
                          <a:solidFill>
                            <a:schemeClr val="tx2">
                              <a:lumMod val="20000"/>
                              <a:lumOff val="80000"/>
                            </a:schemeClr>
                          </a:solidFill>
                        </a:ln>
                      </wps:spPr>
                      <wps:txbx>
                        <w:txbxContent>
                          <w:p w14:paraId="65823A1A" w14:textId="7E2BF64A" w:rsidR="00A100EC" w:rsidRPr="00D21252" w:rsidRDefault="00A100EC" w:rsidP="00D21252">
                            <w:pPr>
                              <w:shd w:val="clear" w:color="auto" w:fill="DBE5F1" w:themeFill="accent1" w:themeFillTint="33"/>
                              <w:spacing w:before="0"/>
                              <w:jc w:val="center"/>
                              <w:rPr>
                                <w:b/>
                                <w:sz w:val="12"/>
                                <w:szCs w:val="12"/>
                              </w:rPr>
                            </w:pPr>
                            <w:r w:rsidRPr="00D21252">
                              <w:rPr>
                                <w:rFonts w:hint="eastAsia"/>
                                <w:b/>
                                <w:sz w:val="16"/>
                                <w:szCs w:val="12"/>
                              </w:rPr>
                              <w:t>现金储备比率</w:t>
                            </w:r>
                            <w:r>
                              <w:rPr>
                                <w:b/>
                                <w:sz w:val="16"/>
                                <w:szCs w:val="12"/>
                              </w:rPr>
                              <w:br/>
                            </w:r>
                            <w:r w:rsidRPr="00D21252">
                              <w:rPr>
                                <w:rFonts w:hint="eastAsia"/>
                                <w:b/>
                                <w:sz w:val="16"/>
                                <w:szCs w:val="12"/>
                              </w:rPr>
                              <w:t>（月数）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99EF1" id="Text Box 15" o:spid="_x0000_s1031" type="#_x0000_t202" style="position:absolute;left:0;text-align:left;margin-left:212.85pt;margin-top:39.45pt;width:79.45pt;height:1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" fillcolor="white [3201]" strokecolor="#c6d9f1 [671]" strokeweight=".5pt">
                <v:textbox inset="0,0,0,0">
                  <w:txbxContent>
                    <w:p w14:paraId="65823A1A" w14:textId="7E2BF64A" w:rsidR="00A100EC" w:rsidRPr="00D21252" w:rsidRDefault="00A100EC" w:rsidP="00D21252">
                      <w:pPr>
                        <w:shd w:val="clear" w:color="auto" w:fill="DBE5F1" w:themeFill="accent1" w:themeFillTint="33"/>
                        <w:spacing w:before="0"/>
                        <w:jc w:val="center"/>
                        <w:rPr>
                          <w:b/>
                          <w:sz w:val="12"/>
                          <w:szCs w:val="12"/>
                        </w:rPr>
                      </w:pPr>
                      <w:r w:rsidRPr="00D21252">
                        <w:rPr>
                          <w:rFonts w:hint="eastAsia"/>
                          <w:b/>
                          <w:sz w:val="16"/>
                          <w:szCs w:val="12"/>
                        </w:rPr>
                        <w:t>现金储备比率</w:t>
                      </w:r>
                      <w:r>
                        <w:rPr>
                          <w:b/>
                          <w:sz w:val="16"/>
                          <w:szCs w:val="12"/>
                        </w:rPr>
                        <w:br/>
                      </w:r>
                      <w:r w:rsidRPr="00D21252">
                        <w:rPr>
                          <w:rFonts w:hint="eastAsia"/>
                          <w:b/>
                          <w:sz w:val="16"/>
                          <w:szCs w:val="12"/>
                        </w:rPr>
                        <w:t>（月数）</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73600" behindDoc="0" locked="0" layoutInCell="1" allowOverlap="1" wp14:anchorId="13B7E2A5" wp14:editId="387F9743">
                <wp:simplePos x="0" y="0"/>
                <wp:positionH relativeFrom="column">
                  <wp:posOffset>2769260</wp:posOffset>
                </wp:positionH>
                <wp:positionV relativeFrom="paragraph">
                  <wp:posOffset>764769</wp:posOffset>
                </wp:positionV>
                <wp:extent cx="899160" cy="233730"/>
                <wp:effectExtent l="0" t="0" r="15240" b="13970"/>
                <wp:wrapNone/>
                <wp:docPr id="16" name="Text Box 16"/>
                <wp:cNvGraphicFramePr/>
                <a:graphic xmlns:a="http://schemas.openxmlformats.org/drawingml/2006/main">
                  <a:graphicData uri="http://schemas.microsoft.com/office/word/2010/wordprocessingShape">
                    <wps:wsp>
                      <wps:cNvSpPr txBox="1"/>
                      <wps:spPr>
                        <a:xfrm>
                          <a:off x="0" y="0"/>
                          <a:ext cx="899160" cy="233730"/>
                        </a:xfrm>
                        <a:prstGeom prst="rect">
                          <a:avLst/>
                        </a:prstGeom>
                        <a:solidFill>
                          <a:schemeClr val="lt1"/>
                        </a:solidFill>
                        <a:ln w="6350">
                          <a:solidFill>
                            <a:schemeClr val="bg1"/>
                          </a:solidFill>
                        </a:ln>
                      </wps:spPr>
                      <wps:txbx>
                        <w:txbxContent>
                          <w:p w14:paraId="0099E168" w14:textId="00846456" w:rsidR="00A100EC" w:rsidRPr="00D21252" w:rsidRDefault="00A100EC" w:rsidP="00D21252">
                            <w:pPr>
                              <w:shd w:val="clear" w:color="auto" w:fill="FFFFFF" w:themeFill="background1"/>
                              <w:jc w:val="center"/>
                              <w:rPr>
                                <w:b/>
                                <w:sz w:val="12"/>
                                <w:szCs w:val="12"/>
                              </w:rPr>
                            </w:pPr>
                            <w:r w:rsidRPr="00D21252">
                              <w:rPr>
                                <w:rFonts w:hint="eastAsia"/>
                                <w:b/>
                                <w:sz w:val="16"/>
                                <w:szCs w:val="12"/>
                              </w:rPr>
                              <w:t>期末现金流管理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7E2A5" id="Text Box 16" o:spid="_x0000_s1032" type="#_x0000_t202" style="position:absolute;left:0;text-align:left;margin-left:218.05pt;margin-top:60.2pt;width:70.8pt;height:1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" fillcolor="white [3201]" strokecolor="white [3212]" strokeweight=".5pt">
                <v:textbox inset="0,0,0,0">
                  <w:txbxContent>
                    <w:p w14:paraId="0099E168" w14:textId="00846456" w:rsidR="00A100EC" w:rsidRPr="00D21252" w:rsidRDefault="00A100EC" w:rsidP="00D21252">
                      <w:pPr>
                        <w:shd w:val="clear" w:color="auto" w:fill="FFFFFF" w:themeFill="background1"/>
                        <w:jc w:val="center"/>
                        <w:rPr>
                          <w:b/>
                          <w:sz w:val="12"/>
                          <w:szCs w:val="12"/>
                        </w:rPr>
                      </w:pPr>
                      <w:r w:rsidRPr="00D21252">
                        <w:rPr>
                          <w:rFonts w:hint="eastAsia"/>
                          <w:b/>
                          <w:sz w:val="16"/>
                          <w:szCs w:val="12"/>
                        </w:rPr>
                        <w:t>期末现金流管理</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77696" behindDoc="0" locked="0" layoutInCell="1" allowOverlap="1" wp14:anchorId="0A888A7D" wp14:editId="0110E295">
                <wp:simplePos x="0" y="0"/>
                <wp:positionH relativeFrom="column">
                  <wp:posOffset>2688793</wp:posOffset>
                </wp:positionH>
                <wp:positionV relativeFrom="paragraph">
                  <wp:posOffset>1291463</wp:posOffset>
                </wp:positionV>
                <wp:extent cx="1053389" cy="160934"/>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053389" cy="160934"/>
                        </a:xfrm>
                        <a:prstGeom prst="rect">
                          <a:avLst/>
                        </a:prstGeom>
                        <a:solidFill>
                          <a:schemeClr val="lt1"/>
                        </a:solidFill>
                        <a:ln w="6350">
                          <a:noFill/>
                        </a:ln>
                      </wps:spPr>
                      <wps:txbx>
                        <w:txbxContent>
                          <w:p w14:paraId="61E82386" w14:textId="4D0528EC" w:rsidR="00A100EC" w:rsidRPr="00D21252" w:rsidRDefault="00A100EC" w:rsidP="00D21252">
                            <w:pPr>
                              <w:shd w:val="clear" w:color="auto" w:fill="C6D9F1" w:themeFill="text2" w:themeFillTint="33"/>
                              <w:spacing w:before="0"/>
                              <w:jc w:val="center"/>
                              <w:rPr>
                                <w:b/>
                                <w:sz w:val="12"/>
                                <w:szCs w:val="12"/>
                              </w:rPr>
                            </w:pPr>
                            <w:r w:rsidRPr="00D21252">
                              <w:rPr>
                                <w:rFonts w:hint="eastAsia"/>
                                <w:b/>
                                <w:sz w:val="16"/>
                                <w:szCs w:val="12"/>
                              </w:rPr>
                              <w:t>现金储备比率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88A7D" id="Text Box 26" o:spid="_x0000_s1033" type="#_x0000_t202" style="position:absolute;left:0;text-align:left;margin-left:211.7pt;margin-top:101.7pt;width:82.95pt;height:1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" fillcolor="white [3201]" stroked="f" strokeweight=".5pt">
                <v:textbox inset="0,0,0,0">
                  <w:txbxContent>
                    <w:p w14:paraId="61E82386" w14:textId="4D0528EC" w:rsidR="00A100EC" w:rsidRPr="00D21252" w:rsidRDefault="00A100EC" w:rsidP="00D21252">
                      <w:pPr>
                        <w:shd w:val="clear" w:color="auto" w:fill="C6D9F1" w:themeFill="text2" w:themeFillTint="33"/>
                        <w:spacing w:before="0"/>
                        <w:jc w:val="center"/>
                        <w:rPr>
                          <w:b/>
                          <w:sz w:val="12"/>
                          <w:szCs w:val="12"/>
                        </w:rPr>
                      </w:pPr>
                      <w:r w:rsidRPr="00D21252">
                        <w:rPr>
                          <w:rFonts w:hint="eastAsia"/>
                          <w:b/>
                          <w:sz w:val="16"/>
                          <w:szCs w:val="12"/>
                        </w:rPr>
                        <w:t>现金储备比率</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75648" behindDoc="0" locked="0" layoutInCell="1" allowOverlap="1" wp14:anchorId="35EB1779" wp14:editId="28118F84">
                <wp:simplePos x="0" y="0"/>
                <wp:positionH relativeFrom="column">
                  <wp:posOffset>2644902</wp:posOffset>
                </wp:positionH>
                <wp:positionV relativeFrom="paragraph">
                  <wp:posOffset>1035431</wp:posOffset>
                </wp:positionV>
                <wp:extent cx="1119226" cy="211785"/>
                <wp:effectExtent l="0" t="0" r="24130" b="17145"/>
                <wp:wrapNone/>
                <wp:docPr id="21" name="Text Box 21"/>
                <wp:cNvGraphicFramePr/>
                <a:graphic xmlns:a="http://schemas.openxmlformats.org/drawingml/2006/main">
                  <a:graphicData uri="http://schemas.microsoft.com/office/word/2010/wordprocessingShape">
                    <wps:wsp>
                      <wps:cNvSpPr txBox="1"/>
                      <wps:spPr>
                        <a:xfrm>
                          <a:off x="0" y="0"/>
                          <a:ext cx="1119226" cy="211785"/>
                        </a:xfrm>
                        <a:prstGeom prst="rect">
                          <a:avLst/>
                        </a:prstGeom>
                        <a:solidFill>
                          <a:schemeClr val="lt1"/>
                        </a:solidFill>
                        <a:ln w="6350">
                          <a:solidFill>
                            <a:schemeClr val="bg1"/>
                          </a:solidFill>
                        </a:ln>
                      </wps:spPr>
                      <wps:txbx>
                        <w:txbxContent>
                          <w:p w14:paraId="4AEBFA84" w14:textId="6A089273" w:rsidR="00A100EC" w:rsidRPr="00D21252" w:rsidRDefault="00A100EC" w:rsidP="00D21252">
                            <w:pPr>
                              <w:shd w:val="clear" w:color="auto" w:fill="FFFFFF" w:themeFill="background1"/>
                              <w:spacing w:before="0"/>
                              <w:jc w:val="center"/>
                              <w:rPr>
                                <w:b/>
                                <w:sz w:val="12"/>
                                <w:szCs w:val="12"/>
                              </w:rPr>
                            </w:pPr>
                            <w:r w:rsidRPr="00D21252">
                              <w:rPr>
                                <w:rFonts w:hint="eastAsia"/>
                                <w:b/>
                                <w:sz w:val="16"/>
                                <w:szCs w:val="12"/>
                              </w:rPr>
                              <w:t>每月平均费用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B1779" id="Text Box 21" o:spid="_x0000_s1034" type="#_x0000_t202" style="position:absolute;left:0;text-align:left;margin-left:208.25pt;margin-top:81.55pt;width:88.15pt;height:1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" fillcolor="white [3201]" strokecolor="white [3212]" strokeweight=".5pt">
                <v:textbox inset="0,0,0,0">
                  <w:txbxContent>
                    <w:p w14:paraId="4AEBFA84" w14:textId="6A089273" w:rsidR="00A100EC" w:rsidRPr="00D21252" w:rsidRDefault="00A100EC" w:rsidP="00D21252">
                      <w:pPr>
                        <w:shd w:val="clear" w:color="auto" w:fill="FFFFFF" w:themeFill="background1"/>
                        <w:spacing w:before="0"/>
                        <w:jc w:val="center"/>
                        <w:rPr>
                          <w:b/>
                          <w:sz w:val="12"/>
                          <w:szCs w:val="12"/>
                        </w:rPr>
                      </w:pPr>
                      <w:r w:rsidRPr="00D21252">
                        <w:rPr>
                          <w:rFonts w:hint="eastAsia"/>
                          <w:b/>
                          <w:sz w:val="16"/>
                          <w:szCs w:val="12"/>
                        </w:rPr>
                        <w:t>每月平均费用</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69504" behindDoc="0" locked="0" layoutInCell="1" allowOverlap="1" wp14:anchorId="5FF93352" wp14:editId="30254C62">
                <wp:simplePos x="0" y="0"/>
                <wp:positionH relativeFrom="column">
                  <wp:posOffset>457657</wp:posOffset>
                </wp:positionH>
                <wp:positionV relativeFrom="paragraph">
                  <wp:posOffset>194183</wp:posOffset>
                </wp:positionV>
                <wp:extent cx="1872387" cy="234086"/>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72387" cy="234086"/>
                        </a:xfrm>
                        <a:prstGeom prst="rect">
                          <a:avLst/>
                        </a:prstGeom>
                        <a:solidFill>
                          <a:schemeClr val="lt1"/>
                        </a:solidFill>
                        <a:ln w="6350">
                          <a:noFill/>
                        </a:ln>
                      </wps:spPr>
                      <wps:txbx>
                        <w:txbxContent>
                          <w:p w14:paraId="07EEC535" w14:textId="2ACABC09" w:rsidR="00A100EC" w:rsidRPr="00D21252" w:rsidRDefault="00A100EC" w:rsidP="00D21252">
                            <w:pPr>
                              <w:spacing w:before="0"/>
                              <w:jc w:val="center"/>
                              <w:rPr>
                                <w:b/>
                                <w:sz w:val="12"/>
                                <w:szCs w:val="12"/>
                              </w:rPr>
                            </w:pPr>
                            <w:r w:rsidRPr="00D21252">
                              <w:rPr>
                                <w:rFonts w:hint="eastAsia"/>
                                <w:b/>
                                <w:sz w:val="16"/>
                                <w:szCs w:val="12"/>
                              </w:rPr>
                              <w:t>现金储备比率（</w:t>
                            </w:r>
                            <w:r w:rsidRPr="00D21252">
                              <w:rPr>
                                <w:rFonts w:hint="eastAsia"/>
                                <w:b/>
                                <w:sz w:val="16"/>
                                <w:szCs w:val="12"/>
                              </w:rPr>
                              <w:t>#</w:t>
                            </w:r>
                            <w:r w:rsidRPr="00D21252">
                              <w:rPr>
                                <w:rFonts w:hint="eastAsia"/>
                                <w:b/>
                                <w:sz w:val="16"/>
                                <w:szCs w:val="12"/>
                              </w:rPr>
                              <w:t>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93352" id="Text Box 14" o:spid="_x0000_s1035" type="#_x0000_t202" style="position:absolute;left:0;text-align:left;margin-left:36.05pt;margin-top:15.3pt;width:147.45pt;height:1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" fillcolor="white [3201]" stroked="f" strokeweight=".5pt">
                <v:textbox inset="0,0,0,0">
                  <w:txbxContent>
                    <w:p w14:paraId="07EEC535" w14:textId="2ACABC09" w:rsidR="00A100EC" w:rsidRPr="00D21252" w:rsidRDefault="00A100EC" w:rsidP="00D21252">
                      <w:pPr>
                        <w:spacing w:before="0"/>
                        <w:jc w:val="center"/>
                        <w:rPr>
                          <w:b/>
                          <w:sz w:val="12"/>
                          <w:szCs w:val="12"/>
                        </w:rPr>
                      </w:pPr>
                      <w:r w:rsidRPr="00D21252">
                        <w:rPr>
                          <w:rFonts w:hint="eastAsia"/>
                          <w:b/>
                          <w:sz w:val="16"/>
                          <w:szCs w:val="12"/>
                        </w:rPr>
                        <w:t>现金储备比率（</w:t>
                      </w:r>
                      <w:r w:rsidRPr="00D21252">
                        <w:rPr>
                          <w:rFonts w:hint="eastAsia"/>
                          <w:b/>
                          <w:sz w:val="16"/>
                          <w:szCs w:val="12"/>
                        </w:rPr>
                        <w:t>#</w:t>
                      </w:r>
                      <w:r w:rsidRPr="00D21252">
                        <w:rPr>
                          <w:rFonts w:hint="eastAsia"/>
                          <w:b/>
                          <w:sz w:val="16"/>
                          <w:szCs w:val="12"/>
                        </w:rPr>
                        <w:t>月）</w:t>
                      </w:r>
                    </w:p>
                  </w:txbxContent>
                </v:textbox>
              </v:shape>
            </w:pict>
          </mc:Fallback>
        </mc:AlternateContent>
      </w:r>
      <w:r w:rsidR="003604AE" w:rsidRPr="000C156A">
        <w:rPr>
          <w:rFonts w:eastAsia="Times New Roman"/>
          <w:noProof/>
          <w:lang w:val="en-US" w:eastAsia="zh-CN"/>
        </w:rPr>
        <w:drawing>
          <wp:inline distT="0" distB="0" distL="0" distR="0" wp14:anchorId="67DE364D" wp14:editId="246A520A">
            <wp:extent cx="6210935" cy="176149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10935" cy="1761490"/>
                    </a:xfrm>
                    <a:prstGeom prst="rect">
                      <a:avLst/>
                    </a:prstGeom>
                  </pic:spPr>
                </pic:pic>
              </a:graphicData>
            </a:graphic>
          </wp:inline>
        </w:drawing>
      </w:r>
    </w:p>
    <w:p w14:paraId="41752034" w14:textId="767E417E" w:rsidR="003B5BED" w:rsidRPr="000C156A" w:rsidRDefault="006423EB" w:rsidP="00761A73">
      <w:pPr>
        <w:spacing w:before="240"/>
        <w:rPr>
          <w:lang w:eastAsia="zh-CN"/>
        </w:rPr>
      </w:pPr>
      <w:r w:rsidRPr="000C156A">
        <w:rPr>
          <w:rFonts w:asciiTheme="minorHAnsi" w:hAnsiTheme="minorHAnsi" w:cs="Calibri"/>
          <w:noProof/>
          <w:szCs w:val="24"/>
          <w:lang w:val="en-US" w:eastAsia="zh-CN"/>
        </w:rPr>
        <w:t>42</w:t>
      </w:r>
      <w:r w:rsidRPr="000C156A">
        <w:rPr>
          <w:rFonts w:asciiTheme="minorHAnsi" w:hAnsiTheme="minorHAnsi" w:cs="Calibri"/>
          <w:noProof/>
          <w:szCs w:val="24"/>
          <w:lang w:val="en-US" w:eastAsia="zh-CN"/>
        </w:rPr>
        <w:tab/>
      </w:r>
      <w:r w:rsidR="005512B2" w:rsidRPr="000C156A">
        <w:rPr>
          <w:rFonts w:hint="eastAsia"/>
          <w:lang w:eastAsia="zh-CN"/>
        </w:rPr>
        <w:t>现金储备的评估用月数表示并体现出若干年内的稳定性。应注意，部分现金并非立等可用，因此需要认真监督以满足每月的需求。</w:t>
      </w:r>
    </w:p>
    <w:p w14:paraId="610437E5" w14:textId="32160431" w:rsidR="005512B2" w:rsidRPr="000C156A" w:rsidRDefault="005512B2" w:rsidP="005512B2">
      <w:pPr>
        <w:pStyle w:val="Headingb"/>
        <w:rPr>
          <w:szCs w:val="28"/>
          <w:lang w:eastAsia="zh-CN"/>
        </w:rPr>
      </w:pPr>
      <w:bookmarkStart w:id="105" w:name="_Toc72744919"/>
      <w:bookmarkStart w:id="106" w:name="_Toc72747203"/>
      <w:bookmarkStart w:id="107" w:name="_Toc73461004"/>
      <w:bookmarkStart w:id="108" w:name="_Toc73518651"/>
      <w:bookmarkStart w:id="109" w:name="_Toc73518798"/>
      <w:bookmarkStart w:id="110" w:name="_Toc73519198"/>
      <w:bookmarkStart w:id="111" w:name="_Toc73636080"/>
      <w:bookmarkStart w:id="112" w:name="_Toc73636222"/>
      <w:r w:rsidRPr="000C156A">
        <w:rPr>
          <w:rFonts w:hint="eastAsia"/>
          <w:bCs/>
          <w:szCs w:val="28"/>
          <w:u w:val="single"/>
          <w:lang w:eastAsia="zh-CN"/>
        </w:rPr>
        <w:t>短期偿债能力</w:t>
      </w:r>
      <w:bookmarkEnd w:id="105"/>
      <w:bookmarkEnd w:id="106"/>
      <w:bookmarkEnd w:id="107"/>
      <w:bookmarkEnd w:id="108"/>
      <w:bookmarkEnd w:id="109"/>
      <w:bookmarkEnd w:id="110"/>
      <w:bookmarkEnd w:id="111"/>
      <w:bookmarkEnd w:id="112"/>
    </w:p>
    <w:p w14:paraId="41C6C236" w14:textId="59146D87" w:rsidR="001E0019" w:rsidRPr="000C156A" w:rsidRDefault="00A56E7F" w:rsidP="00A15366">
      <w:pPr>
        <w:pStyle w:val="Figure"/>
        <w:keepNext w:val="0"/>
        <w:rPr>
          <w:rFonts w:eastAsia="Times New Roman"/>
          <w:noProof/>
          <w:lang w:val="en-US" w:eastAsia="zh-CN"/>
        </w:rPr>
      </w:pPr>
      <w:r w:rsidRPr="000C156A">
        <w:rPr>
          <w:rFonts w:eastAsia="Times New Roman"/>
          <w:noProof/>
          <w:lang w:val="en-US" w:eastAsia="zh-CN"/>
        </w:rPr>
        <mc:AlternateContent>
          <mc:Choice Requires="wps">
            <w:drawing>
              <wp:anchor distT="0" distB="0" distL="114300" distR="114300" simplePos="0" relativeHeight="251679744" behindDoc="0" locked="0" layoutInCell="1" allowOverlap="1" wp14:anchorId="4B161240" wp14:editId="1BA4F1FB">
                <wp:simplePos x="0" y="0"/>
                <wp:positionH relativeFrom="column">
                  <wp:posOffset>420370</wp:posOffset>
                </wp:positionH>
                <wp:positionV relativeFrom="paragraph">
                  <wp:posOffset>177588</wp:posOffset>
                </wp:positionV>
                <wp:extent cx="1872387" cy="146304"/>
                <wp:effectExtent l="0" t="0" r="0" b="6350"/>
                <wp:wrapNone/>
                <wp:docPr id="27" name="Text Box 27"/>
                <wp:cNvGraphicFramePr/>
                <a:graphic xmlns:a="http://schemas.openxmlformats.org/drawingml/2006/main">
                  <a:graphicData uri="http://schemas.microsoft.com/office/word/2010/wordprocessingShape">
                    <wps:wsp>
                      <wps:cNvSpPr txBox="1"/>
                      <wps:spPr>
                        <a:xfrm>
                          <a:off x="0" y="0"/>
                          <a:ext cx="1872387" cy="146304"/>
                        </a:xfrm>
                        <a:prstGeom prst="rect">
                          <a:avLst/>
                        </a:prstGeom>
                        <a:solidFill>
                          <a:schemeClr val="lt1"/>
                        </a:solidFill>
                        <a:ln w="6350">
                          <a:noFill/>
                        </a:ln>
                      </wps:spPr>
                      <wps:txbx>
                        <w:txbxContent>
                          <w:p w14:paraId="6B2EEDD1" w14:textId="326F9EDA" w:rsidR="00A100EC" w:rsidRPr="00D21252" w:rsidRDefault="00A100EC" w:rsidP="00D21252">
                            <w:pPr>
                              <w:spacing w:before="0"/>
                              <w:jc w:val="center"/>
                              <w:rPr>
                                <w:b/>
                                <w:sz w:val="12"/>
                                <w:szCs w:val="12"/>
                              </w:rPr>
                            </w:pPr>
                            <w:r w:rsidRPr="00D21252">
                              <w:rPr>
                                <w:rFonts w:hint="eastAsia"/>
                                <w:b/>
                                <w:sz w:val="16"/>
                                <w:szCs w:val="12"/>
                              </w:rPr>
                              <w:t>流动比率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61240" id="Text Box 27" o:spid="_x0000_s1036" type="#_x0000_t202" style="position:absolute;left:0;text-align:left;margin-left:33.1pt;margin-top:14pt;width:147.45pt;height: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" fillcolor="white [3201]" stroked="f" strokeweight=".5pt">
                <v:textbox inset="0,0,0,0">
                  <w:txbxContent>
                    <w:p w14:paraId="6B2EEDD1" w14:textId="326F9EDA" w:rsidR="00A100EC" w:rsidRPr="00D21252" w:rsidRDefault="00A100EC" w:rsidP="00D21252">
                      <w:pPr>
                        <w:spacing w:before="0"/>
                        <w:jc w:val="center"/>
                        <w:rPr>
                          <w:b/>
                          <w:sz w:val="12"/>
                          <w:szCs w:val="12"/>
                        </w:rPr>
                      </w:pPr>
                      <w:r w:rsidRPr="00D21252">
                        <w:rPr>
                          <w:rFonts w:hint="eastAsia"/>
                          <w:b/>
                          <w:sz w:val="16"/>
                          <w:szCs w:val="12"/>
                        </w:rPr>
                        <w:t>流动比率</w:t>
                      </w:r>
                    </w:p>
                  </w:txbxContent>
                </v:textbox>
              </v:shape>
            </w:pict>
          </mc:Fallback>
        </mc:AlternateContent>
      </w:r>
      <w:r w:rsidR="00331C33" w:rsidRPr="000C156A">
        <w:rPr>
          <w:rFonts w:eastAsia="Times New Roman"/>
          <w:noProof/>
          <w:lang w:val="en-US" w:eastAsia="zh-CN"/>
        </w:rPr>
        <mc:AlternateContent>
          <mc:Choice Requires="wps">
            <w:drawing>
              <wp:anchor distT="0" distB="0" distL="114300" distR="114300" simplePos="0" relativeHeight="251685888" behindDoc="0" locked="0" layoutInCell="1" allowOverlap="1" wp14:anchorId="1125C7B5" wp14:editId="332CF045">
                <wp:simplePos x="0" y="0"/>
                <wp:positionH relativeFrom="column">
                  <wp:posOffset>2776220</wp:posOffset>
                </wp:positionH>
                <wp:positionV relativeFrom="paragraph">
                  <wp:posOffset>713034</wp:posOffset>
                </wp:positionV>
                <wp:extent cx="899160" cy="204470"/>
                <wp:effectExtent l="0" t="0" r="15240" b="24130"/>
                <wp:wrapNone/>
                <wp:docPr id="30" name="Text Box 30"/>
                <wp:cNvGraphicFramePr/>
                <a:graphic xmlns:a="http://schemas.openxmlformats.org/drawingml/2006/main">
                  <a:graphicData uri="http://schemas.microsoft.com/office/word/2010/wordprocessingShape">
                    <wps:wsp>
                      <wps:cNvSpPr txBox="1"/>
                      <wps:spPr>
                        <a:xfrm>
                          <a:off x="0" y="0"/>
                          <a:ext cx="899160" cy="204470"/>
                        </a:xfrm>
                        <a:prstGeom prst="rect">
                          <a:avLst/>
                        </a:prstGeom>
                        <a:solidFill>
                          <a:schemeClr val="lt1"/>
                        </a:solidFill>
                        <a:ln w="6350">
                          <a:solidFill>
                            <a:schemeClr val="bg1"/>
                          </a:solidFill>
                        </a:ln>
                      </wps:spPr>
                      <wps:txbx>
                        <w:txbxContent>
                          <w:p w14:paraId="56D15DDF" w14:textId="2162ECDB" w:rsidR="00A100EC" w:rsidRPr="00D21252" w:rsidRDefault="00A100EC" w:rsidP="00F505E6">
                            <w:pPr>
                              <w:shd w:val="clear" w:color="auto" w:fill="FFFFFF" w:themeFill="background1"/>
                              <w:spacing w:before="100"/>
                              <w:jc w:val="center"/>
                              <w:rPr>
                                <w:b/>
                                <w:sz w:val="12"/>
                                <w:szCs w:val="12"/>
                              </w:rPr>
                            </w:pPr>
                            <w:r w:rsidRPr="00F505E6">
                              <w:rPr>
                                <w:rFonts w:hint="eastAsia"/>
                                <w:b/>
                                <w:sz w:val="16"/>
                                <w:szCs w:val="12"/>
                              </w:rPr>
                              <w:t>流动资产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5C7B5" id="Text Box 30" o:spid="_x0000_s1037" type="#_x0000_t202" style="position:absolute;left:0;text-align:left;margin-left:218.6pt;margin-top:56.15pt;width:70.8pt;height:16.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" fillcolor="white [3201]" strokecolor="white [3212]" strokeweight=".5pt">
                <v:textbox inset="0,0,0,0">
                  <w:txbxContent>
                    <w:p w14:paraId="56D15DDF" w14:textId="2162ECDB" w:rsidR="00A100EC" w:rsidRPr="00D21252" w:rsidRDefault="00A100EC" w:rsidP="00F505E6">
                      <w:pPr>
                        <w:shd w:val="clear" w:color="auto" w:fill="FFFFFF" w:themeFill="background1"/>
                        <w:spacing w:before="100"/>
                        <w:jc w:val="center"/>
                        <w:rPr>
                          <w:b/>
                          <w:sz w:val="12"/>
                          <w:szCs w:val="12"/>
                        </w:rPr>
                      </w:pPr>
                      <w:r w:rsidRPr="00F505E6">
                        <w:rPr>
                          <w:rFonts w:hint="eastAsia"/>
                          <w:b/>
                          <w:sz w:val="16"/>
                          <w:szCs w:val="12"/>
                        </w:rPr>
                        <w:t>流动资产</w:t>
                      </w:r>
                    </w:p>
                  </w:txbxContent>
                </v:textbox>
              </v:shape>
            </w:pict>
          </mc:Fallback>
        </mc:AlternateContent>
      </w:r>
      <w:r w:rsidR="00331C33" w:rsidRPr="000C156A">
        <w:rPr>
          <w:rFonts w:eastAsia="Times New Roman"/>
          <w:noProof/>
          <w:lang w:val="en-US" w:eastAsia="zh-CN"/>
        </w:rPr>
        <mc:AlternateContent>
          <mc:Choice Requires="wps">
            <w:drawing>
              <wp:anchor distT="0" distB="0" distL="114300" distR="114300" simplePos="0" relativeHeight="251683840" behindDoc="0" locked="0" layoutInCell="1" allowOverlap="1" wp14:anchorId="0B43E494" wp14:editId="73481D44">
                <wp:simplePos x="0" y="0"/>
                <wp:positionH relativeFrom="column">
                  <wp:posOffset>2793365</wp:posOffset>
                </wp:positionH>
                <wp:positionV relativeFrom="paragraph">
                  <wp:posOffset>1222304</wp:posOffset>
                </wp:positionV>
                <wp:extent cx="862965" cy="15303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862965" cy="153035"/>
                        </a:xfrm>
                        <a:prstGeom prst="rect">
                          <a:avLst/>
                        </a:prstGeom>
                        <a:solidFill>
                          <a:schemeClr val="lt1"/>
                        </a:solidFill>
                        <a:ln w="6350">
                          <a:noFill/>
                        </a:ln>
                      </wps:spPr>
                      <wps:txbx>
                        <w:txbxContent>
                          <w:p w14:paraId="4FA3D9FB" w14:textId="75D8FD17" w:rsidR="00A100EC" w:rsidRPr="00D21252" w:rsidRDefault="00A100EC" w:rsidP="00F505E6">
                            <w:pPr>
                              <w:shd w:val="clear" w:color="auto" w:fill="C6D9F1" w:themeFill="text2" w:themeFillTint="33"/>
                              <w:spacing w:before="0"/>
                              <w:jc w:val="center"/>
                              <w:rPr>
                                <w:b/>
                                <w:sz w:val="12"/>
                                <w:szCs w:val="12"/>
                              </w:rPr>
                            </w:pPr>
                            <w:r w:rsidRPr="00F505E6">
                              <w:rPr>
                                <w:rFonts w:hint="eastAsia"/>
                                <w:b/>
                                <w:sz w:val="16"/>
                                <w:szCs w:val="12"/>
                              </w:rPr>
                              <w:t>流动比率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43E494" id="Text Box 29" o:spid="_x0000_s1038" type="#_x0000_t202" style="position:absolute;left:0;text-align:left;margin-left:219.95pt;margin-top:96.25pt;width:67.95pt;height:12.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" fillcolor="white [3201]" stroked="f" strokeweight=".5pt">
                <v:textbox inset="0,0,0,0">
                  <w:txbxContent>
                    <w:p w14:paraId="4FA3D9FB" w14:textId="75D8FD17" w:rsidR="00A100EC" w:rsidRPr="00D21252" w:rsidRDefault="00A100EC" w:rsidP="00F505E6">
                      <w:pPr>
                        <w:shd w:val="clear" w:color="auto" w:fill="C6D9F1" w:themeFill="text2" w:themeFillTint="33"/>
                        <w:spacing w:before="0"/>
                        <w:jc w:val="center"/>
                        <w:rPr>
                          <w:b/>
                          <w:sz w:val="12"/>
                          <w:szCs w:val="12"/>
                        </w:rPr>
                      </w:pPr>
                      <w:r w:rsidRPr="00F505E6">
                        <w:rPr>
                          <w:rFonts w:hint="eastAsia"/>
                          <w:b/>
                          <w:sz w:val="16"/>
                          <w:szCs w:val="12"/>
                        </w:rPr>
                        <w:t>流动比率</w:t>
                      </w:r>
                    </w:p>
                  </w:txbxContent>
                </v:textbox>
              </v:shape>
            </w:pict>
          </mc:Fallback>
        </mc:AlternateContent>
      </w:r>
      <w:r w:rsidR="00331C33" w:rsidRPr="000C156A">
        <w:rPr>
          <w:rFonts w:eastAsia="Times New Roman"/>
          <w:noProof/>
          <w:lang w:val="en-US" w:eastAsia="zh-CN"/>
        </w:rPr>
        <mc:AlternateContent>
          <mc:Choice Requires="wps">
            <w:drawing>
              <wp:anchor distT="0" distB="0" distL="114300" distR="114300" simplePos="0" relativeHeight="251687936" behindDoc="0" locked="0" layoutInCell="1" allowOverlap="1" wp14:anchorId="16BF9F6D" wp14:editId="6C6CE7BD">
                <wp:simplePos x="0" y="0"/>
                <wp:positionH relativeFrom="column">
                  <wp:posOffset>2669540</wp:posOffset>
                </wp:positionH>
                <wp:positionV relativeFrom="paragraph">
                  <wp:posOffset>956592</wp:posOffset>
                </wp:positionV>
                <wp:extent cx="1118870" cy="211455"/>
                <wp:effectExtent l="0" t="0" r="24130" b="17145"/>
                <wp:wrapNone/>
                <wp:docPr id="40" name="Text Box 40"/>
                <wp:cNvGraphicFramePr/>
                <a:graphic xmlns:a="http://schemas.openxmlformats.org/drawingml/2006/main">
                  <a:graphicData uri="http://schemas.microsoft.com/office/word/2010/wordprocessingShape">
                    <wps:wsp>
                      <wps:cNvSpPr txBox="1"/>
                      <wps:spPr>
                        <a:xfrm>
                          <a:off x="0" y="0"/>
                          <a:ext cx="1118870" cy="211455"/>
                        </a:xfrm>
                        <a:prstGeom prst="rect">
                          <a:avLst/>
                        </a:prstGeom>
                        <a:solidFill>
                          <a:schemeClr val="lt1"/>
                        </a:solidFill>
                        <a:ln w="6350">
                          <a:solidFill>
                            <a:schemeClr val="bg1"/>
                          </a:solidFill>
                        </a:ln>
                      </wps:spPr>
                      <wps:txbx>
                        <w:txbxContent>
                          <w:p w14:paraId="4BBF4A0B" w14:textId="0EF89261" w:rsidR="00A100EC" w:rsidRPr="00D21252" w:rsidRDefault="00A100EC" w:rsidP="00F505E6">
                            <w:pPr>
                              <w:shd w:val="clear" w:color="auto" w:fill="FFFFFF" w:themeFill="background1"/>
                              <w:spacing w:before="0"/>
                              <w:jc w:val="center"/>
                              <w:rPr>
                                <w:b/>
                                <w:sz w:val="12"/>
                                <w:szCs w:val="12"/>
                              </w:rPr>
                            </w:pPr>
                            <w:r w:rsidRPr="00F505E6">
                              <w:rPr>
                                <w:rFonts w:hint="eastAsia"/>
                                <w:b/>
                                <w:sz w:val="16"/>
                                <w:szCs w:val="12"/>
                              </w:rPr>
                              <w:t>流动负债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F9F6D" id="Text Box 40" o:spid="_x0000_s1039" type="#_x0000_t202" style="position:absolute;left:0;text-align:left;margin-left:210.2pt;margin-top:75.3pt;width:88.1pt;height:16.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" fillcolor="white [3201]" strokecolor="white [3212]" strokeweight=".5pt">
                <v:textbox inset="0,0,0,0">
                  <w:txbxContent>
                    <w:p w14:paraId="4BBF4A0B" w14:textId="0EF89261" w:rsidR="00A100EC" w:rsidRPr="00D21252" w:rsidRDefault="00A100EC" w:rsidP="00F505E6">
                      <w:pPr>
                        <w:shd w:val="clear" w:color="auto" w:fill="FFFFFF" w:themeFill="background1"/>
                        <w:spacing w:before="0"/>
                        <w:jc w:val="center"/>
                        <w:rPr>
                          <w:b/>
                          <w:sz w:val="12"/>
                          <w:szCs w:val="12"/>
                        </w:rPr>
                      </w:pPr>
                      <w:r w:rsidRPr="00F505E6">
                        <w:rPr>
                          <w:rFonts w:hint="eastAsia"/>
                          <w:b/>
                          <w:sz w:val="16"/>
                          <w:szCs w:val="12"/>
                        </w:rPr>
                        <w:t>流动负债</w:t>
                      </w:r>
                    </w:p>
                  </w:txbxContent>
                </v:textbox>
              </v:shape>
            </w:pict>
          </mc:Fallback>
        </mc:AlternateContent>
      </w:r>
      <w:r w:rsidR="00331C33" w:rsidRPr="000C156A">
        <w:rPr>
          <w:rFonts w:eastAsia="Times New Roman"/>
          <w:noProof/>
          <w:lang w:val="en-US" w:eastAsia="zh-CN"/>
        </w:rPr>
        <mc:AlternateContent>
          <mc:Choice Requires="wps">
            <w:drawing>
              <wp:anchor distT="0" distB="0" distL="114300" distR="114300" simplePos="0" relativeHeight="251681792" behindDoc="0" locked="0" layoutInCell="1" allowOverlap="1" wp14:anchorId="1F15B5C9" wp14:editId="413E1196">
                <wp:simplePos x="0" y="0"/>
                <wp:positionH relativeFrom="column">
                  <wp:posOffset>2703195</wp:posOffset>
                </wp:positionH>
                <wp:positionV relativeFrom="paragraph">
                  <wp:posOffset>438714</wp:posOffset>
                </wp:positionV>
                <wp:extent cx="1009015" cy="167640"/>
                <wp:effectExtent l="0" t="0" r="19685" b="22860"/>
                <wp:wrapNone/>
                <wp:docPr id="28" name="Text Box 28"/>
                <wp:cNvGraphicFramePr/>
                <a:graphic xmlns:a="http://schemas.openxmlformats.org/drawingml/2006/main">
                  <a:graphicData uri="http://schemas.microsoft.com/office/word/2010/wordprocessingShape">
                    <wps:wsp>
                      <wps:cNvSpPr txBox="1"/>
                      <wps:spPr>
                        <a:xfrm>
                          <a:off x="0" y="0"/>
                          <a:ext cx="1009015" cy="167640"/>
                        </a:xfrm>
                        <a:prstGeom prst="rect">
                          <a:avLst/>
                        </a:prstGeom>
                        <a:solidFill>
                          <a:schemeClr val="lt1"/>
                        </a:solidFill>
                        <a:ln w="6350">
                          <a:solidFill>
                            <a:schemeClr val="tx2">
                              <a:lumMod val="20000"/>
                              <a:lumOff val="80000"/>
                            </a:schemeClr>
                          </a:solidFill>
                        </a:ln>
                      </wps:spPr>
                      <wps:txbx>
                        <w:txbxContent>
                          <w:p w14:paraId="06FB3EAB" w14:textId="57011984" w:rsidR="00A100EC" w:rsidRPr="00D21252" w:rsidRDefault="00A100EC" w:rsidP="00D21252">
                            <w:pPr>
                              <w:shd w:val="clear" w:color="auto" w:fill="DBE5F1" w:themeFill="accent1" w:themeFillTint="33"/>
                              <w:spacing w:before="0"/>
                              <w:jc w:val="center"/>
                              <w:rPr>
                                <w:b/>
                                <w:sz w:val="12"/>
                                <w:szCs w:val="12"/>
                              </w:rPr>
                            </w:pPr>
                            <w:r w:rsidRPr="00D21252">
                              <w:rPr>
                                <w:rFonts w:hint="eastAsia"/>
                                <w:b/>
                                <w:sz w:val="16"/>
                                <w:szCs w:val="12"/>
                              </w:rPr>
                              <w:t>流动比率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5B5C9" id="Text Box 28" o:spid="_x0000_s1040" type="#_x0000_t202" style="position:absolute;left:0;text-align:left;margin-left:212.85pt;margin-top:34.55pt;width:79.45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" fillcolor="white [3201]" strokecolor="#c6d9f1 [671]" strokeweight=".5pt">
                <v:textbox inset="0,0,0,0">
                  <w:txbxContent>
                    <w:p w14:paraId="06FB3EAB" w14:textId="57011984" w:rsidR="00A100EC" w:rsidRPr="00D21252" w:rsidRDefault="00A100EC" w:rsidP="00D21252">
                      <w:pPr>
                        <w:shd w:val="clear" w:color="auto" w:fill="DBE5F1" w:themeFill="accent1" w:themeFillTint="33"/>
                        <w:spacing w:before="0"/>
                        <w:jc w:val="center"/>
                        <w:rPr>
                          <w:b/>
                          <w:sz w:val="12"/>
                          <w:szCs w:val="12"/>
                        </w:rPr>
                      </w:pPr>
                      <w:r w:rsidRPr="00D21252">
                        <w:rPr>
                          <w:rFonts w:hint="eastAsia"/>
                          <w:b/>
                          <w:sz w:val="16"/>
                          <w:szCs w:val="12"/>
                        </w:rPr>
                        <w:t>流动比率</w:t>
                      </w:r>
                    </w:p>
                  </w:txbxContent>
                </v:textbox>
              </v:shape>
            </w:pict>
          </mc:Fallback>
        </mc:AlternateContent>
      </w:r>
      <w:r w:rsidR="00E22396" w:rsidRPr="000C156A">
        <w:rPr>
          <w:rFonts w:eastAsia="Times New Roman"/>
          <w:noProof/>
          <w:lang w:val="en-US" w:eastAsia="zh-CN"/>
        </w:rPr>
        <w:drawing>
          <wp:inline distT="0" distB="0" distL="0" distR="0" wp14:anchorId="041A3494" wp14:editId="65D0592F">
            <wp:extent cx="6210935" cy="18326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10935" cy="1832610"/>
                    </a:xfrm>
                    <a:prstGeom prst="rect">
                      <a:avLst/>
                    </a:prstGeom>
                  </pic:spPr>
                </pic:pic>
              </a:graphicData>
            </a:graphic>
          </wp:inline>
        </w:drawing>
      </w:r>
    </w:p>
    <w:p w14:paraId="011574D4" w14:textId="30ABDDA9" w:rsidR="00F82142" w:rsidRPr="000C156A" w:rsidRDefault="00B25298" w:rsidP="00A15366">
      <w:pPr>
        <w:pStyle w:val="Figure"/>
        <w:keepNext w:val="0"/>
        <w:rPr>
          <w:rFonts w:eastAsia="Times New Roman"/>
          <w:noProof/>
          <w:lang w:val="en-US" w:eastAsia="zh-CN"/>
        </w:rPr>
      </w:pPr>
      <w:r w:rsidRPr="000C156A">
        <w:rPr>
          <w:rFonts w:eastAsia="Times New Roman"/>
          <w:noProof/>
          <w:lang w:val="en-US" w:eastAsia="zh-CN"/>
        </w:rPr>
        <w:lastRenderedPageBreak/>
        <mc:AlternateContent>
          <mc:Choice Requires="wps">
            <w:drawing>
              <wp:anchor distT="0" distB="0" distL="114300" distR="114300" simplePos="0" relativeHeight="251700224" behindDoc="0" locked="0" layoutInCell="1" allowOverlap="1" wp14:anchorId="58C296AA" wp14:editId="72D7D104">
                <wp:simplePos x="0" y="0"/>
                <wp:positionH relativeFrom="column">
                  <wp:posOffset>2535173</wp:posOffset>
                </wp:positionH>
                <wp:positionV relativeFrom="paragraph">
                  <wp:posOffset>1381912</wp:posOffset>
                </wp:positionV>
                <wp:extent cx="2238451" cy="219456"/>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2238451" cy="219456"/>
                        </a:xfrm>
                        <a:prstGeom prst="rect">
                          <a:avLst/>
                        </a:prstGeom>
                        <a:solidFill>
                          <a:schemeClr val="lt1"/>
                        </a:solidFill>
                        <a:ln w="6350">
                          <a:solidFill>
                            <a:schemeClr val="bg1"/>
                          </a:solidFill>
                        </a:ln>
                      </wps:spPr>
                      <wps:txbx>
                        <w:txbxContent>
                          <w:p w14:paraId="624430A4" w14:textId="4EDCD2B1" w:rsidR="00A100EC" w:rsidRPr="00B25298" w:rsidRDefault="00A100EC" w:rsidP="00B25298">
                            <w:pPr>
                              <w:shd w:val="clear" w:color="auto" w:fill="FFFFFF" w:themeFill="background1"/>
                              <w:spacing w:before="0"/>
                              <w:ind w:left="57"/>
                              <w:rPr>
                                <w:sz w:val="12"/>
                                <w:szCs w:val="12"/>
                                <w:lang w:eastAsia="zh-CN"/>
                              </w:rPr>
                            </w:pPr>
                            <w:r w:rsidRPr="00B25298">
                              <w:rPr>
                                <w:rFonts w:hint="eastAsia"/>
                                <w:sz w:val="16"/>
                                <w:szCs w:val="12"/>
                                <w:lang w:eastAsia="zh-CN"/>
                              </w:rPr>
                              <w:t>*</w:t>
                            </w:r>
                            <w:r w:rsidRPr="00B25298">
                              <w:rPr>
                                <w:rFonts w:hint="eastAsia"/>
                                <w:sz w:val="16"/>
                                <w:szCs w:val="12"/>
                                <w:lang w:eastAsia="zh-CN"/>
                              </w:rPr>
                              <w:t>包括到期日</w:t>
                            </w:r>
                            <w:r w:rsidRPr="00B25298">
                              <w:rPr>
                                <w:sz w:val="16"/>
                                <w:szCs w:val="12"/>
                                <w:lang w:val="fr-CH" w:eastAsia="zh-CN"/>
                              </w:rPr>
                              <w:t>&lt;</w:t>
                            </w:r>
                            <w:r w:rsidRPr="00B25298">
                              <w:rPr>
                                <w:rFonts w:hint="eastAsia"/>
                                <w:sz w:val="16"/>
                                <w:szCs w:val="12"/>
                                <w:lang w:eastAsia="zh-CN"/>
                              </w:rPr>
                              <w:t>三个月的投资（现金）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296AA" id="Text Box 55" o:spid="_x0000_s1041" type="#_x0000_t202" style="position:absolute;left:0;text-align:left;margin-left:199.6pt;margin-top:108.8pt;width:176.25pt;height:1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" fillcolor="white [3201]" strokecolor="white [3212]" strokeweight=".5pt">
                <v:textbox inset="0,0,0,0">
                  <w:txbxContent>
                    <w:p w14:paraId="624430A4" w14:textId="4EDCD2B1" w:rsidR="00A100EC" w:rsidRPr="00B25298" w:rsidRDefault="00A100EC" w:rsidP="00B25298">
                      <w:pPr>
                        <w:shd w:val="clear" w:color="auto" w:fill="FFFFFF" w:themeFill="background1"/>
                        <w:spacing w:before="0"/>
                        <w:ind w:left="57"/>
                        <w:rPr>
                          <w:sz w:val="12"/>
                          <w:szCs w:val="12"/>
                          <w:lang w:eastAsia="zh-CN"/>
                        </w:rPr>
                      </w:pPr>
                      <w:r w:rsidRPr="00B25298">
                        <w:rPr>
                          <w:rFonts w:hint="eastAsia"/>
                          <w:sz w:val="16"/>
                          <w:szCs w:val="12"/>
                          <w:lang w:eastAsia="zh-CN"/>
                        </w:rPr>
                        <w:t>*</w:t>
                      </w:r>
                      <w:r w:rsidRPr="00B25298">
                        <w:rPr>
                          <w:rFonts w:hint="eastAsia"/>
                          <w:sz w:val="16"/>
                          <w:szCs w:val="12"/>
                          <w:lang w:eastAsia="zh-CN"/>
                        </w:rPr>
                        <w:t>包括到期日</w:t>
                      </w:r>
                      <w:r w:rsidRPr="00B25298">
                        <w:rPr>
                          <w:sz w:val="16"/>
                          <w:szCs w:val="12"/>
                          <w:lang w:val="fr-CH" w:eastAsia="zh-CN"/>
                        </w:rPr>
                        <w:t>&lt;</w:t>
                      </w:r>
                      <w:r w:rsidRPr="00B25298">
                        <w:rPr>
                          <w:rFonts w:hint="eastAsia"/>
                          <w:sz w:val="16"/>
                          <w:szCs w:val="12"/>
                          <w:lang w:eastAsia="zh-CN"/>
                        </w:rPr>
                        <w:t>三个月的投资（现金）</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98176" behindDoc="0" locked="0" layoutInCell="1" allowOverlap="1" wp14:anchorId="1D30E287" wp14:editId="2B9CCB46">
                <wp:simplePos x="0" y="0"/>
                <wp:positionH relativeFrom="column">
                  <wp:posOffset>2852928</wp:posOffset>
                </wp:positionH>
                <wp:positionV relativeFrom="paragraph">
                  <wp:posOffset>1193419</wp:posOffset>
                </wp:positionV>
                <wp:extent cx="863193" cy="153619"/>
                <wp:effectExtent l="0" t="0" r="0" b="0"/>
                <wp:wrapNone/>
                <wp:docPr id="53" name="Text Box 53"/>
                <wp:cNvGraphicFramePr/>
                <a:graphic xmlns:a="http://schemas.openxmlformats.org/drawingml/2006/main">
                  <a:graphicData uri="http://schemas.microsoft.com/office/word/2010/wordprocessingShape">
                    <wps:wsp>
                      <wps:cNvSpPr txBox="1"/>
                      <wps:spPr>
                        <a:xfrm>
                          <a:off x="0" y="0"/>
                          <a:ext cx="863193" cy="153619"/>
                        </a:xfrm>
                        <a:prstGeom prst="rect">
                          <a:avLst/>
                        </a:prstGeom>
                        <a:solidFill>
                          <a:schemeClr val="lt1"/>
                        </a:solidFill>
                        <a:ln w="6350">
                          <a:noFill/>
                        </a:ln>
                      </wps:spPr>
                      <wps:txbx>
                        <w:txbxContent>
                          <w:p w14:paraId="635E6D36" w14:textId="46600E60" w:rsidR="00A100EC" w:rsidRPr="00D21252" w:rsidRDefault="00A100EC" w:rsidP="00B25298">
                            <w:pPr>
                              <w:shd w:val="clear" w:color="auto" w:fill="C6D9F1" w:themeFill="text2" w:themeFillTint="33"/>
                              <w:spacing w:before="0"/>
                              <w:jc w:val="center"/>
                              <w:rPr>
                                <w:b/>
                                <w:sz w:val="12"/>
                                <w:szCs w:val="12"/>
                              </w:rPr>
                            </w:pPr>
                            <w:r w:rsidRPr="00B25298">
                              <w:rPr>
                                <w:rFonts w:hint="eastAsia"/>
                                <w:b/>
                                <w:sz w:val="16"/>
                                <w:szCs w:val="12"/>
                              </w:rPr>
                              <w:t>现金比率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30E287" id="Text Box 53" o:spid="_x0000_s1042" type="#_x0000_t202" style="position:absolute;left:0;text-align:left;margin-left:224.65pt;margin-top:93.95pt;width:67.95pt;height:12.1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" fillcolor="white [3201]" stroked="f" strokeweight=".5pt">
                <v:textbox inset="0,0,0,0">
                  <w:txbxContent>
                    <w:p w14:paraId="635E6D36" w14:textId="46600E60" w:rsidR="00A100EC" w:rsidRPr="00D21252" w:rsidRDefault="00A100EC" w:rsidP="00B25298">
                      <w:pPr>
                        <w:shd w:val="clear" w:color="auto" w:fill="C6D9F1" w:themeFill="text2" w:themeFillTint="33"/>
                        <w:spacing w:before="0"/>
                        <w:jc w:val="center"/>
                        <w:rPr>
                          <w:b/>
                          <w:sz w:val="12"/>
                          <w:szCs w:val="12"/>
                        </w:rPr>
                      </w:pPr>
                      <w:r w:rsidRPr="00B25298">
                        <w:rPr>
                          <w:rFonts w:hint="eastAsia"/>
                          <w:b/>
                          <w:sz w:val="16"/>
                          <w:szCs w:val="12"/>
                        </w:rPr>
                        <w:t>现金比率</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96128" behindDoc="0" locked="0" layoutInCell="1" allowOverlap="1" wp14:anchorId="32DEC58F" wp14:editId="0F5DE861">
                <wp:simplePos x="0" y="0"/>
                <wp:positionH relativeFrom="column">
                  <wp:posOffset>2750515</wp:posOffset>
                </wp:positionH>
                <wp:positionV relativeFrom="paragraph">
                  <wp:posOffset>944702</wp:posOffset>
                </wp:positionV>
                <wp:extent cx="1119226" cy="211785"/>
                <wp:effectExtent l="0" t="0" r="24130" b="17145"/>
                <wp:wrapNone/>
                <wp:docPr id="52" name="Text Box 52"/>
                <wp:cNvGraphicFramePr/>
                <a:graphic xmlns:a="http://schemas.openxmlformats.org/drawingml/2006/main">
                  <a:graphicData uri="http://schemas.microsoft.com/office/word/2010/wordprocessingShape">
                    <wps:wsp>
                      <wps:cNvSpPr txBox="1"/>
                      <wps:spPr>
                        <a:xfrm>
                          <a:off x="0" y="0"/>
                          <a:ext cx="1119226" cy="211785"/>
                        </a:xfrm>
                        <a:prstGeom prst="rect">
                          <a:avLst/>
                        </a:prstGeom>
                        <a:solidFill>
                          <a:schemeClr val="lt1"/>
                        </a:solidFill>
                        <a:ln w="6350">
                          <a:solidFill>
                            <a:schemeClr val="bg1"/>
                          </a:solidFill>
                        </a:ln>
                      </wps:spPr>
                      <wps:txbx>
                        <w:txbxContent>
                          <w:p w14:paraId="6EC4B71C" w14:textId="77777777" w:rsidR="00A100EC" w:rsidRPr="00D21252" w:rsidRDefault="00A100EC" w:rsidP="00B25298">
                            <w:pPr>
                              <w:shd w:val="clear" w:color="auto" w:fill="FFFFFF" w:themeFill="background1"/>
                              <w:spacing w:before="0"/>
                              <w:jc w:val="center"/>
                              <w:rPr>
                                <w:b/>
                                <w:sz w:val="12"/>
                                <w:szCs w:val="12"/>
                              </w:rPr>
                            </w:pPr>
                            <w:r w:rsidRPr="00F505E6">
                              <w:rPr>
                                <w:rFonts w:hint="eastAsia"/>
                                <w:b/>
                                <w:sz w:val="16"/>
                                <w:szCs w:val="12"/>
                              </w:rPr>
                              <w:t>流动负债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EC58F" id="Text Box 52" o:spid="_x0000_s1043" type="#_x0000_t202" style="position:absolute;left:0;text-align:left;margin-left:216.6pt;margin-top:74.4pt;width:88.15pt;height:16.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" fillcolor="white [3201]" strokecolor="white [3212]" strokeweight=".5pt">
                <v:textbox inset="0,0,0,0">
                  <w:txbxContent>
                    <w:p w14:paraId="6EC4B71C" w14:textId="77777777" w:rsidR="00A100EC" w:rsidRPr="00D21252" w:rsidRDefault="00A100EC" w:rsidP="00B25298">
                      <w:pPr>
                        <w:shd w:val="clear" w:color="auto" w:fill="FFFFFF" w:themeFill="background1"/>
                        <w:spacing w:before="0"/>
                        <w:jc w:val="center"/>
                        <w:rPr>
                          <w:b/>
                          <w:sz w:val="12"/>
                          <w:szCs w:val="12"/>
                        </w:rPr>
                      </w:pPr>
                      <w:r w:rsidRPr="00F505E6">
                        <w:rPr>
                          <w:rFonts w:hint="eastAsia"/>
                          <w:b/>
                          <w:sz w:val="16"/>
                          <w:szCs w:val="12"/>
                        </w:rPr>
                        <w:t>流动负债</w:t>
                      </w:r>
                    </w:p>
                  </w:txbxContent>
                </v:textbox>
              </v:shape>
            </w:pict>
          </mc:Fallback>
        </mc:AlternateContent>
      </w:r>
      <w:r w:rsidR="00331C33" w:rsidRPr="000C156A">
        <w:rPr>
          <w:rFonts w:eastAsia="Times New Roman"/>
          <w:noProof/>
          <w:lang w:val="en-US" w:eastAsia="zh-CN"/>
        </w:rPr>
        <mc:AlternateContent>
          <mc:Choice Requires="wps">
            <w:drawing>
              <wp:anchor distT="0" distB="0" distL="114300" distR="114300" simplePos="0" relativeHeight="251694080" behindDoc="0" locked="0" layoutInCell="1" allowOverlap="1" wp14:anchorId="34AF9D3D" wp14:editId="5917B2AE">
                <wp:simplePos x="0" y="0"/>
                <wp:positionH relativeFrom="column">
                  <wp:posOffset>2688793</wp:posOffset>
                </wp:positionH>
                <wp:positionV relativeFrom="paragraph">
                  <wp:posOffset>701599</wp:posOffset>
                </wp:positionV>
                <wp:extent cx="1170051" cy="212141"/>
                <wp:effectExtent l="0" t="0" r="11430" b="16510"/>
                <wp:wrapNone/>
                <wp:docPr id="51" name="Text Box 51"/>
                <wp:cNvGraphicFramePr/>
                <a:graphic xmlns:a="http://schemas.openxmlformats.org/drawingml/2006/main">
                  <a:graphicData uri="http://schemas.microsoft.com/office/word/2010/wordprocessingShape">
                    <wps:wsp>
                      <wps:cNvSpPr txBox="1"/>
                      <wps:spPr>
                        <a:xfrm>
                          <a:off x="0" y="0"/>
                          <a:ext cx="1170051" cy="212141"/>
                        </a:xfrm>
                        <a:prstGeom prst="rect">
                          <a:avLst/>
                        </a:prstGeom>
                        <a:solidFill>
                          <a:schemeClr val="lt1"/>
                        </a:solidFill>
                        <a:ln w="6350">
                          <a:solidFill>
                            <a:schemeClr val="bg1"/>
                          </a:solidFill>
                        </a:ln>
                      </wps:spPr>
                      <wps:txbx>
                        <w:txbxContent>
                          <w:p w14:paraId="7DA1D2C9" w14:textId="0247B38E" w:rsidR="00A100EC" w:rsidRPr="00D21252" w:rsidRDefault="00A100EC" w:rsidP="00B25298">
                            <w:pPr>
                              <w:shd w:val="clear" w:color="auto" w:fill="FFFFFF" w:themeFill="background1"/>
                              <w:spacing w:before="100"/>
                              <w:jc w:val="center"/>
                              <w:rPr>
                                <w:b/>
                                <w:sz w:val="12"/>
                                <w:szCs w:val="12"/>
                              </w:rPr>
                            </w:pPr>
                            <w:r w:rsidRPr="00B25298">
                              <w:rPr>
                                <w:rFonts w:hint="eastAsia"/>
                                <w:b/>
                                <w:sz w:val="16"/>
                                <w:szCs w:val="12"/>
                              </w:rPr>
                              <w:t>现金和现金等价物</w:t>
                            </w:r>
                            <w:r w:rsidRPr="00B25298">
                              <w:rPr>
                                <w:rFonts w:hint="eastAsia"/>
                                <w:b/>
                                <w:sz w:val="16"/>
                                <w:szCs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F9D3D" id="Text Box 51" o:spid="_x0000_s1044" type="#_x0000_t202" style="position:absolute;left:0;text-align:left;margin-left:211.7pt;margin-top:55.25pt;width:92.15pt;height:1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" fillcolor="white [3201]" strokecolor="white [3212]" strokeweight=".5pt">
                <v:textbox inset="0,0,0,0">
                  <w:txbxContent>
                    <w:p w14:paraId="7DA1D2C9" w14:textId="0247B38E" w:rsidR="00A100EC" w:rsidRPr="00D21252" w:rsidRDefault="00A100EC" w:rsidP="00B25298">
                      <w:pPr>
                        <w:shd w:val="clear" w:color="auto" w:fill="FFFFFF" w:themeFill="background1"/>
                        <w:spacing w:before="100"/>
                        <w:jc w:val="center"/>
                        <w:rPr>
                          <w:b/>
                          <w:sz w:val="12"/>
                          <w:szCs w:val="12"/>
                        </w:rPr>
                      </w:pPr>
                      <w:r w:rsidRPr="00B25298">
                        <w:rPr>
                          <w:rFonts w:hint="eastAsia"/>
                          <w:b/>
                          <w:sz w:val="16"/>
                          <w:szCs w:val="12"/>
                        </w:rPr>
                        <w:t>现金和现金等价物</w:t>
                      </w:r>
                      <w:r w:rsidRPr="00B25298">
                        <w:rPr>
                          <w:rFonts w:hint="eastAsia"/>
                          <w:b/>
                          <w:sz w:val="16"/>
                          <w:szCs w:val="12"/>
                        </w:rPr>
                        <w:t>*</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92032" behindDoc="0" locked="0" layoutInCell="1" allowOverlap="1" wp14:anchorId="6191F259" wp14:editId="5DEF6CA3">
                <wp:simplePos x="0" y="0"/>
                <wp:positionH relativeFrom="column">
                  <wp:posOffset>2794406</wp:posOffset>
                </wp:positionH>
                <wp:positionV relativeFrom="paragraph">
                  <wp:posOffset>450926</wp:posOffset>
                </wp:positionV>
                <wp:extent cx="1009269" cy="168250"/>
                <wp:effectExtent l="0" t="0" r="19685" b="22860"/>
                <wp:wrapNone/>
                <wp:docPr id="49" name="Text Box 49"/>
                <wp:cNvGraphicFramePr/>
                <a:graphic xmlns:a="http://schemas.openxmlformats.org/drawingml/2006/main">
                  <a:graphicData uri="http://schemas.microsoft.com/office/word/2010/wordprocessingShape">
                    <wps:wsp>
                      <wps:cNvSpPr txBox="1"/>
                      <wps:spPr>
                        <a:xfrm>
                          <a:off x="0" y="0"/>
                          <a:ext cx="1009269" cy="168250"/>
                        </a:xfrm>
                        <a:prstGeom prst="rect">
                          <a:avLst/>
                        </a:prstGeom>
                        <a:solidFill>
                          <a:schemeClr val="lt1"/>
                        </a:solidFill>
                        <a:ln w="6350">
                          <a:solidFill>
                            <a:schemeClr val="tx2">
                              <a:lumMod val="20000"/>
                              <a:lumOff val="80000"/>
                            </a:schemeClr>
                          </a:solidFill>
                        </a:ln>
                      </wps:spPr>
                      <wps:txbx>
                        <w:txbxContent>
                          <w:p w14:paraId="33DC6C2E" w14:textId="4F1164AA" w:rsidR="00A100EC" w:rsidRPr="00D21252" w:rsidRDefault="00A100EC" w:rsidP="00B25298">
                            <w:pPr>
                              <w:shd w:val="clear" w:color="auto" w:fill="DBE5F1" w:themeFill="accent1" w:themeFillTint="33"/>
                              <w:spacing w:before="0"/>
                              <w:jc w:val="center"/>
                              <w:rPr>
                                <w:b/>
                                <w:sz w:val="12"/>
                                <w:szCs w:val="12"/>
                              </w:rPr>
                            </w:pPr>
                            <w:r w:rsidRPr="00B25298">
                              <w:rPr>
                                <w:rFonts w:hint="eastAsia"/>
                                <w:b/>
                                <w:sz w:val="16"/>
                                <w:szCs w:val="12"/>
                              </w:rPr>
                              <w:t>现金比率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1F259" id="Text Box 49" o:spid="_x0000_s1045" type="#_x0000_t202" style="position:absolute;left:0;text-align:left;margin-left:220.05pt;margin-top:35.5pt;width:79.45pt;height:1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" fillcolor="white [3201]" strokecolor="#c6d9f1 [671]" strokeweight=".5pt">
                <v:textbox inset="0,0,0,0">
                  <w:txbxContent>
                    <w:p w14:paraId="33DC6C2E" w14:textId="4F1164AA" w:rsidR="00A100EC" w:rsidRPr="00D21252" w:rsidRDefault="00A100EC" w:rsidP="00B25298">
                      <w:pPr>
                        <w:shd w:val="clear" w:color="auto" w:fill="DBE5F1" w:themeFill="accent1" w:themeFillTint="33"/>
                        <w:spacing w:before="0"/>
                        <w:jc w:val="center"/>
                        <w:rPr>
                          <w:b/>
                          <w:sz w:val="12"/>
                          <w:szCs w:val="12"/>
                        </w:rPr>
                      </w:pPr>
                      <w:r w:rsidRPr="00B25298">
                        <w:rPr>
                          <w:rFonts w:hint="eastAsia"/>
                          <w:b/>
                          <w:sz w:val="16"/>
                          <w:szCs w:val="12"/>
                        </w:rPr>
                        <w:t>现金比率</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89984" behindDoc="0" locked="0" layoutInCell="1" allowOverlap="1" wp14:anchorId="6697A37E" wp14:editId="22B5E49C">
                <wp:simplePos x="0" y="0"/>
                <wp:positionH relativeFrom="column">
                  <wp:posOffset>380390</wp:posOffset>
                </wp:positionH>
                <wp:positionV relativeFrom="paragraph">
                  <wp:posOffset>132715</wp:posOffset>
                </wp:positionV>
                <wp:extent cx="1872387" cy="146304"/>
                <wp:effectExtent l="0" t="0" r="0" b="6350"/>
                <wp:wrapNone/>
                <wp:docPr id="47" name="Text Box 47"/>
                <wp:cNvGraphicFramePr/>
                <a:graphic xmlns:a="http://schemas.openxmlformats.org/drawingml/2006/main">
                  <a:graphicData uri="http://schemas.microsoft.com/office/word/2010/wordprocessingShape">
                    <wps:wsp>
                      <wps:cNvSpPr txBox="1"/>
                      <wps:spPr>
                        <a:xfrm>
                          <a:off x="0" y="0"/>
                          <a:ext cx="1872387" cy="146304"/>
                        </a:xfrm>
                        <a:prstGeom prst="rect">
                          <a:avLst/>
                        </a:prstGeom>
                        <a:solidFill>
                          <a:schemeClr val="lt1"/>
                        </a:solidFill>
                        <a:ln w="6350">
                          <a:noFill/>
                        </a:ln>
                      </wps:spPr>
                      <wps:txbx>
                        <w:txbxContent>
                          <w:p w14:paraId="1626BC7E" w14:textId="2BE0C58F" w:rsidR="00A100EC" w:rsidRPr="00D21252" w:rsidRDefault="00A100EC" w:rsidP="00B25298">
                            <w:pPr>
                              <w:spacing w:before="0"/>
                              <w:jc w:val="center"/>
                              <w:rPr>
                                <w:b/>
                                <w:sz w:val="12"/>
                                <w:szCs w:val="12"/>
                              </w:rPr>
                            </w:pPr>
                            <w:r w:rsidRPr="00B25298">
                              <w:rPr>
                                <w:rFonts w:hint="eastAsia"/>
                                <w:b/>
                                <w:sz w:val="16"/>
                                <w:szCs w:val="12"/>
                              </w:rPr>
                              <w:t>现金比率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7A37E" id="Text Box 47" o:spid="_x0000_s1046" type="#_x0000_t202" style="position:absolute;left:0;text-align:left;margin-left:29.95pt;margin-top:10.45pt;width:147.4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" fillcolor="white [3201]" stroked="f" strokeweight=".5pt">
                <v:textbox inset="0,0,0,0">
                  <w:txbxContent>
                    <w:p w14:paraId="1626BC7E" w14:textId="2BE0C58F" w:rsidR="00A100EC" w:rsidRPr="00D21252" w:rsidRDefault="00A100EC" w:rsidP="00B25298">
                      <w:pPr>
                        <w:spacing w:before="0"/>
                        <w:jc w:val="center"/>
                        <w:rPr>
                          <w:b/>
                          <w:sz w:val="12"/>
                          <w:szCs w:val="12"/>
                        </w:rPr>
                      </w:pPr>
                      <w:r w:rsidRPr="00B25298">
                        <w:rPr>
                          <w:rFonts w:hint="eastAsia"/>
                          <w:b/>
                          <w:sz w:val="16"/>
                          <w:szCs w:val="12"/>
                        </w:rPr>
                        <w:t>现金比率</w:t>
                      </w:r>
                    </w:p>
                  </w:txbxContent>
                </v:textbox>
              </v:shape>
            </w:pict>
          </mc:Fallback>
        </mc:AlternateContent>
      </w:r>
      <w:r w:rsidR="00E22396" w:rsidRPr="000C156A">
        <w:rPr>
          <w:rFonts w:eastAsia="Times New Roman"/>
          <w:noProof/>
          <w:lang w:val="en-US" w:eastAsia="zh-CN"/>
        </w:rPr>
        <w:drawing>
          <wp:inline distT="0" distB="0" distL="0" distR="0" wp14:anchorId="26F42D72" wp14:editId="40629766">
            <wp:extent cx="6210935" cy="1957070"/>
            <wp:effectExtent l="0" t="0" r="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10935" cy="1957070"/>
                    </a:xfrm>
                    <a:prstGeom prst="rect">
                      <a:avLst/>
                    </a:prstGeom>
                  </pic:spPr>
                </pic:pic>
              </a:graphicData>
            </a:graphic>
          </wp:inline>
        </w:drawing>
      </w:r>
    </w:p>
    <w:p w14:paraId="6C37E203" w14:textId="14BE7782" w:rsidR="003B5BED" w:rsidRPr="000C156A" w:rsidRDefault="006423EB" w:rsidP="00B25298">
      <w:pPr>
        <w:rPr>
          <w:lang w:eastAsia="zh-CN"/>
        </w:rPr>
      </w:pPr>
      <w:r w:rsidRPr="000C156A">
        <w:rPr>
          <w:rFonts w:asciiTheme="minorHAnsi" w:hAnsiTheme="minorHAnsi" w:cs="Calibri"/>
          <w:szCs w:val="24"/>
          <w:lang w:val="en-US" w:eastAsia="zh-CN"/>
        </w:rPr>
        <w:t>43</w:t>
      </w:r>
      <w:r w:rsidRPr="000C156A">
        <w:rPr>
          <w:rFonts w:asciiTheme="minorHAnsi" w:hAnsiTheme="minorHAnsi" w:cs="Calibri"/>
          <w:szCs w:val="24"/>
          <w:lang w:val="en-US" w:eastAsia="zh-CN"/>
        </w:rPr>
        <w:tab/>
      </w:r>
      <w:r w:rsidR="005512B2" w:rsidRPr="000C156A">
        <w:rPr>
          <w:rFonts w:hint="eastAsia"/>
          <w:lang w:eastAsia="zh-CN"/>
        </w:rPr>
        <w:t>偿债能力比率有助于了解国际电联短期内的财务健康状况。分别为</w:t>
      </w:r>
      <w:r w:rsidR="005512B2" w:rsidRPr="000C156A">
        <w:rPr>
          <w:lang w:eastAsia="zh-CN"/>
        </w:rPr>
        <w:t>20</w:t>
      </w:r>
      <w:r w:rsidR="001E5B6F" w:rsidRPr="000C156A">
        <w:rPr>
          <w:lang w:eastAsia="zh-CN"/>
        </w:rPr>
        <w:t>5</w:t>
      </w:r>
      <w:r w:rsidR="005512B2" w:rsidRPr="000C156A">
        <w:rPr>
          <w:lang w:eastAsia="zh-CN"/>
        </w:rPr>
        <w:t>%</w:t>
      </w:r>
      <w:r w:rsidR="005512B2" w:rsidRPr="000C156A">
        <w:rPr>
          <w:rFonts w:hint="eastAsia"/>
          <w:lang w:eastAsia="zh-CN"/>
        </w:rPr>
        <w:t>和</w:t>
      </w:r>
      <w:r w:rsidR="005512B2" w:rsidRPr="000C156A">
        <w:rPr>
          <w:lang w:eastAsia="zh-CN"/>
        </w:rPr>
        <w:t>1</w:t>
      </w:r>
      <w:r w:rsidR="001E5B6F" w:rsidRPr="000C156A">
        <w:rPr>
          <w:lang w:eastAsia="zh-CN"/>
        </w:rPr>
        <w:t>32</w:t>
      </w:r>
      <w:r w:rsidR="005512B2" w:rsidRPr="000C156A">
        <w:rPr>
          <w:lang w:eastAsia="zh-CN"/>
        </w:rPr>
        <w:t>%</w:t>
      </w:r>
      <w:r w:rsidR="005512B2" w:rsidRPr="000C156A">
        <w:rPr>
          <w:rFonts w:hint="eastAsia"/>
          <w:lang w:eastAsia="zh-CN"/>
        </w:rPr>
        <w:t>的两项高额比率印证了国际电联的良好状况及其履行短期义务的能力。</w:t>
      </w:r>
    </w:p>
    <w:p w14:paraId="413DF1BC" w14:textId="23594F67" w:rsidR="004950D1" w:rsidRPr="000C156A" w:rsidRDefault="005512B2" w:rsidP="00B25298">
      <w:pPr>
        <w:pStyle w:val="Headingb"/>
        <w:rPr>
          <w:u w:val="single"/>
          <w:lang w:val="en-US" w:eastAsia="zh-CN"/>
        </w:rPr>
      </w:pPr>
      <w:bookmarkStart w:id="113" w:name="_Toc73461005"/>
      <w:bookmarkStart w:id="114" w:name="_Toc73518652"/>
      <w:bookmarkStart w:id="115" w:name="_Toc73518799"/>
      <w:bookmarkStart w:id="116" w:name="_Toc73519199"/>
      <w:bookmarkStart w:id="117" w:name="_Toc73636081"/>
      <w:bookmarkStart w:id="118" w:name="_Toc73636223"/>
      <w:r w:rsidRPr="000C156A">
        <w:rPr>
          <w:rFonts w:hint="eastAsia"/>
          <w:u w:val="single"/>
          <w:lang w:eastAsia="zh-CN"/>
        </w:rPr>
        <w:t>财务业绩</w:t>
      </w:r>
      <w:bookmarkEnd w:id="113"/>
      <w:bookmarkEnd w:id="114"/>
      <w:bookmarkEnd w:id="115"/>
      <w:bookmarkEnd w:id="116"/>
      <w:bookmarkEnd w:id="117"/>
      <w:bookmarkEnd w:id="118"/>
    </w:p>
    <w:p w14:paraId="006F8188" w14:textId="2D08753A" w:rsidR="007D3479" w:rsidRPr="000C156A" w:rsidRDefault="006423EB" w:rsidP="00B25298">
      <w:pPr>
        <w:rPr>
          <w:lang w:eastAsia="zh-CN"/>
        </w:rPr>
      </w:pPr>
      <w:r w:rsidRPr="000C156A">
        <w:rPr>
          <w:rFonts w:asciiTheme="minorHAnsi" w:hAnsiTheme="minorHAnsi" w:cs="Calibri"/>
          <w:szCs w:val="24"/>
          <w:lang w:val="en-US" w:eastAsia="zh-CN"/>
        </w:rPr>
        <w:t>44</w:t>
      </w:r>
      <w:r w:rsidRPr="000C156A">
        <w:rPr>
          <w:rFonts w:asciiTheme="minorHAnsi" w:hAnsiTheme="minorHAnsi" w:cs="Calibri"/>
          <w:szCs w:val="24"/>
          <w:lang w:val="en-US" w:eastAsia="zh-CN"/>
        </w:rPr>
        <w:tab/>
      </w:r>
      <w:r w:rsidR="005512B2" w:rsidRPr="000C156A">
        <w:rPr>
          <w:rFonts w:hint="eastAsia"/>
          <w:lang w:eastAsia="zh-CN"/>
        </w:rPr>
        <w:t>该比率显示出所批准的正常预算的财务业绩并以预算结果为基础。</w:t>
      </w:r>
    </w:p>
    <w:p w14:paraId="4889B60D" w14:textId="1B6A12CC" w:rsidR="00F82142" w:rsidRPr="000C156A" w:rsidRDefault="004B733A" w:rsidP="00FE34D6">
      <w:pPr>
        <w:snapToGrid w:val="0"/>
        <w:ind w:left="142"/>
        <w:rPr>
          <w:sz w:val="22"/>
          <w:szCs w:val="18"/>
          <w:lang w:val="en-US"/>
        </w:rPr>
      </w:pPr>
      <w:r w:rsidRPr="000C156A">
        <w:rPr>
          <w:noProof/>
          <w:lang w:val="en-US" w:eastAsia="zh-CN"/>
        </w:rPr>
        <mc:AlternateContent>
          <mc:Choice Requires="wps">
            <w:drawing>
              <wp:anchor distT="0" distB="0" distL="114300" distR="114300" simplePos="0" relativeHeight="251708416" behindDoc="0" locked="0" layoutInCell="1" allowOverlap="1" wp14:anchorId="48ED8E94" wp14:editId="01698E6D">
                <wp:simplePos x="0" y="0"/>
                <wp:positionH relativeFrom="column">
                  <wp:posOffset>2723769</wp:posOffset>
                </wp:positionH>
                <wp:positionV relativeFrom="paragraph">
                  <wp:posOffset>1101090</wp:posOffset>
                </wp:positionV>
                <wp:extent cx="1118870" cy="211455"/>
                <wp:effectExtent l="0" t="0" r="24130" b="17145"/>
                <wp:wrapNone/>
                <wp:docPr id="60" name="Text Box 60"/>
                <wp:cNvGraphicFramePr/>
                <a:graphic xmlns:a="http://schemas.openxmlformats.org/drawingml/2006/main">
                  <a:graphicData uri="http://schemas.microsoft.com/office/word/2010/wordprocessingShape">
                    <wps:wsp>
                      <wps:cNvSpPr txBox="1"/>
                      <wps:spPr>
                        <a:xfrm>
                          <a:off x="0" y="0"/>
                          <a:ext cx="1118870" cy="211455"/>
                        </a:xfrm>
                        <a:prstGeom prst="rect">
                          <a:avLst/>
                        </a:prstGeom>
                        <a:solidFill>
                          <a:schemeClr val="lt1"/>
                        </a:solidFill>
                        <a:ln w="6350">
                          <a:solidFill>
                            <a:schemeClr val="bg1"/>
                          </a:solidFill>
                        </a:ln>
                      </wps:spPr>
                      <wps:txbx>
                        <w:txbxContent>
                          <w:p w14:paraId="730EBA83" w14:textId="408A7632" w:rsidR="00A100EC" w:rsidRPr="00D21252" w:rsidRDefault="00A100EC" w:rsidP="00B25298">
                            <w:pPr>
                              <w:shd w:val="clear" w:color="auto" w:fill="FFFFFF" w:themeFill="background1"/>
                              <w:spacing w:before="0"/>
                              <w:jc w:val="center"/>
                              <w:rPr>
                                <w:b/>
                                <w:sz w:val="12"/>
                                <w:szCs w:val="12"/>
                              </w:rPr>
                            </w:pPr>
                            <w:r w:rsidRPr="00B25298">
                              <w:rPr>
                                <w:rFonts w:hint="eastAsia"/>
                                <w:b/>
                                <w:sz w:val="16"/>
                                <w:szCs w:val="12"/>
                              </w:rPr>
                              <w:t>总费用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D8E94" id="Text Box 60" o:spid="_x0000_s1047" type="#_x0000_t202" style="position:absolute;left:0;text-align:left;margin-left:214.45pt;margin-top:86.7pt;width:88.1pt;height:16.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" fillcolor="white [3201]" strokecolor="white [3212]" strokeweight=".5pt">
                <v:textbox inset="0,0,0,0">
                  <w:txbxContent>
                    <w:p w14:paraId="730EBA83" w14:textId="408A7632" w:rsidR="00A100EC" w:rsidRPr="00D21252" w:rsidRDefault="00A100EC" w:rsidP="00B25298">
                      <w:pPr>
                        <w:shd w:val="clear" w:color="auto" w:fill="FFFFFF" w:themeFill="background1"/>
                        <w:spacing w:before="0"/>
                        <w:jc w:val="center"/>
                        <w:rPr>
                          <w:b/>
                          <w:sz w:val="12"/>
                          <w:szCs w:val="12"/>
                        </w:rPr>
                      </w:pPr>
                      <w:r w:rsidRPr="00B25298">
                        <w:rPr>
                          <w:rFonts w:hint="eastAsia"/>
                          <w:b/>
                          <w:sz w:val="16"/>
                          <w:szCs w:val="12"/>
                        </w:rPr>
                        <w:t>总费用</w:t>
                      </w:r>
                    </w:p>
                  </w:txbxContent>
                </v:textbox>
              </v:shape>
            </w:pict>
          </mc:Fallback>
        </mc:AlternateContent>
      </w:r>
      <w:r w:rsidR="008C004B" w:rsidRPr="000C156A">
        <w:rPr>
          <w:noProof/>
          <w:lang w:val="en-US" w:eastAsia="zh-CN"/>
        </w:rPr>
        <mc:AlternateContent>
          <mc:Choice Requires="wps">
            <w:drawing>
              <wp:anchor distT="0" distB="0" distL="114300" distR="114300" simplePos="0" relativeHeight="251702272" behindDoc="0" locked="0" layoutInCell="1" allowOverlap="1" wp14:anchorId="15306133" wp14:editId="38DADB2F">
                <wp:simplePos x="0" y="0"/>
                <wp:positionH relativeFrom="column">
                  <wp:posOffset>421640</wp:posOffset>
                </wp:positionH>
                <wp:positionV relativeFrom="paragraph">
                  <wp:posOffset>210820</wp:posOffset>
                </wp:positionV>
                <wp:extent cx="1872387" cy="190195"/>
                <wp:effectExtent l="0" t="0" r="0" b="635"/>
                <wp:wrapNone/>
                <wp:docPr id="56" name="Text Box 56"/>
                <wp:cNvGraphicFramePr/>
                <a:graphic xmlns:a="http://schemas.openxmlformats.org/drawingml/2006/main">
                  <a:graphicData uri="http://schemas.microsoft.com/office/word/2010/wordprocessingShape">
                    <wps:wsp>
                      <wps:cNvSpPr txBox="1"/>
                      <wps:spPr>
                        <a:xfrm>
                          <a:off x="0" y="0"/>
                          <a:ext cx="1872387" cy="190195"/>
                        </a:xfrm>
                        <a:prstGeom prst="rect">
                          <a:avLst/>
                        </a:prstGeom>
                        <a:solidFill>
                          <a:schemeClr val="lt1"/>
                        </a:solidFill>
                        <a:ln w="6350">
                          <a:noFill/>
                        </a:ln>
                      </wps:spPr>
                      <wps:txbx>
                        <w:txbxContent>
                          <w:p w14:paraId="6141C6D8" w14:textId="55327D65" w:rsidR="00A100EC" w:rsidRPr="00D21252" w:rsidRDefault="00A100EC" w:rsidP="00B25298">
                            <w:pPr>
                              <w:spacing w:before="0"/>
                              <w:jc w:val="center"/>
                              <w:rPr>
                                <w:b/>
                                <w:sz w:val="12"/>
                                <w:szCs w:val="12"/>
                              </w:rPr>
                            </w:pPr>
                            <w:r w:rsidRPr="00B25298">
                              <w:rPr>
                                <w:rFonts w:hint="eastAsia"/>
                                <w:b/>
                                <w:sz w:val="16"/>
                                <w:szCs w:val="12"/>
                              </w:rPr>
                              <w:t>人员成本比率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06133" id="Text Box 56" o:spid="_x0000_s1048" type="#_x0000_t202" style="position:absolute;left:0;text-align:left;margin-left:33.2pt;margin-top:16.6pt;width:147.45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" fillcolor="white [3201]" stroked="f" strokeweight=".5pt">
                <v:textbox inset="0,0,0,0">
                  <w:txbxContent>
                    <w:p w14:paraId="6141C6D8" w14:textId="55327D65" w:rsidR="00A100EC" w:rsidRPr="00D21252" w:rsidRDefault="00A100EC" w:rsidP="00B25298">
                      <w:pPr>
                        <w:spacing w:before="0"/>
                        <w:jc w:val="center"/>
                        <w:rPr>
                          <w:b/>
                          <w:sz w:val="12"/>
                          <w:szCs w:val="12"/>
                        </w:rPr>
                      </w:pPr>
                      <w:r w:rsidRPr="00B25298">
                        <w:rPr>
                          <w:rFonts w:hint="eastAsia"/>
                          <w:b/>
                          <w:sz w:val="16"/>
                          <w:szCs w:val="12"/>
                        </w:rPr>
                        <w:t>人员成本比率</w:t>
                      </w:r>
                    </w:p>
                  </w:txbxContent>
                </v:textbox>
              </v:shape>
            </w:pict>
          </mc:Fallback>
        </mc:AlternateContent>
      </w:r>
      <w:r w:rsidR="00B25298" w:rsidRPr="000C156A">
        <w:rPr>
          <w:noProof/>
          <w:lang w:val="en-US" w:eastAsia="zh-CN"/>
        </w:rPr>
        <mc:AlternateContent>
          <mc:Choice Requires="wps">
            <w:drawing>
              <wp:anchor distT="0" distB="0" distL="114300" distR="114300" simplePos="0" relativeHeight="251710464" behindDoc="0" locked="0" layoutInCell="1" allowOverlap="1" wp14:anchorId="20B5CC36" wp14:editId="4F5FCF36">
                <wp:simplePos x="0" y="0"/>
                <wp:positionH relativeFrom="column">
                  <wp:posOffset>2823667</wp:posOffset>
                </wp:positionH>
                <wp:positionV relativeFrom="paragraph">
                  <wp:posOffset>1373963</wp:posOffset>
                </wp:positionV>
                <wp:extent cx="863193" cy="153619"/>
                <wp:effectExtent l="0" t="0" r="0" b="0"/>
                <wp:wrapNone/>
                <wp:docPr id="61" name="Text Box 61"/>
                <wp:cNvGraphicFramePr/>
                <a:graphic xmlns:a="http://schemas.openxmlformats.org/drawingml/2006/main">
                  <a:graphicData uri="http://schemas.microsoft.com/office/word/2010/wordprocessingShape">
                    <wps:wsp>
                      <wps:cNvSpPr txBox="1"/>
                      <wps:spPr>
                        <a:xfrm>
                          <a:off x="0" y="0"/>
                          <a:ext cx="863193" cy="153619"/>
                        </a:xfrm>
                        <a:prstGeom prst="rect">
                          <a:avLst/>
                        </a:prstGeom>
                        <a:solidFill>
                          <a:schemeClr val="lt1"/>
                        </a:solidFill>
                        <a:ln w="6350">
                          <a:noFill/>
                        </a:ln>
                      </wps:spPr>
                      <wps:txbx>
                        <w:txbxContent>
                          <w:p w14:paraId="57D73DDC" w14:textId="5AF91AF7" w:rsidR="00A100EC" w:rsidRPr="00D21252" w:rsidRDefault="00A100EC" w:rsidP="00B25298">
                            <w:pPr>
                              <w:shd w:val="clear" w:color="auto" w:fill="C6D9F1" w:themeFill="text2" w:themeFillTint="33"/>
                              <w:spacing w:before="0"/>
                              <w:jc w:val="center"/>
                              <w:rPr>
                                <w:b/>
                                <w:sz w:val="12"/>
                                <w:szCs w:val="12"/>
                              </w:rPr>
                            </w:pPr>
                            <w:r w:rsidRPr="00B25298">
                              <w:rPr>
                                <w:rFonts w:hint="eastAsia"/>
                                <w:b/>
                                <w:sz w:val="16"/>
                                <w:szCs w:val="12"/>
                              </w:rPr>
                              <w:t>人员成本比率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B5CC36" id="Text Box 61" o:spid="_x0000_s1049" type="#_x0000_t202" style="position:absolute;left:0;text-align:left;margin-left:222.35pt;margin-top:108.2pt;width:67.95pt;height:12.1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" fillcolor="white [3201]" stroked="f" strokeweight=".5pt">
                <v:textbox inset="0,0,0,0">
                  <w:txbxContent>
                    <w:p w14:paraId="57D73DDC" w14:textId="5AF91AF7" w:rsidR="00A100EC" w:rsidRPr="00D21252" w:rsidRDefault="00A100EC" w:rsidP="00B25298">
                      <w:pPr>
                        <w:shd w:val="clear" w:color="auto" w:fill="C6D9F1" w:themeFill="text2" w:themeFillTint="33"/>
                        <w:spacing w:before="0"/>
                        <w:jc w:val="center"/>
                        <w:rPr>
                          <w:b/>
                          <w:sz w:val="12"/>
                          <w:szCs w:val="12"/>
                        </w:rPr>
                      </w:pPr>
                      <w:r w:rsidRPr="00B25298">
                        <w:rPr>
                          <w:rFonts w:hint="eastAsia"/>
                          <w:b/>
                          <w:sz w:val="16"/>
                          <w:szCs w:val="12"/>
                        </w:rPr>
                        <w:t>人员成本比率</w:t>
                      </w:r>
                    </w:p>
                  </w:txbxContent>
                </v:textbox>
              </v:shape>
            </w:pict>
          </mc:Fallback>
        </mc:AlternateContent>
      </w:r>
      <w:r w:rsidR="00B25298" w:rsidRPr="000C156A">
        <w:rPr>
          <w:noProof/>
          <w:lang w:val="en-US" w:eastAsia="zh-CN"/>
        </w:rPr>
        <mc:AlternateContent>
          <mc:Choice Requires="wps">
            <w:drawing>
              <wp:anchor distT="0" distB="0" distL="114300" distR="114300" simplePos="0" relativeHeight="251706368" behindDoc="0" locked="0" layoutInCell="1" allowOverlap="1" wp14:anchorId="0C24C52E" wp14:editId="6DDB14E0">
                <wp:simplePos x="0" y="0"/>
                <wp:positionH relativeFrom="column">
                  <wp:posOffset>2699715</wp:posOffset>
                </wp:positionH>
                <wp:positionV relativeFrom="paragraph">
                  <wp:posOffset>861898</wp:posOffset>
                </wp:positionV>
                <wp:extent cx="1170051" cy="212141"/>
                <wp:effectExtent l="0" t="0" r="11430" b="16510"/>
                <wp:wrapNone/>
                <wp:docPr id="58" name="Text Box 58"/>
                <wp:cNvGraphicFramePr/>
                <a:graphic xmlns:a="http://schemas.openxmlformats.org/drawingml/2006/main">
                  <a:graphicData uri="http://schemas.microsoft.com/office/word/2010/wordprocessingShape">
                    <wps:wsp>
                      <wps:cNvSpPr txBox="1"/>
                      <wps:spPr>
                        <a:xfrm>
                          <a:off x="0" y="0"/>
                          <a:ext cx="1170051" cy="212141"/>
                        </a:xfrm>
                        <a:prstGeom prst="rect">
                          <a:avLst/>
                        </a:prstGeom>
                        <a:solidFill>
                          <a:schemeClr val="lt1"/>
                        </a:solidFill>
                        <a:ln w="6350">
                          <a:solidFill>
                            <a:schemeClr val="bg1"/>
                          </a:solidFill>
                        </a:ln>
                      </wps:spPr>
                      <wps:txbx>
                        <w:txbxContent>
                          <w:p w14:paraId="38EEC60E" w14:textId="09822870" w:rsidR="00A100EC" w:rsidRPr="00D21252" w:rsidRDefault="00A100EC" w:rsidP="00B25298">
                            <w:pPr>
                              <w:shd w:val="clear" w:color="auto" w:fill="FFFFFF" w:themeFill="background1"/>
                              <w:spacing w:before="100"/>
                              <w:jc w:val="center"/>
                              <w:rPr>
                                <w:b/>
                                <w:sz w:val="12"/>
                                <w:szCs w:val="12"/>
                              </w:rPr>
                            </w:pPr>
                            <w:r w:rsidRPr="00B25298">
                              <w:rPr>
                                <w:rFonts w:hint="eastAsia"/>
                                <w:b/>
                                <w:sz w:val="16"/>
                                <w:szCs w:val="12"/>
                              </w:rPr>
                              <w:t>人员成本</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4C52E" id="Text Box 58" o:spid="_x0000_s1050" type="#_x0000_t202" style="position:absolute;left:0;text-align:left;margin-left:212.6pt;margin-top:67.85pt;width:92.15pt;height:16.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" fillcolor="white [3201]" strokecolor="white [3212]" strokeweight=".5pt">
                <v:textbox inset="0,0,0,0">
                  <w:txbxContent>
                    <w:p w14:paraId="38EEC60E" w14:textId="09822870" w:rsidR="00A100EC" w:rsidRPr="00D21252" w:rsidRDefault="00A100EC" w:rsidP="00B25298">
                      <w:pPr>
                        <w:shd w:val="clear" w:color="auto" w:fill="FFFFFF" w:themeFill="background1"/>
                        <w:spacing w:before="100"/>
                        <w:jc w:val="center"/>
                        <w:rPr>
                          <w:b/>
                          <w:sz w:val="12"/>
                          <w:szCs w:val="12"/>
                        </w:rPr>
                      </w:pPr>
                      <w:r w:rsidRPr="00B25298">
                        <w:rPr>
                          <w:rFonts w:hint="eastAsia"/>
                          <w:b/>
                          <w:sz w:val="16"/>
                          <w:szCs w:val="12"/>
                        </w:rPr>
                        <w:t>人员成本</w:t>
                      </w:r>
                    </w:p>
                  </w:txbxContent>
                </v:textbox>
              </v:shape>
            </w:pict>
          </mc:Fallback>
        </mc:AlternateContent>
      </w:r>
      <w:r w:rsidR="00B25298" w:rsidRPr="000C156A">
        <w:rPr>
          <w:noProof/>
          <w:lang w:val="en-US" w:eastAsia="zh-CN"/>
        </w:rPr>
        <mc:AlternateContent>
          <mc:Choice Requires="wps">
            <w:drawing>
              <wp:anchor distT="0" distB="0" distL="114300" distR="114300" simplePos="0" relativeHeight="251704320" behindDoc="0" locked="0" layoutInCell="1" allowOverlap="1" wp14:anchorId="269809D8" wp14:editId="1DA3A1B3">
                <wp:simplePos x="0" y="0"/>
                <wp:positionH relativeFrom="column">
                  <wp:posOffset>2757830</wp:posOffset>
                </wp:positionH>
                <wp:positionV relativeFrom="paragraph">
                  <wp:posOffset>610819</wp:posOffset>
                </wp:positionV>
                <wp:extent cx="1009269" cy="168250"/>
                <wp:effectExtent l="0" t="0" r="19685" b="22860"/>
                <wp:wrapNone/>
                <wp:docPr id="57" name="Text Box 57"/>
                <wp:cNvGraphicFramePr/>
                <a:graphic xmlns:a="http://schemas.openxmlformats.org/drawingml/2006/main">
                  <a:graphicData uri="http://schemas.microsoft.com/office/word/2010/wordprocessingShape">
                    <wps:wsp>
                      <wps:cNvSpPr txBox="1"/>
                      <wps:spPr>
                        <a:xfrm>
                          <a:off x="0" y="0"/>
                          <a:ext cx="1009269" cy="168250"/>
                        </a:xfrm>
                        <a:prstGeom prst="rect">
                          <a:avLst/>
                        </a:prstGeom>
                        <a:solidFill>
                          <a:schemeClr val="lt1"/>
                        </a:solidFill>
                        <a:ln w="6350">
                          <a:solidFill>
                            <a:schemeClr val="tx2">
                              <a:lumMod val="20000"/>
                              <a:lumOff val="80000"/>
                            </a:schemeClr>
                          </a:solidFill>
                        </a:ln>
                      </wps:spPr>
                      <wps:txbx>
                        <w:txbxContent>
                          <w:p w14:paraId="5C8216BB" w14:textId="1E9EFEC0" w:rsidR="00A100EC" w:rsidRPr="00D21252" w:rsidRDefault="00A100EC" w:rsidP="00B25298">
                            <w:pPr>
                              <w:shd w:val="clear" w:color="auto" w:fill="DBE5F1" w:themeFill="accent1" w:themeFillTint="33"/>
                              <w:spacing w:before="0"/>
                              <w:jc w:val="center"/>
                              <w:rPr>
                                <w:b/>
                                <w:sz w:val="12"/>
                                <w:szCs w:val="12"/>
                              </w:rPr>
                            </w:pPr>
                            <w:r w:rsidRPr="00B25298">
                              <w:rPr>
                                <w:rFonts w:hint="eastAsia"/>
                                <w:b/>
                                <w:sz w:val="16"/>
                                <w:szCs w:val="12"/>
                              </w:rPr>
                              <w:t>人员成本比率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809D8" id="Text Box 57" o:spid="_x0000_s1051" type="#_x0000_t202" style="position:absolute;left:0;text-align:left;margin-left:217.15pt;margin-top:48.1pt;width:79.45pt;height:1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" fillcolor="white [3201]" strokecolor="#c6d9f1 [671]" strokeweight=".5pt">
                <v:textbox inset="0,0,0,0">
                  <w:txbxContent>
                    <w:p w14:paraId="5C8216BB" w14:textId="1E9EFEC0" w:rsidR="00A100EC" w:rsidRPr="00D21252" w:rsidRDefault="00A100EC" w:rsidP="00B25298">
                      <w:pPr>
                        <w:shd w:val="clear" w:color="auto" w:fill="DBE5F1" w:themeFill="accent1" w:themeFillTint="33"/>
                        <w:spacing w:before="0"/>
                        <w:jc w:val="center"/>
                        <w:rPr>
                          <w:b/>
                          <w:sz w:val="12"/>
                          <w:szCs w:val="12"/>
                        </w:rPr>
                      </w:pPr>
                      <w:r w:rsidRPr="00B25298">
                        <w:rPr>
                          <w:rFonts w:hint="eastAsia"/>
                          <w:b/>
                          <w:sz w:val="16"/>
                          <w:szCs w:val="12"/>
                        </w:rPr>
                        <w:t>人员成本比率</w:t>
                      </w:r>
                    </w:p>
                  </w:txbxContent>
                </v:textbox>
              </v:shape>
            </w:pict>
          </mc:Fallback>
        </mc:AlternateContent>
      </w:r>
      <w:r w:rsidR="00E22396" w:rsidRPr="000C156A">
        <w:rPr>
          <w:noProof/>
          <w:lang w:val="en-US" w:eastAsia="zh-CN"/>
        </w:rPr>
        <w:drawing>
          <wp:inline distT="0" distB="0" distL="0" distR="0" wp14:anchorId="06A557B6" wp14:editId="635FDFBC">
            <wp:extent cx="6210935" cy="2053590"/>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10935" cy="2053590"/>
                    </a:xfrm>
                    <a:prstGeom prst="rect">
                      <a:avLst/>
                    </a:prstGeom>
                  </pic:spPr>
                </pic:pic>
              </a:graphicData>
            </a:graphic>
          </wp:inline>
        </w:drawing>
      </w:r>
    </w:p>
    <w:p w14:paraId="13A3CD26" w14:textId="7A594C70" w:rsidR="00E22396" w:rsidRPr="000C156A" w:rsidRDefault="00CA6FFB" w:rsidP="00914AD2">
      <w:pPr>
        <w:pStyle w:val="Figure"/>
        <w:rPr>
          <w:rFonts w:eastAsia="Times New Roman"/>
          <w:noProof/>
          <w:lang w:val="en-US" w:eastAsia="zh-CN"/>
        </w:rPr>
      </w:pPr>
      <w:r w:rsidRPr="000C156A">
        <w:rPr>
          <w:rFonts w:eastAsia="Times New Roman"/>
          <w:noProof/>
          <w:lang w:val="en-US" w:eastAsia="zh-CN"/>
        </w:rPr>
        <mc:AlternateContent>
          <mc:Choice Requires="wps">
            <w:drawing>
              <wp:anchor distT="0" distB="0" distL="114300" distR="114300" simplePos="0" relativeHeight="251712512" behindDoc="0" locked="0" layoutInCell="1" allowOverlap="1" wp14:anchorId="05DECEBB" wp14:editId="302477B2">
                <wp:simplePos x="0" y="0"/>
                <wp:positionH relativeFrom="column">
                  <wp:posOffset>315849</wp:posOffset>
                </wp:positionH>
                <wp:positionV relativeFrom="paragraph">
                  <wp:posOffset>210185</wp:posOffset>
                </wp:positionV>
                <wp:extent cx="1871980" cy="189865"/>
                <wp:effectExtent l="0" t="0" r="0" b="635"/>
                <wp:wrapNone/>
                <wp:docPr id="62" name="Text Box 62"/>
                <wp:cNvGraphicFramePr/>
                <a:graphic xmlns:a="http://schemas.openxmlformats.org/drawingml/2006/main">
                  <a:graphicData uri="http://schemas.microsoft.com/office/word/2010/wordprocessingShape">
                    <wps:wsp>
                      <wps:cNvSpPr txBox="1"/>
                      <wps:spPr>
                        <a:xfrm>
                          <a:off x="0" y="0"/>
                          <a:ext cx="1871980" cy="189865"/>
                        </a:xfrm>
                        <a:prstGeom prst="rect">
                          <a:avLst/>
                        </a:prstGeom>
                        <a:solidFill>
                          <a:schemeClr val="lt1"/>
                        </a:solidFill>
                        <a:ln w="6350">
                          <a:noFill/>
                        </a:ln>
                      </wps:spPr>
                      <wps:txbx>
                        <w:txbxContent>
                          <w:p w14:paraId="3F291E32" w14:textId="77777777" w:rsidR="00A100EC" w:rsidRPr="00D21252" w:rsidRDefault="00A100EC" w:rsidP="00B25298">
                            <w:pPr>
                              <w:spacing w:before="0"/>
                              <w:jc w:val="center"/>
                              <w:rPr>
                                <w:b/>
                                <w:sz w:val="12"/>
                                <w:szCs w:val="12"/>
                              </w:rPr>
                            </w:pPr>
                            <w:r w:rsidRPr="00B25298">
                              <w:rPr>
                                <w:rFonts w:hint="eastAsia"/>
                                <w:b/>
                                <w:sz w:val="16"/>
                                <w:szCs w:val="12"/>
                              </w:rPr>
                              <w:t>人员成本比率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ECEBB" id="Text Box 62" o:spid="_x0000_s1052" type="#_x0000_t202" style="position:absolute;left:0;text-align:left;margin-left:24.85pt;margin-top:16.55pt;width:147.4pt;height:14.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" fillcolor="white [3201]" stroked="f" strokeweight=".5pt">
                <v:textbox inset="0,0,0,0">
                  <w:txbxContent>
                    <w:p w14:paraId="3F291E32" w14:textId="77777777" w:rsidR="00A100EC" w:rsidRPr="00D21252" w:rsidRDefault="00A100EC" w:rsidP="00B25298">
                      <w:pPr>
                        <w:spacing w:before="0"/>
                        <w:jc w:val="center"/>
                        <w:rPr>
                          <w:b/>
                          <w:sz w:val="12"/>
                          <w:szCs w:val="12"/>
                        </w:rPr>
                      </w:pPr>
                      <w:r w:rsidRPr="00B25298">
                        <w:rPr>
                          <w:rFonts w:hint="eastAsia"/>
                          <w:b/>
                          <w:sz w:val="16"/>
                          <w:szCs w:val="12"/>
                        </w:rPr>
                        <w:t>人员成本比率</w:t>
                      </w:r>
                    </w:p>
                  </w:txbxContent>
                </v:textbox>
              </v:shape>
            </w:pict>
          </mc:Fallback>
        </mc:AlternateContent>
      </w:r>
      <w:r w:rsidR="0060541C" w:rsidRPr="000C156A">
        <w:rPr>
          <w:rFonts w:eastAsia="Times New Roman"/>
          <w:noProof/>
          <w:lang w:val="en-US" w:eastAsia="zh-CN"/>
        </w:rPr>
        <mc:AlternateContent>
          <mc:Choice Requires="wps">
            <w:drawing>
              <wp:anchor distT="0" distB="0" distL="114300" distR="114300" simplePos="0" relativeHeight="251720704" behindDoc="0" locked="0" layoutInCell="1" allowOverlap="1" wp14:anchorId="0E8863F5" wp14:editId="16609218">
                <wp:simplePos x="0" y="0"/>
                <wp:positionH relativeFrom="column">
                  <wp:posOffset>2768219</wp:posOffset>
                </wp:positionH>
                <wp:positionV relativeFrom="paragraph">
                  <wp:posOffset>1478915</wp:posOffset>
                </wp:positionV>
                <wp:extent cx="862965" cy="153035"/>
                <wp:effectExtent l="0" t="0" r="0" b="0"/>
                <wp:wrapNone/>
                <wp:docPr id="66" name="Text Box 66"/>
                <wp:cNvGraphicFramePr/>
                <a:graphic xmlns:a="http://schemas.openxmlformats.org/drawingml/2006/main">
                  <a:graphicData uri="http://schemas.microsoft.com/office/word/2010/wordprocessingShape">
                    <wps:wsp>
                      <wps:cNvSpPr txBox="1"/>
                      <wps:spPr>
                        <a:xfrm>
                          <a:off x="0" y="0"/>
                          <a:ext cx="862965" cy="153035"/>
                        </a:xfrm>
                        <a:prstGeom prst="rect">
                          <a:avLst/>
                        </a:prstGeom>
                        <a:solidFill>
                          <a:schemeClr val="lt1"/>
                        </a:solidFill>
                        <a:ln w="6350">
                          <a:noFill/>
                        </a:ln>
                      </wps:spPr>
                      <wps:txbx>
                        <w:txbxContent>
                          <w:p w14:paraId="410EE466" w14:textId="77777777" w:rsidR="00A100EC" w:rsidRPr="00D21252" w:rsidRDefault="00A100EC" w:rsidP="00B25298">
                            <w:pPr>
                              <w:shd w:val="clear" w:color="auto" w:fill="C6D9F1" w:themeFill="text2" w:themeFillTint="33"/>
                              <w:spacing w:before="0"/>
                              <w:jc w:val="center"/>
                              <w:rPr>
                                <w:b/>
                                <w:sz w:val="12"/>
                                <w:szCs w:val="12"/>
                              </w:rPr>
                            </w:pPr>
                            <w:r w:rsidRPr="00B25298">
                              <w:rPr>
                                <w:rFonts w:hint="eastAsia"/>
                                <w:b/>
                                <w:sz w:val="16"/>
                                <w:szCs w:val="12"/>
                              </w:rPr>
                              <w:t>人员成本比率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8863F5" id="Text Box 66" o:spid="_x0000_s1053" type="#_x0000_t202" style="position:absolute;left:0;text-align:left;margin-left:217.95pt;margin-top:116.45pt;width:67.95pt;height:12.0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" fillcolor="white [3201]" stroked="f" strokeweight=".5pt">
                <v:textbox inset="0,0,0,0">
                  <w:txbxContent>
                    <w:p w14:paraId="410EE466" w14:textId="77777777" w:rsidR="00A100EC" w:rsidRPr="00D21252" w:rsidRDefault="00A100EC" w:rsidP="00B25298">
                      <w:pPr>
                        <w:shd w:val="clear" w:color="auto" w:fill="C6D9F1" w:themeFill="text2" w:themeFillTint="33"/>
                        <w:spacing w:before="0"/>
                        <w:jc w:val="center"/>
                        <w:rPr>
                          <w:b/>
                          <w:sz w:val="12"/>
                          <w:szCs w:val="12"/>
                        </w:rPr>
                      </w:pPr>
                      <w:r w:rsidRPr="00B25298">
                        <w:rPr>
                          <w:rFonts w:hint="eastAsia"/>
                          <w:b/>
                          <w:sz w:val="16"/>
                          <w:szCs w:val="12"/>
                        </w:rPr>
                        <w:t>人员成本比率</w:t>
                      </w:r>
                    </w:p>
                  </w:txbxContent>
                </v:textbox>
              </v:shape>
            </w:pict>
          </mc:Fallback>
        </mc:AlternateContent>
      </w:r>
      <w:r w:rsidR="004B733A" w:rsidRPr="000C156A">
        <w:rPr>
          <w:rFonts w:eastAsia="Times New Roman"/>
          <w:noProof/>
          <w:lang w:val="en-US" w:eastAsia="zh-CN"/>
        </w:rPr>
        <mc:AlternateContent>
          <mc:Choice Requires="wps">
            <w:drawing>
              <wp:anchor distT="0" distB="0" distL="114300" distR="114300" simplePos="0" relativeHeight="251718656" behindDoc="0" locked="0" layoutInCell="1" allowOverlap="1" wp14:anchorId="49577789" wp14:editId="7B3CE128">
                <wp:simplePos x="0" y="0"/>
                <wp:positionH relativeFrom="column">
                  <wp:posOffset>2668524</wp:posOffset>
                </wp:positionH>
                <wp:positionV relativeFrom="paragraph">
                  <wp:posOffset>1240790</wp:posOffset>
                </wp:positionV>
                <wp:extent cx="1118870" cy="211455"/>
                <wp:effectExtent l="0" t="0" r="24130" b="17145"/>
                <wp:wrapNone/>
                <wp:docPr id="65" name="Text Box 65"/>
                <wp:cNvGraphicFramePr/>
                <a:graphic xmlns:a="http://schemas.openxmlformats.org/drawingml/2006/main">
                  <a:graphicData uri="http://schemas.microsoft.com/office/word/2010/wordprocessingShape">
                    <wps:wsp>
                      <wps:cNvSpPr txBox="1"/>
                      <wps:spPr>
                        <a:xfrm>
                          <a:off x="0" y="0"/>
                          <a:ext cx="1118870" cy="211455"/>
                        </a:xfrm>
                        <a:prstGeom prst="rect">
                          <a:avLst/>
                        </a:prstGeom>
                        <a:solidFill>
                          <a:schemeClr val="lt1"/>
                        </a:solidFill>
                        <a:ln w="6350">
                          <a:solidFill>
                            <a:schemeClr val="bg1"/>
                          </a:solidFill>
                        </a:ln>
                      </wps:spPr>
                      <wps:txbx>
                        <w:txbxContent>
                          <w:p w14:paraId="412890A8" w14:textId="308D617A" w:rsidR="00A100EC" w:rsidRPr="00D21252" w:rsidRDefault="00A100EC" w:rsidP="00B25298">
                            <w:pPr>
                              <w:shd w:val="clear" w:color="auto" w:fill="FFFFFF" w:themeFill="background1"/>
                              <w:spacing w:before="0"/>
                              <w:jc w:val="center"/>
                              <w:rPr>
                                <w:b/>
                                <w:sz w:val="12"/>
                                <w:szCs w:val="12"/>
                              </w:rPr>
                            </w:pPr>
                            <w:r w:rsidRPr="00B25298">
                              <w:rPr>
                                <w:rFonts w:hint="eastAsia"/>
                                <w:b/>
                                <w:sz w:val="16"/>
                                <w:szCs w:val="12"/>
                              </w:rPr>
                              <w:t>总收入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77789" id="Text Box 65" o:spid="_x0000_s1054" type="#_x0000_t202" style="position:absolute;left:0;text-align:left;margin-left:210.1pt;margin-top:97.7pt;width:88.1pt;height:16.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" fillcolor="white [3201]" strokecolor="white [3212]" strokeweight=".5pt">
                <v:textbox inset="0,0,0,0">
                  <w:txbxContent>
                    <w:p w14:paraId="412890A8" w14:textId="308D617A" w:rsidR="00A100EC" w:rsidRPr="00D21252" w:rsidRDefault="00A100EC" w:rsidP="00B25298">
                      <w:pPr>
                        <w:shd w:val="clear" w:color="auto" w:fill="FFFFFF" w:themeFill="background1"/>
                        <w:spacing w:before="0"/>
                        <w:jc w:val="center"/>
                        <w:rPr>
                          <w:b/>
                          <w:sz w:val="12"/>
                          <w:szCs w:val="12"/>
                        </w:rPr>
                      </w:pPr>
                      <w:r w:rsidRPr="00B25298">
                        <w:rPr>
                          <w:rFonts w:hint="eastAsia"/>
                          <w:b/>
                          <w:sz w:val="16"/>
                          <w:szCs w:val="12"/>
                        </w:rPr>
                        <w:t>总收入</w:t>
                      </w:r>
                    </w:p>
                  </w:txbxContent>
                </v:textbox>
              </v:shape>
            </w:pict>
          </mc:Fallback>
        </mc:AlternateContent>
      </w:r>
      <w:r w:rsidR="004B733A" w:rsidRPr="000C156A">
        <w:rPr>
          <w:rFonts w:eastAsia="Times New Roman"/>
          <w:noProof/>
          <w:lang w:val="en-US" w:eastAsia="zh-CN"/>
        </w:rPr>
        <mc:AlternateContent>
          <mc:Choice Requires="wps">
            <w:drawing>
              <wp:anchor distT="0" distB="0" distL="114300" distR="114300" simplePos="0" relativeHeight="251716608" behindDoc="0" locked="0" layoutInCell="1" allowOverlap="1" wp14:anchorId="6B269BBB" wp14:editId="4ED65F1F">
                <wp:simplePos x="0" y="0"/>
                <wp:positionH relativeFrom="column">
                  <wp:posOffset>2629154</wp:posOffset>
                </wp:positionH>
                <wp:positionV relativeFrom="paragraph">
                  <wp:posOffset>980440</wp:posOffset>
                </wp:positionV>
                <wp:extent cx="1169670" cy="212090"/>
                <wp:effectExtent l="0" t="0" r="11430" b="16510"/>
                <wp:wrapNone/>
                <wp:docPr id="64" name="Text Box 64"/>
                <wp:cNvGraphicFramePr/>
                <a:graphic xmlns:a="http://schemas.openxmlformats.org/drawingml/2006/main">
                  <a:graphicData uri="http://schemas.microsoft.com/office/word/2010/wordprocessingShape">
                    <wps:wsp>
                      <wps:cNvSpPr txBox="1"/>
                      <wps:spPr>
                        <a:xfrm>
                          <a:off x="0" y="0"/>
                          <a:ext cx="1169670" cy="212090"/>
                        </a:xfrm>
                        <a:prstGeom prst="rect">
                          <a:avLst/>
                        </a:prstGeom>
                        <a:solidFill>
                          <a:schemeClr val="lt1"/>
                        </a:solidFill>
                        <a:ln w="6350">
                          <a:solidFill>
                            <a:schemeClr val="bg1"/>
                          </a:solidFill>
                        </a:ln>
                      </wps:spPr>
                      <wps:txbx>
                        <w:txbxContent>
                          <w:p w14:paraId="75A908E2" w14:textId="77777777" w:rsidR="00A100EC" w:rsidRPr="00D21252" w:rsidRDefault="00A100EC" w:rsidP="00B25298">
                            <w:pPr>
                              <w:shd w:val="clear" w:color="auto" w:fill="FFFFFF" w:themeFill="background1"/>
                              <w:spacing w:before="100"/>
                              <w:jc w:val="center"/>
                              <w:rPr>
                                <w:b/>
                                <w:sz w:val="12"/>
                                <w:szCs w:val="12"/>
                              </w:rPr>
                            </w:pPr>
                            <w:r w:rsidRPr="00B25298">
                              <w:rPr>
                                <w:rFonts w:hint="eastAsia"/>
                                <w:b/>
                                <w:sz w:val="16"/>
                                <w:szCs w:val="12"/>
                              </w:rPr>
                              <w:t>人员成本</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69BBB" id="Text Box 64" o:spid="_x0000_s1055" type="#_x0000_t202" style="position:absolute;left:0;text-align:left;margin-left:207pt;margin-top:77.2pt;width:92.1pt;height:16.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" fillcolor="white [3201]" strokecolor="white [3212]" strokeweight=".5pt">
                <v:textbox inset="0,0,0,0">
                  <w:txbxContent>
                    <w:p w14:paraId="75A908E2" w14:textId="77777777" w:rsidR="00A100EC" w:rsidRPr="00D21252" w:rsidRDefault="00A100EC" w:rsidP="00B25298">
                      <w:pPr>
                        <w:shd w:val="clear" w:color="auto" w:fill="FFFFFF" w:themeFill="background1"/>
                        <w:spacing w:before="100"/>
                        <w:jc w:val="center"/>
                        <w:rPr>
                          <w:b/>
                          <w:sz w:val="12"/>
                          <w:szCs w:val="12"/>
                        </w:rPr>
                      </w:pPr>
                      <w:r w:rsidRPr="00B25298">
                        <w:rPr>
                          <w:rFonts w:hint="eastAsia"/>
                          <w:b/>
                          <w:sz w:val="16"/>
                          <w:szCs w:val="12"/>
                        </w:rPr>
                        <w:t>人员成本</w:t>
                      </w:r>
                    </w:p>
                  </w:txbxContent>
                </v:textbox>
              </v:shape>
            </w:pict>
          </mc:Fallback>
        </mc:AlternateContent>
      </w:r>
      <w:r w:rsidR="00596323" w:rsidRPr="000C156A">
        <w:rPr>
          <w:rFonts w:eastAsia="Times New Roman"/>
          <w:noProof/>
          <w:lang w:val="en-US" w:eastAsia="zh-CN"/>
        </w:rPr>
        <mc:AlternateContent>
          <mc:Choice Requires="wps">
            <w:drawing>
              <wp:anchor distT="0" distB="0" distL="114300" distR="114300" simplePos="0" relativeHeight="251714560" behindDoc="0" locked="0" layoutInCell="1" allowOverlap="1" wp14:anchorId="02229F69" wp14:editId="4F8398C8">
                <wp:simplePos x="0" y="0"/>
                <wp:positionH relativeFrom="column">
                  <wp:posOffset>2691765</wp:posOffset>
                </wp:positionH>
                <wp:positionV relativeFrom="paragraph">
                  <wp:posOffset>671576</wp:posOffset>
                </wp:positionV>
                <wp:extent cx="1009015" cy="167640"/>
                <wp:effectExtent l="0" t="0" r="19685" b="22860"/>
                <wp:wrapNone/>
                <wp:docPr id="63" name="Text Box 63"/>
                <wp:cNvGraphicFramePr/>
                <a:graphic xmlns:a="http://schemas.openxmlformats.org/drawingml/2006/main">
                  <a:graphicData uri="http://schemas.microsoft.com/office/word/2010/wordprocessingShape">
                    <wps:wsp>
                      <wps:cNvSpPr txBox="1"/>
                      <wps:spPr>
                        <a:xfrm>
                          <a:off x="0" y="0"/>
                          <a:ext cx="1009015" cy="167640"/>
                        </a:xfrm>
                        <a:prstGeom prst="rect">
                          <a:avLst/>
                        </a:prstGeom>
                        <a:solidFill>
                          <a:schemeClr val="lt1"/>
                        </a:solidFill>
                        <a:ln w="6350">
                          <a:solidFill>
                            <a:schemeClr val="tx2">
                              <a:lumMod val="20000"/>
                              <a:lumOff val="80000"/>
                            </a:schemeClr>
                          </a:solidFill>
                        </a:ln>
                      </wps:spPr>
                      <wps:txbx>
                        <w:txbxContent>
                          <w:p w14:paraId="51729FC6" w14:textId="77777777" w:rsidR="00A100EC" w:rsidRPr="00D21252" w:rsidRDefault="00A100EC" w:rsidP="00B25298">
                            <w:pPr>
                              <w:shd w:val="clear" w:color="auto" w:fill="DBE5F1" w:themeFill="accent1" w:themeFillTint="33"/>
                              <w:spacing w:before="0"/>
                              <w:jc w:val="center"/>
                              <w:rPr>
                                <w:b/>
                                <w:sz w:val="12"/>
                                <w:szCs w:val="12"/>
                              </w:rPr>
                            </w:pPr>
                            <w:r w:rsidRPr="00B25298">
                              <w:rPr>
                                <w:rFonts w:hint="eastAsia"/>
                                <w:b/>
                                <w:sz w:val="16"/>
                                <w:szCs w:val="12"/>
                              </w:rPr>
                              <w:t>人员成本比率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29F69" id="Text Box 63" o:spid="_x0000_s1056" type="#_x0000_t202" style="position:absolute;left:0;text-align:left;margin-left:211.95pt;margin-top:52.9pt;width:79.45pt;height:13.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" fillcolor="white [3201]" strokecolor="#c6d9f1 [671]" strokeweight=".5pt">
                <v:textbox inset="0,0,0,0">
                  <w:txbxContent>
                    <w:p w14:paraId="51729FC6" w14:textId="77777777" w:rsidR="00A100EC" w:rsidRPr="00D21252" w:rsidRDefault="00A100EC" w:rsidP="00B25298">
                      <w:pPr>
                        <w:shd w:val="clear" w:color="auto" w:fill="DBE5F1" w:themeFill="accent1" w:themeFillTint="33"/>
                        <w:spacing w:before="0"/>
                        <w:jc w:val="center"/>
                        <w:rPr>
                          <w:b/>
                          <w:sz w:val="12"/>
                          <w:szCs w:val="12"/>
                        </w:rPr>
                      </w:pPr>
                      <w:r w:rsidRPr="00B25298">
                        <w:rPr>
                          <w:rFonts w:hint="eastAsia"/>
                          <w:b/>
                          <w:sz w:val="16"/>
                          <w:szCs w:val="12"/>
                        </w:rPr>
                        <w:t>人员成本比率</w:t>
                      </w:r>
                    </w:p>
                  </w:txbxContent>
                </v:textbox>
              </v:shape>
            </w:pict>
          </mc:Fallback>
        </mc:AlternateContent>
      </w:r>
      <w:r w:rsidR="00E22396" w:rsidRPr="000C156A">
        <w:rPr>
          <w:rFonts w:eastAsia="Times New Roman"/>
          <w:noProof/>
          <w:lang w:val="en-US" w:eastAsia="zh-CN"/>
        </w:rPr>
        <w:drawing>
          <wp:inline distT="0" distB="0" distL="0" distR="0" wp14:anchorId="2C4BD726" wp14:editId="18C299B4">
            <wp:extent cx="6210935" cy="20021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10935" cy="2002155"/>
                    </a:xfrm>
                    <a:prstGeom prst="rect">
                      <a:avLst/>
                    </a:prstGeom>
                  </pic:spPr>
                </pic:pic>
              </a:graphicData>
            </a:graphic>
          </wp:inline>
        </w:drawing>
      </w:r>
    </w:p>
    <w:p w14:paraId="3BA4D9FF" w14:textId="4095D346" w:rsidR="00DB3FD3" w:rsidRPr="000C156A" w:rsidRDefault="006423EB" w:rsidP="00A9105D">
      <w:pPr>
        <w:spacing w:before="240"/>
        <w:rPr>
          <w:lang w:eastAsia="zh-CN"/>
        </w:rPr>
      </w:pPr>
      <w:r w:rsidRPr="000C156A">
        <w:rPr>
          <w:rFonts w:cs="Calibri"/>
          <w:szCs w:val="24"/>
          <w:lang w:val="en-US" w:eastAsia="zh-CN"/>
        </w:rPr>
        <w:t>45</w:t>
      </w:r>
      <w:r w:rsidRPr="000C156A">
        <w:rPr>
          <w:rFonts w:cs="Calibri"/>
          <w:szCs w:val="24"/>
          <w:lang w:val="en-US" w:eastAsia="zh-CN"/>
        </w:rPr>
        <w:tab/>
      </w:r>
      <w:r w:rsidR="00DB3FD3" w:rsidRPr="000C156A">
        <w:rPr>
          <w:rFonts w:hint="eastAsia"/>
          <w:lang w:eastAsia="zh-CN"/>
        </w:rPr>
        <w:t>在过去四年中，与人员费用有关的比率的变化相对稳定。支出的主要部分</w:t>
      </w:r>
      <w:r w:rsidR="005E29E7" w:rsidRPr="000C156A">
        <w:rPr>
          <w:rFonts w:hint="eastAsia"/>
          <w:lang w:eastAsia="zh-CN"/>
        </w:rPr>
        <w:t>（</w:t>
      </w:r>
      <w:r w:rsidR="00DB3FD3" w:rsidRPr="000C156A">
        <w:rPr>
          <w:rFonts w:hint="eastAsia"/>
          <w:lang w:eastAsia="zh-CN"/>
        </w:rPr>
        <w:t>2020</w:t>
      </w:r>
      <w:r w:rsidR="00DB3FD3" w:rsidRPr="000C156A">
        <w:rPr>
          <w:rFonts w:hint="eastAsia"/>
          <w:lang w:eastAsia="zh-CN"/>
        </w:rPr>
        <w:t>年为</w:t>
      </w:r>
      <w:r w:rsidR="00DB3FD3" w:rsidRPr="000C156A">
        <w:rPr>
          <w:rFonts w:hint="eastAsia"/>
          <w:lang w:eastAsia="zh-CN"/>
        </w:rPr>
        <w:t>71%</w:t>
      </w:r>
      <w:r w:rsidR="005E29E7" w:rsidRPr="000C156A">
        <w:rPr>
          <w:rFonts w:hint="eastAsia"/>
          <w:lang w:eastAsia="zh-CN"/>
        </w:rPr>
        <w:t>）为</w:t>
      </w:r>
      <w:r w:rsidR="00DB3FD3" w:rsidRPr="000C156A">
        <w:rPr>
          <w:rFonts w:hint="eastAsia"/>
          <w:lang w:eastAsia="zh-CN"/>
        </w:rPr>
        <w:t>分配给人员</w:t>
      </w:r>
      <w:r w:rsidR="005E29E7" w:rsidRPr="000C156A">
        <w:rPr>
          <w:rFonts w:hint="eastAsia"/>
          <w:lang w:eastAsia="zh-CN"/>
        </w:rPr>
        <w:t>的</w:t>
      </w:r>
      <w:r w:rsidR="00DB3FD3" w:rsidRPr="000C156A">
        <w:rPr>
          <w:rFonts w:hint="eastAsia"/>
          <w:lang w:eastAsia="zh-CN"/>
        </w:rPr>
        <w:t>费用，使国际电联能够在</w:t>
      </w:r>
      <w:r w:rsidR="005E29E7" w:rsidRPr="000C156A">
        <w:rPr>
          <w:rFonts w:hint="eastAsia"/>
          <w:lang w:eastAsia="zh-CN"/>
        </w:rPr>
        <w:t>PP-</w:t>
      </w:r>
      <w:r w:rsidR="00DB3FD3" w:rsidRPr="000C156A">
        <w:rPr>
          <w:rFonts w:hint="eastAsia"/>
          <w:lang w:eastAsia="zh-CN"/>
        </w:rPr>
        <w:t>18</w:t>
      </w:r>
      <w:r w:rsidR="005E29E7" w:rsidRPr="000C156A">
        <w:rPr>
          <w:rFonts w:hint="eastAsia"/>
          <w:lang w:eastAsia="zh-CN"/>
        </w:rPr>
        <w:t>后的周期</w:t>
      </w:r>
      <w:r w:rsidR="00DB3FD3" w:rsidRPr="000C156A">
        <w:rPr>
          <w:rFonts w:hint="eastAsia"/>
          <w:lang w:eastAsia="zh-CN"/>
        </w:rPr>
        <w:t>执行</w:t>
      </w:r>
      <w:r w:rsidR="005E29E7" w:rsidRPr="000C156A">
        <w:rPr>
          <w:rFonts w:hint="eastAsia"/>
          <w:lang w:eastAsia="zh-CN"/>
        </w:rPr>
        <w:t>运作规划</w:t>
      </w:r>
      <w:r w:rsidR="00DB3FD3" w:rsidRPr="000C156A">
        <w:rPr>
          <w:rFonts w:hint="eastAsia"/>
          <w:lang w:eastAsia="zh-CN"/>
        </w:rPr>
        <w:t>决定的活动</w:t>
      </w:r>
      <w:r w:rsidR="005E29E7" w:rsidRPr="000C156A">
        <w:rPr>
          <w:rFonts w:hint="eastAsia"/>
          <w:lang w:eastAsia="zh-CN"/>
        </w:rPr>
        <w:t>项目</w:t>
      </w:r>
      <w:r w:rsidR="00DB3FD3" w:rsidRPr="000C156A">
        <w:rPr>
          <w:rFonts w:hint="eastAsia"/>
          <w:lang w:eastAsia="zh-CN"/>
        </w:rPr>
        <w:t>。</w:t>
      </w:r>
      <w:r w:rsidR="00DB3FD3" w:rsidRPr="000C156A">
        <w:rPr>
          <w:rFonts w:hint="eastAsia"/>
          <w:lang w:eastAsia="zh-CN"/>
        </w:rPr>
        <w:t>2020</w:t>
      </w:r>
      <w:r w:rsidR="00DB3FD3" w:rsidRPr="000C156A">
        <w:rPr>
          <w:rFonts w:hint="eastAsia"/>
          <w:lang w:eastAsia="zh-CN"/>
        </w:rPr>
        <w:t>年，这一</w:t>
      </w:r>
      <w:r w:rsidR="005E29E7" w:rsidRPr="000C156A">
        <w:rPr>
          <w:rFonts w:hint="eastAsia"/>
          <w:lang w:eastAsia="zh-CN"/>
        </w:rPr>
        <w:t>比率</w:t>
      </w:r>
      <w:r w:rsidR="00DB3FD3" w:rsidRPr="000C156A">
        <w:rPr>
          <w:rFonts w:hint="eastAsia"/>
          <w:lang w:eastAsia="zh-CN"/>
        </w:rPr>
        <w:t>回到了</w:t>
      </w:r>
      <w:r w:rsidR="00DB3FD3" w:rsidRPr="000C156A">
        <w:rPr>
          <w:rFonts w:hint="eastAsia"/>
          <w:lang w:eastAsia="zh-CN"/>
        </w:rPr>
        <w:t>2018</w:t>
      </w:r>
      <w:r w:rsidR="00DB3FD3" w:rsidRPr="000C156A">
        <w:rPr>
          <w:rFonts w:hint="eastAsia"/>
          <w:lang w:eastAsia="zh-CN"/>
        </w:rPr>
        <w:t>年的水平。</w:t>
      </w:r>
      <w:r w:rsidR="00DB3FD3" w:rsidRPr="000C156A">
        <w:rPr>
          <w:rFonts w:hint="eastAsia"/>
          <w:lang w:eastAsia="zh-CN"/>
        </w:rPr>
        <w:t>2019</w:t>
      </w:r>
      <w:r w:rsidR="00DB3FD3" w:rsidRPr="000C156A">
        <w:rPr>
          <w:rFonts w:hint="eastAsia"/>
          <w:lang w:eastAsia="zh-CN"/>
        </w:rPr>
        <w:t>年异常高的比率是由于医疗保险计划从</w:t>
      </w:r>
      <w:r w:rsidR="00DB3FD3" w:rsidRPr="000C156A">
        <w:rPr>
          <w:rFonts w:hint="eastAsia"/>
          <w:lang w:eastAsia="zh-CN"/>
        </w:rPr>
        <w:t>CIGNA</w:t>
      </w:r>
      <w:r w:rsidR="00DB3FD3" w:rsidRPr="000C156A">
        <w:rPr>
          <w:rFonts w:hint="eastAsia"/>
          <w:lang w:eastAsia="zh-CN"/>
        </w:rPr>
        <w:t>改为</w:t>
      </w:r>
      <w:r w:rsidR="005E29E7" w:rsidRPr="000C156A">
        <w:rPr>
          <w:lang w:eastAsia="zh-CN"/>
        </w:rPr>
        <w:t>UNSMIS</w:t>
      </w:r>
      <w:r w:rsidR="00DB3FD3" w:rsidRPr="000C156A">
        <w:rPr>
          <w:rFonts w:hint="eastAsia"/>
          <w:lang w:eastAsia="zh-CN"/>
        </w:rPr>
        <w:t>，并对过去的服务费用进行了一次性调整</w:t>
      </w:r>
      <w:r w:rsidR="005E29E7" w:rsidRPr="000C156A">
        <w:rPr>
          <w:rFonts w:hint="eastAsia"/>
          <w:lang w:eastAsia="zh-CN"/>
        </w:rPr>
        <w:t>。</w:t>
      </w:r>
    </w:p>
    <w:p w14:paraId="77008429" w14:textId="40D928D0" w:rsidR="005512B2" w:rsidRPr="000C156A" w:rsidRDefault="005512B2" w:rsidP="001A690A">
      <w:pPr>
        <w:pStyle w:val="Headingb"/>
        <w:rPr>
          <w:w w:val="105"/>
          <w:lang w:val="en-US" w:eastAsia="zh-CN"/>
        </w:rPr>
      </w:pPr>
      <w:bookmarkStart w:id="119" w:name="_Toc72744920"/>
      <w:bookmarkStart w:id="120" w:name="_Toc72747204"/>
      <w:bookmarkStart w:id="121" w:name="_Toc73461006"/>
      <w:bookmarkStart w:id="122" w:name="_Toc73518653"/>
      <w:bookmarkStart w:id="123" w:name="_Toc73518800"/>
      <w:bookmarkStart w:id="124" w:name="_Toc73519200"/>
      <w:bookmarkStart w:id="125" w:name="_Toc73636082"/>
      <w:bookmarkStart w:id="126" w:name="_Toc73636224"/>
      <w:r w:rsidRPr="000C156A">
        <w:rPr>
          <w:rFonts w:hint="eastAsia"/>
          <w:lang w:val="fr-CH" w:eastAsia="zh-CN"/>
        </w:rPr>
        <w:lastRenderedPageBreak/>
        <w:t>持续关注的问题</w:t>
      </w:r>
      <w:bookmarkEnd w:id="119"/>
      <w:bookmarkEnd w:id="120"/>
      <w:bookmarkEnd w:id="121"/>
      <w:bookmarkEnd w:id="122"/>
      <w:bookmarkEnd w:id="123"/>
      <w:bookmarkEnd w:id="124"/>
      <w:bookmarkEnd w:id="125"/>
      <w:bookmarkEnd w:id="126"/>
    </w:p>
    <w:p w14:paraId="3464A659" w14:textId="57F978DF" w:rsidR="00F043E4" w:rsidRPr="000C156A" w:rsidRDefault="006423EB" w:rsidP="001A690A">
      <w:pPr>
        <w:rPr>
          <w:lang w:eastAsia="zh-CN"/>
        </w:rPr>
      </w:pPr>
      <w:r w:rsidRPr="000C156A">
        <w:rPr>
          <w:rFonts w:asciiTheme="minorHAnsi" w:hAnsiTheme="minorHAnsi" w:cs="Calibri"/>
          <w:szCs w:val="24"/>
          <w:lang w:val="en-US" w:eastAsia="zh-CN"/>
        </w:rPr>
        <w:t>46</w:t>
      </w:r>
      <w:r w:rsidRPr="000C156A">
        <w:rPr>
          <w:rFonts w:asciiTheme="minorHAnsi" w:hAnsiTheme="minorHAnsi" w:cs="Calibri"/>
          <w:szCs w:val="24"/>
          <w:lang w:val="en-US" w:eastAsia="zh-CN"/>
        </w:rPr>
        <w:tab/>
      </w:r>
      <w:r w:rsidR="005512B2" w:rsidRPr="000C156A">
        <w:rPr>
          <w:rFonts w:hint="eastAsia"/>
          <w:lang w:eastAsia="zh-CN"/>
        </w:rPr>
        <w:t>我对所有可能由全球经济和金融危机引起的会费下降的影响做了评估，并了解这是否会导致国际电联活动的减少。考虑到计划开展的活动和相关的风险，我可以证实国际电联拥有维持其中期运作的充足资源，因此，我们将继续在“持续经营原则”（</w:t>
      </w:r>
      <w:r w:rsidR="005512B2" w:rsidRPr="000C156A">
        <w:rPr>
          <w:lang w:eastAsia="zh-CN"/>
        </w:rPr>
        <w:t>going concern principle</w:t>
      </w:r>
      <w:r w:rsidR="005512B2" w:rsidRPr="000C156A">
        <w:rPr>
          <w:rFonts w:hint="eastAsia"/>
          <w:lang w:eastAsia="zh-CN"/>
        </w:rPr>
        <w:t>）的基础上制定国际电联的财务报表。</w:t>
      </w:r>
    </w:p>
    <w:p w14:paraId="6ECB71EB" w14:textId="650CBE4F" w:rsidR="00F80DFB" w:rsidRPr="000C156A" w:rsidRDefault="006423EB" w:rsidP="001A690A">
      <w:pPr>
        <w:rPr>
          <w:lang w:eastAsia="zh-CN"/>
        </w:rPr>
      </w:pPr>
      <w:r w:rsidRPr="000C156A">
        <w:rPr>
          <w:rFonts w:asciiTheme="minorHAnsi" w:eastAsia="Times New Roman" w:hAnsiTheme="minorHAnsi" w:cs="Calibri"/>
          <w:szCs w:val="24"/>
          <w:lang w:val="en-US" w:eastAsia="zh-CN"/>
        </w:rPr>
        <w:t>47</w:t>
      </w:r>
      <w:r w:rsidRPr="000C156A">
        <w:rPr>
          <w:rFonts w:asciiTheme="minorHAnsi" w:eastAsia="Times New Roman" w:hAnsiTheme="minorHAnsi" w:cs="Calibri"/>
          <w:szCs w:val="24"/>
          <w:lang w:val="en-US" w:eastAsia="zh-CN"/>
        </w:rPr>
        <w:tab/>
      </w:r>
      <w:r w:rsidR="005512B2" w:rsidRPr="000C156A">
        <w:rPr>
          <w:rFonts w:hint="eastAsia"/>
          <w:lang w:eastAsia="zh-CN"/>
        </w:rPr>
        <w:t>我深知自己对独立管理顾问委员会（</w:t>
      </w:r>
      <w:r w:rsidR="005512B2" w:rsidRPr="000C156A">
        <w:rPr>
          <w:lang w:eastAsia="zh-CN"/>
        </w:rPr>
        <w:t>IMAC</w:t>
      </w:r>
      <w:r w:rsidR="005512B2" w:rsidRPr="000C156A">
        <w:rPr>
          <w:lang w:eastAsia="zh-CN"/>
        </w:rPr>
        <w:t>）</w:t>
      </w:r>
      <w:r w:rsidR="005512B2" w:rsidRPr="000C156A">
        <w:rPr>
          <w:rFonts w:hint="eastAsia"/>
          <w:lang w:eastAsia="zh-CN"/>
        </w:rPr>
        <w:t>年度报告、外部审计年度报告和内部审计年度报告的透明度以及经理事会批准后公众对这些文本的获取负有责任。</w:t>
      </w:r>
    </w:p>
    <w:p w14:paraId="0DDE2841" w14:textId="0487F3A3" w:rsidR="00170C8F" w:rsidRPr="000C156A" w:rsidRDefault="006423EB" w:rsidP="001A690A">
      <w:pPr>
        <w:rPr>
          <w:lang w:eastAsia="zh-CN"/>
        </w:rPr>
      </w:pPr>
      <w:r w:rsidRPr="000C156A">
        <w:rPr>
          <w:rFonts w:asciiTheme="minorHAnsi" w:hAnsiTheme="minorHAnsi" w:cs="Calibri"/>
          <w:szCs w:val="24"/>
          <w:lang w:val="en-US" w:eastAsia="zh-CN"/>
        </w:rPr>
        <w:t>48</w:t>
      </w:r>
      <w:r w:rsidRPr="000C156A">
        <w:rPr>
          <w:rFonts w:asciiTheme="minorHAnsi" w:hAnsiTheme="minorHAnsi" w:cs="Calibri"/>
          <w:szCs w:val="24"/>
          <w:lang w:val="en-US" w:eastAsia="zh-CN"/>
        </w:rPr>
        <w:tab/>
      </w:r>
      <w:r w:rsidR="005512B2" w:rsidRPr="000C156A">
        <w:rPr>
          <w:lang w:eastAsia="zh-CN"/>
        </w:rPr>
        <w:t>2020</w:t>
      </w:r>
      <w:r w:rsidR="005512B2" w:rsidRPr="000C156A">
        <w:rPr>
          <w:rFonts w:hint="eastAsia"/>
          <w:lang w:eastAsia="zh-CN"/>
        </w:rPr>
        <w:t>年内部控制报表已纳入本财务工作报告。</w:t>
      </w:r>
    </w:p>
    <w:p w14:paraId="06B0707F" w14:textId="457E2594" w:rsidR="0022373A" w:rsidRPr="000C156A" w:rsidRDefault="005512B2" w:rsidP="001A690A">
      <w:pPr>
        <w:pStyle w:val="Headingb"/>
        <w:rPr>
          <w:lang w:val="en-US" w:eastAsia="zh-CN"/>
        </w:rPr>
      </w:pPr>
      <w:bookmarkStart w:id="127" w:name="_Toc72744921"/>
      <w:bookmarkStart w:id="128" w:name="_Toc72747205"/>
      <w:bookmarkStart w:id="129" w:name="_Toc73461007"/>
      <w:bookmarkStart w:id="130" w:name="_Toc73518654"/>
      <w:bookmarkStart w:id="131" w:name="_Toc73518801"/>
      <w:bookmarkStart w:id="132" w:name="_Toc73519201"/>
      <w:bookmarkStart w:id="133" w:name="_Toc73636083"/>
      <w:bookmarkStart w:id="134" w:name="_Toc73636225"/>
      <w:r w:rsidRPr="000C156A">
        <w:rPr>
          <w:rFonts w:hint="eastAsia"/>
          <w:lang w:val="fr-CH" w:eastAsia="zh-CN"/>
        </w:rPr>
        <w:t>责任</w:t>
      </w:r>
      <w:bookmarkEnd w:id="127"/>
      <w:bookmarkEnd w:id="128"/>
      <w:bookmarkEnd w:id="129"/>
      <w:bookmarkEnd w:id="130"/>
      <w:bookmarkEnd w:id="131"/>
      <w:bookmarkEnd w:id="132"/>
      <w:bookmarkEnd w:id="133"/>
      <w:bookmarkEnd w:id="134"/>
    </w:p>
    <w:p w14:paraId="3E0FBE6F" w14:textId="402D32CF" w:rsidR="0022373A" w:rsidRPr="000C156A" w:rsidRDefault="006423EB" w:rsidP="001A690A">
      <w:pPr>
        <w:rPr>
          <w:lang w:eastAsia="zh-CN"/>
        </w:rPr>
      </w:pPr>
      <w:r w:rsidRPr="000C156A">
        <w:rPr>
          <w:rFonts w:asciiTheme="minorHAnsi" w:hAnsiTheme="minorHAnsi" w:cs="Calibri"/>
          <w:szCs w:val="24"/>
          <w:lang w:val="en-US" w:eastAsia="zh-CN"/>
        </w:rPr>
        <w:t>49</w:t>
      </w:r>
      <w:r w:rsidRPr="000C156A">
        <w:rPr>
          <w:rFonts w:asciiTheme="minorHAnsi" w:hAnsiTheme="minorHAnsi" w:cs="Calibri"/>
          <w:szCs w:val="24"/>
          <w:lang w:val="en-US" w:eastAsia="zh-CN"/>
        </w:rPr>
        <w:tab/>
      </w:r>
      <w:r w:rsidR="005512B2" w:rsidRPr="000C156A">
        <w:rPr>
          <w:rFonts w:hint="eastAsia"/>
          <w:lang w:eastAsia="zh-CN"/>
        </w:rPr>
        <w:t>根据国际电联《财务规则》第</w:t>
      </w:r>
      <w:r w:rsidR="005512B2" w:rsidRPr="000C156A">
        <w:rPr>
          <w:lang w:eastAsia="zh-CN"/>
        </w:rPr>
        <w:t>30</w:t>
      </w:r>
      <w:r w:rsidR="005512B2" w:rsidRPr="000C156A">
        <w:rPr>
          <w:rFonts w:hint="eastAsia"/>
          <w:lang w:eastAsia="zh-CN"/>
        </w:rPr>
        <w:t>条的规定，我荣幸地提交根据</w:t>
      </w:r>
      <w:r w:rsidR="005512B2" w:rsidRPr="000C156A">
        <w:rPr>
          <w:lang w:eastAsia="zh-CN"/>
        </w:rPr>
        <w:t>IPSAS</w:t>
      </w:r>
      <w:r w:rsidR="005512B2" w:rsidRPr="000C156A">
        <w:rPr>
          <w:rFonts w:hint="eastAsia"/>
          <w:lang w:eastAsia="zh-CN"/>
        </w:rPr>
        <w:t>编制的以下财务报表。我证明，据我所知上述期间内的所有工作都正式入账，而且构成本文件不可分割部分的这些工作以及财务报表及其说明，准确反映了国际电联</w:t>
      </w:r>
      <w:r w:rsidR="005512B2" w:rsidRPr="000C156A">
        <w:rPr>
          <w:lang w:eastAsia="zh-CN"/>
        </w:rPr>
        <w:t>2020</w:t>
      </w:r>
      <w:r w:rsidR="005512B2" w:rsidRPr="000C156A">
        <w:rPr>
          <w:rFonts w:hint="eastAsia"/>
          <w:lang w:eastAsia="zh-CN"/>
        </w:rPr>
        <w:t>年</w:t>
      </w:r>
      <w:r w:rsidR="005512B2" w:rsidRPr="000C156A">
        <w:rPr>
          <w:lang w:eastAsia="zh-CN"/>
        </w:rPr>
        <w:t>12</w:t>
      </w:r>
      <w:r w:rsidR="005512B2" w:rsidRPr="000C156A">
        <w:rPr>
          <w:rFonts w:hint="eastAsia"/>
          <w:lang w:eastAsia="zh-CN"/>
        </w:rPr>
        <w:t>月</w:t>
      </w:r>
      <w:r w:rsidR="005512B2" w:rsidRPr="000C156A">
        <w:rPr>
          <w:lang w:eastAsia="zh-CN"/>
        </w:rPr>
        <w:t>31</w:t>
      </w:r>
      <w:r w:rsidR="005512B2" w:rsidRPr="000C156A">
        <w:rPr>
          <w:rFonts w:hint="eastAsia"/>
          <w:lang w:eastAsia="zh-CN"/>
        </w:rPr>
        <w:t>日的财务状况。</w:t>
      </w:r>
    </w:p>
    <w:p w14:paraId="6910A6B2" w14:textId="24D12499" w:rsidR="005512B2" w:rsidRPr="000C156A" w:rsidRDefault="005512B2" w:rsidP="00A9105D">
      <w:pPr>
        <w:spacing w:before="480"/>
        <w:rPr>
          <w:lang w:eastAsia="zh-CN"/>
        </w:rPr>
      </w:pPr>
      <w:r w:rsidRPr="000C156A">
        <w:rPr>
          <w:rFonts w:hint="eastAsia"/>
          <w:lang w:eastAsia="zh-CN"/>
        </w:rPr>
        <w:t>一</w:t>
      </w:r>
      <w:r w:rsidRPr="000C156A">
        <w:rPr>
          <w:lang w:eastAsia="zh-CN"/>
        </w:rPr>
        <w:tab/>
      </w:r>
      <w:r w:rsidRPr="000C156A">
        <w:rPr>
          <w:rFonts w:hint="eastAsia"/>
          <w:lang w:eastAsia="zh-CN"/>
        </w:rPr>
        <w:t>财务状况表</w:t>
      </w:r>
      <w:r w:rsidRPr="000C156A">
        <w:rPr>
          <w:rFonts w:hint="eastAsia"/>
          <w:lang w:eastAsia="zh-CN"/>
        </w:rPr>
        <w:t xml:space="preserve"> </w:t>
      </w:r>
      <w:r w:rsidRPr="000C156A">
        <w:rPr>
          <w:lang w:eastAsia="zh-CN"/>
        </w:rPr>
        <w:t xml:space="preserve">– </w:t>
      </w:r>
      <w:r w:rsidRPr="000C156A">
        <w:rPr>
          <w:rFonts w:hint="eastAsia"/>
          <w:lang w:eastAsia="zh-CN"/>
        </w:rPr>
        <w:t>截至</w:t>
      </w:r>
      <w:r w:rsidRPr="000C156A">
        <w:rPr>
          <w:lang w:val="en-US" w:eastAsia="zh-CN"/>
        </w:rPr>
        <w:t>2020</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日的资产负债表</w:t>
      </w:r>
    </w:p>
    <w:p w14:paraId="3ED7F446" w14:textId="488D4DBD" w:rsidR="005512B2" w:rsidRPr="000C156A" w:rsidRDefault="005512B2" w:rsidP="001A690A">
      <w:pPr>
        <w:rPr>
          <w:lang w:eastAsia="zh-CN"/>
        </w:rPr>
      </w:pPr>
      <w:r w:rsidRPr="000C156A">
        <w:rPr>
          <w:rFonts w:hint="eastAsia"/>
          <w:lang w:eastAsia="zh-CN"/>
        </w:rPr>
        <w:t>二</w:t>
      </w:r>
      <w:r w:rsidRPr="000C156A">
        <w:rPr>
          <w:lang w:eastAsia="zh-CN"/>
        </w:rPr>
        <w:tab/>
      </w:r>
      <w:r w:rsidRPr="000C156A">
        <w:rPr>
          <w:lang w:val="en-US" w:eastAsia="zh-CN"/>
        </w:rPr>
        <w:t>2020</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日结束的周期的财务业绩表</w:t>
      </w:r>
    </w:p>
    <w:p w14:paraId="7DC2F3B3" w14:textId="37A1BE30" w:rsidR="005512B2" w:rsidRPr="000C156A" w:rsidRDefault="005512B2" w:rsidP="001A690A">
      <w:pPr>
        <w:rPr>
          <w:lang w:eastAsia="zh-CN"/>
        </w:rPr>
      </w:pPr>
      <w:r w:rsidRPr="000C156A">
        <w:rPr>
          <w:rFonts w:hint="eastAsia"/>
          <w:lang w:eastAsia="zh-CN"/>
        </w:rPr>
        <w:t>三</w:t>
      </w:r>
      <w:r w:rsidRPr="000C156A">
        <w:rPr>
          <w:lang w:eastAsia="zh-CN"/>
        </w:rPr>
        <w:tab/>
      </w:r>
      <w:r w:rsidRPr="000C156A">
        <w:rPr>
          <w:lang w:val="en-US" w:eastAsia="zh-CN"/>
        </w:rPr>
        <w:t>2020</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日结束的周期的资产净值变化表</w:t>
      </w:r>
    </w:p>
    <w:p w14:paraId="3B0C04CD" w14:textId="6705BEAC" w:rsidR="005512B2" w:rsidRPr="000C156A" w:rsidRDefault="005512B2" w:rsidP="001A690A">
      <w:pPr>
        <w:rPr>
          <w:lang w:eastAsia="zh-CN"/>
        </w:rPr>
      </w:pPr>
      <w:r w:rsidRPr="000C156A">
        <w:rPr>
          <w:rFonts w:hint="eastAsia"/>
          <w:lang w:eastAsia="zh-CN"/>
        </w:rPr>
        <w:t>四</w:t>
      </w:r>
      <w:r w:rsidRPr="000C156A">
        <w:rPr>
          <w:lang w:eastAsia="zh-CN"/>
        </w:rPr>
        <w:tab/>
      </w:r>
      <w:r w:rsidRPr="000C156A">
        <w:rPr>
          <w:lang w:val="en-US" w:eastAsia="zh-CN"/>
        </w:rPr>
        <w:t>2020</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日结束的周期的现金流表</w:t>
      </w:r>
    </w:p>
    <w:p w14:paraId="2DDE87E5" w14:textId="64F1BC09" w:rsidR="005512B2" w:rsidRPr="000C156A" w:rsidRDefault="005512B2" w:rsidP="001A690A">
      <w:pPr>
        <w:rPr>
          <w:lang w:eastAsia="zh-CN"/>
        </w:rPr>
      </w:pPr>
      <w:r w:rsidRPr="000C156A">
        <w:rPr>
          <w:rFonts w:hint="eastAsia"/>
          <w:lang w:eastAsia="zh-CN"/>
        </w:rPr>
        <w:t>五</w:t>
      </w:r>
      <w:r w:rsidRPr="000C156A">
        <w:rPr>
          <w:lang w:eastAsia="zh-CN"/>
        </w:rPr>
        <w:tab/>
      </w:r>
      <w:r w:rsidRPr="000C156A">
        <w:rPr>
          <w:lang w:val="en-US" w:eastAsia="zh-CN"/>
        </w:rPr>
        <w:t>2020</w:t>
      </w:r>
      <w:r w:rsidRPr="000C156A">
        <w:rPr>
          <w:rFonts w:hint="eastAsia"/>
          <w:lang w:eastAsia="zh-CN"/>
        </w:rPr>
        <w:t>年预算金额与实际发生金额的对比表</w:t>
      </w:r>
    </w:p>
    <w:p w14:paraId="66F58CE0" w14:textId="77777777" w:rsidR="00717BB7" w:rsidRPr="000C156A" w:rsidRDefault="00717BB7">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0C156A">
        <w:rPr>
          <w:lang w:val="en-US" w:eastAsia="zh-CN"/>
        </w:rPr>
        <w:br w:type="page"/>
      </w:r>
    </w:p>
    <w:p w14:paraId="76BDA3D1" w14:textId="6C833B7E" w:rsidR="00462279" w:rsidRPr="000C156A" w:rsidRDefault="004A2392" w:rsidP="00684A64">
      <w:pPr>
        <w:pStyle w:val="Heading1"/>
        <w:jc w:val="center"/>
        <w:rPr>
          <w:w w:val="105"/>
          <w:lang w:val="en-US" w:eastAsia="zh-CN"/>
        </w:rPr>
      </w:pPr>
      <w:bookmarkStart w:id="135" w:name="_Toc482892532"/>
      <w:bookmarkStart w:id="136" w:name="_Toc358364825"/>
      <w:bookmarkStart w:id="137" w:name="_Toc511116003"/>
      <w:bookmarkStart w:id="138" w:name="_Toc41905282"/>
      <w:bookmarkStart w:id="139" w:name="_Toc41905745"/>
      <w:bookmarkStart w:id="140" w:name="_Toc41905833"/>
      <w:bookmarkStart w:id="141" w:name="_Toc41907962"/>
      <w:bookmarkStart w:id="142" w:name="_Toc72745298"/>
      <w:bookmarkStart w:id="143" w:name="_Toc72747206"/>
      <w:bookmarkStart w:id="144" w:name="_Toc73461008"/>
      <w:bookmarkStart w:id="145" w:name="_Toc73518655"/>
      <w:bookmarkStart w:id="146" w:name="_Toc73518802"/>
      <w:bookmarkStart w:id="147" w:name="_Toc73519202"/>
      <w:bookmarkStart w:id="148" w:name="_Toc73636084"/>
      <w:bookmarkStart w:id="149" w:name="_Toc73636226"/>
      <w:r w:rsidRPr="000C156A">
        <w:rPr>
          <w:w w:val="105"/>
          <w:lang w:val="en-US" w:eastAsia="zh-CN"/>
        </w:rPr>
        <w:lastRenderedPageBreak/>
        <w:t>2020</w:t>
      </w:r>
      <w:r w:rsidRPr="000C156A">
        <w:rPr>
          <w:rStyle w:val="Heading1Char1"/>
          <w:rFonts w:ascii="Calibri" w:eastAsia="SimSun" w:hAnsi="Calibri" w:cs="Times New Roman"/>
          <w:color w:val="auto"/>
          <w:sz w:val="28"/>
          <w:szCs w:val="20"/>
          <w:lang w:eastAsia="zh-CN"/>
        </w:rPr>
        <w:t>年管理报告</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44273D9" w14:textId="14160F80" w:rsidR="007D3479" w:rsidRPr="000C156A" w:rsidRDefault="004A2392" w:rsidP="004A2392">
      <w:pPr>
        <w:jc w:val="right"/>
        <w:rPr>
          <w:lang w:val="en-US" w:eastAsia="zh-CN"/>
        </w:rPr>
      </w:pPr>
      <w:r w:rsidRPr="000C156A">
        <w:rPr>
          <w:rFonts w:cs="Arial"/>
          <w:lang w:eastAsia="zh-CN"/>
        </w:rPr>
        <w:t>2021</w:t>
      </w:r>
      <w:r w:rsidRPr="000C156A">
        <w:rPr>
          <w:rFonts w:hint="eastAsia"/>
          <w:bCs/>
          <w:lang w:eastAsia="zh-CN"/>
        </w:rPr>
        <w:t>年</w:t>
      </w:r>
      <w:r w:rsidRPr="000C156A">
        <w:rPr>
          <w:bCs/>
          <w:lang w:eastAsia="zh-CN"/>
        </w:rPr>
        <w:t>3</w:t>
      </w:r>
      <w:r w:rsidRPr="000C156A">
        <w:rPr>
          <w:rFonts w:hint="eastAsia"/>
          <w:bCs/>
          <w:lang w:eastAsia="zh-CN"/>
        </w:rPr>
        <w:t>月</w:t>
      </w:r>
      <w:r w:rsidRPr="000C156A">
        <w:rPr>
          <w:lang w:eastAsia="zh-CN"/>
        </w:rPr>
        <w:t>15</w:t>
      </w:r>
      <w:r w:rsidRPr="000C156A">
        <w:rPr>
          <w:rFonts w:hint="eastAsia"/>
          <w:bCs/>
          <w:lang w:eastAsia="zh-CN"/>
        </w:rPr>
        <w:t>日，日内瓦</w:t>
      </w:r>
    </w:p>
    <w:p w14:paraId="3BF8C12D" w14:textId="5CCFA754" w:rsidR="00FA586A" w:rsidRPr="000C156A" w:rsidRDefault="004A2392" w:rsidP="00BF5578">
      <w:pPr>
        <w:pStyle w:val="Headingb"/>
        <w:spacing w:before="720"/>
        <w:rPr>
          <w:lang w:eastAsia="zh-CN"/>
        </w:rPr>
      </w:pPr>
      <w:bookmarkStart w:id="150" w:name="_Toc72744922"/>
      <w:bookmarkStart w:id="151" w:name="_Toc72747207"/>
      <w:bookmarkStart w:id="152" w:name="_Toc73461009"/>
      <w:bookmarkStart w:id="153" w:name="_Toc73518656"/>
      <w:bookmarkStart w:id="154" w:name="_Toc73518803"/>
      <w:bookmarkStart w:id="155" w:name="_Toc73519203"/>
      <w:bookmarkStart w:id="156" w:name="_Toc73636085"/>
      <w:bookmarkStart w:id="157" w:name="_Toc73636227"/>
      <w:r w:rsidRPr="000C156A">
        <w:rPr>
          <w:rFonts w:hint="eastAsia"/>
          <w:lang w:eastAsia="zh-CN"/>
        </w:rPr>
        <w:t>国际电信联盟（</w:t>
      </w:r>
      <w:r w:rsidRPr="000C156A">
        <w:rPr>
          <w:lang w:eastAsia="zh-CN"/>
        </w:rPr>
        <w:t>ITU</w:t>
      </w:r>
      <w:r w:rsidRPr="000C156A">
        <w:rPr>
          <w:rFonts w:hint="eastAsia"/>
          <w:lang w:eastAsia="zh-CN"/>
        </w:rPr>
        <w:t>）高级管理层的管理报告</w:t>
      </w:r>
      <w:bookmarkEnd w:id="150"/>
      <w:bookmarkEnd w:id="151"/>
      <w:bookmarkEnd w:id="152"/>
      <w:bookmarkEnd w:id="153"/>
      <w:bookmarkEnd w:id="154"/>
      <w:bookmarkEnd w:id="155"/>
      <w:bookmarkEnd w:id="156"/>
      <w:bookmarkEnd w:id="157"/>
    </w:p>
    <w:p w14:paraId="332547EE" w14:textId="73F941AA" w:rsidR="00AC0486" w:rsidRPr="000C156A" w:rsidRDefault="00AC0486" w:rsidP="001A690A">
      <w:pPr>
        <w:ind w:firstLineChars="200" w:firstLine="480"/>
        <w:rPr>
          <w:lang w:eastAsia="zh-CN"/>
        </w:rPr>
      </w:pPr>
      <w:r w:rsidRPr="000C156A">
        <w:rPr>
          <w:rFonts w:hint="eastAsia"/>
          <w:lang w:eastAsia="zh-CN"/>
        </w:rPr>
        <w:t>针对国际电信联盟（</w:t>
      </w:r>
      <w:r w:rsidRPr="000C156A">
        <w:rPr>
          <w:lang w:eastAsia="zh-CN"/>
        </w:rPr>
        <w:t>ITU</w:t>
      </w:r>
      <w:r w:rsidRPr="000C156A">
        <w:rPr>
          <w:rFonts w:hint="eastAsia"/>
          <w:lang w:eastAsia="zh-CN"/>
        </w:rPr>
        <w:t>）</w:t>
      </w:r>
      <w:r w:rsidRPr="000C156A">
        <w:rPr>
          <w:lang w:eastAsia="zh-CN"/>
        </w:rPr>
        <w:t>20</w:t>
      </w:r>
      <w:r w:rsidR="0019302B" w:rsidRPr="000C156A">
        <w:rPr>
          <w:lang w:eastAsia="zh-CN"/>
        </w:rPr>
        <w:t>20</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w:t>
      </w:r>
      <w:r w:rsidR="0019302B" w:rsidRPr="000C156A">
        <w:rPr>
          <w:rFonts w:hint="eastAsia"/>
          <w:lang w:eastAsia="zh-CN"/>
        </w:rPr>
        <w:t>时</w:t>
      </w:r>
      <w:r w:rsidRPr="000C156A">
        <w:rPr>
          <w:rFonts w:hint="eastAsia"/>
          <w:lang w:eastAsia="zh-CN"/>
        </w:rPr>
        <w:t>的</w:t>
      </w:r>
      <w:r w:rsidRPr="000C156A">
        <w:rPr>
          <w:lang w:eastAsia="zh-CN"/>
        </w:rPr>
        <w:t>20</w:t>
      </w:r>
      <w:r w:rsidR="0019302B" w:rsidRPr="000C156A">
        <w:rPr>
          <w:lang w:eastAsia="zh-CN"/>
        </w:rPr>
        <w:t>20</w:t>
      </w:r>
      <w:r w:rsidRPr="000C156A">
        <w:rPr>
          <w:rFonts w:hint="eastAsia"/>
          <w:lang w:eastAsia="zh-CN"/>
        </w:rPr>
        <w:t>财年年度账目审计，我们特提交此份管理报告。</w:t>
      </w:r>
    </w:p>
    <w:p w14:paraId="38453F7E" w14:textId="38EAC073" w:rsidR="00AC0486" w:rsidRPr="000C156A" w:rsidRDefault="00AC0486" w:rsidP="001A690A">
      <w:pPr>
        <w:ind w:firstLineChars="200" w:firstLine="480"/>
        <w:rPr>
          <w:lang w:eastAsia="zh-CN"/>
        </w:rPr>
      </w:pPr>
      <w:r w:rsidRPr="000C156A">
        <w:rPr>
          <w:rFonts w:hint="eastAsia"/>
          <w:lang w:eastAsia="zh-CN"/>
        </w:rPr>
        <w:t>我们编制了</w:t>
      </w:r>
      <w:r w:rsidR="0019302B" w:rsidRPr="000C156A">
        <w:rPr>
          <w:rFonts w:hint="eastAsia"/>
          <w:lang w:eastAsia="zh-CN"/>
        </w:rPr>
        <w:t>提交国际电联外部审计员并于此之后转呈国际电联理事会批准的</w:t>
      </w:r>
      <w:r w:rsidRPr="000C156A">
        <w:rPr>
          <w:rFonts w:hint="eastAsia"/>
          <w:lang w:eastAsia="zh-CN"/>
        </w:rPr>
        <w:t>年度账目。我们深知，对于年度账目的透明和可获取性以及可持续的会计制度和内部控制体系的制定和维护，包括防止和发现重大失误和欺诈的措施，我们责任重大。</w:t>
      </w:r>
    </w:p>
    <w:p w14:paraId="63002A68" w14:textId="77777777" w:rsidR="00AC0486" w:rsidRPr="000C156A" w:rsidRDefault="00AC0486" w:rsidP="00AC0486">
      <w:pPr>
        <w:pStyle w:val="enumlev1"/>
        <w:rPr>
          <w:lang w:eastAsia="zh-CN"/>
        </w:rPr>
      </w:pPr>
      <w:bookmarkStart w:id="158" w:name="CurrentLocation"/>
      <w:bookmarkEnd w:id="158"/>
      <w:r w:rsidRPr="000C156A">
        <w:rPr>
          <w:lang w:eastAsia="zh-CN"/>
        </w:rPr>
        <w:t>1</w:t>
      </w:r>
      <w:r w:rsidRPr="000C156A">
        <w:rPr>
          <w:lang w:eastAsia="zh-CN"/>
        </w:rPr>
        <w:tab/>
      </w:r>
      <w:r w:rsidRPr="000C156A">
        <w:rPr>
          <w:rFonts w:hint="eastAsia"/>
          <w:lang w:eastAsia="zh-CN"/>
        </w:rPr>
        <w:t>年度账目和有关说明以及相关披露符合国际公共部门会计准则（</w:t>
      </w:r>
      <w:r w:rsidRPr="000C156A">
        <w:rPr>
          <w:lang w:eastAsia="zh-CN"/>
        </w:rPr>
        <w:t>IPSAS</w:t>
      </w:r>
      <w:r w:rsidRPr="000C156A">
        <w:rPr>
          <w:rFonts w:hint="eastAsia"/>
          <w:lang w:eastAsia="zh-CN"/>
        </w:rPr>
        <w:t>）、该组织管理机构通过的《财务规则和财务细则》以及相关决议。</w:t>
      </w:r>
    </w:p>
    <w:p w14:paraId="1867CE2C" w14:textId="7EB016E9" w:rsidR="00AC0486" w:rsidRPr="000C156A" w:rsidRDefault="00AC0486" w:rsidP="00AC0486">
      <w:pPr>
        <w:pStyle w:val="enumlev1"/>
        <w:rPr>
          <w:lang w:eastAsia="zh-CN"/>
        </w:rPr>
      </w:pPr>
      <w:r w:rsidRPr="000C156A">
        <w:rPr>
          <w:lang w:eastAsia="zh-CN"/>
        </w:rPr>
        <w:t>2</w:t>
      </w:r>
      <w:r w:rsidRPr="000C156A">
        <w:rPr>
          <w:lang w:eastAsia="zh-CN"/>
        </w:rPr>
        <w:tab/>
      </w:r>
      <w:r w:rsidRPr="000C156A">
        <w:rPr>
          <w:rFonts w:hint="eastAsia"/>
          <w:lang w:eastAsia="zh-CN"/>
        </w:rPr>
        <w:t>所有交易都已适当记录在案。我们向国际电联外部审计员提供了所有相关信息，允许他和他的同事接触账簿和会计转账凭单以及业务往来信函，同时向他们通报了所有可能对年度账目产生重大影响的决定。</w:t>
      </w:r>
      <w:r w:rsidR="0019302B" w:rsidRPr="000C156A">
        <w:rPr>
          <w:rFonts w:hint="eastAsia"/>
          <w:lang w:eastAsia="zh-CN"/>
        </w:rPr>
        <w:t>国际电联</w:t>
      </w:r>
      <w:r w:rsidRPr="000C156A">
        <w:rPr>
          <w:rFonts w:hint="eastAsia"/>
          <w:lang w:eastAsia="zh-CN"/>
        </w:rPr>
        <w:t>外部审计员还被允许毫无限制地与该实体内其认定获取审计证据必不可少的人员接触。</w:t>
      </w:r>
    </w:p>
    <w:p w14:paraId="615D2129" w14:textId="60514B68" w:rsidR="00AC0486" w:rsidRPr="000C156A" w:rsidRDefault="00AC0486" w:rsidP="00AC0486">
      <w:pPr>
        <w:pStyle w:val="enumlev1"/>
        <w:rPr>
          <w:lang w:eastAsia="zh-CN"/>
        </w:rPr>
      </w:pPr>
      <w:r w:rsidRPr="000C156A">
        <w:rPr>
          <w:lang w:eastAsia="zh-CN"/>
        </w:rPr>
        <w:t>3</w:t>
      </w:r>
      <w:r w:rsidRPr="000C156A">
        <w:rPr>
          <w:lang w:eastAsia="zh-CN"/>
        </w:rPr>
        <w:tab/>
        <w:t>20</w:t>
      </w:r>
      <w:r w:rsidR="0019302B" w:rsidRPr="000C156A">
        <w:rPr>
          <w:lang w:eastAsia="zh-CN"/>
        </w:rPr>
        <w:t>20</w:t>
      </w:r>
      <w:r w:rsidRPr="000C156A">
        <w:rPr>
          <w:rFonts w:hint="eastAsia"/>
          <w:lang w:eastAsia="zh-CN"/>
        </w:rPr>
        <w:t>年所有交易均按拨款金额记录在财务业绩报表中。所有资产、负债和股权余额均以适当金额记录在财务报表中。由于国际电联对所有登记在资产负债表中的资产享有充分的法律权利，附件所述国际电联资产没有任何抵押或妨碍。相关各方的关系和交易按照</w:t>
      </w:r>
      <w:r w:rsidRPr="000C156A">
        <w:rPr>
          <w:lang w:eastAsia="zh-CN"/>
        </w:rPr>
        <w:t>IPSAS</w:t>
      </w:r>
      <w:r w:rsidRPr="000C156A">
        <w:rPr>
          <w:rFonts w:hint="eastAsia"/>
          <w:lang w:eastAsia="zh-CN"/>
        </w:rPr>
        <w:t>要求得到适当阐述和披露。没有可能大大改变对国际电联年度账目的评估的其他合同、信贷协议、诉讼或其他争议。</w:t>
      </w:r>
    </w:p>
    <w:p w14:paraId="4CCDFE0E" w14:textId="77777777" w:rsidR="00AC0486" w:rsidRPr="000C156A" w:rsidRDefault="00AC0486" w:rsidP="00AC0486">
      <w:pPr>
        <w:pStyle w:val="enumlev1"/>
        <w:rPr>
          <w:lang w:eastAsia="zh-CN"/>
        </w:rPr>
      </w:pPr>
      <w:r w:rsidRPr="000C156A">
        <w:rPr>
          <w:lang w:eastAsia="zh-CN"/>
        </w:rPr>
        <w:t>4</w:t>
      </w:r>
      <w:r w:rsidRPr="000C156A">
        <w:rPr>
          <w:lang w:eastAsia="zh-CN"/>
        </w:rPr>
        <w:tab/>
      </w:r>
      <w:r w:rsidRPr="000C156A">
        <w:rPr>
          <w:rFonts w:hint="eastAsia"/>
          <w:lang w:eastAsia="zh-CN"/>
        </w:rPr>
        <w:t>在财务报表截至日期之后发生的、</w:t>
      </w:r>
      <w:r w:rsidRPr="000C156A">
        <w:rPr>
          <w:lang w:eastAsia="zh-CN"/>
        </w:rPr>
        <w:t>IPSAS</w:t>
      </w:r>
      <w:r w:rsidRPr="000C156A">
        <w:rPr>
          <w:rFonts w:hint="eastAsia"/>
          <w:lang w:eastAsia="zh-CN"/>
        </w:rPr>
        <w:t>要求调整和披露的所有活动均已得到调整或披露。</w:t>
      </w:r>
    </w:p>
    <w:p w14:paraId="568E8102" w14:textId="77777777" w:rsidR="00AC0486" w:rsidRPr="000C156A" w:rsidRDefault="00AC0486" w:rsidP="00AC0486">
      <w:pPr>
        <w:pStyle w:val="enumlev1"/>
        <w:rPr>
          <w:lang w:eastAsia="zh-CN"/>
        </w:rPr>
      </w:pPr>
      <w:r w:rsidRPr="000C156A">
        <w:rPr>
          <w:lang w:eastAsia="zh-CN"/>
        </w:rPr>
        <w:t>5</w:t>
      </w:r>
      <w:r w:rsidRPr="000C156A">
        <w:rPr>
          <w:lang w:eastAsia="zh-CN"/>
        </w:rPr>
        <w:tab/>
      </w:r>
      <w:r w:rsidRPr="000C156A">
        <w:rPr>
          <w:rFonts w:hint="eastAsia"/>
          <w:lang w:eastAsia="zh-CN"/>
        </w:rPr>
        <w:t>我们认为，为估值做出的主要假设和有关公允价值的信息是适当的，反映了我们的初衷并符合所用会计原则。</w:t>
      </w:r>
    </w:p>
    <w:p w14:paraId="33F807FD" w14:textId="77777777" w:rsidR="00AC0486" w:rsidRPr="000C156A" w:rsidRDefault="00AC0486" w:rsidP="00AC0486">
      <w:pPr>
        <w:pStyle w:val="enumlev1"/>
        <w:rPr>
          <w:lang w:eastAsia="zh-CN"/>
        </w:rPr>
      </w:pPr>
      <w:r w:rsidRPr="000C156A">
        <w:rPr>
          <w:lang w:eastAsia="zh-CN"/>
        </w:rPr>
        <w:t>6</w:t>
      </w:r>
      <w:r w:rsidRPr="000C156A">
        <w:rPr>
          <w:lang w:eastAsia="zh-CN"/>
        </w:rPr>
        <w:tab/>
      </w:r>
      <w:r w:rsidRPr="000C156A">
        <w:rPr>
          <w:rFonts w:hint="eastAsia"/>
          <w:lang w:eastAsia="zh-CN"/>
        </w:rPr>
        <w:t>根据《财务规则和财务细则》，我们确认，国际电联具有内部控制体系，为财务报告的可靠性和对外年度账目的就绪提供了适度保证。该体系包括以下相关政策和程序：</w:t>
      </w:r>
    </w:p>
    <w:p w14:paraId="4D573BB8" w14:textId="29C6B07F" w:rsidR="00AC0486" w:rsidRPr="000C156A" w:rsidRDefault="00AC0486" w:rsidP="00AC0486">
      <w:pPr>
        <w:pStyle w:val="enumlev2"/>
        <w:rPr>
          <w:lang w:eastAsia="zh-CN"/>
        </w:rPr>
      </w:pPr>
      <w:r w:rsidRPr="000C156A">
        <w:rPr>
          <w:lang w:eastAsia="zh-CN"/>
        </w:rPr>
        <w:t>•</w:t>
      </w:r>
      <w:r w:rsidRPr="000C156A">
        <w:rPr>
          <w:lang w:eastAsia="zh-CN"/>
        </w:rPr>
        <w:tab/>
      </w:r>
      <w:r w:rsidRPr="000C156A">
        <w:rPr>
          <w:rFonts w:hint="eastAsia"/>
          <w:lang w:eastAsia="zh-CN"/>
        </w:rPr>
        <w:t>记录保持合理细化，准确公正地反映出交易情况；</w:t>
      </w:r>
    </w:p>
    <w:p w14:paraId="269ACE46" w14:textId="77777777" w:rsidR="00AC0486" w:rsidRPr="000C156A" w:rsidRDefault="00AC0486" w:rsidP="00AC0486">
      <w:pPr>
        <w:pStyle w:val="enumlev2"/>
        <w:rPr>
          <w:lang w:eastAsia="zh-CN"/>
        </w:rPr>
      </w:pPr>
      <w:r w:rsidRPr="000C156A">
        <w:rPr>
          <w:lang w:eastAsia="zh-CN"/>
        </w:rPr>
        <w:t>•</w:t>
      </w:r>
      <w:r w:rsidRPr="000C156A">
        <w:rPr>
          <w:lang w:eastAsia="zh-CN"/>
        </w:rPr>
        <w:tab/>
      </w:r>
      <w:r w:rsidRPr="000C156A">
        <w:rPr>
          <w:rFonts w:hint="eastAsia"/>
          <w:lang w:eastAsia="zh-CN"/>
        </w:rPr>
        <w:t>适当保证将必要的交易记录在案，以便完成年度账目的编制并使收支符合管理层根据《财务规则和财务细则》做出的授权；</w:t>
      </w:r>
    </w:p>
    <w:p w14:paraId="1BE81166" w14:textId="77777777" w:rsidR="00AC0486" w:rsidRPr="000C156A" w:rsidRDefault="00AC0486" w:rsidP="00AC0486">
      <w:pPr>
        <w:pStyle w:val="enumlev2"/>
        <w:rPr>
          <w:lang w:eastAsia="zh-CN"/>
        </w:rPr>
      </w:pPr>
      <w:r w:rsidRPr="000C156A">
        <w:rPr>
          <w:lang w:eastAsia="zh-CN"/>
        </w:rPr>
        <w:t>•</w:t>
      </w:r>
      <w:r w:rsidRPr="000C156A">
        <w:rPr>
          <w:lang w:eastAsia="zh-CN"/>
        </w:rPr>
        <w:tab/>
      </w:r>
      <w:r w:rsidRPr="000C156A">
        <w:rPr>
          <w:rFonts w:hint="eastAsia"/>
          <w:lang w:eastAsia="zh-CN"/>
        </w:rPr>
        <w:t>适当保证防止或及时发现对资产的无授权获取、使用或处理。</w:t>
      </w:r>
    </w:p>
    <w:p w14:paraId="30F031D9" w14:textId="3D62485C" w:rsidR="00AC0486" w:rsidRPr="000C156A" w:rsidRDefault="00AC0486" w:rsidP="00AC0486">
      <w:pPr>
        <w:pStyle w:val="enumlev1"/>
        <w:rPr>
          <w:lang w:eastAsia="zh-CN"/>
        </w:rPr>
      </w:pPr>
      <w:r w:rsidRPr="000C156A">
        <w:rPr>
          <w:lang w:eastAsia="zh-CN"/>
        </w:rPr>
        <w:t>7</w:t>
      </w:r>
      <w:r w:rsidRPr="000C156A">
        <w:rPr>
          <w:lang w:eastAsia="zh-CN"/>
        </w:rPr>
        <w:tab/>
      </w:r>
      <w:r w:rsidRPr="000C156A">
        <w:rPr>
          <w:rFonts w:hint="eastAsia"/>
          <w:lang w:eastAsia="zh-CN"/>
        </w:rPr>
        <w:t>我们确认，内部审计</w:t>
      </w:r>
      <w:r w:rsidR="0019302B" w:rsidRPr="000C156A">
        <w:rPr>
          <w:rFonts w:hint="eastAsia"/>
          <w:lang w:eastAsia="zh-CN"/>
        </w:rPr>
        <w:t>员（</w:t>
      </w:r>
      <w:r w:rsidR="0019302B" w:rsidRPr="000C156A">
        <w:rPr>
          <w:rFonts w:hint="eastAsia"/>
          <w:lang w:eastAsia="zh-CN"/>
        </w:rPr>
        <w:t>IA</w:t>
      </w:r>
      <w:r w:rsidR="0019302B" w:rsidRPr="000C156A">
        <w:rPr>
          <w:rFonts w:hint="eastAsia"/>
          <w:lang w:eastAsia="zh-CN"/>
        </w:rPr>
        <w:t>）</w:t>
      </w:r>
      <w:r w:rsidRPr="000C156A">
        <w:rPr>
          <w:rFonts w:hint="eastAsia"/>
          <w:lang w:eastAsia="zh-CN"/>
        </w:rPr>
        <w:t>、</w:t>
      </w:r>
      <w:r w:rsidR="0019302B" w:rsidRPr="000C156A">
        <w:rPr>
          <w:rFonts w:hint="eastAsia"/>
          <w:lang w:eastAsia="zh-CN"/>
        </w:rPr>
        <w:t>国际电联</w:t>
      </w:r>
      <w:r w:rsidRPr="000C156A">
        <w:rPr>
          <w:rFonts w:hint="eastAsia"/>
          <w:lang w:eastAsia="zh-CN"/>
        </w:rPr>
        <w:t>外部审计员</w:t>
      </w:r>
      <w:r w:rsidR="0019302B" w:rsidRPr="000C156A">
        <w:rPr>
          <w:rFonts w:hint="eastAsia"/>
          <w:lang w:eastAsia="zh-CN"/>
        </w:rPr>
        <w:t>（</w:t>
      </w:r>
      <w:r w:rsidR="0019302B" w:rsidRPr="000C156A">
        <w:rPr>
          <w:rFonts w:hint="eastAsia"/>
          <w:lang w:eastAsia="zh-CN"/>
        </w:rPr>
        <w:t>EA</w:t>
      </w:r>
      <w:r w:rsidR="0019302B" w:rsidRPr="000C156A">
        <w:rPr>
          <w:rFonts w:hint="eastAsia"/>
          <w:lang w:eastAsia="zh-CN"/>
        </w:rPr>
        <w:t>）</w:t>
      </w:r>
      <w:r w:rsidRPr="000C156A">
        <w:rPr>
          <w:rFonts w:hint="eastAsia"/>
          <w:lang w:eastAsia="zh-CN"/>
        </w:rPr>
        <w:t>和独立管理顾问委员会（</w:t>
      </w:r>
      <w:r w:rsidRPr="000C156A">
        <w:rPr>
          <w:lang w:eastAsia="zh-CN"/>
        </w:rPr>
        <w:t>IMAC</w:t>
      </w:r>
      <w:r w:rsidRPr="000C156A">
        <w:rPr>
          <w:rFonts w:hint="eastAsia"/>
          <w:lang w:eastAsia="zh-CN"/>
        </w:rPr>
        <w:t>）发现的风险和所提建议已酌情得到考虑并采取了行动。理事会财务和人力资源工作组每年得到这些建议的实施情况汇报。</w:t>
      </w:r>
    </w:p>
    <w:p w14:paraId="09B529BA" w14:textId="45E83160" w:rsidR="00AC0486" w:rsidRPr="000C156A" w:rsidRDefault="00AC0486" w:rsidP="00AC0486">
      <w:pPr>
        <w:pStyle w:val="enumlev1"/>
        <w:rPr>
          <w:lang w:eastAsia="zh-CN"/>
        </w:rPr>
      </w:pPr>
      <w:r w:rsidRPr="000C156A">
        <w:rPr>
          <w:lang w:eastAsia="zh-CN"/>
        </w:rPr>
        <w:t>8</w:t>
      </w:r>
      <w:r w:rsidRPr="000C156A">
        <w:rPr>
          <w:lang w:eastAsia="zh-CN"/>
        </w:rPr>
        <w:tab/>
      </w:r>
      <w:r w:rsidR="0019302B" w:rsidRPr="000C156A">
        <w:rPr>
          <w:rFonts w:hint="eastAsia"/>
          <w:lang w:eastAsia="zh-CN"/>
        </w:rPr>
        <w:t>2020</w:t>
      </w:r>
      <w:r w:rsidR="0019302B" w:rsidRPr="000C156A">
        <w:rPr>
          <w:rFonts w:hint="eastAsia"/>
          <w:lang w:eastAsia="zh-CN"/>
        </w:rPr>
        <w:t>年，由电信发展局主任担任主席的</w:t>
      </w:r>
      <w:r w:rsidR="0019302B" w:rsidRPr="000C156A">
        <w:rPr>
          <w:rFonts w:eastAsia="STKaiti" w:hint="eastAsia"/>
          <w:iCs/>
          <w:lang w:eastAsia="zh-CN"/>
        </w:rPr>
        <w:t>内部控制工作组</w:t>
      </w:r>
      <w:r w:rsidR="0019302B" w:rsidRPr="000C156A">
        <w:rPr>
          <w:rFonts w:hint="eastAsia"/>
          <w:lang w:eastAsia="zh-CN"/>
        </w:rPr>
        <w:t>（</w:t>
      </w:r>
      <w:r w:rsidR="0019302B" w:rsidRPr="000C156A">
        <w:rPr>
          <w:rFonts w:cstheme="minorHAnsi"/>
          <w:color w:val="0D0D0D" w:themeColor="text1" w:themeTint="F2"/>
          <w:lang w:eastAsia="zh-CN"/>
        </w:rPr>
        <w:t>WGIC</w:t>
      </w:r>
      <w:r w:rsidR="0019302B" w:rsidRPr="000C156A">
        <w:rPr>
          <w:rFonts w:cstheme="minorHAnsi" w:hint="eastAsia"/>
          <w:color w:val="0D0D0D" w:themeColor="text1" w:themeTint="F2"/>
          <w:lang w:eastAsia="zh-CN"/>
        </w:rPr>
        <w:t>）</w:t>
      </w:r>
      <w:r w:rsidR="0019302B" w:rsidRPr="000C156A">
        <w:rPr>
          <w:rFonts w:hint="eastAsia"/>
          <w:lang w:eastAsia="zh-CN"/>
        </w:rPr>
        <w:t>在电信发展局和总秘书处各部门所有相关利益攸关方的参与下，继续加强</w:t>
      </w:r>
      <w:r w:rsidR="00A237B5" w:rsidRPr="000C156A">
        <w:rPr>
          <w:rFonts w:hint="eastAsia"/>
          <w:lang w:eastAsia="zh-CN"/>
        </w:rPr>
        <w:t>电信发展局（</w:t>
      </w:r>
      <w:r w:rsidR="0019302B" w:rsidRPr="000C156A">
        <w:rPr>
          <w:rFonts w:hint="eastAsia"/>
          <w:lang w:eastAsia="zh-CN"/>
        </w:rPr>
        <w:t>总部和区域</w:t>
      </w:r>
      <w:r w:rsidR="00A237B5" w:rsidRPr="000C156A">
        <w:rPr>
          <w:rFonts w:hint="eastAsia"/>
          <w:lang w:eastAsia="zh-CN"/>
        </w:rPr>
        <w:t>代表处</w:t>
      </w:r>
      <w:r w:rsidR="0019302B" w:rsidRPr="000C156A">
        <w:rPr>
          <w:rFonts w:hint="eastAsia"/>
          <w:lang w:eastAsia="zh-CN"/>
        </w:rPr>
        <w:t>/</w:t>
      </w:r>
      <w:r w:rsidR="0019302B" w:rsidRPr="000C156A">
        <w:rPr>
          <w:rFonts w:hint="eastAsia"/>
          <w:lang w:eastAsia="zh-CN"/>
        </w:rPr>
        <w:t>地区办事处</w:t>
      </w:r>
      <w:r w:rsidR="00A237B5" w:rsidRPr="000C156A">
        <w:rPr>
          <w:rFonts w:hint="eastAsia"/>
          <w:lang w:eastAsia="zh-CN"/>
        </w:rPr>
        <w:t>）</w:t>
      </w:r>
      <w:r w:rsidR="0019302B" w:rsidRPr="000C156A">
        <w:rPr>
          <w:rFonts w:hint="eastAsia"/>
          <w:lang w:eastAsia="zh-CN"/>
        </w:rPr>
        <w:t>的内部控制。该</w:t>
      </w:r>
      <w:r w:rsidR="00A237B5" w:rsidRPr="000C156A">
        <w:rPr>
          <w:rFonts w:hint="eastAsia"/>
          <w:lang w:eastAsia="zh-CN"/>
        </w:rPr>
        <w:t>工作</w:t>
      </w:r>
      <w:r w:rsidR="0019302B" w:rsidRPr="000C156A">
        <w:rPr>
          <w:rFonts w:hint="eastAsia"/>
          <w:lang w:eastAsia="zh-CN"/>
        </w:rPr>
        <w:t>组的</w:t>
      </w:r>
      <w:r w:rsidR="00A237B5" w:rsidRPr="000C156A">
        <w:rPr>
          <w:rFonts w:hint="eastAsia"/>
          <w:lang w:eastAsia="zh-CN"/>
        </w:rPr>
        <w:t>职责</w:t>
      </w:r>
      <w:r w:rsidR="0019302B" w:rsidRPr="000C156A">
        <w:rPr>
          <w:rFonts w:hint="eastAsia"/>
          <w:lang w:eastAsia="zh-CN"/>
        </w:rPr>
        <w:t>是协调</w:t>
      </w:r>
      <w:r w:rsidR="00A237B5" w:rsidRPr="000C156A">
        <w:rPr>
          <w:rFonts w:hint="eastAsia"/>
          <w:lang w:eastAsia="zh-CN"/>
        </w:rPr>
        <w:t>电信发展局</w:t>
      </w:r>
      <w:r w:rsidR="0019302B" w:rsidRPr="000C156A">
        <w:rPr>
          <w:rFonts w:hint="eastAsia"/>
          <w:lang w:eastAsia="zh-CN"/>
        </w:rPr>
        <w:t>和整个国际电联的行动计划的制定和实施，并</w:t>
      </w:r>
      <w:r w:rsidR="00A237B5" w:rsidRPr="000C156A">
        <w:rPr>
          <w:rFonts w:hint="eastAsia"/>
          <w:lang w:eastAsia="zh-CN"/>
        </w:rPr>
        <w:t>研究解决</w:t>
      </w:r>
      <w:r w:rsidR="00A237B5" w:rsidRPr="000C156A">
        <w:rPr>
          <w:rFonts w:hint="eastAsia"/>
          <w:lang w:eastAsia="zh-CN"/>
        </w:rPr>
        <w:t>IA</w:t>
      </w:r>
      <w:r w:rsidR="00A237B5" w:rsidRPr="000C156A">
        <w:rPr>
          <w:rFonts w:hint="eastAsia"/>
          <w:lang w:eastAsia="zh-CN"/>
        </w:rPr>
        <w:t>和</w:t>
      </w:r>
      <w:r w:rsidR="00A237B5" w:rsidRPr="000C156A">
        <w:rPr>
          <w:rFonts w:hint="eastAsia"/>
          <w:lang w:eastAsia="zh-CN"/>
        </w:rPr>
        <w:t>EA</w:t>
      </w:r>
      <w:r w:rsidR="00A237B5" w:rsidRPr="000C156A">
        <w:rPr>
          <w:rFonts w:hint="eastAsia"/>
          <w:lang w:eastAsia="zh-CN"/>
        </w:rPr>
        <w:t>提出</w:t>
      </w:r>
      <w:r w:rsidR="0019302B" w:rsidRPr="000C156A">
        <w:rPr>
          <w:rFonts w:hint="eastAsia"/>
          <w:lang w:eastAsia="zh-CN"/>
        </w:rPr>
        <w:t>的所有初步调查结果</w:t>
      </w:r>
      <w:r w:rsidR="0019302B" w:rsidRPr="000C156A">
        <w:rPr>
          <w:rFonts w:hint="eastAsia"/>
          <w:lang w:eastAsia="zh-CN"/>
        </w:rPr>
        <w:t>/</w:t>
      </w:r>
      <w:r w:rsidR="0019302B" w:rsidRPr="000C156A">
        <w:rPr>
          <w:rFonts w:hint="eastAsia"/>
          <w:lang w:eastAsia="zh-CN"/>
        </w:rPr>
        <w:t>建议。正如</w:t>
      </w:r>
      <w:r w:rsidR="0019302B" w:rsidRPr="000C156A">
        <w:rPr>
          <w:rFonts w:hint="eastAsia"/>
          <w:lang w:eastAsia="zh-CN"/>
        </w:rPr>
        <w:t>2021</w:t>
      </w:r>
      <w:r w:rsidR="0019302B" w:rsidRPr="000C156A">
        <w:rPr>
          <w:rFonts w:hint="eastAsia"/>
          <w:lang w:eastAsia="zh-CN"/>
        </w:rPr>
        <w:t>年</w:t>
      </w:r>
      <w:r w:rsidR="0019302B" w:rsidRPr="000C156A">
        <w:rPr>
          <w:rFonts w:hint="eastAsia"/>
          <w:lang w:eastAsia="zh-CN"/>
        </w:rPr>
        <w:t>1</w:t>
      </w:r>
      <w:r w:rsidR="0019302B" w:rsidRPr="000C156A">
        <w:rPr>
          <w:rFonts w:hint="eastAsia"/>
          <w:lang w:eastAsia="zh-CN"/>
        </w:rPr>
        <w:t>月向理事会</w:t>
      </w:r>
      <w:r w:rsidR="00A237B5" w:rsidRPr="000C156A">
        <w:rPr>
          <w:rFonts w:hint="eastAsia"/>
          <w:lang w:eastAsia="zh-CN"/>
        </w:rPr>
        <w:t>财务</w:t>
      </w:r>
      <w:r w:rsidR="0019302B" w:rsidRPr="000C156A">
        <w:rPr>
          <w:rFonts w:hint="eastAsia"/>
          <w:lang w:eastAsia="zh-CN"/>
        </w:rPr>
        <w:t>和人力资源工作组第</w:t>
      </w:r>
      <w:r w:rsidR="00A237B5" w:rsidRPr="000C156A">
        <w:rPr>
          <w:rFonts w:hint="eastAsia"/>
          <w:lang w:eastAsia="zh-CN"/>
        </w:rPr>
        <w:t>1</w:t>
      </w:r>
      <w:r w:rsidR="00A237B5" w:rsidRPr="000C156A">
        <w:rPr>
          <w:lang w:eastAsia="zh-CN"/>
        </w:rPr>
        <w:t>2</w:t>
      </w:r>
      <w:r w:rsidR="00A237B5" w:rsidRPr="000C156A">
        <w:rPr>
          <w:rFonts w:hint="eastAsia"/>
          <w:lang w:eastAsia="zh-CN"/>
        </w:rPr>
        <w:t>次</w:t>
      </w:r>
      <w:r w:rsidR="0019302B" w:rsidRPr="000C156A">
        <w:rPr>
          <w:rFonts w:hint="eastAsia"/>
          <w:lang w:eastAsia="zh-CN"/>
        </w:rPr>
        <w:t>会议报告的那样，在</w:t>
      </w:r>
      <w:r w:rsidR="0019302B" w:rsidRPr="000C156A">
        <w:rPr>
          <w:rFonts w:hint="eastAsia"/>
          <w:lang w:eastAsia="zh-CN"/>
        </w:rPr>
        <w:t>2020</w:t>
      </w:r>
      <w:r w:rsidR="0019302B" w:rsidRPr="000C156A">
        <w:rPr>
          <w:rFonts w:hint="eastAsia"/>
          <w:lang w:eastAsia="zh-CN"/>
        </w:rPr>
        <w:t>年底，</w:t>
      </w:r>
      <w:r w:rsidR="00A237B5" w:rsidRPr="000C156A">
        <w:rPr>
          <w:rFonts w:cstheme="minorHAnsi"/>
          <w:color w:val="0D0D0D" w:themeColor="text1" w:themeTint="F2"/>
          <w:lang w:eastAsia="zh-CN"/>
        </w:rPr>
        <w:t>IA</w:t>
      </w:r>
      <w:r w:rsidR="00A237B5" w:rsidRPr="000C156A">
        <w:rPr>
          <w:rFonts w:cstheme="minorHAnsi" w:hint="eastAsia"/>
          <w:color w:val="0D0D0D" w:themeColor="text1" w:themeTint="F2"/>
          <w:lang w:eastAsia="zh-CN"/>
        </w:rPr>
        <w:t>、</w:t>
      </w:r>
      <w:r w:rsidR="00A237B5" w:rsidRPr="000C156A">
        <w:rPr>
          <w:rFonts w:cstheme="minorHAnsi"/>
          <w:color w:val="0D0D0D" w:themeColor="text1" w:themeTint="F2"/>
          <w:lang w:eastAsia="zh-CN"/>
        </w:rPr>
        <w:t>EA</w:t>
      </w:r>
      <w:r w:rsidR="00A237B5" w:rsidRPr="000C156A">
        <w:rPr>
          <w:rFonts w:cstheme="minorHAnsi" w:hint="eastAsia"/>
          <w:color w:val="0D0D0D" w:themeColor="text1" w:themeTint="F2"/>
          <w:lang w:eastAsia="zh-CN"/>
        </w:rPr>
        <w:t>和</w:t>
      </w:r>
      <w:r w:rsidR="00A237B5" w:rsidRPr="000C156A">
        <w:rPr>
          <w:rFonts w:cstheme="minorHAnsi"/>
          <w:color w:val="0D0D0D" w:themeColor="text1" w:themeTint="F2"/>
          <w:lang w:eastAsia="zh-CN"/>
        </w:rPr>
        <w:t>IMAC</w:t>
      </w:r>
      <w:r w:rsidR="0019302B" w:rsidRPr="000C156A">
        <w:rPr>
          <w:rFonts w:hint="eastAsia"/>
          <w:lang w:eastAsia="zh-CN"/>
        </w:rPr>
        <w:t>所有相关建议的</w:t>
      </w:r>
      <w:r w:rsidR="00A237B5" w:rsidRPr="000C156A">
        <w:rPr>
          <w:rFonts w:hint="eastAsia"/>
          <w:lang w:eastAsia="zh-CN"/>
        </w:rPr>
        <w:t>落实</w:t>
      </w:r>
      <w:r w:rsidR="0019302B" w:rsidRPr="000C156A">
        <w:rPr>
          <w:rFonts w:hint="eastAsia"/>
          <w:lang w:eastAsia="zh-CN"/>
        </w:rPr>
        <w:t>率为</w:t>
      </w:r>
      <w:r w:rsidR="0019302B" w:rsidRPr="000C156A">
        <w:rPr>
          <w:rFonts w:hint="eastAsia"/>
          <w:lang w:eastAsia="zh-CN"/>
        </w:rPr>
        <w:t>80%</w:t>
      </w:r>
      <w:r w:rsidR="001A690A" w:rsidRPr="000C156A">
        <w:rPr>
          <w:rFonts w:hint="eastAsia"/>
          <w:lang w:eastAsia="zh-CN"/>
        </w:rPr>
        <w:t>。</w:t>
      </w:r>
    </w:p>
    <w:p w14:paraId="6293D013" w14:textId="5363EC92" w:rsidR="00FA586A" w:rsidRPr="000C156A" w:rsidRDefault="002102A0" w:rsidP="00D8469D">
      <w:pPr>
        <w:pStyle w:val="enumlev1"/>
        <w:rPr>
          <w:lang w:eastAsia="zh-CN"/>
        </w:rPr>
      </w:pPr>
      <w:bookmarkStart w:id="159" w:name="_Hlk63847066"/>
      <w:bookmarkStart w:id="160" w:name="_Hlk72312801"/>
      <w:r w:rsidRPr="000C156A">
        <w:lastRenderedPageBreak/>
        <w:t>9</w:t>
      </w:r>
      <w:r w:rsidRPr="000C156A">
        <w:tab/>
      </w:r>
      <w:r w:rsidR="00684A64" w:rsidRPr="000C156A">
        <w:rPr>
          <w:rFonts w:hint="eastAsia"/>
        </w:rPr>
        <w:t>国际电联管理层于</w:t>
      </w:r>
      <w:r w:rsidR="00684A64" w:rsidRPr="000C156A">
        <w:rPr>
          <w:rFonts w:hint="eastAsia"/>
        </w:rPr>
        <w:t>2020</w:t>
      </w:r>
      <w:r w:rsidR="00684A64" w:rsidRPr="000C156A">
        <w:rPr>
          <w:rFonts w:hint="eastAsia"/>
        </w:rPr>
        <w:t>年</w:t>
      </w:r>
      <w:r w:rsidR="00684A64" w:rsidRPr="000C156A">
        <w:rPr>
          <w:rFonts w:hint="eastAsia"/>
        </w:rPr>
        <w:t>11</w:t>
      </w:r>
      <w:r w:rsidR="00684A64" w:rsidRPr="000C156A">
        <w:rPr>
          <w:rFonts w:hint="eastAsia"/>
        </w:rPr>
        <w:t>月决定</w:t>
      </w:r>
      <w:r w:rsidR="000F1ABC" w:rsidRPr="000C156A">
        <w:rPr>
          <w:rFonts w:hint="eastAsia"/>
          <w:lang w:eastAsia="zh-CN"/>
        </w:rPr>
        <w:t>设立</w:t>
      </w:r>
      <w:r w:rsidR="00684A64" w:rsidRPr="000C156A">
        <w:rPr>
          <w:rFonts w:hint="eastAsia"/>
        </w:rPr>
        <w:t>组织</w:t>
      </w:r>
      <w:r w:rsidR="00684A64" w:rsidRPr="000C156A">
        <w:t>合规性仪表</w:t>
      </w:r>
      <w:r w:rsidR="00684A64" w:rsidRPr="000C156A">
        <w:rPr>
          <w:rFonts w:hint="eastAsia"/>
        </w:rPr>
        <w:t>板（</w:t>
      </w:r>
      <w:r w:rsidR="00684A64" w:rsidRPr="000C156A">
        <w:t>corporate compliance dashboard</w:t>
      </w:r>
      <w:r w:rsidR="00684A64" w:rsidRPr="000C156A">
        <w:rPr>
          <w:rFonts w:hint="eastAsia"/>
        </w:rPr>
        <w:t>），其中包括</w:t>
      </w:r>
      <w:r w:rsidR="00684A64" w:rsidRPr="000C156A">
        <w:rPr>
          <w:rFonts w:hint="eastAsia"/>
        </w:rPr>
        <w:t>EA</w:t>
      </w:r>
      <w:r w:rsidR="00684A64" w:rsidRPr="000C156A">
        <w:rPr>
          <w:rFonts w:hint="eastAsia"/>
        </w:rPr>
        <w:t>、</w:t>
      </w:r>
      <w:r w:rsidR="00684A64" w:rsidRPr="000C156A">
        <w:rPr>
          <w:rFonts w:hint="eastAsia"/>
        </w:rPr>
        <w:t>IMAC</w:t>
      </w:r>
      <w:r w:rsidR="00684A64" w:rsidRPr="000C156A">
        <w:rPr>
          <w:rFonts w:hint="eastAsia"/>
        </w:rPr>
        <w:t>、</w:t>
      </w:r>
      <w:r w:rsidR="000F1ABC" w:rsidRPr="000C156A">
        <w:rPr>
          <w:rFonts w:hint="eastAsia"/>
          <w:lang w:eastAsia="zh-CN"/>
        </w:rPr>
        <w:t>联合检查组（</w:t>
      </w:r>
      <w:r w:rsidR="00684A64" w:rsidRPr="000C156A">
        <w:rPr>
          <w:rFonts w:hint="eastAsia"/>
        </w:rPr>
        <w:t>JIU</w:t>
      </w:r>
      <w:r w:rsidR="000F1ABC" w:rsidRPr="000C156A">
        <w:rPr>
          <w:rFonts w:hint="eastAsia"/>
          <w:lang w:eastAsia="zh-CN"/>
        </w:rPr>
        <w:t>）</w:t>
      </w:r>
      <w:r w:rsidR="00684A64" w:rsidRPr="000C156A">
        <w:rPr>
          <w:rFonts w:hint="eastAsia"/>
        </w:rPr>
        <w:t>和</w:t>
      </w:r>
      <w:r w:rsidR="00684A64" w:rsidRPr="000C156A">
        <w:rPr>
          <w:rFonts w:hint="eastAsia"/>
        </w:rPr>
        <w:t>IA</w:t>
      </w:r>
      <w:r w:rsidR="00684A64" w:rsidRPr="000C156A">
        <w:rPr>
          <w:rFonts w:hint="eastAsia"/>
        </w:rPr>
        <w:t>的建议。</w:t>
      </w:r>
      <w:r w:rsidR="00684A64" w:rsidRPr="000C156A">
        <w:rPr>
          <w:rFonts w:hint="eastAsia"/>
          <w:lang w:eastAsia="zh-CN"/>
        </w:rPr>
        <w:t>这一工具使国际电联的管理和监督机构（内部审计、外部审计和</w:t>
      </w:r>
      <w:r w:rsidR="00684A64" w:rsidRPr="000C156A">
        <w:rPr>
          <w:rFonts w:hint="eastAsia"/>
          <w:lang w:eastAsia="zh-CN"/>
        </w:rPr>
        <w:t>IMAC</w:t>
      </w:r>
      <w:r w:rsidR="00684A64" w:rsidRPr="000C156A">
        <w:rPr>
          <w:rFonts w:hint="eastAsia"/>
          <w:lang w:eastAsia="zh-CN"/>
        </w:rPr>
        <w:t>）能够清楚地了解正在落实的建议、与这些建议有关的风险、关于建议执行进展的实时</w:t>
      </w:r>
      <w:r w:rsidR="000F1ABC" w:rsidRPr="000C156A">
        <w:rPr>
          <w:rFonts w:hint="eastAsia"/>
          <w:lang w:eastAsia="zh-CN"/>
        </w:rPr>
        <w:t>和</w:t>
      </w:r>
      <w:r w:rsidR="000F1ABC" w:rsidRPr="000C156A">
        <w:rPr>
          <w:rFonts w:hint="eastAsia"/>
          <w:lang w:eastAsia="zh-CN"/>
        </w:rPr>
        <w:t>/</w:t>
      </w:r>
      <w:r w:rsidR="000F1ABC" w:rsidRPr="000C156A">
        <w:rPr>
          <w:rFonts w:hint="eastAsia"/>
          <w:lang w:eastAsia="zh-CN"/>
        </w:rPr>
        <w:t>或定期</w:t>
      </w:r>
      <w:r w:rsidR="00684A64" w:rsidRPr="000C156A">
        <w:rPr>
          <w:rFonts w:hint="eastAsia"/>
          <w:lang w:eastAsia="zh-CN"/>
        </w:rPr>
        <w:t>信息或减轻剩余风险的信息，并在必要时发送自动电子邮件进行通知和提醒。</w:t>
      </w:r>
    </w:p>
    <w:p w14:paraId="5BA25E04" w14:textId="5BA64567" w:rsidR="00FA586A" w:rsidRPr="000C156A" w:rsidRDefault="002102A0" w:rsidP="00AC0486">
      <w:pPr>
        <w:pStyle w:val="enumlev1"/>
        <w:rPr>
          <w:lang w:eastAsia="zh-CN"/>
        </w:rPr>
      </w:pPr>
      <w:r w:rsidRPr="000C156A">
        <w:rPr>
          <w:lang w:eastAsia="zh-CN"/>
        </w:rPr>
        <w:t>10</w:t>
      </w:r>
      <w:r w:rsidRPr="000C156A">
        <w:rPr>
          <w:lang w:eastAsia="zh-CN"/>
        </w:rPr>
        <w:tab/>
      </w:r>
      <w:r w:rsidR="00684A64" w:rsidRPr="000C156A">
        <w:rPr>
          <w:rFonts w:hint="eastAsia"/>
          <w:lang w:eastAsia="zh-CN"/>
        </w:rPr>
        <w:t>正在实施以下系统和措施：</w:t>
      </w:r>
    </w:p>
    <w:p w14:paraId="793367BF" w14:textId="77777777" w:rsidR="00684A64" w:rsidRPr="000C156A" w:rsidRDefault="00684A64" w:rsidP="00684A64">
      <w:pPr>
        <w:pStyle w:val="enumlev2"/>
        <w:rPr>
          <w:lang w:eastAsia="zh-CN"/>
        </w:rPr>
      </w:pPr>
      <w:bookmarkStart w:id="161" w:name="lt_pId225"/>
      <w:r w:rsidRPr="000C156A">
        <w:rPr>
          <w:lang w:eastAsia="zh-CN"/>
        </w:rPr>
        <w:t>•</w:t>
      </w:r>
      <w:r w:rsidRPr="000C156A">
        <w:rPr>
          <w:lang w:eastAsia="zh-CN"/>
        </w:rPr>
        <w:tab/>
      </w:r>
      <w:bookmarkEnd w:id="161"/>
      <w:r w:rsidRPr="000C156A">
        <w:rPr>
          <w:rFonts w:hint="eastAsia"/>
          <w:lang w:eastAsia="zh-CN"/>
        </w:rPr>
        <w:t>新的电子招聘系统和</w:t>
      </w:r>
      <w:r w:rsidRPr="000C156A">
        <w:rPr>
          <w:lang w:eastAsia="zh-CN"/>
        </w:rPr>
        <w:t>竞争性顾问遴选程</w:t>
      </w:r>
      <w:r w:rsidRPr="000C156A">
        <w:rPr>
          <w:rFonts w:hint="eastAsia"/>
          <w:lang w:eastAsia="zh-CN"/>
        </w:rPr>
        <w:t>序；</w:t>
      </w:r>
    </w:p>
    <w:p w14:paraId="442004AB" w14:textId="77777777" w:rsidR="00684A64" w:rsidRPr="000C156A" w:rsidRDefault="00684A64" w:rsidP="00684A64">
      <w:pPr>
        <w:pStyle w:val="enumlev2"/>
        <w:rPr>
          <w:lang w:eastAsia="zh-CN"/>
        </w:rPr>
      </w:pPr>
      <w:bookmarkStart w:id="162" w:name="lt_pId226"/>
      <w:r w:rsidRPr="000C156A">
        <w:rPr>
          <w:lang w:eastAsia="zh-CN"/>
        </w:rPr>
        <w:t>•</w:t>
      </w:r>
      <w:r w:rsidRPr="000C156A">
        <w:rPr>
          <w:lang w:eastAsia="zh-CN"/>
        </w:rPr>
        <w:tab/>
      </w:r>
      <w:bookmarkEnd w:id="162"/>
      <w:r w:rsidRPr="000C156A">
        <w:rPr>
          <w:rFonts w:hint="eastAsia"/>
          <w:lang w:eastAsia="zh-CN"/>
        </w:rPr>
        <w:t>改善对顾问使用的管理和控制；</w:t>
      </w:r>
    </w:p>
    <w:p w14:paraId="1B5FFEBF" w14:textId="77777777" w:rsidR="00684A64" w:rsidRPr="000C156A" w:rsidRDefault="00684A64" w:rsidP="00684A64">
      <w:pPr>
        <w:pStyle w:val="enumlev2"/>
        <w:rPr>
          <w:lang w:eastAsia="zh-CN"/>
        </w:rPr>
      </w:pPr>
      <w:bookmarkStart w:id="163" w:name="lt_pId227"/>
      <w:r w:rsidRPr="000C156A">
        <w:rPr>
          <w:lang w:eastAsia="zh-CN"/>
        </w:rPr>
        <w:t>•</w:t>
      </w:r>
      <w:r w:rsidRPr="000C156A">
        <w:rPr>
          <w:lang w:eastAsia="zh-CN"/>
        </w:rPr>
        <w:tab/>
      </w:r>
      <w:bookmarkEnd w:id="163"/>
      <w:r w:rsidRPr="000C156A">
        <w:rPr>
          <w:rFonts w:hint="eastAsia"/>
          <w:lang w:eastAsia="zh-CN"/>
        </w:rPr>
        <w:t>电信发展局的通用信息技术系统；</w:t>
      </w:r>
    </w:p>
    <w:p w14:paraId="4CBCAB12" w14:textId="77777777" w:rsidR="00684A64" w:rsidRPr="000C156A" w:rsidRDefault="00684A64" w:rsidP="00684A64">
      <w:pPr>
        <w:pStyle w:val="enumlev2"/>
        <w:rPr>
          <w:lang w:eastAsia="zh-CN"/>
        </w:rPr>
      </w:pPr>
      <w:bookmarkStart w:id="164" w:name="lt_pId228"/>
      <w:r w:rsidRPr="000C156A">
        <w:rPr>
          <w:lang w:eastAsia="zh-CN"/>
        </w:rPr>
        <w:t>•</w:t>
      </w:r>
      <w:r w:rsidRPr="000C156A">
        <w:rPr>
          <w:lang w:eastAsia="zh-CN"/>
        </w:rPr>
        <w:tab/>
      </w:r>
      <w:bookmarkEnd w:id="164"/>
      <w:r w:rsidRPr="000C156A">
        <w:rPr>
          <w:rFonts w:hint="eastAsia"/>
          <w:lang w:eastAsia="zh-CN"/>
        </w:rPr>
        <w:t>问责制框架。</w:t>
      </w:r>
    </w:p>
    <w:p w14:paraId="7EC3005E" w14:textId="37EB8DD9" w:rsidR="00FA586A" w:rsidRPr="000C156A" w:rsidRDefault="002102A0" w:rsidP="00AC0486">
      <w:pPr>
        <w:pStyle w:val="enumlev1"/>
        <w:rPr>
          <w:lang w:eastAsia="zh-CN"/>
        </w:rPr>
      </w:pPr>
      <w:r w:rsidRPr="000C156A">
        <w:rPr>
          <w:lang w:eastAsia="zh-CN"/>
        </w:rPr>
        <w:t>11</w:t>
      </w:r>
      <w:r w:rsidRPr="000C156A">
        <w:rPr>
          <w:lang w:eastAsia="zh-CN"/>
        </w:rPr>
        <w:tab/>
      </w:r>
      <w:r w:rsidR="00684A64" w:rsidRPr="000C156A">
        <w:rPr>
          <w:rFonts w:hint="eastAsia"/>
          <w:lang w:eastAsia="zh-CN"/>
        </w:rPr>
        <w:t>关于曼谷代表处欺诈案件，</w:t>
      </w:r>
      <w:r w:rsidR="00C512F1" w:rsidRPr="000C156A">
        <w:rPr>
          <w:lang w:eastAsia="zh-CN"/>
        </w:rPr>
        <w:t>对负有直接或间接责任的工作人员的纪律处分已经完成。同时，也在泰国采取了法律行动，并已任命一家代表国际电联</w:t>
      </w:r>
      <w:r w:rsidR="00C512F1" w:rsidRPr="000C156A">
        <w:rPr>
          <w:rFonts w:hint="eastAsia"/>
          <w:lang w:eastAsia="zh-CN"/>
        </w:rPr>
        <w:t>的</w:t>
      </w:r>
      <w:r w:rsidR="00C512F1" w:rsidRPr="000C156A">
        <w:rPr>
          <w:lang w:eastAsia="zh-CN"/>
        </w:rPr>
        <w:t>律师事务所。</w:t>
      </w:r>
    </w:p>
    <w:bookmarkEnd w:id="159"/>
    <w:bookmarkEnd w:id="160"/>
    <w:p w14:paraId="19F20F3C" w14:textId="178584C0" w:rsidR="00FA586A" w:rsidRPr="000C156A" w:rsidRDefault="002102A0" w:rsidP="00A13D8B">
      <w:pPr>
        <w:pStyle w:val="enumlev1"/>
        <w:rPr>
          <w:lang w:eastAsia="zh-CN"/>
        </w:rPr>
      </w:pPr>
      <w:r w:rsidRPr="000C156A">
        <w:rPr>
          <w:lang w:eastAsia="zh-CN"/>
        </w:rPr>
        <w:t>12</w:t>
      </w:r>
      <w:r w:rsidR="00AC0486" w:rsidRPr="000C156A">
        <w:rPr>
          <w:lang w:eastAsia="zh-CN"/>
        </w:rPr>
        <w:tab/>
      </w:r>
      <w:r w:rsidR="00AC0486" w:rsidRPr="000C156A">
        <w:rPr>
          <w:rFonts w:hint="eastAsia"/>
          <w:lang w:eastAsia="zh-CN"/>
        </w:rPr>
        <w:t>我们认为，审计中发现的个别或多项未调整差异在整个财务报表中可忽略不计。</w:t>
      </w:r>
    </w:p>
    <w:p w14:paraId="7FEACF21" w14:textId="6E44948D" w:rsidR="00675197" w:rsidRPr="000C156A" w:rsidRDefault="002102A0" w:rsidP="00AC0486">
      <w:pPr>
        <w:pStyle w:val="enumlev1"/>
        <w:rPr>
          <w:b/>
          <w:bCs/>
          <w:color w:val="000000" w:themeColor="text1"/>
          <w:lang w:eastAsia="zh-CN"/>
        </w:rPr>
      </w:pPr>
      <w:r w:rsidRPr="000C156A">
        <w:rPr>
          <w:lang w:eastAsia="zh-CN"/>
        </w:rPr>
        <w:t>13</w:t>
      </w:r>
      <w:r w:rsidRPr="000C156A">
        <w:rPr>
          <w:lang w:eastAsia="zh-CN"/>
        </w:rPr>
        <w:tab/>
      </w:r>
      <w:r w:rsidR="00675197" w:rsidRPr="000C156A">
        <w:rPr>
          <w:rFonts w:hint="eastAsia"/>
          <w:b/>
          <w:bCs/>
          <w:color w:val="000000" w:themeColor="text1"/>
          <w:lang w:eastAsia="zh-CN"/>
        </w:rPr>
        <w:t>2020</w:t>
      </w:r>
      <w:r w:rsidR="00675197" w:rsidRPr="000C156A">
        <w:rPr>
          <w:rFonts w:hint="eastAsia"/>
          <w:b/>
          <w:bCs/>
          <w:color w:val="000000" w:themeColor="text1"/>
          <w:lang w:eastAsia="zh-CN"/>
        </w:rPr>
        <w:t>年初查明了一起涉及一名工作人员申请教育补助金的涉嫌欺诈案件，</w:t>
      </w:r>
      <w:r w:rsidR="006457F2" w:rsidRPr="000C156A">
        <w:rPr>
          <w:rFonts w:hint="eastAsia"/>
          <w:b/>
          <w:bCs/>
          <w:color w:val="000000" w:themeColor="text1"/>
          <w:lang w:eastAsia="zh-CN"/>
        </w:rPr>
        <w:t>针对此案的</w:t>
      </w:r>
      <w:r w:rsidR="00675197" w:rsidRPr="000C156A">
        <w:rPr>
          <w:rFonts w:hint="eastAsia"/>
          <w:b/>
          <w:bCs/>
          <w:color w:val="000000" w:themeColor="text1"/>
          <w:lang w:eastAsia="zh-CN"/>
        </w:rPr>
        <w:t>内部调查于</w:t>
      </w:r>
      <w:r w:rsidR="00675197" w:rsidRPr="000C156A">
        <w:rPr>
          <w:rFonts w:hint="eastAsia"/>
          <w:b/>
          <w:bCs/>
          <w:color w:val="000000" w:themeColor="text1"/>
          <w:lang w:eastAsia="zh-CN"/>
        </w:rPr>
        <w:t>2020</w:t>
      </w:r>
      <w:r w:rsidR="00675197" w:rsidRPr="000C156A">
        <w:rPr>
          <w:rFonts w:hint="eastAsia"/>
          <w:b/>
          <w:bCs/>
          <w:color w:val="000000" w:themeColor="text1"/>
          <w:lang w:eastAsia="zh-CN"/>
        </w:rPr>
        <w:t>年</w:t>
      </w:r>
      <w:r w:rsidR="00675197" w:rsidRPr="000C156A">
        <w:rPr>
          <w:rFonts w:hint="eastAsia"/>
          <w:b/>
          <w:bCs/>
          <w:color w:val="000000" w:themeColor="text1"/>
          <w:lang w:eastAsia="zh-CN"/>
        </w:rPr>
        <w:t>10</w:t>
      </w:r>
      <w:r w:rsidR="00675197" w:rsidRPr="000C156A">
        <w:rPr>
          <w:rFonts w:hint="eastAsia"/>
          <w:b/>
          <w:bCs/>
          <w:color w:val="000000" w:themeColor="text1"/>
          <w:lang w:eastAsia="zh-CN"/>
        </w:rPr>
        <w:t>月完成。根据国际电联《财务</w:t>
      </w:r>
      <w:r w:rsidR="006457F2" w:rsidRPr="000C156A">
        <w:rPr>
          <w:rFonts w:hint="eastAsia"/>
          <w:b/>
          <w:bCs/>
          <w:color w:val="000000" w:themeColor="text1"/>
          <w:lang w:eastAsia="zh-CN"/>
        </w:rPr>
        <w:t>规则</w:t>
      </w:r>
      <w:r w:rsidR="00675197" w:rsidRPr="000C156A">
        <w:rPr>
          <w:rFonts w:hint="eastAsia"/>
          <w:b/>
          <w:bCs/>
          <w:color w:val="000000" w:themeColor="text1"/>
          <w:lang w:eastAsia="zh-CN"/>
        </w:rPr>
        <w:t>和财务细则》第</w:t>
      </w:r>
      <w:r w:rsidR="00675197" w:rsidRPr="000C156A">
        <w:rPr>
          <w:rFonts w:hint="eastAsia"/>
          <w:b/>
          <w:bCs/>
          <w:color w:val="000000" w:themeColor="text1"/>
          <w:lang w:eastAsia="zh-CN"/>
        </w:rPr>
        <w:t>28.9</w:t>
      </w:r>
      <w:r w:rsidR="00675197" w:rsidRPr="000C156A">
        <w:rPr>
          <w:rFonts w:hint="eastAsia"/>
          <w:b/>
          <w:bCs/>
          <w:color w:val="000000" w:themeColor="text1"/>
          <w:lang w:eastAsia="zh-CN"/>
        </w:rPr>
        <w:t>条，</w:t>
      </w:r>
      <w:r w:rsidR="006457F2" w:rsidRPr="000C156A">
        <w:rPr>
          <w:rFonts w:hint="eastAsia"/>
          <w:b/>
          <w:bCs/>
          <w:color w:val="000000" w:themeColor="text1"/>
          <w:lang w:eastAsia="zh-CN"/>
        </w:rPr>
        <w:t>EA</w:t>
      </w:r>
      <w:r w:rsidR="00A4306F" w:rsidRPr="000C156A">
        <w:rPr>
          <w:rFonts w:hint="eastAsia"/>
          <w:b/>
          <w:bCs/>
          <w:color w:val="000000" w:themeColor="text1"/>
          <w:lang w:eastAsia="zh-CN"/>
        </w:rPr>
        <w:t>已</w:t>
      </w:r>
      <w:r w:rsidR="00675197" w:rsidRPr="000C156A">
        <w:rPr>
          <w:rFonts w:hint="eastAsia"/>
          <w:b/>
          <w:bCs/>
          <w:color w:val="000000" w:themeColor="text1"/>
          <w:lang w:eastAsia="zh-CN"/>
        </w:rPr>
        <w:t>被告知此案。就我们所知所信，年度账目公允地反映了截至</w:t>
      </w:r>
      <w:r w:rsidR="00675197" w:rsidRPr="000C156A">
        <w:rPr>
          <w:rFonts w:hint="eastAsia"/>
          <w:b/>
          <w:bCs/>
          <w:color w:val="000000" w:themeColor="text1"/>
          <w:lang w:eastAsia="zh-CN"/>
        </w:rPr>
        <w:t>2020</w:t>
      </w:r>
      <w:r w:rsidR="00675197" w:rsidRPr="000C156A">
        <w:rPr>
          <w:rFonts w:hint="eastAsia"/>
          <w:b/>
          <w:bCs/>
          <w:color w:val="000000" w:themeColor="text1"/>
          <w:lang w:eastAsia="zh-CN"/>
        </w:rPr>
        <w:t>年</w:t>
      </w:r>
      <w:r w:rsidR="00675197" w:rsidRPr="000C156A">
        <w:rPr>
          <w:rFonts w:hint="eastAsia"/>
          <w:b/>
          <w:bCs/>
          <w:color w:val="000000" w:themeColor="text1"/>
          <w:lang w:eastAsia="zh-CN"/>
        </w:rPr>
        <w:t>12</w:t>
      </w:r>
      <w:r w:rsidR="00675197" w:rsidRPr="000C156A">
        <w:rPr>
          <w:rFonts w:hint="eastAsia"/>
          <w:b/>
          <w:bCs/>
          <w:color w:val="000000" w:themeColor="text1"/>
          <w:lang w:eastAsia="zh-CN"/>
        </w:rPr>
        <w:t>月</w:t>
      </w:r>
      <w:r w:rsidR="00675197" w:rsidRPr="000C156A">
        <w:rPr>
          <w:rFonts w:hint="eastAsia"/>
          <w:b/>
          <w:bCs/>
          <w:color w:val="000000" w:themeColor="text1"/>
          <w:lang w:eastAsia="zh-CN"/>
        </w:rPr>
        <w:t>31</w:t>
      </w:r>
      <w:r w:rsidR="00675197" w:rsidRPr="000C156A">
        <w:rPr>
          <w:rFonts w:hint="eastAsia"/>
          <w:b/>
          <w:bCs/>
          <w:color w:val="000000" w:themeColor="text1"/>
          <w:lang w:eastAsia="zh-CN"/>
        </w:rPr>
        <w:t>日的财务状况。我们不知道有任何事件可能</w:t>
      </w:r>
      <w:r w:rsidR="006457F2" w:rsidRPr="000C156A">
        <w:rPr>
          <w:rFonts w:hint="eastAsia"/>
          <w:b/>
          <w:bCs/>
          <w:color w:val="000000" w:themeColor="text1"/>
          <w:lang w:eastAsia="zh-CN"/>
        </w:rPr>
        <w:t>使</w:t>
      </w:r>
      <w:r w:rsidR="00A4306F" w:rsidRPr="000C156A">
        <w:rPr>
          <w:rFonts w:hint="eastAsia"/>
          <w:b/>
          <w:bCs/>
          <w:color w:val="000000" w:themeColor="text1"/>
          <w:lang w:eastAsia="zh-CN"/>
        </w:rPr>
        <w:t>人们</w:t>
      </w:r>
      <w:r w:rsidR="00675197" w:rsidRPr="000C156A">
        <w:rPr>
          <w:rFonts w:hint="eastAsia"/>
          <w:b/>
          <w:bCs/>
          <w:color w:val="000000" w:themeColor="text1"/>
          <w:lang w:eastAsia="zh-CN"/>
        </w:rPr>
        <w:t>对国际电联的持续经营能力产生疑问</w:t>
      </w:r>
      <w:r w:rsidR="006457F2" w:rsidRPr="000C156A">
        <w:rPr>
          <w:rFonts w:hint="eastAsia"/>
          <w:b/>
          <w:bCs/>
          <w:color w:val="000000" w:themeColor="text1"/>
          <w:lang w:eastAsia="zh-CN"/>
        </w:rPr>
        <w:t>。</w:t>
      </w:r>
    </w:p>
    <w:p w14:paraId="15AD160E" w14:textId="5803D65D" w:rsidR="00AC0486" w:rsidRPr="000C156A" w:rsidRDefault="002102A0" w:rsidP="00AC0486">
      <w:pPr>
        <w:pStyle w:val="enumlev1"/>
        <w:rPr>
          <w:lang w:eastAsia="zh-CN"/>
        </w:rPr>
      </w:pPr>
      <w:r w:rsidRPr="000C156A">
        <w:rPr>
          <w:lang w:eastAsia="zh-CN"/>
        </w:rPr>
        <w:t>14</w:t>
      </w:r>
      <w:r w:rsidR="00AC0486" w:rsidRPr="000C156A">
        <w:rPr>
          <w:lang w:eastAsia="zh-CN"/>
        </w:rPr>
        <w:tab/>
      </w:r>
      <w:bookmarkStart w:id="165" w:name="OLE_LINK5"/>
      <w:bookmarkStart w:id="166" w:name="OLE_LINK6"/>
      <w:r w:rsidR="00AC0486" w:rsidRPr="000C156A">
        <w:rPr>
          <w:rFonts w:hint="eastAsia"/>
          <w:b/>
          <w:bCs/>
          <w:lang w:eastAsia="zh-CN"/>
        </w:rPr>
        <w:t>我们确认，做法符合国际电联《财务规则和财务细则》的规定（规则</w:t>
      </w:r>
      <w:r w:rsidR="00AC0486" w:rsidRPr="000C156A">
        <w:rPr>
          <w:rFonts w:hint="eastAsia"/>
          <w:b/>
          <w:bCs/>
          <w:lang w:eastAsia="zh-CN"/>
        </w:rPr>
        <w:t>2</w:t>
      </w:r>
      <w:r w:rsidR="00AC0486" w:rsidRPr="000C156A">
        <w:rPr>
          <w:b/>
          <w:bCs/>
          <w:lang w:eastAsia="zh-CN"/>
        </w:rPr>
        <w:t>8.9</w:t>
      </w:r>
      <w:r w:rsidR="00AC0486" w:rsidRPr="000C156A">
        <w:rPr>
          <w:rFonts w:hint="eastAsia"/>
          <w:b/>
          <w:bCs/>
          <w:lang w:eastAsia="zh-CN"/>
        </w:rPr>
        <w:t>），即，</w:t>
      </w:r>
      <w:r w:rsidR="00AC0486" w:rsidRPr="000C156A">
        <w:rPr>
          <w:rFonts w:eastAsia="STKaiti" w:hint="eastAsia"/>
          <w:b/>
          <w:bCs/>
          <w:lang w:eastAsia="zh-CN"/>
        </w:rPr>
        <w:t>如有任何欺诈和可疑欺诈的情况，秘书长均须毫无迟疑地将其提交外部审计员</w:t>
      </w:r>
      <w:r w:rsidR="00AC0486" w:rsidRPr="000C156A">
        <w:rPr>
          <w:rFonts w:hint="eastAsia"/>
          <w:b/>
          <w:bCs/>
          <w:lang w:eastAsia="zh-CN"/>
        </w:rPr>
        <w:t>。我们没有获悉任何可能导致对国际电联的能力产生怀疑的其它情况。</w:t>
      </w:r>
      <w:bookmarkEnd w:id="165"/>
      <w:bookmarkEnd w:id="166"/>
    </w:p>
    <w:p w14:paraId="2C33D846" w14:textId="0954C42D" w:rsidR="00AC0486" w:rsidRPr="000C156A" w:rsidRDefault="002102A0" w:rsidP="00AC0486">
      <w:pPr>
        <w:pStyle w:val="enumlev1"/>
        <w:rPr>
          <w:lang w:eastAsia="zh-CN"/>
        </w:rPr>
      </w:pPr>
      <w:r w:rsidRPr="000C156A">
        <w:rPr>
          <w:lang w:eastAsia="zh-CN"/>
        </w:rPr>
        <w:t>15</w:t>
      </w:r>
      <w:r w:rsidR="00AC0486" w:rsidRPr="000C156A">
        <w:rPr>
          <w:lang w:eastAsia="zh-CN"/>
        </w:rPr>
        <w:tab/>
      </w:r>
      <w:r w:rsidR="00AC0486" w:rsidRPr="000C156A">
        <w:rPr>
          <w:rFonts w:hint="eastAsia"/>
          <w:lang w:eastAsia="zh-CN"/>
        </w:rPr>
        <w:t>为此，并为降低欺诈风险起见，针对具体情况制定了新的采购程序，以确保适当层面的控制，并且在征用、资金批准和采购职能方面实现职权分离。这些程序已在</w:t>
      </w:r>
      <w:r w:rsidR="00AC0486" w:rsidRPr="000C156A">
        <w:rPr>
          <w:rFonts w:hint="eastAsia"/>
          <w:lang w:eastAsia="zh-CN"/>
        </w:rPr>
        <w:t>2019</w:t>
      </w:r>
      <w:r w:rsidR="00AC0486" w:rsidRPr="000C156A">
        <w:rPr>
          <w:rFonts w:hint="eastAsia"/>
          <w:lang w:eastAsia="zh-CN"/>
        </w:rPr>
        <w:t>年推出。此外，已于</w:t>
      </w:r>
      <w:r w:rsidR="00AC0486" w:rsidRPr="000C156A">
        <w:rPr>
          <w:rFonts w:hint="eastAsia"/>
          <w:lang w:eastAsia="zh-CN"/>
        </w:rPr>
        <w:t>201</w:t>
      </w:r>
      <w:r w:rsidR="00AC0486" w:rsidRPr="000C156A">
        <w:rPr>
          <w:lang w:eastAsia="zh-CN"/>
        </w:rPr>
        <w:t>9</w:t>
      </w:r>
      <w:r w:rsidR="00AC0486" w:rsidRPr="000C156A">
        <w:rPr>
          <w:rFonts w:hint="eastAsia"/>
          <w:lang w:eastAsia="zh-CN"/>
        </w:rPr>
        <w:t>年</w:t>
      </w:r>
      <w:r w:rsidR="00AC0486" w:rsidRPr="000C156A">
        <w:rPr>
          <w:rFonts w:hint="eastAsia"/>
          <w:lang w:eastAsia="zh-CN"/>
        </w:rPr>
        <w:t>6</w:t>
      </w:r>
      <w:r w:rsidR="00AC0486" w:rsidRPr="000C156A">
        <w:rPr>
          <w:rFonts w:hint="eastAsia"/>
          <w:lang w:eastAsia="zh-CN"/>
        </w:rPr>
        <w:t>月发布了采购手册，这进一步增强了国际电联的采购职能。</w:t>
      </w:r>
    </w:p>
    <w:p w14:paraId="5BFCD051" w14:textId="7B40FEEC" w:rsidR="00AC0486" w:rsidRPr="000C156A" w:rsidRDefault="002102A0" w:rsidP="00AC0486">
      <w:pPr>
        <w:pStyle w:val="enumlev1"/>
        <w:rPr>
          <w:lang w:eastAsia="zh-CN"/>
        </w:rPr>
      </w:pPr>
      <w:r w:rsidRPr="000C156A">
        <w:rPr>
          <w:lang w:eastAsia="zh-CN"/>
        </w:rPr>
        <w:t>16</w:t>
      </w:r>
      <w:r w:rsidR="00AC0486" w:rsidRPr="000C156A">
        <w:rPr>
          <w:lang w:eastAsia="zh-CN"/>
        </w:rPr>
        <w:tab/>
      </w:r>
      <w:r w:rsidR="00AC0486" w:rsidRPr="000C156A">
        <w:rPr>
          <w:rFonts w:hint="eastAsia"/>
          <w:lang w:eastAsia="zh-CN"/>
        </w:rPr>
        <w:t>在编制年度账目时，</w:t>
      </w:r>
      <w:r w:rsidR="00B66062" w:rsidRPr="000C156A">
        <w:rPr>
          <w:rFonts w:hint="eastAsia"/>
          <w:lang w:eastAsia="zh-CN"/>
        </w:rPr>
        <w:t>EA</w:t>
      </w:r>
      <w:r w:rsidR="00AC0486" w:rsidRPr="000C156A">
        <w:rPr>
          <w:rFonts w:hint="eastAsia"/>
          <w:lang w:eastAsia="zh-CN"/>
        </w:rPr>
        <w:t>工作结束前对账目产生影响的所有情况均已考虑在内。对于从现在到理事会下届会议之间注意到的所有可能对年度账目产生追溯性影响的任何新事件，我们都将立即通报外</w:t>
      </w:r>
      <w:r w:rsidR="00B66062" w:rsidRPr="000C156A">
        <w:rPr>
          <w:rFonts w:hint="eastAsia"/>
          <w:lang w:eastAsia="zh-CN"/>
        </w:rPr>
        <w:t>国际电联</w:t>
      </w:r>
      <w:r w:rsidR="00AC0486" w:rsidRPr="000C156A">
        <w:rPr>
          <w:rFonts w:hint="eastAsia"/>
          <w:lang w:eastAsia="zh-CN"/>
        </w:rPr>
        <w:t>部审计员。</w:t>
      </w:r>
    </w:p>
    <w:p w14:paraId="7CB4E79A" w14:textId="4C266EA0" w:rsidR="00BF5E9D" w:rsidRPr="000C156A" w:rsidRDefault="00BF5E9D" w:rsidP="00DB3AC5">
      <w:pPr>
        <w:rPr>
          <w:lang w:eastAsia="zh-CN"/>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2102A0" w:rsidRPr="000C156A" w14:paraId="2FA182D8" w14:textId="77777777" w:rsidTr="009A6CDB">
        <w:tc>
          <w:tcPr>
            <w:tcW w:w="4962" w:type="dxa"/>
            <w:hideMark/>
          </w:tcPr>
          <w:p w14:paraId="2024F95A" w14:textId="77777777" w:rsidR="002102A0" w:rsidRPr="000C156A" w:rsidRDefault="002102A0" w:rsidP="009A6CDB">
            <w:pPr>
              <w:tabs>
                <w:tab w:val="left" w:pos="5387"/>
              </w:tabs>
              <w:spacing w:before="60" w:after="60"/>
              <w:jc w:val="center"/>
              <w:rPr>
                <w:lang w:val="fr-CH" w:eastAsia="zh-CN"/>
              </w:rPr>
            </w:pPr>
            <w:r w:rsidRPr="000C156A">
              <w:rPr>
                <w:rFonts w:hint="eastAsia"/>
                <w:lang w:val="fr-CH" w:eastAsia="zh-CN"/>
              </w:rPr>
              <w:t>财务资源管理部主任</w:t>
            </w:r>
          </w:p>
          <w:p w14:paraId="28BEECCA" w14:textId="77777777" w:rsidR="002102A0" w:rsidRPr="000C156A" w:rsidRDefault="002102A0" w:rsidP="009A6CDB">
            <w:pPr>
              <w:tabs>
                <w:tab w:val="left" w:pos="5387"/>
              </w:tabs>
              <w:spacing w:before="60" w:after="60"/>
              <w:jc w:val="center"/>
              <w:rPr>
                <w:lang w:val="fr-CH" w:eastAsia="zh-CN"/>
              </w:rPr>
            </w:pPr>
            <w:r w:rsidRPr="000C156A">
              <w:rPr>
                <w:lang w:val="fr-CH" w:eastAsia="zh-CN"/>
              </w:rPr>
              <w:t>Alassane Ba</w:t>
            </w:r>
          </w:p>
          <w:p w14:paraId="3B589DBE" w14:textId="77777777" w:rsidR="009103D7" w:rsidRPr="000C156A" w:rsidRDefault="009103D7" w:rsidP="009A6CDB">
            <w:pPr>
              <w:tabs>
                <w:tab w:val="left" w:pos="5387"/>
              </w:tabs>
              <w:spacing w:before="60" w:after="60"/>
              <w:jc w:val="center"/>
              <w:rPr>
                <w:lang w:val="fr-CH" w:eastAsia="zh-CN"/>
              </w:rPr>
            </w:pPr>
            <w:r w:rsidRPr="000C156A">
              <w:rPr>
                <w:rFonts w:hint="eastAsia"/>
                <w:lang w:val="fr-CH" w:eastAsia="zh-CN"/>
              </w:rPr>
              <w:t>数字签名</w:t>
            </w:r>
          </w:p>
          <w:p w14:paraId="457EAA1E" w14:textId="7807923B" w:rsidR="002A7D76" w:rsidRPr="000C156A" w:rsidRDefault="002A7D76" w:rsidP="009A6CDB">
            <w:pPr>
              <w:tabs>
                <w:tab w:val="left" w:pos="5387"/>
              </w:tabs>
              <w:spacing w:before="60" w:after="60"/>
              <w:jc w:val="center"/>
              <w:rPr>
                <w:lang w:val="fr-CH" w:eastAsia="zh-CN"/>
              </w:rPr>
            </w:pPr>
            <w:r w:rsidRPr="000C156A">
              <w:rPr>
                <w:rFonts w:hint="eastAsia"/>
                <w:lang w:val="fr-CH" w:eastAsia="zh-CN"/>
              </w:rPr>
              <w:t>日期：</w:t>
            </w:r>
            <w:r w:rsidRPr="000C156A">
              <w:rPr>
                <w:rFonts w:hint="eastAsia"/>
                <w:lang w:val="fr-CH" w:eastAsia="zh-CN"/>
              </w:rPr>
              <w:t>2</w:t>
            </w:r>
            <w:r w:rsidRPr="000C156A">
              <w:rPr>
                <w:lang w:val="fr-CH" w:eastAsia="zh-CN"/>
              </w:rPr>
              <w:t>021</w:t>
            </w:r>
            <w:r w:rsidRPr="000C156A">
              <w:rPr>
                <w:rFonts w:hint="eastAsia"/>
                <w:lang w:val="fr-CH" w:eastAsia="zh-CN"/>
              </w:rPr>
              <w:t>年</w:t>
            </w:r>
            <w:r w:rsidRPr="000C156A">
              <w:rPr>
                <w:rFonts w:hint="eastAsia"/>
                <w:lang w:val="fr-CH" w:eastAsia="zh-CN"/>
              </w:rPr>
              <w:t>3</w:t>
            </w:r>
            <w:r w:rsidRPr="000C156A">
              <w:rPr>
                <w:rFonts w:hint="eastAsia"/>
                <w:lang w:val="fr-CH" w:eastAsia="zh-CN"/>
              </w:rPr>
              <w:t>月</w:t>
            </w:r>
            <w:r w:rsidRPr="000C156A">
              <w:rPr>
                <w:rFonts w:hint="eastAsia"/>
                <w:lang w:val="fr-CH" w:eastAsia="zh-CN"/>
              </w:rPr>
              <w:t>1</w:t>
            </w:r>
            <w:r w:rsidRPr="000C156A">
              <w:rPr>
                <w:lang w:val="fr-CH" w:eastAsia="zh-CN"/>
              </w:rPr>
              <w:t>5</w:t>
            </w:r>
            <w:r w:rsidRPr="000C156A">
              <w:rPr>
                <w:rFonts w:hint="eastAsia"/>
                <w:lang w:val="fr-CH" w:eastAsia="zh-CN"/>
              </w:rPr>
              <w:t>日</w:t>
            </w:r>
          </w:p>
        </w:tc>
        <w:tc>
          <w:tcPr>
            <w:tcW w:w="4677" w:type="dxa"/>
            <w:hideMark/>
          </w:tcPr>
          <w:p w14:paraId="2751121F" w14:textId="77777777" w:rsidR="002102A0" w:rsidRPr="000C156A" w:rsidRDefault="002102A0" w:rsidP="009A6CDB">
            <w:pPr>
              <w:tabs>
                <w:tab w:val="left" w:pos="5387"/>
              </w:tabs>
              <w:spacing w:before="60" w:after="60"/>
              <w:jc w:val="center"/>
              <w:rPr>
                <w:lang w:val="fr-CH" w:eastAsia="zh-CN"/>
              </w:rPr>
            </w:pPr>
            <w:r w:rsidRPr="000C156A">
              <w:rPr>
                <w:rFonts w:hint="eastAsia"/>
                <w:lang w:val="fr-CH" w:eastAsia="zh-CN"/>
              </w:rPr>
              <w:t>秘书长</w:t>
            </w:r>
          </w:p>
          <w:p w14:paraId="59E99155" w14:textId="77777777" w:rsidR="002102A0" w:rsidRPr="000C156A" w:rsidRDefault="002102A0" w:rsidP="009A6CDB">
            <w:pPr>
              <w:tabs>
                <w:tab w:val="left" w:pos="5387"/>
              </w:tabs>
              <w:spacing w:before="60" w:after="60"/>
              <w:jc w:val="center"/>
              <w:rPr>
                <w:lang w:val="fr-CH" w:eastAsia="zh-CN"/>
              </w:rPr>
            </w:pPr>
            <w:r w:rsidRPr="000C156A">
              <w:rPr>
                <w:rFonts w:hint="eastAsia"/>
                <w:lang w:val="fr-CH" w:eastAsia="zh-CN"/>
              </w:rPr>
              <w:t>赵厚麟</w:t>
            </w:r>
          </w:p>
          <w:p w14:paraId="7304B899" w14:textId="77777777" w:rsidR="009103D7" w:rsidRPr="000C156A" w:rsidRDefault="009103D7" w:rsidP="009A6CDB">
            <w:pPr>
              <w:tabs>
                <w:tab w:val="left" w:pos="5387"/>
              </w:tabs>
              <w:spacing w:before="60" w:after="60"/>
              <w:jc w:val="center"/>
              <w:rPr>
                <w:lang w:val="fr-CH" w:eastAsia="zh-CN"/>
              </w:rPr>
            </w:pPr>
            <w:r w:rsidRPr="000C156A">
              <w:rPr>
                <w:rFonts w:hint="eastAsia"/>
                <w:lang w:val="fr-CH" w:eastAsia="zh-CN"/>
              </w:rPr>
              <w:t>数字签名</w:t>
            </w:r>
          </w:p>
          <w:p w14:paraId="6C310534" w14:textId="73074815" w:rsidR="002A7D76" w:rsidRPr="000C156A" w:rsidRDefault="002A7D76" w:rsidP="009A6CDB">
            <w:pPr>
              <w:tabs>
                <w:tab w:val="left" w:pos="5387"/>
              </w:tabs>
              <w:spacing w:before="60" w:after="60"/>
              <w:jc w:val="center"/>
              <w:rPr>
                <w:lang w:val="fr-CH" w:eastAsia="zh-CN"/>
              </w:rPr>
            </w:pPr>
            <w:r w:rsidRPr="000C156A">
              <w:rPr>
                <w:rFonts w:hint="eastAsia"/>
                <w:lang w:val="fr-CH" w:eastAsia="zh-CN"/>
              </w:rPr>
              <w:t>日期：</w:t>
            </w:r>
            <w:r w:rsidRPr="000C156A">
              <w:rPr>
                <w:rFonts w:hint="eastAsia"/>
                <w:lang w:val="fr-CH" w:eastAsia="zh-CN"/>
              </w:rPr>
              <w:t>2</w:t>
            </w:r>
            <w:r w:rsidRPr="000C156A">
              <w:rPr>
                <w:lang w:val="fr-CH" w:eastAsia="zh-CN"/>
              </w:rPr>
              <w:t>021</w:t>
            </w:r>
            <w:r w:rsidRPr="000C156A">
              <w:rPr>
                <w:rFonts w:hint="eastAsia"/>
                <w:lang w:val="fr-CH" w:eastAsia="zh-CN"/>
              </w:rPr>
              <w:t>年</w:t>
            </w:r>
            <w:r w:rsidRPr="000C156A">
              <w:rPr>
                <w:rFonts w:hint="eastAsia"/>
                <w:lang w:val="fr-CH" w:eastAsia="zh-CN"/>
              </w:rPr>
              <w:t>3</w:t>
            </w:r>
            <w:r w:rsidRPr="000C156A">
              <w:rPr>
                <w:rFonts w:hint="eastAsia"/>
                <w:lang w:val="fr-CH" w:eastAsia="zh-CN"/>
              </w:rPr>
              <w:t>月</w:t>
            </w:r>
            <w:r w:rsidRPr="000C156A">
              <w:rPr>
                <w:rFonts w:hint="eastAsia"/>
                <w:lang w:val="fr-CH" w:eastAsia="zh-CN"/>
              </w:rPr>
              <w:t>1</w:t>
            </w:r>
            <w:r w:rsidRPr="000C156A">
              <w:rPr>
                <w:lang w:val="fr-CH" w:eastAsia="zh-CN"/>
              </w:rPr>
              <w:t>6</w:t>
            </w:r>
            <w:r w:rsidRPr="000C156A">
              <w:rPr>
                <w:rFonts w:hint="eastAsia"/>
                <w:lang w:val="fr-CH" w:eastAsia="zh-CN"/>
              </w:rPr>
              <w:t>日</w:t>
            </w:r>
          </w:p>
        </w:tc>
      </w:tr>
    </w:tbl>
    <w:p w14:paraId="5F9BA1FA" w14:textId="65D5B82A" w:rsidR="00507EC3" w:rsidRPr="000C156A" w:rsidRDefault="00EA1AB7" w:rsidP="00DB3AC5">
      <w:pPr>
        <w:rPr>
          <w:w w:val="105"/>
          <w:lang w:val="en-US" w:eastAsia="zh-CN"/>
        </w:rPr>
      </w:pPr>
      <w:r w:rsidRPr="000C156A">
        <w:rPr>
          <w:w w:val="105"/>
          <w:lang w:val="en-US" w:eastAsia="zh-CN"/>
        </w:rPr>
        <w:br w:type="page"/>
      </w:r>
    </w:p>
    <w:p w14:paraId="3B802555" w14:textId="12280FC7" w:rsidR="00FA586A" w:rsidRPr="000C156A" w:rsidRDefault="002102A0" w:rsidP="00684A64">
      <w:pPr>
        <w:pStyle w:val="Heading1"/>
        <w:jc w:val="center"/>
        <w:rPr>
          <w:rFonts w:asciiTheme="minorHAnsi" w:hAnsiTheme="minorHAnsi" w:cs="Arial"/>
          <w:szCs w:val="28"/>
          <w:lang w:eastAsia="zh-CN"/>
        </w:rPr>
      </w:pPr>
      <w:bookmarkStart w:id="167" w:name="_Toc482892533"/>
      <w:bookmarkStart w:id="168" w:name="_Toc358364826"/>
      <w:bookmarkStart w:id="169" w:name="_Toc511116004"/>
      <w:bookmarkStart w:id="170" w:name="_Toc41905283"/>
      <w:bookmarkStart w:id="171" w:name="_Toc41905746"/>
      <w:bookmarkStart w:id="172" w:name="_Toc41905834"/>
      <w:bookmarkStart w:id="173" w:name="_Toc41907963"/>
      <w:bookmarkStart w:id="174" w:name="_Toc72747208"/>
      <w:bookmarkStart w:id="175" w:name="_Toc73356638"/>
      <w:bookmarkStart w:id="176" w:name="_Toc73461010"/>
      <w:bookmarkStart w:id="177" w:name="_Toc73518657"/>
      <w:bookmarkStart w:id="178" w:name="_Toc73518804"/>
      <w:bookmarkStart w:id="179" w:name="_Toc73519204"/>
      <w:bookmarkStart w:id="180" w:name="_Toc73636086"/>
      <w:bookmarkStart w:id="181" w:name="_Toc73636228"/>
      <w:r w:rsidRPr="000C156A">
        <w:rPr>
          <w:rFonts w:asciiTheme="minorHAnsi" w:hAnsiTheme="minorHAnsi" w:cs="Arial"/>
          <w:szCs w:val="28"/>
          <w:lang w:eastAsia="zh-CN"/>
        </w:rPr>
        <w:lastRenderedPageBreak/>
        <w:t>2020</w:t>
      </w:r>
      <w:r w:rsidRPr="000C156A">
        <w:rPr>
          <w:rFonts w:hint="eastAsia"/>
          <w:lang w:eastAsia="zh-CN"/>
        </w:rPr>
        <w:t>年内部控制声明</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0AAEC23E" w14:textId="28E9F13C" w:rsidR="002102A0" w:rsidRPr="000C156A" w:rsidRDefault="002102A0" w:rsidP="002102A0">
      <w:pPr>
        <w:pStyle w:val="Headingb"/>
        <w:spacing w:before="480"/>
        <w:rPr>
          <w:lang w:eastAsia="zh-CN"/>
        </w:rPr>
      </w:pPr>
      <w:bookmarkStart w:id="182" w:name="_Toc72744923"/>
      <w:bookmarkStart w:id="183" w:name="_Toc72747209"/>
      <w:bookmarkStart w:id="184" w:name="_Toc73461011"/>
      <w:bookmarkStart w:id="185" w:name="_Toc73518658"/>
      <w:bookmarkStart w:id="186" w:name="_Toc73518805"/>
      <w:bookmarkStart w:id="187" w:name="_Toc73519205"/>
      <w:bookmarkStart w:id="188" w:name="_Toc73636087"/>
      <w:bookmarkStart w:id="189" w:name="_Toc73636229"/>
      <w:r w:rsidRPr="000C156A">
        <w:rPr>
          <w:rFonts w:hint="eastAsia"/>
          <w:lang w:eastAsia="zh-CN"/>
        </w:rPr>
        <w:t>职责范围</w:t>
      </w:r>
      <w:bookmarkEnd w:id="182"/>
      <w:bookmarkEnd w:id="183"/>
      <w:bookmarkEnd w:id="184"/>
      <w:bookmarkEnd w:id="185"/>
      <w:bookmarkEnd w:id="186"/>
      <w:bookmarkEnd w:id="187"/>
      <w:bookmarkEnd w:id="188"/>
      <w:bookmarkEnd w:id="189"/>
    </w:p>
    <w:p w14:paraId="6D5E7FCA" w14:textId="773B3F35" w:rsidR="002102A0" w:rsidRPr="000C156A" w:rsidRDefault="002102A0" w:rsidP="00D8469D">
      <w:pPr>
        <w:ind w:firstLineChars="200" w:firstLine="480"/>
        <w:rPr>
          <w:lang w:eastAsia="zh-CN"/>
        </w:rPr>
      </w:pPr>
      <w:r w:rsidRPr="000C156A">
        <w:rPr>
          <w:rFonts w:hint="eastAsia"/>
          <w:lang w:eastAsia="zh-CN"/>
        </w:rPr>
        <w:t>作为国际电信联盟（</w:t>
      </w:r>
      <w:r w:rsidRPr="000C156A">
        <w:rPr>
          <w:lang w:eastAsia="zh-CN"/>
        </w:rPr>
        <w:t>ITU</w:t>
      </w:r>
      <w:r w:rsidRPr="000C156A">
        <w:rPr>
          <w:rFonts w:hint="eastAsia"/>
          <w:lang w:eastAsia="zh-CN"/>
        </w:rPr>
        <w:t>）秘书长，我将作为国际电联的法人代表。特别根据《组织法》第</w:t>
      </w:r>
      <w:r w:rsidRPr="000C156A">
        <w:rPr>
          <w:rFonts w:hint="eastAsia"/>
          <w:lang w:eastAsia="zh-CN"/>
        </w:rPr>
        <w:t>73</w:t>
      </w:r>
      <w:r w:rsidRPr="000C156A">
        <w:rPr>
          <w:rFonts w:hint="eastAsia"/>
          <w:lang w:eastAsia="zh-CN"/>
        </w:rPr>
        <w:t>之二款和第</w:t>
      </w:r>
      <w:r w:rsidRPr="000C156A">
        <w:rPr>
          <w:rFonts w:hint="eastAsia"/>
          <w:lang w:eastAsia="zh-CN"/>
        </w:rPr>
        <w:t>75</w:t>
      </w:r>
      <w:r w:rsidRPr="000C156A">
        <w:rPr>
          <w:rFonts w:hint="eastAsia"/>
          <w:lang w:eastAsia="zh-CN"/>
        </w:rPr>
        <w:t>款（第</w:t>
      </w:r>
      <w:r w:rsidRPr="000C156A">
        <w:rPr>
          <w:rFonts w:hint="eastAsia"/>
          <w:lang w:eastAsia="zh-CN"/>
        </w:rPr>
        <w:t>11</w:t>
      </w:r>
      <w:r w:rsidRPr="000C156A">
        <w:rPr>
          <w:rFonts w:hint="eastAsia"/>
          <w:lang w:eastAsia="zh-CN"/>
        </w:rPr>
        <w:t>条）以及《财务规则和财务细则》第</w:t>
      </w:r>
      <w:r w:rsidRPr="000C156A">
        <w:rPr>
          <w:lang w:eastAsia="zh-CN"/>
        </w:rPr>
        <w:t>1</w:t>
      </w:r>
      <w:r w:rsidRPr="000C156A">
        <w:rPr>
          <w:rFonts w:hint="eastAsia"/>
          <w:lang w:eastAsia="zh-CN"/>
        </w:rPr>
        <w:t>、</w:t>
      </w:r>
      <w:r w:rsidRPr="000C156A">
        <w:rPr>
          <w:lang w:eastAsia="zh-CN"/>
        </w:rPr>
        <w:t>10</w:t>
      </w:r>
      <w:r w:rsidRPr="000C156A">
        <w:rPr>
          <w:rFonts w:hint="eastAsia"/>
          <w:lang w:eastAsia="zh-CN"/>
        </w:rPr>
        <w:t>、</w:t>
      </w:r>
      <w:r w:rsidRPr="000C156A">
        <w:rPr>
          <w:lang w:eastAsia="zh-CN"/>
        </w:rPr>
        <w:t>16</w:t>
      </w:r>
      <w:r w:rsidRPr="000C156A">
        <w:rPr>
          <w:rFonts w:hint="eastAsia"/>
          <w:lang w:eastAsia="zh-CN"/>
        </w:rPr>
        <w:t>、</w:t>
      </w:r>
      <w:r w:rsidRPr="000C156A">
        <w:rPr>
          <w:lang w:eastAsia="zh-CN"/>
        </w:rPr>
        <w:t>28</w:t>
      </w:r>
      <w:r w:rsidRPr="000C156A">
        <w:rPr>
          <w:rFonts w:hint="eastAsia"/>
          <w:lang w:eastAsia="zh-CN"/>
        </w:rPr>
        <w:t>、</w:t>
      </w:r>
      <w:r w:rsidRPr="000C156A">
        <w:rPr>
          <w:lang w:eastAsia="zh-CN"/>
        </w:rPr>
        <w:t>29</w:t>
      </w:r>
      <w:r w:rsidRPr="000C156A">
        <w:rPr>
          <w:rFonts w:hint="eastAsia"/>
          <w:lang w:eastAsia="zh-CN"/>
        </w:rPr>
        <w:t>和</w:t>
      </w:r>
      <w:r w:rsidRPr="000C156A">
        <w:rPr>
          <w:lang w:eastAsia="zh-CN"/>
        </w:rPr>
        <w:t>30</w:t>
      </w:r>
      <w:r w:rsidRPr="000C156A">
        <w:rPr>
          <w:rFonts w:hint="eastAsia"/>
          <w:lang w:eastAsia="zh-CN"/>
        </w:rPr>
        <w:t>条赋予我的职责，我将采取一切必要的行动，确保国际电联资源得到经济有效的使用，同时，在所有国际电联活动的行政和财务方面向理事会负责。</w:t>
      </w:r>
    </w:p>
    <w:p w14:paraId="05CBE86F" w14:textId="102DB4E3" w:rsidR="002102A0" w:rsidRPr="000C156A" w:rsidRDefault="002102A0" w:rsidP="00D8469D">
      <w:pPr>
        <w:pStyle w:val="Headingb"/>
        <w:rPr>
          <w:lang w:eastAsia="zh-CN"/>
        </w:rPr>
      </w:pPr>
      <w:bookmarkStart w:id="190" w:name="_Toc72744924"/>
      <w:bookmarkStart w:id="191" w:name="_Toc72747210"/>
      <w:bookmarkStart w:id="192" w:name="_Toc73461012"/>
      <w:bookmarkStart w:id="193" w:name="_Toc73518659"/>
      <w:bookmarkStart w:id="194" w:name="_Toc73518806"/>
      <w:bookmarkStart w:id="195" w:name="_Toc73519206"/>
      <w:bookmarkStart w:id="196" w:name="_Toc73636088"/>
      <w:bookmarkStart w:id="197" w:name="_Toc73636230"/>
      <w:r w:rsidRPr="000C156A">
        <w:rPr>
          <w:rFonts w:hint="eastAsia"/>
          <w:lang w:eastAsia="zh-CN"/>
        </w:rPr>
        <w:t>内部控制体系的宗旨</w:t>
      </w:r>
      <w:bookmarkEnd w:id="190"/>
      <w:bookmarkEnd w:id="191"/>
      <w:bookmarkEnd w:id="192"/>
      <w:bookmarkEnd w:id="193"/>
      <w:bookmarkEnd w:id="194"/>
      <w:bookmarkEnd w:id="195"/>
      <w:bookmarkEnd w:id="196"/>
      <w:bookmarkEnd w:id="197"/>
    </w:p>
    <w:p w14:paraId="7E14DBAD" w14:textId="5F3216A2" w:rsidR="002102A0" w:rsidRPr="000C156A" w:rsidRDefault="002102A0" w:rsidP="00794DF4">
      <w:pPr>
        <w:ind w:firstLineChars="200" w:firstLine="480"/>
        <w:rPr>
          <w:lang w:eastAsia="zh-CN"/>
        </w:rPr>
      </w:pPr>
      <w:r w:rsidRPr="000C156A">
        <w:rPr>
          <w:rFonts w:hint="eastAsia"/>
          <w:lang w:eastAsia="zh-CN"/>
        </w:rPr>
        <w:t>内部控制体系旨在降低并管理，而不是消除影响实现该组织政策、目的和目标的风险。因此，该体系只能提供一定的，但并非绝对的有效保障。该体系以现有用来确定主要风险的程序为基础，评估相关风险的性质和范围并以高效、有效和经济的方式予以应对。国际电联管理层被赋予建立一个程序网络以实现对国际电联运作的控制的责任，从而使主管机构在以下方面得到适度保障：</w:t>
      </w:r>
    </w:p>
    <w:p w14:paraId="0FBDA94C" w14:textId="65CD7F8B" w:rsidR="002102A0" w:rsidRPr="000C156A" w:rsidRDefault="002102A0" w:rsidP="00D8469D">
      <w:pPr>
        <w:pStyle w:val="enumlev1"/>
        <w:rPr>
          <w:lang w:eastAsia="zh-CN"/>
        </w:rPr>
      </w:pPr>
      <w:r w:rsidRPr="000C156A">
        <w:rPr>
          <w:lang w:eastAsia="zh-CN"/>
        </w:rPr>
        <w:t>•</w:t>
      </w:r>
      <w:r w:rsidRPr="000C156A">
        <w:rPr>
          <w:lang w:eastAsia="zh-CN"/>
        </w:rPr>
        <w:tab/>
      </w:r>
      <w:r w:rsidRPr="000C156A">
        <w:rPr>
          <w:rFonts w:hint="eastAsia"/>
          <w:lang w:eastAsia="zh-CN"/>
        </w:rPr>
        <w:t>实现该组织的计划、项目、目标和具体目标；</w:t>
      </w:r>
    </w:p>
    <w:p w14:paraId="7A1474D0" w14:textId="17A2F1A2" w:rsidR="002102A0" w:rsidRPr="000C156A" w:rsidRDefault="002102A0" w:rsidP="00D8469D">
      <w:pPr>
        <w:pStyle w:val="enumlev1"/>
        <w:rPr>
          <w:lang w:eastAsia="zh-CN"/>
        </w:rPr>
      </w:pPr>
      <w:r w:rsidRPr="000C156A">
        <w:rPr>
          <w:lang w:eastAsia="zh-CN"/>
        </w:rPr>
        <w:t>•</w:t>
      </w:r>
      <w:r w:rsidRPr="000C156A">
        <w:rPr>
          <w:lang w:eastAsia="zh-CN"/>
        </w:rPr>
        <w:tab/>
      </w:r>
      <w:r w:rsidRPr="000C156A">
        <w:rPr>
          <w:rFonts w:hint="eastAsia"/>
          <w:lang w:eastAsia="zh-CN"/>
        </w:rPr>
        <w:t>以经济的手段获取资源并使之得到有效利用，突出高品质业务流程和不断的完善；</w:t>
      </w:r>
    </w:p>
    <w:p w14:paraId="7DD25635" w14:textId="611C8A2C" w:rsidR="002102A0" w:rsidRPr="000C156A" w:rsidRDefault="002102A0" w:rsidP="00D8469D">
      <w:pPr>
        <w:pStyle w:val="enumlev1"/>
        <w:rPr>
          <w:lang w:eastAsia="zh-CN"/>
        </w:rPr>
      </w:pPr>
      <w:r w:rsidRPr="000C156A">
        <w:rPr>
          <w:lang w:eastAsia="zh-CN"/>
        </w:rPr>
        <w:t>•</w:t>
      </w:r>
      <w:r w:rsidRPr="000C156A">
        <w:rPr>
          <w:lang w:eastAsia="zh-CN"/>
        </w:rPr>
        <w:tab/>
      </w:r>
      <w:r w:rsidRPr="000C156A">
        <w:rPr>
          <w:rFonts w:hint="eastAsia"/>
          <w:lang w:eastAsia="zh-CN"/>
        </w:rPr>
        <w:t>该组织的资源（包括人力、系统、数据</w:t>
      </w:r>
      <w:r w:rsidRPr="000C156A">
        <w:rPr>
          <w:lang w:eastAsia="zh-CN"/>
        </w:rPr>
        <w:t>/</w:t>
      </w:r>
      <w:r w:rsidRPr="000C156A">
        <w:rPr>
          <w:rFonts w:hint="eastAsia"/>
          <w:lang w:eastAsia="zh-CN"/>
        </w:rPr>
        <w:t>信息）得到充分保护；</w:t>
      </w:r>
    </w:p>
    <w:p w14:paraId="094218D5" w14:textId="75E60964" w:rsidR="002102A0" w:rsidRPr="000C156A" w:rsidRDefault="002102A0" w:rsidP="00D8469D">
      <w:pPr>
        <w:pStyle w:val="enumlev1"/>
        <w:rPr>
          <w:lang w:eastAsia="zh-CN"/>
        </w:rPr>
      </w:pPr>
      <w:r w:rsidRPr="000C156A">
        <w:rPr>
          <w:lang w:eastAsia="zh-CN"/>
        </w:rPr>
        <w:t>•</w:t>
      </w:r>
      <w:r w:rsidRPr="000C156A">
        <w:rPr>
          <w:lang w:eastAsia="zh-CN"/>
        </w:rPr>
        <w:tab/>
      </w:r>
      <w:r w:rsidRPr="000C156A">
        <w:rPr>
          <w:rFonts w:hint="eastAsia"/>
          <w:lang w:eastAsia="zh-CN"/>
        </w:rPr>
        <w:t>选任官员、高级顾问以及专业和一般事务类职员采取的行动符</w:t>
      </w:r>
      <w:r w:rsidR="00F11C74" w:rsidRPr="000C156A">
        <w:rPr>
          <w:rFonts w:hint="eastAsia"/>
          <w:lang w:eastAsia="zh-CN"/>
        </w:rPr>
        <w:t>遵循本</w:t>
      </w:r>
      <w:r w:rsidRPr="000C156A">
        <w:rPr>
          <w:rFonts w:hint="eastAsia"/>
          <w:lang w:eastAsia="zh-CN"/>
        </w:rPr>
        <w:t>组织的政策、标准、计划和程序以及所有相关法律、细则和规定</w:t>
      </w:r>
      <w:r w:rsidR="001A15FE" w:rsidRPr="000C156A">
        <w:rPr>
          <w:rFonts w:hint="eastAsia"/>
          <w:lang w:eastAsia="zh-CN"/>
        </w:rPr>
        <w:t>；</w:t>
      </w:r>
    </w:p>
    <w:p w14:paraId="47BF544F" w14:textId="77777777" w:rsidR="002102A0" w:rsidRPr="000C156A" w:rsidRDefault="002102A0" w:rsidP="00D8469D">
      <w:pPr>
        <w:pStyle w:val="enumlev1"/>
        <w:rPr>
          <w:lang w:eastAsia="zh-CN"/>
        </w:rPr>
      </w:pPr>
      <w:r w:rsidRPr="000C156A">
        <w:rPr>
          <w:lang w:eastAsia="zh-CN"/>
        </w:rPr>
        <w:t>•</w:t>
      </w:r>
      <w:r w:rsidRPr="000C156A">
        <w:rPr>
          <w:lang w:eastAsia="zh-CN"/>
        </w:rPr>
        <w:tab/>
      </w:r>
      <w:r w:rsidRPr="000C156A">
        <w:rPr>
          <w:rFonts w:hint="eastAsia"/>
          <w:lang w:eastAsia="zh-CN"/>
        </w:rPr>
        <w:t>内部或外部发表的数据和信息准确、可靠和及时。</w:t>
      </w:r>
    </w:p>
    <w:p w14:paraId="78DFC014" w14:textId="77777777" w:rsidR="001A15FE" w:rsidRPr="000C156A" w:rsidRDefault="001A15FE" w:rsidP="00D8469D">
      <w:pPr>
        <w:ind w:firstLineChars="200" w:firstLine="480"/>
        <w:rPr>
          <w:lang w:eastAsia="zh-CN"/>
        </w:rPr>
      </w:pPr>
      <w:r w:rsidRPr="000C156A">
        <w:rPr>
          <w:rFonts w:hint="eastAsia"/>
          <w:lang w:eastAsia="zh-CN"/>
        </w:rPr>
        <w:t>风险管理和内部控制管理属管理职能，是整体管理运作程序中不可分割的一部分。因此，国际电联各级管理人员有责任：</w:t>
      </w:r>
    </w:p>
    <w:p w14:paraId="7AF41789" w14:textId="1EEDAE47" w:rsidR="001A15FE" w:rsidRPr="000C156A" w:rsidRDefault="001A15FE" w:rsidP="00D8469D">
      <w:pPr>
        <w:pStyle w:val="enumlev1"/>
        <w:rPr>
          <w:lang w:eastAsia="zh-CN"/>
        </w:rPr>
      </w:pPr>
      <w:r w:rsidRPr="000C156A">
        <w:rPr>
          <w:lang w:eastAsia="zh-CN"/>
        </w:rPr>
        <w:t>•</w:t>
      </w:r>
      <w:r w:rsidRPr="000C156A">
        <w:rPr>
          <w:lang w:eastAsia="zh-CN"/>
        </w:rPr>
        <w:tab/>
      </w:r>
      <w:r w:rsidRPr="000C156A">
        <w:rPr>
          <w:rFonts w:hint="eastAsia"/>
          <w:lang w:eastAsia="zh-CN"/>
        </w:rPr>
        <w:t>发现并评估其工作领域可能面临的风险；</w:t>
      </w:r>
    </w:p>
    <w:p w14:paraId="0137D9E9" w14:textId="1F4389AD" w:rsidR="001A15FE" w:rsidRPr="000C156A" w:rsidRDefault="001A15FE" w:rsidP="00D8469D">
      <w:pPr>
        <w:pStyle w:val="enumlev1"/>
        <w:rPr>
          <w:lang w:eastAsia="zh-CN"/>
        </w:rPr>
      </w:pPr>
      <w:r w:rsidRPr="000C156A">
        <w:rPr>
          <w:lang w:eastAsia="zh-CN"/>
        </w:rPr>
        <w:t>•</w:t>
      </w:r>
      <w:r w:rsidRPr="000C156A">
        <w:rPr>
          <w:lang w:eastAsia="zh-CN"/>
        </w:rPr>
        <w:tab/>
      </w:r>
      <w:r w:rsidRPr="000C156A">
        <w:rPr>
          <w:rFonts w:hint="eastAsia"/>
          <w:lang w:eastAsia="zh-CN"/>
        </w:rPr>
        <w:t>制定并提出用来减少</w:t>
      </w:r>
      <w:r w:rsidR="00F11C74" w:rsidRPr="000C156A">
        <w:rPr>
          <w:rFonts w:hint="eastAsia"/>
          <w:lang w:eastAsia="zh-CN"/>
        </w:rPr>
        <w:t>和</w:t>
      </w:r>
      <w:r w:rsidRPr="000C156A">
        <w:rPr>
          <w:lang w:eastAsia="zh-CN"/>
        </w:rPr>
        <w:t>/</w:t>
      </w:r>
      <w:r w:rsidRPr="000C156A">
        <w:rPr>
          <w:rFonts w:hint="eastAsia"/>
          <w:lang w:eastAsia="zh-CN"/>
        </w:rPr>
        <w:t>或减轻已发现的相关风险的政策、计划和运作标准、程序、系统和其他指导原则；</w:t>
      </w:r>
    </w:p>
    <w:p w14:paraId="56AF6BED" w14:textId="7D0567F1" w:rsidR="001A15FE" w:rsidRPr="000C156A" w:rsidRDefault="001A15FE" w:rsidP="00D8469D">
      <w:pPr>
        <w:pStyle w:val="enumlev1"/>
        <w:rPr>
          <w:lang w:eastAsia="zh-CN"/>
        </w:rPr>
      </w:pPr>
      <w:r w:rsidRPr="000C156A">
        <w:rPr>
          <w:lang w:eastAsia="zh-CN"/>
        </w:rPr>
        <w:t>•</w:t>
      </w:r>
      <w:r w:rsidRPr="000C156A">
        <w:rPr>
          <w:lang w:eastAsia="zh-CN"/>
        </w:rPr>
        <w:tab/>
      </w:r>
      <w:r w:rsidRPr="000C156A">
        <w:rPr>
          <w:rFonts w:hint="eastAsia"/>
          <w:lang w:eastAsia="zh-CN"/>
        </w:rPr>
        <w:t>建立切实可行的控制程序，要求并鼓励职员以有助于实现上一段所述五个控制目标的方式履行其职责和责任；</w:t>
      </w:r>
    </w:p>
    <w:p w14:paraId="22CC4A5A" w14:textId="77777777" w:rsidR="001A15FE" w:rsidRPr="000C156A" w:rsidRDefault="001A15FE" w:rsidP="00D8469D">
      <w:pPr>
        <w:pStyle w:val="enumlev1"/>
        <w:rPr>
          <w:lang w:eastAsia="zh-CN"/>
        </w:rPr>
      </w:pPr>
      <w:r w:rsidRPr="000C156A">
        <w:rPr>
          <w:lang w:eastAsia="zh-CN"/>
        </w:rPr>
        <w:t>•</w:t>
      </w:r>
      <w:r w:rsidRPr="000C156A">
        <w:rPr>
          <w:lang w:eastAsia="zh-CN"/>
        </w:rPr>
        <w:tab/>
      </w:r>
      <w:r w:rsidRPr="000C156A">
        <w:rPr>
          <w:rFonts w:hint="eastAsia"/>
          <w:lang w:eastAsia="zh-CN"/>
        </w:rPr>
        <w:t>维护已设立的控制流程的有效性，强化对这些流程的不断改进。</w:t>
      </w:r>
    </w:p>
    <w:p w14:paraId="0124C486" w14:textId="79A1C814" w:rsidR="001A15FE" w:rsidRPr="000C156A" w:rsidRDefault="001A15FE" w:rsidP="00D8469D">
      <w:pPr>
        <w:pStyle w:val="Headingb"/>
        <w:rPr>
          <w:lang w:eastAsia="zh-CN"/>
        </w:rPr>
      </w:pPr>
      <w:bookmarkStart w:id="198" w:name="_Toc72744925"/>
      <w:bookmarkStart w:id="199" w:name="_Toc72747211"/>
      <w:bookmarkStart w:id="200" w:name="_Toc73461013"/>
      <w:bookmarkStart w:id="201" w:name="_Toc73518660"/>
      <w:bookmarkStart w:id="202" w:name="_Toc73518807"/>
      <w:bookmarkStart w:id="203" w:name="_Toc73519207"/>
      <w:bookmarkStart w:id="204" w:name="_Toc73636089"/>
      <w:bookmarkStart w:id="205" w:name="_Toc73636231"/>
      <w:r w:rsidRPr="000C156A">
        <w:rPr>
          <w:rFonts w:hint="eastAsia"/>
          <w:lang w:eastAsia="zh-CN"/>
        </w:rPr>
        <w:t>处理风险能力</w:t>
      </w:r>
      <w:bookmarkEnd w:id="198"/>
      <w:bookmarkEnd w:id="199"/>
      <w:bookmarkEnd w:id="200"/>
      <w:bookmarkEnd w:id="201"/>
      <w:bookmarkEnd w:id="202"/>
      <w:bookmarkEnd w:id="203"/>
      <w:bookmarkEnd w:id="204"/>
      <w:bookmarkEnd w:id="205"/>
    </w:p>
    <w:p w14:paraId="7A940A3D" w14:textId="154FD481" w:rsidR="001A15FE" w:rsidRPr="000C156A" w:rsidRDefault="001A15FE" w:rsidP="00D8469D">
      <w:pPr>
        <w:ind w:firstLineChars="200" w:firstLine="480"/>
        <w:rPr>
          <w:lang w:eastAsia="zh-CN"/>
        </w:rPr>
      </w:pPr>
      <w:r w:rsidRPr="000C156A">
        <w:rPr>
          <w:rFonts w:hint="eastAsia"/>
          <w:lang w:eastAsia="zh-CN"/>
        </w:rPr>
        <w:t>国际电联管理层致力于在全机构实施作为内部控制体系不可分割一部分的综合风险管理（</w:t>
      </w:r>
      <w:r w:rsidRPr="000C156A">
        <w:rPr>
          <w:lang w:eastAsia="zh-CN"/>
        </w:rPr>
        <w:t>IRM</w:t>
      </w:r>
      <w:r w:rsidRPr="000C156A">
        <w:rPr>
          <w:rFonts w:hint="eastAsia"/>
          <w:lang w:eastAsia="zh-CN"/>
        </w:rPr>
        <w:t>）</w:t>
      </w:r>
      <w:r w:rsidR="00AE12C8" w:rsidRPr="000C156A">
        <w:rPr>
          <w:rFonts w:hint="eastAsia"/>
          <w:lang w:eastAsia="zh-CN"/>
        </w:rPr>
        <w:t>程序</w:t>
      </w:r>
      <w:r w:rsidRPr="000C156A">
        <w:rPr>
          <w:rFonts w:hint="eastAsia"/>
          <w:lang w:eastAsia="zh-CN"/>
        </w:rPr>
        <w:t>。</w:t>
      </w:r>
    </w:p>
    <w:p w14:paraId="2DC16D09" w14:textId="77777777" w:rsidR="001A15FE" w:rsidRPr="000C156A" w:rsidRDefault="001A15FE" w:rsidP="001A15FE">
      <w:pPr>
        <w:pStyle w:val="enumlev1"/>
        <w:rPr>
          <w:lang w:eastAsia="zh-CN"/>
        </w:rPr>
      </w:pPr>
      <w:r w:rsidRPr="000C156A">
        <w:rPr>
          <w:lang w:val="en-US" w:eastAsia="zh-CN"/>
        </w:rPr>
        <w:t>a)</w:t>
      </w:r>
      <w:r w:rsidRPr="000C156A">
        <w:rPr>
          <w:lang w:val="en-US" w:eastAsia="zh-CN"/>
        </w:rPr>
        <w:tab/>
      </w:r>
      <w:r w:rsidRPr="000C156A">
        <w:rPr>
          <w:rFonts w:hint="eastAsia"/>
          <w:lang w:eastAsia="zh-CN"/>
        </w:rPr>
        <w:t>国际电联内部控制体系一直围绕作为信息管理系统组成部分的</w:t>
      </w:r>
      <w:r w:rsidRPr="000C156A">
        <w:rPr>
          <w:lang w:eastAsia="zh-CN"/>
        </w:rPr>
        <w:t>SAP</w:t>
      </w:r>
      <w:r w:rsidRPr="000C156A">
        <w:rPr>
          <w:rFonts w:hint="eastAsia"/>
          <w:lang w:eastAsia="zh-CN"/>
        </w:rPr>
        <w:t>的使用：</w:t>
      </w:r>
    </w:p>
    <w:p w14:paraId="7080C49D" w14:textId="77777777" w:rsidR="001A15FE" w:rsidRPr="000C156A" w:rsidRDefault="001A15FE" w:rsidP="001A15FE">
      <w:pPr>
        <w:pStyle w:val="enumlev2"/>
        <w:rPr>
          <w:lang w:eastAsia="zh-CN"/>
        </w:rPr>
      </w:pPr>
      <w:r w:rsidRPr="000C156A">
        <w:rPr>
          <w:lang w:eastAsia="zh-CN"/>
        </w:rPr>
        <w:t>•</w:t>
      </w:r>
      <w:r w:rsidRPr="000C156A">
        <w:rPr>
          <w:lang w:eastAsia="zh-CN"/>
        </w:rPr>
        <w:tab/>
      </w:r>
      <w:r w:rsidRPr="000C156A">
        <w:rPr>
          <w:rFonts w:hint="eastAsia"/>
          <w:lang w:eastAsia="zh-CN"/>
        </w:rPr>
        <w:t>反映该组织的结构、工作和权利流程；</w:t>
      </w:r>
    </w:p>
    <w:p w14:paraId="1703ACC7" w14:textId="77777777" w:rsidR="001A15FE" w:rsidRPr="000C156A" w:rsidRDefault="001A15FE" w:rsidP="001A15FE">
      <w:pPr>
        <w:pStyle w:val="enumlev2"/>
        <w:rPr>
          <w:lang w:eastAsia="zh-CN"/>
        </w:rPr>
      </w:pPr>
      <w:r w:rsidRPr="000C156A">
        <w:rPr>
          <w:lang w:eastAsia="zh-CN"/>
        </w:rPr>
        <w:t>•</w:t>
      </w:r>
      <w:r w:rsidRPr="000C156A">
        <w:rPr>
          <w:lang w:eastAsia="zh-CN"/>
        </w:rPr>
        <w:tab/>
      </w:r>
      <w:r w:rsidRPr="000C156A">
        <w:rPr>
          <w:rFonts w:hint="eastAsia"/>
          <w:lang w:eastAsia="zh-CN"/>
        </w:rPr>
        <w:t>按照该组织全权代表大会通过的组织基本文件掌握分配到该组织的预算分配情况；</w:t>
      </w:r>
    </w:p>
    <w:p w14:paraId="03081DF2" w14:textId="77777777" w:rsidR="001A15FE" w:rsidRPr="000C156A" w:rsidRDefault="001A15FE" w:rsidP="001A15FE">
      <w:pPr>
        <w:pStyle w:val="enumlev2"/>
        <w:rPr>
          <w:lang w:eastAsia="zh-CN"/>
        </w:rPr>
      </w:pPr>
      <w:r w:rsidRPr="000C156A">
        <w:rPr>
          <w:lang w:eastAsia="zh-CN"/>
        </w:rPr>
        <w:t>•</w:t>
      </w:r>
      <w:r w:rsidRPr="000C156A">
        <w:rPr>
          <w:lang w:eastAsia="zh-CN"/>
        </w:rPr>
        <w:tab/>
      </w:r>
      <w:r w:rsidRPr="000C156A">
        <w:rPr>
          <w:rFonts w:hint="eastAsia"/>
          <w:lang w:eastAsia="zh-CN"/>
        </w:rPr>
        <w:t>实现系统综合控制和“二人过目”原则；</w:t>
      </w:r>
    </w:p>
    <w:p w14:paraId="6971839C" w14:textId="77777777" w:rsidR="001A15FE" w:rsidRPr="000C156A" w:rsidRDefault="001A15FE" w:rsidP="001A15FE">
      <w:pPr>
        <w:pStyle w:val="enumlev2"/>
        <w:rPr>
          <w:lang w:eastAsia="zh-CN"/>
        </w:rPr>
      </w:pPr>
      <w:r w:rsidRPr="000C156A">
        <w:rPr>
          <w:lang w:eastAsia="zh-CN"/>
        </w:rPr>
        <w:t>•</w:t>
      </w:r>
      <w:r w:rsidRPr="000C156A">
        <w:rPr>
          <w:lang w:eastAsia="zh-CN"/>
        </w:rPr>
        <w:tab/>
      </w:r>
      <w:r w:rsidRPr="000C156A">
        <w:rPr>
          <w:rFonts w:hint="eastAsia"/>
          <w:lang w:eastAsia="zh-CN"/>
        </w:rPr>
        <w:t>通过</w:t>
      </w:r>
      <w:r w:rsidRPr="000C156A">
        <w:rPr>
          <w:lang w:eastAsia="zh-CN"/>
        </w:rPr>
        <w:t>IPSAS</w:t>
      </w:r>
      <w:r w:rsidRPr="000C156A">
        <w:rPr>
          <w:rFonts w:hint="eastAsia"/>
          <w:lang w:eastAsia="zh-CN"/>
        </w:rPr>
        <w:t>会计和报告，定期清点和采购记录程序和控制进行指导，监督和资源使用的衡量。</w:t>
      </w:r>
    </w:p>
    <w:p w14:paraId="30E50DE8" w14:textId="77777777" w:rsidR="001A15FE" w:rsidRPr="000C156A" w:rsidRDefault="001A15FE" w:rsidP="001A15FE">
      <w:pPr>
        <w:pStyle w:val="enumlev1"/>
        <w:rPr>
          <w:lang w:eastAsia="zh-CN"/>
        </w:rPr>
      </w:pPr>
      <w:r w:rsidRPr="000C156A">
        <w:rPr>
          <w:lang w:val="en-US" w:eastAsia="zh-CN"/>
        </w:rPr>
        <w:lastRenderedPageBreak/>
        <w:t>b)</w:t>
      </w:r>
      <w:r w:rsidRPr="000C156A">
        <w:rPr>
          <w:lang w:val="en-US" w:eastAsia="zh-CN"/>
        </w:rPr>
        <w:tab/>
      </w:r>
      <w:r w:rsidRPr="000C156A">
        <w:rPr>
          <w:rFonts w:hint="eastAsia"/>
          <w:lang w:eastAsia="zh-CN"/>
        </w:rPr>
        <w:t>综合信息管理系统和有力的资源投入控制，是国际电联财务报告的可靠性和按战略目标的资源消费跟进的基础。</w:t>
      </w:r>
    </w:p>
    <w:p w14:paraId="3E984E0E" w14:textId="5EF06E13" w:rsidR="001A15FE" w:rsidRPr="000C156A" w:rsidRDefault="001A15FE" w:rsidP="001A15FE">
      <w:pPr>
        <w:pStyle w:val="enumlev1"/>
        <w:rPr>
          <w:rFonts w:asciiTheme="minorHAnsi" w:hAnsiTheme="minorHAnsi" w:cstheme="minorHAnsi"/>
          <w:lang w:eastAsia="zh-CN"/>
        </w:rPr>
      </w:pPr>
      <w:r w:rsidRPr="000C156A">
        <w:rPr>
          <w:lang w:val="en-US" w:eastAsia="zh-CN"/>
        </w:rPr>
        <w:t>c)</w:t>
      </w:r>
      <w:r w:rsidRPr="000C156A">
        <w:rPr>
          <w:lang w:val="en-US" w:eastAsia="zh-CN"/>
        </w:rPr>
        <w:tab/>
      </w:r>
      <w:r w:rsidRPr="000C156A">
        <w:rPr>
          <w:rFonts w:hint="eastAsia"/>
          <w:lang w:eastAsia="zh-CN"/>
        </w:rPr>
        <w:t>此外，合同委员会协助秘书长确保为了国际电联的利益高效利用国际电联资源。法律事务处为遵守法律、细则和规定</w:t>
      </w:r>
      <w:r w:rsidR="00AE12C8" w:rsidRPr="000C156A">
        <w:rPr>
          <w:rFonts w:hint="eastAsia"/>
          <w:lang w:eastAsia="zh-CN"/>
        </w:rPr>
        <w:t>为整个组织提供指导；道德规范办公室为</w:t>
      </w:r>
      <w:r w:rsidRPr="000C156A">
        <w:rPr>
          <w:rFonts w:hint="eastAsia"/>
          <w:lang w:eastAsia="zh-CN"/>
        </w:rPr>
        <w:t>宣传和推广国际电联的道德</w:t>
      </w:r>
      <w:r w:rsidR="001137A8" w:rsidRPr="000C156A">
        <w:rPr>
          <w:rFonts w:hint="eastAsia"/>
          <w:lang w:eastAsia="zh-CN"/>
        </w:rPr>
        <w:t>规范</w:t>
      </w:r>
      <w:r w:rsidRPr="000C156A">
        <w:rPr>
          <w:rFonts w:hint="eastAsia"/>
          <w:lang w:eastAsia="zh-CN"/>
        </w:rPr>
        <w:t>政策</w:t>
      </w:r>
      <w:r w:rsidR="001137A8" w:rsidRPr="000C156A">
        <w:rPr>
          <w:rFonts w:hint="eastAsia"/>
          <w:lang w:eastAsia="zh-CN"/>
        </w:rPr>
        <w:t>添砖加瓦</w:t>
      </w:r>
      <w:r w:rsidRPr="000C156A">
        <w:rPr>
          <w:rFonts w:hint="eastAsia"/>
          <w:lang w:eastAsia="zh-CN"/>
        </w:rPr>
        <w:t>。内部审计处通过审计工作亦为秘书长就组织的管理、风险管理和有效控制提供保证。</w:t>
      </w:r>
    </w:p>
    <w:p w14:paraId="50C5D8B6" w14:textId="5F37F2FF" w:rsidR="001A15FE" w:rsidRPr="000C156A" w:rsidRDefault="001A15FE" w:rsidP="001A15FE">
      <w:pPr>
        <w:pStyle w:val="enumlev1"/>
        <w:rPr>
          <w:rFonts w:cs="Arial"/>
          <w:szCs w:val="24"/>
          <w:lang w:eastAsia="zh-CN"/>
        </w:rPr>
      </w:pPr>
      <w:r w:rsidRPr="000C156A">
        <w:rPr>
          <w:lang w:val="en-US" w:eastAsia="zh-CN"/>
        </w:rPr>
        <w:t>d)</w:t>
      </w:r>
      <w:r w:rsidRPr="000C156A">
        <w:rPr>
          <w:lang w:val="en-US" w:eastAsia="zh-CN"/>
        </w:rPr>
        <w:tab/>
      </w:r>
      <w:r w:rsidRPr="000C156A">
        <w:rPr>
          <w:rFonts w:hint="eastAsia"/>
          <w:lang w:eastAsia="zh-CN"/>
        </w:rPr>
        <w:t>战略风险管理已通过确定战略风险和缓解措施纳入国际电联的战略规划。如第</w:t>
      </w:r>
      <w:r w:rsidRPr="000C156A">
        <w:rPr>
          <w:lang w:eastAsia="zh-CN"/>
        </w:rPr>
        <w:t>71</w:t>
      </w:r>
      <w:r w:rsidRPr="000C156A">
        <w:rPr>
          <w:rFonts w:hint="eastAsia"/>
          <w:lang w:eastAsia="zh-CN"/>
        </w:rPr>
        <w:t>号决议</w:t>
      </w:r>
      <w:r w:rsidR="001137A8" w:rsidRPr="000C156A">
        <w:rPr>
          <w:rFonts w:hint="eastAsia"/>
          <w:lang w:eastAsia="zh-CN"/>
        </w:rPr>
        <w:t>（</w:t>
      </w:r>
      <w:r w:rsidR="001137A8" w:rsidRPr="000C156A">
        <w:rPr>
          <w:rFonts w:hint="eastAsia"/>
          <w:lang w:eastAsia="zh-CN"/>
        </w:rPr>
        <w:t>2</w:t>
      </w:r>
      <w:r w:rsidR="001137A8" w:rsidRPr="000C156A">
        <w:rPr>
          <w:lang w:eastAsia="zh-CN"/>
        </w:rPr>
        <w:t>018</w:t>
      </w:r>
      <w:r w:rsidR="001137A8" w:rsidRPr="000C156A">
        <w:rPr>
          <w:rFonts w:hint="eastAsia"/>
          <w:lang w:eastAsia="zh-CN"/>
        </w:rPr>
        <w:t>年，迪拜，修订版）</w:t>
      </w:r>
      <w:r w:rsidRPr="000C156A">
        <w:rPr>
          <w:rFonts w:hint="eastAsia"/>
          <w:lang w:eastAsia="zh-CN"/>
        </w:rPr>
        <w:t>所述，风险管理框架是国际电联</w:t>
      </w:r>
      <w:r w:rsidRPr="000C156A">
        <w:rPr>
          <w:lang w:eastAsia="zh-CN"/>
        </w:rPr>
        <w:t>20</w:t>
      </w:r>
      <w:r w:rsidR="001137A8" w:rsidRPr="000C156A">
        <w:rPr>
          <w:lang w:eastAsia="zh-CN"/>
        </w:rPr>
        <w:t>20</w:t>
      </w:r>
      <w:r w:rsidRPr="000C156A">
        <w:rPr>
          <w:lang w:eastAsia="zh-CN"/>
        </w:rPr>
        <w:t>-20</w:t>
      </w:r>
      <w:r w:rsidR="001137A8" w:rsidRPr="000C156A">
        <w:rPr>
          <w:lang w:eastAsia="zh-CN"/>
        </w:rPr>
        <w:t>23</w:t>
      </w:r>
      <w:r w:rsidRPr="000C156A">
        <w:rPr>
          <w:rFonts w:hint="eastAsia"/>
          <w:lang w:eastAsia="zh-CN"/>
        </w:rPr>
        <w:t>年战略规划的组成部分并已获得</w:t>
      </w:r>
      <w:r w:rsidRPr="000C156A">
        <w:rPr>
          <w:lang w:eastAsia="zh-CN"/>
        </w:rPr>
        <w:t>201</w:t>
      </w:r>
      <w:r w:rsidR="001137A8" w:rsidRPr="000C156A">
        <w:rPr>
          <w:lang w:eastAsia="zh-CN"/>
        </w:rPr>
        <w:t>8</w:t>
      </w:r>
      <w:r w:rsidRPr="000C156A">
        <w:rPr>
          <w:rFonts w:hint="eastAsia"/>
          <w:lang w:eastAsia="zh-CN"/>
        </w:rPr>
        <w:t>年全权代表大会的批准。将通过制定风险管理政策、机构风险管理声明和战略风险管理登记表，进一步完善该风险管理框架。</w:t>
      </w:r>
    </w:p>
    <w:p w14:paraId="0A5CF644" w14:textId="77777777" w:rsidR="001A15FE" w:rsidRPr="000C156A" w:rsidRDefault="001A15FE" w:rsidP="009C5D86">
      <w:pPr>
        <w:pStyle w:val="enumlev1"/>
        <w:rPr>
          <w:lang w:eastAsia="zh-CN"/>
        </w:rPr>
      </w:pPr>
      <w:r w:rsidRPr="000C156A">
        <w:rPr>
          <w:lang w:val="en-US" w:eastAsia="zh-CN"/>
        </w:rPr>
        <w:t>e)</w:t>
      </w:r>
      <w:r w:rsidRPr="000C156A">
        <w:rPr>
          <w:lang w:val="en-US" w:eastAsia="zh-CN"/>
        </w:rPr>
        <w:tab/>
      </w:r>
      <w:r w:rsidRPr="000C156A">
        <w:rPr>
          <w:rFonts w:hint="eastAsia"/>
          <w:lang w:eastAsia="zh-CN"/>
        </w:rPr>
        <w:t>运作风险管理也是国际电联业务管理程序的组成部分。包括三个局和总秘书处在内的国际电联管理层，定期审核与实现机构各部门目标相关的风险，并在建立监测残余风险状态的风险控制的同时，采取必要的缓解措施。</w:t>
      </w:r>
    </w:p>
    <w:p w14:paraId="2AEE6B0E" w14:textId="691263AF" w:rsidR="009C5D86" w:rsidRPr="000C156A" w:rsidRDefault="009C5D86" w:rsidP="00D8469D">
      <w:pPr>
        <w:pStyle w:val="Headingb"/>
        <w:rPr>
          <w:lang w:eastAsia="zh-CN"/>
        </w:rPr>
      </w:pPr>
      <w:bookmarkStart w:id="206" w:name="_Toc72744926"/>
      <w:bookmarkStart w:id="207" w:name="_Toc72747212"/>
      <w:bookmarkStart w:id="208" w:name="_Toc73461014"/>
      <w:bookmarkStart w:id="209" w:name="_Toc73518661"/>
      <w:bookmarkStart w:id="210" w:name="_Toc73518808"/>
      <w:bookmarkStart w:id="211" w:name="_Toc73519208"/>
      <w:bookmarkStart w:id="212" w:name="_Toc73636090"/>
      <w:bookmarkStart w:id="213" w:name="_Toc73636232"/>
      <w:r w:rsidRPr="000C156A">
        <w:rPr>
          <w:rFonts w:hint="eastAsia"/>
          <w:lang w:eastAsia="zh-CN"/>
        </w:rPr>
        <w:t>有效性审议</w:t>
      </w:r>
      <w:bookmarkEnd w:id="206"/>
      <w:bookmarkEnd w:id="207"/>
      <w:bookmarkEnd w:id="208"/>
      <w:bookmarkEnd w:id="209"/>
      <w:bookmarkEnd w:id="210"/>
      <w:bookmarkEnd w:id="211"/>
      <w:bookmarkEnd w:id="212"/>
      <w:bookmarkEnd w:id="213"/>
    </w:p>
    <w:p w14:paraId="060F0BDB" w14:textId="6527D091" w:rsidR="00FA586A" w:rsidRPr="000C156A" w:rsidRDefault="00FA586A" w:rsidP="00822ADB">
      <w:pPr>
        <w:rPr>
          <w:lang w:eastAsia="zh-CN"/>
        </w:rPr>
      </w:pPr>
      <w:r w:rsidRPr="000C156A">
        <w:rPr>
          <w:rFonts w:cs="Arial"/>
          <w:szCs w:val="24"/>
          <w:lang w:eastAsia="zh-CN"/>
        </w:rPr>
        <w:t>1</w:t>
      </w:r>
      <w:r w:rsidRPr="000C156A">
        <w:rPr>
          <w:rFonts w:cs="Arial"/>
          <w:szCs w:val="24"/>
          <w:lang w:eastAsia="zh-CN"/>
        </w:rPr>
        <w:tab/>
      </w:r>
      <w:r w:rsidR="00C77E68" w:rsidRPr="000C156A">
        <w:rPr>
          <w:rFonts w:hint="eastAsia"/>
          <w:lang w:eastAsia="zh-CN"/>
        </w:rPr>
        <w:t>国际电联管理层的执行负责人有责任确定并维护各自领域的内部控制框架。我对内部控制系统有效性的评述以其工作为基础。我从国际电联主要执行负责人和官员签署的内部代表信函获得保证，</w:t>
      </w:r>
      <w:r w:rsidR="00C77E68" w:rsidRPr="000C156A">
        <w:rPr>
          <w:rFonts w:cs="Arial"/>
          <w:szCs w:val="24"/>
          <w:lang w:eastAsia="zh-CN"/>
        </w:rPr>
        <w:t>2020</w:t>
      </w:r>
      <w:r w:rsidR="00C77E68" w:rsidRPr="000C156A">
        <w:rPr>
          <w:rFonts w:hint="eastAsia"/>
          <w:lang w:eastAsia="zh-CN"/>
        </w:rPr>
        <w:t>年财务期遵守以下要求：</w:t>
      </w:r>
    </w:p>
    <w:p w14:paraId="308DD2ED" w14:textId="77777777" w:rsidR="00C77E68" w:rsidRPr="000C156A" w:rsidRDefault="00C77E68" w:rsidP="00822ADB">
      <w:pPr>
        <w:pStyle w:val="enumlev1"/>
        <w:rPr>
          <w:lang w:eastAsia="zh-CN"/>
        </w:rPr>
      </w:pPr>
      <w:r w:rsidRPr="000C156A">
        <w:rPr>
          <w:lang w:eastAsia="zh-CN"/>
        </w:rPr>
        <w:t>•</w:t>
      </w:r>
      <w:r w:rsidRPr="000C156A">
        <w:rPr>
          <w:lang w:eastAsia="zh-CN"/>
        </w:rPr>
        <w:tab/>
      </w:r>
      <w:r w:rsidRPr="000C156A">
        <w:rPr>
          <w:rFonts w:hint="eastAsia"/>
          <w:lang w:eastAsia="zh-CN"/>
        </w:rPr>
        <w:t>承诺或承付款项以及费用符合理事会批准的划拨或其他财务准备或有关资金的目的、规则和条款；</w:t>
      </w:r>
    </w:p>
    <w:p w14:paraId="4BE1A34A" w14:textId="77777777" w:rsidR="00C77E68" w:rsidRPr="000C156A" w:rsidRDefault="00C77E68" w:rsidP="00822ADB">
      <w:pPr>
        <w:pStyle w:val="enumlev1"/>
        <w:rPr>
          <w:lang w:eastAsia="zh-CN"/>
        </w:rPr>
      </w:pPr>
      <w:r w:rsidRPr="000C156A">
        <w:rPr>
          <w:lang w:eastAsia="zh-CN"/>
        </w:rPr>
        <w:t>•</w:t>
      </w:r>
      <w:r w:rsidRPr="000C156A">
        <w:rPr>
          <w:lang w:eastAsia="zh-CN"/>
        </w:rPr>
        <w:tab/>
      </w:r>
      <w:r w:rsidRPr="000C156A">
        <w:rPr>
          <w:rFonts w:hint="eastAsia"/>
          <w:lang w:eastAsia="zh-CN"/>
        </w:rPr>
        <w:t>以有效、高效和经济的方式使用国际电联的资源；</w:t>
      </w:r>
    </w:p>
    <w:p w14:paraId="2A423BE1" w14:textId="77777777" w:rsidR="00C77E68" w:rsidRPr="000C156A" w:rsidRDefault="00C77E68" w:rsidP="00822ADB">
      <w:pPr>
        <w:pStyle w:val="enumlev1"/>
        <w:rPr>
          <w:lang w:eastAsia="zh-CN"/>
        </w:rPr>
      </w:pPr>
      <w:r w:rsidRPr="000C156A">
        <w:rPr>
          <w:lang w:eastAsia="zh-CN"/>
        </w:rPr>
        <w:t>•</w:t>
      </w:r>
      <w:r w:rsidRPr="000C156A">
        <w:rPr>
          <w:lang w:eastAsia="zh-CN"/>
        </w:rPr>
        <w:tab/>
      </w:r>
      <w:r w:rsidRPr="000C156A">
        <w:rPr>
          <w:rFonts w:hint="eastAsia"/>
          <w:lang w:eastAsia="zh-CN"/>
        </w:rPr>
        <w:t>国际电联所有资金和其他资源的正常接收、管理和分配；</w:t>
      </w:r>
    </w:p>
    <w:p w14:paraId="49FFF317" w14:textId="77777777" w:rsidR="00C77E68" w:rsidRPr="000C156A" w:rsidRDefault="00C77E68" w:rsidP="00822ADB">
      <w:pPr>
        <w:pStyle w:val="enumlev1"/>
        <w:rPr>
          <w:lang w:eastAsia="zh-CN"/>
        </w:rPr>
      </w:pPr>
      <w:r w:rsidRPr="000C156A">
        <w:rPr>
          <w:lang w:eastAsia="zh-CN"/>
        </w:rPr>
        <w:t>•</w:t>
      </w:r>
      <w:r w:rsidRPr="000C156A">
        <w:rPr>
          <w:lang w:eastAsia="zh-CN"/>
        </w:rPr>
        <w:tab/>
      </w:r>
      <w:r w:rsidRPr="000C156A">
        <w:rPr>
          <w:rFonts w:hint="eastAsia"/>
          <w:lang w:eastAsia="zh-CN"/>
        </w:rPr>
        <w:t>财务和其他管理数据的及时性、完整性和准确性。</w:t>
      </w:r>
    </w:p>
    <w:p w14:paraId="022CD310" w14:textId="5D3F548C" w:rsidR="00FA586A" w:rsidRPr="000C156A" w:rsidRDefault="00FA586A" w:rsidP="00822ADB">
      <w:pPr>
        <w:rPr>
          <w:lang w:eastAsia="zh-CN"/>
        </w:rPr>
      </w:pPr>
      <w:r w:rsidRPr="000C156A">
        <w:rPr>
          <w:rFonts w:cs="Arial"/>
          <w:szCs w:val="24"/>
          <w:lang w:eastAsia="zh-CN"/>
        </w:rPr>
        <w:t>2</w:t>
      </w:r>
      <w:r w:rsidRPr="000C156A">
        <w:rPr>
          <w:rFonts w:cs="Arial"/>
          <w:szCs w:val="24"/>
          <w:lang w:eastAsia="zh-CN"/>
        </w:rPr>
        <w:tab/>
      </w:r>
      <w:r w:rsidR="00C77E68" w:rsidRPr="000C156A">
        <w:rPr>
          <w:rFonts w:hint="eastAsia"/>
          <w:lang w:eastAsia="zh-CN"/>
        </w:rPr>
        <w:t>国际电联的基本文件、规则和细则、行政规定、办公谅解备忘录和信息通函构成国际电联的规则框架。</w:t>
      </w:r>
    </w:p>
    <w:p w14:paraId="6573DD60" w14:textId="0035CEA0" w:rsidR="00FA586A" w:rsidRPr="000C156A" w:rsidRDefault="00FA586A" w:rsidP="00822ADB">
      <w:pPr>
        <w:rPr>
          <w:lang w:eastAsia="zh-CN"/>
        </w:rPr>
      </w:pPr>
      <w:r w:rsidRPr="000C156A">
        <w:rPr>
          <w:rFonts w:cs="Arial"/>
          <w:szCs w:val="24"/>
          <w:lang w:eastAsia="zh-CN"/>
        </w:rPr>
        <w:t>3</w:t>
      </w:r>
      <w:r w:rsidRPr="000C156A">
        <w:rPr>
          <w:rFonts w:cs="Arial"/>
          <w:szCs w:val="24"/>
          <w:lang w:eastAsia="zh-CN"/>
        </w:rPr>
        <w:tab/>
      </w:r>
      <w:r w:rsidR="00C77E68" w:rsidRPr="000C156A">
        <w:rPr>
          <w:rFonts w:hint="eastAsia"/>
          <w:lang w:eastAsia="zh-CN"/>
        </w:rPr>
        <w:t>所有国际电联的体系、流程、运作、职能和活动须接受内部审计处的内部审计。内部审计处在开展工作时将努力遵守国际内部审计专业业务准则。我凭借审计工作获得保障，该组织的管理和风险管理充分，内部控制行之有效。</w:t>
      </w:r>
    </w:p>
    <w:p w14:paraId="192978B0" w14:textId="34B071CC" w:rsidR="00FA586A" w:rsidRPr="000C156A" w:rsidRDefault="00FA586A" w:rsidP="00822ADB">
      <w:pPr>
        <w:rPr>
          <w:lang w:eastAsia="zh-CN"/>
        </w:rPr>
      </w:pPr>
      <w:r w:rsidRPr="000C156A">
        <w:rPr>
          <w:rFonts w:cs="Arial"/>
          <w:szCs w:val="24"/>
          <w:lang w:eastAsia="zh-CN"/>
        </w:rPr>
        <w:t>4</w:t>
      </w:r>
      <w:r w:rsidRPr="000C156A">
        <w:rPr>
          <w:rFonts w:cs="Arial"/>
          <w:szCs w:val="24"/>
          <w:lang w:eastAsia="zh-CN"/>
        </w:rPr>
        <w:tab/>
      </w:r>
      <w:r w:rsidR="00C77E68" w:rsidRPr="000C156A">
        <w:rPr>
          <w:lang w:eastAsia="zh-CN"/>
        </w:rPr>
        <w:t>2019</w:t>
      </w:r>
      <w:r w:rsidR="00C77E68" w:rsidRPr="000C156A">
        <w:rPr>
          <w:lang w:eastAsia="zh-CN"/>
        </w:rPr>
        <w:t>年</w:t>
      </w:r>
      <w:r w:rsidR="00C77E68" w:rsidRPr="000C156A">
        <w:rPr>
          <w:lang w:eastAsia="zh-CN"/>
        </w:rPr>
        <w:t>5</w:t>
      </w:r>
      <w:r w:rsidR="00C77E68" w:rsidRPr="000C156A">
        <w:rPr>
          <w:lang w:eastAsia="zh-CN"/>
        </w:rPr>
        <w:t>月</w:t>
      </w:r>
      <w:r w:rsidR="00C77E68" w:rsidRPr="000C156A">
        <w:rPr>
          <w:lang w:eastAsia="zh-CN"/>
        </w:rPr>
        <w:t>2</w:t>
      </w:r>
      <w:r w:rsidR="00C77E68" w:rsidRPr="000C156A">
        <w:rPr>
          <w:lang w:eastAsia="zh-CN"/>
        </w:rPr>
        <w:t>日发布了一项</w:t>
      </w:r>
      <w:r w:rsidR="00C77E68" w:rsidRPr="000C156A">
        <w:rPr>
          <w:rFonts w:hint="eastAsia"/>
          <w:lang w:eastAsia="zh-CN"/>
        </w:rPr>
        <w:t>行政规定，该规定涉及</w:t>
      </w:r>
      <w:r w:rsidR="00C77E68" w:rsidRPr="000C156A">
        <w:rPr>
          <w:lang w:eastAsia="zh-CN"/>
        </w:rPr>
        <w:t>国际电联反</w:t>
      </w:r>
      <w:r w:rsidR="00C77E68" w:rsidRPr="000C156A">
        <w:rPr>
          <w:rFonts w:hint="eastAsia"/>
          <w:lang w:eastAsia="zh-CN"/>
        </w:rPr>
        <w:t>欺诈</w:t>
      </w:r>
      <w:r w:rsidR="00C77E68" w:rsidRPr="000C156A">
        <w:rPr>
          <w:lang w:eastAsia="zh-CN"/>
        </w:rPr>
        <w:t>和其他</w:t>
      </w:r>
      <w:r w:rsidR="00C77E68" w:rsidRPr="000C156A">
        <w:rPr>
          <w:rFonts w:hint="eastAsia"/>
          <w:lang w:eastAsia="zh-CN"/>
        </w:rPr>
        <w:t>明令禁止行为的</w:t>
      </w:r>
      <w:r w:rsidR="00C77E68" w:rsidRPr="000C156A">
        <w:rPr>
          <w:lang w:eastAsia="zh-CN"/>
        </w:rPr>
        <w:t>政策</w:t>
      </w:r>
      <w:r w:rsidR="00C77E68" w:rsidRPr="000C156A">
        <w:rPr>
          <w:rFonts w:hint="eastAsia"/>
          <w:lang w:eastAsia="zh-CN"/>
        </w:rPr>
        <w:t>（简称“</w:t>
      </w:r>
      <w:r w:rsidR="00C77E68" w:rsidRPr="000C156A">
        <w:rPr>
          <w:lang w:eastAsia="zh-CN"/>
        </w:rPr>
        <w:t>政策</w:t>
      </w:r>
      <w:r w:rsidR="00C77E68" w:rsidRPr="000C156A">
        <w:rPr>
          <w:rFonts w:hint="eastAsia"/>
          <w:lang w:eastAsia="zh-CN"/>
        </w:rPr>
        <w:t>”）</w:t>
      </w:r>
      <w:r w:rsidR="00C77E68" w:rsidRPr="000C156A">
        <w:rPr>
          <w:lang w:eastAsia="zh-CN"/>
        </w:rPr>
        <w:t>，</w:t>
      </w:r>
      <w:r w:rsidR="00C77E68" w:rsidRPr="000C156A">
        <w:rPr>
          <w:rFonts w:hint="eastAsia"/>
          <w:lang w:eastAsia="zh-CN"/>
        </w:rPr>
        <w:t>它</w:t>
      </w:r>
      <w:r w:rsidR="00C77E68" w:rsidRPr="000C156A">
        <w:rPr>
          <w:lang w:eastAsia="zh-CN"/>
        </w:rPr>
        <w:t>概述了国际电联为防止、发现和应对包括</w:t>
      </w:r>
      <w:r w:rsidR="00C77E68" w:rsidRPr="000C156A">
        <w:rPr>
          <w:rFonts w:hint="eastAsia"/>
          <w:lang w:eastAsia="zh-CN"/>
        </w:rPr>
        <w:t>欺诈和其他明令禁止做法</w:t>
      </w:r>
      <w:r w:rsidR="00C77E68" w:rsidRPr="000C156A">
        <w:rPr>
          <w:lang w:eastAsia="zh-CN"/>
        </w:rPr>
        <w:t>而采取的政策和程序。国际电联</w:t>
      </w:r>
      <w:r w:rsidR="00C77E68" w:rsidRPr="000C156A">
        <w:rPr>
          <w:rFonts w:hint="eastAsia"/>
          <w:lang w:eastAsia="zh-CN"/>
        </w:rPr>
        <w:t>职员</w:t>
      </w:r>
      <w:r w:rsidR="00C77E68" w:rsidRPr="000C156A">
        <w:rPr>
          <w:lang w:eastAsia="zh-CN"/>
        </w:rPr>
        <w:t>如果掌握</w:t>
      </w:r>
      <w:r w:rsidR="00C77E68" w:rsidRPr="000C156A">
        <w:rPr>
          <w:rFonts w:hint="eastAsia"/>
          <w:lang w:eastAsia="zh-CN"/>
        </w:rPr>
        <w:t>了相关</w:t>
      </w:r>
      <w:r w:rsidR="00C77E68" w:rsidRPr="000C156A">
        <w:rPr>
          <w:lang w:eastAsia="zh-CN"/>
        </w:rPr>
        <w:t>信息或证据，有理由相信存在</w:t>
      </w:r>
      <w:r w:rsidR="00C77E68" w:rsidRPr="000C156A">
        <w:rPr>
          <w:rFonts w:hint="eastAsia"/>
          <w:lang w:eastAsia="zh-CN"/>
        </w:rPr>
        <w:t>欺诈</w:t>
      </w:r>
      <w:r w:rsidR="00C77E68" w:rsidRPr="000C156A">
        <w:rPr>
          <w:lang w:eastAsia="zh-CN"/>
        </w:rPr>
        <w:t>、腐败和其他</w:t>
      </w:r>
      <w:r w:rsidR="00C77E68" w:rsidRPr="000C156A">
        <w:rPr>
          <w:rFonts w:hint="eastAsia"/>
          <w:lang w:eastAsia="zh-CN"/>
        </w:rPr>
        <w:t>明令禁止的</w:t>
      </w:r>
      <w:r w:rsidR="00C77E68" w:rsidRPr="000C156A">
        <w:rPr>
          <w:lang w:eastAsia="zh-CN"/>
        </w:rPr>
        <w:t>做法，则有义务举报，并将受到保护，免遭与此类举报相关的报复。</w:t>
      </w:r>
    </w:p>
    <w:p w14:paraId="2E757A18" w14:textId="77B8AFBB" w:rsidR="00FA586A" w:rsidRPr="000C156A" w:rsidRDefault="00FA586A" w:rsidP="00822ADB">
      <w:pPr>
        <w:rPr>
          <w:lang w:eastAsia="zh-CN"/>
        </w:rPr>
      </w:pPr>
      <w:r w:rsidRPr="000C156A">
        <w:rPr>
          <w:rFonts w:cs="Arial"/>
          <w:szCs w:val="24"/>
          <w:lang w:eastAsia="zh-CN"/>
        </w:rPr>
        <w:t>5</w:t>
      </w:r>
      <w:r w:rsidRPr="000C156A">
        <w:rPr>
          <w:rFonts w:cs="Arial"/>
          <w:szCs w:val="24"/>
          <w:lang w:eastAsia="zh-CN"/>
        </w:rPr>
        <w:tab/>
      </w:r>
      <w:r w:rsidR="00C77E68" w:rsidRPr="000C156A">
        <w:rPr>
          <w:lang w:eastAsia="zh-CN"/>
        </w:rPr>
        <w:t>该政策是国际电联</w:t>
      </w:r>
      <w:r w:rsidR="00C77E68" w:rsidRPr="000C156A">
        <w:rPr>
          <w:rFonts w:hint="eastAsia"/>
          <w:lang w:eastAsia="zh-CN"/>
        </w:rPr>
        <w:t>组织</w:t>
      </w:r>
      <w:r w:rsidR="00C77E68" w:rsidRPr="000C156A">
        <w:rPr>
          <w:lang w:eastAsia="zh-CN"/>
        </w:rPr>
        <w:t>风险管理的一部分，通过所有关键</w:t>
      </w:r>
      <w:r w:rsidR="00C77E68" w:rsidRPr="000C156A">
        <w:rPr>
          <w:rFonts w:hint="eastAsia"/>
          <w:lang w:eastAsia="zh-CN"/>
        </w:rPr>
        <w:t>组织</w:t>
      </w:r>
      <w:r w:rsidR="00C77E68" w:rsidRPr="000C156A">
        <w:rPr>
          <w:lang w:eastAsia="zh-CN"/>
        </w:rPr>
        <w:t>流程中的预防和</w:t>
      </w:r>
      <w:r w:rsidR="00C77E68" w:rsidRPr="000C156A">
        <w:rPr>
          <w:rFonts w:hint="eastAsia"/>
          <w:lang w:eastAsia="zh-CN"/>
        </w:rPr>
        <w:t>发现</w:t>
      </w:r>
      <w:r w:rsidR="00C77E68" w:rsidRPr="000C156A">
        <w:rPr>
          <w:lang w:eastAsia="zh-CN"/>
        </w:rPr>
        <w:t>控制来实施。它反映了国际电联对维护道德</w:t>
      </w:r>
      <w:r w:rsidR="00C77E68" w:rsidRPr="000C156A">
        <w:rPr>
          <w:rFonts w:hint="eastAsia"/>
          <w:lang w:eastAsia="zh-CN"/>
        </w:rPr>
        <w:t>规范</w:t>
      </w:r>
      <w:r w:rsidR="00C77E68" w:rsidRPr="000C156A">
        <w:rPr>
          <w:lang w:eastAsia="zh-CN"/>
        </w:rPr>
        <w:t>、透明度和问责制</w:t>
      </w:r>
      <w:r w:rsidR="00C77E68" w:rsidRPr="000C156A">
        <w:rPr>
          <w:rFonts w:hint="eastAsia"/>
          <w:lang w:eastAsia="zh-CN"/>
        </w:rPr>
        <w:t>的</w:t>
      </w:r>
      <w:r w:rsidR="00C77E68" w:rsidRPr="000C156A">
        <w:rPr>
          <w:lang w:eastAsia="zh-CN"/>
        </w:rPr>
        <w:t>最高标准承诺。</w:t>
      </w:r>
    </w:p>
    <w:p w14:paraId="17712C03" w14:textId="7B67B625" w:rsidR="00FA586A" w:rsidRPr="000C156A" w:rsidRDefault="00FA586A" w:rsidP="00822ADB">
      <w:pPr>
        <w:rPr>
          <w:lang w:eastAsia="zh-CN"/>
        </w:rPr>
      </w:pPr>
      <w:r w:rsidRPr="000C156A">
        <w:rPr>
          <w:rFonts w:cs="Arial"/>
          <w:szCs w:val="24"/>
          <w:lang w:eastAsia="zh-CN"/>
        </w:rPr>
        <w:t>6</w:t>
      </w:r>
      <w:r w:rsidRPr="000C156A">
        <w:rPr>
          <w:rFonts w:cs="Arial"/>
          <w:szCs w:val="24"/>
          <w:lang w:eastAsia="zh-CN"/>
        </w:rPr>
        <w:tab/>
      </w:r>
      <w:r w:rsidR="00C77E68" w:rsidRPr="000C156A">
        <w:rPr>
          <w:lang w:eastAsia="zh-CN"/>
        </w:rPr>
        <w:t>2019</w:t>
      </w:r>
      <w:r w:rsidR="00C77E68" w:rsidRPr="000C156A">
        <w:rPr>
          <w:rFonts w:hint="eastAsia"/>
          <w:lang w:eastAsia="zh-CN"/>
        </w:rPr>
        <w:t>年</w:t>
      </w:r>
      <w:r w:rsidR="00C77E68" w:rsidRPr="000C156A">
        <w:rPr>
          <w:rFonts w:hint="eastAsia"/>
          <w:lang w:eastAsia="zh-CN"/>
        </w:rPr>
        <w:t>5</w:t>
      </w:r>
      <w:r w:rsidR="00C77E68" w:rsidRPr="000C156A">
        <w:rPr>
          <w:rFonts w:hint="eastAsia"/>
          <w:lang w:eastAsia="zh-CN"/>
        </w:rPr>
        <w:t>月</w:t>
      </w:r>
      <w:r w:rsidR="00C77E68" w:rsidRPr="000C156A">
        <w:rPr>
          <w:rFonts w:hint="eastAsia"/>
          <w:lang w:eastAsia="zh-CN"/>
        </w:rPr>
        <w:t>2</w:t>
      </w:r>
      <w:r w:rsidR="00C77E68" w:rsidRPr="000C156A">
        <w:rPr>
          <w:rFonts w:hint="eastAsia"/>
          <w:lang w:eastAsia="zh-CN"/>
        </w:rPr>
        <w:t>日</w:t>
      </w:r>
      <w:r w:rsidR="001137A8" w:rsidRPr="000C156A">
        <w:rPr>
          <w:rFonts w:hint="eastAsia"/>
          <w:lang w:eastAsia="zh-CN"/>
        </w:rPr>
        <w:t>亦</w:t>
      </w:r>
      <w:r w:rsidR="00C77E68" w:rsidRPr="000C156A">
        <w:rPr>
          <w:rFonts w:hint="eastAsia"/>
          <w:lang w:eastAsia="zh-CN"/>
        </w:rPr>
        <w:t>发布了有关《国际电联调查导则》的行政规定，其中载有开展调查应遵循的程序，包括防止泄露机密信息和确保及时应对欺诈案件的步骤。</w:t>
      </w:r>
    </w:p>
    <w:p w14:paraId="2AE7F1BB" w14:textId="241011DA" w:rsidR="00FA586A" w:rsidRPr="000C156A" w:rsidRDefault="00FA586A" w:rsidP="00822ADB">
      <w:pPr>
        <w:rPr>
          <w:lang w:eastAsia="zh-CN"/>
        </w:rPr>
      </w:pPr>
      <w:r w:rsidRPr="000C156A">
        <w:rPr>
          <w:rFonts w:cs="Arial"/>
          <w:szCs w:val="24"/>
          <w:lang w:eastAsia="zh-CN"/>
        </w:rPr>
        <w:t>7</w:t>
      </w:r>
      <w:r w:rsidRPr="000C156A">
        <w:rPr>
          <w:rFonts w:cs="Arial"/>
          <w:szCs w:val="24"/>
          <w:lang w:eastAsia="zh-CN"/>
        </w:rPr>
        <w:tab/>
      </w:r>
      <w:r w:rsidR="00227E07" w:rsidRPr="000C156A">
        <w:rPr>
          <w:rFonts w:hint="eastAsia"/>
          <w:lang w:eastAsia="zh-CN"/>
        </w:rPr>
        <w:t>2</w:t>
      </w:r>
      <w:r w:rsidR="00227E07" w:rsidRPr="000C156A">
        <w:rPr>
          <w:lang w:eastAsia="zh-CN"/>
        </w:rPr>
        <w:t>020</w:t>
      </w:r>
      <w:r w:rsidR="00227E07" w:rsidRPr="000C156A">
        <w:rPr>
          <w:rFonts w:hint="eastAsia"/>
          <w:lang w:eastAsia="zh-CN"/>
        </w:rPr>
        <w:t>年</w:t>
      </w:r>
      <w:r w:rsidR="00C77E68" w:rsidRPr="000C156A">
        <w:rPr>
          <w:rFonts w:hint="eastAsia"/>
          <w:lang w:eastAsia="zh-CN"/>
        </w:rPr>
        <w:t>，</w:t>
      </w:r>
      <w:r w:rsidR="00C77E68" w:rsidRPr="000C156A">
        <w:rPr>
          <w:lang w:eastAsia="zh-CN"/>
        </w:rPr>
        <w:t>在</w:t>
      </w:r>
      <w:r w:rsidR="00C77E68" w:rsidRPr="000C156A">
        <w:rPr>
          <w:rFonts w:hint="eastAsia"/>
          <w:lang w:eastAsia="zh-CN"/>
        </w:rPr>
        <w:t>电信发展局</w:t>
      </w:r>
      <w:r w:rsidR="00C77E68" w:rsidRPr="000C156A">
        <w:rPr>
          <w:lang w:eastAsia="zh-CN"/>
        </w:rPr>
        <w:t>和总秘书处各部门所有利益攸关方的参与下，关于加强</w:t>
      </w:r>
      <w:r w:rsidR="00C77E68" w:rsidRPr="000C156A">
        <w:rPr>
          <w:rFonts w:hint="eastAsia"/>
          <w:lang w:eastAsia="zh-CN"/>
        </w:rPr>
        <w:t>电信发展局（</w:t>
      </w:r>
      <w:r w:rsidR="00C77E68" w:rsidRPr="000C156A">
        <w:rPr>
          <w:lang w:eastAsia="zh-CN"/>
        </w:rPr>
        <w:t>总部和区域</w:t>
      </w:r>
      <w:r w:rsidR="00227E07" w:rsidRPr="000C156A">
        <w:rPr>
          <w:rFonts w:hint="eastAsia"/>
          <w:lang w:eastAsia="zh-CN"/>
        </w:rPr>
        <w:t>代表处</w:t>
      </w:r>
      <w:r w:rsidR="00C77E68" w:rsidRPr="000C156A">
        <w:rPr>
          <w:lang w:eastAsia="zh-CN"/>
        </w:rPr>
        <w:t>/</w:t>
      </w:r>
      <w:r w:rsidR="00C77E68" w:rsidRPr="000C156A">
        <w:rPr>
          <w:lang w:eastAsia="zh-CN"/>
        </w:rPr>
        <w:t>地区办事</w:t>
      </w:r>
      <w:r w:rsidR="00227E07" w:rsidRPr="000C156A">
        <w:rPr>
          <w:rFonts w:hint="eastAsia"/>
          <w:lang w:eastAsia="zh-CN"/>
        </w:rPr>
        <w:t>处</w:t>
      </w:r>
      <w:r w:rsidR="00C77E68" w:rsidRPr="000C156A">
        <w:rPr>
          <w:rFonts w:hint="eastAsia"/>
          <w:lang w:eastAsia="zh-CN"/>
        </w:rPr>
        <w:t>）</w:t>
      </w:r>
      <w:r w:rsidR="00134BF2" w:rsidRPr="000C156A">
        <w:rPr>
          <w:lang w:eastAsia="zh-CN"/>
        </w:rPr>
        <w:t>内部</w:t>
      </w:r>
      <w:r w:rsidR="00C77E68" w:rsidRPr="000C156A">
        <w:rPr>
          <w:lang w:eastAsia="zh-CN"/>
        </w:rPr>
        <w:t>控制的内部工作组</w:t>
      </w:r>
      <w:r w:rsidR="00227E07" w:rsidRPr="000C156A">
        <w:rPr>
          <w:rFonts w:hint="eastAsia"/>
          <w:lang w:eastAsia="zh-CN"/>
        </w:rPr>
        <w:t>继续开展工作</w:t>
      </w:r>
      <w:r w:rsidR="00C77E68" w:rsidRPr="000C156A">
        <w:rPr>
          <w:lang w:eastAsia="zh-CN"/>
        </w:rPr>
        <w:t>。该</w:t>
      </w:r>
      <w:r w:rsidR="00227E07" w:rsidRPr="000C156A">
        <w:rPr>
          <w:rFonts w:hint="eastAsia"/>
          <w:lang w:eastAsia="zh-CN"/>
        </w:rPr>
        <w:t>工作</w:t>
      </w:r>
      <w:r w:rsidR="00C77E68" w:rsidRPr="000C156A">
        <w:rPr>
          <w:lang w:eastAsia="zh-CN"/>
        </w:rPr>
        <w:t>组的</w:t>
      </w:r>
      <w:r w:rsidR="00227E07" w:rsidRPr="000C156A">
        <w:rPr>
          <w:rFonts w:hint="eastAsia"/>
          <w:lang w:eastAsia="zh-CN"/>
        </w:rPr>
        <w:lastRenderedPageBreak/>
        <w:t>职责</w:t>
      </w:r>
      <w:r w:rsidR="00C77E68" w:rsidRPr="000C156A">
        <w:rPr>
          <w:lang w:eastAsia="zh-CN"/>
        </w:rPr>
        <w:t>是协调电信发展局和整个国际电联行动计划的制定和执行，</w:t>
      </w:r>
      <w:r w:rsidR="00227E07" w:rsidRPr="000C156A">
        <w:rPr>
          <w:rFonts w:hint="eastAsia"/>
          <w:lang w:eastAsia="zh-CN"/>
        </w:rPr>
        <w:t>并负责研究解决</w:t>
      </w:r>
      <w:r w:rsidR="00C77E68" w:rsidRPr="000C156A">
        <w:rPr>
          <w:lang w:eastAsia="zh-CN"/>
        </w:rPr>
        <w:t>处理内部和外部审计机构提交的所有初步调查结果</w:t>
      </w:r>
      <w:r w:rsidR="00C77E68" w:rsidRPr="000C156A">
        <w:rPr>
          <w:lang w:eastAsia="zh-CN"/>
        </w:rPr>
        <w:t>/</w:t>
      </w:r>
      <w:r w:rsidR="00C77E68" w:rsidRPr="000C156A">
        <w:rPr>
          <w:lang w:eastAsia="zh-CN"/>
        </w:rPr>
        <w:t>建议</w:t>
      </w:r>
      <w:r w:rsidR="00134BF2" w:rsidRPr="000C156A">
        <w:rPr>
          <w:rFonts w:hint="eastAsia"/>
          <w:lang w:eastAsia="zh-CN"/>
        </w:rPr>
        <w:t>。</w:t>
      </w:r>
    </w:p>
    <w:p w14:paraId="42F65E55" w14:textId="0141A29C" w:rsidR="00FA586A" w:rsidRPr="000C156A" w:rsidRDefault="00FA586A" w:rsidP="00822ADB">
      <w:pPr>
        <w:rPr>
          <w:lang w:eastAsia="zh-CN"/>
        </w:rPr>
      </w:pPr>
      <w:r w:rsidRPr="000C156A">
        <w:rPr>
          <w:lang w:eastAsia="zh-CN"/>
        </w:rPr>
        <w:t>8</w:t>
      </w:r>
      <w:r w:rsidRPr="000C156A">
        <w:rPr>
          <w:lang w:eastAsia="zh-CN"/>
        </w:rPr>
        <w:tab/>
      </w:r>
      <w:bookmarkStart w:id="214" w:name="_Hlk72313174"/>
      <w:r w:rsidR="00FD0070" w:rsidRPr="000C156A">
        <w:rPr>
          <w:lang w:eastAsia="zh-CN"/>
        </w:rPr>
        <w:t>2020</w:t>
      </w:r>
      <w:r w:rsidR="00FD0070" w:rsidRPr="000C156A">
        <w:rPr>
          <w:rFonts w:hint="eastAsia"/>
          <w:lang w:eastAsia="zh-CN"/>
        </w:rPr>
        <w:t>年底，</w:t>
      </w:r>
      <w:r w:rsidR="00684A64" w:rsidRPr="000C156A">
        <w:rPr>
          <w:rFonts w:hint="eastAsia"/>
          <w:lang w:eastAsia="zh-CN"/>
        </w:rPr>
        <w:t>内部审计员、外部审计员和</w:t>
      </w:r>
      <w:r w:rsidR="00684A64" w:rsidRPr="000C156A">
        <w:rPr>
          <w:lang w:eastAsia="zh-CN"/>
        </w:rPr>
        <w:t>IMAC</w:t>
      </w:r>
      <w:r w:rsidR="00684A64" w:rsidRPr="000C156A">
        <w:rPr>
          <w:rFonts w:hint="eastAsia"/>
          <w:lang w:eastAsia="zh-CN"/>
        </w:rPr>
        <w:t>所有相关建议的执行率为</w:t>
      </w:r>
      <w:r w:rsidR="00684A64" w:rsidRPr="000C156A">
        <w:rPr>
          <w:rFonts w:hint="eastAsia"/>
          <w:lang w:eastAsia="zh-CN"/>
        </w:rPr>
        <w:t>80%</w:t>
      </w:r>
      <w:r w:rsidR="00684A64" w:rsidRPr="000C156A">
        <w:rPr>
          <w:rFonts w:hint="eastAsia"/>
          <w:lang w:eastAsia="zh-CN"/>
        </w:rPr>
        <w:t>。</w:t>
      </w:r>
    </w:p>
    <w:p w14:paraId="55A811E1" w14:textId="37786194" w:rsidR="00FA586A" w:rsidRPr="000C156A" w:rsidRDefault="00FA586A" w:rsidP="00822ADB">
      <w:pPr>
        <w:rPr>
          <w:lang w:eastAsia="zh-CN"/>
        </w:rPr>
      </w:pPr>
      <w:r w:rsidRPr="000C156A">
        <w:rPr>
          <w:lang w:eastAsia="zh-CN"/>
        </w:rPr>
        <w:t>9</w:t>
      </w:r>
      <w:r w:rsidRPr="000C156A">
        <w:rPr>
          <w:lang w:eastAsia="zh-CN"/>
        </w:rPr>
        <w:tab/>
      </w:r>
      <w:r w:rsidR="00684A64" w:rsidRPr="000C156A">
        <w:rPr>
          <w:rFonts w:hint="eastAsia"/>
          <w:lang w:eastAsia="zh-CN"/>
        </w:rPr>
        <w:t>国际电联管理层于</w:t>
      </w:r>
      <w:r w:rsidR="00684A64" w:rsidRPr="000C156A">
        <w:rPr>
          <w:rFonts w:hint="eastAsia"/>
          <w:lang w:eastAsia="zh-CN"/>
        </w:rPr>
        <w:t>2020</w:t>
      </w:r>
      <w:r w:rsidR="00684A64" w:rsidRPr="000C156A">
        <w:rPr>
          <w:rFonts w:hint="eastAsia"/>
          <w:lang w:eastAsia="zh-CN"/>
        </w:rPr>
        <w:t>年</w:t>
      </w:r>
      <w:r w:rsidR="00684A64" w:rsidRPr="000C156A">
        <w:rPr>
          <w:rFonts w:hint="eastAsia"/>
          <w:lang w:eastAsia="zh-CN"/>
        </w:rPr>
        <w:t>11</w:t>
      </w:r>
      <w:r w:rsidR="00684A64" w:rsidRPr="000C156A">
        <w:rPr>
          <w:rFonts w:hint="eastAsia"/>
          <w:lang w:eastAsia="zh-CN"/>
        </w:rPr>
        <w:t>月决定建立组织</w:t>
      </w:r>
      <w:r w:rsidR="00684A64" w:rsidRPr="000C156A">
        <w:rPr>
          <w:lang w:eastAsia="zh-CN"/>
        </w:rPr>
        <w:t>合规性仪表</w:t>
      </w:r>
      <w:r w:rsidR="00684A64" w:rsidRPr="000C156A">
        <w:rPr>
          <w:rFonts w:hint="eastAsia"/>
          <w:lang w:eastAsia="zh-CN"/>
        </w:rPr>
        <w:t>板（</w:t>
      </w:r>
      <w:r w:rsidR="00684A64" w:rsidRPr="000C156A">
        <w:rPr>
          <w:lang w:eastAsia="zh-CN"/>
        </w:rPr>
        <w:t>corporate compliance dashboard</w:t>
      </w:r>
      <w:r w:rsidR="00684A64" w:rsidRPr="000C156A">
        <w:rPr>
          <w:rFonts w:hint="eastAsia"/>
          <w:lang w:eastAsia="zh-CN"/>
        </w:rPr>
        <w:t>），其中包括</w:t>
      </w:r>
      <w:r w:rsidR="00684A64" w:rsidRPr="000C156A">
        <w:rPr>
          <w:rFonts w:hint="eastAsia"/>
          <w:lang w:eastAsia="zh-CN"/>
        </w:rPr>
        <w:t>EA</w:t>
      </w:r>
      <w:r w:rsidR="00684A64" w:rsidRPr="000C156A">
        <w:rPr>
          <w:rFonts w:hint="eastAsia"/>
          <w:lang w:eastAsia="zh-CN"/>
        </w:rPr>
        <w:t>、</w:t>
      </w:r>
      <w:r w:rsidR="00684A64" w:rsidRPr="000C156A">
        <w:rPr>
          <w:rFonts w:hint="eastAsia"/>
          <w:lang w:eastAsia="zh-CN"/>
        </w:rPr>
        <w:t>IMAC</w:t>
      </w:r>
      <w:r w:rsidR="00684A64" w:rsidRPr="000C156A">
        <w:rPr>
          <w:rFonts w:hint="eastAsia"/>
          <w:lang w:eastAsia="zh-CN"/>
        </w:rPr>
        <w:t>、</w:t>
      </w:r>
      <w:r w:rsidR="00684A64" w:rsidRPr="000C156A">
        <w:rPr>
          <w:rFonts w:hint="eastAsia"/>
          <w:lang w:eastAsia="zh-CN"/>
        </w:rPr>
        <w:t>JIU</w:t>
      </w:r>
      <w:r w:rsidR="00684A64" w:rsidRPr="000C156A">
        <w:rPr>
          <w:rFonts w:hint="eastAsia"/>
          <w:lang w:eastAsia="zh-CN"/>
        </w:rPr>
        <w:t>和</w:t>
      </w:r>
      <w:r w:rsidR="00684A64" w:rsidRPr="000C156A">
        <w:rPr>
          <w:rFonts w:hint="eastAsia"/>
          <w:lang w:eastAsia="zh-CN"/>
        </w:rPr>
        <w:t>IA</w:t>
      </w:r>
      <w:r w:rsidR="00684A64" w:rsidRPr="000C156A">
        <w:rPr>
          <w:rFonts w:hint="eastAsia"/>
          <w:lang w:eastAsia="zh-CN"/>
        </w:rPr>
        <w:t>的建议。这一工具使国际电联的管理和监督机构（内部审计、外部审计和</w:t>
      </w:r>
      <w:r w:rsidR="00684A64" w:rsidRPr="000C156A">
        <w:rPr>
          <w:rFonts w:hint="eastAsia"/>
          <w:lang w:eastAsia="zh-CN"/>
        </w:rPr>
        <w:t>IMAC</w:t>
      </w:r>
      <w:r w:rsidR="00684A64" w:rsidRPr="000C156A">
        <w:rPr>
          <w:rFonts w:hint="eastAsia"/>
          <w:lang w:eastAsia="zh-CN"/>
        </w:rPr>
        <w:t>）能够清楚地了解正在落实的建议、与这些建议有关的风险、关于建议执行进展的实时信息或减轻剩余风险的信息，并在必要时发送自动电子邮件进行通知和提醒。</w:t>
      </w:r>
    </w:p>
    <w:p w14:paraId="6D20E257" w14:textId="20443300" w:rsidR="00FA586A" w:rsidRPr="000C156A" w:rsidRDefault="00FA586A" w:rsidP="00822ADB">
      <w:pPr>
        <w:rPr>
          <w:lang w:eastAsia="zh-CN"/>
        </w:rPr>
      </w:pPr>
      <w:r w:rsidRPr="000C156A">
        <w:rPr>
          <w:lang w:eastAsia="zh-CN"/>
        </w:rPr>
        <w:t>10</w:t>
      </w:r>
      <w:r w:rsidRPr="000C156A">
        <w:rPr>
          <w:lang w:eastAsia="zh-CN"/>
        </w:rPr>
        <w:tab/>
      </w:r>
      <w:r w:rsidR="00684A64" w:rsidRPr="000C156A">
        <w:rPr>
          <w:rFonts w:hint="eastAsia"/>
          <w:lang w:eastAsia="zh-CN"/>
        </w:rPr>
        <w:t>正在实施以下系统和措施：</w:t>
      </w:r>
    </w:p>
    <w:p w14:paraId="588D8ABB" w14:textId="77777777" w:rsidR="00684A64" w:rsidRPr="000C156A" w:rsidRDefault="00684A64" w:rsidP="00822ADB">
      <w:pPr>
        <w:pStyle w:val="enumlev1"/>
        <w:rPr>
          <w:lang w:eastAsia="zh-CN"/>
        </w:rPr>
      </w:pPr>
      <w:r w:rsidRPr="000C156A">
        <w:rPr>
          <w:lang w:eastAsia="zh-CN"/>
        </w:rPr>
        <w:t>•</w:t>
      </w:r>
      <w:r w:rsidRPr="000C156A">
        <w:rPr>
          <w:lang w:eastAsia="zh-CN"/>
        </w:rPr>
        <w:tab/>
      </w:r>
      <w:r w:rsidRPr="000C156A">
        <w:rPr>
          <w:rFonts w:hint="eastAsia"/>
          <w:lang w:eastAsia="zh-CN"/>
        </w:rPr>
        <w:t>新的电子招聘系统和</w:t>
      </w:r>
      <w:r w:rsidRPr="000C156A">
        <w:rPr>
          <w:lang w:eastAsia="zh-CN"/>
        </w:rPr>
        <w:t>竞争性顾问遴选程</w:t>
      </w:r>
      <w:r w:rsidRPr="000C156A">
        <w:rPr>
          <w:rFonts w:hint="eastAsia"/>
          <w:lang w:eastAsia="zh-CN"/>
        </w:rPr>
        <w:t>序；</w:t>
      </w:r>
    </w:p>
    <w:p w14:paraId="49100944" w14:textId="77777777" w:rsidR="00684A64" w:rsidRPr="000C156A" w:rsidRDefault="00684A64" w:rsidP="00822ADB">
      <w:pPr>
        <w:pStyle w:val="enumlev1"/>
        <w:rPr>
          <w:lang w:eastAsia="zh-CN"/>
        </w:rPr>
      </w:pPr>
      <w:r w:rsidRPr="000C156A">
        <w:rPr>
          <w:lang w:eastAsia="zh-CN"/>
        </w:rPr>
        <w:t>•</w:t>
      </w:r>
      <w:r w:rsidRPr="000C156A">
        <w:rPr>
          <w:lang w:eastAsia="zh-CN"/>
        </w:rPr>
        <w:tab/>
      </w:r>
      <w:r w:rsidRPr="000C156A">
        <w:rPr>
          <w:rFonts w:hint="eastAsia"/>
          <w:lang w:eastAsia="zh-CN"/>
        </w:rPr>
        <w:t>改善对顾问使用的管理和控制；</w:t>
      </w:r>
    </w:p>
    <w:p w14:paraId="07404DAC" w14:textId="77777777" w:rsidR="00684A64" w:rsidRPr="000C156A" w:rsidRDefault="00684A64" w:rsidP="00822ADB">
      <w:pPr>
        <w:pStyle w:val="enumlev1"/>
        <w:rPr>
          <w:lang w:eastAsia="zh-CN"/>
        </w:rPr>
      </w:pPr>
      <w:r w:rsidRPr="000C156A">
        <w:rPr>
          <w:lang w:eastAsia="zh-CN"/>
        </w:rPr>
        <w:t>•</w:t>
      </w:r>
      <w:r w:rsidRPr="000C156A">
        <w:rPr>
          <w:lang w:eastAsia="zh-CN"/>
        </w:rPr>
        <w:tab/>
      </w:r>
      <w:r w:rsidRPr="000C156A">
        <w:rPr>
          <w:rFonts w:hint="eastAsia"/>
          <w:lang w:eastAsia="zh-CN"/>
        </w:rPr>
        <w:t>电信发展局的通用信息技术系统；</w:t>
      </w:r>
    </w:p>
    <w:p w14:paraId="48F07C67" w14:textId="77777777" w:rsidR="00684A64" w:rsidRPr="000C156A" w:rsidRDefault="00684A64" w:rsidP="00822ADB">
      <w:pPr>
        <w:pStyle w:val="enumlev1"/>
        <w:rPr>
          <w:lang w:eastAsia="zh-CN"/>
        </w:rPr>
      </w:pPr>
      <w:r w:rsidRPr="000C156A">
        <w:rPr>
          <w:lang w:eastAsia="zh-CN"/>
        </w:rPr>
        <w:t>•</w:t>
      </w:r>
      <w:r w:rsidRPr="000C156A">
        <w:rPr>
          <w:lang w:eastAsia="zh-CN"/>
        </w:rPr>
        <w:tab/>
      </w:r>
      <w:r w:rsidRPr="000C156A">
        <w:rPr>
          <w:rFonts w:hint="eastAsia"/>
          <w:lang w:eastAsia="zh-CN"/>
        </w:rPr>
        <w:t>问责制框架。</w:t>
      </w:r>
    </w:p>
    <w:p w14:paraId="32700E1B" w14:textId="14E9015F" w:rsidR="00FA586A" w:rsidRPr="000C156A" w:rsidRDefault="00FA586A" w:rsidP="00822ADB">
      <w:pPr>
        <w:rPr>
          <w:lang w:eastAsia="zh-CN"/>
        </w:rPr>
      </w:pPr>
      <w:r w:rsidRPr="000C156A">
        <w:rPr>
          <w:rFonts w:cs="Calibri"/>
          <w:lang w:eastAsia="zh-CN"/>
        </w:rPr>
        <w:t>11</w:t>
      </w:r>
      <w:r w:rsidRPr="000C156A">
        <w:rPr>
          <w:rFonts w:cs="Calibri"/>
          <w:lang w:eastAsia="zh-CN"/>
        </w:rPr>
        <w:tab/>
      </w:r>
      <w:bookmarkEnd w:id="214"/>
      <w:r w:rsidR="00684A64" w:rsidRPr="000C156A">
        <w:rPr>
          <w:rFonts w:hint="eastAsia"/>
          <w:lang w:eastAsia="zh-CN"/>
        </w:rPr>
        <w:t>关于曼谷代表处欺诈案件，</w:t>
      </w:r>
      <w:r w:rsidR="00684A64" w:rsidRPr="000C156A">
        <w:rPr>
          <w:lang w:eastAsia="zh-CN"/>
        </w:rPr>
        <w:t>行政处</w:t>
      </w:r>
      <w:r w:rsidR="00684A64" w:rsidRPr="000C156A">
        <w:rPr>
          <w:rFonts w:hint="eastAsia"/>
          <w:lang w:eastAsia="zh-CN"/>
        </w:rPr>
        <w:t>分（</w:t>
      </w:r>
      <w:r w:rsidR="00684A64" w:rsidRPr="000C156A">
        <w:rPr>
          <w:lang w:eastAsia="zh-CN"/>
        </w:rPr>
        <w:t>disciplinary sanctions</w:t>
      </w:r>
      <w:r w:rsidR="00684A64" w:rsidRPr="000C156A">
        <w:rPr>
          <w:rFonts w:hint="eastAsia"/>
          <w:lang w:eastAsia="zh-CN"/>
        </w:rPr>
        <w:t>）已经完成。同时，</w:t>
      </w:r>
      <w:r w:rsidR="008942C5" w:rsidRPr="000C156A">
        <w:rPr>
          <w:rFonts w:hint="eastAsia"/>
          <w:lang w:eastAsia="zh-CN"/>
        </w:rPr>
        <w:t>也在</w:t>
      </w:r>
      <w:r w:rsidR="00684A64" w:rsidRPr="000C156A">
        <w:rPr>
          <w:rFonts w:hint="eastAsia"/>
          <w:lang w:eastAsia="zh-CN"/>
        </w:rPr>
        <w:t>泰国采取了法律行动，并任命了一家律师事务所代表国际电联行事。</w:t>
      </w:r>
    </w:p>
    <w:p w14:paraId="36CC012C" w14:textId="03228AC3" w:rsidR="00FA586A" w:rsidRPr="000C156A" w:rsidRDefault="00FA586A" w:rsidP="00822ADB">
      <w:pPr>
        <w:rPr>
          <w:lang w:eastAsia="zh-CN"/>
        </w:rPr>
      </w:pPr>
      <w:r w:rsidRPr="000C156A">
        <w:rPr>
          <w:lang w:eastAsia="zh-CN"/>
        </w:rPr>
        <w:t>12</w:t>
      </w:r>
      <w:r w:rsidRPr="000C156A">
        <w:rPr>
          <w:lang w:eastAsia="zh-CN"/>
        </w:rPr>
        <w:tab/>
      </w:r>
      <w:r w:rsidR="00675197" w:rsidRPr="000C156A">
        <w:rPr>
          <w:rFonts w:hint="eastAsia"/>
          <w:lang w:eastAsia="zh-CN"/>
        </w:rPr>
        <w:t>2020</w:t>
      </w:r>
      <w:r w:rsidR="00675197" w:rsidRPr="000C156A">
        <w:rPr>
          <w:rFonts w:hint="eastAsia"/>
          <w:lang w:eastAsia="zh-CN"/>
        </w:rPr>
        <w:t>年初查明了一起涉及一名工作人员申请教育补助金的涉嫌欺诈案件。根据国际电联《财务</w:t>
      </w:r>
      <w:r w:rsidR="00794DF4" w:rsidRPr="000C156A">
        <w:rPr>
          <w:rFonts w:hint="eastAsia"/>
          <w:lang w:eastAsia="zh-CN"/>
        </w:rPr>
        <w:t>规则</w:t>
      </w:r>
      <w:r w:rsidR="00675197" w:rsidRPr="000C156A">
        <w:rPr>
          <w:rFonts w:hint="eastAsia"/>
          <w:lang w:eastAsia="zh-CN"/>
        </w:rPr>
        <w:t>和财务细则》第</w:t>
      </w:r>
      <w:r w:rsidR="00675197" w:rsidRPr="000C156A">
        <w:rPr>
          <w:rFonts w:hint="eastAsia"/>
          <w:lang w:eastAsia="zh-CN"/>
        </w:rPr>
        <w:t>28.9</w:t>
      </w:r>
      <w:r w:rsidR="00675197" w:rsidRPr="000C156A">
        <w:rPr>
          <w:rFonts w:hint="eastAsia"/>
          <w:lang w:eastAsia="zh-CN"/>
        </w:rPr>
        <w:t>条，国际电联外</w:t>
      </w:r>
      <w:r w:rsidR="00794DF4" w:rsidRPr="000C156A">
        <w:rPr>
          <w:rFonts w:hint="eastAsia"/>
          <w:lang w:eastAsia="zh-CN"/>
        </w:rPr>
        <w:t>部</w:t>
      </w:r>
      <w:r w:rsidR="00675197" w:rsidRPr="000C156A">
        <w:rPr>
          <w:rFonts w:hint="eastAsia"/>
          <w:lang w:eastAsia="zh-CN"/>
        </w:rPr>
        <w:t>审计员被告知此案</w:t>
      </w:r>
      <w:r w:rsidR="00794DF4" w:rsidRPr="000C156A">
        <w:rPr>
          <w:rFonts w:hint="eastAsia"/>
          <w:lang w:eastAsia="zh-CN"/>
        </w:rPr>
        <w:t>。</w:t>
      </w:r>
    </w:p>
    <w:p w14:paraId="336133A8" w14:textId="3D35D317" w:rsidR="00FA586A" w:rsidRPr="000C156A" w:rsidRDefault="00FA586A" w:rsidP="00822ADB">
      <w:pPr>
        <w:rPr>
          <w:lang w:eastAsia="zh-CN"/>
        </w:rPr>
      </w:pPr>
      <w:r w:rsidRPr="000C156A">
        <w:rPr>
          <w:rFonts w:cs="Arial"/>
          <w:szCs w:val="24"/>
          <w:lang w:eastAsia="zh-CN"/>
        </w:rPr>
        <w:t>13</w:t>
      </w:r>
      <w:r w:rsidRPr="000C156A">
        <w:rPr>
          <w:rFonts w:cs="Arial"/>
          <w:szCs w:val="24"/>
          <w:lang w:eastAsia="zh-CN"/>
        </w:rPr>
        <w:tab/>
      </w:r>
      <w:r w:rsidR="00C77E68" w:rsidRPr="000C156A">
        <w:rPr>
          <w:rFonts w:hint="eastAsia"/>
          <w:lang w:eastAsia="zh-CN"/>
        </w:rPr>
        <w:t>我还收到了</w:t>
      </w:r>
      <w:r w:rsidR="00794DF4" w:rsidRPr="000C156A">
        <w:rPr>
          <w:rFonts w:hint="eastAsia"/>
          <w:lang w:eastAsia="zh-CN"/>
        </w:rPr>
        <w:t>国际电联</w:t>
      </w:r>
      <w:r w:rsidR="00C77E68" w:rsidRPr="000C156A">
        <w:rPr>
          <w:rFonts w:hint="eastAsia"/>
          <w:lang w:eastAsia="zh-CN"/>
        </w:rPr>
        <w:t>外部审计员的报告，其中包含有关内部控制问题的建议。</w:t>
      </w:r>
      <w:r w:rsidR="00794DF4" w:rsidRPr="000C156A">
        <w:rPr>
          <w:rFonts w:hint="eastAsia"/>
          <w:lang w:eastAsia="zh-CN"/>
        </w:rPr>
        <w:t>国际电联</w:t>
      </w:r>
      <w:r w:rsidR="00C77E68" w:rsidRPr="000C156A">
        <w:rPr>
          <w:rFonts w:hint="eastAsia"/>
          <w:lang w:eastAsia="zh-CN"/>
        </w:rPr>
        <w:t>外部审计员提出的所有建议均得到审议。为解决所确定的不足，已酌情制定了行动计划，从而确保不断完善。理事会财务和人力资源工作组（</w:t>
      </w:r>
      <w:r w:rsidR="00C77E68" w:rsidRPr="000C156A">
        <w:rPr>
          <w:lang w:eastAsia="zh-CN"/>
        </w:rPr>
        <w:t>CWG-FHR</w:t>
      </w:r>
      <w:r w:rsidR="00C77E68" w:rsidRPr="000C156A">
        <w:rPr>
          <w:rFonts w:hint="eastAsia"/>
          <w:lang w:eastAsia="zh-CN"/>
        </w:rPr>
        <w:t>）针对管理层对</w:t>
      </w:r>
      <w:r w:rsidR="00794DF4" w:rsidRPr="000C156A">
        <w:rPr>
          <w:rFonts w:hint="eastAsia"/>
          <w:lang w:eastAsia="zh-CN"/>
        </w:rPr>
        <w:t>国际电联</w:t>
      </w:r>
      <w:r w:rsidR="00C77E68" w:rsidRPr="000C156A">
        <w:rPr>
          <w:rFonts w:hint="eastAsia"/>
          <w:lang w:eastAsia="zh-CN"/>
        </w:rPr>
        <w:t>外部审计员做出的反应采取了后续行动。</w:t>
      </w:r>
    </w:p>
    <w:p w14:paraId="40765CBE" w14:textId="4DEF0801" w:rsidR="00FA586A" w:rsidRPr="000C156A" w:rsidRDefault="00FA586A" w:rsidP="00822ADB">
      <w:pPr>
        <w:rPr>
          <w:lang w:eastAsia="zh-CN"/>
        </w:rPr>
      </w:pPr>
      <w:r w:rsidRPr="000C156A">
        <w:rPr>
          <w:rFonts w:cs="Arial"/>
          <w:szCs w:val="24"/>
          <w:lang w:eastAsia="zh-CN"/>
        </w:rPr>
        <w:t>14</w:t>
      </w:r>
      <w:r w:rsidRPr="000C156A">
        <w:rPr>
          <w:rFonts w:cs="Arial"/>
          <w:szCs w:val="24"/>
          <w:lang w:eastAsia="zh-CN"/>
        </w:rPr>
        <w:tab/>
      </w:r>
      <w:r w:rsidR="00C77E68" w:rsidRPr="000C156A">
        <w:rPr>
          <w:rFonts w:hint="eastAsia"/>
          <w:lang w:eastAsia="zh-CN"/>
        </w:rPr>
        <w:t>内部审计员认为，需要完善对某些已审查进程的管治和风险管理，而且在不同经审计领域需实行更为有效的控制。</w:t>
      </w:r>
      <w:r w:rsidR="00C77E68" w:rsidRPr="000C156A">
        <w:rPr>
          <w:rFonts w:cs="Arial" w:hint="eastAsia"/>
          <w:szCs w:val="24"/>
          <w:lang w:eastAsia="zh-CN"/>
        </w:rPr>
        <w:t>本人已将此审查结果</w:t>
      </w:r>
      <w:r w:rsidR="00C77E68" w:rsidRPr="000C156A">
        <w:rPr>
          <w:rFonts w:hint="eastAsia"/>
          <w:lang w:eastAsia="zh-CN"/>
        </w:rPr>
        <w:t>记录在案。已经并将继续采取行动，加强内部控制并降低风险。</w:t>
      </w:r>
    </w:p>
    <w:p w14:paraId="3AEF9BB9" w14:textId="2309F7AA" w:rsidR="00FA586A" w:rsidRPr="000C156A" w:rsidRDefault="00FA586A" w:rsidP="00822ADB">
      <w:pPr>
        <w:rPr>
          <w:lang w:eastAsia="zh-CN"/>
        </w:rPr>
      </w:pPr>
      <w:r w:rsidRPr="000C156A">
        <w:rPr>
          <w:rFonts w:cs="Arial"/>
          <w:szCs w:val="24"/>
          <w:lang w:eastAsia="zh-CN"/>
        </w:rPr>
        <w:t>15</w:t>
      </w:r>
      <w:r w:rsidRPr="000C156A">
        <w:rPr>
          <w:rFonts w:cs="Arial"/>
          <w:szCs w:val="24"/>
          <w:lang w:eastAsia="zh-CN"/>
        </w:rPr>
        <w:tab/>
      </w:r>
      <w:r w:rsidR="00C77E68" w:rsidRPr="000C156A">
        <w:rPr>
          <w:rFonts w:hint="eastAsia"/>
          <w:lang w:eastAsia="zh-CN"/>
        </w:rPr>
        <w:t>独立管理顾问委员会（</w:t>
      </w:r>
      <w:r w:rsidR="00C77E68" w:rsidRPr="000C156A">
        <w:rPr>
          <w:lang w:eastAsia="zh-CN"/>
        </w:rPr>
        <w:t>IMAC</w:t>
      </w:r>
      <w:r w:rsidR="00C77E68" w:rsidRPr="000C156A">
        <w:rPr>
          <w:rFonts w:hint="eastAsia"/>
          <w:lang w:eastAsia="zh-CN"/>
        </w:rPr>
        <w:t>）以专家顾问身份帮助秘书长和理事会履行其管理职责，包括确保国际电联内部控制体系、风险管理和管理流程的有效运作。我亦得到了该委员会的意见和建议。</w:t>
      </w:r>
    </w:p>
    <w:p w14:paraId="74C31115" w14:textId="7B036B93" w:rsidR="00C77E68" w:rsidRPr="000C156A" w:rsidRDefault="00C77E68" w:rsidP="00770BD3">
      <w:pPr>
        <w:pStyle w:val="Headingb"/>
        <w:rPr>
          <w:lang w:eastAsia="zh-CN"/>
        </w:rPr>
      </w:pPr>
      <w:bookmarkStart w:id="215" w:name="_Toc72744927"/>
      <w:bookmarkStart w:id="216" w:name="_Toc72747213"/>
      <w:bookmarkStart w:id="217" w:name="_Toc73461015"/>
      <w:bookmarkStart w:id="218" w:name="_Toc73518662"/>
      <w:bookmarkStart w:id="219" w:name="_Toc73518809"/>
      <w:bookmarkStart w:id="220" w:name="_Toc73519209"/>
      <w:bookmarkStart w:id="221" w:name="_Toc73636091"/>
      <w:bookmarkStart w:id="222" w:name="_Toc73636233"/>
      <w:r w:rsidRPr="000C156A">
        <w:rPr>
          <w:rFonts w:hint="eastAsia"/>
          <w:lang w:eastAsia="zh-CN"/>
        </w:rPr>
        <w:t>声明</w:t>
      </w:r>
      <w:bookmarkEnd w:id="215"/>
      <w:bookmarkEnd w:id="216"/>
      <w:bookmarkEnd w:id="217"/>
      <w:bookmarkEnd w:id="218"/>
      <w:bookmarkEnd w:id="219"/>
      <w:bookmarkEnd w:id="220"/>
      <w:bookmarkEnd w:id="221"/>
      <w:bookmarkEnd w:id="222"/>
    </w:p>
    <w:p w14:paraId="7858A2EB" w14:textId="65B0772C" w:rsidR="00FA586A" w:rsidRPr="000C156A" w:rsidRDefault="00C77E68" w:rsidP="00770BD3">
      <w:pPr>
        <w:ind w:firstLineChars="200" w:firstLine="480"/>
        <w:rPr>
          <w:lang w:eastAsia="zh-CN"/>
        </w:rPr>
      </w:pPr>
      <w:r w:rsidRPr="000C156A">
        <w:rPr>
          <w:rFonts w:hint="eastAsia"/>
          <w:lang w:eastAsia="zh-CN"/>
        </w:rPr>
        <w:t>我致力于确保内部控制体系的不断完善，然而，无论内部控制体系多么有效，设计多么完美都有不可避免的限制（包括规避的可能性）。因此，只能提供一定的，而非绝对的保证。此外，由于条件的变化，内部控制的有效性可能随时间推移而有所不同。</w:t>
      </w:r>
    </w:p>
    <w:p w14:paraId="5DBE6796" w14:textId="3DD8CB18" w:rsidR="00203EA2" w:rsidRPr="000C156A" w:rsidRDefault="00203EA2">
      <w:pPr>
        <w:tabs>
          <w:tab w:val="clear" w:pos="567"/>
          <w:tab w:val="clear" w:pos="1134"/>
          <w:tab w:val="clear" w:pos="1701"/>
          <w:tab w:val="clear" w:pos="2268"/>
          <w:tab w:val="clear" w:pos="2835"/>
        </w:tabs>
        <w:overflowPunct/>
        <w:autoSpaceDE/>
        <w:autoSpaceDN/>
        <w:adjustRightInd/>
        <w:spacing w:before="0"/>
        <w:textAlignment w:val="auto"/>
        <w:rPr>
          <w:rFonts w:cs="Arial"/>
          <w:b/>
          <w:bCs/>
          <w:szCs w:val="24"/>
          <w:lang w:eastAsia="zh-CN"/>
        </w:rPr>
      </w:pPr>
      <w:r w:rsidRPr="000C156A">
        <w:rPr>
          <w:rFonts w:cs="Arial"/>
          <w:lang w:eastAsia="zh-CN"/>
        </w:rPr>
        <w:br w:type="page"/>
      </w:r>
    </w:p>
    <w:p w14:paraId="58074A71" w14:textId="1949AA93" w:rsidR="00866190" w:rsidRPr="000C156A" w:rsidRDefault="00C77E68" w:rsidP="00770BD3">
      <w:pPr>
        <w:ind w:firstLineChars="200" w:firstLine="482"/>
        <w:rPr>
          <w:b/>
          <w:lang w:eastAsia="zh-CN"/>
        </w:rPr>
      </w:pPr>
      <w:r w:rsidRPr="000C156A">
        <w:rPr>
          <w:b/>
          <w:lang w:eastAsia="zh-CN"/>
        </w:rPr>
        <w:lastRenderedPageBreak/>
        <w:t>管理层力图克服在国际电联正常工作中出现的或在监督意见中指出的内部控制的不足之处并主要通过在过去一年已到位的、对监督建议执行的跟进予以保证。综上所述，我认为，国际电联在截止于</w:t>
      </w:r>
      <w:r w:rsidRPr="000C156A">
        <w:rPr>
          <w:b/>
          <w:lang w:eastAsia="zh-CN"/>
        </w:rPr>
        <w:t>2020</w:t>
      </w:r>
      <w:r w:rsidRPr="000C156A">
        <w:rPr>
          <w:b/>
          <w:lang w:eastAsia="zh-CN"/>
        </w:rPr>
        <w:t>年</w:t>
      </w:r>
      <w:r w:rsidRPr="000C156A">
        <w:rPr>
          <w:b/>
          <w:lang w:eastAsia="zh-CN"/>
        </w:rPr>
        <w:t>12</w:t>
      </w:r>
      <w:r w:rsidRPr="000C156A">
        <w:rPr>
          <w:b/>
          <w:lang w:eastAsia="zh-CN"/>
        </w:rPr>
        <w:t>月</w:t>
      </w:r>
      <w:r w:rsidRPr="000C156A">
        <w:rPr>
          <w:b/>
          <w:lang w:eastAsia="zh-CN"/>
        </w:rPr>
        <w:t>31</w:t>
      </w:r>
      <w:r w:rsidRPr="000C156A">
        <w:rPr>
          <w:b/>
          <w:lang w:eastAsia="zh-CN"/>
        </w:rPr>
        <w:t>日的一年内以及在财务报表批准之日前具有有效的内部控制体系。</w:t>
      </w:r>
    </w:p>
    <w:p w14:paraId="3A0D53A4" w14:textId="6ECE3D83" w:rsidR="00BF252A" w:rsidRPr="000C156A" w:rsidRDefault="00BF252A" w:rsidP="00D3735C">
      <w:pPr>
        <w:tabs>
          <w:tab w:val="clear" w:pos="567"/>
          <w:tab w:val="clear" w:pos="1134"/>
          <w:tab w:val="clear" w:pos="1701"/>
          <w:tab w:val="clear" w:pos="2268"/>
          <w:tab w:val="clear" w:pos="2835"/>
          <w:tab w:val="left" w:pos="5245"/>
        </w:tabs>
        <w:spacing w:before="480"/>
        <w:rPr>
          <w:lang w:eastAsia="zh-CN"/>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DF3667" w:rsidRPr="000C156A" w14:paraId="29627769" w14:textId="77777777" w:rsidTr="005D02F0">
        <w:tc>
          <w:tcPr>
            <w:tcW w:w="4962" w:type="dxa"/>
            <w:hideMark/>
          </w:tcPr>
          <w:p w14:paraId="54B87AA5" w14:textId="6C0DC7A5" w:rsidR="00DF3667" w:rsidRPr="000C156A" w:rsidRDefault="00DF3667" w:rsidP="005D02F0">
            <w:pPr>
              <w:tabs>
                <w:tab w:val="left" w:pos="5387"/>
              </w:tabs>
              <w:spacing w:before="60" w:after="60"/>
              <w:jc w:val="center"/>
              <w:rPr>
                <w:lang w:val="fr-CH" w:eastAsia="zh-CN"/>
              </w:rPr>
            </w:pPr>
          </w:p>
        </w:tc>
        <w:tc>
          <w:tcPr>
            <w:tcW w:w="4677" w:type="dxa"/>
            <w:hideMark/>
          </w:tcPr>
          <w:p w14:paraId="4445E6AE" w14:textId="24AB3414" w:rsidR="00DF3667" w:rsidRPr="000C156A" w:rsidRDefault="00DF3667" w:rsidP="005D02F0">
            <w:pPr>
              <w:tabs>
                <w:tab w:val="left" w:pos="5387"/>
              </w:tabs>
              <w:spacing w:before="60" w:after="60"/>
              <w:jc w:val="center"/>
              <w:rPr>
                <w:lang w:val="fr-CH" w:eastAsia="zh-CN"/>
              </w:rPr>
            </w:pPr>
            <w:r w:rsidRPr="000C156A">
              <w:rPr>
                <w:rFonts w:hint="eastAsia"/>
                <w:lang w:eastAsia="zh-CN"/>
              </w:rPr>
              <w:t>国际电联秘书长</w:t>
            </w:r>
          </w:p>
          <w:p w14:paraId="48AF79C7" w14:textId="77777777" w:rsidR="00DF3667" w:rsidRPr="000C156A" w:rsidRDefault="00DF3667" w:rsidP="005D02F0">
            <w:pPr>
              <w:tabs>
                <w:tab w:val="left" w:pos="5387"/>
              </w:tabs>
              <w:spacing w:before="60" w:after="60"/>
              <w:jc w:val="center"/>
              <w:rPr>
                <w:lang w:val="fr-CH" w:eastAsia="zh-CN"/>
              </w:rPr>
            </w:pPr>
            <w:r w:rsidRPr="000C156A">
              <w:rPr>
                <w:rFonts w:hint="eastAsia"/>
                <w:lang w:val="fr-CH" w:eastAsia="zh-CN"/>
              </w:rPr>
              <w:t>赵厚麟</w:t>
            </w:r>
          </w:p>
          <w:p w14:paraId="0EDF9599" w14:textId="77777777" w:rsidR="00DF3667" w:rsidRPr="000C156A" w:rsidRDefault="00DF3667" w:rsidP="005D02F0">
            <w:pPr>
              <w:tabs>
                <w:tab w:val="left" w:pos="5387"/>
              </w:tabs>
              <w:spacing w:before="60" w:after="60"/>
              <w:jc w:val="center"/>
              <w:rPr>
                <w:lang w:val="fr-CH" w:eastAsia="zh-CN"/>
              </w:rPr>
            </w:pPr>
            <w:r w:rsidRPr="000C156A">
              <w:rPr>
                <w:rFonts w:hint="eastAsia"/>
                <w:lang w:val="fr-CH" w:eastAsia="zh-CN"/>
              </w:rPr>
              <w:t>数字签名</w:t>
            </w:r>
          </w:p>
          <w:p w14:paraId="327ABAF1" w14:textId="77777777" w:rsidR="00DF3667" w:rsidRPr="000C156A" w:rsidRDefault="00DF3667" w:rsidP="005D02F0">
            <w:pPr>
              <w:tabs>
                <w:tab w:val="left" w:pos="5387"/>
              </w:tabs>
              <w:spacing w:before="60" w:after="60"/>
              <w:jc w:val="center"/>
              <w:rPr>
                <w:lang w:val="fr-CH" w:eastAsia="zh-CN"/>
              </w:rPr>
            </w:pPr>
            <w:r w:rsidRPr="000C156A">
              <w:rPr>
                <w:rFonts w:hint="eastAsia"/>
                <w:lang w:val="fr-CH" w:eastAsia="zh-CN"/>
              </w:rPr>
              <w:t>日期：</w:t>
            </w:r>
            <w:r w:rsidRPr="000C156A">
              <w:rPr>
                <w:rFonts w:hint="eastAsia"/>
                <w:lang w:val="fr-CH" w:eastAsia="zh-CN"/>
              </w:rPr>
              <w:t>2</w:t>
            </w:r>
            <w:r w:rsidRPr="000C156A">
              <w:rPr>
                <w:lang w:val="fr-CH" w:eastAsia="zh-CN"/>
              </w:rPr>
              <w:t>021</w:t>
            </w:r>
            <w:r w:rsidRPr="000C156A">
              <w:rPr>
                <w:rFonts w:hint="eastAsia"/>
                <w:lang w:val="fr-CH" w:eastAsia="zh-CN"/>
              </w:rPr>
              <w:t>年</w:t>
            </w:r>
            <w:r w:rsidRPr="000C156A">
              <w:rPr>
                <w:rFonts w:hint="eastAsia"/>
                <w:lang w:val="fr-CH" w:eastAsia="zh-CN"/>
              </w:rPr>
              <w:t>3</w:t>
            </w:r>
            <w:r w:rsidRPr="000C156A">
              <w:rPr>
                <w:rFonts w:hint="eastAsia"/>
                <w:lang w:val="fr-CH" w:eastAsia="zh-CN"/>
              </w:rPr>
              <w:t>月</w:t>
            </w:r>
            <w:r w:rsidRPr="000C156A">
              <w:rPr>
                <w:rFonts w:hint="eastAsia"/>
                <w:lang w:val="fr-CH" w:eastAsia="zh-CN"/>
              </w:rPr>
              <w:t>1</w:t>
            </w:r>
            <w:r w:rsidRPr="000C156A">
              <w:rPr>
                <w:lang w:val="fr-CH" w:eastAsia="zh-CN"/>
              </w:rPr>
              <w:t>6</w:t>
            </w:r>
            <w:r w:rsidRPr="000C156A">
              <w:rPr>
                <w:rFonts w:hint="eastAsia"/>
                <w:lang w:val="fr-CH" w:eastAsia="zh-CN"/>
              </w:rPr>
              <w:t>日</w:t>
            </w:r>
          </w:p>
        </w:tc>
      </w:tr>
    </w:tbl>
    <w:p w14:paraId="2C4E7C24" w14:textId="77777777" w:rsidR="00BF252A" w:rsidRPr="000C156A" w:rsidRDefault="00BF252A" w:rsidP="00BF252A">
      <w:pPr>
        <w:snapToGrid w:val="0"/>
        <w:spacing w:before="0"/>
        <w:rPr>
          <w:szCs w:val="24"/>
          <w:lang w:eastAsia="zh-CN"/>
        </w:rPr>
      </w:pPr>
    </w:p>
    <w:p w14:paraId="6089B515" w14:textId="2E245CF6" w:rsidR="0065792A" w:rsidRPr="000C156A" w:rsidRDefault="0065792A" w:rsidP="0065792A">
      <w:pPr>
        <w:snapToGrid w:val="0"/>
        <w:spacing w:before="240"/>
        <w:jc w:val="right"/>
        <w:rPr>
          <w:szCs w:val="24"/>
          <w:lang w:eastAsia="zh-CN"/>
        </w:rPr>
      </w:pPr>
      <w:r w:rsidRPr="000C156A">
        <w:rPr>
          <w:szCs w:val="24"/>
          <w:lang w:eastAsia="zh-CN"/>
        </w:rPr>
        <w:t>2021</w:t>
      </w:r>
      <w:r w:rsidRPr="000C156A">
        <w:rPr>
          <w:rFonts w:hint="eastAsia"/>
          <w:szCs w:val="24"/>
          <w:lang w:eastAsia="zh-CN"/>
        </w:rPr>
        <w:t>年</w:t>
      </w:r>
      <w:r w:rsidRPr="000C156A">
        <w:rPr>
          <w:rFonts w:hint="eastAsia"/>
          <w:szCs w:val="24"/>
          <w:lang w:eastAsia="zh-CN"/>
        </w:rPr>
        <w:t>3</w:t>
      </w:r>
      <w:r w:rsidRPr="000C156A">
        <w:rPr>
          <w:rFonts w:hint="eastAsia"/>
          <w:szCs w:val="24"/>
          <w:lang w:eastAsia="zh-CN"/>
        </w:rPr>
        <w:t>月</w:t>
      </w:r>
      <w:r w:rsidRPr="000C156A">
        <w:rPr>
          <w:szCs w:val="24"/>
          <w:lang w:eastAsia="zh-CN"/>
        </w:rPr>
        <w:t>15</w:t>
      </w:r>
      <w:r w:rsidRPr="000C156A">
        <w:rPr>
          <w:rFonts w:hint="eastAsia"/>
          <w:szCs w:val="24"/>
          <w:lang w:eastAsia="zh-CN"/>
        </w:rPr>
        <w:t>日，日内瓦</w:t>
      </w:r>
    </w:p>
    <w:p w14:paraId="64D10F4F" w14:textId="61A02A3A" w:rsidR="00462279" w:rsidRPr="000C156A" w:rsidRDefault="00CD7201" w:rsidP="0065792A">
      <w:pPr>
        <w:rPr>
          <w:lang w:val="en-US" w:eastAsia="zh-CN"/>
        </w:rPr>
      </w:pPr>
      <w:r w:rsidRPr="000C156A">
        <w:rPr>
          <w:lang w:val="en-US" w:eastAsia="zh-CN"/>
        </w:rPr>
        <w:br w:type="page"/>
      </w:r>
    </w:p>
    <w:p w14:paraId="434537FE" w14:textId="77777777" w:rsidR="004F0546" w:rsidRPr="000C156A" w:rsidRDefault="004F0546" w:rsidP="004133DB">
      <w:pPr>
        <w:tabs>
          <w:tab w:val="left" w:pos="284"/>
          <w:tab w:val="right" w:pos="5670"/>
          <w:tab w:val="right" w:pos="7655"/>
          <w:tab w:val="left" w:pos="8789"/>
        </w:tabs>
        <w:spacing w:before="2640"/>
        <w:jc w:val="center"/>
        <w:rPr>
          <w:rFonts w:asciiTheme="minorHAnsi" w:hAnsiTheme="minorHAnsi"/>
          <w:b/>
          <w:sz w:val="28"/>
          <w:szCs w:val="28"/>
          <w:lang w:val="en-US" w:eastAsia="zh-CN"/>
        </w:rPr>
      </w:pPr>
    </w:p>
    <w:p w14:paraId="5181F37F" w14:textId="0F04F29A" w:rsidR="00462279" w:rsidRPr="000C156A" w:rsidRDefault="0065792A" w:rsidP="00DB3AC5">
      <w:pPr>
        <w:pStyle w:val="Heading1"/>
        <w:spacing w:before="1440"/>
        <w:jc w:val="center"/>
        <w:rPr>
          <w:color w:val="000000"/>
          <w:lang w:val="fr-FR" w:eastAsia="zh-CN"/>
        </w:rPr>
      </w:pPr>
      <w:bookmarkStart w:id="223" w:name="_Toc482892534"/>
      <w:bookmarkStart w:id="224" w:name="_Toc511116005"/>
      <w:bookmarkStart w:id="225" w:name="_Toc41905284"/>
      <w:bookmarkStart w:id="226" w:name="_Toc41905747"/>
      <w:bookmarkStart w:id="227" w:name="_Toc41905835"/>
      <w:bookmarkStart w:id="228" w:name="_Toc41907964"/>
      <w:bookmarkStart w:id="229" w:name="_Toc73636092"/>
      <w:bookmarkStart w:id="230" w:name="_Toc73636234"/>
      <w:r w:rsidRPr="000C156A">
        <w:rPr>
          <w:color w:val="000000"/>
          <w:lang w:val="fr-FR" w:eastAsia="zh-CN"/>
        </w:rPr>
        <w:t>2020</w:t>
      </w:r>
      <w:r w:rsidRPr="000C156A">
        <w:rPr>
          <w:rFonts w:cs="Microsoft YaHei" w:hint="eastAsia"/>
          <w:color w:val="000000"/>
          <w:lang w:val="fr-FR" w:eastAsia="zh-CN"/>
        </w:rPr>
        <w:t>年</w:t>
      </w:r>
      <w:r w:rsidRPr="000C156A">
        <w:rPr>
          <w:color w:val="000000"/>
          <w:lang w:val="fr-FR" w:eastAsia="zh-CN"/>
        </w:rPr>
        <w:t>12</w:t>
      </w:r>
      <w:r w:rsidRPr="000C156A">
        <w:rPr>
          <w:rFonts w:cs="Microsoft YaHei" w:hint="eastAsia"/>
          <w:color w:val="000000"/>
          <w:lang w:val="fr-FR" w:eastAsia="zh-CN"/>
        </w:rPr>
        <w:t>月</w:t>
      </w:r>
      <w:r w:rsidRPr="000C156A">
        <w:rPr>
          <w:color w:val="000000"/>
          <w:lang w:val="fr-FR" w:eastAsia="zh-CN"/>
        </w:rPr>
        <w:t>31</w:t>
      </w:r>
      <w:r w:rsidRPr="000C156A">
        <w:rPr>
          <w:rFonts w:cs="Microsoft YaHei" w:hint="eastAsia"/>
          <w:color w:val="000000"/>
          <w:lang w:val="fr-FR" w:eastAsia="zh-CN"/>
        </w:rPr>
        <w:t>日截止的年度财务报表证书</w:t>
      </w:r>
      <w:bookmarkEnd w:id="223"/>
      <w:bookmarkEnd w:id="224"/>
      <w:bookmarkEnd w:id="225"/>
      <w:bookmarkEnd w:id="226"/>
      <w:bookmarkEnd w:id="227"/>
      <w:bookmarkEnd w:id="228"/>
      <w:bookmarkEnd w:id="229"/>
      <w:bookmarkEnd w:id="230"/>
    </w:p>
    <w:p w14:paraId="01674261" w14:textId="13F7CF9D" w:rsidR="00462279" w:rsidRPr="000C156A" w:rsidRDefault="0065792A" w:rsidP="00DB3AC5">
      <w:pPr>
        <w:spacing w:before="240" w:after="240"/>
        <w:jc w:val="center"/>
        <w:rPr>
          <w:rFonts w:asciiTheme="minorHAnsi" w:hAnsiTheme="minorHAnsi"/>
          <w:b/>
          <w:smallCaps/>
          <w:sz w:val="28"/>
          <w:szCs w:val="28"/>
          <w:lang w:val="en-US" w:eastAsia="zh-CN"/>
        </w:rPr>
      </w:pPr>
      <w:r w:rsidRPr="000C156A">
        <w:rPr>
          <w:rFonts w:hint="eastAsia"/>
          <w:b/>
          <w:bCs/>
          <w:sz w:val="28"/>
          <w:lang w:eastAsia="zh-CN"/>
        </w:rPr>
        <w:t>国际电信联盟，日内瓦</w:t>
      </w:r>
    </w:p>
    <w:p w14:paraId="1A6A1832" w14:textId="39C1C006" w:rsidR="0065792A" w:rsidRPr="000C156A" w:rsidRDefault="0065792A" w:rsidP="0065792A">
      <w:pPr>
        <w:spacing w:before="480"/>
        <w:ind w:firstLineChars="200" w:firstLine="480"/>
        <w:rPr>
          <w:lang w:eastAsia="zh-CN"/>
        </w:rPr>
      </w:pPr>
      <w:r w:rsidRPr="000C156A">
        <w:rPr>
          <w:rFonts w:hint="eastAsia"/>
          <w:lang w:eastAsia="zh-CN"/>
        </w:rPr>
        <w:t>依据《财务规则》第</w:t>
      </w:r>
      <w:r w:rsidRPr="000C156A">
        <w:rPr>
          <w:lang w:eastAsia="zh-CN"/>
        </w:rPr>
        <w:t>30</w:t>
      </w:r>
      <w:r w:rsidRPr="000C156A">
        <w:rPr>
          <w:rFonts w:hint="eastAsia"/>
          <w:lang w:eastAsia="zh-CN"/>
        </w:rPr>
        <w:t>条，国际电信联盟的账目和财务报表的建立和维护符合国际公共部门会计准则（</w:t>
      </w:r>
      <w:r w:rsidRPr="000C156A">
        <w:rPr>
          <w:lang w:eastAsia="zh-CN"/>
        </w:rPr>
        <w:t>IPSAS</w:t>
      </w:r>
      <w:r w:rsidRPr="000C156A">
        <w:rPr>
          <w:rFonts w:hint="eastAsia"/>
          <w:lang w:eastAsia="zh-CN"/>
        </w:rPr>
        <w:t>）。截止于</w:t>
      </w:r>
      <w:r w:rsidRPr="000C156A">
        <w:rPr>
          <w:bCs/>
          <w:lang w:val="en-US" w:eastAsia="zh-CN"/>
        </w:rPr>
        <w:t>2020</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日的年度财务报表及报表说明和相关附件经过审查获得批准。</w:t>
      </w:r>
    </w:p>
    <w:p w14:paraId="1C0136FA" w14:textId="2E16DFD2" w:rsidR="00462279" w:rsidRPr="000C156A" w:rsidRDefault="0065792A" w:rsidP="00D623CF">
      <w:pPr>
        <w:spacing w:before="360" w:after="480"/>
        <w:rPr>
          <w:lang w:val="en-US"/>
        </w:rPr>
      </w:pPr>
      <w:r w:rsidRPr="000C156A">
        <w:rPr>
          <w:lang w:val="en-US"/>
        </w:rPr>
        <w:t>2021</w:t>
      </w:r>
      <w:r w:rsidRPr="000C156A">
        <w:rPr>
          <w:rFonts w:hint="eastAsia"/>
          <w:lang w:eastAsia="zh-CN"/>
        </w:rPr>
        <w:t>年</w:t>
      </w:r>
      <w:r w:rsidRPr="000C156A">
        <w:rPr>
          <w:lang w:eastAsia="zh-CN"/>
        </w:rPr>
        <w:t>3</w:t>
      </w:r>
      <w:r w:rsidRPr="000C156A">
        <w:rPr>
          <w:rFonts w:hint="eastAsia"/>
          <w:lang w:eastAsia="zh-CN"/>
        </w:rPr>
        <w:t>月</w:t>
      </w:r>
      <w:r w:rsidRPr="000C156A">
        <w:rPr>
          <w:lang w:val="en-US"/>
        </w:rPr>
        <w:t>15</w:t>
      </w:r>
      <w:r w:rsidRPr="000C156A">
        <w:rPr>
          <w:rFonts w:hint="eastAsia"/>
          <w:lang w:eastAsia="zh-CN"/>
        </w:rPr>
        <w:t>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65792A" w:rsidRPr="000C156A" w14:paraId="3A4E2510" w14:textId="77777777" w:rsidTr="00DF3667">
        <w:tc>
          <w:tcPr>
            <w:tcW w:w="4536" w:type="dxa"/>
            <w:hideMark/>
          </w:tcPr>
          <w:p w14:paraId="337B3A93" w14:textId="77777777" w:rsidR="0065792A" w:rsidRPr="000C156A" w:rsidRDefault="0065792A" w:rsidP="009A6CDB">
            <w:pPr>
              <w:jc w:val="center"/>
              <w:rPr>
                <w:rFonts w:asciiTheme="minorHAnsi" w:eastAsiaTheme="minorEastAsia" w:hAnsiTheme="minorHAnsi"/>
                <w:bCs/>
              </w:rPr>
            </w:pPr>
            <w:r w:rsidRPr="000C156A">
              <w:rPr>
                <w:rFonts w:asciiTheme="minorHAnsi" w:eastAsiaTheme="minorEastAsia" w:hAnsiTheme="minorHAnsi" w:cs="Microsoft YaHei"/>
                <w:bCs/>
              </w:rPr>
              <w:t>财务资源管理部主任</w:t>
            </w:r>
            <w:r w:rsidRPr="000C156A">
              <w:rPr>
                <w:rFonts w:asciiTheme="minorHAnsi" w:eastAsiaTheme="minorEastAsia" w:hAnsiTheme="minorHAnsi"/>
                <w:bCs/>
              </w:rPr>
              <w:br/>
              <w:t>Alassane Ba</w:t>
            </w:r>
          </w:p>
          <w:p w14:paraId="1982FB90" w14:textId="77777777" w:rsidR="003C7020" w:rsidRPr="000C156A" w:rsidRDefault="003C7020" w:rsidP="003C7020">
            <w:pPr>
              <w:tabs>
                <w:tab w:val="left" w:pos="5387"/>
              </w:tabs>
              <w:spacing w:before="60" w:after="60"/>
              <w:jc w:val="center"/>
              <w:rPr>
                <w:lang w:val="fr-CH" w:eastAsia="zh-CN"/>
              </w:rPr>
            </w:pPr>
            <w:r w:rsidRPr="000C156A">
              <w:rPr>
                <w:rFonts w:hint="eastAsia"/>
                <w:lang w:val="fr-CH" w:eastAsia="zh-CN"/>
              </w:rPr>
              <w:t>数字签名</w:t>
            </w:r>
          </w:p>
          <w:p w14:paraId="1D41CA49" w14:textId="2CF6794D" w:rsidR="003C7020" w:rsidRPr="000C156A" w:rsidRDefault="003C7020" w:rsidP="008C004B">
            <w:pPr>
              <w:spacing w:before="60"/>
              <w:jc w:val="center"/>
              <w:rPr>
                <w:rFonts w:asciiTheme="minorHAnsi" w:eastAsiaTheme="minorEastAsia" w:hAnsiTheme="minorHAnsi"/>
                <w:bCs/>
                <w:lang w:eastAsia="zh-CN"/>
              </w:rPr>
            </w:pPr>
            <w:r w:rsidRPr="000C156A">
              <w:rPr>
                <w:rFonts w:hint="eastAsia"/>
                <w:lang w:val="fr-CH" w:eastAsia="zh-CN"/>
              </w:rPr>
              <w:t>日期：</w:t>
            </w:r>
            <w:r w:rsidRPr="000C156A">
              <w:rPr>
                <w:rFonts w:hint="eastAsia"/>
                <w:lang w:val="fr-CH" w:eastAsia="zh-CN"/>
              </w:rPr>
              <w:t>2</w:t>
            </w:r>
            <w:r w:rsidRPr="000C156A">
              <w:rPr>
                <w:lang w:val="fr-CH" w:eastAsia="zh-CN"/>
              </w:rPr>
              <w:t>021</w:t>
            </w:r>
            <w:r w:rsidRPr="000C156A">
              <w:rPr>
                <w:rFonts w:hint="eastAsia"/>
                <w:lang w:val="fr-CH" w:eastAsia="zh-CN"/>
              </w:rPr>
              <w:t>年</w:t>
            </w:r>
            <w:r w:rsidRPr="000C156A">
              <w:rPr>
                <w:rFonts w:hint="eastAsia"/>
                <w:lang w:val="fr-CH" w:eastAsia="zh-CN"/>
              </w:rPr>
              <w:t>3</w:t>
            </w:r>
            <w:r w:rsidRPr="000C156A">
              <w:rPr>
                <w:rFonts w:hint="eastAsia"/>
                <w:lang w:val="fr-CH" w:eastAsia="zh-CN"/>
              </w:rPr>
              <w:t>月</w:t>
            </w:r>
            <w:r w:rsidRPr="000C156A">
              <w:rPr>
                <w:rFonts w:hint="eastAsia"/>
                <w:lang w:val="fr-CH" w:eastAsia="zh-CN"/>
              </w:rPr>
              <w:t>1</w:t>
            </w:r>
            <w:r w:rsidRPr="000C156A">
              <w:rPr>
                <w:lang w:val="fr-CH" w:eastAsia="zh-CN"/>
              </w:rPr>
              <w:t>6</w:t>
            </w:r>
            <w:r w:rsidRPr="000C156A">
              <w:rPr>
                <w:rFonts w:hint="eastAsia"/>
                <w:lang w:val="fr-CH" w:eastAsia="zh-CN"/>
              </w:rPr>
              <w:t>日</w:t>
            </w:r>
          </w:p>
        </w:tc>
        <w:tc>
          <w:tcPr>
            <w:tcW w:w="5103" w:type="dxa"/>
            <w:hideMark/>
          </w:tcPr>
          <w:p w14:paraId="347A3A30" w14:textId="77777777" w:rsidR="0065792A" w:rsidRPr="000C156A" w:rsidRDefault="0065792A" w:rsidP="009A6CDB">
            <w:pPr>
              <w:ind w:left="813"/>
              <w:jc w:val="center"/>
              <w:rPr>
                <w:rFonts w:asciiTheme="minorHAnsi" w:eastAsiaTheme="minorEastAsia" w:hAnsiTheme="minorHAnsi" w:cs="Microsoft YaHei"/>
                <w:bCs/>
                <w:lang w:eastAsia="zh-CN"/>
              </w:rPr>
            </w:pPr>
            <w:r w:rsidRPr="000C156A">
              <w:rPr>
                <w:rFonts w:asciiTheme="minorHAnsi" w:eastAsiaTheme="minorEastAsia" w:hAnsiTheme="minorHAnsi" w:cs="Microsoft YaHei"/>
                <w:bCs/>
                <w:lang w:eastAsia="zh-CN"/>
              </w:rPr>
              <w:t>秘书长</w:t>
            </w:r>
            <w:r w:rsidRPr="000C156A">
              <w:rPr>
                <w:rFonts w:asciiTheme="minorHAnsi" w:eastAsiaTheme="minorEastAsia" w:hAnsiTheme="minorHAnsi"/>
                <w:bCs/>
                <w:lang w:eastAsia="zh-CN"/>
              </w:rPr>
              <w:br/>
            </w:r>
            <w:r w:rsidRPr="000C156A">
              <w:rPr>
                <w:rFonts w:asciiTheme="minorHAnsi" w:eastAsiaTheme="minorEastAsia" w:hAnsiTheme="minorHAnsi" w:cs="Microsoft YaHei"/>
                <w:bCs/>
                <w:lang w:eastAsia="zh-CN"/>
              </w:rPr>
              <w:t>赵厚麟</w:t>
            </w:r>
          </w:p>
          <w:p w14:paraId="501711BD" w14:textId="77777777" w:rsidR="003C7020" w:rsidRPr="000C156A" w:rsidRDefault="003C7020" w:rsidP="00DF3667">
            <w:pPr>
              <w:spacing w:before="60"/>
              <w:ind w:left="813"/>
              <w:jc w:val="center"/>
              <w:rPr>
                <w:lang w:val="fr-CH" w:eastAsia="zh-CN"/>
              </w:rPr>
            </w:pPr>
            <w:r w:rsidRPr="000C156A">
              <w:rPr>
                <w:rFonts w:hint="eastAsia"/>
                <w:lang w:val="fr-CH" w:eastAsia="zh-CN"/>
              </w:rPr>
              <w:t>数字签名</w:t>
            </w:r>
          </w:p>
          <w:p w14:paraId="7FFA2443" w14:textId="1B5618DB" w:rsidR="003C7020" w:rsidRPr="000C156A" w:rsidRDefault="003C7020" w:rsidP="008C004B">
            <w:pPr>
              <w:spacing w:before="60"/>
              <w:ind w:left="813"/>
              <w:jc w:val="center"/>
              <w:rPr>
                <w:rFonts w:asciiTheme="minorHAnsi" w:eastAsiaTheme="minorEastAsia" w:hAnsiTheme="minorHAnsi"/>
                <w:bCs/>
                <w:lang w:eastAsia="zh-CN"/>
              </w:rPr>
            </w:pPr>
            <w:r w:rsidRPr="000C156A">
              <w:rPr>
                <w:rFonts w:hint="eastAsia"/>
                <w:lang w:val="fr-CH" w:eastAsia="zh-CN"/>
              </w:rPr>
              <w:t>日期：</w:t>
            </w:r>
            <w:r w:rsidRPr="000C156A">
              <w:rPr>
                <w:rFonts w:hint="eastAsia"/>
                <w:lang w:val="fr-CH" w:eastAsia="zh-CN"/>
              </w:rPr>
              <w:t>2</w:t>
            </w:r>
            <w:r w:rsidRPr="000C156A">
              <w:rPr>
                <w:lang w:val="fr-CH" w:eastAsia="zh-CN"/>
              </w:rPr>
              <w:t>021</w:t>
            </w:r>
            <w:r w:rsidRPr="000C156A">
              <w:rPr>
                <w:rFonts w:hint="eastAsia"/>
                <w:lang w:val="fr-CH" w:eastAsia="zh-CN"/>
              </w:rPr>
              <w:t>年</w:t>
            </w:r>
            <w:r w:rsidRPr="000C156A">
              <w:rPr>
                <w:rFonts w:hint="eastAsia"/>
                <w:lang w:val="fr-CH" w:eastAsia="zh-CN"/>
              </w:rPr>
              <w:t>3</w:t>
            </w:r>
            <w:r w:rsidRPr="000C156A">
              <w:rPr>
                <w:rFonts w:hint="eastAsia"/>
                <w:lang w:val="fr-CH" w:eastAsia="zh-CN"/>
              </w:rPr>
              <w:t>月</w:t>
            </w:r>
            <w:r w:rsidRPr="000C156A">
              <w:rPr>
                <w:rFonts w:hint="eastAsia"/>
                <w:lang w:val="fr-CH" w:eastAsia="zh-CN"/>
              </w:rPr>
              <w:t>1</w:t>
            </w:r>
            <w:r w:rsidRPr="000C156A">
              <w:rPr>
                <w:lang w:val="fr-CH" w:eastAsia="zh-CN"/>
              </w:rPr>
              <w:t>6</w:t>
            </w:r>
            <w:r w:rsidRPr="000C156A">
              <w:rPr>
                <w:rFonts w:hint="eastAsia"/>
                <w:lang w:val="fr-CH" w:eastAsia="zh-CN"/>
              </w:rPr>
              <w:t>日</w:t>
            </w:r>
          </w:p>
        </w:tc>
      </w:tr>
    </w:tbl>
    <w:p w14:paraId="368F3BD2" w14:textId="77777777" w:rsidR="00C70441" w:rsidRPr="000C156A" w:rsidRDefault="00C70441" w:rsidP="009B7296">
      <w:pPr>
        <w:rPr>
          <w:lang w:val="en-US" w:eastAsia="zh-CN"/>
        </w:rPr>
      </w:pPr>
      <w:r w:rsidRPr="000C156A">
        <w:rPr>
          <w:lang w:val="en-US" w:eastAsia="zh-CN"/>
        </w:rPr>
        <w:br w:type="page"/>
      </w:r>
    </w:p>
    <w:p w14:paraId="2927F77B" w14:textId="27FE55CE" w:rsidR="0022373A" w:rsidRPr="000C156A" w:rsidRDefault="0065792A" w:rsidP="00B342DA">
      <w:pPr>
        <w:pStyle w:val="Heading1"/>
        <w:jc w:val="center"/>
        <w:rPr>
          <w:w w:val="105"/>
          <w:sz w:val="32"/>
          <w:szCs w:val="28"/>
          <w:lang w:val="en-US"/>
        </w:rPr>
      </w:pPr>
      <w:bookmarkStart w:id="231" w:name="_Toc358364827"/>
      <w:bookmarkStart w:id="232" w:name="_Toc329077314"/>
      <w:bookmarkStart w:id="233" w:name="_Toc482892535"/>
      <w:bookmarkStart w:id="234" w:name="_Toc511116006"/>
      <w:bookmarkStart w:id="235" w:name="_Toc511768677"/>
      <w:bookmarkStart w:id="236" w:name="_Toc41905285"/>
      <w:bookmarkStart w:id="237" w:name="_Toc41905748"/>
      <w:bookmarkStart w:id="238" w:name="_Toc41905836"/>
      <w:bookmarkStart w:id="239" w:name="_Toc41907965"/>
      <w:bookmarkStart w:id="240" w:name="_Toc72745299"/>
      <w:bookmarkStart w:id="241" w:name="_Toc72747214"/>
      <w:bookmarkStart w:id="242" w:name="_Toc73461016"/>
      <w:bookmarkStart w:id="243" w:name="_Toc73518810"/>
      <w:bookmarkStart w:id="244" w:name="_Toc73519210"/>
      <w:bookmarkStart w:id="245" w:name="_Toc73636093"/>
      <w:bookmarkStart w:id="246" w:name="_Toc73636235"/>
      <w:r w:rsidRPr="000C156A">
        <w:rPr>
          <w:rFonts w:hint="eastAsia"/>
          <w:lang w:eastAsia="zh-CN"/>
        </w:rPr>
        <w:lastRenderedPageBreak/>
        <w:t>财务报表</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7D4DEB05" w14:textId="708FDD77" w:rsidR="0022373A" w:rsidRPr="000C156A" w:rsidRDefault="0065792A" w:rsidP="005D3458">
      <w:pPr>
        <w:keepNext/>
        <w:jc w:val="right"/>
        <w:rPr>
          <w:b/>
          <w:bCs/>
          <w:lang w:val="en-US"/>
        </w:rPr>
      </w:pPr>
      <w:r w:rsidRPr="000C156A">
        <w:rPr>
          <w:rFonts w:hint="eastAsia"/>
          <w:b/>
          <w:bCs/>
          <w:lang w:val="fr-CH" w:eastAsia="zh-CN"/>
        </w:rPr>
        <w:t>页码</w:t>
      </w:r>
    </w:p>
    <w:bookmarkStart w:id="247" w:name="_Toc304390545"/>
    <w:bookmarkStart w:id="248" w:name="_Toc304406411"/>
    <w:p w14:paraId="05922291" w14:textId="7FC52FC4" w:rsidR="000C156A" w:rsidRDefault="00B342DA" w:rsidP="007A5D22">
      <w:pPr>
        <w:pStyle w:val="TOC1"/>
        <w:tabs>
          <w:tab w:val="left" w:leader="dot" w:pos="8789"/>
          <w:tab w:val="right" w:pos="9639"/>
        </w:tabs>
        <w:ind w:left="0" w:firstLine="0"/>
        <w:rPr>
          <w:rFonts w:asciiTheme="minorHAnsi" w:eastAsiaTheme="minorEastAsia" w:hAnsiTheme="minorHAnsi" w:cstheme="minorBidi"/>
          <w:noProof/>
          <w:sz w:val="22"/>
          <w:szCs w:val="22"/>
          <w:lang w:val="en-US" w:eastAsia="zh-CN"/>
        </w:rPr>
      </w:pPr>
      <w:r w:rsidRPr="000C156A">
        <w:rPr>
          <w:rStyle w:val="Hyperlink"/>
          <w:color w:val="auto"/>
          <w:u w:val="none"/>
          <w:lang w:val="ru-RU"/>
        </w:rPr>
        <w:fldChar w:fldCharType="begin"/>
      </w:r>
      <w:r w:rsidRPr="000C156A">
        <w:rPr>
          <w:rStyle w:val="Hyperlink"/>
          <w:color w:val="auto"/>
          <w:u w:val="none"/>
          <w:lang w:val="ru-RU"/>
        </w:rPr>
        <w:instrText xml:space="preserve"> TOC \o "1-1" \h \z \u \t "Heading 2,2,Heading 3,3,Heading 5,5" </w:instrText>
      </w:r>
      <w:r w:rsidRPr="000C156A">
        <w:rPr>
          <w:rStyle w:val="Hyperlink"/>
          <w:color w:val="auto"/>
          <w:u w:val="none"/>
          <w:lang w:val="ru-RU"/>
        </w:rPr>
        <w:fldChar w:fldCharType="separate"/>
      </w:r>
      <w:hyperlink w:anchor="_Toc73636236" w:history="1">
        <w:r w:rsidR="000C156A" w:rsidRPr="00F176F8">
          <w:rPr>
            <w:rStyle w:val="Hyperlink"/>
            <w:rFonts w:cs="Microsoft YaHei" w:hint="eastAsia"/>
            <w:noProof/>
            <w:lang w:val="fr-FR" w:eastAsia="zh-CN"/>
          </w:rPr>
          <w:t>一</w:t>
        </w:r>
        <w:r w:rsidR="000C156A" w:rsidRPr="00F176F8">
          <w:rPr>
            <w:rStyle w:val="Hyperlink"/>
            <w:noProof/>
            <w:lang w:eastAsia="zh-CN"/>
          </w:rPr>
          <w:t xml:space="preserve"> – </w:t>
        </w:r>
        <w:r w:rsidR="000C156A" w:rsidRPr="00F176F8">
          <w:rPr>
            <w:rStyle w:val="Hyperlink"/>
            <w:rFonts w:cs="Microsoft YaHei" w:hint="eastAsia"/>
            <w:noProof/>
            <w:lang w:val="fr-FR" w:eastAsia="zh-CN"/>
          </w:rPr>
          <w:t>财务状况表</w:t>
        </w:r>
        <w:r w:rsidR="000C156A" w:rsidRPr="00F176F8">
          <w:rPr>
            <w:rStyle w:val="Hyperlink"/>
            <w:noProof/>
            <w:lang w:eastAsia="zh-CN"/>
          </w:rPr>
          <w:t xml:space="preserve"> – </w:t>
        </w:r>
        <w:r w:rsidR="000C156A" w:rsidRPr="00F176F8">
          <w:rPr>
            <w:rStyle w:val="Hyperlink"/>
            <w:rFonts w:cs="Microsoft YaHei" w:hint="eastAsia"/>
            <w:noProof/>
            <w:lang w:val="fr-FR" w:eastAsia="zh-CN"/>
          </w:rPr>
          <w:t>截至</w:t>
        </w:r>
        <w:r w:rsidR="000C156A" w:rsidRPr="00F176F8">
          <w:rPr>
            <w:rStyle w:val="Hyperlink"/>
            <w:bCs/>
            <w:noProof/>
            <w:lang w:val="en-US" w:eastAsia="zh-CN"/>
          </w:rPr>
          <w:t>2020</w:t>
        </w:r>
        <w:r w:rsidR="000C156A" w:rsidRPr="00F176F8">
          <w:rPr>
            <w:rStyle w:val="Hyperlink"/>
            <w:rFonts w:cs="Microsoft YaHei" w:hint="eastAsia"/>
            <w:noProof/>
            <w:lang w:val="fr-FR" w:eastAsia="zh-CN"/>
          </w:rPr>
          <w:t>年</w:t>
        </w:r>
        <w:r w:rsidR="000C156A" w:rsidRPr="00F176F8">
          <w:rPr>
            <w:rStyle w:val="Hyperlink"/>
            <w:noProof/>
            <w:lang w:eastAsia="zh-CN"/>
          </w:rPr>
          <w:t>12</w:t>
        </w:r>
        <w:r w:rsidR="000C156A" w:rsidRPr="00F176F8">
          <w:rPr>
            <w:rStyle w:val="Hyperlink"/>
            <w:rFonts w:cs="Microsoft YaHei" w:hint="eastAsia"/>
            <w:noProof/>
            <w:lang w:val="fr-FR" w:eastAsia="zh-CN"/>
          </w:rPr>
          <w:t>月</w:t>
        </w:r>
        <w:r w:rsidR="000C156A" w:rsidRPr="00F176F8">
          <w:rPr>
            <w:rStyle w:val="Hyperlink"/>
            <w:noProof/>
            <w:lang w:eastAsia="zh-CN"/>
          </w:rPr>
          <w:t>31</w:t>
        </w:r>
        <w:r w:rsidR="000C156A" w:rsidRPr="00F176F8">
          <w:rPr>
            <w:rStyle w:val="Hyperlink"/>
            <w:rFonts w:cs="Microsoft YaHei" w:hint="eastAsia"/>
            <w:noProof/>
            <w:lang w:val="fr-FR" w:eastAsia="zh-CN"/>
          </w:rPr>
          <w:t>日的资产负债表</w:t>
        </w:r>
        <w:r w:rsidR="000C156A" w:rsidRPr="00F176F8">
          <w:rPr>
            <w:rStyle w:val="Hyperlink"/>
            <w:rFonts w:cs="Microsoft YaHei" w:hint="eastAsia"/>
            <w:noProof/>
            <w:lang w:eastAsia="zh-CN"/>
          </w:rPr>
          <w:t>（</w:t>
        </w:r>
        <w:r w:rsidR="000C156A" w:rsidRPr="00F176F8">
          <w:rPr>
            <w:rStyle w:val="Hyperlink"/>
            <w:rFonts w:cs="Microsoft YaHei" w:hint="eastAsia"/>
            <w:noProof/>
            <w:lang w:val="fr-FR" w:eastAsia="zh-CN"/>
          </w:rPr>
          <w:t>包含截至</w:t>
        </w:r>
        <w:r w:rsidR="000C156A" w:rsidRPr="00F176F8">
          <w:rPr>
            <w:rStyle w:val="Hyperlink"/>
            <w:bCs/>
            <w:noProof/>
            <w:lang w:val="en-US" w:eastAsia="zh-CN"/>
          </w:rPr>
          <w:t>2019</w:t>
        </w:r>
        <w:r w:rsidR="000C156A" w:rsidRPr="00F176F8">
          <w:rPr>
            <w:rStyle w:val="Hyperlink"/>
            <w:rFonts w:cs="Microsoft YaHei" w:hint="eastAsia"/>
            <w:noProof/>
            <w:lang w:val="fr-FR" w:eastAsia="zh-CN"/>
          </w:rPr>
          <w:t>年</w:t>
        </w:r>
        <w:r w:rsidR="000C156A" w:rsidRPr="00F176F8">
          <w:rPr>
            <w:rStyle w:val="Hyperlink"/>
            <w:noProof/>
            <w:lang w:eastAsia="zh-CN"/>
          </w:rPr>
          <w:t>12</w:t>
        </w:r>
        <w:r w:rsidR="000C156A" w:rsidRPr="00F176F8">
          <w:rPr>
            <w:rStyle w:val="Hyperlink"/>
            <w:rFonts w:cs="Microsoft YaHei" w:hint="eastAsia"/>
            <w:noProof/>
            <w:lang w:val="fr-FR" w:eastAsia="zh-CN"/>
          </w:rPr>
          <w:t>月</w:t>
        </w:r>
        <w:r w:rsidR="000C156A" w:rsidRPr="00F176F8">
          <w:rPr>
            <w:rStyle w:val="Hyperlink"/>
            <w:noProof/>
            <w:lang w:eastAsia="zh-CN"/>
          </w:rPr>
          <w:t>31</w:t>
        </w:r>
        <w:r w:rsidR="000C156A" w:rsidRPr="00F176F8">
          <w:rPr>
            <w:rStyle w:val="Hyperlink"/>
            <w:rFonts w:cs="Microsoft YaHei" w:hint="eastAsia"/>
            <w:noProof/>
            <w:lang w:val="fr-FR" w:eastAsia="zh-CN"/>
          </w:rPr>
          <w:t>日的比较数字</w:t>
        </w:r>
        <w:r w:rsidR="000C156A" w:rsidRPr="00F176F8">
          <w:rPr>
            <w:rStyle w:val="Hyperlink"/>
            <w:rFonts w:cs="Microsoft YaHei" w:hint="eastAsia"/>
            <w:noProof/>
            <w:lang w:eastAsia="zh-CN"/>
          </w:rPr>
          <w:t>）</w:t>
        </w:r>
        <w:r w:rsidR="000C156A">
          <w:rPr>
            <w:noProof/>
            <w:webHidden/>
          </w:rPr>
          <w:tab/>
        </w:r>
        <w:r w:rsidR="000C156A">
          <w:rPr>
            <w:noProof/>
            <w:webHidden/>
          </w:rPr>
          <w:tab/>
        </w:r>
        <w:r w:rsidR="004F42C5">
          <w:rPr>
            <w:noProof/>
            <w:webHidden/>
          </w:rPr>
          <w:tab/>
        </w:r>
        <w:r w:rsidR="000C156A">
          <w:rPr>
            <w:noProof/>
            <w:webHidden/>
          </w:rPr>
          <w:fldChar w:fldCharType="begin"/>
        </w:r>
        <w:r w:rsidR="000C156A">
          <w:rPr>
            <w:noProof/>
            <w:webHidden/>
          </w:rPr>
          <w:instrText xml:space="preserve"> PAGEREF _Toc73636236 \h </w:instrText>
        </w:r>
        <w:r w:rsidR="000C156A">
          <w:rPr>
            <w:noProof/>
            <w:webHidden/>
          </w:rPr>
        </w:r>
        <w:r w:rsidR="000C156A">
          <w:rPr>
            <w:noProof/>
            <w:webHidden/>
          </w:rPr>
          <w:fldChar w:fldCharType="separate"/>
        </w:r>
        <w:r w:rsidR="00C01875">
          <w:rPr>
            <w:noProof/>
            <w:webHidden/>
          </w:rPr>
          <w:t>23</w:t>
        </w:r>
        <w:r w:rsidR="000C156A">
          <w:rPr>
            <w:noProof/>
            <w:webHidden/>
          </w:rPr>
          <w:fldChar w:fldCharType="end"/>
        </w:r>
      </w:hyperlink>
    </w:p>
    <w:p w14:paraId="5244D410" w14:textId="3B422464" w:rsidR="000C156A" w:rsidRDefault="00A100EC" w:rsidP="007A5D22">
      <w:pPr>
        <w:pStyle w:val="TOC1"/>
        <w:tabs>
          <w:tab w:val="left" w:leader="dot" w:pos="8789"/>
          <w:tab w:val="right" w:pos="9639"/>
        </w:tabs>
        <w:rPr>
          <w:rFonts w:asciiTheme="minorHAnsi" w:eastAsiaTheme="minorEastAsia" w:hAnsiTheme="minorHAnsi" w:cstheme="minorBidi"/>
          <w:noProof/>
          <w:sz w:val="22"/>
          <w:szCs w:val="22"/>
          <w:lang w:val="en-US" w:eastAsia="zh-CN"/>
        </w:rPr>
      </w:pPr>
      <w:hyperlink w:anchor="_Toc73636237" w:history="1">
        <w:r w:rsidR="000C156A" w:rsidRPr="00F176F8">
          <w:rPr>
            <w:rStyle w:val="Hyperlink"/>
            <w:rFonts w:cs="Microsoft YaHei" w:hint="eastAsia"/>
            <w:noProof/>
            <w:lang w:val="fr-FR" w:eastAsia="zh-CN"/>
          </w:rPr>
          <w:t>二</w:t>
        </w:r>
        <w:r w:rsidR="000C156A" w:rsidRPr="00F176F8">
          <w:rPr>
            <w:rStyle w:val="Hyperlink"/>
            <w:noProof/>
            <w:lang w:eastAsia="zh-CN"/>
          </w:rPr>
          <w:t xml:space="preserve"> – 2020</w:t>
        </w:r>
        <w:r w:rsidR="000C156A" w:rsidRPr="00F176F8">
          <w:rPr>
            <w:rStyle w:val="Hyperlink"/>
            <w:rFonts w:cs="Microsoft YaHei" w:hint="eastAsia"/>
            <w:noProof/>
            <w:lang w:val="fr-FR" w:eastAsia="zh-CN"/>
          </w:rPr>
          <w:t>年</w:t>
        </w:r>
        <w:r w:rsidR="000C156A" w:rsidRPr="00F176F8">
          <w:rPr>
            <w:rStyle w:val="Hyperlink"/>
            <w:noProof/>
            <w:lang w:eastAsia="zh-CN"/>
          </w:rPr>
          <w:t>12</w:t>
        </w:r>
        <w:r w:rsidR="000C156A" w:rsidRPr="00F176F8">
          <w:rPr>
            <w:rStyle w:val="Hyperlink"/>
            <w:rFonts w:cs="Microsoft YaHei" w:hint="eastAsia"/>
            <w:noProof/>
            <w:lang w:val="fr-FR" w:eastAsia="zh-CN"/>
          </w:rPr>
          <w:t>月</w:t>
        </w:r>
        <w:r w:rsidR="000C156A" w:rsidRPr="00F176F8">
          <w:rPr>
            <w:rStyle w:val="Hyperlink"/>
            <w:noProof/>
            <w:lang w:eastAsia="zh-CN"/>
          </w:rPr>
          <w:t>31</w:t>
        </w:r>
        <w:r w:rsidR="000C156A" w:rsidRPr="00F176F8">
          <w:rPr>
            <w:rStyle w:val="Hyperlink"/>
            <w:rFonts w:cs="Microsoft YaHei" w:hint="eastAsia"/>
            <w:noProof/>
            <w:lang w:val="fr-FR" w:eastAsia="zh-CN"/>
          </w:rPr>
          <w:t>日结束的周期的财务业绩表</w:t>
        </w:r>
        <w:r w:rsidR="000C156A" w:rsidRPr="00F176F8">
          <w:rPr>
            <w:rStyle w:val="Hyperlink"/>
            <w:rFonts w:cs="Microsoft YaHei" w:hint="eastAsia"/>
            <w:noProof/>
            <w:lang w:eastAsia="zh-CN"/>
          </w:rPr>
          <w:t>（</w:t>
        </w:r>
        <w:r w:rsidR="000C156A" w:rsidRPr="00F176F8">
          <w:rPr>
            <w:rStyle w:val="Hyperlink"/>
            <w:rFonts w:cs="Microsoft YaHei" w:hint="eastAsia"/>
            <w:noProof/>
            <w:lang w:val="fr-FR" w:eastAsia="zh-CN"/>
          </w:rPr>
          <w:t>包含截至</w:t>
        </w:r>
        <w:r w:rsidR="000C156A" w:rsidRPr="00F176F8">
          <w:rPr>
            <w:rStyle w:val="Hyperlink"/>
            <w:noProof/>
            <w:lang w:eastAsia="zh-CN"/>
          </w:rPr>
          <w:t>2019</w:t>
        </w:r>
        <w:r w:rsidR="000C156A" w:rsidRPr="00F176F8">
          <w:rPr>
            <w:rStyle w:val="Hyperlink"/>
            <w:rFonts w:cs="Microsoft YaHei" w:hint="eastAsia"/>
            <w:noProof/>
            <w:lang w:val="fr-FR" w:eastAsia="zh-CN"/>
          </w:rPr>
          <w:t>年</w:t>
        </w:r>
        <w:r w:rsidR="000C156A" w:rsidRPr="00F176F8">
          <w:rPr>
            <w:rStyle w:val="Hyperlink"/>
            <w:noProof/>
            <w:lang w:eastAsia="zh-CN"/>
          </w:rPr>
          <w:t>12</w:t>
        </w:r>
        <w:r w:rsidR="000C156A" w:rsidRPr="00F176F8">
          <w:rPr>
            <w:rStyle w:val="Hyperlink"/>
            <w:rFonts w:cs="Microsoft YaHei" w:hint="eastAsia"/>
            <w:noProof/>
            <w:lang w:val="fr-FR" w:eastAsia="zh-CN"/>
          </w:rPr>
          <w:t>月</w:t>
        </w:r>
        <w:r w:rsidR="000C156A" w:rsidRPr="00F176F8">
          <w:rPr>
            <w:rStyle w:val="Hyperlink"/>
            <w:noProof/>
            <w:lang w:eastAsia="zh-CN"/>
          </w:rPr>
          <w:t>31</w:t>
        </w:r>
        <w:r w:rsidR="000C156A" w:rsidRPr="00F176F8">
          <w:rPr>
            <w:rStyle w:val="Hyperlink"/>
            <w:rFonts w:cs="Microsoft YaHei" w:hint="eastAsia"/>
            <w:noProof/>
            <w:lang w:val="fr-FR" w:eastAsia="zh-CN"/>
          </w:rPr>
          <w:t>日的比较数字</w:t>
        </w:r>
        <w:r w:rsidR="000C156A" w:rsidRPr="00F176F8">
          <w:rPr>
            <w:rStyle w:val="Hyperlink"/>
            <w:rFonts w:cs="Microsoft YaHei" w:hint="eastAsia"/>
            <w:noProof/>
            <w:lang w:eastAsia="zh-CN"/>
          </w:rPr>
          <w:t>）</w:t>
        </w:r>
        <w:r w:rsidR="000C156A">
          <w:rPr>
            <w:noProof/>
            <w:webHidden/>
          </w:rPr>
          <w:tab/>
        </w:r>
        <w:r w:rsidR="000C156A">
          <w:rPr>
            <w:noProof/>
            <w:webHidden/>
          </w:rPr>
          <w:fldChar w:fldCharType="begin"/>
        </w:r>
        <w:r w:rsidR="000C156A">
          <w:rPr>
            <w:noProof/>
            <w:webHidden/>
          </w:rPr>
          <w:instrText xml:space="preserve"> PAGEREF _Toc73636237 \h </w:instrText>
        </w:r>
        <w:r w:rsidR="000C156A">
          <w:rPr>
            <w:noProof/>
            <w:webHidden/>
          </w:rPr>
        </w:r>
        <w:r w:rsidR="000C156A">
          <w:rPr>
            <w:noProof/>
            <w:webHidden/>
          </w:rPr>
          <w:fldChar w:fldCharType="separate"/>
        </w:r>
        <w:r w:rsidR="00C01875">
          <w:rPr>
            <w:noProof/>
            <w:webHidden/>
          </w:rPr>
          <w:t>24</w:t>
        </w:r>
        <w:r w:rsidR="000C156A">
          <w:rPr>
            <w:noProof/>
            <w:webHidden/>
          </w:rPr>
          <w:fldChar w:fldCharType="end"/>
        </w:r>
      </w:hyperlink>
    </w:p>
    <w:p w14:paraId="35885D47" w14:textId="4E425C1C" w:rsidR="000C156A" w:rsidRDefault="00A100EC" w:rsidP="007A5D22">
      <w:pPr>
        <w:pStyle w:val="TOC1"/>
        <w:rPr>
          <w:rFonts w:asciiTheme="minorHAnsi" w:eastAsiaTheme="minorEastAsia" w:hAnsiTheme="minorHAnsi" w:cstheme="minorBidi"/>
          <w:noProof/>
          <w:sz w:val="22"/>
          <w:szCs w:val="22"/>
          <w:lang w:val="en-US" w:eastAsia="zh-CN"/>
        </w:rPr>
      </w:pPr>
      <w:hyperlink w:anchor="_Toc73636238" w:history="1">
        <w:r w:rsidR="000C156A" w:rsidRPr="00F176F8">
          <w:rPr>
            <w:rStyle w:val="Hyperlink"/>
            <w:rFonts w:cs="Microsoft YaHei" w:hint="eastAsia"/>
            <w:noProof/>
            <w:lang w:val="fr-FR" w:eastAsia="zh-CN"/>
          </w:rPr>
          <w:t>三</w:t>
        </w:r>
        <w:r w:rsidR="000C156A" w:rsidRPr="00F176F8">
          <w:rPr>
            <w:rStyle w:val="Hyperlink"/>
            <w:noProof/>
            <w:lang w:eastAsia="zh-CN"/>
          </w:rPr>
          <w:t xml:space="preserve"> – 2020</w:t>
        </w:r>
        <w:r w:rsidR="000C156A" w:rsidRPr="00F176F8">
          <w:rPr>
            <w:rStyle w:val="Hyperlink"/>
            <w:rFonts w:cs="Microsoft YaHei" w:hint="eastAsia"/>
            <w:noProof/>
            <w:lang w:val="fr-FR" w:eastAsia="zh-CN"/>
          </w:rPr>
          <w:t>年</w:t>
        </w:r>
        <w:r w:rsidR="000C156A" w:rsidRPr="00F176F8">
          <w:rPr>
            <w:rStyle w:val="Hyperlink"/>
            <w:noProof/>
            <w:lang w:eastAsia="zh-CN"/>
          </w:rPr>
          <w:t>12</w:t>
        </w:r>
        <w:r w:rsidR="000C156A" w:rsidRPr="00F176F8">
          <w:rPr>
            <w:rStyle w:val="Hyperlink"/>
            <w:rFonts w:cs="Microsoft YaHei" w:hint="eastAsia"/>
            <w:noProof/>
            <w:lang w:val="fr-FR" w:eastAsia="zh-CN"/>
          </w:rPr>
          <w:t>月</w:t>
        </w:r>
        <w:r w:rsidR="000C156A" w:rsidRPr="00F176F8">
          <w:rPr>
            <w:rStyle w:val="Hyperlink"/>
            <w:noProof/>
            <w:lang w:eastAsia="zh-CN"/>
          </w:rPr>
          <w:t>31</w:t>
        </w:r>
        <w:r w:rsidR="000C156A" w:rsidRPr="00F176F8">
          <w:rPr>
            <w:rStyle w:val="Hyperlink"/>
            <w:rFonts w:cs="Microsoft YaHei" w:hint="eastAsia"/>
            <w:noProof/>
            <w:lang w:val="fr-FR" w:eastAsia="zh-CN"/>
          </w:rPr>
          <w:t>日结束的周期的资产净值变化表</w:t>
        </w:r>
        <w:r w:rsidR="000C156A">
          <w:rPr>
            <w:noProof/>
            <w:webHidden/>
          </w:rPr>
          <w:tab/>
        </w:r>
        <w:r w:rsidR="000C156A">
          <w:rPr>
            <w:noProof/>
            <w:webHidden/>
          </w:rPr>
          <w:fldChar w:fldCharType="begin"/>
        </w:r>
        <w:r w:rsidR="000C156A">
          <w:rPr>
            <w:noProof/>
            <w:webHidden/>
          </w:rPr>
          <w:instrText xml:space="preserve"> PAGEREF _Toc73636238 \h </w:instrText>
        </w:r>
        <w:r w:rsidR="000C156A">
          <w:rPr>
            <w:noProof/>
            <w:webHidden/>
          </w:rPr>
        </w:r>
        <w:r w:rsidR="000C156A">
          <w:rPr>
            <w:noProof/>
            <w:webHidden/>
          </w:rPr>
          <w:fldChar w:fldCharType="separate"/>
        </w:r>
        <w:r w:rsidR="00C01875">
          <w:rPr>
            <w:noProof/>
            <w:webHidden/>
          </w:rPr>
          <w:t>25</w:t>
        </w:r>
        <w:r w:rsidR="000C156A">
          <w:rPr>
            <w:noProof/>
            <w:webHidden/>
          </w:rPr>
          <w:fldChar w:fldCharType="end"/>
        </w:r>
      </w:hyperlink>
    </w:p>
    <w:p w14:paraId="4B6F431C" w14:textId="0E2384B6" w:rsidR="000C156A" w:rsidRDefault="00A100EC" w:rsidP="007A5D22">
      <w:pPr>
        <w:pStyle w:val="TOC1"/>
        <w:rPr>
          <w:rFonts w:asciiTheme="minorHAnsi" w:eastAsiaTheme="minorEastAsia" w:hAnsiTheme="minorHAnsi" w:cstheme="minorBidi"/>
          <w:noProof/>
          <w:sz w:val="22"/>
          <w:szCs w:val="22"/>
          <w:lang w:val="en-US" w:eastAsia="zh-CN"/>
        </w:rPr>
      </w:pPr>
      <w:hyperlink w:anchor="_Toc73636239" w:history="1">
        <w:r w:rsidR="000C156A" w:rsidRPr="00F176F8">
          <w:rPr>
            <w:rStyle w:val="Hyperlink"/>
            <w:rFonts w:cs="Microsoft YaHei" w:hint="eastAsia"/>
            <w:noProof/>
            <w:lang w:val="fr-FR" w:eastAsia="zh-CN"/>
          </w:rPr>
          <w:t>四</w:t>
        </w:r>
        <w:r w:rsidR="000C156A" w:rsidRPr="00F176F8">
          <w:rPr>
            <w:rStyle w:val="Hyperlink"/>
            <w:noProof/>
            <w:lang w:eastAsia="zh-CN"/>
          </w:rPr>
          <w:t xml:space="preserve"> – 2020</w:t>
        </w:r>
        <w:r w:rsidR="000C156A" w:rsidRPr="00F176F8">
          <w:rPr>
            <w:rStyle w:val="Hyperlink"/>
            <w:rFonts w:cs="Microsoft YaHei" w:hint="eastAsia"/>
            <w:noProof/>
            <w:lang w:val="fr-FR" w:eastAsia="zh-CN"/>
          </w:rPr>
          <w:t>年</w:t>
        </w:r>
        <w:r w:rsidR="000C156A" w:rsidRPr="00F176F8">
          <w:rPr>
            <w:rStyle w:val="Hyperlink"/>
            <w:noProof/>
            <w:lang w:eastAsia="zh-CN"/>
          </w:rPr>
          <w:t>12</w:t>
        </w:r>
        <w:r w:rsidR="000C156A" w:rsidRPr="00F176F8">
          <w:rPr>
            <w:rStyle w:val="Hyperlink"/>
            <w:rFonts w:cs="Microsoft YaHei" w:hint="eastAsia"/>
            <w:noProof/>
            <w:lang w:val="fr-FR" w:eastAsia="zh-CN"/>
          </w:rPr>
          <w:t>月</w:t>
        </w:r>
        <w:r w:rsidR="000C156A" w:rsidRPr="00F176F8">
          <w:rPr>
            <w:rStyle w:val="Hyperlink"/>
            <w:noProof/>
            <w:lang w:eastAsia="zh-CN"/>
          </w:rPr>
          <w:t>31</w:t>
        </w:r>
        <w:r w:rsidR="000C156A" w:rsidRPr="00F176F8">
          <w:rPr>
            <w:rStyle w:val="Hyperlink"/>
            <w:rFonts w:cs="Microsoft YaHei" w:hint="eastAsia"/>
            <w:noProof/>
            <w:lang w:val="fr-FR" w:eastAsia="zh-CN"/>
          </w:rPr>
          <w:t>日结束的周期的现金流表</w:t>
        </w:r>
        <w:r w:rsidR="000C156A">
          <w:rPr>
            <w:noProof/>
            <w:webHidden/>
          </w:rPr>
          <w:tab/>
        </w:r>
        <w:r w:rsidR="000C156A">
          <w:rPr>
            <w:noProof/>
            <w:webHidden/>
          </w:rPr>
          <w:fldChar w:fldCharType="begin"/>
        </w:r>
        <w:r w:rsidR="000C156A">
          <w:rPr>
            <w:noProof/>
            <w:webHidden/>
          </w:rPr>
          <w:instrText xml:space="preserve"> PAGEREF _Toc73636239 \h </w:instrText>
        </w:r>
        <w:r w:rsidR="000C156A">
          <w:rPr>
            <w:noProof/>
            <w:webHidden/>
          </w:rPr>
        </w:r>
        <w:r w:rsidR="000C156A">
          <w:rPr>
            <w:noProof/>
            <w:webHidden/>
          </w:rPr>
          <w:fldChar w:fldCharType="separate"/>
        </w:r>
        <w:r w:rsidR="00C01875">
          <w:rPr>
            <w:noProof/>
            <w:webHidden/>
          </w:rPr>
          <w:t>26</w:t>
        </w:r>
        <w:r w:rsidR="000C156A">
          <w:rPr>
            <w:noProof/>
            <w:webHidden/>
          </w:rPr>
          <w:fldChar w:fldCharType="end"/>
        </w:r>
      </w:hyperlink>
    </w:p>
    <w:p w14:paraId="066E6C9B" w14:textId="36013160" w:rsidR="000C156A" w:rsidRDefault="00A100EC" w:rsidP="007A5D22">
      <w:pPr>
        <w:pStyle w:val="TOC1"/>
        <w:rPr>
          <w:rFonts w:asciiTheme="minorHAnsi" w:eastAsiaTheme="minorEastAsia" w:hAnsiTheme="minorHAnsi" w:cstheme="minorBidi"/>
          <w:noProof/>
          <w:sz w:val="22"/>
          <w:szCs w:val="22"/>
          <w:lang w:val="en-US" w:eastAsia="zh-CN"/>
        </w:rPr>
      </w:pPr>
      <w:hyperlink w:anchor="_Toc73636240" w:history="1">
        <w:r w:rsidR="000C156A" w:rsidRPr="00F176F8">
          <w:rPr>
            <w:rStyle w:val="Hyperlink"/>
            <w:rFonts w:cs="Microsoft YaHei" w:hint="eastAsia"/>
            <w:noProof/>
            <w:lang w:val="fr-FR" w:eastAsia="zh-CN"/>
          </w:rPr>
          <w:t>五</w:t>
        </w:r>
        <w:r w:rsidR="000C156A" w:rsidRPr="00F176F8">
          <w:rPr>
            <w:rStyle w:val="Hyperlink"/>
            <w:noProof/>
            <w:lang w:eastAsia="zh-CN"/>
          </w:rPr>
          <w:t xml:space="preserve"> – 2020</w:t>
        </w:r>
        <w:r w:rsidR="000C156A" w:rsidRPr="00F176F8">
          <w:rPr>
            <w:rStyle w:val="Hyperlink"/>
            <w:rFonts w:cs="Microsoft YaHei" w:hint="eastAsia"/>
            <w:noProof/>
            <w:lang w:val="fr-FR" w:eastAsia="zh-CN"/>
          </w:rPr>
          <w:t>年财务期预算金额与实际发生金额的对比表</w:t>
        </w:r>
        <w:r w:rsidR="000C156A">
          <w:rPr>
            <w:noProof/>
            <w:webHidden/>
          </w:rPr>
          <w:tab/>
        </w:r>
        <w:r w:rsidR="000C156A">
          <w:rPr>
            <w:noProof/>
            <w:webHidden/>
          </w:rPr>
          <w:fldChar w:fldCharType="begin"/>
        </w:r>
        <w:r w:rsidR="000C156A">
          <w:rPr>
            <w:noProof/>
            <w:webHidden/>
          </w:rPr>
          <w:instrText xml:space="preserve"> PAGEREF _Toc73636240 \h </w:instrText>
        </w:r>
        <w:r w:rsidR="000C156A">
          <w:rPr>
            <w:noProof/>
            <w:webHidden/>
          </w:rPr>
        </w:r>
        <w:r w:rsidR="000C156A">
          <w:rPr>
            <w:noProof/>
            <w:webHidden/>
          </w:rPr>
          <w:fldChar w:fldCharType="separate"/>
        </w:r>
        <w:r w:rsidR="00C01875">
          <w:rPr>
            <w:noProof/>
            <w:webHidden/>
          </w:rPr>
          <w:t>27</w:t>
        </w:r>
        <w:r w:rsidR="000C156A">
          <w:rPr>
            <w:noProof/>
            <w:webHidden/>
          </w:rPr>
          <w:fldChar w:fldCharType="end"/>
        </w:r>
      </w:hyperlink>
    </w:p>
    <w:p w14:paraId="55492B35" w14:textId="5387E061" w:rsidR="000C156A" w:rsidRDefault="00A100EC" w:rsidP="007A5D22">
      <w:pPr>
        <w:pStyle w:val="TOC1"/>
        <w:rPr>
          <w:rFonts w:asciiTheme="minorHAnsi" w:eastAsiaTheme="minorEastAsia" w:hAnsiTheme="minorHAnsi" w:cstheme="minorBidi"/>
          <w:noProof/>
          <w:sz w:val="22"/>
          <w:szCs w:val="22"/>
          <w:lang w:val="en-US" w:eastAsia="zh-CN"/>
        </w:rPr>
      </w:pPr>
      <w:hyperlink w:anchor="_Toc73636241" w:history="1">
        <w:r w:rsidR="000C156A" w:rsidRPr="00F176F8">
          <w:rPr>
            <w:rStyle w:val="Hyperlink"/>
            <w:rFonts w:cs="Microsoft YaHei" w:hint="eastAsia"/>
            <w:noProof/>
            <w:lang w:val="fr-FR" w:eastAsia="zh-CN"/>
          </w:rPr>
          <w:t>财务报表说明</w:t>
        </w:r>
        <w:r w:rsidR="000C156A">
          <w:rPr>
            <w:noProof/>
            <w:webHidden/>
          </w:rPr>
          <w:tab/>
        </w:r>
        <w:r w:rsidR="000C156A">
          <w:rPr>
            <w:noProof/>
            <w:webHidden/>
          </w:rPr>
          <w:fldChar w:fldCharType="begin"/>
        </w:r>
        <w:r w:rsidR="000C156A">
          <w:rPr>
            <w:noProof/>
            <w:webHidden/>
          </w:rPr>
          <w:instrText xml:space="preserve"> PAGEREF _Toc73636241 \h </w:instrText>
        </w:r>
        <w:r w:rsidR="000C156A">
          <w:rPr>
            <w:noProof/>
            <w:webHidden/>
          </w:rPr>
        </w:r>
        <w:r w:rsidR="000C156A">
          <w:rPr>
            <w:noProof/>
            <w:webHidden/>
          </w:rPr>
          <w:fldChar w:fldCharType="separate"/>
        </w:r>
        <w:r w:rsidR="00C01875">
          <w:rPr>
            <w:noProof/>
            <w:webHidden/>
          </w:rPr>
          <w:t>28</w:t>
        </w:r>
        <w:r w:rsidR="000C156A">
          <w:rPr>
            <w:noProof/>
            <w:webHidden/>
          </w:rPr>
          <w:fldChar w:fldCharType="end"/>
        </w:r>
      </w:hyperlink>
    </w:p>
    <w:p w14:paraId="730B733B" w14:textId="0C4A965A" w:rsidR="000C156A" w:rsidRDefault="00A100EC" w:rsidP="007A5D22">
      <w:pPr>
        <w:pStyle w:val="TOC1"/>
        <w:rPr>
          <w:rFonts w:asciiTheme="minorHAnsi" w:eastAsiaTheme="minorEastAsia" w:hAnsiTheme="minorHAnsi" w:cstheme="minorBidi"/>
          <w:noProof/>
          <w:sz w:val="22"/>
          <w:szCs w:val="22"/>
          <w:lang w:val="en-US" w:eastAsia="zh-CN"/>
        </w:rPr>
      </w:pPr>
      <w:hyperlink w:anchor="_Toc73636242" w:history="1">
        <w:r w:rsidR="000C156A" w:rsidRPr="00F176F8">
          <w:rPr>
            <w:rStyle w:val="Hyperlink"/>
            <w:rFonts w:cs="Microsoft YaHei" w:hint="eastAsia"/>
            <w:noProof/>
            <w:lang w:val="fr-FR" w:eastAsia="zh-CN"/>
          </w:rPr>
          <w:t>说明</w:t>
        </w:r>
        <w:r w:rsidR="000C156A" w:rsidRPr="00F176F8">
          <w:rPr>
            <w:rStyle w:val="Hyperlink"/>
            <w:noProof/>
            <w:lang w:eastAsia="zh-CN"/>
          </w:rPr>
          <w:t>1</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eastAsia="zh-CN"/>
          </w:rPr>
          <w:t>国际电联的目标</w:t>
        </w:r>
        <w:r w:rsidR="000C156A">
          <w:rPr>
            <w:noProof/>
            <w:webHidden/>
          </w:rPr>
          <w:tab/>
        </w:r>
        <w:r w:rsidR="000C156A">
          <w:rPr>
            <w:noProof/>
            <w:webHidden/>
          </w:rPr>
          <w:fldChar w:fldCharType="begin"/>
        </w:r>
        <w:r w:rsidR="000C156A">
          <w:rPr>
            <w:noProof/>
            <w:webHidden/>
          </w:rPr>
          <w:instrText xml:space="preserve"> PAGEREF _Toc73636242 \h </w:instrText>
        </w:r>
        <w:r w:rsidR="000C156A">
          <w:rPr>
            <w:noProof/>
            <w:webHidden/>
          </w:rPr>
        </w:r>
        <w:r w:rsidR="000C156A">
          <w:rPr>
            <w:noProof/>
            <w:webHidden/>
          </w:rPr>
          <w:fldChar w:fldCharType="separate"/>
        </w:r>
        <w:r w:rsidR="00C01875">
          <w:rPr>
            <w:noProof/>
            <w:webHidden/>
          </w:rPr>
          <w:t>28</w:t>
        </w:r>
        <w:r w:rsidR="000C156A">
          <w:rPr>
            <w:noProof/>
            <w:webHidden/>
          </w:rPr>
          <w:fldChar w:fldCharType="end"/>
        </w:r>
      </w:hyperlink>
    </w:p>
    <w:p w14:paraId="19509C9E" w14:textId="7A324690" w:rsidR="000C156A" w:rsidRDefault="00A100EC" w:rsidP="007A5D22">
      <w:pPr>
        <w:pStyle w:val="TOC1"/>
        <w:rPr>
          <w:rFonts w:asciiTheme="minorHAnsi" w:eastAsiaTheme="minorEastAsia" w:hAnsiTheme="minorHAnsi" w:cstheme="minorBidi"/>
          <w:noProof/>
          <w:sz w:val="22"/>
          <w:szCs w:val="22"/>
          <w:lang w:val="en-US" w:eastAsia="zh-CN"/>
        </w:rPr>
      </w:pPr>
      <w:hyperlink w:anchor="_Toc73636243" w:history="1">
        <w:r w:rsidR="000C156A" w:rsidRPr="00F176F8">
          <w:rPr>
            <w:rStyle w:val="Hyperlink"/>
            <w:rFonts w:cs="Microsoft YaHei" w:hint="eastAsia"/>
            <w:noProof/>
            <w:lang w:val="fr-FR" w:eastAsia="zh-CN"/>
          </w:rPr>
          <w:t>说明</w:t>
        </w:r>
        <w:r w:rsidR="000C156A" w:rsidRPr="00F176F8">
          <w:rPr>
            <w:rStyle w:val="Hyperlink"/>
            <w:rFonts w:cs="Microsoft YaHei"/>
            <w:noProof/>
            <w:lang w:eastAsia="zh-CN"/>
          </w:rPr>
          <w:t>2</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eastAsia="zh-CN"/>
          </w:rPr>
          <w:t>主要会计原则</w:t>
        </w:r>
        <w:r w:rsidR="000C156A">
          <w:rPr>
            <w:noProof/>
            <w:webHidden/>
          </w:rPr>
          <w:tab/>
        </w:r>
        <w:r w:rsidR="000C156A">
          <w:rPr>
            <w:noProof/>
            <w:webHidden/>
          </w:rPr>
          <w:fldChar w:fldCharType="begin"/>
        </w:r>
        <w:r w:rsidR="000C156A">
          <w:rPr>
            <w:noProof/>
            <w:webHidden/>
          </w:rPr>
          <w:instrText xml:space="preserve"> PAGEREF _Toc73636243 \h </w:instrText>
        </w:r>
        <w:r w:rsidR="000C156A">
          <w:rPr>
            <w:noProof/>
            <w:webHidden/>
          </w:rPr>
        </w:r>
        <w:r w:rsidR="000C156A">
          <w:rPr>
            <w:noProof/>
            <w:webHidden/>
          </w:rPr>
          <w:fldChar w:fldCharType="separate"/>
        </w:r>
        <w:r w:rsidR="00C01875">
          <w:rPr>
            <w:noProof/>
            <w:webHidden/>
          </w:rPr>
          <w:t>29</w:t>
        </w:r>
        <w:r w:rsidR="000C156A">
          <w:rPr>
            <w:noProof/>
            <w:webHidden/>
          </w:rPr>
          <w:fldChar w:fldCharType="end"/>
        </w:r>
      </w:hyperlink>
    </w:p>
    <w:p w14:paraId="44950861" w14:textId="62A9C9DF" w:rsidR="000C156A" w:rsidRDefault="00A100EC" w:rsidP="007A5D22">
      <w:pPr>
        <w:pStyle w:val="TOC5"/>
        <w:spacing w:before="240"/>
        <w:rPr>
          <w:rFonts w:asciiTheme="minorHAnsi" w:eastAsiaTheme="minorEastAsia" w:hAnsiTheme="minorHAnsi" w:cstheme="minorBidi"/>
          <w:noProof/>
          <w:sz w:val="22"/>
          <w:szCs w:val="22"/>
          <w:lang w:val="en-US" w:eastAsia="zh-CN"/>
        </w:rPr>
      </w:pPr>
      <w:hyperlink w:anchor="_Toc73636244" w:history="1">
        <w:r w:rsidR="000C156A" w:rsidRPr="00F176F8">
          <w:rPr>
            <w:rStyle w:val="Hyperlink"/>
            <w:rFonts w:cs="Microsoft YaHei" w:hint="eastAsia"/>
            <w:noProof/>
            <w:lang w:val="fr-FR" w:eastAsia="zh-CN"/>
          </w:rPr>
          <w:t>外汇</w:t>
        </w:r>
        <w:r w:rsidR="000C156A">
          <w:rPr>
            <w:noProof/>
            <w:webHidden/>
          </w:rPr>
          <w:tab/>
        </w:r>
        <w:r w:rsidR="000C156A">
          <w:rPr>
            <w:rFonts w:hint="eastAsia"/>
            <w:noProof/>
            <w:webHidden/>
            <w:lang w:eastAsia="zh-CN"/>
          </w:rPr>
          <w:tab/>
        </w:r>
        <w:r w:rsidR="000C156A">
          <w:rPr>
            <w:rFonts w:hint="eastAsia"/>
            <w:noProof/>
            <w:webHidden/>
            <w:lang w:eastAsia="zh-CN"/>
          </w:rPr>
          <w:tab/>
        </w:r>
        <w:r w:rsidR="000C156A">
          <w:rPr>
            <w:noProof/>
            <w:webHidden/>
          </w:rPr>
          <w:fldChar w:fldCharType="begin"/>
        </w:r>
        <w:r w:rsidR="000C156A">
          <w:rPr>
            <w:noProof/>
            <w:webHidden/>
          </w:rPr>
          <w:instrText xml:space="preserve"> PAGEREF _Toc73636244 \h </w:instrText>
        </w:r>
        <w:r w:rsidR="000C156A">
          <w:rPr>
            <w:noProof/>
            <w:webHidden/>
          </w:rPr>
        </w:r>
        <w:r w:rsidR="000C156A">
          <w:rPr>
            <w:noProof/>
            <w:webHidden/>
          </w:rPr>
          <w:fldChar w:fldCharType="separate"/>
        </w:r>
        <w:r w:rsidR="00C01875">
          <w:rPr>
            <w:noProof/>
            <w:webHidden/>
          </w:rPr>
          <w:t>29</w:t>
        </w:r>
        <w:r w:rsidR="000C156A">
          <w:rPr>
            <w:noProof/>
            <w:webHidden/>
          </w:rPr>
          <w:fldChar w:fldCharType="end"/>
        </w:r>
      </w:hyperlink>
    </w:p>
    <w:p w14:paraId="246F46CF" w14:textId="20D3815A" w:rsidR="000C156A" w:rsidRDefault="00A100EC" w:rsidP="007A5D22">
      <w:pPr>
        <w:pStyle w:val="TOC1"/>
        <w:tabs>
          <w:tab w:val="left" w:leader="dot" w:pos="8789"/>
          <w:tab w:val="right" w:pos="9639"/>
        </w:tabs>
        <w:rPr>
          <w:rFonts w:asciiTheme="minorHAnsi" w:eastAsiaTheme="minorEastAsia" w:hAnsiTheme="minorHAnsi" w:cstheme="minorBidi"/>
          <w:noProof/>
          <w:sz w:val="22"/>
          <w:szCs w:val="22"/>
          <w:lang w:val="en-US" w:eastAsia="zh-CN"/>
        </w:rPr>
      </w:pPr>
      <w:hyperlink w:anchor="_Toc73636245" w:history="1">
        <w:r w:rsidR="000C156A" w:rsidRPr="00F176F8">
          <w:rPr>
            <w:rStyle w:val="Hyperlink"/>
            <w:rFonts w:cs="Microsoft YaHei" w:hint="eastAsia"/>
            <w:noProof/>
            <w:lang w:val="fr-FR" w:eastAsia="zh-CN"/>
          </w:rPr>
          <w:t>金融工具</w:t>
        </w:r>
        <w:r w:rsidR="000C156A">
          <w:rPr>
            <w:rStyle w:val="Hyperlink"/>
            <w:rFonts w:cs="Microsoft YaHei"/>
            <w:noProof/>
            <w:lang w:val="fr-FR" w:eastAsia="zh-CN"/>
          </w:rPr>
          <w:tab/>
        </w:r>
        <w:r w:rsidR="000C156A">
          <w:rPr>
            <w:rStyle w:val="Hyperlink"/>
            <w:rFonts w:cs="Microsoft YaHei"/>
            <w:noProof/>
            <w:lang w:val="fr-FR" w:eastAsia="zh-CN"/>
          </w:rPr>
          <w:tab/>
        </w:r>
        <w:r w:rsidR="000C156A">
          <w:rPr>
            <w:noProof/>
            <w:webHidden/>
          </w:rPr>
          <w:tab/>
        </w:r>
        <w:r w:rsidR="000C156A">
          <w:rPr>
            <w:noProof/>
            <w:webHidden/>
          </w:rPr>
          <w:fldChar w:fldCharType="begin"/>
        </w:r>
        <w:r w:rsidR="000C156A">
          <w:rPr>
            <w:noProof/>
            <w:webHidden/>
          </w:rPr>
          <w:instrText xml:space="preserve"> PAGEREF _Toc73636245 \h </w:instrText>
        </w:r>
        <w:r w:rsidR="000C156A">
          <w:rPr>
            <w:noProof/>
            <w:webHidden/>
          </w:rPr>
        </w:r>
        <w:r w:rsidR="000C156A">
          <w:rPr>
            <w:noProof/>
            <w:webHidden/>
          </w:rPr>
          <w:fldChar w:fldCharType="separate"/>
        </w:r>
        <w:r w:rsidR="00C01875">
          <w:rPr>
            <w:noProof/>
            <w:webHidden/>
          </w:rPr>
          <w:t>30</w:t>
        </w:r>
        <w:r w:rsidR="000C156A">
          <w:rPr>
            <w:noProof/>
            <w:webHidden/>
          </w:rPr>
          <w:fldChar w:fldCharType="end"/>
        </w:r>
      </w:hyperlink>
    </w:p>
    <w:p w14:paraId="5BFC374F" w14:textId="053A3DAC" w:rsidR="000C156A" w:rsidRDefault="00A100EC" w:rsidP="007A5D22">
      <w:pPr>
        <w:pStyle w:val="TOC5"/>
        <w:spacing w:before="240"/>
        <w:rPr>
          <w:rFonts w:asciiTheme="minorHAnsi" w:eastAsiaTheme="minorEastAsia" w:hAnsiTheme="minorHAnsi" w:cstheme="minorBidi"/>
          <w:noProof/>
          <w:sz w:val="22"/>
          <w:szCs w:val="22"/>
          <w:lang w:val="en-US" w:eastAsia="zh-CN"/>
        </w:rPr>
      </w:pPr>
      <w:hyperlink w:anchor="_Toc73636246" w:history="1">
        <w:r w:rsidR="000C156A" w:rsidRPr="00F176F8">
          <w:rPr>
            <w:rStyle w:val="Hyperlink"/>
            <w:rFonts w:cs="Microsoft YaHei" w:hint="eastAsia"/>
            <w:noProof/>
            <w:lang w:val="fr-FR" w:eastAsia="zh-CN"/>
          </w:rPr>
          <w:t>应收款项减损准备金的确定</w:t>
        </w:r>
        <w:r w:rsidR="000C156A">
          <w:rPr>
            <w:rStyle w:val="Hyperlink"/>
            <w:rFonts w:cs="Microsoft YaHei"/>
            <w:noProof/>
            <w:lang w:val="fr-FR" w:eastAsia="zh-CN"/>
          </w:rPr>
          <w:tab/>
        </w:r>
        <w:r w:rsidR="000C156A">
          <w:rPr>
            <w:noProof/>
            <w:webHidden/>
          </w:rPr>
          <w:tab/>
        </w:r>
        <w:r w:rsidR="000C156A">
          <w:rPr>
            <w:noProof/>
            <w:webHidden/>
          </w:rPr>
          <w:fldChar w:fldCharType="begin"/>
        </w:r>
        <w:r w:rsidR="000C156A">
          <w:rPr>
            <w:noProof/>
            <w:webHidden/>
          </w:rPr>
          <w:instrText xml:space="preserve"> PAGEREF _Toc73636246 \h </w:instrText>
        </w:r>
        <w:r w:rsidR="000C156A">
          <w:rPr>
            <w:noProof/>
            <w:webHidden/>
          </w:rPr>
        </w:r>
        <w:r w:rsidR="000C156A">
          <w:rPr>
            <w:noProof/>
            <w:webHidden/>
          </w:rPr>
          <w:fldChar w:fldCharType="separate"/>
        </w:r>
        <w:r w:rsidR="00C01875">
          <w:rPr>
            <w:noProof/>
            <w:webHidden/>
          </w:rPr>
          <w:t>31</w:t>
        </w:r>
        <w:r w:rsidR="000C156A">
          <w:rPr>
            <w:noProof/>
            <w:webHidden/>
          </w:rPr>
          <w:fldChar w:fldCharType="end"/>
        </w:r>
      </w:hyperlink>
    </w:p>
    <w:p w14:paraId="75E2AFCE" w14:textId="4C6B7773" w:rsidR="000C156A" w:rsidRDefault="00A100EC" w:rsidP="007A5D22">
      <w:pPr>
        <w:pStyle w:val="TOC5"/>
        <w:spacing w:before="240"/>
        <w:rPr>
          <w:rFonts w:asciiTheme="minorHAnsi" w:eastAsiaTheme="minorEastAsia" w:hAnsiTheme="minorHAnsi" w:cstheme="minorBidi"/>
          <w:noProof/>
          <w:sz w:val="22"/>
          <w:szCs w:val="22"/>
          <w:lang w:val="en-US" w:eastAsia="zh-CN"/>
        </w:rPr>
      </w:pPr>
      <w:hyperlink w:anchor="_Toc73636247" w:history="1">
        <w:r w:rsidR="000C156A" w:rsidRPr="00F176F8">
          <w:rPr>
            <w:rStyle w:val="Hyperlink"/>
            <w:rFonts w:cs="Microsoft YaHei" w:hint="eastAsia"/>
            <w:noProof/>
            <w:lang w:val="fr-FR" w:eastAsia="zh-CN"/>
          </w:rPr>
          <w:t>资产减损准备金的使用和提供</w:t>
        </w:r>
        <w:r w:rsidR="000C156A">
          <w:rPr>
            <w:rStyle w:val="Hyperlink"/>
            <w:rFonts w:cs="Microsoft YaHei"/>
            <w:noProof/>
            <w:lang w:val="fr-FR" w:eastAsia="zh-CN"/>
          </w:rPr>
          <w:tab/>
        </w:r>
        <w:r w:rsidR="000C156A">
          <w:rPr>
            <w:noProof/>
            <w:webHidden/>
          </w:rPr>
          <w:tab/>
        </w:r>
        <w:r w:rsidR="000C156A">
          <w:rPr>
            <w:noProof/>
            <w:webHidden/>
          </w:rPr>
          <w:fldChar w:fldCharType="begin"/>
        </w:r>
        <w:r w:rsidR="000C156A">
          <w:rPr>
            <w:noProof/>
            <w:webHidden/>
          </w:rPr>
          <w:instrText xml:space="preserve"> PAGEREF _Toc73636247 \h </w:instrText>
        </w:r>
        <w:r w:rsidR="000C156A">
          <w:rPr>
            <w:noProof/>
            <w:webHidden/>
          </w:rPr>
        </w:r>
        <w:r w:rsidR="000C156A">
          <w:rPr>
            <w:noProof/>
            <w:webHidden/>
          </w:rPr>
          <w:fldChar w:fldCharType="separate"/>
        </w:r>
        <w:r w:rsidR="00C01875">
          <w:rPr>
            <w:noProof/>
            <w:webHidden/>
          </w:rPr>
          <w:t>31</w:t>
        </w:r>
        <w:r w:rsidR="000C156A">
          <w:rPr>
            <w:noProof/>
            <w:webHidden/>
          </w:rPr>
          <w:fldChar w:fldCharType="end"/>
        </w:r>
      </w:hyperlink>
    </w:p>
    <w:p w14:paraId="147F7770" w14:textId="0E9935FC" w:rsidR="000C156A" w:rsidRDefault="00A100EC" w:rsidP="007A5D22">
      <w:pPr>
        <w:pStyle w:val="TOC5"/>
        <w:spacing w:before="240"/>
        <w:rPr>
          <w:rFonts w:asciiTheme="minorHAnsi" w:eastAsiaTheme="minorEastAsia" w:hAnsiTheme="minorHAnsi" w:cstheme="minorBidi"/>
          <w:noProof/>
          <w:sz w:val="22"/>
          <w:szCs w:val="22"/>
          <w:lang w:val="en-US" w:eastAsia="zh-CN"/>
        </w:rPr>
      </w:pPr>
      <w:hyperlink w:anchor="_Toc73636248" w:history="1">
        <w:r w:rsidR="000C156A" w:rsidRPr="00F176F8">
          <w:rPr>
            <w:rStyle w:val="Hyperlink"/>
            <w:rFonts w:cs="Microsoft YaHei" w:hint="eastAsia"/>
            <w:noProof/>
            <w:lang w:val="fr-FR" w:eastAsia="zh-CN"/>
          </w:rPr>
          <w:t>库存</w:t>
        </w:r>
        <w:r w:rsidR="000C156A">
          <w:rPr>
            <w:noProof/>
            <w:webHidden/>
          </w:rPr>
          <w:tab/>
        </w:r>
        <w:r w:rsidR="000C156A">
          <w:rPr>
            <w:noProof/>
            <w:webHidden/>
          </w:rPr>
          <w:tab/>
        </w:r>
        <w:r w:rsidR="000C156A">
          <w:rPr>
            <w:noProof/>
            <w:webHidden/>
          </w:rPr>
          <w:tab/>
        </w:r>
        <w:r w:rsidR="000C156A">
          <w:rPr>
            <w:noProof/>
            <w:webHidden/>
          </w:rPr>
          <w:fldChar w:fldCharType="begin"/>
        </w:r>
        <w:r w:rsidR="000C156A">
          <w:rPr>
            <w:noProof/>
            <w:webHidden/>
          </w:rPr>
          <w:instrText xml:space="preserve"> PAGEREF _Toc73636248 \h </w:instrText>
        </w:r>
        <w:r w:rsidR="000C156A">
          <w:rPr>
            <w:noProof/>
            <w:webHidden/>
          </w:rPr>
        </w:r>
        <w:r w:rsidR="000C156A">
          <w:rPr>
            <w:noProof/>
            <w:webHidden/>
          </w:rPr>
          <w:fldChar w:fldCharType="separate"/>
        </w:r>
        <w:r w:rsidR="00C01875">
          <w:rPr>
            <w:noProof/>
            <w:webHidden/>
          </w:rPr>
          <w:t>32</w:t>
        </w:r>
        <w:r w:rsidR="000C156A">
          <w:rPr>
            <w:noProof/>
            <w:webHidden/>
          </w:rPr>
          <w:fldChar w:fldCharType="end"/>
        </w:r>
      </w:hyperlink>
    </w:p>
    <w:p w14:paraId="7915B211" w14:textId="18530607" w:rsidR="000C156A" w:rsidRDefault="00A100EC" w:rsidP="007A5D22">
      <w:pPr>
        <w:pStyle w:val="TOC5"/>
        <w:spacing w:before="240"/>
        <w:rPr>
          <w:rFonts w:asciiTheme="minorHAnsi" w:eastAsiaTheme="minorEastAsia" w:hAnsiTheme="minorHAnsi" w:cstheme="minorBidi"/>
          <w:noProof/>
          <w:sz w:val="22"/>
          <w:szCs w:val="22"/>
          <w:lang w:val="en-US" w:eastAsia="zh-CN"/>
        </w:rPr>
      </w:pPr>
      <w:hyperlink w:anchor="_Toc73636249" w:history="1">
        <w:r w:rsidR="000C156A" w:rsidRPr="00F176F8">
          <w:rPr>
            <w:rStyle w:val="Hyperlink"/>
            <w:rFonts w:cs="Microsoft YaHei" w:hint="eastAsia"/>
            <w:noProof/>
            <w:lang w:val="fr-FR" w:eastAsia="zh-CN"/>
          </w:rPr>
          <w:t>物业和设备</w:t>
        </w:r>
        <w:r w:rsidR="000C156A">
          <w:rPr>
            <w:rStyle w:val="Hyperlink"/>
            <w:rFonts w:cs="Microsoft YaHei"/>
            <w:noProof/>
            <w:lang w:val="fr-FR" w:eastAsia="zh-CN"/>
          </w:rPr>
          <w:tab/>
        </w:r>
        <w:r w:rsidR="000C156A">
          <w:rPr>
            <w:noProof/>
            <w:webHidden/>
          </w:rPr>
          <w:tab/>
        </w:r>
        <w:r w:rsidR="000C156A">
          <w:rPr>
            <w:noProof/>
            <w:webHidden/>
          </w:rPr>
          <w:fldChar w:fldCharType="begin"/>
        </w:r>
        <w:r w:rsidR="000C156A">
          <w:rPr>
            <w:noProof/>
            <w:webHidden/>
          </w:rPr>
          <w:instrText xml:space="preserve"> PAGEREF _Toc73636249 \h </w:instrText>
        </w:r>
        <w:r w:rsidR="000C156A">
          <w:rPr>
            <w:noProof/>
            <w:webHidden/>
          </w:rPr>
        </w:r>
        <w:r w:rsidR="000C156A">
          <w:rPr>
            <w:noProof/>
            <w:webHidden/>
          </w:rPr>
          <w:fldChar w:fldCharType="separate"/>
        </w:r>
        <w:r w:rsidR="00C01875">
          <w:rPr>
            <w:noProof/>
            <w:webHidden/>
          </w:rPr>
          <w:t>32</w:t>
        </w:r>
        <w:r w:rsidR="000C156A">
          <w:rPr>
            <w:noProof/>
            <w:webHidden/>
          </w:rPr>
          <w:fldChar w:fldCharType="end"/>
        </w:r>
      </w:hyperlink>
    </w:p>
    <w:p w14:paraId="505D20B9" w14:textId="57275320" w:rsidR="000C156A" w:rsidRDefault="00A100EC" w:rsidP="007A5D22">
      <w:pPr>
        <w:pStyle w:val="TOC5"/>
        <w:spacing w:before="240"/>
        <w:rPr>
          <w:rFonts w:asciiTheme="minorHAnsi" w:eastAsiaTheme="minorEastAsia" w:hAnsiTheme="minorHAnsi" w:cstheme="minorBidi"/>
          <w:noProof/>
          <w:sz w:val="22"/>
          <w:szCs w:val="22"/>
          <w:lang w:val="en-US" w:eastAsia="zh-CN"/>
        </w:rPr>
      </w:pPr>
      <w:hyperlink w:anchor="_Toc73636250" w:history="1">
        <w:r w:rsidR="000C156A" w:rsidRPr="00F176F8">
          <w:rPr>
            <w:rStyle w:val="Hyperlink"/>
            <w:rFonts w:cs="Microsoft YaHei" w:hint="eastAsia"/>
            <w:noProof/>
            <w:lang w:val="fr-FR" w:eastAsia="zh-CN"/>
          </w:rPr>
          <w:t>租赁的固定资产</w:t>
        </w:r>
        <w:r w:rsidR="000C156A">
          <w:rPr>
            <w:rStyle w:val="Hyperlink"/>
            <w:rFonts w:cs="Microsoft YaHei"/>
            <w:noProof/>
            <w:lang w:val="fr-FR" w:eastAsia="zh-CN"/>
          </w:rPr>
          <w:tab/>
        </w:r>
        <w:r w:rsidR="000C156A">
          <w:rPr>
            <w:noProof/>
            <w:webHidden/>
          </w:rPr>
          <w:tab/>
        </w:r>
        <w:r w:rsidR="000C156A">
          <w:rPr>
            <w:noProof/>
            <w:webHidden/>
          </w:rPr>
          <w:fldChar w:fldCharType="begin"/>
        </w:r>
        <w:r w:rsidR="000C156A">
          <w:rPr>
            <w:noProof/>
            <w:webHidden/>
          </w:rPr>
          <w:instrText xml:space="preserve"> PAGEREF _Toc73636250 \h </w:instrText>
        </w:r>
        <w:r w:rsidR="000C156A">
          <w:rPr>
            <w:noProof/>
            <w:webHidden/>
          </w:rPr>
        </w:r>
        <w:r w:rsidR="000C156A">
          <w:rPr>
            <w:noProof/>
            <w:webHidden/>
          </w:rPr>
          <w:fldChar w:fldCharType="separate"/>
        </w:r>
        <w:r w:rsidR="00C01875">
          <w:rPr>
            <w:noProof/>
            <w:webHidden/>
          </w:rPr>
          <w:t>33</w:t>
        </w:r>
        <w:r w:rsidR="000C156A">
          <w:rPr>
            <w:noProof/>
            <w:webHidden/>
          </w:rPr>
          <w:fldChar w:fldCharType="end"/>
        </w:r>
      </w:hyperlink>
    </w:p>
    <w:p w14:paraId="1FBD3E70" w14:textId="75F29772" w:rsidR="000C156A" w:rsidRDefault="00A100EC" w:rsidP="007A5D22">
      <w:pPr>
        <w:pStyle w:val="TOC5"/>
        <w:spacing w:before="240"/>
        <w:rPr>
          <w:rFonts w:asciiTheme="minorHAnsi" w:eastAsiaTheme="minorEastAsia" w:hAnsiTheme="minorHAnsi" w:cstheme="minorBidi"/>
          <w:noProof/>
          <w:sz w:val="22"/>
          <w:szCs w:val="22"/>
          <w:lang w:val="en-US" w:eastAsia="zh-CN"/>
        </w:rPr>
      </w:pPr>
      <w:hyperlink w:anchor="_Toc73636251" w:history="1">
        <w:r w:rsidR="000C156A" w:rsidRPr="00F176F8">
          <w:rPr>
            <w:rStyle w:val="Hyperlink"/>
            <w:rFonts w:cs="Microsoft YaHei" w:hint="eastAsia"/>
            <w:noProof/>
            <w:lang w:val="fr-FR" w:eastAsia="zh-CN"/>
          </w:rPr>
          <w:t>无形资产</w:t>
        </w:r>
        <w:r w:rsidR="000C156A">
          <w:rPr>
            <w:noProof/>
            <w:webHidden/>
          </w:rPr>
          <w:tab/>
        </w:r>
        <w:r w:rsidR="000C156A">
          <w:rPr>
            <w:noProof/>
            <w:webHidden/>
          </w:rPr>
          <w:tab/>
        </w:r>
        <w:r w:rsidR="000C156A">
          <w:rPr>
            <w:noProof/>
            <w:webHidden/>
          </w:rPr>
          <w:tab/>
        </w:r>
        <w:r w:rsidR="000C156A">
          <w:rPr>
            <w:noProof/>
            <w:webHidden/>
          </w:rPr>
          <w:fldChar w:fldCharType="begin"/>
        </w:r>
        <w:r w:rsidR="000C156A">
          <w:rPr>
            <w:noProof/>
            <w:webHidden/>
          </w:rPr>
          <w:instrText xml:space="preserve"> PAGEREF _Toc73636251 \h </w:instrText>
        </w:r>
        <w:r w:rsidR="000C156A">
          <w:rPr>
            <w:noProof/>
            <w:webHidden/>
          </w:rPr>
        </w:r>
        <w:r w:rsidR="000C156A">
          <w:rPr>
            <w:noProof/>
            <w:webHidden/>
          </w:rPr>
          <w:fldChar w:fldCharType="separate"/>
        </w:r>
        <w:r w:rsidR="00C01875">
          <w:rPr>
            <w:noProof/>
            <w:webHidden/>
          </w:rPr>
          <w:t>33</w:t>
        </w:r>
        <w:r w:rsidR="000C156A">
          <w:rPr>
            <w:noProof/>
            <w:webHidden/>
          </w:rPr>
          <w:fldChar w:fldCharType="end"/>
        </w:r>
      </w:hyperlink>
    </w:p>
    <w:p w14:paraId="3A111160" w14:textId="49887621" w:rsidR="000C156A" w:rsidRDefault="00A100EC" w:rsidP="007A5D22">
      <w:pPr>
        <w:pStyle w:val="TOC5"/>
        <w:spacing w:before="240"/>
        <w:rPr>
          <w:rFonts w:asciiTheme="minorHAnsi" w:eastAsiaTheme="minorEastAsia" w:hAnsiTheme="minorHAnsi" w:cstheme="minorBidi"/>
          <w:noProof/>
          <w:sz w:val="22"/>
          <w:szCs w:val="22"/>
          <w:lang w:val="en-US" w:eastAsia="zh-CN"/>
        </w:rPr>
      </w:pPr>
      <w:hyperlink w:anchor="_Toc73636252" w:history="1">
        <w:r w:rsidR="000C156A" w:rsidRPr="00F176F8">
          <w:rPr>
            <w:rStyle w:val="Hyperlink"/>
            <w:rFonts w:cs="Microsoft YaHei" w:hint="eastAsia"/>
            <w:noProof/>
            <w:lang w:val="fr-FR" w:eastAsia="zh-CN"/>
          </w:rPr>
          <w:t>准备金</w:t>
        </w:r>
        <w:r w:rsidR="000C156A">
          <w:rPr>
            <w:rStyle w:val="Hyperlink"/>
            <w:rFonts w:cs="Microsoft YaHei"/>
            <w:noProof/>
            <w:lang w:val="fr-FR" w:eastAsia="zh-CN"/>
          </w:rPr>
          <w:tab/>
        </w:r>
        <w:r w:rsidR="000C156A">
          <w:rPr>
            <w:rStyle w:val="Hyperlink"/>
            <w:rFonts w:cs="Microsoft YaHei"/>
            <w:noProof/>
            <w:lang w:val="fr-FR" w:eastAsia="zh-CN"/>
          </w:rPr>
          <w:tab/>
        </w:r>
        <w:r w:rsidR="000C156A">
          <w:rPr>
            <w:noProof/>
            <w:webHidden/>
          </w:rPr>
          <w:tab/>
        </w:r>
        <w:r w:rsidR="000C156A">
          <w:rPr>
            <w:noProof/>
            <w:webHidden/>
          </w:rPr>
          <w:fldChar w:fldCharType="begin"/>
        </w:r>
        <w:r w:rsidR="000C156A">
          <w:rPr>
            <w:noProof/>
            <w:webHidden/>
          </w:rPr>
          <w:instrText xml:space="preserve"> PAGEREF _Toc73636252 \h </w:instrText>
        </w:r>
        <w:r w:rsidR="000C156A">
          <w:rPr>
            <w:noProof/>
            <w:webHidden/>
          </w:rPr>
        </w:r>
        <w:r w:rsidR="000C156A">
          <w:rPr>
            <w:noProof/>
            <w:webHidden/>
          </w:rPr>
          <w:fldChar w:fldCharType="separate"/>
        </w:r>
        <w:r w:rsidR="00C01875">
          <w:rPr>
            <w:noProof/>
            <w:webHidden/>
          </w:rPr>
          <w:t>34</w:t>
        </w:r>
        <w:r w:rsidR="000C156A">
          <w:rPr>
            <w:noProof/>
            <w:webHidden/>
          </w:rPr>
          <w:fldChar w:fldCharType="end"/>
        </w:r>
      </w:hyperlink>
    </w:p>
    <w:p w14:paraId="3BD45CAD" w14:textId="19DFBD80" w:rsidR="000C156A" w:rsidRDefault="00A100EC" w:rsidP="007A5D22">
      <w:pPr>
        <w:pStyle w:val="TOC5"/>
        <w:spacing w:before="240"/>
        <w:rPr>
          <w:rFonts w:asciiTheme="minorHAnsi" w:eastAsiaTheme="minorEastAsia" w:hAnsiTheme="minorHAnsi" w:cstheme="minorBidi"/>
          <w:noProof/>
          <w:sz w:val="22"/>
          <w:szCs w:val="22"/>
          <w:lang w:val="en-US" w:eastAsia="zh-CN"/>
        </w:rPr>
      </w:pPr>
      <w:hyperlink w:anchor="_Toc73636253" w:history="1">
        <w:r w:rsidR="000C156A" w:rsidRPr="00F176F8">
          <w:rPr>
            <w:rStyle w:val="Hyperlink"/>
            <w:rFonts w:cs="Microsoft YaHei" w:hint="eastAsia"/>
            <w:noProof/>
            <w:lang w:val="fr-FR" w:eastAsia="zh-CN"/>
          </w:rPr>
          <w:t>备用资产和负债</w:t>
        </w:r>
        <w:r w:rsidR="000C156A">
          <w:rPr>
            <w:rStyle w:val="Hyperlink"/>
            <w:rFonts w:cs="Microsoft YaHei"/>
            <w:noProof/>
            <w:lang w:val="fr-FR" w:eastAsia="zh-CN"/>
          </w:rPr>
          <w:tab/>
        </w:r>
        <w:r w:rsidR="000C156A">
          <w:rPr>
            <w:noProof/>
            <w:webHidden/>
          </w:rPr>
          <w:tab/>
        </w:r>
        <w:r w:rsidR="000C156A">
          <w:rPr>
            <w:noProof/>
            <w:webHidden/>
          </w:rPr>
          <w:fldChar w:fldCharType="begin"/>
        </w:r>
        <w:r w:rsidR="000C156A">
          <w:rPr>
            <w:noProof/>
            <w:webHidden/>
          </w:rPr>
          <w:instrText xml:space="preserve"> PAGEREF _Toc73636253 \h </w:instrText>
        </w:r>
        <w:r w:rsidR="000C156A">
          <w:rPr>
            <w:noProof/>
            <w:webHidden/>
          </w:rPr>
        </w:r>
        <w:r w:rsidR="000C156A">
          <w:rPr>
            <w:noProof/>
            <w:webHidden/>
          </w:rPr>
          <w:fldChar w:fldCharType="separate"/>
        </w:r>
        <w:r w:rsidR="00C01875">
          <w:rPr>
            <w:noProof/>
            <w:webHidden/>
          </w:rPr>
          <w:t>34</w:t>
        </w:r>
        <w:r w:rsidR="000C156A">
          <w:rPr>
            <w:noProof/>
            <w:webHidden/>
          </w:rPr>
          <w:fldChar w:fldCharType="end"/>
        </w:r>
      </w:hyperlink>
    </w:p>
    <w:p w14:paraId="5CF439A7" w14:textId="3635C9E7" w:rsidR="000C156A" w:rsidRDefault="00A100EC" w:rsidP="007A5D22">
      <w:pPr>
        <w:pStyle w:val="TOC5"/>
        <w:spacing w:before="240"/>
        <w:rPr>
          <w:rFonts w:asciiTheme="minorHAnsi" w:eastAsiaTheme="minorEastAsia" w:hAnsiTheme="minorHAnsi" w:cstheme="minorBidi"/>
          <w:noProof/>
          <w:sz w:val="22"/>
          <w:szCs w:val="22"/>
          <w:lang w:val="en-US" w:eastAsia="zh-CN"/>
        </w:rPr>
      </w:pPr>
      <w:hyperlink w:anchor="_Toc73636254" w:history="1">
        <w:r w:rsidR="000C156A" w:rsidRPr="00F176F8">
          <w:rPr>
            <w:rStyle w:val="Hyperlink"/>
            <w:rFonts w:cs="Microsoft YaHei" w:hint="eastAsia"/>
            <w:noProof/>
            <w:lang w:val="fr-FR" w:eastAsia="zh-CN"/>
          </w:rPr>
          <w:t>职员福利</w:t>
        </w:r>
        <w:r w:rsidR="000C156A">
          <w:rPr>
            <w:noProof/>
            <w:webHidden/>
          </w:rPr>
          <w:tab/>
        </w:r>
        <w:r w:rsidR="000C156A">
          <w:rPr>
            <w:noProof/>
            <w:webHidden/>
          </w:rPr>
          <w:tab/>
        </w:r>
        <w:r w:rsidR="000C156A">
          <w:rPr>
            <w:noProof/>
            <w:webHidden/>
          </w:rPr>
          <w:tab/>
        </w:r>
        <w:r w:rsidR="000C156A">
          <w:rPr>
            <w:noProof/>
            <w:webHidden/>
          </w:rPr>
          <w:fldChar w:fldCharType="begin"/>
        </w:r>
        <w:r w:rsidR="000C156A">
          <w:rPr>
            <w:noProof/>
            <w:webHidden/>
          </w:rPr>
          <w:instrText xml:space="preserve"> PAGEREF _Toc73636254 \h </w:instrText>
        </w:r>
        <w:r w:rsidR="000C156A">
          <w:rPr>
            <w:noProof/>
            <w:webHidden/>
          </w:rPr>
        </w:r>
        <w:r w:rsidR="000C156A">
          <w:rPr>
            <w:noProof/>
            <w:webHidden/>
          </w:rPr>
          <w:fldChar w:fldCharType="separate"/>
        </w:r>
        <w:r w:rsidR="00C01875">
          <w:rPr>
            <w:noProof/>
            <w:webHidden/>
          </w:rPr>
          <w:t>34</w:t>
        </w:r>
        <w:r w:rsidR="000C156A">
          <w:rPr>
            <w:noProof/>
            <w:webHidden/>
          </w:rPr>
          <w:fldChar w:fldCharType="end"/>
        </w:r>
      </w:hyperlink>
    </w:p>
    <w:p w14:paraId="2054AF96" w14:textId="43393595" w:rsidR="000C156A" w:rsidRDefault="00A100EC" w:rsidP="007A5D22">
      <w:pPr>
        <w:pStyle w:val="TOC5"/>
        <w:spacing w:before="240"/>
        <w:rPr>
          <w:rFonts w:asciiTheme="minorHAnsi" w:eastAsiaTheme="minorEastAsia" w:hAnsiTheme="minorHAnsi" w:cstheme="minorBidi"/>
          <w:noProof/>
          <w:sz w:val="22"/>
          <w:szCs w:val="22"/>
          <w:lang w:val="en-US" w:eastAsia="zh-CN"/>
        </w:rPr>
      </w:pPr>
      <w:hyperlink w:anchor="_Toc73636255" w:history="1">
        <w:r w:rsidR="000C156A" w:rsidRPr="00F176F8">
          <w:rPr>
            <w:rStyle w:val="Hyperlink"/>
            <w:rFonts w:cs="Microsoft YaHei" w:hint="eastAsia"/>
            <w:noProof/>
            <w:lang w:val="fr-FR" w:eastAsia="zh-CN"/>
          </w:rPr>
          <w:t>资金的确认</w:t>
        </w:r>
        <w:r w:rsidR="000C156A">
          <w:rPr>
            <w:rStyle w:val="Hyperlink"/>
            <w:rFonts w:cs="Microsoft YaHei"/>
            <w:noProof/>
            <w:lang w:val="fr-FR" w:eastAsia="zh-CN"/>
          </w:rPr>
          <w:tab/>
        </w:r>
        <w:r w:rsidR="000C156A">
          <w:rPr>
            <w:noProof/>
            <w:webHidden/>
          </w:rPr>
          <w:tab/>
        </w:r>
        <w:r w:rsidR="000C156A">
          <w:rPr>
            <w:noProof/>
            <w:webHidden/>
          </w:rPr>
          <w:fldChar w:fldCharType="begin"/>
        </w:r>
        <w:r w:rsidR="000C156A">
          <w:rPr>
            <w:noProof/>
            <w:webHidden/>
          </w:rPr>
          <w:instrText xml:space="preserve"> PAGEREF _Toc73636255 \h </w:instrText>
        </w:r>
        <w:r w:rsidR="000C156A">
          <w:rPr>
            <w:noProof/>
            <w:webHidden/>
          </w:rPr>
        </w:r>
        <w:r w:rsidR="000C156A">
          <w:rPr>
            <w:noProof/>
            <w:webHidden/>
          </w:rPr>
          <w:fldChar w:fldCharType="separate"/>
        </w:r>
        <w:r w:rsidR="00C01875">
          <w:rPr>
            <w:noProof/>
            <w:webHidden/>
          </w:rPr>
          <w:t>35</w:t>
        </w:r>
        <w:r w:rsidR="000C156A">
          <w:rPr>
            <w:noProof/>
            <w:webHidden/>
          </w:rPr>
          <w:fldChar w:fldCharType="end"/>
        </w:r>
      </w:hyperlink>
    </w:p>
    <w:p w14:paraId="2854DBE6" w14:textId="3BD312E0" w:rsidR="000C156A" w:rsidRDefault="00A100EC" w:rsidP="007A5D22">
      <w:pPr>
        <w:pStyle w:val="TOC5"/>
        <w:spacing w:before="240"/>
        <w:rPr>
          <w:rFonts w:asciiTheme="minorHAnsi" w:eastAsiaTheme="minorEastAsia" w:hAnsiTheme="minorHAnsi" w:cstheme="minorBidi"/>
          <w:noProof/>
          <w:sz w:val="22"/>
          <w:szCs w:val="22"/>
          <w:lang w:val="en-US" w:eastAsia="zh-CN"/>
        </w:rPr>
      </w:pPr>
      <w:hyperlink w:anchor="_Toc73636257" w:history="1">
        <w:r w:rsidR="000C156A" w:rsidRPr="00F176F8">
          <w:rPr>
            <w:rStyle w:val="Hyperlink"/>
            <w:rFonts w:cs="Microsoft YaHei" w:hint="eastAsia"/>
            <w:noProof/>
            <w:lang w:val="fr-FR" w:eastAsia="zh-CN"/>
          </w:rPr>
          <w:t>储备金账目</w:t>
        </w:r>
        <w:r w:rsidR="000C156A">
          <w:rPr>
            <w:noProof/>
            <w:webHidden/>
          </w:rPr>
          <w:tab/>
        </w:r>
        <w:r w:rsidR="000C156A">
          <w:rPr>
            <w:noProof/>
            <w:webHidden/>
          </w:rPr>
          <w:tab/>
        </w:r>
        <w:r w:rsidR="000C156A">
          <w:rPr>
            <w:noProof/>
            <w:webHidden/>
          </w:rPr>
          <w:fldChar w:fldCharType="begin"/>
        </w:r>
        <w:r w:rsidR="000C156A">
          <w:rPr>
            <w:noProof/>
            <w:webHidden/>
          </w:rPr>
          <w:instrText xml:space="preserve"> PAGEREF _Toc73636257 \h </w:instrText>
        </w:r>
        <w:r w:rsidR="000C156A">
          <w:rPr>
            <w:noProof/>
            <w:webHidden/>
          </w:rPr>
        </w:r>
        <w:r w:rsidR="000C156A">
          <w:rPr>
            <w:noProof/>
            <w:webHidden/>
          </w:rPr>
          <w:fldChar w:fldCharType="separate"/>
        </w:r>
        <w:r w:rsidR="00C01875">
          <w:rPr>
            <w:noProof/>
            <w:webHidden/>
          </w:rPr>
          <w:t>36</w:t>
        </w:r>
        <w:r w:rsidR="000C156A">
          <w:rPr>
            <w:noProof/>
            <w:webHidden/>
          </w:rPr>
          <w:fldChar w:fldCharType="end"/>
        </w:r>
      </w:hyperlink>
    </w:p>
    <w:p w14:paraId="5A84BDC7" w14:textId="16E5F28A" w:rsidR="000C156A" w:rsidRDefault="00A100EC" w:rsidP="007A5D22">
      <w:pPr>
        <w:pStyle w:val="TOC5"/>
        <w:spacing w:before="240"/>
        <w:rPr>
          <w:rFonts w:asciiTheme="minorHAnsi" w:eastAsiaTheme="minorEastAsia" w:hAnsiTheme="minorHAnsi" w:cstheme="minorBidi"/>
          <w:noProof/>
          <w:sz w:val="22"/>
          <w:szCs w:val="22"/>
          <w:lang w:val="en-US" w:eastAsia="zh-CN"/>
        </w:rPr>
      </w:pPr>
      <w:hyperlink w:anchor="_Toc73636258" w:history="1">
        <w:r w:rsidR="000C156A" w:rsidRPr="00F176F8">
          <w:rPr>
            <w:rStyle w:val="Hyperlink"/>
            <w:rFonts w:cs="Microsoft YaHei" w:hint="eastAsia"/>
            <w:noProof/>
            <w:lang w:val="fr-FR" w:eastAsia="zh-CN"/>
          </w:rPr>
          <w:t>其他资金</w:t>
        </w:r>
        <w:r w:rsidR="000C156A">
          <w:rPr>
            <w:rStyle w:val="Hyperlink"/>
            <w:rFonts w:cs="Microsoft YaHei"/>
            <w:noProof/>
            <w:lang w:val="fr-FR" w:eastAsia="zh-CN"/>
          </w:rPr>
          <w:tab/>
        </w:r>
        <w:r w:rsidR="000C156A">
          <w:rPr>
            <w:rStyle w:val="Hyperlink"/>
            <w:rFonts w:cs="Microsoft YaHei"/>
            <w:noProof/>
            <w:lang w:val="fr-FR" w:eastAsia="zh-CN"/>
          </w:rPr>
          <w:tab/>
        </w:r>
        <w:r w:rsidR="000C156A">
          <w:rPr>
            <w:noProof/>
            <w:webHidden/>
          </w:rPr>
          <w:tab/>
        </w:r>
        <w:r w:rsidR="000C156A">
          <w:rPr>
            <w:noProof/>
            <w:webHidden/>
          </w:rPr>
          <w:fldChar w:fldCharType="begin"/>
        </w:r>
        <w:r w:rsidR="000C156A">
          <w:rPr>
            <w:noProof/>
            <w:webHidden/>
          </w:rPr>
          <w:instrText xml:space="preserve"> PAGEREF _Toc73636258 \h </w:instrText>
        </w:r>
        <w:r w:rsidR="000C156A">
          <w:rPr>
            <w:noProof/>
            <w:webHidden/>
          </w:rPr>
        </w:r>
        <w:r w:rsidR="000C156A">
          <w:rPr>
            <w:noProof/>
            <w:webHidden/>
          </w:rPr>
          <w:fldChar w:fldCharType="separate"/>
        </w:r>
        <w:r w:rsidR="00C01875">
          <w:rPr>
            <w:noProof/>
            <w:webHidden/>
          </w:rPr>
          <w:t>36</w:t>
        </w:r>
        <w:r w:rsidR="000C156A">
          <w:rPr>
            <w:noProof/>
            <w:webHidden/>
          </w:rPr>
          <w:fldChar w:fldCharType="end"/>
        </w:r>
      </w:hyperlink>
    </w:p>
    <w:p w14:paraId="3171501D" w14:textId="37A2E88D" w:rsidR="000C156A" w:rsidRDefault="00A100EC" w:rsidP="007A5D22">
      <w:pPr>
        <w:pStyle w:val="TOC5"/>
        <w:spacing w:before="240"/>
        <w:rPr>
          <w:rFonts w:asciiTheme="minorHAnsi" w:eastAsiaTheme="minorEastAsia" w:hAnsiTheme="minorHAnsi" w:cstheme="minorBidi"/>
          <w:noProof/>
          <w:sz w:val="22"/>
          <w:szCs w:val="22"/>
          <w:lang w:val="en-US" w:eastAsia="zh-CN"/>
        </w:rPr>
      </w:pPr>
      <w:hyperlink w:anchor="_Toc73636259" w:history="1">
        <w:r w:rsidR="000C156A" w:rsidRPr="00F176F8">
          <w:rPr>
            <w:rStyle w:val="Hyperlink"/>
            <w:rFonts w:cs="Microsoft YaHei" w:hint="eastAsia"/>
            <w:noProof/>
            <w:lang w:val="fr-FR" w:eastAsia="zh-CN"/>
          </w:rPr>
          <w:t>新办公楼基金</w:t>
        </w:r>
        <w:r w:rsidR="000C156A">
          <w:rPr>
            <w:noProof/>
            <w:webHidden/>
          </w:rPr>
          <w:tab/>
        </w:r>
        <w:r w:rsidR="000C156A">
          <w:rPr>
            <w:noProof/>
            <w:webHidden/>
          </w:rPr>
          <w:tab/>
        </w:r>
        <w:r w:rsidR="000C156A">
          <w:rPr>
            <w:noProof/>
            <w:webHidden/>
          </w:rPr>
          <w:fldChar w:fldCharType="begin"/>
        </w:r>
        <w:r w:rsidR="000C156A">
          <w:rPr>
            <w:noProof/>
            <w:webHidden/>
          </w:rPr>
          <w:instrText xml:space="preserve"> PAGEREF _Toc73636259 \h </w:instrText>
        </w:r>
        <w:r w:rsidR="000C156A">
          <w:rPr>
            <w:noProof/>
            <w:webHidden/>
          </w:rPr>
        </w:r>
        <w:r w:rsidR="000C156A">
          <w:rPr>
            <w:noProof/>
            <w:webHidden/>
          </w:rPr>
          <w:fldChar w:fldCharType="separate"/>
        </w:r>
        <w:r w:rsidR="00C01875">
          <w:rPr>
            <w:noProof/>
            <w:webHidden/>
          </w:rPr>
          <w:t>37</w:t>
        </w:r>
        <w:r w:rsidR="000C156A">
          <w:rPr>
            <w:noProof/>
            <w:webHidden/>
          </w:rPr>
          <w:fldChar w:fldCharType="end"/>
        </w:r>
      </w:hyperlink>
    </w:p>
    <w:p w14:paraId="631B33B0" w14:textId="0C07E370" w:rsidR="000C156A" w:rsidRDefault="00A100EC" w:rsidP="007A5D22">
      <w:pPr>
        <w:pStyle w:val="TOC5"/>
        <w:spacing w:before="240"/>
        <w:rPr>
          <w:rFonts w:asciiTheme="minorHAnsi" w:eastAsiaTheme="minorEastAsia" w:hAnsiTheme="minorHAnsi" w:cstheme="minorBidi"/>
          <w:noProof/>
          <w:sz w:val="22"/>
          <w:szCs w:val="22"/>
          <w:lang w:val="en-US" w:eastAsia="zh-CN"/>
        </w:rPr>
      </w:pPr>
      <w:hyperlink w:anchor="_Toc73636260" w:history="1">
        <w:r w:rsidR="000C156A" w:rsidRPr="00F176F8">
          <w:rPr>
            <w:rStyle w:val="Hyperlink"/>
            <w:rFonts w:cs="Microsoft YaHei" w:hint="eastAsia"/>
            <w:noProof/>
            <w:lang w:val="fr-FR" w:eastAsia="zh-CN"/>
          </w:rPr>
          <w:t>预算外活动相关基金</w:t>
        </w:r>
        <w:r w:rsidR="000C156A">
          <w:rPr>
            <w:noProof/>
            <w:webHidden/>
          </w:rPr>
          <w:tab/>
        </w:r>
        <w:r w:rsidR="000C156A">
          <w:rPr>
            <w:noProof/>
            <w:webHidden/>
          </w:rPr>
          <w:tab/>
        </w:r>
        <w:r w:rsidR="000C156A">
          <w:rPr>
            <w:noProof/>
            <w:webHidden/>
          </w:rPr>
          <w:fldChar w:fldCharType="begin"/>
        </w:r>
        <w:r w:rsidR="000C156A">
          <w:rPr>
            <w:noProof/>
            <w:webHidden/>
          </w:rPr>
          <w:instrText xml:space="preserve"> PAGEREF _Toc73636260 \h </w:instrText>
        </w:r>
        <w:r w:rsidR="000C156A">
          <w:rPr>
            <w:noProof/>
            <w:webHidden/>
          </w:rPr>
        </w:r>
        <w:r w:rsidR="000C156A">
          <w:rPr>
            <w:noProof/>
            <w:webHidden/>
          </w:rPr>
          <w:fldChar w:fldCharType="separate"/>
        </w:r>
        <w:r w:rsidR="00C01875">
          <w:rPr>
            <w:noProof/>
            <w:webHidden/>
          </w:rPr>
          <w:t>37</w:t>
        </w:r>
        <w:r w:rsidR="000C156A">
          <w:rPr>
            <w:noProof/>
            <w:webHidden/>
          </w:rPr>
          <w:fldChar w:fldCharType="end"/>
        </w:r>
      </w:hyperlink>
    </w:p>
    <w:p w14:paraId="259AC7E6" w14:textId="79384A10" w:rsidR="000C156A" w:rsidRDefault="00A100EC" w:rsidP="007A5D22">
      <w:pPr>
        <w:pStyle w:val="TOC5"/>
        <w:spacing w:before="240"/>
        <w:rPr>
          <w:rFonts w:asciiTheme="minorHAnsi" w:eastAsiaTheme="minorEastAsia" w:hAnsiTheme="minorHAnsi" w:cstheme="minorBidi"/>
          <w:noProof/>
          <w:sz w:val="22"/>
          <w:szCs w:val="22"/>
          <w:lang w:val="en-US" w:eastAsia="zh-CN"/>
        </w:rPr>
      </w:pPr>
      <w:hyperlink w:anchor="_Toc73636261" w:history="1">
        <w:r w:rsidR="000C156A" w:rsidRPr="00F176F8">
          <w:rPr>
            <w:rStyle w:val="Hyperlink"/>
            <w:rFonts w:cs="Microsoft YaHei" w:hint="eastAsia"/>
            <w:noProof/>
            <w:lang w:val="fr-FR" w:eastAsia="zh-CN"/>
          </w:rPr>
          <w:t>收入的确认</w:t>
        </w:r>
        <w:r w:rsidR="000C156A">
          <w:rPr>
            <w:noProof/>
            <w:webHidden/>
          </w:rPr>
          <w:tab/>
        </w:r>
        <w:r w:rsidR="000C156A">
          <w:rPr>
            <w:noProof/>
            <w:webHidden/>
          </w:rPr>
          <w:tab/>
        </w:r>
        <w:r w:rsidR="000C156A">
          <w:rPr>
            <w:noProof/>
            <w:webHidden/>
          </w:rPr>
          <w:fldChar w:fldCharType="begin"/>
        </w:r>
        <w:r w:rsidR="000C156A">
          <w:rPr>
            <w:noProof/>
            <w:webHidden/>
          </w:rPr>
          <w:instrText xml:space="preserve"> PAGEREF _Toc73636261 \h </w:instrText>
        </w:r>
        <w:r w:rsidR="000C156A">
          <w:rPr>
            <w:noProof/>
            <w:webHidden/>
          </w:rPr>
        </w:r>
        <w:r w:rsidR="000C156A">
          <w:rPr>
            <w:noProof/>
            <w:webHidden/>
          </w:rPr>
          <w:fldChar w:fldCharType="separate"/>
        </w:r>
        <w:r w:rsidR="00C01875">
          <w:rPr>
            <w:noProof/>
            <w:webHidden/>
          </w:rPr>
          <w:t>38</w:t>
        </w:r>
        <w:r w:rsidR="000C156A">
          <w:rPr>
            <w:noProof/>
            <w:webHidden/>
          </w:rPr>
          <w:fldChar w:fldCharType="end"/>
        </w:r>
      </w:hyperlink>
    </w:p>
    <w:p w14:paraId="3DF377AE" w14:textId="27C3740D" w:rsidR="000C156A" w:rsidRDefault="00A100EC" w:rsidP="007A5D22">
      <w:pPr>
        <w:pStyle w:val="TOC5"/>
        <w:spacing w:before="240"/>
        <w:rPr>
          <w:rFonts w:asciiTheme="minorHAnsi" w:eastAsiaTheme="minorEastAsia" w:hAnsiTheme="minorHAnsi" w:cstheme="minorBidi"/>
          <w:noProof/>
          <w:sz w:val="22"/>
          <w:szCs w:val="22"/>
          <w:lang w:val="en-US" w:eastAsia="zh-CN"/>
        </w:rPr>
      </w:pPr>
      <w:hyperlink w:anchor="_Toc73636262" w:history="1">
        <w:r w:rsidR="000C156A" w:rsidRPr="00F176F8">
          <w:rPr>
            <w:rStyle w:val="Hyperlink"/>
            <w:rFonts w:cs="Microsoft YaHei" w:hint="eastAsia"/>
            <w:noProof/>
            <w:lang w:val="fr-FR" w:eastAsia="zh-CN"/>
          </w:rPr>
          <w:t>分部门报告</w:t>
        </w:r>
        <w:r w:rsidR="000C156A">
          <w:rPr>
            <w:noProof/>
            <w:webHidden/>
          </w:rPr>
          <w:tab/>
        </w:r>
        <w:r w:rsidR="000C156A">
          <w:rPr>
            <w:noProof/>
            <w:webHidden/>
          </w:rPr>
          <w:tab/>
        </w:r>
        <w:r w:rsidR="000C156A">
          <w:rPr>
            <w:noProof/>
            <w:webHidden/>
          </w:rPr>
          <w:fldChar w:fldCharType="begin"/>
        </w:r>
        <w:r w:rsidR="000C156A">
          <w:rPr>
            <w:noProof/>
            <w:webHidden/>
          </w:rPr>
          <w:instrText xml:space="preserve"> PAGEREF _Toc73636262 \h </w:instrText>
        </w:r>
        <w:r w:rsidR="000C156A">
          <w:rPr>
            <w:noProof/>
            <w:webHidden/>
          </w:rPr>
        </w:r>
        <w:r w:rsidR="000C156A">
          <w:rPr>
            <w:noProof/>
            <w:webHidden/>
          </w:rPr>
          <w:fldChar w:fldCharType="separate"/>
        </w:r>
        <w:r w:rsidR="00C01875">
          <w:rPr>
            <w:noProof/>
            <w:webHidden/>
          </w:rPr>
          <w:t>38</w:t>
        </w:r>
        <w:r w:rsidR="000C156A">
          <w:rPr>
            <w:noProof/>
            <w:webHidden/>
          </w:rPr>
          <w:fldChar w:fldCharType="end"/>
        </w:r>
      </w:hyperlink>
    </w:p>
    <w:p w14:paraId="40431FBC" w14:textId="2FC579F0" w:rsidR="000C156A" w:rsidRDefault="00A100EC" w:rsidP="007A5D22">
      <w:pPr>
        <w:pStyle w:val="TOC5"/>
        <w:spacing w:before="240"/>
        <w:rPr>
          <w:rFonts w:asciiTheme="minorHAnsi" w:eastAsiaTheme="minorEastAsia" w:hAnsiTheme="minorHAnsi" w:cstheme="minorBidi"/>
          <w:noProof/>
          <w:sz w:val="22"/>
          <w:szCs w:val="22"/>
          <w:lang w:val="en-US" w:eastAsia="zh-CN"/>
        </w:rPr>
      </w:pPr>
      <w:hyperlink w:anchor="_Toc73636263" w:history="1">
        <w:r w:rsidR="000C156A" w:rsidRPr="00F176F8">
          <w:rPr>
            <w:rStyle w:val="Hyperlink"/>
            <w:rFonts w:cs="Microsoft YaHei" w:hint="eastAsia"/>
            <w:noProof/>
            <w:lang w:val="fr-FR" w:eastAsia="zh-CN"/>
          </w:rPr>
          <w:t>预算比较</w:t>
        </w:r>
        <w:r w:rsidR="000C156A">
          <w:rPr>
            <w:rStyle w:val="Hyperlink"/>
            <w:rFonts w:cs="Microsoft YaHei"/>
            <w:noProof/>
            <w:lang w:val="fr-FR" w:eastAsia="zh-CN"/>
          </w:rPr>
          <w:tab/>
        </w:r>
        <w:r w:rsidR="000C156A">
          <w:rPr>
            <w:rStyle w:val="Hyperlink"/>
            <w:rFonts w:cs="Microsoft YaHei"/>
            <w:noProof/>
            <w:lang w:val="fr-FR" w:eastAsia="zh-CN"/>
          </w:rPr>
          <w:tab/>
        </w:r>
        <w:r w:rsidR="000C156A">
          <w:rPr>
            <w:noProof/>
            <w:webHidden/>
          </w:rPr>
          <w:tab/>
        </w:r>
        <w:r w:rsidR="000C156A">
          <w:rPr>
            <w:noProof/>
            <w:webHidden/>
          </w:rPr>
          <w:fldChar w:fldCharType="begin"/>
        </w:r>
        <w:r w:rsidR="000C156A">
          <w:rPr>
            <w:noProof/>
            <w:webHidden/>
          </w:rPr>
          <w:instrText xml:space="preserve"> PAGEREF _Toc73636263 \h </w:instrText>
        </w:r>
        <w:r w:rsidR="000C156A">
          <w:rPr>
            <w:noProof/>
            <w:webHidden/>
          </w:rPr>
        </w:r>
        <w:r w:rsidR="000C156A">
          <w:rPr>
            <w:noProof/>
            <w:webHidden/>
          </w:rPr>
          <w:fldChar w:fldCharType="separate"/>
        </w:r>
        <w:r w:rsidR="00C01875">
          <w:rPr>
            <w:noProof/>
            <w:webHidden/>
          </w:rPr>
          <w:t>39</w:t>
        </w:r>
        <w:r w:rsidR="000C156A">
          <w:rPr>
            <w:noProof/>
            <w:webHidden/>
          </w:rPr>
          <w:fldChar w:fldCharType="end"/>
        </w:r>
      </w:hyperlink>
    </w:p>
    <w:p w14:paraId="6A253ABF" w14:textId="4D56560B" w:rsidR="000C156A" w:rsidRDefault="00A100EC" w:rsidP="007A5D22">
      <w:pPr>
        <w:pStyle w:val="TOC1"/>
        <w:rPr>
          <w:rFonts w:asciiTheme="minorHAnsi" w:eastAsiaTheme="minorEastAsia" w:hAnsiTheme="minorHAnsi" w:cstheme="minorBidi"/>
          <w:noProof/>
          <w:sz w:val="22"/>
          <w:szCs w:val="22"/>
          <w:lang w:val="en-US" w:eastAsia="zh-CN"/>
        </w:rPr>
      </w:pPr>
      <w:hyperlink w:anchor="_Toc73636264" w:history="1">
        <w:r w:rsidR="000C156A" w:rsidRPr="00F176F8">
          <w:rPr>
            <w:rStyle w:val="Hyperlink"/>
            <w:rFonts w:cs="Microsoft YaHei" w:hint="eastAsia"/>
            <w:noProof/>
            <w:lang w:val="fr-FR" w:eastAsia="zh-CN"/>
          </w:rPr>
          <w:t>说明</w:t>
        </w:r>
        <w:r w:rsidR="000C156A" w:rsidRPr="00F176F8">
          <w:rPr>
            <w:rStyle w:val="Hyperlink"/>
            <w:noProof/>
            <w:lang w:eastAsia="zh-CN"/>
          </w:rPr>
          <w:t>3</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eastAsia="zh-CN"/>
          </w:rPr>
          <w:t>净资产的管理</w:t>
        </w:r>
        <w:r w:rsidR="000C156A">
          <w:rPr>
            <w:noProof/>
            <w:webHidden/>
          </w:rPr>
          <w:tab/>
        </w:r>
        <w:r w:rsidR="000C156A">
          <w:rPr>
            <w:noProof/>
            <w:webHidden/>
          </w:rPr>
          <w:fldChar w:fldCharType="begin"/>
        </w:r>
        <w:r w:rsidR="000C156A">
          <w:rPr>
            <w:noProof/>
            <w:webHidden/>
          </w:rPr>
          <w:instrText xml:space="preserve"> PAGEREF _Toc73636264 \h </w:instrText>
        </w:r>
        <w:r w:rsidR="000C156A">
          <w:rPr>
            <w:noProof/>
            <w:webHidden/>
          </w:rPr>
        </w:r>
        <w:r w:rsidR="000C156A">
          <w:rPr>
            <w:noProof/>
            <w:webHidden/>
          </w:rPr>
          <w:fldChar w:fldCharType="separate"/>
        </w:r>
        <w:r w:rsidR="00C01875">
          <w:rPr>
            <w:noProof/>
            <w:webHidden/>
          </w:rPr>
          <w:t>39</w:t>
        </w:r>
        <w:r w:rsidR="000C156A">
          <w:rPr>
            <w:noProof/>
            <w:webHidden/>
          </w:rPr>
          <w:fldChar w:fldCharType="end"/>
        </w:r>
      </w:hyperlink>
    </w:p>
    <w:p w14:paraId="314BAE38" w14:textId="3772C254" w:rsidR="000C156A" w:rsidRDefault="00A100EC" w:rsidP="007A5D22">
      <w:pPr>
        <w:pStyle w:val="TOC1"/>
        <w:rPr>
          <w:rFonts w:asciiTheme="minorHAnsi" w:eastAsiaTheme="minorEastAsia" w:hAnsiTheme="minorHAnsi" w:cstheme="minorBidi"/>
          <w:noProof/>
          <w:sz w:val="22"/>
          <w:szCs w:val="22"/>
          <w:lang w:val="en-US" w:eastAsia="zh-CN"/>
        </w:rPr>
      </w:pPr>
      <w:hyperlink w:anchor="_Toc73636265" w:history="1">
        <w:r w:rsidR="000C156A" w:rsidRPr="00F176F8">
          <w:rPr>
            <w:rStyle w:val="Hyperlink"/>
            <w:rFonts w:cs="Microsoft YaHei" w:hint="eastAsia"/>
            <w:noProof/>
            <w:lang w:val="fr-FR" w:eastAsia="zh-CN"/>
          </w:rPr>
          <w:t>说明</w:t>
        </w:r>
        <w:r w:rsidR="000C156A" w:rsidRPr="00F176F8">
          <w:rPr>
            <w:rStyle w:val="Hyperlink"/>
            <w:rFonts w:cs="Microsoft YaHei"/>
            <w:noProof/>
            <w:lang w:eastAsia="zh-CN"/>
          </w:rPr>
          <w:t>4</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eastAsia="zh-CN"/>
          </w:rPr>
          <w:t>财务风险的管理</w:t>
        </w:r>
        <w:r w:rsidR="000C156A">
          <w:rPr>
            <w:noProof/>
            <w:webHidden/>
          </w:rPr>
          <w:tab/>
        </w:r>
        <w:r w:rsidR="000C156A">
          <w:rPr>
            <w:noProof/>
            <w:webHidden/>
          </w:rPr>
          <w:fldChar w:fldCharType="begin"/>
        </w:r>
        <w:r w:rsidR="000C156A">
          <w:rPr>
            <w:noProof/>
            <w:webHidden/>
          </w:rPr>
          <w:instrText xml:space="preserve"> PAGEREF _Toc73636265 \h </w:instrText>
        </w:r>
        <w:r w:rsidR="000C156A">
          <w:rPr>
            <w:noProof/>
            <w:webHidden/>
          </w:rPr>
        </w:r>
        <w:r w:rsidR="000C156A">
          <w:rPr>
            <w:noProof/>
            <w:webHidden/>
          </w:rPr>
          <w:fldChar w:fldCharType="separate"/>
        </w:r>
        <w:r w:rsidR="00C01875">
          <w:rPr>
            <w:noProof/>
            <w:webHidden/>
          </w:rPr>
          <w:t>39</w:t>
        </w:r>
        <w:r w:rsidR="000C156A">
          <w:rPr>
            <w:noProof/>
            <w:webHidden/>
          </w:rPr>
          <w:fldChar w:fldCharType="end"/>
        </w:r>
      </w:hyperlink>
    </w:p>
    <w:p w14:paraId="4E70926D" w14:textId="380D9099" w:rsidR="000C156A" w:rsidRDefault="00A100EC" w:rsidP="007A5D22">
      <w:pPr>
        <w:pStyle w:val="TOC1"/>
        <w:rPr>
          <w:rFonts w:asciiTheme="minorHAnsi" w:eastAsiaTheme="minorEastAsia" w:hAnsiTheme="minorHAnsi" w:cstheme="minorBidi"/>
          <w:noProof/>
          <w:sz w:val="22"/>
          <w:szCs w:val="22"/>
          <w:lang w:val="en-US" w:eastAsia="zh-CN"/>
        </w:rPr>
      </w:pPr>
      <w:hyperlink w:anchor="_Toc73636268" w:history="1">
        <w:r w:rsidR="000C156A" w:rsidRPr="00F176F8">
          <w:rPr>
            <w:rStyle w:val="Hyperlink"/>
            <w:rFonts w:cs="Microsoft YaHei" w:hint="eastAsia"/>
            <w:noProof/>
            <w:lang w:val="fr-FR"/>
          </w:rPr>
          <w:t>说明</w:t>
        </w:r>
        <w:r w:rsidR="000C156A" w:rsidRPr="00F176F8">
          <w:rPr>
            <w:rStyle w:val="Hyperlink"/>
            <w:noProof/>
            <w:lang w:val="fr-FR"/>
          </w:rPr>
          <w:t>5</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rPr>
          <w:t>判定和会计估算</w:t>
        </w:r>
        <w:r w:rsidR="000C156A">
          <w:rPr>
            <w:noProof/>
            <w:webHidden/>
          </w:rPr>
          <w:tab/>
        </w:r>
        <w:r w:rsidR="000C156A">
          <w:rPr>
            <w:noProof/>
            <w:webHidden/>
          </w:rPr>
          <w:fldChar w:fldCharType="begin"/>
        </w:r>
        <w:r w:rsidR="000C156A">
          <w:rPr>
            <w:noProof/>
            <w:webHidden/>
          </w:rPr>
          <w:instrText xml:space="preserve"> PAGEREF _Toc73636268 \h </w:instrText>
        </w:r>
        <w:r w:rsidR="000C156A">
          <w:rPr>
            <w:noProof/>
            <w:webHidden/>
          </w:rPr>
        </w:r>
        <w:r w:rsidR="000C156A">
          <w:rPr>
            <w:noProof/>
            <w:webHidden/>
          </w:rPr>
          <w:fldChar w:fldCharType="separate"/>
        </w:r>
        <w:r w:rsidR="00C01875">
          <w:rPr>
            <w:noProof/>
            <w:webHidden/>
          </w:rPr>
          <w:t>42</w:t>
        </w:r>
        <w:r w:rsidR="000C156A">
          <w:rPr>
            <w:noProof/>
            <w:webHidden/>
          </w:rPr>
          <w:fldChar w:fldCharType="end"/>
        </w:r>
      </w:hyperlink>
    </w:p>
    <w:p w14:paraId="4FAE3072" w14:textId="39943ED3" w:rsidR="000C156A" w:rsidRDefault="00A100EC" w:rsidP="007A5D22">
      <w:pPr>
        <w:pStyle w:val="TOC1"/>
        <w:rPr>
          <w:rFonts w:asciiTheme="minorHAnsi" w:eastAsiaTheme="minorEastAsia" w:hAnsiTheme="minorHAnsi" w:cstheme="minorBidi"/>
          <w:noProof/>
          <w:sz w:val="22"/>
          <w:szCs w:val="22"/>
          <w:lang w:val="en-US" w:eastAsia="zh-CN"/>
        </w:rPr>
      </w:pPr>
      <w:hyperlink w:anchor="_Toc73636269" w:history="1">
        <w:r w:rsidR="000C156A" w:rsidRPr="00F176F8">
          <w:rPr>
            <w:rStyle w:val="Hyperlink"/>
            <w:rFonts w:cs="Microsoft YaHei" w:hint="eastAsia"/>
            <w:noProof/>
            <w:lang w:val="fr-FR"/>
          </w:rPr>
          <w:t>说明</w:t>
        </w:r>
        <w:r w:rsidR="000C156A" w:rsidRPr="00F176F8">
          <w:rPr>
            <w:rStyle w:val="Hyperlink"/>
            <w:rFonts w:cs="Microsoft YaHei"/>
            <w:noProof/>
            <w:lang w:val="fr-FR"/>
          </w:rPr>
          <w:t>6</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rPr>
          <w:t>现金和现金等价物</w:t>
        </w:r>
        <w:r w:rsidR="000C156A">
          <w:rPr>
            <w:noProof/>
            <w:webHidden/>
          </w:rPr>
          <w:tab/>
        </w:r>
        <w:r w:rsidR="000C156A">
          <w:rPr>
            <w:noProof/>
            <w:webHidden/>
          </w:rPr>
          <w:fldChar w:fldCharType="begin"/>
        </w:r>
        <w:r w:rsidR="000C156A">
          <w:rPr>
            <w:noProof/>
            <w:webHidden/>
          </w:rPr>
          <w:instrText xml:space="preserve"> PAGEREF _Toc73636269 \h </w:instrText>
        </w:r>
        <w:r w:rsidR="000C156A">
          <w:rPr>
            <w:noProof/>
            <w:webHidden/>
          </w:rPr>
        </w:r>
        <w:r w:rsidR="000C156A">
          <w:rPr>
            <w:noProof/>
            <w:webHidden/>
          </w:rPr>
          <w:fldChar w:fldCharType="separate"/>
        </w:r>
        <w:r w:rsidR="00C01875">
          <w:rPr>
            <w:noProof/>
            <w:webHidden/>
          </w:rPr>
          <w:t>43</w:t>
        </w:r>
        <w:r w:rsidR="000C156A">
          <w:rPr>
            <w:noProof/>
            <w:webHidden/>
          </w:rPr>
          <w:fldChar w:fldCharType="end"/>
        </w:r>
      </w:hyperlink>
    </w:p>
    <w:p w14:paraId="68855EE0" w14:textId="7D3679F6" w:rsidR="000C156A" w:rsidRDefault="00A100EC" w:rsidP="007A5D22">
      <w:pPr>
        <w:pStyle w:val="TOC1"/>
        <w:rPr>
          <w:rFonts w:asciiTheme="minorHAnsi" w:eastAsiaTheme="minorEastAsia" w:hAnsiTheme="minorHAnsi" w:cstheme="minorBidi"/>
          <w:noProof/>
          <w:sz w:val="22"/>
          <w:szCs w:val="22"/>
          <w:lang w:val="en-US" w:eastAsia="zh-CN"/>
        </w:rPr>
      </w:pPr>
      <w:hyperlink w:anchor="_Toc73636270" w:history="1">
        <w:r w:rsidR="000C156A" w:rsidRPr="00F176F8">
          <w:rPr>
            <w:rStyle w:val="Hyperlink"/>
            <w:rFonts w:cs="Microsoft YaHei" w:hint="eastAsia"/>
            <w:noProof/>
            <w:lang w:val="fr-FR" w:eastAsia="zh-CN"/>
          </w:rPr>
          <w:t>说明</w:t>
        </w:r>
        <w:r w:rsidR="000C156A" w:rsidRPr="00F176F8">
          <w:rPr>
            <w:rStyle w:val="Hyperlink"/>
            <w:rFonts w:cs="Microsoft YaHei"/>
            <w:noProof/>
            <w:lang w:val="en" w:eastAsia="zh-CN"/>
          </w:rPr>
          <w:t>7</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eastAsia="zh-CN"/>
          </w:rPr>
          <w:t>投资</w:t>
        </w:r>
        <w:r w:rsidR="000C156A">
          <w:rPr>
            <w:noProof/>
            <w:webHidden/>
          </w:rPr>
          <w:tab/>
        </w:r>
        <w:r w:rsidR="000C156A">
          <w:rPr>
            <w:noProof/>
            <w:webHidden/>
          </w:rPr>
          <w:fldChar w:fldCharType="begin"/>
        </w:r>
        <w:r w:rsidR="000C156A">
          <w:rPr>
            <w:noProof/>
            <w:webHidden/>
          </w:rPr>
          <w:instrText xml:space="preserve"> PAGEREF _Toc73636270 \h </w:instrText>
        </w:r>
        <w:r w:rsidR="000C156A">
          <w:rPr>
            <w:noProof/>
            <w:webHidden/>
          </w:rPr>
        </w:r>
        <w:r w:rsidR="000C156A">
          <w:rPr>
            <w:noProof/>
            <w:webHidden/>
          </w:rPr>
          <w:fldChar w:fldCharType="separate"/>
        </w:r>
        <w:r w:rsidR="00C01875">
          <w:rPr>
            <w:noProof/>
            <w:webHidden/>
          </w:rPr>
          <w:t>43</w:t>
        </w:r>
        <w:r w:rsidR="000C156A">
          <w:rPr>
            <w:noProof/>
            <w:webHidden/>
          </w:rPr>
          <w:fldChar w:fldCharType="end"/>
        </w:r>
      </w:hyperlink>
    </w:p>
    <w:p w14:paraId="5F95B2EE" w14:textId="2DCF6354" w:rsidR="000C156A" w:rsidRDefault="00A100EC" w:rsidP="007A5D22">
      <w:pPr>
        <w:pStyle w:val="TOC1"/>
        <w:rPr>
          <w:rFonts w:asciiTheme="minorHAnsi" w:eastAsiaTheme="minorEastAsia" w:hAnsiTheme="minorHAnsi" w:cstheme="minorBidi"/>
          <w:noProof/>
          <w:sz w:val="22"/>
          <w:szCs w:val="22"/>
          <w:lang w:val="en-US" w:eastAsia="zh-CN"/>
        </w:rPr>
      </w:pPr>
      <w:hyperlink w:anchor="_Toc73636271" w:history="1">
        <w:r w:rsidR="000C156A" w:rsidRPr="00F176F8">
          <w:rPr>
            <w:rStyle w:val="Hyperlink"/>
            <w:rFonts w:cs="Microsoft YaHei" w:hint="eastAsia"/>
            <w:noProof/>
            <w:lang w:val="fr-FR" w:eastAsia="zh-CN"/>
          </w:rPr>
          <w:t>说明</w:t>
        </w:r>
        <w:r w:rsidR="000C156A" w:rsidRPr="00F176F8">
          <w:rPr>
            <w:rStyle w:val="Hyperlink"/>
            <w:rFonts w:cs="Microsoft YaHei"/>
            <w:noProof/>
            <w:lang w:eastAsia="zh-CN"/>
          </w:rPr>
          <w:t>8</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eastAsia="zh-CN"/>
          </w:rPr>
          <w:t>应收款项</w:t>
        </w:r>
        <w:r w:rsidR="000C156A">
          <w:rPr>
            <w:noProof/>
            <w:webHidden/>
          </w:rPr>
          <w:tab/>
        </w:r>
        <w:r w:rsidR="000C156A">
          <w:rPr>
            <w:noProof/>
            <w:webHidden/>
          </w:rPr>
          <w:fldChar w:fldCharType="begin"/>
        </w:r>
        <w:r w:rsidR="000C156A">
          <w:rPr>
            <w:noProof/>
            <w:webHidden/>
          </w:rPr>
          <w:instrText xml:space="preserve"> PAGEREF _Toc73636271 \h </w:instrText>
        </w:r>
        <w:r w:rsidR="000C156A">
          <w:rPr>
            <w:noProof/>
            <w:webHidden/>
          </w:rPr>
        </w:r>
        <w:r w:rsidR="000C156A">
          <w:rPr>
            <w:noProof/>
            <w:webHidden/>
          </w:rPr>
          <w:fldChar w:fldCharType="separate"/>
        </w:r>
        <w:r w:rsidR="00C01875">
          <w:rPr>
            <w:noProof/>
            <w:webHidden/>
          </w:rPr>
          <w:t>44</w:t>
        </w:r>
        <w:r w:rsidR="000C156A">
          <w:rPr>
            <w:noProof/>
            <w:webHidden/>
          </w:rPr>
          <w:fldChar w:fldCharType="end"/>
        </w:r>
      </w:hyperlink>
    </w:p>
    <w:p w14:paraId="0CFE4276" w14:textId="262F75EB" w:rsidR="000C156A" w:rsidRDefault="00A100EC" w:rsidP="007A5D22">
      <w:pPr>
        <w:pStyle w:val="TOC1"/>
        <w:rPr>
          <w:rFonts w:asciiTheme="minorHAnsi" w:eastAsiaTheme="minorEastAsia" w:hAnsiTheme="minorHAnsi" w:cstheme="minorBidi"/>
          <w:noProof/>
          <w:sz w:val="22"/>
          <w:szCs w:val="22"/>
          <w:lang w:val="en-US" w:eastAsia="zh-CN"/>
        </w:rPr>
      </w:pPr>
      <w:hyperlink w:anchor="_Toc73636272" w:history="1">
        <w:r w:rsidR="000C156A" w:rsidRPr="00F176F8">
          <w:rPr>
            <w:rStyle w:val="Hyperlink"/>
            <w:rFonts w:cs="Microsoft YaHei" w:hint="eastAsia"/>
            <w:noProof/>
            <w:lang w:val="fr-FR"/>
          </w:rPr>
          <w:t>说明</w:t>
        </w:r>
        <w:r w:rsidR="000C156A" w:rsidRPr="00F176F8">
          <w:rPr>
            <w:rStyle w:val="Hyperlink"/>
            <w:rFonts w:cs="Microsoft YaHei"/>
            <w:noProof/>
            <w:lang w:val="fr-FR"/>
          </w:rPr>
          <w:t>9</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rPr>
          <w:t>库存</w:t>
        </w:r>
        <w:r w:rsidR="000C156A">
          <w:rPr>
            <w:noProof/>
            <w:webHidden/>
          </w:rPr>
          <w:tab/>
        </w:r>
        <w:r w:rsidR="000C156A">
          <w:rPr>
            <w:noProof/>
            <w:webHidden/>
          </w:rPr>
          <w:fldChar w:fldCharType="begin"/>
        </w:r>
        <w:r w:rsidR="000C156A">
          <w:rPr>
            <w:noProof/>
            <w:webHidden/>
          </w:rPr>
          <w:instrText xml:space="preserve"> PAGEREF _Toc73636272 \h </w:instrText>
        </w:r>
        <w:r w:rsidR="000C156A">
          <w:rPr>
            <w:noProof/>
            <w:webHidden/>
          </w:rPr>
        </w:r>
        <w:r w:rsidR="000C156A">
          <w:rPr>
            <w:noProof/>
            <w:webHidden/>
          </w:rPr>
          <w:fldChar w:fldCharType="separate"/>
        </w:r>
        <w:r w:rsidR="00C01875">
          <w:rPr>
            <w:noProof/>
            <w:webHidden/>
          </w:rPr>
          <w:t>45</w:t>
        </w:r>
        <w:r w:rsidR="000C156A">
          <w:rPr>
            <w:noProof/>
            <w:webHidden/>
          </w:rPr>
          <w:fldChar w:fldCharType="end"/>
        </w:r>
      </w:hyperlink>
    </w:p>
    <w:p w14:paraId="11484EDC" w14:textId="6DB2136A" w:rsidR="000C156A" w:rsidRDefault="00A100EC" w:rsidP="007A5D22">
      <w:pPr>
        <w:pStyle w:val="TOC1"/>
        <w:rPr>
          <w:rFonts w:asciiTheme="minorHAnsi" w:eastAsiaTheme="minorEastAsia" w:hAnsiTheme="minorHAnsi" w:cstheme="minorBidi"/>
          <w:noProof/>
          <w:sz w:val="22"/>
          <w:szCs w:val="22"/>
          <w:lang w:val="en-US" w:eastAsia="zh-CN"/>
        </w:rPr>
      </w:pPr>
      <w:hyperlink w:anchor="_Toc73636273" w:history="1">
        <w:r w:rsidR="000C156A" w:rsidRPr="00F176F8">
          <w:rPr>
            <w:rStyle w:val="Hyperlink"/>
            <w:rFonts w:cs="Microsoft YaHei" w:hint="eastAsia"/>
            <w:noProof/>
            <w:lang w:val="fr-FR"/>
          </w:rPr>
          <w:t>说明</w:t>
        </w:r>
        <w:r w:rsidR="000C156A" w:rsidRPr="00F176F8">
          <w:rPr>
            <w:rStyle w:val="Hyperlink"/>
            <w:rFonts w:cs="Microsoft YaHei"/>
            <w:noProof/>
            <w:lang w:val="fr-FR"/>
          </w:rPr>
          <w:t>10</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rPr>
          <w:t>其它应收款项</w:t>
        </w:r>
        <w:r w:rsidR="000C156A">
          <w:rPr>
            <w:noProof/>
            <w:webHidden/>
          </w:rPr>
          <w:tab/>
        </w:r>
        <w:r w:rsidR="000C156A">
          <w:rPr>
            <w:noProof/>
            <w:webHidden/>
          </w:rPr>
          <w:fldChar w:fldCharType="begin"/>
        </w:r>
        <w:r w:rsidR="000C156A">
          <w:rPr>
            <w:noProof/>
            <w:webHidden/>
          </w:rPr>
          <w:instrText xml:space="preserve"> PAGEREF _Toc73636273 \h </w:instrText>
        </w:r>
        <w:r w:rsidR="000C156A">
          <w:rPr>
            <w:noProof/>
            <w:webHidden/>
          </w:rPr>
        </w:r>
        <w:r w:rsidR="000C156A">
          <w:rPr>
            <w:noProof/>
            <w:webHidden/>
          </w:rPr>
          <w:fldChar w:fldCharType="separate"/>
        </w:r>
        <w:r w:rsidR="00C01875">
          <w:rPr>
            <w:noProof/>
            <w:webHidden/>
          </w:rPr>
          <w:t>46</w:t>
        </w:r>
        <w:r w:rsidR="000C156A">
          <w:rPr>
            <w:noProof/>
            <w:webHidden/>
          </w:rPr>
          <w:fldChar w:fldCharType="end"/>
        </w:r>
      </w:hyperlink>
    </w:p>
    <w:p w14:paraId="1E0604EC" w14:textId="0496F675" w:rsidR="000C156A" w:rsidRDefault="00A100EC" w:rsidP="007A5D22">
      <w:pPr>
        <w:pStyle w:val="TOC1"/>
        <w:rPr>
          <w:rFonts w:asciiTheme="minorHAnsi" w:eastAsiaTheme="minorEastAsia" w:hAnsiTheme="minorHAnsi" w:cstheme="minorBidi"/>
          <w:noProof/>
          <w:sz w:val="22"/>
          <w:szCs w:val="22"/>
          <w:lang w:val="en-US" w:eastAsia="zh-CN"/>
        </w:rPr>
      </w:pPr>
      <w:hyperlink w:anchor="_Toc73636274" w:history="1">
        <w:r w:rsidR="000C156A" w:rsidRPr="00F176F8">
          <w:rPr>
            <w:rStyle w:val="Hyperlink"/>
            <w:rFonts w:cs="Microsoft YaHei" w:hint="eastAsia"/>
            <w:noProof/>
            <w:lang w:val="fr-FR" w:eastAsia="zh-CN"/>
          </w:rPr>
          <w:t>说明</w:t>
        </w:r>
        <w:r w:rsidR="000C156A" w:rsidRPr="00F176F8">
          <w:rPr>
            <w:rStyle w:val="Hyperlink"/>
            <w:rFonts w:cs="Microsoft YaHei"/>
            <w:noProof/>
            <w:lang w:eastAsia="zh-CN"/>
          </w:rPr>
          <w:t>11</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eastAsia="zh-CN"/>
          </w:rPr>
          <w:t>财产和设备</w:t>
        </w:r>
        <w:r w:rsidR="000C156A">
          <w:rPr>
            <w:noProof/>
            <w:webHidden/>
          </w:rPr>
          <w:tab/>
        </w:r>
        <w:r w:rsidR="000C156A">
          <w:rPr>
            <w:noProof/>
            <w:webHidden/>
          </w:rPr>
          <w:fldChar w:fldCharType="begin"/>
        </w:r>
        <w:r w:rsidR="000C156A">
          <w:rPr>
            <w:noProof/>
            <w:webHidden/>
          </w:rPr>
          <w:instrText xml:space="preserve"> PAGEREF _Toc73636274 \h </w:instrText>
        </w:r>
        <w:r w:rsidR="000C156A">
          <w:rPr>
            <w:noProof/>
            <w:webHidden/>
          </w:rPr>
        </w:r>
        <w:r w:rsidR="000C156A">
          <w:rPr>
            <w:noProof/>
            <w:webHidden/>
          </w:rPr>
          <w:fldChar w:fldCharType="separate"/>
        </w:r>
        <w:r w:rsidR="00C01875">
          <w:rPr>
            <w:noProof/>
            <w:webHidden/>
          </w:rPr>
          <w:t>46</w:t>
        </w:r>
        <w:r w:rsidR="000C156A">
          <w:rPr>
            <w:noProof/>
            <w:webHidden/>
          </w:rPr>
          <w:fldChar w:fldCharType="end"/>
        </w:r>
      </w:hyperlink>
    </w:p>
    <w:p w14:paraId="67F791A5" w14:textId="087FB618" w:rsidR="000C156A" w:rsidRDefault="00A100EC" w:rsidP="007A5D22">
      <w:pPr>
        <w:pStyle w:val="TOC1"/>
        <w:rPr>
          <w:rFonts w:asciiTheme="minorHAnsi" w:eastAsiaTheme="minorEastAsia" w:hAnsiTheme="minorHAnsi" w:cstheme="minorBidi"/>
          <w:noProof/>
          <w:sz w:val="22"/>
          <w:szCs w:val="22"/>
          <w:lang w:val="en-US" w:eastAsia="zh-CN"/>
        </w:rPr>
      </w:pPr>
      <w:hyperlink w:anchor="_Toc73636275" w:history="1">
        <w:r w:rsidR="000C156A" w:rsidRPr="00F176F8">
          <w:rPr>
            <w:rStyle w:val="Hyperlink"/>
            <w:rFonts w:cs="Microsoft YaHei" w:hint="eastAsia"/>
            <w:noProof/>
            <w:lang w:val="fr-FR"/>
          </w:rPr>
          <w:t>说明</w:t>
        </w:r>
        <w:r w:rsidR="000C156A" w:rsidRPr="00F176F8">
          <w:rPr>
            <w:rStyle w:val="Hyperlink"/>
            <w:rFonts w:cs="Microsoft YaHei"/>
            <w:noProof/>
            <w:lang w:val="fr-FR"/>
          </w:rPr>
          <w:t>12</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rPr>
          <w:t>无形资产</w:t>
        </w:r>
        <w:r w:rsidR="000C156A">
          <w:rPr>
            <w:noProof/>
            <w:webHidden/>
          </w:rPr>
          <w:tab/>
        </w:r>
        <w:r w:rsidR="000C156A">
          <w:rPr>
            <w:noProof/>
            <w:webHidden/>
          </w:rPr>
          <w:fldChar w:fldCharType="begin"/>
        </w:r>
        <w:r w:rsidR="000C156A">
          <w:rPr>
            <w:noProof/>
            <w:webHidden/>
          </w:rPr>
          <w:instrText xml:space="preserve"> PAGEREF _Toc73636275 \h </w:instrText>
        </w:r>
        <w:r w:rsidR="000C156A">
          <w:rPr>
            <w:noProof/>
            <w:webHidden/>
          </w:rPr>
        </w:r>
        <w:r w:rsidR="000C156A">
          <w:rPr>
            <w:noProof/>
            <w:webHidden/>
          </w:rPr>
          <w:fldChar w:fldCharType="separate"/>
        </w:r>
        <w:r w:rsidR="00C01875">
          <w:rPr>
            <w:noProof/>
            <w:webHidden/>
          </w:rPr>
          <w:t>47</w:t>
        </w:r>
        <w:r w:rsidR="000C156A">
          <w:rPr>
            <w:noProof/>
            <w:webHidden/>
          </w:rPr>
          <w:fldChar w:fldCharType="end"/>
        </w:r>
      </w:hyperlink>
    </w:p>
    <w:p w14:paraId="1F9B64D3" w14:textId="1BB228EA" w:rsidR="000C156A" w:rsidRDefault="00A100EC" w:rsidP="007A5D22">
      <w:pPr>
        <w:pStyle w:val="TOC1"/>
        <w:rPr>
          <w:rFonts w:asciiTheme="minorHAnsi" w:eastAsiaTheme="minorEastAsia" w:hAnsiTheme="minorHAnsi" w:cstheme="minorBidi"/>
          <w:noProof/>
          <w:sz w:val="22"/>
          <w:szCs w:val="22"/>
          <w:lang w:val="en-US" w:eastAsia="zh-CN"/>
        </w:rPr>
      </w:pPr>
      <w:hyperlink w:anchor="_Toc73636276" w:history="1">
        <w:r w:rsidR="000C156A" w:rsidRPr="00F176F8">
          <w:rPr>
            <w:rStyle w:val="Hyperlink"/>
            <w:rFonts w:cs="Microsoft YaHei" w:hint="eastAsia"/>
            <w:noProof/>
            <w:lang w:val="fr-FR"/>
          </w:rPr>
          <w:t>说明</w:t>
        </w:r>
        <w:r w:rsidR="000C156A" w:rsidRPr="00F176F8">
          <w:rPr>
            <w:rStyle w:val="Hyperlink"/>
            <w:rFonts w:cs="Microsoft YaHei"/>
            <w:noProof/>
            <w:lang w:val="fr-FR"/>
          </w:rPr>
          <w:t>13</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rPr>
          <w:t>建设中的资产</w:t>
        </w:r>
        <w:r w:rsidR="000C156A">
          <w:rPr>
            <w:noProof/>
            <w:webHidden/>
          </w:rPr>
          <w:tab/>
        </w:r>
        <w:r w:rsidR="000C156A">
          <w:rPr>
            <w:noProof/>
            <w:webHidden/>
          </w:rPr>
          <w:fldChar w:fldCharType="begin"/>
        </w:r>
        <w:r w:rsidR="000C156A">
          <w:rPr>
            <w:noProof/>
            <w:webHidden/>
          </w:rPr>
          <w:instrText xml:space="preserve"> PAGEREF _Toc73636276 \h </w:instrText>
        </w:r>
        <w:r w:rsidR="000C156A">
          <w:rPr>
            <w:noProof/>
            <w:webHidden/>
          </w:rPr>
        </w:r>
        <w:r w:rsidR="000C156A">
          <w:rPr>
            <w:noProof/>
            <w:webHidden/>
          </w:rPr>
          <w:fldChar w:fldCharType="separate"/>
        </w:r>
        <w:r w:rsidR="00C01875">
          <w:rPr>
            <w:noProof/>
            <w:webHidden/>
          </w:rPr>
          <w:t>48</w:t>
        </w:r>
        <w:r w:rsidR="000C156A">
          <w:rPr>
            <w:noProof/>
            <w:webHidden/>
          </w:rPr>
          <w:fldChar w:fldCharType="end"/>
        </w:r>
      </w:hyperlink>
    </w:p>
    <w:p w14:paraId="2777AC20" w14:textId="344AFC92" w:rsidR="000C156A" w:rsidRDefault="00A100EC" w:rsidP="007A5D22">
      <w:pPr>
        <w:pStyle w:val="TOC1"/>
        <w:rPr>
          <w:rFonts w:asciiTheme="minorHAnsi" w:eastAsiaTheme="minorEastAsia" w:hAnsiTheme="minorHAnsi" w:cstheme="minorBidi"/>
          <w:noProof/>
          <w:sz w:val="22"/>
          <w:szCs w:val="22"/>
          <w:lang w:val="en-US" w:eastAsia="zh-CN"/>
        </w:rPr>
      </w:pPr>
      <w:hyperlink w:anchor="_Toc73636277" w:history="1">
        <w:r w:rsidR="000C156A" w:rsidRPr="00F176F8">
          <w:rPr>
            <w:rStyle w:val="Hyperlink"/>
            <w:rFonts w:cs="Microsoft YaHei" w:hint="eastAsia"/>
            <w:noProof/>
            <w:lang w:val="fr-FR" w:eastAsia="zh-CN"/>
          </w:rPr>
          <w:t>说明</w:t>
        </w:r>
        <w:r w:rsidR="000C156A" w:rsidRPr="00F176F8">
          <w:rPr>
            <w:rStyle w:val="Hyperlink"/>
            <w:rFonts w:cs="Microsoft YaHei"/>
            <w:noProof/>
            <w:lang w:val="en-US" w:eastAsia="zh-CN"/>
          </w:rPr>
          <w:t>14</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eastAsia="zh-CN"/>
          </w:rPr>
          <w:t>供货商和其它债权方</w:t>
        </w:r>
        <w:r w:rsidR="000C156A">
          <w:rPr>
            <w:noProof/>
            <w:webHidden/>
          </w:rPr>
          <w:tab/>
        </w:r>
        <w:r w:rsidR="000C156A">
          <w:rPr>
            <w:noProof/>
            <w:webHidden/>
          </w:rPr>
          <w:fldChar w:fldCharType="begin"/>
        </w:r>
        <w:r w:rsidR="000C156A">
          <w:rPr>
            <w:noProof/>
            <w:webHidden/>
          </w:rPr>
          <w:instrText xml:space="preserve"> PAGEREF _Toc73636277 \h </w:instrText>
        </w:r>
        <w:r w:rsidR="000C156A">
          <w:rPr>
            <w:noProof/>
            <w:webHidden/>
          </w:rPr>
        </w:r>
        <w:r w:rsidR="000C156A">
          <w:rPr>
            <w:noProof/>
            <w:webHidden/>
          </w:rPr>
          <w:fldChar w:fldCharType="separate"/>
        </w:r>
        <w:r w:rsidR="00C01875">
          <w:rPr>
            <w:noProof/>
            <w:webHidden/>
          </w:rPr>
          <w:t>48</w:t>
        </w:r>
        <w:r w:rsidR="000C156A">
          <w:rPr>
            <w:noProof/>
            <w:webHidden/>
          </w:rPr>
          <w:fldChar w:fldCharType="end"/>
        </w:r>
      </w:hyperlink>
    </w:p>
    <w:p w14:paraId="35130751" w14:textId="094C05D7" w:rsidR="000C156A" w:rsidRDefault="00A100EC" w:rsidP="007A5D22">
      <w:pPr>
        <w:pStyle w:val="TOC1"/>
        <w:rPr>
          <w:rFonts w:asciiTheme="minorHAnsi" w:eastAsiaTheme="minorEastAsia" w:hAnsiTheme="minorHAnsi" w:cstheme="minorBidi"/>
          <w:noProof/>
          <w:sz w:val="22"/>
          <w:szCs w:val="22"/>
          <w:lang w:val="en-US" w:eastAsia="zh-CN"/>
        </w:rPr>
      </w:pPr>
      <w:hyperlink w:anchor="_Toc73636278" w:history="1">
        <w:r w:rsidR="000C156A" w:rsidRPr="00F176F8">
          <w:rPr>
            <w:rStyle w:val="Hyperlink"/>
            <w:rFonts w:cs="Microsoft YaHei" w:hint="eastAsia"/>
            <w:noProof/>
            <w:lang w:val="fr-FR"/>
          </w:rPr>
          <w:t>说明</w:t>
        </w:r>
        <w:r w:rsidR="000C156A" w:rsidRPr="00F176F8">
          <w:rPr>
            <w:rStyle w:val="Hyperlink"/>
            <w:rFonts w:cs="Microsoft YaHei"/>
            <w:noProof/>
            <w:lang w:val="fr-FR"/>
          </w:rPr>
          <w:t>15</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rPr>
          <w:t>递延收入</w:t>
        </w:r>
        <w:r w:rsidR="000C156A">
          <w:rPr>
            <w:noProof/>
            <w:webHidden/>
          </w:rPr>
          <w:tab/>
        </w:r>
        <w:r w:rsidR="000C156A">
          <w:rPr>
            <w:noProof/>
            <w:webHidden/>
          </w:rPr>
          <w:fldChar w:fldCharType="begin"/>
        </w:r>
        <w:r w:rsidR="000C156A">
          <w:rPr>
            <w:noProof/>
            <w:webHidden/>
          </w:rPr>
          <w:instrText xml:space="preserve"> PAGEREF _Toc73636278 \h </w:instrText>
        </w:r>
        <w:r w:rsidR="000C156A">
          <w:rPr>
            <w:noProof/>
            <w:webHidden/>
          </w:rPr>
        </w:r>
        <w:r w:rsidR="000C156A">
          <w:rPr>
            <w:noProof/>
            <w:webHidden/>
          </w:rPr>
          <w:fldChar w:fldCharType="separate"/>
        </w:r>
        <w:r w:rsidR="00C01875">
          <w:rPr>
            <w:noProof/>
            <w:webHidden/>
          </w:rPr>
          <w:t>49</w:t>
        </w:r>
        <w:r w:rsidR="000C156A">
          <w:rPr>
            <w:noProof/>
            <w:webHidden/>
          </w:rPr>
          <w:fldChar w:fldCharType="end"/>
        </w:r>
      </w:hyperlink>
    </w:p>
    <w:p w14:paraId="360C710A" w14:textId="4FE4ED33" w:rsidR="000C156A" w:rsidRDefault="00A100EC" w:rsidP="007A5D22">
      <w:pPr>
        <w:pStyle w:val="TOC1"/>
        <w:rPr>
          <w:rFonts w:asciiTheme="minorHAnsi" w:eastAsiaTheme="minorEastAsia" w:hAnsiTheme="minorHAnsi" w:cstheme="minorBidi"/>
          <w:noProof/>
          <w:sz w:val="22"/>
          <w:szCs w:val="22"/>
          <w:lang w:val="en-US" w:eastAsia="zh-CN"/>
        </w:rPr>
      </w:pPr>
      <w:hyperlink w:anchor="_Toc73636279" w:history="1">
        <w:r w:rsidR="000C156A" w:rsidRPr="00F176F8">
          <w:rPr>
            <w:rStyle w:val="Hyperlink"/>
            <w:rFonts w:cs="Microsoft YaHei" w:hint="eastAsia"/>
            <w:noProof/>
            <w:lang w:val="fr-FR" w:eastAsia="zh-CN"/>
          </w:rPr>
          <w:t>说明</w:t>
        </w:r>
        <w:r w:rsidR="000C156A" w:rsidRPr="00F176F8">
          <w:rPr>
            <w:rStyle w:val="Hyperlink"/>
            <w:rFonts w:cs="Microsoft YaHei"/>
            <w:noProof/>
            <w:lang w:eastAsia="zh-CN"/>
          </w:rPr>
          <w:t>16</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eastAsia="zh-CN"/>
          </w:rPr>
          <w:t>借款及其它财务负债</w:t>
        </w:r>
        <w:r w:rsidR="000C156A">
          <w:rPr>
            <w:noProof/>
            <w:webHidden/>
          </w:rPr>
          <w:tab/>
        </w:r>
        <w:r w:rsidR="000C156A">
          <w:rPr>
            <w:noProof/>
            <w:webHidden/>
          </w:rPr>
          <w:fldChar w:fldCharType="begin"/>
        </w:r>
        <w:r w:rsidR="000C156A">
          <w:rPr>
            <w:noProof/>
            <w:webHidden/>
          </w:rPr>
          <w:instrText xml:space="preserve"> PAGEREF _Toc73636279 \h </w:instrText>
        </w:r>
        <w:r w:rsidR="000C156A">
          <w:rPr>
            <w:noProof/>
            <w:webHidden/>
          </w:rPr>
        </w:r>
        <w:r w:rsidR="000C156A">
          <w:rPr>
            <w:noProof/>
            <w:webHidden/>
          </w:rPr>
          <w:fldChar w:fldCharType="separate"/>
        </w:r>
        <w:r w:rsidR="00C01875">
          <w:rPr>
            <w:noProof/>
            <w:webHidden/>
          </w:rPr>
          <w:t>49</w:t>
        </w:r>
        <w:r w:rsidR="000C156A">
          <w:rPr>
            <w:noProof/>
            <w:webHidden/>
          </w:rPr>
          <w:fldChar w:fldCharType="end"/>
        </w:r>
      </w:hyperlink>
    </w:p>
    <w:p w14:paraId="16595278" w14:textId="1058FBE5" w:rsidR="000C156A" w:rsidRDefault="00A100EC" w:rsidP="007A5D22">
      <w:pPr>
        <w:pStyle w:val="TOC1"/>
        <w:rPr>
          <w:rFonts w:asciiTheme="minorHAnsi" w:eastAsiaTheme="minorEastAsia" w:hAnsiTheme="minorHAnsi" w:cstheme="minorBidi"/>
          <w:noProof/>
          <w:sz w:val="22"/>
          <w:szCs w:val="22"/>
          <w:lang w:val="en-US" w:eastAsia="zh-CN"/>
        </w:rPr>
      </w:pPr>
      <w:hyperlink w:anchor="_Toc73636280" w:history="1">
        <w:r w:rsidR="000C156A" w:rsidRPr="00F176F8">
          <w:rPr>
            <w:rStyle w:val="Hyperlink"/>
            <w:rFonts w:cs="Microsoft YaHei" w:hint="eastAsia"/>
            <w:noProof/>
            <w:lang w:val="fr-FR" w:eastAsia="zh-CN"/>
          </w:rPr>
          <w:t>说明</w:t>
        </w:r>
        <w:r w:rsidR="000C156A" w:rsidRPr="00F176F8">
          <w:rPr>
            <w:rStyle w:val="Hyperlink"/>
            <w:rFonts w:cs="Microsoft YaHei"/>
            <w:noProof/>
            <w:lang w:eastAsia="zh-CN"/>
          </w:rPr>
          <w:t>17</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eastAsia="zh-CN"/>
          </w:rPr>
          <w:t>职员福利</w:t>
        </w:r>
        <w:r w:rsidR="000C156A">
          <w:rPr>
            <w:noProof/>
            <w:webHidden/>
          </w:rPr>
          <w:tab/>
        </w:r>
        <w:r w:rsidR="000C156A">
          <w:rPr>
            <w:noProof/>
            <w:webHidden/>
          </w:rPr>
          <w:fldChar w:fldCharType="begin"/>
        </w:r>
        <w:r w:rsidR="000C156A">
          <w:rPr>
            <w:noProof/>
            <w:webHidden/>
          </w:rPr>
          <w:instrText xml:space="preserve"> PAGEREF _Toc73636280 \h </w:instrText>
        </w:r>
        <w:r w:rsidR="000C156A">
          <w:rPr>
            <w:noProof/>
            <w:webHidden/>
          </w:rPr>
        </w:r>
        <w:r w:rsidR="000C156A">
          <w:rPr>
            <w:noProof/>
            <w:webHidden/>
          </w:rPr>
          <w:fldChar w:fldCharType="separate"/>
        </w:r>
        <w:r w:rsidR="00C01875">
          <w:rPr>
            <w:noProof/>
            <w:webHidden/>
          </w:rPr>
          <w:t>50</w:t>
        </w:r>
        <w:r w:rsidR="000C156A">
          <w:rPr>
            <w:noProof/>
            <w:webHidden/>
          </w:rPr>
          <w:fldChar w:fldCharType="end"/>
        </w:r>
      </w:hyperlink>
    </w:p>
    <w:p w14:paraId="0132B675" w14:textId="45C1ED78" w:rsidR="000C156A" w:rsidRDefault="00A100EC" w:rsidP="007A5D22">
      <w:pPr>
        <w:pStyle w:val="TOC1"/>
        <w:rPr>
          <w:rFonts w:asciiTheme="minorHAnsi" w:eastAsiaTheme="minorEastAsia" w:hAnsiTheme="minorHAnsi" w:cstheme="minorBidi"/>
          <w:noProof/>
          <w:sz w:val="22"/>
          <w:szCs w:val="22"/>
          <w:lang w:val="en-US" w:eastAsia="zh-CN"/>
        </w:rPr>
      </w:pPr>
      <w:hyperlink w:anchor="_Toc73636295" w:history="1">
        <w:r w:rsidR="000C156A" w:rsidRPr="00F176F8">
          <w:rPr>
            <w:rStyle w:val="Hyperlink"/>
            <w:rFonts w:cs="Microsoft YaHei" w:hint="eastAsia"/>
            <w:noProof/>
            <w:lang w:val="fr-FR" w:eastAsia="zh-CN"/>
          </w:rPr>
          <w:t>说明</w:t>
        </w:r>
        <w:r w:rsidR="000C156A" w:rsidRPr="00F176F8">
          <w:rPr>
            <w:rStyle w:val="Hyperlink"/>
            <w:noProof/>
            <w:lang w:eastAsia="zh-CN"/>
          </w:rPr>
          <w:t>18</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eastAsia="zh-CN"/>
          </w:rPr>
          <w:t>准备金</w:t>
        </w:r>
        <w:r w:rsidR="000C156A">
          <w:rPr>
            <w:noProof/>
            <w:webHidden/>
          </w:rPr>
          <w:tab/>
        </w:r>
        <w:r w:rsidR="000C156A">
          <w:rPr>
            <w:noProof/>
            <w:webHidden/>
          </w:rPr>
          <w:fldChar w:fldCharType="begin"/>
        </w:r>
        <w:r w:rsidR="000C156A">
          <w:rPr>
            <w:noProof/>
            <w:webHidden/>
          </w:rPr>
          <w:instrText xml:space="preserve"> PAGEREF _Toc73636295 \h </w:instrText>
        </w:r>
        <w:r w:rsidR="000C156A">
          <w:rPr>
            <w:noProof/>
            <w:webHidden/>
          </w:rPr>
        </w:r>
        <w:r w:rsidR="000C156A">
          <w:rPr>
            <w:noProof/>
            <w:webHidden/>
          </w:rPr>
          <w:fldChar w:fldCharType="separate"/>
        </w:r>
        <w:r w:rsidR="00C01875">
          <w:rPr>
            <w:noProof/>
            <w:webHidden/>
          </w:rPr>
          <w:t>56</w:t>
        </w:r>
        <w:r w:rsidR="000C156A">
          <w:rPr>
            <w:noProof/>
            <w:webHidden/>
          </w:rPr>
          <w:fldChar w:fldCharType="end"/>
        </w:r>
      </w:hyperlink>
    </w:p>
    <w:p w14:paraId="118E4BBF" w14:textId="4D2DC9DE" w:rsidR="000C156A" w:rsidRDefault="00A100EC" w:rsidP="007A5D22">
      <w:pPr>
        <w:pStyle w:val="TOC1"/>
        <w:rPr>
          <w:rFonts w:asciiTheme="minorHAnsi" w:eastAsiaTheme="minorEastAsia" w:hAnsiTheme="minorHAnsi" w:cstheme="minorBidi"/>
          <w:noProof/>
          <w:sz w:val="22"/>
          <w:szCs w:val="22"/>
          <w:lang w:val="en-US" w:eastAsia="zh-CN"/>
        </w:rPr>
      </w:pPr>
      <w:hyperlink w:anchor="_Toc73636296" w:history="1">
        <w:r w:rsidR="000C156A" w:rsidRPr="00F176F8">
          <w:rPr>
            <w:rStyle w:val="Hyperlink"/>
            <w:rFonts w:cs="Microsoft YaHei" w:hint="eastAsia"/>
            <w:noProof/>
            <w:lang w:val="fr-FR"/>
          </w:rPr>
          <w:t>说明</w:t>
        </w:r>
        <w:r w:rsidR="000C156A" w:rsidRPr="00F176F8">
          <w:rPr>
            <w:rStyle w:val="Hyperlink"/>
            <w:rFonts w:cs="Microsoft YaHei"/>
            <w:noProof/>
            <w:lang w:val="fr-FR"/>
          </w:rPr>
          <w:t>19</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rPr>
          <w:t>其它债务</w:t>
        </w:r>
        <w:r w:rsidR="000C156A">
          <w:rPr>
            <w:noProof/>
            <w:webHidden/>
          </w:rPr>
          <w:tab/>
        </w:r>
        <w:r w:rsidR="000C156A">
          <w:rPr>
            <w:noProof/>
            <w:webHidden/>
          </w:rPr>
          <w:fldChar w:fldCharType="begin"/>
        </w:r>
        <w:r w:rsidR="000C156A">
          <w:rPr>
            <w:noProof/>
            <w:webHidden/>
          </w:rPr>
          <w:instrText xml:space="preserve"> PAGEREF _Toc73636296 \h </w:instrText>
        </w:r>
        <w:r w:rsidR="000C156A">
          <w:rPr>
            <w:noProof/>
            <w:webHidden/>
          </w:rPr>
        </w:r>
        <w:r w:rsidR="000C156A">
          <w:rPr>
            <w:noProof/>
            <w:webHidden/>
          </w:rPr>
          <w:fldChar w:fldCharType="separate"/>
        </w:r>
        <w:r w:rsidR="00C01875">
          <w:rPr>
            <w:noProof/>
            <w:webHidden/>
          </w:rPr>
          <w:t>56</w:t>
        </w:r>
        <w:r w:rsidR="000C156A">
          <w:rPr>
            <w:noProof/>
            <w:webHidden/>
          </w:rPr>
          <w:fldChar w:fldCharType="end"/>
        </w:r>
      </w:hyperlink>
    </w:p>
    <w:p w14:paraId="1AFC9C6E" w14:textId="2FFCEBF9" w:rsidR="000C156A" w:rsidRDefault="00A100EC" w:rsidP="007A5D22">
      <w:pPr>
        <w:pStyle w:val="TOC1"/>
        <w:rPr>
          <w:rFonts w:asciiTheme="minorHAnsi" w:eastAsiaTheme="minorEastAsia" w:hAnsiTheme="minorHAnsi" w:cstheme="minorBidi"/>
          <w:noProof/>
          <w:sz w:val="22"/>
          <w:szCs w:val="22"/>
          <w:lang w:val="en-US" w:eastAsia="zh-CN"/>
        </w:rPr>
      </w:pPr>
      <w:hyperlink w:anchor="_Toc73636297" w:history="1">
        <w:r w:rsidR="000C156A" w:rsidRPr="00F176F8">
          <w:rPr>
            <w:rStyle w:val="Hyperlink"/>
            <w:rFonts w:cs="Microsoft YaHei" w:hint="eastAsia"/>
            <w:noProof/>
            <w:lang w:val="fr-FR" w:eastAsia="zh-CN"/>
          </w:rPr>
          <w:t>说明</w:t>
        </w:r>
        <w:r w:rsidR="000C156A" w:rsidRPr="00F176F8">
          <w:rPr>
            <w:rStyle w:val="Hyperlink"/>
            <w:rFonts w:cs="Microsoft YaHei"/>
            <w:noProof/>
            <w:lang w:eastAsia="zh-CN"/>
          </w:rPr>
          <w:t>20</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eastAsia="zh-CN"/>
          </w:rPr>
          <w:t>已分配和未分配预算外资金</w:t>
        </w:r>
        <w:r w:rsidR="000C156A">
          <w:rPr>
            <w:noProof/>
            <w:webHidden/>
          </w:rPr>
          <w:tab/>
        </w:r>
        <w:r w:rsidR="000C156A">
          <w:rPr>
            <w:noProof/>
            <w:webHidden/>
          </w:rPr>
          <w:fldChar w:fldCharType="begin"/>
        </w:r>
        <w:r w:rsidR="000C156A">
          <w:rPr>
            <w:noProof/>
            <w:webHidden/>
          </w:rPr>
          <w:instrText xml:space="preserve"> PAGEREF _Toc73636297 \h </w:instrText>
        </w:r>
        <w:r w:rsidR="000C156A">
          <w:rPr>
            <w:noProof/>
            <w:webHidden/>
          </w:rPr>
        </w:r>
        <w:r w:rsidR="000C156A">
          <w:rPr>
            <w:noProof/>
            <w:webHidden/>
          </w:rPr>
          <w:fldChar w:fldCharType="separate"/>
        </w:r>
        <w:r w:rsidR="00C01875">
          <w:rPr>
            <w:noProof/>
            <w:webHidden/>
          </w:rPr>
          <w:t>56</w:t>
        </w:r>
        <w:r w:rsidR="000C156A">
          <w:rPr>
            <w:noProof/>
            <w:webHidden/>
          </w:rPr>
          <w:fldChar w:fldCharType="end"/>
        </w:r>
      </w:hyperlink>
    </w:p>
    <w:p w14:paraId="6809F639" w14:textId="2800588C" w:rsidR="000C156A" w:rsidRDefault="00A100EC" w:rsidP="007A5D22">
      <w:pPr>
        <w:pStyle w:val="TOC1"/>
        <w:rPr>
          <w:rFonts w:asciiTheme="minorHAnsi" w:eastAsiaTheme="minorEastAsia" w:hAnsiTheme="minorHAnsi" w:cstheme="minorBidi"/>
          <w:noProof/>
          <w:sz w:val="22"/>
          <w:szCs w:val="22"/>
          <w:lang w:val="en-US" w:eastAsia="zh-CN"/>
        </w:rPr>
      </w:pPr>
      <w:hyperlink w:anchor="_Toc73636298" w:history="1">
        <w:r w:rsidR="000C156A" w:rsidRPr="00F176F8">
          <w:rPr>
            <w:rStyle w:val="Hyperlink"/>
            <w:rFonts w:cs="Microsoft YaHei" w:hint="eastAsia"/>
            <w:noProof/>
            <w:lang w:val="fr-FR" w:eastAsia="zh-CN"/>
          </w:rPr>
          <w:t>说明</w:t>
        </w:r>
        <w:r w:rsidR="000C156A" w:rsidRPr="00F176F8">
          <w:rPr>
            <w:rStyle w:val="Hyperlink"/>
            <w:rFonts w:cs="Microsoft YaHei"/>
            <w:noProof/>
            <w:lang w:val="en-US" w:eastAsia="zh-CN"/>
          </w:rPr>
          <w:t>21</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eastAsia="zh-CN"/>
          </w:rPr>
          <w:t>分摊会费</w:t>
        </w:r>
        <w:r w:rsidR="000C156A">
          <w:rPr>
            <w:noProof/>
            <w:webHidden/>
          </w:rPr>
          <w:tab/>
        </w:r>
        <w:r w:rsidR="000C156A">
          <w:rPr>
            <w:noProof/>
            <w:webHidden/>
          </w:rPr>
          <w:fldChar w:fldCharType="begin"/>
        </w:r>
        <w:r w:rsidR="000C156A">
          <w:rPr>
            <w:noProof/>
            <w:webHidden/>
          </w:rPr>
          <w:instrText xml:space="preserve"> PAGEREF _Toc73636298 \h </w:instrText>
        </w:r>
        <w:r w:rsidR="000C156A">
          <w:rPr>
            <w:noProof/>
            <w:webHidden/>
          </w:rPr>
        </w:r>
        <w:r w:rsidR="000C156A">
          <w:rPr>
            <w:noProof/>
            <w:webHidden/>
          </w:rPr>
          <w:fldChar w:fldCharType="separate"/>
        </w:r>
        <w:r w:rsidR="00C01875">
          <w:rPr>
            <w:noProof/>
            <w:webHidden/>
          </w:rPr>
          <w:t>57</w:t>
        </w:r>
        <w:r w:rsidR="000C156A">
          <w:rPr>
            <w:noProof/>
            <w:webHidden/>
          </w:rPr>
          <w:fldChar w:fldCharType="end"/>
        </w:r>
      </w:hyperlink>
    </w:p>
    <w:p w14:paraId="6137CB20" w14:textId="481EFAA3" w:rsidR="000C156A" w:rsidRDefault="00A100EC" w:rsidP="007A5D22">
      <w:pPr>
        <w:pStyle w:val="TOC1"/>
        <w:rPr>
          <w:rFonts w:asciiTheme="minorHAnsi" w:eastAsiaTheme="minorEastAsia" w:hAnsiTheme="minorHAnsi" w:cstheme="minorBidi"/>
          <w:noProof/>
          <w:sz w:val="22"/>
          <w:szCs w:val="22"/>
          <w:lang w:val="en-US" w:eastAsia="zh-CN"/>
        </w:rPr>
      </w:pPr>
      <w:hyperlink w:anchor="_Toc73636299" w:history="1">
        <w:r w:rsidR="000C156A" w:rsidRPr="00F176F8">
          <w:rPr>
            <w:rStyle w:val="Hyperlink"/>
            <w:rFonts w:cs="Microsoft YaHei" w:hint="eastAsia"/>
            <w:noProof/>
            <w:lang w:val="fr-FR" w:eastAsia="zh-CN"/>
          </w:rPr>
          <w:t>说明</w:t>
        </w:r>
        <w:r w:rsidR="000C156A" w:rsidRPr="00F176F8">
          <w:rPr>
            <w:rStyle w:val="Hyperlink"/>
            <w:rFonts w:cs="Microsoft YaHei"/>
            <w:noProof/>
            <w:lang w:val="fr-FR" w:eastAsia="zh-CN"/>
          </w:rPr>
          <w:t>22</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eastAsia="zh-CN"/>
          </w:rPr>
          <w:t>收入</w:t>
        </w:r>
        <w:r w:rsidR="000C156A">
          <w:rPr>
            <w:noProof/>
            <w:webHidden/>
          </w:rPr>
          <w:tab/>
        </w:r>
        <w:r w:rsidR="000C156A">
          <w:rPr>
            <w:noProof/>
            <w:webHidden/>
          </w:rPr>
          <w:fldChar w:fldCharType="begin"/>
        </w:r>
        <w:r w:rsidR="000C156A">
          <w:rPr>
            <w:noProof/>
            <w:webHidden/>
          </w:rPr>
          <w:instrText xml:space="preserve"> PAGEREF _Toc73636299 \h </w:instrText>
        </w:r>
        <w:r w:rsidR="000C156A">
          <w:rPr>
            <w:noProof/>
            <w:webHidden/>
          </w:rPr>
        </w:r>
        <w:r w:rsidR="000C156A">
          <w:rPr>
            <w:noProof/>
            <w:webHidden/>
          </w:rPr>
          <w:fldChar w:fldCharType="separate"/>
        </w:r>
        <w:r w:rsidR="00C01875">
          <w:rPr>
            <w:noProof/>
            <w:webHidden/>
          </w:rPr>
          <w:t>58</w:t>
        </w:r>
        <w:r w:rsidR="000C156A">
          <w:rPr>
            <w:noProof/>
            <w:webHidden/>
          </w:rPr>
          <w:fldChar w:fldCharType="end"/>
        </w:r>
      </w:hyperlink>
    </w:p>
    <w:p w14:paraId="347867B0" w14:textId="05AEB843" w:rsidR="000C156A" w:rsidRDefault="00A100EC" w:rsidP="007A5D22">
      <w:pPr>
        <w:pStyle w:val="TOC1"/>
        <w:rPr>
          <w:rFonts w:asciiTheme="minorHAnsi" w:eastAsiaTheme="minorEastAsia" w:hAnsiTheme="minorHAnsi" w:cstheme="minorBidi"/>
          <w:noProof/>
          <w:sz w:val="22"/>
          <w:szCs w:val="22"/>
          <w:lang w:val="en-US" w:eastAsia="zh-CN"/>
        </w:rPr>
      </w:pPr>
      <w:hyperlink w:anchor="_Toc73636300" w:history="1">
        <w:r w:rsidR="000C156A" w:rsidRPr="00F176F8">
          <w:rPr>
            <w:rStyle w:val="Hyperlink"/>
            <w:rFonts w:hint="eastAsia"/>
            <w:noProof/>
            <w:lang w:eastAsia="zh-CN"/>
          </w:rPr>
          <w:t>自愿捐款</w:t>
        </w:r>
        <w:r w:rsidR="000C156A">
          <w:rPr>
            <w:noProof/>
            <w:webHidden/>
          </w:rPr>
          <w:tab/>
        </w:r>
        <w:r w:rsidR="003F6E11">
          <w:rPr>
            <w:noProof/>
            <w:webHidden/>
          </w:rPr>
          <w:tab/>
        </w:r>
        <w:r w:rsidR="000C156A">
          <w:rPr>
            <w:noProof/>
            <w:webHidden/>
          </w:rPr>
          <w:fldChar w:fldCharType="begin"/>
        </w:r>
        <w:r w:rsidR="000C156A">
          <w:rPr>
            <w:noProof/>
            <w:webHidden/>
          </w:rPr>
          <w:instrText xml:space="preserve"> PAGEREF _Toc73636300 \h </w:instrText>
        </w:r>
        <w:r w:rsidR="000C156A">
          <w:rPr>
            <w:noProof/>
            <w:webHidden/>
          </w:rPr>
        </w:r>
        <w:r w:rsidR="000C156A">
          <w:rPr>
            <w:noProof/>
            <w:webHidden/>
          </w:rPr>
          <w:fldChar w:fldCharType="separate"/>
        </w:r>
        <w:r w:rsidR="00C01875">
          <w:rPr>
            <w:noProof/>
            <w:webHidden/>
          </w:rPr>
          <w:t>58</w:t>
        </w:r>
        <w:r w:rsidR="000C156A">
          <w:rPr>
            <w:noProof/>
            <w:webHidden/>
          </w:rPr>
          <w:fldChar w:fldCharType="end"/>
        </w:r>
      </w:hyperlink>
    </w:p>
    <w:p w14:paraId="0A2E9558" w14:textId="0D1ED4A3" w:rsidR="000C156A" w:rsidRDefault="00A100EC" w:rsidP="007A5D22">
      <w:pPr>
        <w:pStyle w:val="TOC1"/>
        <w:rPr>
          <w:rFonts w:asciiTheme="minorHAnsi" w:eastAsiaTheme="minorEastAsia" w:hAnsiTheme="minorHAnsi" w:cstheme="minorBidi"/>
          <w:noProof/>
          <w:sz w:val="22"/>
          <w:szCs w:val="22"/>
          <w:lang w:val="en-US" w:eastAsia="zh-CN"/>
        </w:rPr>
      </w:pPr>
      <w:hyperlink w:anchor="_Toc73636301" w:history="1">
        <w:r w:rsidR="000C156A" w:rsidRPr="00F176F8">
          <w:rPr>
            <w:rStyle w:val="Hyperlink"/>
            <w:rFonts w:hint="eastAsia"/>
            <w:noProof/>
            <w:lang w:eastAsia="zh-CN"/>
          </w:rPr>
          <w:t>其它营运收入</w:t>
        </w:r>
        <w:r w:rsidR="000C156A">
          <w:rPr>
            <w:noProof/>
            <w:webHidden/>
          </w:rPr>
          <w:tab/>
        </w:r>
        <w:r w:rsidR="000C156A">
          <w:rPr>
            <w:noProof/>
            <w:webHidden/>
          </w:rPr>
          <w:fldChar w:fldCharType="begin"/>
        </w:r>
        <w:r w:rsidR="000C156A">
          <w:rPr>
            <w:noProof/>
            <w:webHidden/>
          </w:rPr>
          <w:instrText xml:space="preserve"> PAGEREF _Toc73636301 \h </w:instrText>
        </w:r>
        <w:r w:rsidR="000C156A">
          <w:rPr>
            <w:noProof/>
            <w:webHidden/>
          </w:rPr>
        </w:r>
        <w:r w:rsidR="000C156A">
          <w:rPr>
            <w:noProof/>
            <w:webHidden/>
          </w:rPr>
          <w:fldChar w:fldCharType="separate"/>
        </w:r>
        <w:r w:rsidR="00C01875">
          <w:rPr>
            <w:noProof/>
            <w:webHidden/>
          </w:rPr>
          <w:t>58</w:t>
        </w:r>
        <w:r w:rsidR="000C156A">
          <w:rPr>
            <w:noProof/>
            <w:webHidden/>
          </w:rPr>
          <w:fldChar w:fldCharType="end"/>
        </w:r>
      </w:hyperlink>
    </w:p>
    <w:p w14:paraId="3824129B" w14:textId="37E2978A" w:rsidR="000C156A" w:rsidRDefault="00A100EC" w:rsidP="007A5D22">
      <w:pPr>
        <w:pStyle w:val="TOC1"/>
        <w:rPr>
          <w:rFonts w:asciiTheme="minorHAnsi" w:eastAsiaTheme="minorEastAsia" w:hAnsiTheme="minorHAnsi" w:cstheme="minorBidi"/>
          <w:noProof/>
          <w:sz w:val="22"/>
          <w:szCs w:val="22"/>
          <w:lang w:val="en-US" w:eastAsia="zh-CN"/>
        </w:rPr>
      </w:pPr>
      <w:hyperlink w:anchor="_Toc73636302" w:history="1">
        <w:r w:rsidR="000C156A" w:rsidRPr="00F176F8">
          <w:rPr>
            <w:rStyle w:val="Hyperlink"/>
            <w:rFonts w:hint="eastAsia"/>
            <w:noProof/>
            <w:lang w:eastAsia="zh-CN"/>
          </w:rPr>
          <w:t>理财收入</w:t>
        </w:r>
        <w:r w:rsidR="000C156A">
          <w:rPr>
            <w:noProof/>
            <w:webHidden/>
          </w:rPr>
          <w:tab/>
        </w:r>
        <w:r w:rsidR="003F6E11">
          <w:rPr>
            <w:noProof/>
            <w:webHidden/>
          </w:rPr>
          <w:tab/>
        </w:r>
        <w:r w:rsidR="000C156A">
          <w:rPr>
            <w:noProof/>
            <w:webHidden/>
          </w:rPr>
          <w:fldChar w:fldCharType="begin"/>
        </w:r>
        <w:r w:rsidR="000C156A">
          <w:rPr>
            <w:noProof/>
            <w:webHidden/>
          </w:rPr>
          <w:instrText xml:space="preserve"> PAGEREF _Toc73636302 \h </w:instrText>
        </w:r>
        <w:r w:rsidR="000C156A">
          <w:rPr>
            <w:noProof/>
            <w:webHidden/>
          </w:rPr>
        </w:r>
        <w:r w:rsidR="000C156A">
          <w:rPr>
            <w:noProof/>
            <w:webHidden/>
          </w:rPr>
          <w:fldChar w:fldCharType="separate"/>
        </w:r>
        <w:r w:rsidR="00C01875">
          <w:rPr>
            <w:noProof/>
            <w:webHidden/>
          </w:rPr>
          <w:t>58</w:t>
        </w:r>
        <w:r w:rsidR="000C156A">
          <w:rPr>
            <w:noProof/>
            <w:webHidden/>
          </w:rPr>
          <w:fldChar w:fldCharType="end"/>
        </w:r>
      </w:hyperlink>
    </w:p>
    <w:p w14:paraId="5AEAA2A4" w14:textId="43E4BB18" w:rsidR="000C156A" w:rsidRDefault="00A100EC" w:rsidP="007A5D22">
      <w:pPr>
        <w:pStyle w:val="TOC1"/>
        <w:rPr>
          <w:rFonts w:asciiTheme="minorHAnsi" w:eastAsiaTheme="minorEastAsia" w:hAnsiTheme="minorHAnsi" w:cstheme="minorBidi"/>
          <w:noProof/>
          <w:sz w:val="22"/>
          <w:szCs w:val="22"/>
          <w:lang w:val="en-US" w:eastAsia="zh-CN"/>
        </w:rPr>
      </w:pPr>
      <w:hyperlink w:anchor="_Toc73636303" w:history="1">
        <w:r w:rsidR="000C156A" w:rsidRPr="00F176F8">
          <w:rPr>
            <w:rStyle w:val="Hyperlink"/>
            <w:rFonts w:cs="Microsoft YaHei" w:hint="eastAsia"/>
            <w:noProof/>
            <w:lang w:val="fr-FR" w:eastAsia="zh-CN"/>
          </w:rPr>
          <w:t>说明</w:t>
        </w:r>
        <w:r w:rsidR="000C156A" w:rsidRPr="00F176F8">
          <w:rPr>
            <w:rStyle w:val="Hyperlink"/>
            <w:rFonts w:cs="Microsoft YaHei"/>
            <w:noProof/>
            <w:lang w:eastAsia="zh-CN"/>
          </w:rPr>
          <w:t>23</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eastAsia="zh-CN"/>
          </w:rPr>
          <w:t>费用</w:t>
        </w:r>
        <w:r w:rsidR="000C156A">
          <w:rPr>
            <w:noProof/>
            <w:webHidden/>
          </w:rPr>
          <w:tab/>
        </w:r>
        <w:r w:rsidR="000C156A">
          <w:rPr>
            <w:noProof/>
            <w:webHidden/>
          </w:rPr>
          <w:fldChar w:fldCharType="begin"/>
        </w:r>
        <w:r w:rsidR="000C156A">
          <w:rPr>
            <w:noProof/>
            <w:webHidden/>
          </w:rPr>
          <w:instrText xml:space="preserve"> PAGEREF _Toc73636303 \h </w:instrText>
        </w:r>
        <w:r w:rsidR="000C156A">
          <w:rPr>
            <w:noProof/>
            <w:webHidden/>
          </w:rPr>
        </w:r>
        <w:r w:rsidR="000C156A">
          <w:rPr>
            <w:noProof/>
            <w:webHidden/>
          </w:rPr>
          <w:fldChar w:fldCharType="separate"/>
        </w:r>
        <w:r w:rsidR="00C01875">
          <w:rPr>
            <w:noProof/>
            <w:webHidden/>
          </w:rPr>
          <w:t>59</w:t>
        </w:r>
        <w:r w:rsidR="000C156A">
          <w:rPr>
            <w:noProof/>
            <w:webHidden/>
          </w:rPr>
          <w:fldChar w:fldCharType="end"/>
        </w:r>
      </w:hyperlink>
    </w:p>
    <w:p w14:paraId="766E61B7" w14:textId="136B3417" w:rsidR="000C156A" w:rsidRDefault="00A100EC" w:rsidP="007A5D22">
      <w:pPr>
        <w:pStyle w:val="TOC1"/>
        <w:rPr>
          <w:rFonts w:asciiTheme="minorHAnsi" w:eastAsiaTheme="minorEastAsia" w:hAnsiTheme="minorHAnsi" w:cstheme="minorBidi"/>
          <w:noProof/>
          <w:sz w:val="22"/>
          <w:szCs w:val="22"/>
          <w:lang w:val="en-US" w:eastAsia="zh-CN"/>
        </w:rPr>
      </w:pPr>
      <w:hyperlink w:anchor="_Toc73636304" w:history="1">
        <w:r w:rsidR="000C156A" w:rsidRPr="00F176F8">
          <w:rPr>
            <w:rStyle w:val="Hyperlink"/>
            <w:rFonts w:hint="eastAsia"/>
            <w:noProof/>
            <w:lang w:eastAsia="zh-CN"/>
          </w:rPr>
          <w:t>人员费用</w:t>
        </w:r>
        <w:r w:rsidR="000C156A">
          <w:rPr>
            <w:noProof/>
            <w:webHidden/>
          </w:rPr>
          <w:tab/>
        </w:r>
        <w:r w:rsidR="003F6E11">
          <w:rPr>
            <w:noProof/>
            <w:webHidden/>
          </w:rPr>
          <w:tab/>
        </w:r>
        <w:r w:rsidR="000C156A">
          <w:rPr>
            <w:noProof/>
            <w:webHidden/>
          </w:rPr>
          <w:fldChar w:fldCharType="begin"/>
        </w:r>
        <w:r w:rsidR="000C156A">
          <w:rPr>
            <w:noProof/>
            <w:webHidden/>
          </w:rPr>
          <w:instrText xml:space="preserve"> PAGEREF _Toc73636304 \h </w:instrText>
        </w:r>
        <w:r w:rsidR="000C156A">
          <w:rPr>
            <w:noProof/>
            <w:webHidden/>
          </w:rPr>
        </w:r>
        <w:r w:rsidR="000C156A">
          <w:rPr>
            <w:noProof/>
            <w:webHidden/>
          </w:rPr>
          <w:fldChar w:fldCharType="separate"/>
        </w:r>
        <w:r w:rsidR="00C01875">
          <w:rPr>
            <w:noProof/>
            <w:webHidden/>
          </w:rPr>
          <w:t>59</w:t>
        </w:r>
        <w:r w:rsidR="000C156A">
          <w:rPr>
            <w:noProof/>
            <w:webHidden/>
          </w:rPr>
          <w:fldChar w:fldCharType="end"/>
        </w:r>
      </w:hyperlink>
    </w:p>
    <w:p w14:paraId="03A79827" w14:textId="058288C8" w:rsidR="000C156A" w:rsidRDefault="00A100EC" w:rsidP="007A5D22">
      <w:pPr>
        <w:pStyle w:val="TOC1"/>
        <w:rPr>
          <w:rFonts w:asciiTheme="minorHAnsi" w:eastAsiaTheme="minorEastAsia" w:hAnsiTheme="minorHAnsi" w:cstheme="minorBidi"/>
          <w:noProof/>
          <w:sz w:val="22"/>
          <w:szCs w:val="22"/>
          <w:lang w:val="en-US" w:eastAsia="zh-CN"/>
        </w:rPr>
      </w:pPr>
      <w:hyperlink w:anchor="_Toc73636305" w:history="1">
        <w:r w:rsidR="000C156A" w:rsidRPr="00F176F8">
          <w:rPr>
            <w:rStyle w:val="Hyperlink"/>
            <w:rFonts w:hint="eastAsia"/>
            <w:noProof/>
            <w:lang w:eastAsia="zh-CN"/>
          </w:rPr>
          <w:t>差旅费用</w:t>
        </w:r>
        <w:r w:rsidR="003F6E11">
          <w:rPr>
            <w:rStyle w:val="Hyperlink"/>
            <w:noProof/>
            <w:lang w:eastAsia="zh-CN"/>
          </w:rPr>
          <w:tab/>
        </w:r>
        <w:r w:rsidR="000C156A">
          <w:rPr>
            <w:noProof/>
            <w:webHidden/>
          </w:rPr>
          <w:tab/>
        </w:r>
        <w:r w:rsidR="000C156A">
          <w:rPr>
            <w:noProof/>
            <w:webHidden/>
          </w:rPr>
          <w:fldChar w:fldCharType="begin"/>
        </w:r>
        <w:r w:rsidR="000C156A">
          <w:rPr>
            <w:noProof/>
            <w:webHidden/>
          </w:rPr>
          <w:instrText xml:space="preserve"> PAGEREF _Toc73636305 \h </w:instrText>
        </w:r>
        <w:r w:rsidR="000C156A">
          <w:rPr>
            <w:noProof/>
            <w:webHidden/>
          </w:rPr>
        </w:r>
        <w:r w:rsidR="000C156A">
          <w:rPr>
            <w:noProof/>
            <w:webHidden/>
          </w:rPr>
          <w:fldChar w:fldCharType="separate"/>
        </w:r>
        <w:r w:rsidR="00C01875">
          <w:rPr>
            <w:noProof/>
            <w:webHidden/>
          </w:rPr>
          <w:t>59</w:t>
        </w:r>
        <w:r w:rsidR="000C156A">
          <w:rPr>
            <w:noProof/>
            <w:webHidden/>
          </w:rPr>
          <w:fldChar w:fldCharType="end"/>
        </w:r>
      </w:hyperlink>
    </w:p>
    <w:p w14:paraId="4F84CE95" w14:textId="768C8A37" w:rsidR="000C156A" w:rsidRDefault="00A100EC" w:rsidP="007A5D22">
      <w:pPr>
        <w:pStyle w:val="TOC1"/>
        <w:rPr>
          <w:rFonts w:asciiTheme="minorHAnsi" w:eastAsiaTheme="minorEastAsia" w:hAnsiTheme="minorHAnsi" w:cstheme="minorBidi"/>
          <w:noProof/>
          <w:sz w:val="22"/>
          <w:szCs w:val="22"/>
          <w:lang w:val="en-US" w:eastAsia="zh-CN"/>
        </w:rPr>
      </w:pPr>
      <w:hyperlink w:anchor="_Toc73636306" w:history="1">
        <w:r w:rsidR="000C156A" w:rsidRPr="00F176F8">
          <w:rPr>
            <w:rStyle w:val="Hyperlink"/>
            <w:rFonts w:hint="eastAsia"/>
            <w:noProof/>
            <w:lang w:eastAsia="zh-CN"/>
          </w:rPr>
          <w:t>合同服务</w:t>
        </w:r>
        <w:r w:rsidR="003F6E11">
          <w:rPr>
            <w:rStyle w:val="Hyperlink"/>
            <w:noProof/>
            <w:lang w:eastAsia="zh-CN"/>
          </w:rPr>
          <w:tab/>
        </w:r>
        <w:r w:rsidR="000C156A">
          <w:rPr>
            <w:noProof/>
            <w:webHidden/>
          </w:rPr>
          <w:tab/>
        </w:r>
        <w:r w:rsidR="000C156A">
          <w:rPr>
            <w:noProof/>
            <w:webHidden/>
          </w:rPr>
          <w:fldChar w:fldCharType="begin"/>
        </w:r>
        <w:r w:rsidR="000C156A">
          <w:rPr>
            <w:noProof/>
            <w:webHidden/>
          </w:rPr>
          <w:instrText xml:space="preserve"> PAGEREF _Toc73636306 \h </w:instrText>
        </w:r>
        <w:r w:rsidR="000C156A">
          <w:rPr>
            <w:noProof/>
            <w:webHidden/>
          </w:rPr>
        </w:r>
        <w:r w:rsidR="000C156A">
          <w:rPr>
            <w:noProof/>
            <w:webHidden/>
          </w:rPr>
          <w:fldChar w:fldCharType="separate"/>
        </w:r>
        <w:r w:rsidR="00C01875">
          <w:rPr>
            <w:noProof/>
            <w:webHidden/>
          </w:rPr>
          <w:t>59</w:t>
        </w:r>
        <w:r w:rsidR="000C156A">
          <w:rPr>
            <w:noProof/>
            <w:webHidden/>
          </w:rPr>
          <w:fldChar w:fldCharType="end"/>
        </w:r>
      </w:hyperlink>
    </w:p>
    <w:p w14:paraId="34F60FBC" w14:textId="61CFE422" w:rsidR="000C156A" w:rsidRDefault="00A100EC" w:rsidP="007A5D22">
      <w:pPr>
        <w:pStyle w:val="TOC1"/>
        <w:rPr>
          <w:rFonts w:asciiTheme="minorHAnsi" w:eastAsiaTheme="minorEastAsia" w:hAnsiTheme="minorHAnsi" w:cstheme="minorBidi"/>
          <w:noProof/>
          <w:sz w:val="22"/>
          <w:szCs w:val="22"/>
          <w:lang w:val="en-US" w:eastAsia="zh-CN"/>
        </w:rPr>
      </w:pPr>
      <w:hyperlink w:anchor="_Toc73636307" w:history="1">
        <w:r w:rsidR="000C156A" w:rsidRPr="00F176F8">
          <w:rPr>
            <w:rStyle w:val="Hyperlink"/>
            <w:rFonts w:hint="eastAsia"/>
            <w:noProof/>
            <w:lang w:eastAsia="zh-CN"/>
          </w:rPr>
          <w:t>房屋设备租金与维修费</w:t>
        </w:r>
        <w:r w:rsidR="000C156A">
          <w:rPr>
            <w:noProof/>
            <w:webHidden/>
          </w:rPr>
          <w:tab/>
        </w:r>
        <w:r w:rsidR="000C156A">
          <w:rPr>
            <w:noProof/>
            <w:webHidden/>
          </w:rPr>
          <w:fldChar w:fldCharType="begin"/>
        </w:r>
        <w:r w:rsidR="000C156A">
          <w:rPr>
            <w:noProof/>
            <w:webHidden/>
          </w:rPr>
          <w:instrText xml:space="preserve"> PAGEREF _Toc73636307 \h </w:instrText>
        </w:r>
        <w:r w:rsidR="000C156A">
          <w:rPr>
            <w:noProof/>
            <w:webHidden/>
          </w:rPr>
        </w:r>
        <w:r w:rsidR="000C156A">
          <w:rPr>
            <w:noProof/>
            <w:webHidden/>
          </w:rPr>
          <w:fldChar w:fldCharType="separate"/>
        </w:r>
        <w:r w:rsidR="00C01875">
          <w:rPr>
            <w:noProof/>
            <w:webHidden/>
          </w:rPr>
          <w:t>59</w:t>
        </w:r>
        <w:r w:rsidR="000C156A">
          <w:rPr>
            <w:noProof/>
            <w:webHidden/>
          </w:rPr>
          <w:fldChar w:fldCharType="end"/>
        </w:r>
      </w:hyperlink>
    </w:p>
    <w:p w14:paraId="5EC65E76" w14:textId="02D300C6" w:rsidR="000C156A" w:rsidRDefault="00A100EC" w:rsidP="007A5D22">
      <w:pPr>
        <w:pStyle w:val="TOC1"/>
        <w:rPr>
          <w:rFonts w:asciiTheme="minorHAnsi" w:eastAsiaTheme="minorEastAsia" w:hAnsiTheme="minorHAnsi" w:cstheme="minorBidi"/>
          <w:noProof/>
          <w:sz w:val="22"/>
          <w:szCs w:val="22"/>
          <w:lang w:val="en-US" w:eastAsia="zh-CN"/>
        </w:rPr>
      </w:pPr>
      <w:hyperlink w:anchor="_Toc73636308" w:history="1">
        <w:r w:rsidR="000C156A" w:rsidRPr="00F176F8">
          <w:rPr>
            <w:rStyle w:val="Hyperlink"/>
            <w:rFonts w:hint="eastAsia"/>
            <w:noProof/>
            <w:lang w:eastAsia="zh-CN"/>
          </w:rPr>
          <w:t>设备和办公用品，运输、电信和服务费用</w:t>
        </w:r>
        <w:r w:rsidR="000C156A">
          <w:rPr>
            <w:noProof/>
            <w:webHidden/>
          </w:rPr>
          <w:tab/>
        </w:r>
        <w:r w:rsidR="000C156A">
          <w:rPr>
            <w:noProof/>
            <w:webHidden/>
          </w:rPr>
          <w:fldChar w:fldCharType="begin"/>
        </w:r>
        <w:r w:rsidR="000C156A">
          <w:rPr>
            <w:noProof/>
            <w:webHidden/>
          </w:rPr>
          <w:instrText xml:space="preserve"> PAGEREF _Toc73636308 \h </w:instrText>
        </w:r>
        <w:r w:rsidR="000C156A">
          <w:rPr>
            <w:noProof/>
            <w:webHidden/>
          </w:rPr>
        </w:r>
        <w:r w:rsidR="000C156A">
          <w:rPr>
            <w:noProof/>
            <w:webHidden/>
          </w:rPr>
          <w:fldChar w:fldCharType="separate"/>
        </w:r>
        <w:r w:rsidR="00C01875">
          <w:rPr>
            <w:noProof/>
            <w:webHidden/>
          </w:rPr>
          <w:t>60</w:t>
        </w:r>
        <w:r w:rsidR="000C156A">
          <w:rPr>
            <w:noProof/>
            <w:webHidden/>
          </w:rPr>
          <w:fldChar w:fldCharType="end"/>
        </w:r>
      </w:hyperlink>
    </w:p>
    <w:p w14:paraId="7B22B36C" w14:textId="3FB0C833" w:rsidR="000C156A" w:rsidRDefault="00A100EC" w:rsidP="007A5D22">
      <w:pPr>
        <w:pStyle w:val="TOC1"/>
        <w:rPr>
          <w:rFonts w:asciiTheme="minorHAnsi" w:eastAsiaTheme="minorEastAsia" w:hAnsiTheme="minorHAnsi" w:cstheme="minorBidi"/>
          <w:noProof/>
          <w:sz w:val="22"/>
          <w:szCs w:val="22"/>
          <w:lang w:val="en-US" w:eastAsia="zh-CN"/>
        </w:rPr>
      </w:pPr>
      <w:hyperlink w:anchor="_Toc73636309" w:history="1">
        <w:r w:rsidR="000C156A" w:rsidRPr="00F176F8">
          <w:rPr>
            <w:rStyle w:val="Hyperlink"/>
            <w:rFonts w:hint="eastAsia"/>
            <w:noProof/>
            <w:lang w:eastAsia="zh-CN"/>
          </w:rPr>
          <w:t>其它费用</w:t>
        </w:r>
        <w:r w:rsidR="000C156A">
          <w:rPr>
            <w:noProof/>
            <w:webHidden/>
          </w:rPr>
          <w:tab/>
        </w:r>
        <w:r w:rsidR="003F6E11">
          <w:rPr>
            <w:noProof/>
            <w:webHidden/>
          </w:rPr>
          <w:tab/>
        </w:r>
        <w:r w:rsidR="000C156A">
          <w:rPr>
            <w:noProof/>
            <w:webHidden/>
          </w:rPr>
          <w:fldChar w:fldCharType="begin"/>
        </w:r>
        <w:r w:rsidR="000C156A">
          <w:rPr>
            <w:noProof/>
            <w:webHidden/>
          </w:rPr>
          <w:instrText xml:space="preserve"> PAGEREF _Toc73636309 \h </w:instrText>
        </w:r>
        <w:r w:rsidR="000C156A">
          <w:rPr>
            <w:noProof/>
            <w:webHidden/>
          </w:rPr>
        </w:r>
        <w:r w:rsidR="000C156A">
          <w:rPr>
            <w:noProof/>
            <w:webHidden/>
          </w:rPr>
          <w:fldChar w:fldCharType="separate"/>
        </w:r>
        <w:r w:rsidR="00C01875">
          <w:rPr>
            <w:noProof/>
            <w:webHidden/>
          </w:rPr>
          <w:t>60</w:t>
        </w:r>
        <w:r w:rsidR="000C156A">
          <w:rPr>
            <w:noProof/>
            <w:webHidden/>
          </w:rPr>
          <w:fldChar w:fldCharType="end"/>
        </w:r>
      </w:hyperlink>
    </w:p>
    <w:p w14:paraId="7D4A3F46" w14:textId="3B6AA22A" w:rsidR="000C156A" w:rsidRDefault="00A100EC" w:rsidP="007A5D22">
      <w:pPr>
        <w:pStyle w:val="TOC1"/>
        <w:rPr>
          <w:rFonts w:asciiTheme="minorHAnsi" w:eastAsiaTheme="minorEastAsia" w:hAnsiTheme="minorHAnsi" w:cstheme="minorBidi"/>
          <w:noProof/>
          <w:sz w:val="22"/>
          <w:szCs w:val="22"/>
          <w:lang w:val="en-US" w:eastAsia="zh-CN"/>
        </w:rPr>
      </w:pPr>
      <w:hyperlink w:anchor="_Toc73636310" w:history="1">
        <w:r w:rsidR="000C156A" w:rsidRPr="00F176F8">
          <w:rPr>
            <w:rStyle w:val="Hyperlink"/>
            <w:rFonts w:hint="eastAsia"/>
            <w:noProof/>
            <w:lang w:eastAsia="zh-CN"/>
          </w:rPr>
          <w:t>理财费用</w:t>
        </w:r>
        <w:r w:rsidR="000C156A">
          <w:rPr>
            <w:noProof/>
            <w:webHidden/>
          </w:rPr>
          <w:tab/>
        </w:r>
        <w:r w:rsidR="003F6E11">
          <w:rPr>
            <w:noProof/>
            <w:webHidden/>
          </w:rPr>
          <w:tab/>
        </w:r>
        <w:r w:rsidR="000C156A">
          <w:rPr>
            <w:noProof/>
            <w:webHidden/>
          </w:rPr>
          <w:fldChar w:fldCharType="begin"/>
        </w:r>
        <w:r w:rsidR="000C156A">
          <w:rPr>
            <w:noProof/>
            <w:webHidden/>
          </w:rPr>
          <w:instrText xml:space="preserve"> PAGEREF _Toc73636310 \h </w:instrText>
        </w:r>
        <w:r w:rsidR="000C156A">
          <w:rPr>
            <w:noProof/>
            <w:webHidden/>
          </w:rPr>
        </w:r>
        <w:r w:rsidR="000C156A">
          <w:rPr>
            <w:noProof/>
            <w:webHidden/>
          </w:rPr>
          <w:fldChar w:fldCharType="separate"/>
        </w:r>
        <w:r w:rsidR="00C01875">
          <w:rPr>
            <w:noProof/>
            <w:webHidden/>
          </w:rPr>
          <w:t>60</w:t>
        </w:r>
        <w:r w:rsidR="000C156A">
          <w:rPr>
            <w:noProof/>
            <w:webHidden/>
          </w:rPr>
          <w:fldChar w:fldCharType="end"/>
        </w:r>
      </w:hyperlink>
    </w:p>
    <w:p w14:paraId="246A692D" w14:textId="04E7CA00" w:rsidR="000C156A" w:rsidRDefault="00A100EC" w:rsidP="007A5D22">
      <w:pPr>
        <w:pStyle w:val="TOC1"/>
        <w:rPr>
          <w:rFonts w:asciiTheme="minorHAnsi" w:eastAsiaTheme="minorEastAsia" w:hAnsiTheme="minorHAnsi" w:cstheme="minorBidi"/>
          <w:noProof/>
          <w:sz w:val="22"/>
          <w:szCs w:val="22"/>
          <w:lang w:val="en-US" w:eastAsia="zh-CN"/>
        </w:rPr>
      </w:pPr>
      <w:hyperlink w:anchor="_Toc73636311" w:history="1">
        <w:r w:rsidR="000C156A" w:rsidRPr="00F176F8">
          <w:rPr>
            <w:rStyle w:val="Hyperlink"/>
            <w:rFonts w:cs="Microsoft YaHei" w:hint="eastAsia"/>
            <w:noProof/>
            <w:lang w:val="fr-FR" w:eastAsia="zh-CN"/>
          </w:rPr>
          <w:t>说明</w:t>
        </w:r>
        <w:r w:rsidR="000C156A" w:rsidRPr="00F176F8">
          <w:rPr>
            <w:rStyle w:val="Hyperlink"/>
            <w:rFonts w:cs="Microsoft YaHei"/>
            <w:noProof/>
            <w:lang w:val="fr-FR" w:eastAsia="zh-CN"/>
          </w:rPr>
          <w:t>24</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eastAsia="zh-CN"/>
          </w:rPr>
          <w:t>分部门报告</w:t>
        </w:r>
        <w:r w:rsidR="000C156A" w:rsidRPr="00F176F8">
          <w:rPr>
            <w:rStyle w:val="Hyperlink"/>
            <w:rFonts w:cs="Microsoft YaHei"/>
            <w:noProof/>
            <w:lang w:val="fr-FR" w:eastAsia="zh-CN"/>
          </w:rPr>
          <w:t xml:space="preserve"> – 2020</w:t>
        </w:r>
        <w:r w:rsidR="000C156A" w:rsidRPr="00F176F8">
          <w:rPr>
            <w:rStyle w:val="Hyperlink"/>
            <w:rFonts w:cs="Microsoft YaHei" w:hint="eastAsia"/>
            <w:noProof/>
            <w:lang w:val="fr-FR" w:eastAsia="zh-CN"/>
          </w:rPr>
          <w:t>年财务业绩报表</w:t>
        </w:r>
        <w:r w:rsidR="000C156A">
          <w:rPr>
            <w:noProof/>
            <w:webHidden/>
          </w:rPr>
          <w:tab/>
        </w:r>
        <w:r w:rsidR="000C156A">
          <w:rPr>
            <w:noProof/>
            <w:webHidden/>
          </w:rPr>
          <w:fldChar w:fldCharType="begin"/>
        </w:r>
        <w:r w:rsidR="000C156A">
          <w:rPr>
            <w:noProof/>
            <w:webHidden/>
          </w:rPr>
          <w:instrText xml:space="preserve"> PAGEREF _Toc73636311 \h </w:instrText>
        </w:r>
        <w:r w:rsidR="000C156A">
          <w:rPr>
            <w:noProof/>
            <w:webHidden/>
          </w:rPr>
        </w:r>
        <w:r w:rsidR="000C156A">
          <w:rPr>
            <w:noProof/>
            <w:webHidden/>
          </w:rPr>
          <w:fldChar w:fldCharType="separate"/>
        </w:r>
        <w:r w:rsidR="00C01875">
          <w:rPr>
            <w:noProof/>
            <w:webHidden/>
          </w:rPr>
          <w:t>61</w:t>
        </w:r>
        <w:r w:rsidR="000C156A">
          <w:rPr>
            <w:noProof/>
            <w:webHidden/>
          </w:rPr>
          <w:fldChar w:fldCharType="end"/>
        </w:r>
      </w:hyperlink>
    </w:p>
    <w:p w14:paraId="2151A9DB" w14:textId="0419DC37" w:rsidR="000C156A" w:rsidRDefault="003F6E11" w:rsidP="007A5D22">
      <w:pPr>
        <w:pStyle w:val="TOC1"/>
        <w:rPr>
          <w:rFonts w:asciiTheme="minorHAnsi" w:eastAsiaTheme="minorEastAsia" w:hAnsiTheme="minorHAnsi" w:cstheme="minorBidi"/>
          <w:noProof/>
          <w:sz w:val="22"/>
          <w:szCs w:val="22"/>
          <w:lang w:val="en-US" w:eastAsia="zh-CN"/>
        </w:rPr>
      </w:pPr>
      <w:r w:rsidRPr="003F6E11">
        <w:rPr>
          <w:rStyle w:val="Hyperlink"/>
          <w:rFonts w:eastAsia="Times New Roman"/>
          <w:noProof/>
          <w:u w:val="none"/>
          <w:lang w:val="fr-FR"/>
        </w:rPr>
        <w:tab/>
      </w:r>
      <w:hyperlink w:anchor="_Toc73636312" w:history="1">
        <w:r w:rsidR="000C156A" w:rsidRPr="00F176F8">
          <w:rPr>
            <w:rStyle w:val="Hyperlink"/>
            <w:rFonts w:cs="Microsoft YaHei" w:hint="eastAsia"/>
            <w:noProof/>
            <w:lang w:val="fr-FR" w:eastAsia="zh-CN"/>
          </w:rPr>
          <w:t>分部门报告</w:t>
        </w:r>
        <w:r w:rsidR="000C156A" w:rsidRPr="00F176F8">
          <w:rPr>
            <w:rStyle w:val="Hyperlink"/>
            <w:rFonts w:cs="Microsoft YaHei"/>
            <w:noProof/>
            <w:lang w:val="fr-FR" w:eastAsia="zh-CN"/>
          </w:rPr>
          <w:t xml:space="preserve"> – </w:t>
        </w:r>
        <w:r w:rsidR="00B67A45">
          <w:rPr>
            <w:rStyle w:val="Hyperlink"/>
            <w:rFonts w:cs="Microsoft YaHei" w:hint="eastAsia"/>
            <w:noProof/>
            <w:lang w:val="fr-FR" w:eastAsia="zh-CN"/>
          </w:rPr>
          <w:t>2019</w:t>
        </w:r>
        <w:r w:rsidR="00B67A45">
          <w:rPr>
            <w:rStyle w:val="Hyperlink"/>
            <w:rFonts w:cs="Microsoft YaHei" w:hint="eastAsia"/>
            <w:noProof/>
            <w:lang w:val="fr-FR" w:eastAsia="zh-CN"/>
          </w:rPr>
          <w:t>年</w:t>
        </w:r>
        <w:r w:rsidR="000C156A" w:rsidRPr="00F176F8">
          <w:rPr>
            <w:rStyle w:val="Hyperlink"/>
            <w:rFonts w:cs="Microsoft YaHei" w:hint="eastAsia"/>
            <w:noProof/>
            <w:lang w:val="fr-FR" w:eastAsia="zh-CN"/>
          </w:rPr>
          <w:t>财务业绩报表</w:t>
        </w:r>
        <w:r w:rsidR="000C156A">
          <w:rPr>
            <w:noProof/>
            <w:webHidden/>
          </w:rPr>
          <w:tab/>
        </w:r>
        <w:r w:rsidR="000C156A">
          <w:rPr>
            <w:noProof/>
            <w:webHidden/>
          </w:rPr>
          <w:fldChar w:fldCharType="begin"/>
        </w:r>
        <w:r w:rsidR="000C156A">
          <w:rPr>
            <w:noProof/>
            <w:webHidden/>
          </w:rPr>
          <w:instrText xml:space="preserve"> PAGEREF _Toc73636312 \h </w:instrText>
        </w:r>
        <w:r w:rsidR="000C156A">
          <w:rPr>
            <w:noProof/>
            <w:webHidden/>
          </w:rPr>
        </w:r>
        <w:r w:rsidR="000C156A">
          <w:rPr>
            <w:noProof/>
            <w:webHidden/>
          </w:rPr>
          <w:fldChar w:fldCharType="separate"/>
        </w:r>
        <w:r w:rsidR="00C01875">
          <w:rPr>
            <w:noProof/>
            <w:webHidden/>
          </w:rPr>
          <w:t>62</w:t>
        </w:r>
        <w:r w:rsidR="000C156A">
          <w:rPr>
            <w:noProof/>
            <w:webHidden/>
          </w:rPr>
          <w:fldChar w:fldCharType="end"/>
        </w:r>
      </w:hyperlink>
    </w:p>
    <w:p w14:paraId="54EE0D79" w14:textId="03A6873F" w:rsidR="000C156A" w:rsidRDefault="00A100EC" w:rsidP="007A5D22">
      <w:pPr>
        <w:pStyle w:val="TOC1"/>
        <w:rPr>
          <w:rFonts w:asciiTheme="minorHAnsi" w:eastAsiaTheme="minorEastAsia" w:hAnsiTheme="minorHAnsi" w:cstheme="minorBidi"/>
          <w:noProof/>
          <w:sz w:val="22"/>
          <w:szCs w:val="22"/>
          <w:lang w:val="en-US" w:eastAsia="zh-CN"/>
        </w:rPr>
      </w:pPr>
      <w:hyperlink w:anchor="_Toc73636313" w:history="1">
        <w:r w:rsidR="000C156A" w:rsidRPr="00F176F8">
          <w:rPr>
            <w:rStyle w:val="Hyperlink"/>
            <w:rFonts w:cs="Microsoft YaHei" w:hint="eastAsia"/>
            <w:noProof/>
            <w:lang w:val="fr-FR" w:eastAsia="zh-CN"/>
          </w:rPr>
          <w:t>说明</w:t>
        </w:r>
        <w:r w:rsidR="000C156A" w:rsidRPr="00F176F8">
          <w:rPr>
            <w:rStyle w:val="Hyperlink"/>
            <w:rFonts w:cs="Microsoft YaHei"/>
            <w:noProof/>
            <w:lang w:val="fr-FR" w:eastAsia="zh-CN"/>
          </w:rPr>
          <w:t>25</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eastAsia="zh-CN"/>
          </w:rPr>
          <w:t>区域代表处</w:t>
        </w:r>
        <w:r w:rsidR="000C156A">
          <w:rPr>
            <w:noProof/>
            <w:webHidden/>
          </w:rPr>
          <w:tab/>
        </w:r>
        <w:r w:rsidR="000C156A">
          <w:rPr>
            <w:noProof/>
            <w:webHidden/>
          </w:rPr>
          <w:fldChar w:fldCharType="begin"/>
        </w:r>
        <w:r w:rsidR="000C156A">
          <w:rPr>
            <w:noProof/>
            <w:webHidden/>
          </w:rPr>
          <w:instrText xml:space="preserve"> PAGEREF _Toc73636313 \h </w:instrText>
        </w:r>
        <w:r w:rsidR="000C156A">
          <w:rPr>
            <w:noProof/>
            <w:webHidden/>
          </w:rPr>
        </w:r>
        <w:r w:rsidR="000C156A">
          <w:rPr>
            <w:noProof/>
            <w:webHidden/>
          </w:rPr>
          <w:fldChar w:fldCharType="separate"/>
        </w:r>
        <w:r w:rsidR="00C01875">
          <w:rPr>
            <w:noProof/>
            <w:webHidden/>
          </w:rPr>
          <w:t>63</w:t>
        </w:r>
        <w:r w:rsidR="000C156A">
          <w:rPr>
            <w:noProof/>
            <w:webHidden/>
          </w:rPr>
          <w:fldChar w:fldCharType="end"/>
        </w:r>
      </w:hyperlink>
    </w:p>
    <w:p w14:paraId="4B87CFC5" w14:textId="42B2626D" w:rsidR="000C156A" w:rsidRDefault="00A100EC" w:rsidP="007A5D22">
      <w:pPr>
        <w:pStyle w:val="TOC1"/>
        <w:rPr>
          <w:rFonts w:asciiTheme="minorHAnsi" w:eastAsiaTheme="minorEastAsia" w:hAnsiTheme="minorHAnsi" w:cstheme="minorBidi"/>
          <w:noProof/>
          <w:sz w:val="22"/>
          <w:szCs w:val="22"/>
          <w:lang w:val="en-US" w:eastAsia="zh-CN"/>
        </w:rPr>
      </w:pPr>
      <w:hyperlink w:anchor="_Toc73636314" w:history="1">
        <w:r w:rsidR="000C156A" w:rsidRPr="00F176F8">
          <w:rPr>
            <w:rStyle w:val="Hyperlink"/>
            <w:rFonts w:cs="Microsoft YaHei" w:hint="eastAsia"/>
            <w:noProof/>
            <w:lang w:val="fr-FR" w:eastAsia="zh-CN"/>
          </w:rPr>
          <w:t>说明</w:t>
        </w:r>
        <w:r w:rsidR="000C156A" w:rsidRPr="00F176F8">
          <w:rPr>
            <w:rStyle w:val="Hyperlink"/>
            <w:noProof/>
            <w:lang w:eastAsia="zh-CN"/>
          </w:rPr>
          <w:t>26</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eastAsia="zh-CN"/>
          </w:rPr>
          <w:t>预算金额与实际发生金额的核对</w:t>
        </w:r>
        <w:r w:rsidR="000C156A">
          <w:rPr>
            <w:noProof/>
            <w:webHidden/>
          </w:rPr>
          <w:tab/>
        </w:r>
        <w:r w:rsidR="000C156A">
          <w:rPr>
            <w:noProof/>
            <w:webHidden/>
          </w:rPr>
          <w:fldChar w:fldCharType="begin"/>
        </w:r>
        <w:r w:rsidR="000C156A">
          <w:rPr>
            <w:noProof/>
            <w:webHidden/>
          </w:rPr>
          <w:instrText xml:space="preserve"> PAGEREF _Toc73636314 \h </w:instrText>
        </w:r>
        <w:r w:rsidR="000C156A">
          <w:rPr>
            <w:noProof/>
            <w:webHidden/>
          </w:rPr>
        </w:r>
        <w:r w:rsidR="000C156A">
          <w:rPr>
            <w:noProof/>
            <w:webHidden/>
          </w:rPr>
          <w:fldChar w:fldCharType="separate"/>
        </w:r>
        <w:r w:rsidR="00C01875">
          <w:rPr>
            <w:noProof/>
            <w:webHidden/>
          </w:rPr>
          <w:t>63</w:t>
        </w:r>
        <w:r w:rsidR="000C156A">
          <w:rPr>
            <w:noProof/>
            <w:webHidden/>
          </w:rPr>
          <w:fldChar w:fldCharType="end"/>
        </w:r>
      </w:hyperlink>
    </w:p>
    <w:p w14:paraId="343A993A" w14:textId="75BEFA84" w:rsidR="000C156A" w:rsidRDefault="00A100EC" w:rsidP="007A5D22">
      <w:pPr>
        <w:pStyle w:val="TOC1"/>
        <w:rPr>
          <w:rFonts w:asciiTheme="minorHAnsi" w:eastAsiaTheme="minorEastAsia" w:hAnsiTheme="minorHAnsi" w:cstheme="minorBidi"/>
          <w:noProof/>
          <w:sz w:val="22"/>
          <w:szCs w:val="22"/>
          <w:lang w:val="en-US" w:eastAsia="zh-CN"/>
        </w:rPr>
      </w:pPr>
      <w:hyperlink w:anchor="_Toc73636315" w:history="1">
        <w:r w:rsidR="000C156A" w:rsidRPr="00F176F8">
          <w:rPr>
            <w:rStyle w:val="Hyperlink"/>
            <w:rFonts w:cs="Microsoft YaHei" w:hint="eastAsia"/>
            <w:noProof/>
            <w:lang w:val="fr-FR"/>
          </w:rPr>
          <w:t>说明</w:t>
        </w:r>
        <w:r w:rsidR="000C156A" w:rsidRPr="00F176F8">
          <w:rPr>
            <w:rStyle w:val="Hyperlink"/>
            <w:noProof/>
            <w:lang w:val="fr-FR"/>
          </w:rPr>
          <w:t>27</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rPr>
          <w:t>相关方的披露</w:t>
        </w:r>
        <w:r w:rsidR="000C156A">
          <w:rPr>
            <w:noProof/>
            <w:webHidden/>
          </w:rPr>
          <w:tab/>
        </w:r>
        <w:r w:rsidR="000C156A">
          <w:rPr>
            <w:noProof/>
            <w:webHidden/>
          </w:rPr>
          <w:fldChar w:fldCharType="begin"/>
        </w:r>
        <w:r w:rsidR="000C156A">
          <w:rPr>
            <w:noProof/>
            <w:webHidden/>
          </w:rPr>
          <w:instrText xml:space="preserve"> PAGEREF _Toc73636315 \h </w:instrText>
        </w:r>
        <w:r w:rsidR="000C156A">
          <w:rPr>
            <w:noProof/>
            <w:webHidden/>
          </w:rPr>
        </w:r>
        <w:r w:rsidR="000C156A">
          <w:rPr>
            <w:noProof/>
            <w:webHidden/>
          </w:rPr>
          <w:fldChar w:fldCharType="separate"/>
        </w:r>
        <w:r w:rsidR="00C01875">
          <w:rPr>
            <w:noProof/>
            <w:webHidden/>
          </w:rPr>
          <w:t>64</w:t>
        </w:r>
        <w:r w:rsidR="000C156A">
          <w:rPr>
            <w:noProof/>
            <w:webHidden/>
          </w:rPr>
          <w:fldChar w:fldCharType="end"/>
        </w:r>
      </w:hyperlink>
    </w:p>
    <w:p w14:paraId="471505AF" w14:textId="4894E048" w:rsidR="000C156A" w:rsidRDefault="00A100EC" w:rsidP="007A5D22">
      <w:pPr>
        <w:pStyle w:val="TOC1"/>
        <w:rPr>
          <w:rFonts w:asciiTheme="minorHAnsi" w:eastAsiaTheme="minorEastAsia" w:hAnsiTheme="minorHAnsi" w:cstheme="minorBidi"/>
          <w:noProof/>
          <w:sz w:val="22"/>
          <w:szCs w:val="22"/>
          <w:lang w:val="en-US" w:eastAsia="zh-CN"/>
        </w:rPr>
      </w:pPr>
      <w:hyperlink w:anchor="_Toc73636316" w:history="1">
        <w:r w:rsidR="000C156A" w:rsidRPr="00F176F8">
          <w:rPr>
            <w:rStyle w:val="Hyperlink"/>
            <w:rFonts w:cs="Microsoft YaHei" w:hint="eastAsia"/>
            <w:noProof/>
            <w:lang w:val="fr-FR"/>
          </w:rPr>
          <w:t>说明</w:t>
        </w:r>
        <w:r w:rsidR="000C156A" w:rsidRPr="00F176F8">
          <w:rPr>
            <w:rStyle w:val="Hyperlink"/>
            <w:noProof/>
            <w:lang w:val="fr-FR"/>
          </w:rPr>
          <w:t>28</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rPr>
          <w:t>承付款项</w:t>
        </w:r>
        <w:r w:rsidR="000C156A">
          <w:rPr>
            <w:noProof/>
            <w:webHidden/>
          </w:rPr>
          <w:tab/>
        </w:r>
        <w:r w:rsidR="000C156A">
          <w:rPr>
            <w:noProof/>
            <w:webHidden/>
          </w:rPr>
          <w:fldChar w:fldCharType="begin"/>
        </w:r>
        <w:r w:rsidR="000C156A">
          <w:rPr>
            <w:noProof/>
            <w:webHidden/>
          </w:rPr>
          <w:instrText xml:space="preserve"> PAGEREF _Toc73636316 \h </w:instrText>
        </w:r>
        <w:r w:rsidR="000C156A">
          <w:rPr>
            <w:noProof/>
            <w:webHidden/>
          </w:rPr>
        </w:r>
        <w:r w:rsidR="000C156A">
          <w:rPr>
            <w:noProof/>
            <w:webHidden/>
          </w:rPr>
          <w:fldChar w:fldCharType="separate"/>
        </w:r>
        <w:r w:rsidR="00C01875">
          <w:rPr>
            <w:noProof/>
            <w:webHidden/>
          </w:rPr>
          <w:t>65</w:t>
        </w:r>
        <w:r w:rsidR="000C156A">
          <w:rPr>
            <w:noProof/>
            <w:webHidden/>
          </w:rPr>
          <w:fldChar w:fldCharType="end"/>
        </w:r>
      </w:hyperlink>
    </w:p>
    <w:p w14:paraId="0C87EC95" w14:textId="7BC6393A" w:rsidR="000C156A" w:rsidRDefault="00A100EC" w:rsidP="007A5D22">
      <w:pPr>
        <w:pStyle w:val="TOC1"/>
        <w:rPr>
          <w:rFonts w:asciiTheme="minorHAnsi" w:eastAsiaTheme="minorEastAsia" w:hAnsiTheme="minorHAnsi" w:cstheme="minorBidi"/>
          <w:noProof/>
          <w:sz w:val="22"/>
          <w:szCs w:val="22"/>
          <w:lang w:val="en-US" w:eastAsia="zh-CN"/>
        </w:rPr>
      </w:pPr>
      <w:hyperlink w:anchor="_Toc73636317" w:history="1">
        <w:r w:rsidR="000C156A" w:rsidRPr="00F176F8">
          <w:rPr>
            <w:rStyle w:val="Hyperlink"/>
            <w:rFonts w:cs="Microsoft YaHei" w:hint="eastAsia"/>
            <w:noProof/>
            <w:lang w:val="fr-FR" w:eastAsia="zh-CN"/>
          </w:rPr>
          <w:t>说明</w:t>
        </w:r>
        <w:r w:rsidR="000C156A" w:rsidRPr="00F176F8">
          <w:rPr>
            <w:rStyle w:val="Hyperlink"/>
            <w:rFonts w:cs="Microsoft YaHei"/>
            <w:noProof/>
            <w:lang w:eastAsia="zh-CN"/>
          </w:rPr>
          <w:t>29</w:t>
        </w:r>
        <w:r w:rsidR="000C156A">
          <w:rPr>
            <w:rFonts w:asciiTheme="minorHAnsi" w:eastAsiaTheme="minorEastAsia" w:hAnsiTheme="minorHAnsi" w:cstheme="minorBidi"/>
            <w:noProof/>
            <w:sz w:val="22"/>
            <w:szCs w:val="22"/>
            <w:lang w:val="en-US" w:eastAsia="zh-CN"/>
          </w:rPr>
          <w:tab/>
        </w:r>
        <w:r w:rsidR="000C156A" w:rsidRPr="00F176F8">
          <w:rPr>
            <w:rStyle w:val="Hyperlink"/>
            <w:rFonts w:cs="Microsoft YaHei" w:hint="eastAsia"/>
            <w:noProof/>
            <w:lang w:val="fr-FR" w:eastAsia="zh-CN"/>
          </w:rPr>
          <w:t>报告日期之后出现的事件</w:t>
        </w:r>
        <w:r w:rsidR="000C156A">
          <w:rPr>
            <w:noProof/>
            <w:webHidden/>
          </w:rPr>
          <w:tab/>
        </w:r>
        <w:r w:rsidR="000C156A">
          <w:rPr>
            <w:noProof/>
            <w:webHidden/>
          </w:rPr>
          <w:fldChar w:fldCharType="begin"/>
        </w:r>
        <w:r w:rsidR="000C156A">
          <w:rPr>
            <w:noProof/>
            <w:webHidden/>
          </w:rPr>
          <w:instrText xml:space="preserve"> PAGEREF _Toc73636317 \h </w:instrText>
        </w:r>
        <w:r w:rsidR="000C156A">
          <w:rPr>
            <w:noProof/>
            <w:webHidden/>
          </w:rPr>
        </w:r>
        <w:r w:rsidR="000C156A">
          <w:rPr>
            <w:noProof/>
            <w:webHidden/>
          </w:rPr>
          <w:fldChar w:fldCharType="separate"/>
        </w:r>
        <w:r w:rsidR="00C01875">
          <w:rPr>
            <w:noProof/>
            <w:webHidden/>
          </w:rPr>
          <w:t>65</w:t>
        </w:r>
        <w:r w:rsidR="000C156A">
          <w:rPr>
            <w:noProof/>
            <w:webHidden/>
          </w:rPr>
          <w:fldChar w:fldCharType="end"/>
        </w:r>
      </w:hyperlink>
    </w:p>
    <w:p w14:paraId="7685A0B3" w14:textId="5B8ECA28" w:rsidR="0022373A" w:rsidRPr="000C156A" w:rsidRDefault="00B342DA" w:rsidP="00A467AC">
      <w:pPr>
        <w:pStyle w:val="TOC1"/>
        <w:tabs>
          <w:tab w:val="left" w:leader="dot" w:pos="9356"/>
        </w:tabs>
        <w:rPr>
          <w:b/>
          <w:sz w:val="28"/>
          <w:lang w:val="en-US"/>
        </w:rPr>
      </w:pPr>
      <w:r w:rsidRPr="000C156A">
        <w:rPr>
          <w:rStyle w:val="Hyperlink"/>
          <w:caps/>
          <w:color w:val="auto"/>
          <w:szCs w:val="24"/>
          <w:u w:val="none"/>
          <w:lang w:val="ru-RU"/>
        </w:rPr>
        <w:fldChar w:fldCharType="end"/>
      </w:r>
      <w:r w:rsidR="0022373A" w:rsidRPr="000C156A">
        <w:rPr>
          <w:lang w:val="en-US"/>
        </w:rPr>
        <w:br w:type="page"/>
      </w:r>
    </w:p>
    <w:p w14:paraId="605F7E83" w14:textId="343EE925" w:rsidR="0065792A" w:rsidRPr="000C156A" w:rsidRDefault="0065792A" w:rsidP="00CF258E">
      <w:pPr>
        <w:pStyle w:val="Heading1"/>
        <w:spacing w:after="240"/>
        <w:jc w:val="center"/>
        <w:rPr>
          <w:rFonts w:cs="Microsoft YaHei"/>
          <w:lang w:eastAsia="zh-CN"/>
        </w:rPr>
      </w:pPr>
      <w:bookmarkStart w:id="249" w:name="_Toc41906885"/>
      <w:bookmarkStart w:id="250" w:name="_Toc41907966"/>
      <w:bookmarkStart w:id="251" w:name="_Toc41908034"/>
      <w:bookmarkStart w:id="252" w:name="_Toc72744928"/>
      <w:bookmarkStart w:id="253" w:name="_Toc72747002"/>
      <w:bookmarkStart w:id="254" w:name="_Toc73356640"/>
      <w:bookmarkStart w:id="255" w:name="_Toc73519211"/>
      <w:bookmarkStart w:id="256" w:name="_Toc73636094"/>
      <w:bookmarkStart w:id="257" w:name="_Toc73636236"/>
      <w:bookmarkStart w:id="258" w:name="_Toc305764056"/>
      <w:bookmarkStart w:id="259" w:name="_Toc329011603"/>
      <w:r w:rsidRPr="000C156A">
        <w:rPr>
          <w:rFonts w:cs="Microsoft YaHei" w:hint="eastAsia"/>
          <w:lang w:val="fr-FR" w:eastAsia="zh-CN"/>
        </w:rPr>
        <w:lastRenderedPageBreak/>
        <w:t>一</w:t>
      </w:r>
      <w:r w:rsidRPr="000C156A">
        <w:rPr>
          <w:lang w:eastAsia="zh-CN"/>
        </w:rPr>
        <w:t xml:space="preserve"> – </w:t>
      </w:r>
      <w:r w:rsidRPr="000C156A">
        <w:rPr>
          <w:rFonts w:cs="Microsoft YaHei" w:hint="eastAsia"/>
          <w:lang w:val="fr-FR" w:eastAsia="zh-CN"/>
        </w:rPr>
        <w:t>财务状况表</w:t>
      </w:r>
      <w:r w:rsidRPr="000C156A">
        <w:rPr>
          <w:lang w:eastAsia="zh-CN"/>
        </w:rPr>
        <w:t xml:space="preserve"> – </w:t>
      </w:r>
      <w:r w:rsidRPr="000C156A">
        <w:rPr>
          <w:rFonts w:cs="Microsoft YaHei" w:hint="eastAsia"/>
          <w:lang w:val="fr-FR" w:eastAsia="zh-CN"/>
        </w:rPr>
        <w:t>截至</w:t>
      </w:r>
      <w:r w:rsidRPr="000C156A">
        <w:rPr>
          <w:bCs/>
          <w:szCs w:val="28"/>
          <w:lang w:val="en-US" w:eastAsia="zh-CN"/>
        </w:rPr>
        <w:t>2020</w:t>
      </w:r>
      <w:r w:rsidRPr="000C156A">
        <w:rPr>
          <w:rFonts w:cs="Microsoft YaHei" w:hint="eastAsia"/>
          <w:lang w:val="fr-FR" w:eastAsia="zh-CN"/>
        </w:rPr>
        <w:t>年</w:t>
      </w:r>
      <w:r w:rsidRPr="000C156A">
        <w:rPr>
          <w:lang w:eastAsia="zh-CN"/>
        </w:rPr>
        <w:t>12</w:t>
      </w:r>
      <w:r w:rsidRPr="000C156A">
        <w:rPr>
          <w:rFonts w:cs="Microsoft YaHei" w:hint="eastAsia"/>
          <w:lang w:val="fr-FR" w:eastAsia="zh-CN"/>
        </w:rPr>
        <w:t>月</w:t>
      </w:r>
      <w:r w:rsidRPr="000C156A">
        <w:rPr>
          <w:lang w:eastAsia="zh-CN"/>
        </w:rPr>
        <w:t>31</w:t>
      </w:r>
      <w:r w:rsidRPr="000C156A">
        <w:rPr>
          <w:rFonts w:cs="Microsoft YaHei" w:hint="eastAsia"/>
          <w:lang w:val="fr-FR" w:eastAsia="zh-CN"/>
        </w:rPr>
        <w:t>日的资产负债表</w:t>
      </w:r>
      <w:r w:rsidRPr="000C156A">
        <w:rPr>
          <w:lang w:eastAsia="zh-CN"/>
        </w:rPr>
        <w:br/>
      </w:r>
      <w:r w:rsidRPr="000C156A">
        <w:rPr>
          <w:rFonts w:cs="Microsoft YaHei" w:hint="eastAsia"/>
          <w:lang w:eastAsia="zh-CN"/>
        </w:rPr>
        <w:t>（</w:t>
      </w:r>
      <w:r w:rsidRPr="000C156A">
        <w:rPr>
          <w:rFonts w:cs="Microsoft YaHei" w:hint="eastAsia"/>
          <w:lang w:val="fr-FR" w:eastAsia="zh-CN"/>
        </w:rPr>
        <w:t>包含截至</w:t>
      </w:r>
      <w:r w:rsidRPr="000C156A">
        <w:rPr>
          <w:bCs/>
          <w:szCs w:val="28"/>
          <w:lang w:val="en-US" w:eastAsia="zh-CN"/>
        </w:rPr>
        <w:t>2019</w:t>
      </w:r>
      <w:r w:rsidRPr="000C156A">
        <w:rPr>
          <w:rFonts w:cs="Microsoft YaHei" w:hint="eastAsia"/>
          <w:lang w:val="fr-FR" w:eastAsia="zh-CN"/>
        </w:rPr>
        <w:t>年</w:t>
      </w:r>
      <w:r w:rsidRPr="000C156A">
        <w:rPr>
          <w:lang w:eastAsia="zh-CN"/>
        </w:rPr>
        <w:t>12</w:t>
      </w:r>
      <w:r w:rsidRPr="000C156A">
        <w:rPr>
          <w:rFonts w:cs="Microsoft YaHei" w:hint="eastAsia"/>
          <w:lang w:val="fr-FR" w:eastAsia="zh-CN"/>
        </w:rPr>
        <w:t>月</w:t>
      </w:r>
      <w:r w:rsidRPr="000C156A">
        <w:rPr>
          <w:lang w:eastAsia="zh-CN"/>
        </w:rPr>
        <w:t>31</w:t>
      </w:r>
      <w:r w:rsidRPr="000C156A">
        <w:rPr>
          <w:rFonts w:cs="Microsoft YaHei" w:hint="eastAsia"/>
          <w:lang w:val="fr-FR" w:eastAsia="zh-CN"/>
        </w:rPr>
        <w:t>日的比较数字</w:t>
      </w:r>
      <w:r w:rsidRPr="000C156A">
        <w:rPr>
          <w:rFonts w:cs="Microsoft YaHei" w:hint="eastAsia"/>
          <w:lang w:eastAsia="zh-CN"/>
        </w:rPr>
        <w:t>）</w:t>
      </w:r>
      <w:bookmarkEnd w:id="249"/>
      <w:bookmarkEnd w:id="250"/>
      <w:bookmarkEnd w:id="251"/>
      <w:bookmarkEnd w:id="252"/>
      <w:bookmarkEnd w:id="253"/>
      <w:bookmarkEnd w:id="254"/>
      <w:bookmarkEnd w:id="255"/>
      <w:bookmarkEnd w:id="256"/>
      <w:bookmarkEnd w:id="257"/>
    </w:p>
    <w:tbl>
      <w:tblPr>
        <w:tblW w:w="5003" w:type="pct"/>
        <w:tblLook w:val="04A0" w:firstRow="1" w:lastRow="0" w:firstColumn="1" w:lastColumn="0" w:noHBand="0" w:noVBand="1"/>
      </w:tblPr>
      <w:tblGrid>
        <w:gridCol w:w="5382"/>
        <w:gridCol w:w="2126"/>
        <w:gridCol w:w="2127"/>
      </w:tblGrid>
      <w:tr w:rsidR="0059627D" w:rsidRPr="000C156A" w14:paraId="47612714" w14:textId="77777777" w:rsidTr="00AF4C18">
        <w:tc>
          <w:tcPr>
            <w:tcW w:w="5382" w:type="dxa"/>
            <w:tcBorders>
              <w:top w:val="single" w:sz="4" w:space="0" w:color="auto"/>
              <w:left w:val="single" w:sz="4" w:space="0" w:color="auto"/>
              <w:bottom w:val="single" w:sz="4" w:space="0" w:color="auto"/>
              <w:right w:val="nil"/>
            </w:tcBorders>
            <w:shd w:val="clear" w:color="auto" w:fill="auto"/>
            <w:noWrap/>
            <w:vAlign w:val="bottom"/>
            <w:hideMark/>
          </w:tcPr>
          <w:p w14:paraId="1E9F7376"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bookmarkStart w:id="260" w:name="_Toc305764057"/>
            <w:bookmarkStart w:id="261" w:name="_Toc329011604"/>
            <w:bookmarkEnd w:id="247"/>
            <w:bookmarkEnd w:id="248"/>
            <w:bookmarkEnd w:id="258"/>
            <w:bookmarkEnd w:id="259"/>
            <w:r w:rsidRPr="000C156A">
              <w:rPr>
                <w:rFonts w:ascii="SimSun" w:hAnsi="SimSun" w:cs="Calibri" w:hint="eastAsia"/>
                <w:color w:val="000000"/>
                <w:sz w:val="20"/>
                <w:lang w:val="en-US" w:eastAsia="zh-CN"/>
              </w:rPr>
              <w:t>（单位：千瑞郎）</w:t>
            </w:r>
          </w:p>
        </w:tc>
        <w:tc>
          <w:tcPr>
            <w:tcW w:w="2126" w:type="dxa"/>
            <w:tcBorders>
              <w:top w:val="single" w:sz="4" w:space="0" w:color="auto"/>
              <w:left w:val="nil"/>
              <w:bottom w:val="single" w:sz="4" w:space="0" w:color="auto"/>
              <w:right w:val="single" w:sz="4" w:space="0" w:color="auto"/>
            </w:tcBorders>
            <w:shd w:val="clear" w:color="auto" w:fill="auto"/>
            <w:hideMark/>
          </w:tcPr>
          <w:p w14:paraId="661D4A29"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val="en-US" w:eastAsia="zh-CN"/>
              </w:rPr>
            </w:pPr>
            <w:r w:rsidRPr="000C156A">
              <w:rPr>
                <w:rFonts w:asciiTheme="minorHAnsi" w:hAnsiTheme="minorHAnsi" w:cstheme="minorHAnsi"/>
                <w:b/>
                <w:bCs/>
                <w:color w:val="000000"/>
                <w:sz w:val="20"/>
                <w:lang w:val="en-US" w:eastAsia="zh-CN"/>
              </w:rPr>
              <w:t>2020</w:t>
            </w:r>
            <w:r w:rsidRPr="000C156A">
              <w:rPr>
                <w:rFonts w:asciiTheme="minorHAnsi" w:hAnsiTheme="minorHAnsi" w:cstheme="minorHAnsi"/>
                <w:b/>
                <w:bCs/>
                <w:color w:val="000000"/>
                <w:sz w:val="20"/>
                <w:lang w:val="en-US" w:eastAsia="zh-CN"/>
              </w:rPr>
              <w:t>年</w:t>
            </w:r>
            <w:r w:rsidRPr="000C156A">
              <w:rPr>
                <w:rFonts w:asciiTheme="minorHAnsi" w:hAnsiTheme="minorHAnsi" w:cstheme="minorHAnsi"/>
                <w:b/>
                <w:bCs/>
                <w:color w:val="000000"/>
                <w:sz w:val="20"/>
                <w:lang w:val="en-US" w:eastAsia="zh-CN"/>
              </w:rPr>
              <w:t>12</w:t>
            </w:r>
            <w:r w:rsidRPr="000C156A">
              <w:rPr>
                <w:rFonts w:asciiTheme="minorHAnsi" w:hAnsiTheme="minorHAnsi" w:cstheme="minorHAnsi"/>
                <w:b/>
                <w:bCs/>
                <w:color w:val="000000"/>
                <w:sz w:val="20"/>
                <w:lang w:val="en-US" w:eastAsia="zh-CN"/>
              </w:rPr>
              <w:t>月</w:t>
            </w:r>
            <w:r w:rsidRPr="000C156A">
              <w:rPr>
                <w:rFonts w:asciiTheme="minorHAnsi" w:hAnsiTheme="minorHAnsi" w:cstheme="minorHAnsi"/>
                <w:b/>
                <w:bCs/>
                <w:color w:val="000000"/>
                <w:sz w:val="20"/>
                <w:lang w:val="en-US" w:eastAsia="zh-CN"/>
              </w:rPr>
              <w:t>31</w:t>
            </w:r>
            <w:r w:rsidRPr="000C156A">
              <w:rPr>
                <w:rFonts w:asciiTheme="minorHAnsi" w:hAnsiTheme="minorHAnsi" w:cstheme="minorHAnsi"/>
                <w:b/>
                <w:bCs/>
                <w:color w:val="000000"/>
                <w:sz w:val="20"/>
                <w:lang w:val="en-US" w:eastAsia="zh-CN"/>
              </w:rPr>
              <w:t>日</w:t>
            </w:r>
          </w:p>
        </w:tc>
        <w:tc>
          <w:tcPr>
            <w:tcW w:w="2127" w:type="dxa"/>
            <w:tcBorders>
              <w:top w:val="single" w:sz="4" w:space="0" w:color="auto"/>
              <w:left w:val="nil"/>
              <w:bottom w:val="single" w:sz="4" w:space="0" w:color="auto"/>
              <w:right w:val="single" w:sz="4" w:space="0" w:color="auto"/>
            </w:tcBorders>
            <w:shd w:val="clear" w:color="auto" w:fill="auto"/>
            <w:hideMark/>
          </w:tcPr>
          <w:p w14:paraId="0CB2EE00"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val="en-US" w:eastAsia="zh-CN"/>
              </w:rPr>
            </w:pPr>
            <w:r w:rsidRPr="000C156A">
              <w:rPr>
                <w:rFonts w:asciiTheme="minorHAnsi" w:hAnsiTheme="minorHAnsi" w:cstheme="minorHAnsi"/>
                <w:b/>
                <w:bCs/>
                <w:color w:val="000000"/>
                <w:sz w:val="20"/>
                <w:lang w:val="en-US" w:eastAsia="zh-CN"/>
              </w:rPr>
              <w:t>2019</w:t>
            </w:r>
            <w:r w:rsidRPr="000C156A">
              <w:rPr>
                <w:rFonts w:asciiTheme="minorHAnsi" w:hAnsiTheme="minorHAnsi" w:cstheme="minorHAnsi"/>
                <w:b/>
                <w:bCs/>
                <w:color w:val="000000"/>
                <w:sz w:val="20"/>
                <w:lang w:val="en-US" w:eastAsia="zh-CN"/>
              </w:rPr>
              <w:t>年</w:t>
            </w:r>
            <w:r w:rsidRPr="000C156A">
              <w:rPr>
                <w:rFonts w:asciiTheme="minorHAnsi" w:hAnsiTheme="minorHAnsi" w:cstheme="minorHAnsi"/>
                <w:b/>
                <w:bCs/>
                <w:color w:val="000000"/>
                <w:sz w:val="20"/>
                <w:lang w:val="en-US" w:eastAsia="zh-CN"/>
              </w:rPr>
              <w:t>12</w:t>
            </w:r>
            <w:r w:rsidRPr="000C156A">
              <w:rPr>
                <w:rFonts w:asciiTheme="minorHAnsi" w:hAnsiTheme="minorHAnsi" w:cstheme="minorHAnsi"/>
                <w:b/>
                <w:bCs/>
                <w:color w:val="000000"/>
                <w:sz w:val="20"/>
                <w:lang w:val="en-US" w:eastAsia="zh-CN"/>
              </w:rPr>
              <w:t>月</w:t>
            </w:r>
            <w:r w:rsidRPr="000C156A">
              <w:rPr>
                <w:rFonts w:asciiTheme="minorHAnsi" w:hAnsiTheme="minorHAnsi" w:cstheme="minorHAnsi"/>
                <w:b/>
                <w:bCs/>
                <w:color w:val="000000"/>
                <w:sz w:val="20"/>
                <w:lang w:val="en-US" w:eastAsia="zh-CN"/>
              </w:rPr>
              <w:t>31</w:t>
            </w:r>
            <w:r w:rsidRPr="000C156A">
              <w:rPr>
                <w:rFonts w:asciiTheme="minorHAnsi" w:hAnsiTheme="minorHAnsi" w:cstheme="minorHAnsi"/>
                <w:b/>
                <w:bCs/>
                <w:color w:val="000000"/>
                <w:sz w:val="20"/>
                <w:lang w:val="en-US" w:eastAsia="zh-CN"/>
              </w:rPr>
              <w:t>日</w:t>
            </w:r>
          </w:p>
        </w:tc>
      </w:tr>
      <w:tr w:rsidR="0059627D" w:rsidRPr="000C156A" w14:paraId="067F355E" w14:textId="77777777" w:rsidTr="00AF4C18">
        <w:tc>
          <w:tcPr>
            <w:tcW w:w="5382" w:type="dxa"/>
            <w:tcBorders>
              <w:top w:val="nil"/>
              <w:left w:val="single" w:sz="8" w:space="0" w:color="auto"/>
              <w:bottom w:val="nil"/>
              <w:right w:val="nil"/>
            </w:tcBorders>
            <w:shd w:val="clear" w:color="auto" w:fill="auto"/>
            <w:vAlign w:val="center"/>
            <w:hideMark/>
          </w:tcPr>
          <w:p w14:paraId="75250321"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en-US" w:eastAsia="zh-CN"/>
              </w:rPr>
              <w:t>资产</w:t>
            </w:r>
          </w:p>
        </w:tc>
        <w:tc>
          <w:tcPr>
            <w:tcW w:w="2126" w:type="dxa"/>
            <w:tcBorders>
              <w:top w:val="nil"/>
              <w:left w:val="nil"/>
              <w:bottom w:val="nil"/>
              <w:right w:val="single" w:sz="4" w:space="0" w:color="auto"/>
            </w:tcBorders>
            <w:shd w:val="clear" w:color="auto" w:fill="auto"/>
            <w:hideMark/>
          </w:tcPr>
          <w:p w14:paraId="27F5F32A"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 </w:t>
            </w:r>
          </w:p>
        </w:tc>
        <w:tc>
          <w:tcPr>
            <w:tcW w:w="2127" w:type="dxa"/>
            <w:tcBorders>
              <w:top w:val="nil"/>
              <w:left w:val="nil"/>
              <w:bottom w:val="nil"/>
              <w:right w:val="single" w:sz="4" w:space="0" w:color="auto"/>
            </w:tcBorders>
            <w:shd w:val="clear" w:color="auto" w:fill="auto"/>
            <w:hideMark/>
          </w:tcPr>
          <w:p w14:paraId="217E5492"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 </w:t>
            </w:r>
          </w:p>
        </w:tc>
      </w:tr>
      <w:tr w:rsidR="0059627D" w:rsidRPr="000C156A" w14:paraId="3B58539A" w14:textId="77777777" w:rsidTr="00AF4C18">
        <w:tc>
          <w:tcPr>
            <w:tcW w:w="5382" w:type="dxa"/>
            <w:tcBorders>
              <w:top w:val="nil"/>
              <w:left w:val="single" w:sz="8" w:space="0" w:color="auto"/>
              <w:bottom w:val="nil"/>
              <w:right w:val="nil"/>
            </w:tcBorders>
            <w:shd w:val="clear" w:color="auto" w:fill="auto"/>
            <w:vAlign w:val="center"/>
            <w:hideMark/>
          </w:tcPr>
          <w:p w14:paraId="592EFFD5"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en-US" w:eastAsia="zh-CN"/>
              </w:rPr>
              <w:t>流动资产</w:t>
            </w:r>
          </w:p>
        </w:tc>
        <w:tc>
          <w:tcPr>
            <w:tcW w:w="2126" w:type="dxa"/>
            <w:tcBorders>
              <w:top w:val="nil"/>
              <w:left w:val="nil"/>
              <w:bottom w:val="nil"/>
              <w:right w:val="single" w:sz="4" w:space="0" w:color="auto"/>
            </w:tcBorders>
            <w:shd w:val="clear" w:color="auto" w:fill="auto"/>
            <w:hideMark/>
          </w:tcPr>
          <w:p w14:paraId="7B19806B"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 </w:t>
            </w:r>
          </w:p>
        </w:tc>
        <w:tc>
          <w:tcPr>
            <w:tcW w:w="2127" w:type="dxa"/>
            <w:tcBorders>
              <w:top w:val="nil"/>
              <w:left w:val="nil"/>
              <w:bottom w:val="nil"/>
              <w:right w:val="single" w:sz="4" w:space="0" w:color="auto"/>
            </w:tcBorders>
            <w:shd w:val="clear" w:color="auto" w:fill="auto"/>
            <w:hideMark/>
          </w:tcPr>
          <w:p w14:paraId="1C60743F"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 </w:t>
            </w:r>
          </w:p>
        </w:tc>
      </w:tr>
      <w:tr w:rsidR="0059627D" w:rsidRPr="000C156A" w14:paraId="6CE2FEF8" w14:textId="77777777" w:rsidTr="00AF4C18">
        <w:tc>
          <w:tcPr>
            <w:tcW w:w="5382" w:type="dxa"/>
            <w:tcBorders>
              <w:top w:val="nil"/>
              <w:left w:val="single" w:sz="8" w:space="0" w:color="auto"/>
              <w:bottom w:val="nil"/>
              <w:right w:val="nil"/>
            </w:tcBorders>
            <w:shd w:val="clear" w:color="auto" w:fill="auto"/>
            <w:vAlign w:val="center"/>
            <w:hideMark/>
          </w:tcPr>
          <w:p w14:paraId="468C160F"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现金和现金等价物</w:t>
            </w:r>
          </w:p>
        </w:tc>
        <w:tc>
          <w:tcPr>
            <w:tcW w:w="2126" w:type="dxa"/>
            <w:tcBorders>
              <w:top w:val="nil"/>
              <w:left w:val="nil"/>
              <w:bottom w:val="nil"/>
              <w:right w:val="single" w:sz="4" w:space="0" w:color="auto"/>
            </w:tcBorders>
            <w:shd w:val="clear" w:color="auto" w:fill="auto"/>
            <w:hideMark/>
          </w:tcPr>
          <w:p w14:paraId="0737127F" w14:textId="0D2BCB2F"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sz w:val="20"/>
                <w:lang w:val="en-US" w:eastAsia="zh-CN"/>
              </w:rPr>
            </w:pPr>
            <w:r w:rsidRPr="000C156A">
              <w:rPr>
                <w:rFonts w:eastAsia="Times New Roman" w:cs="Calibri"/>
                <w:sz w:val="20"/>
                <w:lang w:val="en-US" w:eastAsia="zh-CN"/>
              </w:rPr>
              <w:t>99</w:t>
            </w:r>
            <w:r w:rsidR="00CF258E" w:rsidRPr="000C156A">
              <w:rPr>
                <w:rFonts w:eastAsia="Times New Roman" w:cs="Calibri"/>
                <w:sz w:val="20"/>
                <w:lang w:val="en-US" w:eastAsia="zh-CN"/>
              </w:rPr>
              <w:t xml:space="preserve"> </w:t>
            </w:r>
            <w:r w:rsidRPr="000C156A">
              <w:rPr>
                <w:rFonts w:eastAsia="Times New Roman" w:cs="Calibri"/>
                <w:sz w:val="20"/>
                <w:lang w:val="en-US" w:eastAsia="zh-CN"/>
              </w:rPr>
              <w:t>406</w:t>
            </w:r>
          </w:p>
        </w:tc>
        <w:tc>
          <w:tcPr>
            <w:tcW w:w="2127" w:type="dxa"/>
            <w:tcBorders>
              <w:top w:val="nil"/>
              <w:left w:val="nil"/>
              <w:bottom w:val="nil"/>
              <w:right w:val="single" w:sz="4" w:space="0" w:color="auto"/>
            </w:tcBorders>
            <w:shd w:val="clear" w:color="auto" w:fill="auto"/>
            <w:hideMark/>
          </w:tcPr>
          <w:p w14:paraId="66CD4BD4" w14:textId="641E6FFC"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178</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852</w:t>
            </w:r>
          </w:p>
        </w:tc>
      </w:tr>
      <w:tr w:rsidR="0059627D" w:rsidRPr="000C156A" w14:paraId="6F626496" w14:textId="77777777" w:rsidTr="00AF4C18">
        <w:tc>
          <w:tcPr>
            <w:tcW w:w="5382" w:type="dxa"/>
            <w:tcBorders>
              <w:top w:val="nil"/>
              <w:left w:val="single" w:sz="8" w:space="0" w:color="auto"/>
              <w:bottom w:val="nil"/>
              <w:right w:val="nil"/>
            </w:tcBorders>
            <w:shd w:val="clear" w:color="auto" w:fill="auto"/>
            <w:vAlign w:val="center"/>
            <w:hideMark/>
          </w:tcPr>
          <w:p w14:paraId="5B5C7311"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投资</w:t>
            </w:r>
          </w:p>
        </w:tc>
        <w:tc>
          <w:tcPr>
            <w:tcW w:w="2126" w:type="dxa"/>
            <w:tcBorders>
              <w:top w:val="nil"/>
              <w:left w:val="nil"/>
              <w:bottom w:val="nil"/>
              <w:right w:val="single" w:sz="4" w:space="0" w:color="auto"/>
            </w:tcBorders>
            <w:shd w:val="clear" w:color="auto" w:fill="auto"/>
            <w:hideMark/>
          </w:tcPr>
          <w:p w14:paraId="04B74080" w14:textId="7EBB134D"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sz w:val="20"/>
                <w:lang w:val="en-US" w:eastAsia="zh-CN"/>
              </w:rPr>
            </w:pPr>
            <w:r w:rsidRPr="000C156A">
              <w:rPr>
                <w:rFonts w:eastAsia="Times New Roman" w:cs="Calibri"/>
                <w:sz w:val="20"/>
                <w:lang w:val="en-US" w:eastAsia="zh-CN"/>
              </w:rPr>
              <w:t>95</w:t>
            </w:r>
            <w:r w:rsidR="00CF258E" w:rsidRPr="000C156A">
              <w:rPr>
                <w:rFonts w:eastAsia="Times New Roman" w:cs="Calibri"/>
                <w:sz w:val="20"/>
                <w:lang w:val="en-US" w:eastAsia="zh-CN"/>
              </w:rPr>
              <w:t xml:space="preserve"> </w:t>
            </w:r>
            <w:r w:rsidRPr="000C156A">
              <w:rPr>
                <w:rFonts w:eastAsia="Times New Roman" w:cs="Calibri"/>
                <w:sz w:val="20"/>
                <w:lang w:val="en-US" w:eastAsia="zh-CN"/>
              </w:rPr>
              <w:t>516</w:t>
            </w:r>
          </w:p>
        </w:tc>
        <w:tc>
          <w:tcPr>
            <w:tcW w:w="2127" w:type="dxa"/>
            <w:tcBorders>
              <w:top w:val="nil"/>
              <w:left w:val="nil"/>
              <w:bottom w:val="nil"/>
              <w:right w:val="single" w:sz="4" w:space="0" w:color="auto"/>
            </w:tcBorders>
            <w:shd w:val="clear" w:color="auto" w:fill="auto"/>
            <w:hideMark/>
          </w:tcPr>
          <w:p w14:paraId="05322281" w14:textId="69E05B5E"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33</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329</w:t>
            </w:r>
          </w:p>
        </w:tc>
      </w:tr>
      <w:tr w:rsidR="0059627D" w:rsidRPr="000C156A" w14:paraId="0A70D5F3" w14:textId="77777777" w:rsidTr="00AF4C18">
        <w:tc>
          <w:tcPr>
            <w:tcW w:w="5382" w:type="dxa"/>
            <w:tcBorders>
              <w:top w:val="nil"/>
              <w:left w:val="single" w:sz="8" w:space="0" w:color="auto"/>
              <w:bottom w:val="nil"/>
              <w:right w:val="nil"/>
            </w:tcBorders>
            <w:shd w:val="clear" w:color="auto" w:fill="auto"/>
            <w:vAlign w:val="center"/>
            <w:hideMark/>
          </w:tcPr>
          <w:p w14:paraId="2CB9B166"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应收款项</w:t>
            </w:r>
            <w:r w:rsidRPr="000C156A">
              <w:rPr>
                <w:rFonts w:cs="Calibri"/>
                <w:color w:val="000000"/>
                <w:sz w:val="20"/>
                <w:lang w:val="en-US" w:eastAsia="zh-CN"/>
              </w:rPr>
              <w:t xml:space="preserve"> – </w:t>
            </w:r>
            <w:r w:rsidRPr="000C156A">
              <w:rPr>
                <w:rFonts w:ascii="SimSun" w:hAnsi="SimSun" w:cs="Calibri" w:hint="eastAsia"/>
                <w:color w:val="000000"/>
                <w:sz w:val="20"/>
                <w:lang w:val="en-US" w:eastAsia="zh-CN"/>
              </w:rPr>
              <w:t>兑换交易</w:t>
            </w:r>
          </w:p>
        </w:tc>
        <w:tc>
          <w:tcPr>
            <w:tcW w:w="2126" w:type="dxa"/>
            <w:tcBorders>
              <w:top w:val="nil"/>
              <w:left w:val="nil"/>
              <w:bottom w:val="nil"/>
              <w:right w:val="single" w:sz="4" w:space="0" w:color="auto"/>
            </w:tcBorders>
            <w:shd w:val="clear" w:color="auto" w:fill="auto"/>
            <w:hideMark/>
          </w:tcPr>
          <w:p w14:paraId="6AD766E6" w14:textId="5F1E22A7"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sz w:val="20"/>
                <w:lang w:val="en-US" w:eastAsia="zh-CN"/>
              </w:rPr>
            </w:pPr>
            <w:r w:rsidRPr="000C156A">
              <w:rPr>
                <w:rFonts w:eastAsia="Times New Roman" w:cs="Calibri"/>
                <w:sz w:val="20"/>
                <w:lang w:val="en-US" w:eastAsia="zh-CN"/>
              </w:rPr>
              <w:t>8</w:t>
            </w:r>
            <w:r w:rsidR="00CF258E" w:rsidRPr="000C156A">
              <w:rPr>
                <w:rFonts w:eastAsia="Times New Roman" w:cs="Calibri"/>
                <w:sz w:val="20"/>
                <w:lang w:val="en-US" w:eastAsia="zh-CN"/>
              </w:rPr>
              <w:t xml:space="preserve"> </w:t>
            </w:r>
            <w:r w:rsidRPr="000C156A">
              <w:rPr>
                <w:rFonts w:eastAsia="Times New Roman" w:cs="Calibri"/>
                <w:sz w:val="20"/>
                <w:lang w:val="en-US" w:eastAsia="zh-CN"/>
              </w:rPr>
              <w:t>481</w:t>
            </w:r>
          </w:p>
        </w:tc>
        <w:tc>
          <w:tcPr>
            <w:tcW w:w="2127" w:type="dxa"/>
            <w:tcBorders>
              <w:top w:val="nil"/>
              <w:left w:val="nil"/>
              <w:bottom w:val="nil"/>
              <w:right w:val="single" w:sz="4" w:space="0" w:color="auto"/>
            </w:tcBorders>
            <w:shd w:val="clear" w:color="auto" w:fill="auto"/>
            <w:hideMark/>
          </w:tcPr>
          <w:p w14:paraId="64938561" w14:textId="22244406"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6</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471</w:t>
            </w:r>
          </w:p>
        </w:tc>
      </w:tr>
      <w:tr w:rsidR="0059627D" w:rsidRPr="000C156A" w14:paraId="1F47A1D0" w14:textId="77777777" w:rsidTr="00AF4C18">
        <w:tc>
          <w:tcPr>
            <w:tcW w:w="5382" w:type="dxa"/>
            <w:tcBorders>
              <w:top w:val="nil"/>
              <w:left w:val="single" w:sz="8" w:space="0" w:color="auto"/>
              <w:bottom w:val="nil"/>
              <w:right w:val="nil"/>
            </w:tcBorders>
            <w:shd w:val="clear" w:color="auto" w:fill="auto"/>
            <w:vAlign w:val="center"/>
            <w:hideMark/>
          </w:tcPr>
          <w:p w14:paraId="25CC7A7C"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应收款项</w:t>
            </w:r>
            <w:r w:rsidRPr="000C156A">
              <w:rPr>
                <w:rFonts w:cs="Calibri"/>
                <w:color w:val="000000"/>
                <w:sz w:val="20"/>
                <w:lang w:val="en-US" w:eastAsia="zh-CN"/>
              </w:rPr>
              <w:t xml:space="preserve"> – </w:t>
            </w:r>
            <w:r w:rsidRPr="000C156A">
              <w:rPr>
                <w:rFonts w:ascii="SimSun" w:hAnsi="SimSun" w:cs="Calibri" w:hint="eastAsia"/>
                <w:color w:val="000000"/>
                <w:sz w:val="20"/>
                <w:lang w:val="en-US" w:eastAsia="zh-CN"/>
              </w:rPr>
              <w:t>非兑换交易</w:t>
            </w:r>
          </w:p>
        </w:tc>
        <w:tc>
          <w:tcPr>
            <w:tcW w:w="2126" w:type="dxa"/>
            <w:tcBorders>
              <w:top w:val="nil"/>
              <w:left w:val="nil"/>
              <w:bottom w:val="nil"/>
              <w:right w:val="single" w:sz="4" w:space="0" w:color="auto"/>
            </w:tcBorders>
            <w:shd w:val="clear" w:color="auto" w:fill="auto"/>
            <w:hideMark/>
          </w:tcPr>
          <w:p w14:paraId="3083AB28" w14:textId="64526E79"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sz w:val="20"/>
                <w:lang w:val="en-US" w:eastAsia="zh-CN"/>
              </w:rPr>
            </w:pPr>
            <w:r w:rsidRPr="000C156A">
              <w:rPr>
                <w:rFonts w:eastAsia="Times New Roman" w:cs="Calibri"/>
                <w:sz w:val="20"/>
                <w:lang w:val="en-US" w:eastAsia="zh-CN"/>
              </w:rPr>
              <w:t>89</w:t>
            </w:r>
            <w:r w:rsidR="00CF258E" w:rsidRPr="000C156A">
              <w:rPr>
                <w:rFonts w:eastAsia="Times New Roman" w:cs="Calibri"/>
                <w:sz w:val="20"/>
                <w:lang w:val="en-US" w:eastAsia="zh-CN"/>
              </w:rPr>
              <w:t xml:space="preserve"> </w:t>
            </w:r>
            <w:r w:rsidRPr="000C156A">
              <w:rPr>
                <w:rFonts w:eastAsia="Times New Roman" w:cs="Calibri"/>
                <w:sz w:val="20"/>
                <w:lang w:val="en-US" w:eastAsia="zh-CN"/>
              </w:rPr>
              <w:t>306</w:t>
            </w:r>
          </w:p>
        </w:tc>
        <w:tc>
          <w:tcPr>
            <w:tcW w:w="2127" w:type="dxa"/>
            <w:tcBorders>
              <w:top w:val="nil"/>
              <w:left w:val="nil"/>
              <w:bottom w:val="nil"/>
              <w:right w:val="single" w:sz="4" w:space="0" w:color="auto"/>
            </w:tcBorders>
            <w:shd w:val="clear" w:color="auto" w:fill="auto"/>
            <w:hideMark/>
          </w:tcPr>
          <w:p w14:paraId="4649FBA4" w14:textId="4964FF0F"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88</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315</w:t>
            </w:r>
          </w:p>
        </w:tc>
      </w:tr>
      <w:tr w:rsidR="0059627D" w:rsidRPr="000C156A" w14:paraId="21D6A1A0" w14:textId="77777777" w:rsidTr="00AF4C18">
        <w:tc>
          <w:tcPr>
            <w:tcW w:w="5382" w:type="dxa"/>
            <w:tcBorders>
              <w:top w:val="nil"/>
              <w:left w:val="single" w:sz="8" w:space="0" w:color="auto"/>
              <w:bottom w:val="nil"/>
              <w:right w:val="nil"/>
            </w:tcBorders>
            <w:shd w:val="clear" w:color="auto" w:fill="auto"/>
            <w:vAlign w:val="center"/>
            <w:hideMark/>
          </w:tcPr>
          <w:p w14:paraId="1A177D3C"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库存</w:t>
            </w:r>
          </w:p>
        </w:tc>
        <w:tc>
          <w:tcPr>
            <w:tcW w:w="2126" w:type="dxa"/>
            <w:tcBorders>
              <w:top w:val="nil"/>
              <w:left w:val="nil"/>
              <w:bottom w:val="nil"/>
              <w:right w:val="single" w:sz="4" w:space="0" w:color="auto"/>
            </w:tcBorders>
            <w:shd w:val="clear" w:color="auto" w:fill="auto"/>
            <w:hideMark/>
          </w:tcPr>
          <w:p w14:paraId="122C2404" w14:textId="4299B9E4"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sz w:val="20"/>
                <w:lang w:val="en-US" w:eastAsia="zh-CN"/>
              </w:rPr>
            </w:pPr>
            <w:r w:rsidRPr="000C156A">
              <w:rPr>
                <w:rFonts w:eastAsia="Times New Roman" w:cs="Calibri"/>
                <w:sz w:val="20"/>
                <w:lang w:val="en-US" w:eastAsia="zh-CN"/>
              </w:rPr>
              <w:t>459</w:t>
            </w:r>
          </w:p>
        </w:tc>
        <w:tc>
          <w:tcPr>
            <w:tcW w:w="2127" w:type="dxa"/>
            <w:tcBorders>
              <w:top w:val="nil"/>
              <w:left w:val="nil"/>
              <w:bottom w:val="nil"/>
              <w:right w:val="single" w:sz="4" w:space="0" w:color="auto"/>
            </w:tcBorders>
            <w:shd w:val="clear" w:color="auto" w:fill="auto"/>
            <w:hideMark/>
          </w:tcPr>
          <w:p w14:paraId="426E704A" w14:textId="1E7D38B2"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539</w:t>
            </w:r>
          </w:p>
        </w:tc>
      </w:tr>
      <w:tr w:rsidR="0059627D" w:rsidRPr="000C156A" w14:paraId="36620D29" w14:textId="77777777" w:rsidTr="00AF4C18">
        <w:tc>
          <w:tcPr>
            <w:tcW w:w="5382" w:type="dxa"/>
            <w:tcBorders>
              <w:top w:val="nil"/>
              <w:left w:val="single" w:sz="8" w:space="0" w:color="auto"/>
              <w:bottom w:val="nil"/>
              <w:right w:val="nil"/>
            </w:tcBorders>
            <w:shd w:val="clear" w:color="auto" w:fill="auto"/>
            <w:vAlign w:val="center"/>
            <w:hideMark/>
          </w:tcPr>
          <w:p w14:paraId="42032954"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其它应收款项</w:t>
            </w:r>
          </w:p>
        </w:tc>
        <w:tc>
          <w:tcPr>
            <w:tcW w:w="2126" w:type="dxa"/>
            <w:tcBorders>
              <w:top w:val="nil"/>
              <w:left w:val="nil"/>
              <w:bottom w:val="nil"/>
              <w:right w:val="single" w:sz="4" w:space="0" w:color="auto"/>
            </w:tcBorders>
            <w:shd w:val="clear" w:color="auto" w:fill="auto"/>
            <w:hideMark/>
          </w:tcPr>
          <w:p w14:paraId="0E5549D2" w14:textId="44F4C879"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9</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439</w:t>
            </w:r>
          </w:p>
        </w:tc>
        <w:tc>
          <w:tcPr>
            <w:tcW w:w="2127" w:type="dxa"/>
            <w:tcBorders>
              <w:top w:val="nil"/>
              <w:left w:val="nil"/>
              <w:bottom w:val="nil"/>
              <w:right w:val="single" w:sz="4" w:space="0" w:color="auto"/>
            </w:tcBorders>
            <w:shd w:val="clear" w:color="auto" w:fill="auto"/>
            <w:hideMark/>
          </w:tcPr>
          <w:p w14:paraId="78FDA9A5" w14:textId="7DBBB28E"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8</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213</w:t>
            </w:r>
          </w:p>
        </w:tc>
      </w:tr>
      <w:tr w:rsidR="0059627D" w:rsidRPr="000C156A" w14:paraId="3C9A068D" w14:textId="77777777" w:rsidTr="00AF4C18">
        <w:tc>
          <w:tcPr>
            <w:tcW w:w="5382" w:type="dxa"/>
            <w:tcBorders>
              <w:top w:val="nil"/>
              <w:left w:val="single" w:sz="8" w:space="0" w:color="auto"/>
              <w:bottom w:val="nil"/>
              <w:right w:val="nil"/>
            </w:tcBorders>
            <w:shd w:val="clear" w:color="auto" w:fill="auto"/>
            <w:vAlign w:val="center"/>
            <w:hideMark/>
          </w:tcPr>
          <w:p w14:paraId="6A9FBF39" w14:textId="52A4E252" w:rsidR="0059627D" w:rsidRPr="000C156A" w:rsidRDefault="00134BF2" w:rsidP="0059627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0C156A">
              <w:rPr>
                <w:rFonts w:cs="Calibri" w:hint="eastAsia"/>
                <w:color w:val="000000"/>
                <w:sz w:val="20"/>
                <w:lang w:val="en-US" w:eastAsia="zh-CN"/>
              </w:rPr>
              <w:t>UNSMIS</w:t>
            </w:r>
          </w:p>
        </w:tc>
        <w:tc>
          <w:tcPr>
            <w:tcW w:w="2126" w:type="dxa"/>
            <w:tcBorders>
              <w:top w:val="nil"/>
              <w:left w:val="nil"/>
              <w:bottom w:val="nil"/>
              <w:right w:val="single" w:sz="4" w:space="0" w:color="auto"/>
            </w:tcBorders>
            <w:shd w:val="clear" w:color="auto" w:fill="auto"/>
            <w:hideMark/>
          </w:tcPr>
          <w:p w14:paraId="0D77EC0A" w14:textId="24BDE14E"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w:t>
            </w:r>
          </w:p>
        </w:tc>
        <w:tc>
          <w:tcPr>
            <w:tcW w:w="2127" w:type="dxa"/>
            <w:tcBorders>
              <w:top w:val="nil"/>
              <w:left w:val="nil"/>
              <w:bottom w:val="nil"/>
              <w:right w:val="single" w:sz="4" w:space="0" w:color="auto"/>
            </w:tcBorders>
            <w:shd w:val="clear" w:color="auto" w:fill="auto"/>
            <w:hideMark/>
          </w:tcPr>
          <w:p w14:paraId="4CA6F88D" w14:textId="23794095"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21</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154</w:t>
            </w:r>
          </w:p>
        </w:tc>
      </w:tr>
      <w:tr w:rsidR="0059627D" w:rsidRPr="000C156A" w14:paraId="2EE28FE1" w14:textId="77777777" w:rsidTr="00AF4C18">
        <w:tc>
          <w:tcPr>
            <w:tcW w:w="5382" w:type="dxa"/>
            <w:tcBorders>
              <w:top w:val="nil"/>
              <w:left w:val="single" w:sz="8" w:space="0" w:color="auto"/>
              <w:bottom w:val="nil"/>
              <w:right w:val="nil"/>
            </w:tcBorders>
            <w:shd w:val="clear" w:color="auto" w:fill="auto"/>
            <w:vAlign w:val="center"/>
            <w:hideMark/>
          </w:tcPr>
          <w:p w14:paraId="7BFA1414"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en-US" w:eastAsia="zh-CN"/>
              </w:rPr>
              <w:t>流动资产总额</w:t>
            </w:r>
          </w:p>
        </w:tc>
        <w:tc>
          <w:tcPr>
            <w:tcW w:w="2126" w:type="dxa"/>
            <w:tcBorders>
              <w:top w:val="nil"/>
              <w:left w:val="nil"/>
              <w:bottom w:val="nil"/>
              <w:right w:val="single" w:sz="4" w:space="0" w:color="auto"/>
            </w:tcBorders>
            <w:shd w:val="clear" w:color="auto" w:fill="auto"/>
            <w:hideMark/>
          </w:tcPr>
          <w:p w14:paraId="43E140B2" w14:textId="7DAF6666"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302</w:t>
            </w:r>
            <w:r w:rsidR="00CF258E" w:rsidRPr="000C156A">
              <w:rPr>
                <w:rFonts w:eastAsia="Times New Roman" w:cs="Calibri"/>
                <w:b/>
                <w:bCs/>
                <w:color w:val="000000"/>
                <w:sz w:val="20"/>
                <w:lang w:val="en-US" w:eastAsia="zh-CN"/>
              </w:rPr>
              <w:t xml:space="preserve"> </w:t>
            </w:r>
            <w:r w:rsidRPr="000C156A">
              <w:rPr>
                <w:rFonts w:eastAsia="Times New Roman" w:cs="Calibri"/>
                <w:b/>
                <w:bCs/>
                <w:color w:val="000000"/>
                <w:sz w:val="20"/>
                <w:lang w:val="en-US" w:eastAsia="zh-CN"/>
              </w:rPr>
              <w:t>607</w:t>
            </w:r>
          </w:p>
        </w:tc>
        <w:tc>
          <w:tcPr>
            <w:tcW w:w="2127" w:type="dxa"/>
            <w:tcBorders>
              <w:top w:val="nil"/>
              <w:left w:val="nil"/>
              <w:bottom w:val="nil"/>
              <w:right w:val="single" w:sz="4" w:space="0" w:color="auto"/>
            </w:tcBorders>
            <w:shd w:val="clear" w:color="auto" w:fill="auto"/>
            <w:hideMark/>
          </w:tcPr>
          <w:p w14:paraId="337BC934" w14:textId="4CF841D4"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336</w:t>
            </w:r>
            <w:r w:rsidR="00CF258E" w:rsidRPr="000C156A">
              <w:rPr>
                <w:rFonts w:eastAsia="Times New Roman" w:cs="Calibri"/>
                <w:b/>
                <w:bCs/>
                <w:color w:val="000000"/>
                <w:sz w:val="20"/>
                <w:lang w:val="en-US" w:eastAsia="zh-CN"/>
              </w:rPr>
              <w:t xml:space="preserve"> </w:t>
            </w:r>
            <w:r w:rsidRPr="000C156A">
              <w:rPr>
                <w:rFonts w:eastAsia="Times New Roman" w:cs="Calibri"/>
                <w:b/>
                <w:bCs/>
                <w:color w:val="000000"/>
                <w:sz w:val="20"/>
                <w:lang w:val="en-US" w:eastAsia="zh-CN"/>
              </w:rPr>
              <w:t>873</w:t>
            </w:r>
          </w:p>
        </w:tc>
      </w:tr>
      <w:tr w:rsidR="0059627D" w:rsidRPr="000C156A" w14:paraId="47C8DF10" w14:textId="77777777" w:rsidTr="00AF4C18">
        <w:tc>
          <w:tcPr>
            <w:tcW w:w="5382" w:type="dxa"/>
            <w:tcBorders>
              <w:top w:val="nil"/>
              <w:left w:val="single" w:sz="8" w:space="0" w:color="auto"/>
              <w:bottom w:val="nil"/>
              <w:right w:val="nil"/>
            </w:tcBorders>
            <w:shd w:val="clear" w:color="auto" w:fill="auto"/>
            <w:vAlign w:val="center"/>
            <w:hideMark/>
          </w:tcPr>
          <w:p w14:paraId="44B68939"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 </w:t>
            </w:r>
          </w:p>
        </w:tc>
        <w:tc>
          <w:tcPr>
            <w:tcW w:w="2126" w:type="dxa"/>
            <w:tcBorders>
              <w:top w:val="nil"/>
              <w:left w:val="nil"/>
              <w:bottom w:val="nil"/>
              <w:right w:val="single" w:sz="4" w:space="0" w:color="auto"/>
            </w:tcBorders>
            <w:shd w:val="clear" w:color="auto" w:fill="auto"/>
            <w:hideMark/>
          </w:tcPr>
          <w:p w14:paraId="29BB2B6C" w14:textId="6B0235B5"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p>
        </w:tc>
        <w:tc>
          <w:tcPr>
            <w:tcW w:w="2127" w:type="dxa"/>
            <w:tcBorders>
              <w:top w:val="nil"/>
              <w:left w:val="nil"/>
              <w:bottom w:val="nil"/>
              <w:right w:val="single" w:sz="4" w:space="0" w:color="auto"/>
            </w:tcBorders>
            <w:shd w:val="clear" w:color="auto" w:fill="auto"/>
            <w:hideMark/>
          </w:tcPr>
          <w:p w14:paraId="0C7D8E4D" w14:textId="4ED35CD6"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p>
        </w:tc>
      </w:tr>
      <w:tr w:rsidR="0059627D" w:rsidRPr="000C156A" w14:paraId="7B9EA929" w14:textId="77777777" w:rsidTr="00AF4C18">
        <w:tc>
          <w:tcPr>
            <w:tcW w:w="5382" w:type="dxa"/>
            <w:tcBorders>
              <w:top w:val="nil"/>
              <w:left w:val="single" w:sz="8" w:space="0" w:color="auto"/>
              <w:bottom w:val="nil"/>
              <w:right w:val="nil"/>
            </w:tcBorders>
            <w:shd w:val="clear" w:color="auto" w:fill="auto"/>
            <w:vAlign w:val="center"/>
            <w:hideMark/>
          </w:tcPr>
          <w:p w14:paraId="00224068"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en-US" w:eastAsia="zh-CN"/>
              </w:rPr>
              <w:t>非流动资产</w:t>
            </w:r>
          </w:p>
        </w:tc>
        <w:tc>
          <w:tcPr>
            <w:tcW w:w="2126" w:type="dxa"/>
            <w:tcBorders>
              <w:top w:val="nil"/>
              <w:left w:val="nil"/>
              <w:bottom w:val="nil"/>
              <w:right w:val="single" w:sz="4" w:space="0" w:color="auto"/>
            </w:tcBorders>
            <w:shd w:val="clear" w:color="auto" w:fill="auto"/>
            <w:hideMark/>
          </w:tcPr>
          <w:p w14:paraId="3D0D9638" w14:textId="1D9D4FCB"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p>
        </w:tc>
        <w:tc>
          <w:tcPr>
            <w:tcW w:w="2127" w:type="dxa"/>
            <w:tcBorders>
              <w:top w:val="nil"/>
              <w:left w:val="nil"/>
              <w:bottom w:val="nil"/>
              <w:right w:val="single" w:sz="4" w:space="0" w:color="auto"/>
            </w:tcBorders>
            <w:shd w:val="clear" w:color="auto" w:fill="auto"/>
            <w:hideMark/>
          </w:tcPr>
          <w:p w14:paraId="4D48C447" w14:textId="370ACE40"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p>
        </w:tc>
      </w:tr>
      <w:tr w:rsidR="0059627D" w:rsidRPr="000C156A" w14:paraId="1CE2DB27" w14:textId="77777777" w:rsidTr="00AF4C18">
        <w:tc>
          <w:tcPr>
            <w:tcW w:w="5382" w:type="dxa"/>
            <w:tcBorders>
              <w:top w:val="nil"/>
              <w:left w:val="single" w:sz="8" w:space="0" w:color="auto"/>
              <w:bottom w:val="nil"/>
              <w:right w:val="nil"/>
            </w:tcBorders>
            <w:shd w:val="clear" w:color="auto" w:fill="auto"/>
            <w:vAlign w:val="center"/>
            <w:hideMark/>
          </w:tcPr>
          <w:p w14:paraId="10CC9424"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应收款项</w:t>
            </w:r>
            <w:r w:rsidRPr="000C156A">
              <w:rPr>
                <w:rFonts w:cs="Calibri"/>
                <w:color w:val="000000"/>
                <w:sz w:val="20"/>
                <w:lang w:val="en-US" w:eastAsia="zh-CN"/>
              </w:rPr>
              <w:t xml:space="preserve"> – </w:t>
            </w:r>
            <w:r w:rsidRPr="000C156A">
              <w:rPr>
                <w:rFonts w:ascii="SimSun" w:hAnsi="SimSun" w:cs="Calibri" w:hint="eastAsia"/>
                <w:color w:val="000000"/>
                <w:sz w:val="20"/>
                <w:lang w:val="en-US" w:eastAsia="zh-CN"/>
              </w:rPr>
              <w:t>非兑换交易</w:t>
            </w:r>
          </w:p>
        </w:tc>
        <w:tc>
          <w:tcPr>
            <w:tcW w:w="2126" w:type="dxa"/>
            <w:tcBorders>
              <w:top w:val="nil"/>
              <w:left w:val="nil"/>
              <w:bottom w:val="nil"/>
              <w:right w:val="single" w:sz="4" w:space="0" w:color="auto"/>
            </w:tcBorders>
            <w:shd w:val="clear" w:color="auto" w:fill="auto"/>
            <w:hideMark/>
          </w:tcPr>
          <w:p w14:paraId="135BE181" w14:textId="34974D3C"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w:t>
            </w:r>
          </w:p>
        </w:tc>
        <w:tc>
          <w:tcPr>
            <w:tcW w:w="2127" w:type="dxa"/>
            <w:tcBorders>
              <w:top w:val="nil"/>
              <w:left w:val="nil"/>
              <w:bottom w:val="nil"/>
              <w:right w:val="single" w:sz="4" w:space="0" w:color="auto"/>
            </w:tcBorders>
            <w:shd w:val="clear" w:color="auto" w:fill="auto"/>
            <w:hideMark/>
          </w:tcPr>
          <w:p w14:paraId="46E6BCB9" w14:textId="2B7AC46D"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w:t>
            </w:r>
          </w:p>
        </w:tc>
      </w:tr>
      <w:tr w:rsidR="0059627D" w:rsidRPr="000C156A" w14:paraId="2C1E7C4F" w14:textId="77777777" w:rsidTr="00AF4C18">
        <w:tc>
          <w:tcPr>
            <w:tcW w:w="5382" w:type="dxa"/>
            <w:tcBorders>
              <w:top w:val="nil"/>
              <w:left w:val="single" w:sz="8" w:space="0" w:color="auto"/>
              <w:bottom w:val="nil"/>
              <w:right w:val="nil"/>
            </w:tcBorders>
            <w:shd w:val="clear" w:color="auto" w:fill="auto"/>
            <w:vAlign w:val="center"/>
            <w:hideMark/>
          </w:tcPr>
          <w:p w14:paraId="45FE27C2"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物业、机器和设备</w:t>
            </w:r>
          </w:p>
        </w:tc>
        <w:tc>
          <w:tcPr>
            <w:tcW w:w="2126" w:type="dxa"/>
            <w:tcBorders>
              <w:top w:val="nil"/>
              <w:left w:val="nil"/>
              <w:bottom w:val="nil"/>
              <w:right w:val="single" w:sz="4" w:space="0" w:color="auto"/>
            </w:tcBorders>
            <w:shd w:val="clear" w:color="auto" w:fill="auto"/>
            <w:hideMark/>
          </w:tcPr>
          <w:p w14:paraId="424806FB" w14:textId="1FCE43F8"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78</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040</w:t>
            </w:r>
          </w:p>
        </w:tc>
        <w:tc>
          <w:tcPr>
            <w:tcW w:w="2127" w:type="dxa"/>
            <w:tcBorders>
              <w:top w:val="nil"/>
              <w:left w:val="nil"/>
              <w:bottom w:val="nil"/>
              <w:right w:val="single" w:sz="4" w:space="0" w:color="auto"/>
            </w:tcBorders>
            <w:shd w:val="clear" w:color="auto" w:fill="auto"/>
            <w:hideMark/>
          </w:tcPr>
          <w:p w14:paraId="6040AC4A" w14:textId="471247AD"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92</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675</w:t>
            </w:r>
          </w:p>
        </w:tc>
      </w:tr>
      <w:tr w:rsidR="0059627D" w:rsidRPr="000C156A" w14:paraId="11387D7D" w14:textId="77777777" w:rsidTr="00AF4C18">
        <w:tc>
          <w:tcPr>
            <w:tcW w:w="5382" w:type="dxa"/>
            <w:tcBorders>
              <w:top w:val="nil"/>
              <w:left w:val="single" w:sz="8" w:space="0" w:color="auto"/>
              <w:bottom w:val="nil"/>
              <w:right w:val="nil"/>
            </w:tcBorders>
            <w:shd w:val="clear" w:color="auto" w:fill="auto"/>
            <w:vAlign w:val="center"/>
            <w:hideMark/>
          </w:tcPr>
          <w:p w14:paraId="2893ABFB"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无形资产</w:t>
            </w:r>
          </w:p>
        </w:tc>
        <w:tc>
          <w:tcPr>
            <w:tcW w:w="2126" w:type="dxa"/>
            <w:tcBorders>
              <w:top w:val="nil"/>
              <w:left w:val="nil"/>
              <w:bottom w:val="nil"/>
              <w:right w:val="single" w:sz="4" w:space="0" w:color="auto"/>
            </w:tcBorders>
            <w:shd w:val="clear" w:color="auto" w:fill="auto"/>
            <w:hideMark/>
          </w:tcPr>
          <w:p w14:paraId="44398863" w14:textId="235495BC"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1</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443</w:t>
            </w:r>
          </w:p>
        </w:tc>
        <w:tc>
          <w:tcPr>
            <w:tcW w:w="2127" w:type="dxa"/>
            <w:tcBorders>
              <w:top w:val="nil"/>
              <w:left w:val="nil"/>
              <w:bottom w:val="nil"/>
              <w:right w:val="single" w:sz="4" w:space="0" w:color="auto"/>
            </w:tcBorders>
            <w:shd w:val="clear" w:color="auto" w:fill="auto"/>
            <w:noWrap/>
            <w:vAlign w:val="bottom"/>
            <w:hideMark/>
          </w:tcPr>
          <w:p w14:paraId="6E320D63" w14:textId="7F01179F"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1</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886</w:t>
            </w:r>
          </w:p>
        </w:tc>
      </w:tr>
      <w:tr w:rsidR="0059627D" w:rsidRPr="000C156A" w14:paraId="5B0142EC" w14:textId="77777777" w:rsidTr="00AF4C18">
        <w:tc>
          <w:tcPr>
            <w:tcW w:w="5382" w:type="dxa"/>
            <w:tcBorders>
              <w:top w:val="nil"/>
              <w:left w:val="single" w:sz="8" w:space="0" w:color="auto"/>
              <w:bottom w:val="nil"/>
              <w:right w:val="nil"/>
            </w:tcBorders>
            <w:shd w:val="clear" w:color="auto" w:fill="auto"/>
            <w:vAlign w:val="center"/>
            <w:hideMark/>
          </w:tcPr>
          <w:p w14:paraId="3F32D4E4"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在建资产</w:t>
            </w:r>
          </w:p>
        </w:tc>
        <w:tc>
          <w:tcPr>
            <w:tcW w:w="2126" w:type="dxa"/>
            <w:tcBorders>
              <w:top w:val="nil"/>
              <w:left w:val="nil"/>
              <w:bottom w:val="nil"/>
              <w:right w:val="single" w:sz="4" w:space="0" w:color="auto"/>
            </w:tcBorders>
            <w:shd w:val="clear" w:color="auto" w:fill="auto"/>
            <w:hideMark/>
          </w:tcPr>
          <w:p w14:paraId="1C1DF650" w14:textId="67F43628"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9</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443</w:t>
            </w:r>
          </w:p>
        </w:tc>
        <w:tc>
          <w:tcPr>
            <w:tcW w:w="2127" w:type="dxa"/>
            <w:tcBorders>
              <w:top w:val="nil"/>
              <w:left w:val="nil"/>
              <w:bottom w:val="nil"/>
              <w:right w:val="single" w:sz="4" w:space="0" w:color="auto"/>
            </w:tcBorders>
            <w:shd w:val="clear" w:color="auto" w:fill="auto"/>
            <w:noWrap/>
            <w:vAlign w:val="bottom"/>
            <w:hideMark/>
          </w:tcPr>
          <w:p w14:paraId="447F197A" w14:textId="1ECE7F10"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5</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190</w:t>
            </w:r>
          </w:p>
        </w:tc>
      </w:tr>
      <w:tr w:rsidR="0059627D" w:rsidRPr="000C156A" w14:paraId="4BC7EB1A" w14:textId="77777777" w:rsidTr="00AF4C18">
        <w:tc>
          <w:tcPr>
            <w:tcW w:w="5382" w:type="dxa"/>
            <w:tcBorders>
              <w:top w:val="nil"/>
              <w:left w:val="single" w:sz="8" w:space="0" w:color="auto"/>
              <w:bottom w:val="nil"/>
              <w:right w:val="nil"/>
            </w:tcBorders>
            <w:shd w:val="clear" w:color="auto" w:fill="auto"/>
            <w:vAlign w:val="center"/>
            <w:hideMark/>
          </w:tcPr>
          <w:p w14:paraId="5A713D43" w14:textId="4B96FF3B" w:rsidR="0059627D" w:rsidRPr="000C156A" w:rsidRDefault="009F2111" w:rsidP="0059627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0C156A">
              <w:rPr>
                <w:rFonts w:cs="Calibri" w:hint="eastAsia"/>
                <w:color w:val="000000"/>
                <w:sz w:val="20"/>
                <w:lang w:val="en-US" w:eastAsia="zh-CN"/>
              </w:rPr>
              <w:t>UNSMIS</w:t>
            </w:r>
          </w:p>
        </w:tc>
        <w:tc>
          <w:tcPr>
            <w:tcW w:w="2126" w:type="dxa"/>
            <w:tcBorders>
              <w:top w:val="nil"/>
              <w:left w:val="nil"/>
              <w:bottom w:val="nil"/>
              <w:right w:val="single" w:sz="4" w:space="0" w:color="auto"/>
            </w:tcBorders>
            <w:shd w:val="clear" w:color="auto" w:fill="auto"/>
            <w:hideMark/>
          </w:tcPr>
          <w:p w14:paraId="454811E6" w14:textId="72ED5D2E"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17</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441</w:t>
            </w:r>
          </w:p>
        </w:tc>
        <w:tc>
          <w:tcPr>
            <w:tcW w:w="2127" w:type="dxa"/>
            <w:tcBorders>
              <w:top w:val="nil"/>
              <w:left w:val="nil"/>
              <w:bottom w:val="nil"/>
              <w:right w:val="single" w:sz="4" w:space="0" w:color="auto"/>
            </w:tcBorders>
            <w:shd w:val="clear" w:color="auto" w:fill="auto"/>
            <w:noWrap/>
            <w:vAlign w:val="bottom"/>
            <w:hideMark/>
          </w:tcPr>
          <w:p w14:paraId="78E3873B" w14:textId="171C9BC9"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20</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877</w:t>
            </w:r>
          </w:p>
        </w:tc>
      </w:tr>
      <w:tr w:rsidR="0059627D" w:rsidRPr="000C156A" w14:paraId="4592FB78" w14:textId="77777777" w:rsidTr="00AF4C18">
        <w:tc>
          <w:tcPr>
            <w:tcW w:w="5382" w:type="dxa"/>
            <w:tcBorders>
              <w:top w:val="nil"/>
              <w:left w:val="single" w:sz="8" w:space="0" w:color="auto"/>
              <w:bottom w:val="nil"/>
              <w:right w:val="nil"/>
            </w:tcBorders>
            <w:shd w:val="clear" w:color="auto" w:fill="auto"/>
            <w:vAlign w:val="center"/>
            <w:hideMark/>
          </w:tcPr>
          <w:p w14:paraId="4F932A46"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en-US" w:eastAsia="zh-CN"/>
              </w:rPr>
              <w:t>非流动资产总额</w:t>
            </w:r>
          </w:p>
        </w:tc>
        <w:tc>
          <w:tcPr>
            <w:tcW w:w="2126" w:type="dxa"/>
            <w:tcBorders>
              <w:top w:val="nil"/>
              <w:left w:val="nil"/>
              <w:bottom w:val="nil"/>
              <w:right w:val="single" w:sz="4" w:space="0" w:color="auto"/>
            </w:tcBorders>
            <w:shd w:val="clear" w:color="auto" w:fill="auto"/>
            <w:hideMark/>
          </w:tcPr>
          <w:p w14:paraId="5BC9937F" w14:textId="3F911B0D"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106</w:t>
            </w:r>
            <w:r w:rsidR="00CF258E" w:rsidRPr="000C156A">
              <w:rPr>
                <w:rFonts w:eastAsia="Times New Roman" w:cs="Calibri"/>
                <w:b/>
                <w:bCs/>
                <w:color w:val="000000"/>
                <w:sz w:val="20"/>
                <w:lang w:val="en-US" w:eastAsia="zh-CN"/>
              </w:rPr>
              <w:t xml:space="preserve"> </w:t>
            </w:r>
            <w:r w:rsidRPr="000C156A">
              <w:rPr>
                <w:rFonts w:eastAsia="Times New Roman" w:cs="Calibri"/>
                <w:b/>
                <w:bCs/>
                <w:color w:val="000000"/>
                <w:sz w:val="20"/>
                <w:lang w:val="en-US" w:eastAsia="zh-CN"/>
              </w:rPr>
              <w:t>367</w:t>
            </w:r>
          </w:p>
        </w:tc>
        <w:tc>
          <w:tcPr>
            <w:tcW w:w="2127" w:type="dxa"/>
            <w:tcBorders>
              <w:top w:val="nil"/>
              <w:left w:val="nil"/>
              <w:bottom w:val="nil"/>
              <w:right w:val="single" w:sz="4" w:space="0" w:color="auto"/>
            </w:tcBorders>
            <w:shd w:val="clear" w:color="auto" w:fill="auto"/>
            <w:hideMark/>
          </w:tcPr>
          <w:p w14:paraId="5F2C67B2" w14:textId="3CC7A1EE"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120</w:t>
            </w:r>
            <w:r w:rsidR="00CF258E" w:rsidRPr="000C156A">
              <w:rPr>
                <w:rFonts w:eastAsia="Times New Roman" w:cs="Calibri"/>
                <w:b/>
                <w:bCs/>
                <w:color w:val="000000"/>
                <w:sz w:val="20"/>
                <w:lang w:val="en-US" w:eastAsia="zh-CN"/>
              </w:rPr>
              <w:t xml:space="preserve"> </w:t>
            </w:r>
            <w:r w:rsidRPr="000C156A">
              <w:rPr>
                <w:rFonts w:eastAsia="Times New Roman" w:cs="Calibri"/>
                <w:b/>
                <w:bCs/>
                <w:color w:val="000000"/>
                <w:sz w:val="20"/>
                <w:lang w:val="en-US" w:eastAsia="zh-CN"/>
              </w:rPr>
              <w:t>628</w:t>
            </w:r>
          </w:p>
        </w:tc>
      </w:tr>
      <w:tr w:rsidR="0059627D" w:rsidRPr="000C156A" w14:paraId="06A6442B" w14:textId="77777777" w:rsidTr="00AF4C18">
        <w:tc>
          <w:tcPr>
            <w:tcW w:w="5382" w:type="dxa"/>
            <w:tcBorders>
              <w:top w:val="nil"/>
              <w:left w:val="single" w:sz="4" w:space="0" w:color="auto"/>
              <w:bottom w:val="nil"/>
              <w:right w:val="nil"/>
            </w:tcBorders>
            <w:shd w:val="clear" w:color="auto" w:fill="auto"/>
            <w:hideMark/>
          </w:tcPr>
          <w:p w14:paraId="32C60256"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 </w:t>
            </w:r>
          </w:p>
        </w:tc>
        <w:tc>
          <w:tcPr>
            <w:tcW w:w="2126" w:type="dxa"/>
            <w:tcBorders>
              <w:top w:val="nil"/>
              <w:left w:val="nil"/>
              <w:bottom w:val="nil"/>
              <w:right w:val="single" w:sz="4" w:space="0" w:color="auto"/>
            </w:tcBorders>
            <w:shd w:val="clear" w:color="auto" w:fill="auto"/>
            <w:hideMark/>
          </w:tcPr>
          <w:p w14:paraId="71546B9D" w14:textId="519C09FE"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p>
        </w:tc>
        <w:tc>
          <w:tcPr>
            <w:tcW w:w="2127" w:type="dxa"/>
            <w:tcBorders>
              <w:top w:val="nil"/>
              <w:left w:val="nil"/>
              <w:bottom w:val="nil"/>
              <w:right w:val="single" w:sz="4" w:space="0" w:color="auto"/>
            </w:tcBorders>
            <w:shd w:val="clear" w:color="auto" w:fill="auto"/>
            <w:hideMark/>
          </w:tcPr>
          <w:p w14:paraId="4EB16616" w14:textId="6A3829A4"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p>
        </w:tc>
      </w:tr>
      <w:tr w:rsidR="0059627D" w:rsidRPr="000C156A" w14:paraId="6EF6B92E" w14:textId="77777777" w:rsidTr="00AF4C18">
        <w:tc>
          <w:tcPr>
            <w:tcW w:w="5382" w:type="dxa"/>
            <w:tcBorders>
              <w:top w:val="single" w:sz="4" w:space="0" w:color="auto"/>
              <w:left w:val="single" w:sz="4" w:space="0" w:color="auto"/>
              <w:bottom w:val="single" w:sz="4" w:space="0" w:color="auto"/>
              <w:right w:val="nil"/>
            </w:tcBorders>
            <w:shd w:val="clear" w:color="auto" w:fill="auto"/>
            <w:noWrap/>
            <w:vAlign w:val="center"/>
            <w:hideMark/>
          </w:tcPr>
          <w:p w14:paraId="3391E7DC"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en-US" w:eastAsia="zh-CN"/>
              </w:rPr>
              <w:t>资产总额</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F78AC46" w14:textId="07A266A7"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408</w:t>
            </w:r>
            <w:r w:rsidR="00CF258E" w:rsidRPr="000C156A">
              <w:rPr>
                <w:rFonts w:eastAsia="Times New Roman" w:cs="Calibri"/>
                <w:b/>
                <w:bCs/>
                <w:color w:val="000000"/>
                <w:sz w:val="20"/>
                <w:lang w:val="en-US" w:eastAsia="zh-CN"/>
              </w:rPr>
              <w:t xml:space="preserve"> </w:t>
            </w:r>
            <w:r w:rsidRPr="000C156A">
              <w:rPr>
                <w:rFonts w:eastAsia="Times New Roman" w:cs="Calibri"/>
                <w:b/>
                <w:bCs/>
                <w:color w:val="000000"/>
                <w:sz w:val="20"/>
                <w:lang w:val="en-US" w:eastAsia="zh-CN"/>
              </w:rPr>
              <w:t>974</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5375F2F6" w14:textId="7C48C19F"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457</w:t>
            </w:r>
            <w:r w:rsidR="00CF258E" w:rsidRPr="000C156A">
              <w:rPr>
                <w:rFonts w:eastAsia="Times New Roman" w:cs="Calibri"/>
                <w:b/>
                <w:bCs/>
                <w:color w:val="000000"/>
                <w:sz w:val="20"/>
                <w:lang w:val="en-US" w:eastAsia="zh-CN"/>
              </w:rPr>
              <w:t xml:space="preserve"> </w:t>
            </w:r>
            <w:r w:rsidRPr="000C156A">
              <w:rPr>
                <w:rFonts w:eastAsia="Times New Roman" w:cs="Calibri"/>
                <w:b/>
                <w:bCs/>
                <w:color w:val="000000"/>
                <w:sz w:val="20"/>
                <w:lang w:val="en-US" w:eastAsia="zh-CN"/>
              </w:rPr>
              <w:t>501</w:t>
            </w:r>
          </w:p>
        </w:tc>
      </w:tr>
      <w:tr w:rsidR="0059627D" w:rsidRPr="000C156A" w14:paraId="514447D4" w14:textId="77777777" w:rsidTr="00AF4C18">
        <w:tc>
          <w:tcPr>
            <w:tcW w:w="5382" w:type="dxa"/>
            <w:tcBorders>
              <w:top w:val="nil"/>
              <w:left w:val="single" w:sz="8" w:space="0" w:color="auto"/>
              <w:bottom w:val="nil"/>
              <w:right w:val="nil"/>
            </w:tcBorders>
            <w:shd w:val="clear" w:color="auto" w:fill="auto"/>
            <w:vAlign w:val="center"/>
            <w:hideMark/>
          </w:tcPr>
          <w:p w14:paraId="0A2B168C"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en-US" w:eastAsia="zh-CN"/>
              </w:rPr>
              <w:t>负债</w:t>
            </w:r>
          </w:p>
        </w:tc>
        <w:tc>
          <w:tcPr>
            <w:tcW w:w="2126" w:type="dxa"/>
            <w:tcBorders>
              <w:top w:val="nil"/>
              <w:left w:val="nil"/>
              <w:bottom w:val="nil"/>
              <w:right w:val="single" w:sz="4" w:space="0" w:color="auto"/>
            </w:tcBorders>
            <w:shd w:val="clear" w:color="auto" w:fill="auto"/>
            <w:hideMark/>
          </w:tcPr>
          <w:p w14:paraId="320C9DA6" w14:textId="0E38F05E"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p>
        </w:tc>
        <w:tc>
          <w:tcPr>
            <w:tcW w:w="2127" w:type="dxa"/>
            <w:tcBorders>
              <w:top w:val="nil"/>
              <w:left w:val="nil"/>
              <w:bottom w:val="nil"/>
              <w:right w:val="single" w:sz="4" w:space="0" w:color="auto"/>
            </w:tcBorders>
            <w:shd w:val="clear" w:color="auto" w:fill="auto"/>
            <w:hideMark/>
          </w:tcPr>
          <w:p w14:paraId="2908CA43" w14:textId="396A0683"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p>
        </w:tc>
      </w:tr>
      <w:tr w:rsidR="0059627D" w:rsidRPr="000C156A" w14:paraId="2FE09E5F" w14:textId="77777777" w:rsidTr="00AF4C18">
        <w:tc>
          <w:tcPr>
            <w:tcW w:w="5382" w:type="dxa"/>
            <w:tcBorders>
              <w:top w:val="nil"/>
              <w:left w:val="single" w:sz="8" w:space="0" w:color="auto"/>
              <w:bottom w:val="nil"/>
              <w:right w:val="nil"/>
            </w:tcBorders>
            <w:shd w:val="clear" w:color="auto" w:fill="auto"/>
            <w:vAlign w:val="center"/>
            <w:hideMark/>
          </w:tcPr>
          <w:p w14:paraId="4384618A"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en-US" w:eastAsia="zh-CN"/>
              </w:rPr>
              <w:t>流动负债</w:t>
            </w:r>
          </w:p>
        </w:tc>
        <w:tc>
          <w:tcPr>
            <w:tcW w:w="2126" w:type="dxa"/>
            <w:tcBorders>
              <w:top w:val="nil"/>
              <w:left w:val="nil"/>
              <w:bottom w:val="nil"/>
              <w:right w:val="single" w:sz="4" w:space="0" w:color="auto"/>
            </w:tcBorders>
            <w:shd w:val="clear" w:color="auto" w:fill="auto"/>
            <w:hideMark/>
          </w:tcPr>
          <w:p w14:paraId="489EB696" w14:textId="3388AA8E"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p>
        </w:tc>
        <w:tc>
          <w:tcPr>
            <w:tcW w:w="2127" w:type="dxa"/>
            <w:tcBorders>
              <w:top w:val="nil"/>
              <w:left w:val="nil"/>
              <w:bottom w:val="nil"/>
              <w:right w:val="single" w:sz="4" w:space="0" w:color="auto"/>
            </w:tcBorders>
            <w:shd w:val="clear" w:color="auto" w:fill="auto"/>
            <w:hideMark/>
          </w:tcPr>
          <w:p w14:paraId="0BCF6EF7" w14:textId="1D03D0B2"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p>
        </w:tc>
      </w:tr>
      <w:tr w:rsidR="0059627D" w:rsidRPr="000C156A" w14:paraId="352B76E8" w14:textId="77777777" w:rsidTr="00AF4C18">
        <w:tc>
          <w:tcPr>
            <w:tcW w:w="5382" w:type="dxa"/>
            <w:tcBorders>
              <w:top w:val="nil"/>
              <w:left w:val="single" w:sz="8" w:space="0" w:color="auto"/>
              <w:bottom w:val="nil"/>
              <w:right w:val="nil"/>
            </w:tcBorders>
            <w:shd w:val="clear" w:color="auto" w:fill="auto"/>
            <w:vAlign w:val="center"/>
            <w:hideMark/>
          </w:tcPr>
          <w:p w14:paraId="57287588"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供应商和其它债权人</w:t>
            </w:r>
          </w:p>
        </w:tc>
        <w:tc>
          <w:tcPr>
            <w:tcW w:w="2126" w:type="dxa"/>
            <w:tcBorders>
              <w:top w:val="nil"/>
              <w:left w:val="nil"/>
              <w:bottom w:val="nil"/>
              <w:right w:val="single" w:sz="4" w:space="0" w:color="auto"/>
            </w:tcBorders>
            <w:shd w:val="clear" w:color="auto" w:fill="auto"/>
            <w:hideMark/>
          </w:tcPr>
          <w:p w14:paraId="4631C623" w14:textId="3669FE9A"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sz w:val="20"/>
                <w:lang w:val="en-US" w:eastAsia="zh-CN"/>
              </w:rPr>
            </w:pPr>
            <w:r w:rsidRPr="000C156A">
              <w:rPr>
                <w:rFonts w:eastAsia="Times New Roman" w:cs="Calibri"/>
                <w:sz w:val="20"/>
                <w:lang w:val="en-US" w:eastAsia="zh-CN"/>
              </w:rPr>
              <w:t>6</w:t>
            </w:r>
            <w:r w:rsidR="00CF258E" w:rsidRPr="000C156A">
              <w:rPr>
                <w:rFonts w:eastAsia="Times New Roman" w:cs="Calibri"/>
                <w:sz w:val="20"/>
                <w:lang w:val="en-US" w:eastAsia="zh-CN"/>
              </w:rPr>
              <w:t xml:space="preserve"> </w:t>
            </w:r>
            <w:r w:rsidRPr="000C156A">
              <w:rPr>
                <w:rFonts w:eastAsia="Times New Roman" w:cs="Calibri"/>
                <w:sz w:val="20"/>
                <w:lang w:val="en-US" w:eastAsia="zh-CN"/>
              </w:rPr>
              <w:t>015</w:t>
            </w:r>
          </w:p>
        </w:tc>
        <w:tc>
          <w:tcPr>
            <w:tcW w:w="2127" w:type="dxa"/>
            <w:tcBorders>
              <w:top w:val="nil"/>
              <w:left w:val="nil"/>
              <w:bottom w:val="nil"/>
              <w:right w:val="single" w:sz="4" w:space="0" w:color="auto"/>
            </w:tcBorders>
            <w:shd w:val="clear" w:color="auto" w:fill="auto"/>
            <w:hideMark/>
          </w:tcPr>
          <w:p w14:paraId="7E8AFD7C" w14:textId="1B592DCB"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8</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508</w:t>
            </w:r>
          </w:p>
        </w:tc>
      </w:tr>
      <w:tr w:rsidR="0059627D" w:rsidRPr="000C156A" w14:paraId="6A5BFF10" w14:textId="77777777" w:rsidTr="00AF4C18">
        <w:tc>
          <w:tcPr>
            <w:tcW w:w="5382" w:type="dxa"/>
            <w:tcBorders>
              <w:top w:val="nil"/>
              <w:left w:val="single" w:sz="8" w:space="0" w:color="auto"/>
              <w:bottom w:val="nil"/>
              <w:right w:val="nil"/>
            </w:tcBorders>
            <w:shd w:val="clear" w:color="auto" w:fill="auto"/>
            <w:vAlign w:val="center"/>
            <w:hideMark/>
          </w:tcPr>
          <w:p w14:paraId="5F7D7BAB"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递延收入</w:t>
            </w:r>
          </w:p>
        </w:tc>
        <w:tc>
          <w:tcPr>
            <w:tcW w:w="2126" w:type="dxa"/>
            <w:tcBorders>
              <w:top w:val="nil"/>
              <w:left w:val="nil"/>
              <w:bottom w:val="nil"/>
              <w:right w:val="single" w:sz="4" w:space="0" w:color="auto"/>
            </w:tcBorders>
            <w:shd w:val="clear" w:color="auto" w:fill="auto"/>
            <w:hideMark/>
          </w:tcPr>
          <w:p w14:paraId="6BFE43B5" w14:textId="473E820A"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sz w:val="20"/>
                <w:lang w:val="en-US" w:eastAsia="zh-CN"/>
              </w:rPr>
            </w:pPr>
            <w:r w:rsidRPr="000C156A">
              <w:rPr>
                <w:rFonts w:eastAsia="Times New Roman" w:cs="Calibri"/>
                <w:sz w:val="20"/>
                <w:lang w:val="en-US" w:eastAsia="zh-CN"/>
              </w:rPr>
              <w:t>132</w:t>
            </w:r>
            <w:r w:rsidR="00CF258E" w:rsidRPr="000C156A">
              <w:rPr>
                <w:rFonts w:eastAsia="Times New Roman" w:cs="Calibri"/>
                <w:sz w:val="20"/>
                <w:lang w:val="en-US" w:eastAsia="zh-CN"/>
              </w:rPr>
              <w:t xml:space="preserve"> </w:t>
            </w:r>
            <w:r w:rsidRPr="000C156A">
              <w:rPr>
                <w:rFonts w:eastAsia="Times New Roman" w:cs="Calibri"/>
                <w:sz w:val="20"/>
                <w:lang w:val="en-US" w:eastAsia="zh-CN"/>
              </w:rPr>
              <w:t>566</w:t>
            </w:r>
          </w:p>
        </w:tc>
        <w:tc>
          <w:tcPr>
            <w:tcW w:w="2127" w:type="dxa"/>
            <w:tcBorders>
              <w:top w:val="nil"/>
              <w:left w:val="nil"/>
              <w:bottom w:val="nil"/>
              <w:right w:val="single" w:sz="4" w:space="0" w:color="auto"/>
            </w:tcBorders>
            <w:shd w:val="clear" w:color="auto" w:fill="auto"/>
            <w:hideMark/>
          </w:tcPr>
          <w:p w14:paraId="147868DF" w14:textId="440F8370"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135</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642</w:t>
            </w:r>
          </w:p>
        </w:tc>
      </w:tr>
      <w:tr w:rsidR="0059627D" w:rsidRPr="000C156A" w14:paraId="334BB6C8" w14:textId="77777777" w:rsidTr="00AF4C18">
        <w:tc>
          <w:tcPr>
            <w:tcW w:w="5382" w:type="dxa"/>
            <w:tcBorders>
              <w:top w:val="nil"/>
              <w:left w:val="single" w:sz="8" w:space="0" w:color="auto"/>
              <w:bottom w:val="nil"/>
              <w:right w:val="nil"/>
            </w:tcBorders>
            <w:shd w:val="clear" w:color="auto" w:fill="auto"/>
            <w:vAlign w:val="center"/>
            <w:hideMark/>
          </w:tcPr>
          <w:p w14:paraId="6654F0A9" w14:textId="0CBEC81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借款和</w:t>
            </w:r>
            <w:r w:rsidR="009F2111" w:rsidRPr="000C156A">
              <w:rPr>
                <w:rFonts w:ascii="SimSun" w:hAnsi="SimSun" w:cs="Calibri" w:hint="eastAsia"/>
                <w:color w:val="000000"/>
                <w:sz w:val="20"/>
                <w:lang w:val="en-US" w:eastAsia="zh-CN"/>
              </w:rPr>
              <w:t>理财负债</w:t>
            </w:r>
          </w:p>
        </w:tc>
        <w:tc>
          <w:tcPr>
            <w:tcW w:w="2126" w:type="dxa"/>
            <w:tcBorders>
              <w:top w:val="nil"/>
              <w:left w:val="nil"/>
              <w:bottom w:val="nil"/>
              <w:right w:val="single" w:sz="4" w:space="0" w:color="auto"/>
            </w:tcBorders>
            <w:shd w:val="clear" w:color="auto" w:fill="auto"/>
            <w:hideMark/>
          </w:tcPr>
          <w:p w14:paraId="63A17A27" w14:textId="2232364F"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sz w:val="20"/>
                <w:lang w:val="en-US" w:eastAsia="zh-CN"/>
              </w:rPr>
            </w:pPr>
            <w:r w:rsidRPr="000C156A">
              <w:rPr>
                <w:rFonts w:eastAsia="Times New Roman" w:cs="Calibri"/>
                <w:sz w:val="20"/>
                <w:lang w:val="en-US" w:eastAsia="zh-CN"/>
              </w:rPr>
              <w:t>1</w:t>
            </w:r>
            <w:r w:rsidR="00CF258E" w:rsidRPr="000C156A">
              <w:rPr>
                <w:rFonts w:eastAsia="Times New Roman" w:cs="Calibri"/>
                <w:sz w:val="20"/>
                <w:lang w:val="en-US" w:eastAsia="zh-CN"/>
              </w:rPr>
              <w:t xml:space="preserve"> </w:t>
            </w:r>
            <w:r w:rsidRPr="000C156A">
              <w:rPr>
                <w:rFonts w:eastAsia="Times New Roman" w:cs="Calibri"/>
                <w:sz w:val="20"/>
                <w:lang w:val="en-US" w:eastAsia="zh-CN"/>
              </w:rPr>
              <w:t>391</w:t>
            </w:r>
          </w:p>
        </w:tc>
        <w:tc>
          <w:tcPr>
            <w:tcW w:w="2127" w:type="dxa"/>
            <w:tcBorders>
              <w:top w:val="nil"/>
              <w:left w:val="nil"/>
              <w:bottom w:val="nil"/>
              <w:right w:val="single" w:sz="4" w:space="0" w:color="auto"/>
            </w:tcBorders>
            <w:shd w:val="clear" w:color="auto" w:fill="auto"/>
            <w:hideMark/>
          </w:tcPr>
          <w:p w14:paraId="44D8268D" w14:textId="7B5A2746"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1</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493</w:t>
            </w:r>
          </w:p>
        </w:tc>
      </w:tr>
      <w:tr w:rsidR="0059627D" w:rsidRPr="000C156A" w14:paraId="57CE7E98" w14:textId="77777777" w:rsidTr="00AF4C18">
        <w:tc>
          <w:tcPr>
            <w:tcW w:w="5382" w:type="dxa"/>
            <w:tcBorders>
              <w:top w:val="nil"/>
              <w:left w:val="single" w:sz="8" w:space="0" w:color="auto"/>
              <w:bottom w:val="nil"/>
              <w:right w:val="nil"/>
            </w:tcBorders>
            <w:shd w:val="clear" w:color="auto" w:fill="auto"/>
            <w:vAlign w:val="center"/>
            <w:hideMark/>
          </w:tcPr>
          <w:p w14:paraId="7AAFDC09"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职员福利</w:t>
            </w:r>
          </w:p>
        </w:tc>
        <w:tc>
          <w:tcPr>
            <w:tcW w:w="2126" w:type="dxa"/>
            <w:tcBorders>
              <w:top w:val="nil"/>
              <w:left w:val="nil"/>
              <w:bottom w:val="nil"/>
              <w:right w:val="single" w:sz="4" w:space="0" w:color="auto"/>
            </w:tcBorders>
            <w:shd w:val="clear" w:color="auto" w:fill="auto"/>
            <w:hideMark/>
          </w:tcPr>
          <w:p w14:paraId="47994D1D" w14:textId="4CA19992"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sz w:val="20"/>
                <w:lang w:val="en-US" w:eastAsia="zh-CN"/>
              </w:rPr>
            </w:pPr>
            <w:r w:rsidRPr="000C156A">
              <w:rPr>
                <w:rFonts w:eastAsia="Times New Roman" w:cs="Calibri"/>
                <w:sz w:val="20"/>
                <w:lang w:val="en-US" w:eastAsia="zh-CN"/>
              </w:rPr>
              <w:t>10</w:t>
            </w:r>
          </w:p>
        </w:tc>
        <w:tc>
          <w:tcPr>
            <w:tcW w:w="2127" w:type="dxa"/>
            <w:tcBorders>
              <w:top w:val="nil"/>
              <w:left w:val="nil"/>
              <w:bottom w:val="nil"/>
              <w:right w:val="single" w:sz="4" w:space="0" w:color="auto"/>
            </w:tcBorders>
            <w:shd w:val="clear" w:color="auto" w:fill="auto"/>
            <w:hideMark/>
          </w:tcPr>
          <w:p w14:paraId="5F303783" w14:textId="6E8D5AAA"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178</w:t>
            </w:r>
          </w:p>
        </w:tc>
      </w:tr>
      <w:tr w:rsidR="0059627D" w:rsidRPr="000C156A" w14:paraId="08C4F3BA" w14:textId="77777777" w:rsidTr="00AF4C18">
        <w:tc>
          <w:tcPr>
            <w:tcW w:w="5382" w:type="dxa"/>
            <w:tcBorders>
              <w:top w:val="nil"/>
              <w:left w:val="single" w:sz="8" w:space="0" w:color="auto"/>
              <w:bottom w:val="nil"/>
              <w:right w:val="nil"/>
            </w:tcBorders>
            <w:shd w:val="clear" w:color="auto" w:fill="auto"/>
            <w:vAlign w:val="center"/>
            <w:hideMark/>
          </w:tcPr>
          <w:p w14:paraId="27DB7D8A"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准备金</w:t>
            </w:r>
          </w:p>
        </w:tc>
        <w:tc>
          <w:tcPr>
            <w:tcW w:w="2126" w:type="dxa"/>
            <w:tcBorders>
              <w:top w:val="nil"/>
              <w:left w:val="nil"/>
              <w:bottom w:val="nil"/>
              <w:right w:val="single" w:sz="4" w:space="0" w:color="auto"/>
            </w:tcBorders>
            <w:shd w:val="clear" w:color="auto" w:fill="auto"/>
            <w:hideMark/>
          </w:tcPr>
          <w:p w14:paraId="2A6BD553" w14:textId="3FDC29CA"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sz w:val="20"/>
                <w:lang w:val="en-US" w:eastAsia="zh-CN"/>
              </w:rPr>
            </w:pPr>
            <w:r w:rsidRPr="000C156A">
              <w:rPr>
                <w:rFonts w:eastAsia="Times New Roman" w:cs="Calibri"/>
                <w:sz w:val="20"/>
                <w:lang w:val="en-US" w:eastAsia="zh-CN"/>
              </w:rPr>
              <w:t>1</w:t>
            </w:r>
            <w:r w:rsidR="00CF258E" w:rsidRPr="000C156A">
              <w:rPr>
                <w:rFonts w:eastAsia="Times New Roman" w:cs="Calibri"/>
                <w:sz w:val="20"/>
                <w:lang w:val="en-US" w:eastAsia="zh-CN"/>
              </w:rPr>
              <w:t xml:space="preserve"> </w:t>
            </w:r>
            <w:r w:rsidRPr="000C156A">
              <w:rPr>
                <w:rFonts w:eastAsia="Times New Roman" w:cs="Calibri"/>
                <w:sz w:val="20"/>
                <w:lang w:val="en-US" w:eastAsia="zh-CN"/>
              </w:rPr>
              <w:t>105</w:t>
            </w:r>
          </w:p>
        </w:tc>
        <w:tc>
          <w:tcPr>
            <w:tcW w:w="2127" w:type="dxa"/>
            <w:tcBorders>
              <w:top w:val="nil"/>
              <w:left w:val="nil"/>
              <w:bottom w:val="nil"/>
              <w:right w:val="single" w:sz="4" w:space="0" w:color="auto"/>
            </w:tcBorders>
            <w:shd w:val="clear" w:color="auto" w:fill="auto"/>
            <w:hideMark/>
          </w:tcPr>
          <w:p w14:paraId="05E3A1DB" w14:textId="7C3BF1F0"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727</w:t>
            </w:r>
          </w:p>
        </w:tc>
      </w:tr>
      <w:tr w:rsidR="0059627D" w:rsidRPr="000C156A" w14:paraId="389BE791" w14:textId="77777777" w:rsidTr="00AF4C18">
        <w:tc>
          <w:tcPr>
            <w:tcW w:w="5382" w:type="dxa"/>
            <w:tcBorders>
              <w:top w:val="nil"/>
              <w:left w:val="single" w:sz="8" w:space="0" w:color="auto"/>
              <w:bottom w:val="nil"/>
              <w:right w:val="nil"/>
            </w:tcBorders>
            <w:shd w:val="clear" w:color="auto" w:fill="auto"/>
            <w:vAlign w:val="center"/>
            <w:hideMark/>
          </w:tcPr>
          <w:p w14:paraId="06C6DDA5"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其它债务</w:t>
            </w:r>
          </w:p>
        </w:tc>
        <w:tc>
          <w:tcPr>
            <w:tcW w:w="2126" w:type="dxa"/>
            <w:tcBorders>
              <w:top w:val="nil"/>
              <w:left w:val="nil"/>
              <w:bottom w:val="nil"/>
              <w:right w:val="single" w:sz="4" w:space="0" w:color="auto"/>
            </w:tcBorders>
            <w:shd w:val="clear" w:color="auto" w:fill="auto"/>
            <w:hideMark/>
          </w:tcPr>
          <w:p w14:paraId="1631C9D4" w14:textId="22BD6FF0" w:rsidR="0059627D" w:rsidRPr="000C156A" w:rsidRDefault="00DA68E3"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4</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9</w:t>
            </w:r>
            <w:r w:rsidR="0059627D" w:rsidRPr="000C156A">
              <w:rPr>
                <w:rFonts w:eastAsia="Times New Roman" w:cs="Calibri"/>
                <w:color w:val="000000"/>
                <w:sz w:val="20"/>
                <w:lang w:val="en-US" w:eastAsia="zh-CN"/>
              </w:rPr>
              <w:t>9</w:t>
            </w:r>
            <w:r w:rsidRPr="000C156A">
              <w:rPr>
                <w:rFonts w:eastAsia="Times New Roman" w:cs="Calibri"/>
                <w:color w:val="000000"/>
                <w:sz w:val="20"/>
                <w:lang w:val="en-US" w:eastAsia="zh-CN"/>
              </w:rPr>
              <w:t>9</w:t>
            </w:r>
          </w:p>
        </w:tc>
        <w:tc>
          <w:tcPr>
            <w:tcW w:w="2127" w:type="dxa"/>
            <w:tcBorders>
              <w:top w:val="nil"/>
              <w:left w:val="nil"/>
              <w:bottom w:val="nil"/>
              <w:right w:val="single" w:sz="4" w:space="0" w:color="auto"/>
            </w:tcBorders>
            <w:shd w:val="clear" w:color="auto" w:fill="auto"/>
            <w:hideMark/>
          </w:tcPr>
          <w:p w14:paraId="0F18770D" w14:textId="587C0574"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4</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931</w:t>
            </w:r>
          </w:p>
        </w:tc>
      </w:tr>
      <w:tr w:rsidR="0059627D" w:rsidRPr="000C156A" w14:paraId="4A7A30C6" w14:textId="77777777" w:rsidTr="00AF4C18">
        <w:tc>
          <w:tcPr>
            <w:tcW w:w="5382" w:type="dxa"/>
            <w:tcBorders>
              <w:top w:val="nil"/>
              <w:left w:val="single" w:sz="8" w:space="0" w:color="auto"/>
              <w:bottom w:val="nil"/>
              <w:right w:val="nil"/>
            </w:tcBorders>
            <w:shd w:val="clear" w:color="auto" w:fill="auto"/>
            <w:vAlign w:val="center"/>
            <w:hideMark/>
          </w:tcPr>
          <w:p w14:paraId="500F8835" w14:textId="3ED655B0" w:rsidR="0059627D" w:rsidRPr="000C156A" w:rsidRDefault="009F2111"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UNSMIS</w:t>
            </w:r>
          </w:p>
        </w:tc>
        <w:tc>
          <w:tcPr>
            <w:tcW w:w="2126" w:type="dxa"/>
            <w:tcBorders>
              <w:top w:val="nil"/>
              <w:left w:val="nil"/>
              <w:bottom w:val="nil"/>
              <w:right w:val="single" w:sz="4" w:space="0" w:color="auto"/>
            </w:tcBorders>
            <w:shd w:val="clear" w:color="auto" w:fill="auto"/>
            <w:hideMark/>
          </w:tcPr>
          <w:p w14:paraId="7EE92D9F" w14:textId="28EA26FB"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1</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493</w:t>
            </w:r>
          </w:p>
        </w:tc>
        <w:tc>
          <w:tcPr>
            <w:tcW w:w="2127" w:type="dxa"/>
            <w:tcBorders>
              <w:top w:val="nil"/>
              <w:left w:val="nil"/>
              <w:bottom w:val="nil"/>
              <w:right w:val="single" w:sz="4" w:space="0" w:color="auto"/>
            </w:tcBorders>
            <w:shd w:val="clear" w:color="auto" w:fill="auto"/>
            <w:hideMark/>
          </w:tcPr>
          <w:p w14:paraId="52881AD5" w14:textId="39E63DFB"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21</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154</w:t>
            </w:r>
          </w:p>
        </w:tc>
      </w:tr>
      <w:tr w:rsidR="0059627D" w:rsidRPr="000C156A" w14:paraId="234A91AF" w14:textId="77777777" w:rsidTr="00AF4C18">
        <w:tc>
          <w:tcPr>
            <w:tcW w:w="5382" w:type="dxa"/>
            <w:tcBorders>
              <w:top w:val="nil"/>
              <w:left w:val="single" w:sz="8" w:space="0" w:color="auto"/>
              <w:bottom w:val="nil"/>
              <w:right w:val="nil"/>
            </w:tcBorders>
            <w:shd w:val="clear" w:color="auto" w:fill="auto"/>
            <w:vAlign w:val="center"/>
            <w:hideMark/>
          </w:tcPr>
          <w:p w14:paraId="4CADFC23"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fr-FR" w:eastAsia="zh-CN"/>
              </w:rPr>
              <w:t>流动负债总额</w:t>
            </w:r>
          </w:p>
        </w:tc>
        <w:tc>
          <w:tcPr>
            <w:tcW w:w="2126" w:type="dxa"/>
            <w:tcBorders>
              <w:top w:val="nil"/>
              <w:left w:val="nil"/>
              <w:bottom w:val="nil"/>
              <w:right w:val="single" w:sz="4" w:space="0" w:color="auto"/>
            </w:tcBorders>
            <w:shd w:val="clear" w:color="auto" w:fill="auto"/>
            <w:hideMark/>
          </w:tcPr>
          <w:p w14:paraId="49AEAD3F" w14:textId="50E49502"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14</w:t>
            </w:r>
            <w:r w:rsidR="00DA68E3" w:rsidRPr="000C156A">
              <w:rPr>
                <w:rFonts w:eastAsia="Times New Roman" w:cs="Calibri"/>
                <w:b/>
                <w:bCs/>
                <w:color w:val="000000"/>
                <w:sz w:val="20"/>
                <w:lang w:val="en-US" w:eastAsia="zh-CN"/>
              </w:rPr>
              <w:t>7</w:t>
            </w:r>
            <w:r w:rsidR="00CF258E" w:rsidRPr="000C156A">
              <w:rPr>
                <w:rFonts w:eastAsia="Times New Roman" w:cs="Calibri"/>
                <w:b/>
                <w:bCs/>
                <w:color w:val="000000"/>
                <w:sz w:val="20"/>
                <w:lang w:val="en-US" w:eastAsia="zh-CN"/>
              </w:rPr>
              <w:t xml:space="preserve"> </w:t>
            </w:r>
            <w:r w:rsidR="00DA68E3" w:rsidRPr="000C156A">
              <w:rPr>
                <w:rFonts w:eastAsia="Times New Roman" w:cs="Calibri"/>
                <w:b/>
                <w:bCs/>
                <w:color w:val="000000"/>
                <w:sz w:val="20"/>
                <w:lang w:val="en-US" w:eastAsia="zh-CN"/>
              </w:rPr>
              <w:t>579</w:t>
            </w:r>
          </w:p>
        </w:tc>
        <w:tc>
          <w:tcPr>
            <w:tcW w:w="2127" w:type="dxa"/>
            <w:tcBorders>
              <w:top w:val="nil"/>
              <w:left w:val="nil"/>
              <w:bottom w:val="nil"/>
              <w:right w:val="single" w:sz="4" w:space="0" w:color="auto"/>
            </w:tcBorders>
            <w:shd w:val="clear" w:color="auto" w:fill="auto"/>
            <w:hideMark/>
          </w:tcPr>
          <w:p w14:paraId="4D391E41" w14:textId="6C354ADC"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172</w:t>
            </w:r>
            <w:r w:rsidR="00CF258E" w:rsidRPr="000C156A">
              <w:rPr>
                <w:rFonts w:eastAsia="Times New Roman" w:cs="Calibri"/>
                <w:b/>
                <w:bCs/>
                <w:color w:val="000000"/>
                <w:sz w:val="20"/>
                <w:lang w:val="en-US" w:eastAsia="zh-CN"/>
              </w:rPr>
              <w:t xml:space="preserve"> </w:t>
            </w:r>
            <w:r w:rsidRPr="000C156A">
              <w:rPr>
                <w:rFonts w:eastAsia="Times New Roman" w:cs="Calibri"/>
                <w:b/>
                <w:bCs/>
                <w:color w:val="000000"/>
                <w:sz w:val="20"/>
                <w:lang w:val="en-US" w:eastAsia="zh-CN"/>
              </w:rPr>
              <w:t>633</w:t>
            </w:r>
          </w:p>
        </w:tc>
      </w:tr>
      <w:tr w:rsidR="0059627D" w:rsidRPr="000C156A" w14:paraId="2EC46BE7" w14:textId="77777777" w:rsidTr="00AF4C18">
        <w:tc>
          <w:tcPr>
            <w:tcW w:w="5382" w:type="dxa"/>
            <w:tcBorders>
              <w:top w:val="nil"/>
              <w:left w:val="single" w:sz="8" w:space="0" w:color="auto"/>
              <w:bottom w:val="nil"/>
              <w:right w:val="nil"/>
            </w:tcBorders>
            <w:shd w:val="clear" w:color="auto" w:fill="auto"/>
            <w:vAlign w:val="center"/>
            <w:hideMark/>
          </w:tcPr>
          <w:p w14:paraId="7EC3B9E4"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fr-FR"/>
              </w:rPr>
              <w:t> </w:t>
            </w:r>
          </w:p>
        </w:tc>
        <w:tc>
          <w:tcPr>
            <w:tcW w:w="2126" w:type="dxa"/>
            <w:tcBorders>
              <w:top w:val="nil"/>
              <w:left w:val="nil"/>
              <w:bottom w:val="nil"/>
              <w:right w:val="single" w:sz="4" w:space="0" w:color="auto"/>
            </w:tcBorders>
            <w:shd w:val="clear" w:color="auto" w:fill="auto"/>
            <w:hideMark/>
          </w:tcPr>
          <w:p w14:paraId="35BF5F6F" w14:textId="5385D1A8"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p>
        </w:tc>
        <w:tc>
          <w:tcPr>
            <w:tcW w:w="2127" w:type="dxa"/>
            <w:tcBorders>
              <w:top w:val="nil"/>
              <w:left w:val="nil"/>
              <w:bottom w:val="nil"/>
              <w:right w:val="single" w:sz="4" w:space="0" w:color="auto"/>
            </w:tcBorders>
            <w:shd w:val="clear" w:color="auto" w:fill="auto"/>
            <w:hideMark/>
          </w:tcPr>
          <w:p w14:paraId="09BCE5B1" w14:textId="4FC8FE0F"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p>
        </w:tc>
      </w:tr>
      <w:tr w:rsidR="0059627D" w:rsidRPr="000C156A" w14:paraId="1D722AB3" w14:textId="77777777" w:rsidTr="00AF4C18">
        <w:tc>
          <w:tcPr>
            <w:tcW w:w="5382" w:type="dxa"/>
            <w:tcBorders>
              <w:top w:val="nil"/>
              <w:left w:val="single" w:sz="8" w:space="0" w:color="auto"/>
              <w:bottom w:val="nil"/>
              <w:right w:val="nil"/>
            </w:tcBorders>
            <w:shd w:val="clear" w:color="auto" w:fill="auto"/>
            <w:vAlign w:val="center"/>
            <w:hideMark/>
          </w:tcPr>
          <w:p w14:paraId="406C4406"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en-US" w:eastAsia="zh-CN"/>
              </w:rPr>
              <w:t>非流动负债</w:t>
            </w:r>
          </w:p>
        </w:tc>
        <w:tc>
          <w:tcPr>
            <w:tcW w:w="2126" w:type="dxa"/>
            <w:tcBorders>
              <w:top w:val="nil"/>
              <w:left w:val="nil"/>
              <w:bottom w:val="nil"/>
              <w:right w:val="single" w:sz="4" w:space="0" w:color="auto"/>
            </w:tcBorders>
            <w:shd w:val="clear" w:color="auto" w:fill="auto"/>
            <w:hideMark/>
          </w:tcPr>
          <w:p w14:paraId="147A827C" w14:textId="6CC77218"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p>
        </w:tc>
        <w:tc>
          <w:tcPr>
            <w:tcW w:w="2127" w:type="dxa"/>
            <w:tcBorders>
              <w:top w:val="nil"/>
              <w:left w:val="nil"/>
              <w:bottom w:val="nil"/>
              <w:right w:val="single" w:sz="4" w:space="0" w:color="auto"/>
            </w:tcBorders>
            <w:shd w:val="clear" w:color="auto" w:fill="auto"/>
            <w:hideMark/>
          </w:tcPr>
          <w:p w14:paraId="3AEC7C87" w14:textId="3A70EB18"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p>
        </w:tc>
      </w:tr>
      <w:tr w:rsidR="0059627D" w:rsidRPr="000C156A" w14:paraId="374A4A8C" w14:textId="77777777" w:rsidTr="00AF4C18">
        <w:tc>
          <w:tcPr>
            <w:tcW w:w="5382" w:type="dxa"/>
            <w:tcBorders>
              <w:top w:val="nil"/>
              <w:left w:val="single" w:sz="8" w:space="0" w:color="auto"/>
              <w:bottom w:val="nil"/>
              <w:right w:val="nil"/>
            </w:tcBorders>
            <w:shd w:val="clear" w:color="auto" w:fill="auto"/>
            <w:vAlign w:val="center"/>
            <w:hideMark/>
          </w:tcPr>
          <w:p w14:paraId="3FDCDED5"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借款</w:t>
            </w:r>
          </w:p>
        </w:tc>
        <w:tc>
          <w:tcPr>
            <w:tcW w:w="2126" w:type="dxa"/>
            <w:tcBorders>
              <w:top w:val="nil"/>
              <w:left w:val="nil"/>
              <w:bottom w:val="nil"/>
              <w:right w:val="single" w:sz="4" w:space="0" w:color="auto"/>
            </w:tcBorders>
            <w:shd w:val="clear" w:color="auto" w:fill="auto"/>
            <w:hideMark/>
          </w:tcPr>
          <w:p w14:paraId="175D6800" w14:textId="18F7D29C"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sz w:val="20"/>
                <w:lang w:val="en-US" w:eastAsia="zh-CN"/>
              </w:rPr>
            </w:pPr>
            <w:r w:rsidRPr="000C156A">
              <w:rPr>
                <w:rFonts w:eastAsia="Times New Roman" w:cs="Calibri"/>
                <w:sz w:val="20"/>
                <w:lang w:val="en-US" w:eastAsia="zh-CN"/>
              </w:rPr>
              <w:t>45</w:t>
            </w:r>
            <w:r w:rsidR="00CF258E" w:rsidRPr="000C156A">
              <w:rPr>
                <w:rFonts w:eastAsia="Times New Roman" w:cs="Calibri"/>
                <w:sz w:val="20"/>
                <w:lang w:val="en-US" w:eastAsia="zh-CN"/>
              </w:rPr>
              <w:t xml:space="preserve"> </w:t>
            </w:r>
            <w:r w:rsidRPr="000C156A">
              <w:rPr>
                <w:rFonts w:eastAsia="Times New Roman" w:cs="Calibri"/>
                <w:sz w:val="20"/>
                <w:lang w:val="en-US" w:eastAsia="zh-CN"/>
              </w:rPr>
              <w:t>718</w:t>
            </w:r>
          </w:p>
        </w:tc>
        <w:tc>
          <w:tcPr>
            <w:tcW w:w="2127" w:type="dxa"/>
            <w:tcBorders>
              <w:top w:val="nil"/>
              <w:left w:val="nil"/>
              <w:bottom w:val="nil"/>
              <w:right w:val="single" w:sz="4" w:space="0" w:color="auto"/>
            </w:tcBorders>
            <w:shd w:val="clear" w:color="auto" w:fill="auto"/>
            <w:hideMark/>
          </w:tcPr>
          <w:p w14:paraId="756B7A93" w14:textId="76576ACF"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43</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456</w:t>
            </w:r>
          </w:p>
        </w:tc>
      </w:tr>
      <w:tr w:rsidR="0059627D" w:rsidRPr="000C156A" w14:paraId="09445A8F" w14:textId="77777777" w:rsidTr="00AF4C18">
        <w:tc>
          <w:tcPr>
            <w:tcW w:w="5382" w:type="dxa"/>
            <w:tcBorders>
              <w:top w:val="nil"/>
              <w:left w:val="single" w:sz="8" w:space="0" w:color="auto"/>
              <w:bottom w:val="nil"/>
              <w:right w:val="nil"/>
            </w:tcBorders>
            <w:shd w:val="clear" w:color="auto" w:fill="auto"/>
            <w:vAlign w:val="center"/>
            <w:hideMark/>
          </w:tcPr>
          <w:p w14:paraId="381A9B20"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职员福利</w:t>
            </w:r>
          </w:p>
        </w:tc>
        <w:tc>
          <w:tcPr>
            <w:tcW w:w="2126" w:type="dxa"/>
            <w:tcBorders>
              <w:top w:val="nil"/>
              <w:left w:val="nil"/>
              <w:bottom w:val="nil"/>
              <w:right w:val="single" w:sz="4" w:space="0" w:color="auto"/>
            </w:tcBorders>
            <w:shd w:val="clear" w:color="auto" w:fill="auto"/>
            <w:hideMark/>
          </w:tcPr>
          <w:p w14:paraId="6FBDF24A" w14:textId="12A973A0"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sz w:val="20"/>
                <w:lang w:val="en-US" w:eastAsia="zh-CN"/>
              </w:rPr>
            </w:pPr>
            <w:r w:rsidRPr="000C156A">
              <w:rPr>
                <w:rFonts w:eastAsia="Times New Roman" w:cs="Calibri"/>
                <w:sz w:val="20"/>
                <w:lang w:val="en-US" w:eastAsia="zh-CN"/>
              </w:rPr>
              <w:t>656</w:t>
            </w:r>
            <w:r w:rsidR="00CF258E" w:rsidRPr="000C156A">
              <w:rPr>
                <w:rFonts w:eastAsia="Times New Roman" w:cs="Calibri"/>
                <w:sz w:val="20"/>
                <w:lang w:val="en-US" w:eastAsia="zh-CN"/>
              </w:rPr>
              <w:t xml:space="preserve"> </w:t>
            </w:r>
            <w:r w:rsidRPr="000C156A">
              <w:rPr>
                <w:rFonts w:eastAsia="Times New Roman" w:cs="Calibri"/>
                <w:sz w:val="20"/>
                <w:lang w:val="en-US" w:eastAsia="zh-CN"/>
              </w:rPr>
              <w:t>021</w:t>
            </w:r>
          </w:p>
        </w:tc>
        <w:tc>
          <w:tcPr>
            <w:tcW w:w="2127" w:type="dxa"/>
            <w:tcBorders>
              <w:top w:val="nil"/>
              <w:left w:val="nil"/>
              <w:bottom w:val="nil"/>
              <w:right w:val="single" w:sz="4" w:space="0" w:color="auto"/>
            </w:tcBorders>
            <w:shd w:val="clear" w:color="auto" w:fill="auto"/>
            <w:hideMark/>
          </w:tcPr>
          <w:p w14:paraId="6504EEA7" w14:textId="09C56E4F"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634</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857</w:t>
            </w:r>
          </w:p>
        </w:tc>
      </w:tr>
      <w:tr w:rsidR="0059627D" w:rsidRPr="000C156A" w14:paraId="571AAAC1" w14:textId="77777777" w:rsidTr="00AF4C18">
        <w:tc>
          <w:tcPr>
            <w:tcW w:w="5382" w:type="dxa"/>
            <w:tcBorders>
              <w:top w:val="nil"/>
              <w:left w:val="single" w:sz="8" w:space="0" w:color="auto"/>
              <w:bottom w:val="nil"/>
              <w:right w:val="nil"/>
            </w:tcBorders>
            <w:shd w:val="clear" w:color="auto" w:fill="auto"/>
            <w:vAlign w:val="center"/>
            <w:hideMark/>
          </w:tcPr>
          <w:p w14:paraId="1E52C3EB"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分配的第三方基金</w:t>
            </w:r>
          </w:p>
        </w:tc>
        <w:tc>
          <w:tcPr>
            <w:tcW w:w="2126" w:type="dxa"/>
            <w:tcBorders>
              <w:top w:val="nil"/>
              <w:left w:val="nil"/>
              <w:bottom w:val="nil"/>
              <w:right w:val="single" w:sz="4" w:space="0" w:color="auto"/>
            </w:tcBorders>
            <w:shd w:val="clear" w:color="auto" w:fill="auto"/>
            <w:hideMark/>
          </w:tcPr>
          <w:p w14:paraId="6832C90A" w14:textId="7625947A"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sz w:val="20"/>
                <w:lang w:val="en-US" w:eastAsia="zh-CN"/>
              </w:rPr>
            </w:pPr>
            <w:r w:rsidRPr="000C156A">
              <w:rPr>
                <w:rFonts w:eastAsia="Times New Roman" w:cs="Calibri"/>
                <w:sz w:val="20"/>
                <w:lang w:val="en-US" w:eastAsia="zh-CN"/>
              </w:rPr>
              <w:t>38</w:t>
            </w:r>
            <w:r w:rsidR="00CF258E" w:rsidRPr="000C156A">
              <w:rPr>
                <w:rFonts w:eastAsia="Times New Roman" w:cs="Calibri"/>
                <w:sz w:val="20"/>
                <w:lang w:val="en-US" w:eastAsia="zh-CN"/>
              </w:rPr>
              <w:t xml:space="preserve"> </w:t>
            </w:r>
            <w:r w:rsidRPr="000C156A">
              <w:rPr>
                <w:rFonts w:eastAsia="Times New Roman" w:cs="Calibri"/>
                <w:sz w:val="20"/>
                <w:lang w:val="en-US" w:eastAsia="zh-CN"/>
              </w:rPr>
              <w:t>430</w:t>
            </w:r>
          </w:p>
        </w:tc>
        <w:tc>
          <w:tcPr>
            <w:tcW w:w="2127" w:type="dxa"/>
            <w:tcBorders>
              <w:top w:val="nil"/>
              <w:left w:val="nil"/>
              <w:bottom w:val="nil"/>
              <w:right w:val="single" w:sz="4" w:space="0" w:color="auto"/>
            </w:tcBorders>
            <w:shd w:val="clear" w:color="auto" w:fill="auto"/>
            <w:hideMark/>
          </w:tcPr>
          <w:p w14:paraId="7F576716" w14:textId="1ABE0CFA"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35</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140</w:t>
            </w:r>
          </w:p>
        </w:tc>
      </w:tr>
      <w:tr w:rsidR="0059627D" w:rsidRPr="000C156A" w14:paraId="6319A577" w14:textId="77777777" w:rsidTr="00AF4C18">
        <w:tc>
          <w:tcPr>
            <w:tcW w:w="5382" w:type="dxa"/>
            <w:tcBorders>
              <w:top w:val="nil"/>
              <w:left w:val="single" w:sz="8" w:space="0" w:color="auto"/>
              <w:bottom w:val="nil"/>
              <w:right w:val="nil"/>
            </w:tcBorders>
            <w:shd w:val="clear" w:color="auto" w:fill="auto"/>
            <w:vAlign w:val="center"/>
            <w:hideMark/>
          </w:tcPr>
          <w:p w14:paraId="3515A061"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分配过程中的第三方基金</w:t>
            </w:r>
          </w:p>
        </w:tc>
        <w:tc>
          <w:tcPr>
            <w:tcW w:w="2126" w:type="dxa"/>
            <w:tcBorders>
              <w:top w:val="nil"/>
              <w:left w:val="nil"/>
              <w:bottom w:val="nil"/>
              <w:right w:val="single" w:sz="4" w:space="0" w:color="auto"/>
            </w:tcBorders>
            <w:shd w:val="clear" w:color="auto" w:fill="auto"/>
            <w:hideMark/>
          </w:tcPr>
          <w:p w14:paraId="19B68328" w14:textId="080481A7"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sz w:val="20"/>
                <w:lang w:val="en-US" w:eastAsia="zh-CN"/>
              </w:rPr>
            </w:pPr>
            <w:r w:rsidRPr="000C156A">
              <w:rPr>
                <w:rFonts w:eastAsia="Times New Roman" w:cs="Calibri"/>
                <w:sz w:val="20"/>
                <w:lang w:val="en-US" w:eastAsia="zh-CN"/>
              </w:rPr>
              <w:t>4</w:t>
            </w:r>
            <w:r w:rsidR="00CF258E" w:rsidRPr="000C156A">
              <w:rPr>
                <w:rFonts w:eastAsia="Times New Roman" w:cs="Calibri"/>
                <w:sz w:val="20"/>
                <w:lang w:val="en-US" w:eastAsia="zh-CN"/>
              </w:rPr>
              <w:t xml:space="preserve"> </w:t>
            </w:r>
            <w:r w:rsidRPr="000C156A">
              <w:rPr>
                <w:rFonts w:eastAsia="Times New Roman" w:cs="Calibri"/>
                <w:sz w:val="20"/>
                <w:lang w:val="en-US" w:eastAsia="zh-CN"/>
              </w:rPr>
              <w:t>353</w:t>
            </w:r>
          </w:p>
        </w:tc>
        <w:tc>
          <w:tcPr>
            <w:tcW w:w="2127" w:type="dxa"/>
            <w:tcBorders>
              <w:top w:val="nil"/>
              <w:left w:val="nil"/>
              <w:bottom w:val="nil"/>
              <w:right w:val="single" w:sz="4" w:space="0" w:color="auto"/>
            </w:tcBorders>
            <w:shd w:val="clear" w:color="auto" w:fill="auto"/>
            <w:hideMark/>
          </w:tcPr>
          <w:p w14:paraId="09D247D0" w14:textId="2FEEAB4D"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3</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184</w:t>
            </w:r>
          </w:p>
        </w:tc>
      </w:tr>
      <w:tr w:rsidR="0059627D" w:rsidRPr="000C156A" w14:paraId="7D9ED55A" w14:textId="77777777" w:rsidTr="00AF4C18">
        <w:tc>
          <w:tcPr>
            <w:tcW w:w="5382" w:type="dxa"/>
            <w:tcBorders>
              <w:top w:val="nil"/>
              <w:left w:val="single" w:sz="8" w:space="0" w:color="auto"/>
              <w:bottom w:val="nil"/>
              <w:right w:val="nil"/>
            </w:tcBorders>
            <w:shd w:val="clear" w:color="auto" w:fill="auto"/>
            <w:vAlign w:val="center"/>
            <w:hideMark/>
          </w:tcPr>
          <w:p w14:paraId="69EDBB31" w14:textId="691DB47F" w:rsidR="0059627D" w:rsidRPr="000C156A" w:rsidRDefault="009F2111"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UNSMIS</w:t>
            </w:r>
          </w:p>
        </w:tc>
        <w:tc>
          <w:tcPr>
            <w:tcW w:w="2126" w:type="dxa"/>
            <w:tcBorders>
              <w:top w:val="nil"/>
              <w:left w:val="nil"/>
              <w:bottom w:val="nil"/>
              <w:right w:val="single" w:sz="4" w:space="0" w:color="auto"/>
            </w:tcBorders>
            <w:shd w:val="clear" w:color="auto" w:fill="auto"/>
            <w:hideMark/>
          </w:tcPr>
          <w:p w14:paraId="60333565" w14:textId="722E7552"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sz w:val="20"/>
                <w:lang w:val="en-US" w:eastAsia="zh-CN"/>
              </w:rPr>
            </w:pPr>
            <w:r w:rsidRPr="000C156A">
              <w:rPr>
                <w:rFonts w:eastAsia="Times New Roman" w:cs="Calibri"/>
                <w:sz w:val="20"/>
                <w:lang w:val="en-US" w:eastAsia="zh-CN"/>
              </w:rPr>
              <w:t>17</w:t>
            </w:r>
            <w:r w:rsidR="00CF258E" w:rsidRPr="000C156A">
              <w:rPr>
                <w:rFonts w:eastAsia="Times New Roman" w:cs="Calibri"/>
                <w:sz w:val="20"/>
                <w:lang w:val="en-US" w:eastAsia="zh-CN"/>
              </w:rPr>
              <w:t xml:space="preserve"> </w:t>
            </w:r>
            <w:r w:rsidRPr="000C156A">
              <w:rPr>
                <w:rFonts w:eastAsia="Times New Roman" w:cs="Calibri"/>
                <w:sz w:val="20"/>
                <w:lang w:val="en-US" w:eastAsia="zh-CN"/>
              </w:rPr>
              <w:t>441</w:t>
            </w:r>
          </w:p>
        </w:tc>
        <w:tc>
          <w:tcPr>
            <w:tcW w:w="2127" w:type="dxa"/>
            <w:tcBorders>
              <w:top w:val="nil"/>
              <w:left w:val="nil"/>
              <w:bottom w:val="nil"/>
              <w:right w:val="single" w:sz="4" w:space="0" w:color="auto"/>
            </w:tcBorders>
            <w:shd w:val="clear" w:color="auto" w:fill="auto"/>
            <w:hideMark/>
          </w:tcPr>
          <w:p w14:paraId="2794416E" w14:textId="7B57CE82"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20</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877</w:t>
            </w:r>
          </w:p>
        </w:tc>
      </w:tr>
      <w:tr w:rsidR="0059627D" w:rsidRPr="000C156A" w14:paraId="5C44CCEF" w14:textId="77777777" w:rsidTr="00AF4C18">
        <w:tc>
          <w:tcPr>
            <w:tcW w:w="5382" w:type="dxa"/>
            <w:tcBorders>
              <w:top w:val="nil"/>
              <w:left w:val="single" w:sz="8" w:space="0" w:color="auto"/>
              <w:bottom w:val="nil"/>
              <w:right w:val="nil"/>
            </w:tcBorders>
            <w:shd w:val="clear" w:color="auto" w:fill="auto"/>
            <w:vAlign w:val="center"/>
            <w:hideMark/>
          </w:tcPr>
          <w:p w14:paraId="516BC6F8"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fr-FR" w:eastAsia="zh-CN"/>
              </w:rPr>
              <w:t>非流动负债总额</w:t>
            </w:r>
          </w:p>
        </w:tc>
        <w:tc>
          <w:tcPr>
            <w:tcW w:w="2126" w:type="dxa"/>
            <w:tcBorders>
              <w:top w:val="nil"/>
              <w:left w:val="nil"/>
              <w:bottom w:val="nil"/>
              <w:right w:val="single" w:sz="4" w:space="0" w:color="auto"/>
            </w:tcBorders>
            <w:shd w:val="clear" w:color="auto" w:fill="auto"/>
            <w:hideMark/>
          </w:tcPr>
          <w:p w14:paraId="2EBCF9E0" w14:textId="729A5E04"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761</w:t>
            </w:r>
            <w:r w:rsidR="00CF258E" w:rsidRPr="000C156A">
              <w:rPr>
                <w:rFonts w:eastAsia="Times New Roman" w:cs="Calibri"/>
                <w:b/>
                <w:bCs/>
                <w:color w:val="000000"/>
                <w:sz w:val="20"/>
                <w:lang w:val="en-US" w:eastAsia="zh-CN"/>
              </w:rPr>
              <w:t xml:space="preserve"> </w:t>
            </w:r>
            <w:r w:rsidRPr="000C156A">
              <w:rPr>
                <w:rFonts w:eastAsia="Times New Roman" w:cs="Calibri"/>
                <w:b/>
                <w:bCs/>
                <w:color w:val="000000"/>
                <w:sz w:val="20"/>
                <w:lang w:val="en-US" w:eastAsia="zh-CN"/>
              </w:rPr>
              <w:t>963</w:t>
            </w:r>
          </w:p>
        </w:tc>
        <w:tc>
          <w:tcPr>
            <w:tcW w:w="2127" w:type="dxa"/>
            <w:tcBorders>
              <w:top w:val="nil"/>
              <w:left w:val="nil"/>
              <w:bottom w:val="nil"/>
              <w:right w:val="single" w:sz="4" w:space="0" w:color="auto"/>
            </w:tcBorders>
            <w:shd w:val="clear" w:color="auto" w:fill="auto"/>
            <w:hideMark/>
          </w:tcPr>
          <w:p w14:paraId="22CAE1CA" w14:textId="2715A4FC"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737</w:t>
            </w:r>
            <w:r w:rsidR="00CF258E" w:rsidRPr="000C156A">
              <w:rPr>
                <w:rFonts w:eastAsia="Times New Roman" w:cs="Calibri"/>
                <w:b/>
                <w:bCs/>
                <w:color w:val="000000"/>
                <w:sz w:val="20"/>
                <w:lang w:val="en-US" w:eastAsia="zh-CN"/>
              </w:rPr>
              <w:t xml:space="preserve"> </w:t>
            </w:r>
            <w:r w:rsidRPr="000C156A">
              <w:rPr>
                <w:rFonts w:eastAsia="Times New Roman" w:cs="Calibri"/>
                <w:b/>
                <w:bCs/>
                <w:color w:val="000000"/>
                <w:sz w:val="20"/>
                <w:lang w:val="en-US" w:eastAsia="zh-CN"/>
              </w:rPr>
              <w:t>514</w:t>
            </w:r>
          </w:p>
        </w:tc>
      </w:tr>
      <w:tr w:rsidR="0059627D" w:rsidRPr="000C156A" w14:paraId="5C9B68F5" w14:textId="77777777" w:rsidTr="00AF4C18">
        <w:tc>
          <w:tcPr>
            <w:tcW w:w="5382" w:type="dxa"/>
            <w:tcBorders>
              <w:top w:val="nil"/>
              <w:left w:val="single" w:sz="4" w:space="0" w:color="auto"/>
              <w:bottom w:val="nil"/>
              <w:right w:val="nil"/>
            </w:tcBorders>
            <w:shd w:val="clear" w:color="auto" w:fill="auto"/>
            <w:hideMark/>
          </w:tcPr>
          <w:p w14:paraId="5676E2C3"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fr-FR"/>
              </w:rPr>
              <w:t> </w:t>
            </w:r>
          </w:p>
        </w:tc>
        <w:tc>
          <w:tcPr>
            <w:tcW w:w="2126" w:type="dxa"/>
            <w:tcBorders>
              <w:top w:val="nil"/>
              <w:left w:val="nil"/>
              <w:bottom w:val="nil"/>
              <w:right w:val="single" w:sz="4" w:space="0" w:color="auto"/>
            </w:tcBorders>
            <w:shd w:val="clear" w:color="auto" w:fill="auto"/>
            <w:hideMark/>
          </w:tcPr>
          <w:p w14:paraId="29E628EF" w14:textId="04670FD2"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p>
        </w:tc>
        <w:tc>
          <w:tcPr>
            <w:tcW w:w="2127" w:type="dxa"/>
            <w:tcBorders>
              <w:top w:val="nil"/>
              <w:left w:val="nil"/>
              <w:bottom w:val="nil"/>
              <w:right w:val="single" w:sz="4" w:space="0" w:color="auto"/>
            </w:tcBorders>
            <w:shd w:val="clear" w:color="auto" w:fill="auto"/>
            <w:hideMark/>
          </w:tcPr>
          <w:p w14:paraId="7DBD2758" w14:textId="00D6AE94"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p>
        </w:tc>
      </w:tr>
      <w:tr w:rsidR="0059627D" w:rsidRPr="000C156A" w14:paraId="1F3F8DB8" w14:textId="77777777" w:rsidTr="00AF4C18">
        <w:tc>
          <w:tcPr>
            <w:tcW w:w="5382" w:type="dxa"/>
            <w:tcBorders>
              <w:top w:val="single" w:sz="4" w:space="0" w:color="auto"/>
              <w:left w:val="single" w:sz="4" w:space="0" w:color="auto"/>
              <w:bottom w:val="single" w:sz="4" w:space="0" w:color="auto"/>
              <w:right w:val="nil"/>
            </w:tcBorders>
            <w:shd w:val="clear" w:color="auto" w:fill="auto"/>
            <w:noWrap/>
            <w:vAlign w:val="center"/>
            <w:hideMark/>
          </w:tcPr>
          <w:p w14:paraId="511660EF"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fr-FR" w:eastAsia="zh-CN"/>
              </w:rPr>
              <w:t>负债总额</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2919A2C" w14:textId="46F41B96"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9</w:t>
            </w:r>
            <w:r w:rsidR="009F2111" w:rsidRPr="000C156A">
              <w:rPr>
                <w:rFonts w:eastAsia="Times New Roman" w:cs="Calibri"/>
                <w:b/>
                <w:bCs/>
                <w:color w:val="000000"/>
                <w:sz w:val="20"/>
                <w:lang w:val="en-US" w:eastAsia="zh-CN"/>
              </w:rPr>
              <w:t>09</w:t>
            </w:r>
            <w:r w:rsidR="00CF258E" w:rsidRPr="000C156A">
              <w:rPr>
                <w:rFonts w:eastAsia="Times New Roman" w:cs="Calibri"/>
                <w:b/>
                <w:bCs/>
                <w:color w:val="000000"/>
                <w:sz w:val="20"/>
                <w:lang w:val="en-US" w:eastAsia="zh-CN"/>
              </w:rPr>
              <w:t xml:space="preserve"> </w:t>
            </w:r>
            <w:r w:rsidR="009F2111" w:rsidRPr="000C156A">
              <w:rPr>
                <w:rFonts w:eastAsia="Times New Roman" w:cs="Calibri"/>
                <w:b/>
                <w:bCs/>
                <w:color w:val="000000"/>
                <w:sz w:val="20"/>
                <w:lang w:val="en-US" w:eastAsia="zh-CN"/>
              </w:rPr>
              <w:t>543</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06D472AA" w14:textId="1DD32FB3"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910</w:t>
            </w:r>
            <w:r w:rsidR="00CF258E" w:rsidRPr="000C156A">
              <w:rPr>
                <w:rFonts w:eastAsia="Times New Roman" w:cs="Calibri"/>
                <w:b/>
                <w:bCs/>
                <w:color w:val="000000"/>
                <w:sz w:val="20"/>
                <w:lang w:val="en-US" w:eastAsia="zh-CN"/>
              </w:rPr>
              <w:t xml:space="preserve"> </w:t>
            </w:r>
            <w:r w:rsidRPr="000C156A">
              <w:rPr>
                <w:rFonts w:eastAsia="Times New Roman" w:cs="Calibri"/>
                <w:b/>
                <w:bCs/>
                <w:color w:val="000000"/>
                <w:sz w:val="20"/>
                <w:lang w:val="en-US" w:eastAsia="zh-CN"/>
              </w:rPr>
              <w:t>147</w:t>
            </w:r>
          </w:p>
        </w:tc>
      </w:tr>
      <w:tr w:rsidR="0059627D" w:rsidRPr="000C156A" w14:paraId="14CD12D3" w14:textId="77777777" w:rsidTr="00AF4C18">
        <w:tc>
          <w:tcPr>
            <w:tcW w:w="5382" w:type="dxa"/>
            <w:tcBorders>
              <w:top w:val="nil"/>
              <w:left w:val="single" w:sz="8" w:space="0" w:color="auto"/>
              <w:bottom w:val="nil"/>
              <w:right w:val="nil"/>
            </w:tcBorders>
            <w:shd w:val="clear" w:color="auto" w:fill="auto"/>
            <w:vAlign w:val="center"/>
            <w:hideMark/>
          </w:tcPr>
          <w:p w14:paraId="642C9AE4"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en-US" w:eastAsia="zh-CN"/>
              </w:rPr>
              <w:t>净资产</w:t>
            </w:r>
          </w:p>
        </w:tc>
        <w:tc>
          <w:tcPr>
            <w:tcW w:w="2126" w:type="dxa"/>
            <w:tcBorders>
              <w:top w:val="nil"/>
              <w:left w:val="nil"/>
              <w:bottom w:val="nil"/>
              <w:right w:val="single" w:sz="4" w:space="0" w:color="auto"/>
            </w:tcBorders>
            <w:shd w:val="clear" w:color="auto" w:fill="auto"/>
            <w:hideMark/>
          </w:tcPr>
          <w:p w14:paraId="1E3F0EDF" w14:textId="49D99BAD"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p>
        </w:tc>
        <w:tc>
          <w:tcPr>
            <w:tcW w:w="2127" w:type="dxa"/>
            <w:tcBorders>
              <w:top w:val="nil"/>
              <w:left w:val="nil"/>
              <w:bottom w:val="nil"/>
              <w:right w:val="single" w:sz="4" w:space="0" w:color="auto"/>
            </w:tcBorders>
            <w:shd w:val="clear" w:color="auto" w:fill="auto"/>
            <w:hideMark/>
          </w:tcPr>
          <w:p w14:paraId="742A4605" w14:textId="3C3617C9"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p>
        </w:tc>
      </w:tr>
      <w:tr w:rsidR="0059627D" w:rsidRPr="000C156A" w14:paraId="7E6980D5" w14:textId="77777777" w:rsidTr="00AF4C18">
        <w:tc>
          <w:tcPr>
            <w:tcW w:w="5382" w:type="dxa"/>
            <w:tcBorders>
              <w:top w:val="nil"/>
              <w:left w:val="single" w:sz="8" w:space="0" w:color="auto"/>
              <w:bottom w:val="nil"/>
              <w:right w:val="nil"/>
            </w:tcBorders>
            <w:shd w:val="clear" w:color="auto" w:fill="auto"/>
            <w:vAlign w:val="center"/>
            <w:hideMark/>
          </w:tcPr>
          <w:p w14:paraId="1A57D670"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本组织的资本</w:t>
            </w:r>
          </w:p>
        </w:tc>
        <w:tc>
          <w:tcPr>
            <w:tcW w:w="2126" w:type="dxa"/>
            <w:tcBorders>
              <w:top w:val="nil"/>
              <w:left w:val="nil"/>
              <w:bottom w:val="nil"/>
              <w:right w:val="single" w:sz="4" w:space="0" w:color="auto"/>
            </w:tcBorders>
            <w:shd w:val="clear" w:color="auto" w:fill="auto"/>
            <w:hideMark/>
          </w:tcPr>
          <w:p w14:paraId="36CA397D" w14:textId="023B4EFE"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p>
        </w:tc>
        <w:tc>
          <w:tcPr>
            <w:tcW w:w="2127" w:type="dxa"/>
            <w:tcBorders>
              <w:top w:val="nil"/>
              <w:left w:val="nil"/>
              <w:bottom w:val="nil"/>
              <w:right w:val="single" w:sz="4" w:space="0" w:color="auto"/>
            </w:tcBorders>
            <w:shd w:val="clear" w:color="auto" w:fill="auto"/>
            <w:hideMark/>
          </w:tcPr>
          <w:p w14:paraId="070C5019" w14:textId="38521900"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p>
        </w:tc>
      </w:tr>
      <w:tr w:rsidR="0059627D" w:rsidRPr="000C156A" w14:paraId="1F327EDA" w14:textId="77777777" w:rsidTr="00AF4C18">
        <w:tc>
          <w:tcPr>
            <w:tcW w:w="5382" w:type="dxa"/>
            <w:tcBorders>
              <w:top w:val="nil"/>
              <w:left w:val="single" w:sz="8" w:space="0" w:color="auto"/>
              <w:bottom w:val="nil"/>
              <w:right w:val="nil"/>
            </w:tcBorders>
            <w:shd w:val="clear" w:color="auto" w:fill="auto"/>
            <w:vAlign w:val="center"/>
            <w:hideMark/>
          </w:tcPr>
          <w:p w14:paraId="30805C99"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本期盈余</w:t>
            </w:r>
            <w:r w:rsidRPr="000C156A">
              <w:rPr>
                <w:rFonts w:cs="Calibri"/>
                <w:color w:val="000000"/>
                <w:sz w:val="20"/>
                <w:lang w:val="en-US" w:eastAsia="zh-CN"/>
              </w:rPr>
              <w:t>/</w:t>
            </w:r>
            <w:r w:rsidRPr="000C156A">
              <w:rPr>
                <w:rFonts w:ascii="SimSun" w:hAnsi="SimSun" w:cs="Calibri" w:hint="eastAsia"/>
                <w:color w:val="000000"/>
                <w:sz w:val="20"/>
                <w:lang w:val="en-US" w:eastAsia="zh-CN"/>
              </w:rPr>
              <w:t>亏损再分配前的储备金账目</w:t>
            </w:r>
          </w:p>
        </w:tc>
        <w:tc>
          <w:tcPr>
            <w:tcW w:w="2126" w:type="dxa"/>
            <w:tcBorders>
              <w:top w:val="nil"/>
              <w:left w:val="nil"/>
              <w:bottom w:val="nil"/>
              <w:right w:val="single" w:sz="4" w:space="0" w:color="auto"/>
            </w:tcBorders>
            <w:shd w:val="clear" w:color="auto" w:fill="auto"/>
            <w:hideMark/>
          </w:tcPr>
          <w:p w14:paraId="476D1EBE" w14:textId="4095EDB8"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sz w:val="20"/>
                <w:lang w:val="en-US" w:eastAsia="zh-CN"/>
              </w:rPr>
            </w:pPr>
            <w:r w:rsidRPr="000C156A">
              <w:rPr>
                <w:rFonts w:eastAsia="Times New Roman" w:cs="Calibri"/>
                <w:sz w:val="20"/>
                <w:lang w:val="en-US" w:eastAsia="zh-CN"/>
              </w:rPr>
              <w:t>25</w:t>
            </w:r>
            <w:r w:rsidR="00CF258E" w:rsidRPr="000C156A">
              <w:rPr>
                <w:rFonts w:eastAsia="Times New Roman" w:cs="Calibri"/>
                <w:sz w:val="20"/>
                <w:lang w:val="en-US" w:eastAsia="zh-CN"/>
              </w:rPr>
              <w:t xml:space="preserve"> </w:t>
            </w:r>
            <w:r w:rsidRPr="000C156A">
              <w:rPr>
                <w:rFonts w:eastAsia="Times New Roman" w:cs="Calibri"/>
                <w:sz w:val="20"/>
                <w:lang w:val="en-US" w:eastAsia="zh-CN"/>
              </w:rPr>
              <w:t>803</w:t>
            </w:r>
          </w:p>
        </w:tc>
        <w:tc>
          <w:tcPr>
            <w:tcW w:w="2127" w:type="dxa"/>
            <w:tcBorders>
              <w:top w:val="nil"/>
              <w:left w:val="nil"/>
              <w:bottom w:val="nil"/>
              <w:right w:val="single" w:sz="4" w:space="0" w:color="auto"/>
            </w:tcBorders>
            <w:shd w:val="clear" w:color="auto" w:fill="auto"/>
            <w:hideMark/>
          </w:tcPr>
          <w:p w14:paraId="40412B9A" w14:textId="52CD78B8"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24</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905</w:t>
            </w:r>
          </w:p>
        </w:tc>
      </w:tr>
      <w:tr w:rsidR="0059627D" w:rsidRPr="000C156A" w14:paraId="7404831B" w14:textId="77777777" w:rsidTr="00AF4C18">
        <w:tc>
          <w:tcPr>
            <w:tcW w:w="5382" w:type="dxa"/>
            <w:tcBorders>
              <w:top w:val="nil"/>
              <w:left w:val="single" w:sz="8" w:space="0" w:color="auto"/>
              <w:bottom w:val="nil"/>
              <w:right w:val="nil"/>
            </w:tcBorders>
            <w:shd w:val="clear" w:color="auto" w:fill="auto"/>
            <w:vAlign w:val="center"/>
            <w:hideMark/>
          </w:tcPr>
          <w:p w14:paraId="6F3924BE"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其他预算外储备金</w:t>
            </w:r>
          </w:p>
        </w:tc>
        <w:tc>
          <w:tcPr>
            <w:tcW w:w="2126" w:type="dxa"/>
            <w:tcBorders>
              <w:top w:val="nil"/>
              <w:left w:val="nil"/>
              <w:bottom w:val="nil"/>
              <w:right w:val="single" w:sz="4" w:space="0" w:color="auto"/>
            </w:tcBorders>
            <w:shd w:val="clear" w:color="auto" w:fill="auto"/>
            <w:hideMark/>
          </w:tcPr>
          <w:p w14:paraId="7E438C06" w14:textId="2F9D129F"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sz w:val="20"/>
                <w:lang w:val="en-US" w:eastAsia="zh-CN"/>
              </w:rPr>
            </w:pPr>
            <w:r w:rsidRPr="000C156A">
              <w:rPr>
                <w:rFonts w:eastAsia="Times New Roman" w:cs="Calibri"/>
                <w:sz w:val="20"/>
                <w:lang w:val="en-US" w:eastAsia="zh-CN"/>
              </w:rPr>
              <w:t>68</w:t>
            </w:r>
            <w:r w:rsidR="00CF258E" w:rsidRPr="000C156A">
              <w:rPr>
                <w:rFonts w:eastAsia="Times New Roman" w:cs="Calibri"/>
                <w:sz w:val="20"/>
                <w:lang w:val="en-US" w:eastAsia="zh-CN"/>
              </w:rPr>
              <w:t xml:space="preserve"> </w:t>
            </w:r>
            <w:r w:rsidRPr="000C156A">
              <w:rPr>
                <w:rFonts w:eastAsia="Times New Roman" w:cs="Calibri"/>
                <w:sz w:val="20"/>
                <w:lang w:val="en-US" w:eastAsia="zh-CN"/>
              </w:rPr>
              <w:t>637</w:t>
            </w:r>
          </w:p>
        </w:tc>
        <w:tc>
          <w:tcPr>
            <w:tcW w:w="2127" w:type="dxa"/>
            <w:tcBorders>
              <w:top w:val="nil"/>
              <w:left w:val="nil"/>
              <w:bottom w:val="nil"/>
              <w:right w:val="single" w:sz="4" w:space="0" w:color="auto"/>
            </w:tcBorders>
            <w:shd w:val="clear" w:color="auto" w:fill="auto"/>
            <w:hideMark/>
          </w:tcPr>
          <w:p w14:paraId="005FBDE4" w14:textId="37E02731"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81</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041</w:t>
            </w:r>
          </w:p>
        </w:tc>
      </w:tr>
      <w:tr w:rsidR="0059627D" w:rsidRPr="000C156A" w14:paraId="4CDA5597" w14:textId="77777777" w:rsidTr="00AF4C18">
        <w:tc>
          <w:tcPr>
            <w:tcW w:w="5382" w:type="dxa"/>
            <w:tcBorders>
              <w:top w:val="nil"/>
              <w:left w:val="single" w:sz="8" w:space="0" w:color="auto"/>
              <w:bottom w:val="nil"/>
              <w:right w:val="nil"/>
            </w:tcBorders>
            <w:shd w:val="clear" w:color="auto" w:fill="auto"/>
            <w:vAlign w:val="center"/>
            <w:hideMark/>
          </w:tcPr>
          <w:p w14:paraId="6C269440"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en-US" w:eastAsia="zh-CN"/>
              </w:rPr>
            </w:pPr>
            <w:r w:rsidRPr="000C156A">
              <w:rPr>
                <w:rFonts w:eastAsia="Times New Roman" w:cs="Calibri"/>
                <w:color w:val="000000"/>
                <w:sz w:val="20"/>
                <w:lang w:val="en-US" w:eastAsia="zh-CN"/>
              </w:rPr>
              <w:t>ASHI</w:t>
            </w:r>
            <w:r w:rsidRPr="000C156A">
              <w:rPr>
                <w:rFonts w:ascii="SimSun" w:hAnsi="SimSun" w:cs="Calibri" w:hint="eastAsia"/>
                <w:color w:val="000000"/>
                <w:sz w:val="20"/>
                <w:lang w:val="en-US" w:eastAsia="zh-CN"/>
              </w:rPr>
              <w:t>精算亏损</w:t>
            </w:r>
          </w:p>
        </w:tc>
        <w:tc>
          <w:tcPr>
            <w:tcW w:w="2126" w:type="dxa"/>
            <w:tcBorders>
              <w:top w:val="nil"/>
              <w:left w:val="nil"/>
              <w:bottom w:val="nil"/>
              <w:right w:val="single" w:sz="4" w:space="0" w:color="auto"/>
            </w:tcBorders>
            <w:shd w:val="clear" w:color="auto" w:fill="auto"/>
            <w:hideMark/>
          </w:tcPr>
          <w:p w14:paraId="1F1243A1" w14:textId="2D4C5CF1"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sz w:val="20"/>
                <w:lang w:val="en-US" w:eastAsia="zh-CN"/>
              </w:rPr>
            </w:pPr>
            <w:r w:rsidRPr="000C156A">
              <w:rPr>
                <w:rFonts w:eastAsia="Times New Roman" w:cs="Calibri"/>
                <w:sz w:val="20"/>
                <w:lang w:val="en-US" w:eastAsia="zh-CN"/>
              </w:rPr>
              <w:t>-263</w:t>
            </w:r>
            <w:r w:rsidR="00CF258E" w:rsidRPr="000C156A">
              <w:rPr>
                <w:rFonts w:eastAsia="Times New Roman" w:cs="Calibri"/>
                <w:sz w:val="20"/>
                <w:lang w:val="en-US" w:eastAsia="zh-CN"/>
              </w:rPr>
              <w:t xml:space="preserve"> </w:t>
            </w:r>
            <w:r w:rsidRPr="000C156A">
              <w:rPr>
                <w:rFonts w:eastAsia="Times New Roman" w:cs="Calibri"/>
                <w:sz w:val="20"/>
                <w:lang w:val="en-US" w:eastAsia="zh-CN"/>
              </w:rPr>
              <w:t>101</w:t>
            </w:r>
          </w:p>
        </w:tc>
        <w:tc>
          <w:tcPr>
            <w:tcW w:w="2127" w:type="dxa"/>
            <w:tcBorders>
              <w:top w:val="nil"/>
              <w:left w:val="nil"/>
              <w:bottom w:val="nil"/>
              <w:right w:val="single" w:sz="4" w:space="0" w:color="auto"/>
            </w:tcBorders>
            <w:shd w:val="clear" w:color="auto" w:fill="auto"/>
            <w:hideMark/>
          </w:tcPr>
          <w:p w14:paraId="1AB92C04" w14:textId="659650BB"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-278</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315</w:t>
            </w:r>
          </w:p>
        </w:tc>
      </w:tr>
      <w:tr w:rsidR="0059627D" w:rsidRPr="000C156A" w14:paraId="76D5881A" w14:textId="77777777" w:rsidTr="00AF4C18">
        <w:tc>
          <w:tcPr>
            <w:tcW w:w="5382" w:type="dxa"/>
            <w:tcBorders>
              <w:top w:val="nil"/>
              <w:left w:val="single" w:sz="8" w:space="0" w:color="auto"/>
              <w:bottom w:val="nil"/>
              <w:right w:val="nil"/>
            </w:tcBorders>
            <w:shd w:val="clear" w:color="auto" w:fill="auto"/>
            <w:vAlign w:val="center"/>
            <w:hideMark/>
          </w:tcPr>
          <w:p w14:paraId="6F126E46"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累计非预算内收益</w:t>
            </w:r>
          </w:p>
        </w:tc>
        <w:tc>
          <w:tcPr>
            <w:tcW w:w="2126" w:type="dxa"/>
            <w:tcBorders>
              <w:top w:val="nil"/>
              <w:left w:val="nil"/>
              <w:bottom w:val="nil"/>
              <w:right w:val="single" w:sz="4" w:space="0" w:color="auto"/>
            </w:tcBorders>
            <w:shd w:val="clear" w:color="auto" w:fill="auto"/>
            <w:hideMark/>
          </w:tcPr>
          <w:p w14:paraId="311D6D44" w14:textId="52A40534"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sz w:val="20"/>
                <w:lang w:val="en-US" w:eastAsia="zh-CN"/>
              </w:rPr>
            </w:pPr>
            <w:r w:rsidRPr="000C156A">
              <w:rPr>
                <w:rFonts w:eastAsia="Times New Roman" w:cs="Calibri"/>
                <w:sz w:val="20"/>
                <w:lang w:val="en-US" w:eastAsia="zh-CN"/>
              </w:rPr>
              <w:t>-284</w:t>
            </w:r>
            <w:r w:rsidR="00CF258E" w:rsidRPr="000C156A">
              <w:rPr>
                <w:rFonts w:eastAsia="Times New Roman" w:cs="Calibri"/>
                <w:sz w:val="20"/>
                <w:lang w:val="en-US" w:eastAsia="zh-CN"/>
              </w:rPr>
              <w:t xml:space="preserve"> </w:t>
            </w:r>
            <w:r w:rsidRPr="000C156A">
              <w:rPr>
                <w:rFonts w:eastAsia="Times New Roman" w:cs="Calibri"/>
                <w:sz w:val="20"/>
                <w:lang w:val="en-US" w:eastAsia="zh-CN"/>
              </w:rPr>
              <w:t>650</w:t>
            </w:r>
          </w:p>
        </w:tc>
        <w:tc>
          <w:tcPr>
            <w:tcW w:w="2127" w:type="dxa"/>
            <w:tcBorders>
              <w:top w:val="nil"/>
              <w:left w:val="nil"/>
              <w:bottom w:val="nil"/>
              <w:right w:val="single" w:sz="4" w:space="0" w:color="auto"/>
            </w:tcBorders>
            <w:shd w:val="clear" w:color="auto" w:fill="auto"/>
            <w:hideMark/>
          </w:tcPr>
          <w:p w14:paraId="50F58AAA" w14:textId="79686B9C"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-222</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814</w:t>
            </w:r>
          </w:p>
        </w:tc>
      </w:tr>
      <w:tr w:rsidR="0059627D" w:rsidRPr="000C156A" w14:paraId="3202F583" w14:textId="77777777" w:rsidTr="00AF4C18">
        <w:tc>
          <w:tcPr>
            <w:tcW w:w="5382" w:type="dxa"/>
            <w:tcBorders>
              <w:top w:val="nil"/>
              <w:left w:val="single" w:sz="8" w:space="0" w:color="auto"/>
              <w:bottom w:val="nil"/>
              <w:right w:val="nil"/>
            </w:tcBorders>
            <w:shd w:val="clear" w:color="auto" w:fill="auto"/>
            <w:vAlign w:val="center"/>
            <w:hideMark/>
          </w:tcPr>
          <w:p w14:paraId="78D3404F" w14:textId="77777777"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本期的盈余</w:t>
            </w:r>
            <w:r w:rsidRPr="000C156A">
              <w:rPr>
                <w:rFonts w:cs="Calibri"/>
                <w:color w:val="000000"/>
                <w:sz w:val="20"/>
                <w:lang w:val="en-US" w:eastAsia="zh-CN"/>
              </w:rPr>
              <w:t>/</w:t>
            </w:r>
            <w:r w:rsidRPr="000C156A">
              <w:rPr>
                <w:rFonts w:ascii="SimSun" w:hAnsi="SimSun" w:cs="Calibri" w:hint="eastAsia"/>
                <w:color w:val="000000"/>
                <w:sz w:val="20"/>
                <w:lang w:val="en-US" w:eastAsia="zh-CN"/>
              </w:rPr>
              <w:t>亏损</w:t>
            </w:r>
          </w:p>
        </w:tc>
        <w:tc>
          <w:tcPr>
            <w:tcW w:w="2126" w:type="dxa"/>
            <w:tcBorders>
              <w:top w:val="nil"/>
              <w:left w:val="nil"/>
              <w:bottom w:val="nil"/>
              <w:right w:val="single" w:sz="4" w:space="0" w:color="auto"/>
            </w:tcBorders>
            <w:shd w:val="clear" w:color="auto" w:fill="auto"/>
            <w:hideMark/>
          </w:tcPr>
          <w:p w14:paraId="5B570212" w14:textId="35F54A11"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-47</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259</w:t>
            </w:r>
          </w:p>
        </w:tc>
        <w:tc>
          <w:tcPr>
            <w:tcW w:w="2127" w:type="dxa"/>
            <w:tcBorders>
              <w:top w:val="nil"/>
              <w:left w:val="nil"/>
              <w:bottom w:val="nil"/>
              <w:right w:val="single" w:sz="4" w:space="0" w:color="auto"/>
            </w:tcBorders>
            <w:shd w:val="clear" w:color="auto" w:fill="auto"/>
            <w:hideMark/>
          </w:tcPr>
          <w:p w14:paraId="33F7519E" w14:textId="1E273489"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-57</w:t>
            </w:r>
            <w:r w:rsidR="00CF258E" w:rsidRPr="000C156A">
              <w:rPr>
                <w:rFonts w:eastAsia="Times New Roman" w:cs="Calibri"/>
                <w:color w:val="000000"/>
                <w:sz w:val="20"/>
                <w:lang w:val="en-US" w:eastAsia="zh-CN"/>
              </w:rPr>
              <w:t xml:space="preserve"> </w:t>
            </w:r>
            <w:r w:rsidRPr="000C156A">
              <w:rPr>
                <w:rFonts w:eastAsia="Times New Roman" w:cs="Calibri"/>
                <w:color w:val="000000"/>
                <w:sz w:val="20"/>
                <w:lang w:val="en-US" w:eastAsia="zh-CN"/>
              </w:rPr>
              <w:t>463</w:t>
            </w:r>
          </w:p>
        </w:tc>
      </w:tr>
      <w:tr w:rsidR="0059627D" w:rsidRPr="000C156A" w14:paraId="73D08CC5" w14:textId="77777777" w:rsidTr="00AF4C18">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177A2" w14:textId="4AF86B26" w:rsidR="0059627D" w:rsidRPr="000C156A" w:rsidRDefault="0059627D" w:rsidP="0059627D">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fr-FR" w:eastAsia="zh-CN"/>
              </w:rPr>
              <w:t>资产净值总额</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5A761EA" w14:textId="611734BF"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-500</w:t>
            </w:r>
            <w:r w:rsidR="00CF258E" w:rsidRPr="000C156A">
              <w:rPr>
                <w:rFonts w:eastAsia="Times New Roman" w:cs="Calibri"/>
                <w:b/>
                <w:bCs/>
                <w:color w:val="000000"/>
                <w:sz w:val="20"/>
                <w:lang w:val="en-US" w:eastAsia="zh-CN"/>
              </w:rPr>
              <w:t xml:space="preserve"> </w:t>
            </w:r>
            <w:r w:rsidRPr="000C156A">
              <w:rPr>
                <w:rFonts w:eastAsia="Times New Roman" w:cs="Calibri"/>
                <w:b/>
                <w:bCs/>
                <w:color w:val="000000"/>
                <w:sz w:val="20"/>
                <w:lang w:val="en-US" w:eastAsia="zh-CN"/>
              </w:rPr>
              <w:t>570</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0163FC3E" w14:textId="524F8071" w:rsidR="0059627D" w:rsidRPr="000C156A" w:rsidRDefault="0059627D" w:rsidP="00D4789D">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-452</w:t>
            </w:r>
            <w:r w:rsidR="00CF258E" w:rsidRPr="000C156A">
              <w:rPr>
                <w:rFonts w:eastAsia="Times New Roman" w:cs="Calibri"/>
                <w:b/>
                <w:bCs/>
                <w:color w:val="000000"/>
                <w:sz w:val="20"/>
                <w:lang w:val="en-US" w:eastAsia="zh-CN"/>
              </w:rPr>
              <w:t xml:space="preserve"> </w:t>
            </w:r>
            <w:r w:rsidRPr="000C156A">
              <w:rPr>
                <w:rFonts w:eastAsia="Times New Roman" w:cs="Calibri"/>
                <w:b/>
                <w:bCs/>
                <w:color w:val="000000"/>
                <w:sz w:val="20"/>
                <w:lang w:val="en-US" w:eastAsia="zh-CN"/>
              </w:rPr>
              <w:t>646</w:t>
            </w:r>
          </w:p>
        </w:tc>
      </w:tr>
    </w:tbl>
    <w:p w14:paraId="2CA09C19" w14:textId="77777777" w:rsidR="009D43C3" w:rsidRPr="000C156A" w:rsidRDefault="00C70441" w:rsidP="00CF258E">
      <w:pPr>
        <w:pStyle w:val="Heading1"/>
        <w:spacing w:after="240"/>
        <w:jc w:val="center"/>
        <w:rPr>
          <w:rFonts w:cs="Microsoft YaHei"/>
          <w:lang w:eastAsia="zh-CN"/>
        </w:rPr>
      </w:pPr>
      <w:r w:rsidRPr="000C156A">
        <w:rPr>
          <w:lang w:val="en-US" w:eastAsia="zh-CN"/>
        </w:rPr>
        <w:br w:type="page"/>
      </w:r>
      <w:bookmarkStart w:id="262" w:name="_Toc329165790"/>
      <w:bookmarkStart w:id="263" w:name="_Toc305594750"/>
      <w:bookmarkStart w:id="264" w:name="_Toc482892574"/>
      <w:bookmarkStart w:id="265" w:name="_Toc482870839"/>
      <w:bookmarkStart w:id="266" w:name="_Toc511813758"/>
      <w:bookmarkStart w:id="267" w:name="_Toc511817841"/>
      <w:bookmarkStart w:id="268" w:name="_Toc520280741"/>
      <w:bookmarkStart w:id="269" w:name="_Toc10536836"/>
      <w:bookmarkStart w:id="270" w:name="_Toc41905878"/>
      <w:bookmarkStart w:id="271" w:name="_Toc41906906"/>
      <w:bookmarkStart w:id="272" w:name="_Toc41907987"/>
      <w:bookmarkStart w:id="273" w:name="_Toc41908055"/>
      <w:bookmarkStart w:id="274" w:name="_Toc329165771"/>
      <w:bookmarkStart w:id="275" w:name="_Toc482894781"/>
      <w:bookmarkStart w:id="276" w:name="_Toc482892537"/>
      <w:bookmarkStart w:id="277" w:name="_Toc511116008"/>
      <w:bookmarkStart w:id="278" w:name="_Toc41905838"/>
      <w:bookmarkStart w:id="279" w:name="_Toc41906886"/>
      <w:bookmarkStart w:id="280" w:name="_Toc41907967"/>
      <w:bookmarkStart w:id="281" w:name="_Toc41908035"/>
      <w:bookmarkStart w:id="282" w:name="_Toc73519212"/>
      <w:bookmarkStart w:id="283" w:name="_Toc73636095"/>
      <w:bookmarkStart w:id="284" w:name="_Toc73636237"/>
      <w:bookmarkStart w:id="285" w:name="_Toc269839056"/>
      <w:bookmarkEnd w:id="260"/>
      <w:bookmarkEnd w:id="261"/>
      <w:r w:rsidR="009D43C3" w:rsidRPr="000C156A">
        <w:rPr>
          <w:rFonts w:cs="Microsoft YaHei" w:hint="eastAsia"/>
          <w:lang w:val="fr-FR" w:eastAsia="zh-CN"/>
        </w:rPr>
        <w:lastRenderedPageBreak/>
        <w:t>二</w:t>
      </w:r>
      <w:r w:rsidR="009D43C3" w:rsidRPr="000C156A">
        <w:rPr>
          <w:lang w:eastAsia="zh-CN"/>
        </w:rPr>
        <w:t xml:space="preserve"> – 2020</w:t>
      </w:r>
      <w:r w:rsidR="009D43C3" w:rsidRPr="000C156A">
        <w:rPr>
          <w:rFonts w:cs="Microsoft YaHei" w:hint="eastAsia"/>
          <w:lang w:val="fr-FR" w:eastAsia="zh-CN"/>
        </w:rPr>
        <w:t>年</w:t>
      </w:r>
      <w:r w:rsidR="009D43C3" w:rsidRPr="000C156A">
        <w:rPr>
          <w:lang w:eastAsia="zh-CN"/>
        </w:rPr>
        <w:t>12</w:t>
      </w:r>
      <w:r w:rsidR="009D43C3" w:rsidRPr="000C156A">
        <w:rPr>
          <w:rFonts w:cs="Microsoft YaHei" w:hint="eastAsia"/>
          <w:lang w:val="fr-FR" w:eastAsia="zh-CN"/>
        </w:rPr>
        <w:t>月</w:t>
      </w:r>
      <w:r w:rsidR="009D43C3" w:rsidRPr="000C156A">
        <w:rPr>
          <w:lang w:eastAsia="zh-CN"/>
        </w:rPr>
        <w:t>31</w:t>
      </w:r>
      <w:r w:rsidR="009D43C3" w:rsidRPr="000C156A">
        <w:rPr>
          <w:rFonts w:cs="Microsoft YaHei" w:hint="eastAsia"/>
          <w:lang w:val="fr-FR" w:eastAsia="zh-CN"/>
        </w:rPr>
        <w:t>日结束的周期的财务业绩表</w:t>
      </w:r>
      <w:bookmarkEnd w:id="274"/>
      <w:r w:rsidR="009D43C3" w:rsidRPr="000C156A">
        <w:rPr>
          <w:lang w:eastAsia="zh-CN"/>
        </w:rPr>
        <w:br/>
      </w:r>
      <w:r w:rsidR="009D43C3" w:rsidRPr="000C156A">
        <w:rPr>
          <w:rFonts w:cs="Microsoft YaHei" w:hint="eastAsia"/>
          <w:lang w:eastAsia="zh-CN"/>
        </w:rPr>
        <w:t>（</w:t>
      </w:r>
      <w:r w:rsidR="009D43C3" w:rsidRPr="000C156A">
        <w:rPr>
          <w:rFonts w:cs="Microsoft YaHei" w:hint="eastAsia"/>
          <w:lang w:val="fr-FR" w:eastAsia="zh-CN"/>
        </w:rPr>
        <w:t>包含截至</w:t>
      </w:r>
      <w:r w:rsidR="009D43C3" w:rsidRPr="000C156A">
        <w:rPr>
          <w:lang w:eastAsia="zh-CN"/>
        </w:rPr>
        <w:t>2019</w:t>
      </w:r>
      <w:r w:rsidR="009D43C3" w:rsidRPr="000C156A">
        <w:rPr>
          <w:rFonts w:cs="Microsoft YaHei" w:hint="eastAsia"/>
          <w:lang w:val="fr-FR" w:eastAsia="zh-CN"/>
        </w:rPr>
        <w:t>年</w:t>
      </w:r>
      <w:r w:rsidR="009D43C3" w:rsidRPr="000C156A">
        <w:rPr>
          <w:lang w:eastAsia="zh-CN"/>
        </w:rPr>
        <w:t>12</w:t>
      </w:r>
      <w:r w:rsidR="009D43C3" w:rsidRPr="000C156A">
        <w:rPr>
          <w:rFonts w:cs="Microsoft YaHei" w:hint="eastAsia"/>
          <w:lang w:val="fr-FR" w:eastAsia="zh-CN"/>
        </w:rPr>
        <w:t>月</w:t>
      </w:r>
      <w:r w:rsidR="009D43C3" w:rsidRPr="000C156A">
        <w:rPr>
          <w:lang w:eastAsia="zh-CN"/>
        </w:rPr>
        <w:t>31</w:t>
      </w:r>
      <w:r w:rsidR="009D43C3" w:rsidRPr="000C156A">
        <w:rPr>
          <w:rFonts w:cs="Microsoft YaHei" w:hint="eastAsia"/>
          <w:lang w:val="fr-FR" w:eastAsia="zh-CN"/>
        </w:rPr>
        <w:t>日的比较数字</w:t>
      </w:r>
      <w:r w:rsidR="009D43C3" w:rsidRPr="000C156A">
        <w:rPr>
          <w:rFonts w:cs="Microsoft YaHei" w:hint="eastAsia"/>
          <w:lang w:eastAsia="zh-CN"/>
        </w:rPr>
        <w:t>）</w:t>
      </w:r>
      <w:bookmarkEnd w:id="275"/>
      <w:bookmarkEnd w:id="276"/>
      <w:bookmarkEnd w:id="277"/>
      <w:bookmarkEnd w:id="278"/>
      <w:bookmarkEnd w:id="279"/>
      <w:bookmarkEnd w:id="280"/>
      <w:bookmarkEnd w:id="281"/>
      <w:bookmarkEnd w:id="282"/>
      <w:bookmarkEnd w:id="283"/>
      <w:bookmarkEnd w:id="284"/>
    </w:p>
    <w:tbl>
      <w:tblPr>
        <w:tblW w:w="8470" w:type="dxa"/>
        <w:jc w:val="center"/>
        <w:tblLook w:val="04A0" w:firstRow="1" w:lastRow="0" w:firstColumn="1" w:lastColumn="0" w:noHBand="0" w:noVBand="1"/>
      </w:tblPr>
      <w:tblGrid>
        <w:gridCol w:w="4531"/>
        <w:gridCol w:w="1985"/>
        <w:gridCol w:w="1954"/>
      </w:tblGrid>
      <w:tr w:rsidR="009D43C3" w:rsidRPr="000C156A" w14:paraId="109CD02A" w14:textId="77777777" w:rsidTr="00CF258E">
        <w:trPr>
          <w:trHeight w:val="270"/>
          <w:jc w:val="center"/>
        </w:trPr>
        <w:tc>
          <w:tcPr>
            <w:tcW w:w="4531" w:type="dxa"/>
            <w:tcBorders>
              <w:top w:val="single" w:sz="4" w:space="0" w:color="auto"/>
              <w:left w:val="single" w:sz="4" w:space="0" w:color="auto"/>
              <w:bottom w:val="single" w:sz="4" w:space="0" w:color="auto"/>
              <w:right w:val="nil"/>
            </w:tcBorders>
            <w:shd w:val="clear" w:color="auto" w:fill="auto"/>
            <w:noWrap/>
            <w:hideMark/>
          </w:tcPr>
          <w:p w14:paraId="670B2F0B" w14:textId="77777777" w:rsidR="009D43C3" w:rsidRPr="000C156A" w:rsidRDefault="009D43C3" w:rsidP="005D02F0">
            <w:pPr>
              <w:pStyle w:val="Tablehead"/>
              <w:spacing w:before="0"/>
              <w:jc w:val="left"/>
              <w:rPr>
                <w:rFonts w:cs="Calibri"/>
                <w:b w:val="0"/>
                <w:szCs w:val="22"/>
                <w:lang w:val="en-US" w:eastAsia="zh-CN"/>
              </w:rPr>
            </w:pPr>
            <w:r w:rsidRPr="000C156A">
              <w:rPr>
                <w:rFonts w:cs="Calibri" w:hint="eastAsia"/>
                <w:b w:val="0"/>
                <w:szCs w:val="22"/>
                <w:lang w:val="en-US" w:eastAsia="zh-CN"/>
              </w:rPr>
              <w:t>（单位：千瑞郎）</w:t>
            </w:r>
          </w:p>
        </w:tc>
        <w:tc>
          <w:tcPr>
            <w:tcW w:w="1985" w:type="dxa"/>
            <w:tcBorders>
              <w:top w:val="single" w:sz="4" w:space="0" w:color="auto"/>
              <w:left w:val="nil"/>
              <w:bottom w:val="single" w:sz="4" w:space="0" w:color="auto"/>
              <w:right w:val="single" w:sz="4" w:space="0" w:color="auto"/>
            </w:tcBorders>
            <w:shd w:val="clear" w:color="auto" w:fill="auto"/>
            <w:hideMark/>
          </w:tcPr>
          <w:p w14:paraId="3318AC03" w14:textId="77777777" w:rsidR="009D43C3" w:rsidRPr="000C156A" w:rsidRDefault="009D43C3" w:rsidP="005D02F0">
            <w:pPr>
              <w:pStyle w:val="Tablehead"/>
              <w:tabs>
                <w:tab w:val="left" w:pos="596"/>
              </w:tabs>
              <w:spacing w:before="0"/>
              <w:ind w:right="113"/>
              <w:jc w:val="right"/>
              <w:rPr>
                <w:rFonts w:cs="Calibri"/>
                <w:szCs w:val="22"/>
                <w:lang w:val="en-US" w:eastAsia="zh-CN"/>
              </w:rPr>
            </w:pPr>
            <w:r w:rsidRPr="000C156A">
              <w:rPr>
                <w:rFonts w:cs="Calibri"/>
                <w:szCs w:val="22"/>
                <w:lang w:val="en-US" w:eastAsia="zh-CN"/>
              </w:rPr>
              <w:t>2020</w:t>
            </w:r>
            <w:r w:rsidRPr="000C156A">
              <w:rPr>
                <w:rFonts w:cs="Calibri" w:hint="eastAsia"/>
                <w:szCs w:val="22"/>
                <w:lang w:val="en-US" w:eastAsia="zh-CN"/>
              </w:rPr>
              <w:t>年</w:t>
            </w:r>
            <w:r w:rsidRPr="000C156A">
              <w:rPr>
                <w:rFonts w:cs="Calibri" w:hint="eastAsia"/>
                <w:szCs w:val="22"/>
                <w:lang w:val="en-US" w:eastAsia="zh-CN"/>
              </w:rPr>
              <w:t>12</w:t>
            </w:r>
            <w:r w:rsidRPr="000C156A">
              <w:rPr>
                <w:rFonts w:cs="Calibri" w:hint="eastAsia"/>
                <w:szCs w:val="22"/>
                <w:lang w:val="en-US" w:eastAsia="zh-CN"/>
              </w:rPr>
              <w:t>月</w:t>
            </w:r>
            <w:r w:rsidRPr="000C156A">
              <w:rPr>
                <w:rFonts w:cs="Calibri" w:hint="eastAsia"/>
                <w:szCs w:val="22"/>
                <w:lang w:val="en-US" w:eastAsia="zh-CN"/>
              </w:rPr>
              <w:t>31</w:t>
            </w:r>
            <w:r w:rsidRPr="000C156A">
              <w:rPr>
                <w:rFonts w:cs="Calibri" w:hint="eastAsia"/>
                <w:szCs w:val="22"/>
                <w:lang w:val="en-US" w:eastAsia="zh-CN"/>
              </w:rPr>
              <w:t>日</w:t>
            </w:r>
          </w:p>
        </w:tc>
        <w:tc>
          <w:tcPr>
            <w:tcW w:w="1954" w:type="dxa"/>
            <w:tcBorders>
              <w:top w:val="single" w:sz="4" w:space="0" w:color="auto"/>
              <w:left w:val="nil"/>
              <w:bottom w:val="single" w:sz="4" w:space="0" w:color="auto"/>
              <w:right w:val="single" w:sz="4" w:space="0" w:color="auto"/>
            </w:tcBorders>
            <w:shd w:val="clear" w:color="auto" w:fill="auto"/>
            <w:hideMark/>
          </w:tcPr>
          <w:p w14:paraId="548BC1F6" w14:textId="77777777" w:rsidR="009D43C3" w:rsidRPr="000C156A" w:rsidRDefault="009D43C3" w:rsidP="005D02F0">
            <w:pPr>
              <w:pStyle w:val="Tablehead"/>
              <w:tabs>
                <w:tab w:val="left" w:pos="596"/>
              </w:tabs>
              <w:spacing w:before="0"/>
              <w:ind w:right="113"/>
              <w:jc w:val="right"/>
              <w:rPr>
                <w:rFonts w:cs="Calibri"/>
                <w:szCs w:val="22"/>
                <w:lang w:val="en-US" w:eastAsia="zh-CN"/>
              </w:rPr>
            </w:pPr>
            <w:r w:rsidRPr="000C156A">
              <w:rPr>
                <w:rFonts w:cs="Calibri"/>
                <w:szCs w:val="22"/>
                <w:lang w:val="en-US" w:eastAsia="zh-CN"/>
              </w:rPr>
              <w:t>2019</w:t>
            </w:r>
            <w:r w:rsidRPr="000C156A">
              <w:rPr>
                <w:rFonts w:cs="Calibri" w:hint="eastAsia"/>
                <w:szCs w:val="22"/>
                <w:lang w:val="en-US" w:eastAsia="zh-CN"/>
              </w:rPr>
              <w:t>年</w:t>
            </w:r>
            <w:r w:rsidRPr="000C156A">
              <w:rPr>
                <w:rFonts w:cs="Calibri" w:hint="eastAsia"/>
                <w:szCs w:val="22"/>
                <w:lang w:val="en-US" w:eastAsia="zh-CN"/>
              </w:rPr>
              <w:t>12</w:t>
            </w:r>
            <w:r w:rsidRPr="000C156A">
              <w:rPr>
                <w:rFonts w:cs="Calibri" w:hint="eastAsia"/>
                <w:szCs w:val="22"/>
                <w:lang w:val="en-US" w:eastAsia="zh-CN"/>
              </w:rPr>
              <w:t>月</w:t>
            </w:r>
            <w:r w:rsidRPr="000C156A">
              <w:rPr>
                <w:rFonts w:cs="Calibri" w:hint="eastAsia"/>
                <w:szCs w:val="22"/>
                <w:lang w:val="en-US" w:eastAsia="zh-CN"/>
              </w:rPr>
              <w:t>31</w:t>
            </w:r>
            <w:r w:rsidRPr="000C156A">
              <w:rPr>
                <w:rFonts w:cs="Calibri" w:hint="eastAsia"/>
                <w:szCs w:val="22"/>
                <w:lang w:val="en-US" w:eastAsia="zh-CN"/>
              </w:rPr>
              <w:t>日</w:t>
            </w:r>
          </w:p>
        </w:tc>
      </w:tr>
      <w:tr w:rsidR="009D43C3" w:rsidRPr="000C156A" w14:paraId="7CF452E9" w14:textId="77777777" w:rsidTr="005D02F0">
        <w:trPr>
          <w:trHeight w:val="255"/>
          <w:jc w:val="center"/>
        </w:trPr>
        <w:tc>
          <w:tcPr>
            <w:tcW w:w="4531" w:type="dxa"/>
            <w:tcBorders>
              <w:top w:val="nil"/>
              <w:left w:val="single" w:sz="4" w:space="0" w:color="auto"/>
              <w:bottom w:val="nil"/>
              <w:right w:val="nil"/>
            </w:tcBorders>
            <w:shd w:val="clear" w:color="auto" w:fill="auto"/>
            <w:noWrap/>
            <w:vAlign w:val="bottom"/>
            <w:hideMark/>
          </w:tcPr>
          <w:p w14:paraId="6AEA8DE8" w14:textId="77777777" w:rsidR="009D43C3" w:rsidRPr="000C156A" w:rsidRDefault="009D43C3" w:rsidP="005D02F0">
            <w:pPr>
              <w:overflowPunct/>
              <w:adjustRightInd/>
              <w:spacing w:before="0"/>
              <w:textAlignment w:val="auto"/>
              <w:rPr>
                <w:rFonts w:cs="Calibri"/>
                <w:color w:val="000000"/>
                <w:sz w:val="22"/>
                <w:szCs w:val="22"/>
                <w:lang w:val="en-US" w:eastAsia="zh-CN"/>
              </w:rPr>
            </w:pPr>
            <w:r w:rsidRPr="000C156A">
              <w:rPr>
                <w:rFonts w:cs="Calibri"/>
                <w:color w:val="000000"/>
                <w:sz w:val="22"/>
                <w:szCs w:val="22"/>
                <w:lang w:val="en-US" w:eastAsia="zh-CN"/>
              </w:rPr>
              <w:t> </w:t>
            </w:r>
          </w:p>
        </w:tc>
        <w:tc>
          <w:tcPr>
            <w:tcW w:w="1985" w:type="dxa"/>
            <w:tcBorders>
              <w:top w:val="nil"/>
              <w:left w:val="nil"/>
              <w:bottom w:val="nil"/>
              <w:right w:val="single" w:sz="4" w:space="0" w:color="auto"/>
            </w:tcBorders>
            <w:shd w:val="clear" w:color="auto" w:fill="auto"/>
            <w:hideMark/>
          </w:tcPr>
          <w:p w14:paraId="4352F564" w14:textId="77777777"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609CDDC2" w14:textId="77777777"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 </w:t>
            </w:r>
          </w:p>
        </w:tc>
      </w:tr>
      <w:tr w:rsidR="009D43C3" w:rsidRPr="000C156A" w14:paraId="783A2578" w14:textId="77777777" w:rsidTr="005D02F0">
        <w:trPr>
          <w:trHeight w:val="255"/>
          <w:jc w:val="center"/>
        </w:trPr>
        <w:tc>
          <w:tcPr>
            <w:tcW w:w="4531" w:type="dxa"/>
            <w:tcBorders>
              <w:top w:val="nil"/>
              <w:left w:val="single" w:sz="4" w:space="0" w:color="auto"/>
              <w:bottom w:val="nil"/>
              <w:right w:val="nil"/>
            </w:tcBorders>
            <w:shd w:val="clear" w:color="auto" w:fill="auto"/>
            <w:hideMark/>
          </w:tcPr>
          <w:p w14:paraId="441DA304" w14:textId="77777777" w:rsidR="009D43C3" w:rsidRPr="000C156A" w:rsidRDefault="009D43C3" w:rsidP="005D02F0">
            <w:pPr>
              <w:overflowPunct/>
              <w:adjustRightInd/>
              <w:spacing w:before="0"/>
              <w:textAlignment w:val="auto"/>
              <w:rPr>
                <w:rFonts w:cs="Calibri"/>
                <w:b/>
                <w:bCs/>
                <w:color w:val="000000"/>
                <w:sz w:val="22"/>
                <w:szCs w:val="22"/>
                <w:lang w:val="en-US" w:eastAsia="zh-CN"/>
              </w:rPr>
            </w:pPr>
            <w:r w:rsidRPr="000C156A">
              <w:rPr>
                <w:rFonts w:cs="Calibri" w:hint="eastAsia"/>
                <w:b/>
                <w:bCs/>
                <w:sz w:val="22"/>
                <w:szCs w:val="22"/>
                <w:lang w:val="en-US" w:eastAsia="zh-CN"/>
              </w:rPr>
              <w:t>收入</w:t>
            </w:r>
          </w:p>
        </w:tc>
        <w:tc>
          <w:tcPr>
            <w:tcW w:w="1985" w:type="dxa"/>
            <w:tcBorders>
              <w:top w:val="nil"/>
              <w:left w:val="nil"/>
              <w:bottom w:val="nil"/>
              <w:right w:val="single" w:sz="4" w:space="0" w:color="auto"/>
            </w:tcBorders>
            <w:shd w:val="clear" w:color="auto" w:fill="auto"/>
            <w:hideMark/>
          </w:tcPr>
          <w:p w14:paraId="4003995C" w14:textId="77777777"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651F2E25" w14:textId="77777777"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 </w:t>
            </w:r>
          </w:p>
        </w:tc>
      </w:tr>
      <w:tr w:rsidR="009D43C3" w:rsidRPr="000C156A" w14:paraId="57BDCA98" w14:textId="77777777" w:rsidTr="005D02F0">
        <w:trPr>
          <w:trHeight w:val="255"/>
          <w:jc w:val="center"/>
        </w:trPr>
        <w:tc>
          <w:tcPr>
            <w:tcW w:w="4531" w:type="dxa"/>
            <w:tcBorders>
              <w:top w:val="nil"/>
              <w:left w:val="single" w:sz="4" w:space="0" w:color="auto"/>
              <w:bottom w:val="nil"/>
              <w:right w:val="nil"/>
            </w:tcBorders>
            <w:shd w:val="clear" w:color="auto" w:fill="auto"/>
            <w:hideMark/>
          </w:tcPr>
          <w:p w14:paraId="69BC593D" w14:textId="77777777" w:rsidR="009D43C3" w:rsidRPr="000C156A" w:rsidRDefault="009D43C3" w:rsidP="005D02F0">
            <w:pPr>
              <w:overflowPunct/>
              <w:adjustRightInd/>
              <w:spacing w:before="0"/>
              <w:textAlignment w:val="auto"/>
              <w:rPr>
                <w:rFonts w:cs="Calibri"/>
                <w:b/>
                <w:bCs/>
                <w:color w:val="000000"/>
                <w:sz w:val="22"/>
                <w:szCs w:val="22"/>
                <w:lang w:val="en-US" w:eastAsia="zh-CN"/>
              </w:rPr>
            </w:pPr>
            <w:r w:rsidRPr="000C156A">
              <w:rPr>
                <w:rFonts w:cs="Calibri"/>
                <w:b/>
                <w:bCs/>
                <w:color w:val="000000"/>
                <w:sz w:val="22"/>
                <w:szCs w:val="22"/>
                <w:lang w:val="en-US" w:eastAsia="zh-CN"/>
              </w:rPr>
              <w:t> </w:t>
            </w:r>
          </w:p>
        </w:tc>
        <w:tc>
          <w:tcPr>
            <w:tcW w:w="1985" w:type="dxa"/>
            <w:tcBorders>
              <w:top w:val="nil"/>
              <w:left w:val="nil"/>
              <w:bottom w:val="nil"/>
              <w:right w:val="single" w:sz="4" w:space="0" w:color="auto"/>
            </w:tcBorders>
            <w:shd w:val="clear" w:color="auto" w:fill="auto"/>
            <w:hideMark/>
          </w:tcPr>
          <w:p w14:paraId="79B861AF" w14:textId="77777777"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31885F53" w14:textId="77777777"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 </w:t>
            </w:r>
          </w:p>
        </w:tc>
      </w:tr>
      <w:tr w:rsidR="009D43C3" w:rsidRPr="000C156A" w14:paraId="3A67F042" w14:textId="77777777" w:rsidTr="005D02F0">
        <w:trPr>
          <w:trHeight w:val="255"/>
          <w:jc w:val="center"/>
        </w:trPr>
        <w:tc>
          <w:tcPr>
            <w:tcW w:w="4531" w:type="dxa"/>
            <w:tcBorders>
              <w:top w:val="nil"/>
              <w:left w:val="single" w:sz="4" w:space="0" w:color="auto"/>
              <w:bottom w:val="nil"/>
              <w:right w:val="nil"/>
            </w:tcBorders>
            <w:shd w:val="clear" w:color="auto" w:fill="auto"/>
            <w:hideMark/>
          </w:tcPr>
          <w:p w14:paraId="27120216" w14:textId="77777777" w:rsidR="009D43C3" w:rsidRPr="000C156A" w:rsidRDefault="009D43C3" w:rsidP="005D02F0">
            <w:pPr>
              <w:pStyle w:val="Tabletext"/>
              <w:spacing w:before="0"/>
              <w:rPr>
                <w:rFonts w:cs="Calibri"/>
                <w:szCs w:val="22"/>
                <w:lang w:val="en-US" w:eastAsia="zh-CN"/>
              </w:rPr>
            </w:pPr>
            <w:r w:rsidRPr="000C156A">
              <w:rPr>
                <w:rFonts w:cs="Calibri"/>
                <w:szCs w:val="22"/>
                <w:lang w:val="en-US" w:eastAsia="zh-CN"/>
              </w:rPr>
              <w:t>分摊会费</w:t>
            </w:r>
          </w:p>
        </w:tc>
        <w:tc>
          <w:tcPr>
            <w:tcW w:w="1985" w:type="dxa"/>
            <w:tcBorders>
              <w:top w:val="nil"/>
              <w:left w:val="nil"/>
              <w:bottom w:val="nil"/>
              <w:right w:val="single" w:sz="4" w:space="0" w:color="auto"/>
            </w:tcBorders>
            <w:shd w:val="clear" w:color="auto" w:fill="auto"/>
            <w:noWrap/>
            <w:vAlign w:val="bottom"/>
            <w:hideMark/>
          </w:tcPr>
          <w:p w14:paraId="78E6C9CD" w14:textId="572491C6"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125</w:t>
            </w:r>
            <w:r w:rsidR="00CF258E" w:rsidRPr="000C156A">
              <w:rPr>
                <w:rFonts w:cs="Calibri"/>
                <w:color w:val="000000"/>
                <w:sz w:val="22"/>
                <w:szCs w:val="22"/>
                <w:lang w:eastAsia="en-GB"/>
              </w:rPr>
              <w:t xml:space="preserve"> </w:t>
            </w:r>
            <w:r w:rsidRPr="000C156A">
              <w:rPr>
                <w:rFonts w:cs="Calibri"/>
                <w:color w:val="000000"/>
                <w:sz w:val="22"/>
                <w:szCs w:val="22"/>
                <w:lang w:eastAsia="en-GB"/>
              </w:rPr>
              <w:t>741</w:t>
            </w:r>
          </w:p>
        </w:tc>
        <w:tc>
          <w:tcPr>
            <w:tcW w:w="1954" w:type="dxa"/>
            <w:tcBorders>
              <w:top w:val="nil"/>
              <w:left w:val="nil"/>
              <w:bottom w:val="nil"/>
              <w:right w:val="single" w:sz="4" w:space="0" w:color="auto"/>
            </w:tcBorders>
            <w:shd w:val="clear" w:color="auto" w:fill="auto"/>
            <w:noWrap/>
            <w:vAlign w:val="bottom"/>
            <w:hideMark/>
          </w:tcPr>
          <w:p w14:paraId="48D8A613" w14:textId="5AC41D72"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126</w:t>
            </w:r>
            <w:r w:rsidR="00CF258E" w:rsidRPr="000C156A">
              <w:rPr>
                <w:rFonts w:cs="Calibri"/>
                <w:color w:val="000000"/>
                <w:sz w:val="22"/>
                <w:szCs w:val="22"/>
                <w:lang w:eastAsia="en-GB"/>
              </w:rPr>
              <w:t xml:space="preserve"> </w:t>
            </w:r>
            <w:r w:rsidRPr="000C156A">
              <w:rPr>
                <w:rFonts w:cs="Calibri"/>
                <w:color w:val="000000"/>
                <w:sz w:val="22"/>
                <w:szCs w:val="22"/>
                <w:lang w:eastAsia="en-GB"/>
              </w:rPr>
              <w:t>485</w:t>
            </w:r>
          </w:p>
        </w:tc>
      </w:tr>
      <w:tr w:rsidR="009D43C3" w:rsidRPr="000C156A" w14:paraId="3C1046A3" w14:textId="77777777" w:rsidTr="005D02F0">
        <w:trPr>
          <w:trHeight w:val="255"/>
          <w:jc w:val="center"/>
        </w:trPr>
        <w:tc>
          <w:tcPr>
            <w:tcW w:w="4531" w:type="dxa"/>
            <w:tcBorders>
              <w:top w:val="nil"/>
              <w:left w:val="single" w:sz="4" w:space="0" w:color="auto"/>
              <w:bottom w:val="nil"/>
              <w:right w:val="nil"/>
            </w:tcBorders>
            <w:shd w:val="clear" w:color="auto" w:fill="auto"/>
            <w:hideMark/>
          </w:tcPr>
          <w:p w14:paraId="4078E726" w14:textId="77777777" w:rsidR="009D43C3" w:rsidRPr="000C156A" w:rsidRDefault="009D43C3" w:rsidP="005D02F0">
            <w:pPr>
              <w:pStyle w:val="Tabletext"/>
              <w:spacing w:before="0"/>
              <w:rPr>
                <w:rFonts w:cs="Calibri"/>
                <w:szCs w:val="22"/>
                <w:lang w:val="en-US" w:eastAsia="zh-CN"/>
              </w:rPr>
            </w:pPr>
            <w:r w:rsidRPr="000C156A">
              <w:rPr>
                <w:rFonts w:cs="Calibri" w:hint="eastAsia"/>
                <w:szCs w:val="22"/>
                <w:lang w:val="en-US" w:eastAsia="zh-CN"/>
              </w:rPr>
              <w:t>自愿捐款</w:t>
            </w:r>
          </w:p>
        </w:tc>
        <w:tc>
          <w:tcPr>
            <w:tcW w:w="1985" w:type="dxa"/>
            <w:tcBorders>
              <w:top w:val="nil"/>
              <w:left w:val="nil"/>
              <w:bottom w:val="nil"/>
              <w:right w:val="single" w:sz="4" w:space="0" w:color="auto"/>
            </w:tcBorders>
            <w:shd w:val="clear" w:color="auto" w:fill="auto"/>
            <w:noWrap/>
            <w:vAlign w:val="bottom"/>
            <w:hideMark/>
          </w:tcPr>
          <w:p w14:paraId="7948681B" w14:textId="58220715"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w:t>
            </w:r>
            <w:r w:rsidR="00CF258E" w:rsidRPr="000C156A">
              <w:rPr>
                <w:rFonts w:cs="Calibri"/>
                <w:color w:val="000000"/>
                <w:sz w:val="22"/>
                <w:szCs w:val="22"/>
                <w:lang w:eastAsia="en-GB"/>
              </w:rPr>
              <w:t xml:space="preserve"> </w:t>
            </w:r>
            <w:r w:rsidRPr="000C156A">
              <w:rPr>
                <w:rFonts w:cs="Calibri"/>
                <w:color w:val="000000"/>
                <w:sz w:val="22"/>
                <w:szCs w:val="22"/>
                <w:lang w:eastAsia="en-GB"/>
              </w:rPr>
              <w:t>300</w:t>
            </w:r>
          </w:p>
        </w:tc>
        <w:tc>
          <w:tcPr>
            <w:tcW w:w="1954" w:type="dxa"/>
            <w:tcBorders>
              <w:top w:val="nil"/>
              <w:left w:val="nil"/>
              <w:bottom w:val="nil"/>
              <w:right w:val="single" w:sz="4" w:space="0" w:color="auto"/>
            </w:tcBorders>
            <w:shd w:val="clear" w:color="auto" w:fill="auto"/>
            <w:noWrap/>
            <w:vAlign w:val="bottom"/>
            <w:hideMark/>
          </w:tcPr>
          <w:p w14:paraId="69CEC2B3" w14:textId="4CF15398"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10</w:t>
            </w:r>
            <w:r w:rsidR="00CF258E" w:rsidRPr="000C156A">
              <w:rPr>
                <w:rFonts w:cs="Calibri"/>
                <w:color w:val="000000"/>
                <w:sz w:val="22"/>
                <w:szCs w:val="22"/>
                <w:lang w:eastAsia="en-GB"/>
              </w:rPr>
              <w:t xml:space="preserve"> </w:t>
            </w:r>
            <w:r w:rsidRPr="000C156A">
              <w:rPr>
                <w:rFonts w:cs="Calibri"/>
                <w:color w:val="000000"/>
                <w:sz w:val="22"/>
                <w:szCs w:val="22"/>
                <w:lang w:eastAsia="en-GB"/>
              </w:rPr>
              <w:t>456</w:t>
            </w:r>
          </w:p>
        </w:tc>
      </w:tr>
      <w:tr w:rsidR="009D43C3" w:rsidRPr="000C156A" w14:paraId="3E4C1065" w14:textId="77777777" w:rsidTr="005D02F0">
        <w:trPr>
          <w:trHeight w:val="255"/>
          <w:jc w:val="center"/>
        </w:trPr>
        <w:tc>
          <w:tcPr>
            <w:tcW w:w="4531" w:type="dxa"/>
            <w:tcBorders>
              <w:top w:val="nil"/>
              <w:left w:val="single" w:sz="4" w:space="0" w:color="auto"/>
              <w:bottom w:val="nil"/>
              <w:right w:val="nil"/>
            </w:tcBorders>
            <w:shd w:val="clear" w:color="auto" w:fill="auto"/>
            <w:hideMark/>
          </w:tcPr>
          <w:p w14:paraId="5772AD7C" w14:textId="77777777" w:rsidR="009D43C3" w:rsidRPr="000C156A" w:rsidRDefault="009D43C3" w:rsidP="005D02F0">
            <w:pPr>
              <w:pStyle w:val="Tabletext"/>
              <w:spacing w:before="0"/>
              <w:rPr>
                <w:rFonts w:cs="Calibri"/>
                <w:szCs w:val="22"/>
                <w:lang w:val="en-US" w:eastAsia="zh-CN"/>
              </w:rPr>
            </w:pPr>
            <w:r w:rsidRPr="000C156A">
              <w:rPr>
                <w:rFonts w:cs="Calibri" w:hint="eastAsia"/>
                <w:szCs w:val="22"/>
                <w:lang w:val="en-US" w:eastAsia="zh-CN"/>
              </w:rPr>
              <w:t>其它营运收入</w:t>
            </w:r>
          </w:p>
        </w:tc>
        <w:tc>
          <w:tcPr>
            <w:tcW w:w="1985" w:type="dxa"/>
            <w:tcBorders>
              <w:top w:val="nil"/>
              <w:left w:val="nil"/>
              <w:bottom w:val="nil"/>
              <w:right w:val="single" w:sz="4" w:space="0" w:color="auto"/>
            </w:tcBorders>
            <w:shd w:val="clear" w:color="auto" w:fill="auto"/>
            <w:noWrap/>
            <w:vAlign w:val="bottom"/>
            <w:hideMark/>
          </w:tcPr>
          <w:p w14:paraId="657658D1" w14:textId="4F7EB9DD"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40</w:t>
            </w:r>
            <w:r w:rsidR="00CF258E" w:rsidRPr="000C156A">
              <w:rPr>
                <w:rFonts w:cs="Calibri"/>
                <w:color w:val="000000"/>
                <w:sz w:val="22"/>
                <w:szCs w:val="22"/>
                <w:lang w:eastAsia="en-GB"/>
              </w:rPr>
              <w:t xml:space="preserve"> </w:t>
            </w:r>
            <w:r w:rsidRPr="000C156A">
              <w:rPr>
                <w:rFonts w:cs="Calibri"/>
                <w:color w:val="000000"/>
                <w:sz w:val="22"/>
                <w:szCs w:val="22"/>
                <w:lang w:eastAsia="en-GB"/>
              </w:rPr>
              <w:t>213</w:t>
            </w:r>
          </w:p>
        </w:tc>
        <w:tc>
          <w:tcPr>
            <w:tcW w:w="1954" w:type="dxa"/>
            <w:tcBorders>
              <w:top w:val="nil"/>
              <w:left w:val="nil"/>
              <w:bottom w:val="nil"/>
              <w:right w:val="single" w:sz="4" w:space="0" w:color="auto"/>
            </w:tcBorders>
            <w:shd w:val="clear" w:color="auto" w:fill="auto"/>
            <w:noWrap/>
            <w:vAlign w:val="bottom"/>
            <w:hideMark/>
          </w:tcPr>
          <w:p w14:paraId="083A43EA" w14:textId="6F40766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39</w:t>
            </w:r>
            <w:r w:rsidR="00CF258E" w:rsidRPr="000C156A">
              <w:rPr>
                <w:rFonts w:cs="Calibri"/>
                <w:color w:val="000000"/>
                <w:sz w:val="22"/>
                <w:szCs w:val="22"/>
                <w:lang w:eastAsia="en-GB"/>
              </w:rPr>
              <w:t xml:space="preserve"> </w:t>
            </w:r>
            <w:r w:rsidRPr="000C156A">
              <w:rPr>
                <w:rFonts w:cs="Calibri"/>
                <w:color w:val="000000"/>
                <w:sz w:val="22"/>
                <w:szCs w:val="22"/>
                <w:lang w:eastAsia="en-GB"/>
              </w:rPr>
              <w:t>366</w:t>
            </w:r>
          </w:p>
        </w:tc>
      </w:tr>
      <w:tr w:rsidR="009D43C3" w:rsidRPr="000C156A" w14:paraId="14092053" w14:textId="77777777" w:rsidTr="005D02F0">
        <w:trPr>
          <w:trHeight w:val="255"/>
          <w:jc w:val="center"/>
        </w:trPr>
        <w:tc>
          <w:tcPr>
            <w:tcW w:w="4531" w:type="dxa"/>
            <w:tcBorders>
              <w:top w:val="nil"/>
              <w:left w:val="single" w:sz="4" w:space="0" w:color="auto"/>
              <w:bottom w:val="nil"/>
              <w:right w:val="nil"/>
            </w:tcBorders>
            <w:shd w:val="clear" w:color="auto" w:fill="auto"/>
            <w:hideMark/>
          </w:tcPr>
          <w:p w14:paraId="071DC8DD" w14:textId="77777777" w:rsidR="009D43C3" w:rsidRPr="000C156A" w:rsidRDefault="009D43C3" w:rsidP="005D02F0">
            <w:pPr>
              <w:pStyle w:val="Tabletext"/>
              <w:spacing w:before="0"/>
              <w:rPr>
                <w:rFonts w:cs="Calibri"/>
                <w:szCs w:val="22"/>
                <w:lang w:val="en-US" w:eastAsia="zh-CN"/>
              </w:rPr>
            </w:pPr>
            <w:r w:rsidRPr="000C156A">
              <w:rPr>
                <w:rFonts w:cs="Calibri" w:hint="eastAsia"/>
                <w:szCs w:val="22"/>
                <w:lang w:val="en-US" w:eastAsia="zh-CN"/>
              </w:rPr>
              <w:t>实物捐赠</w:t>
            </w:r>
          </w:p>
        </w:tc>
        <w:tc>
          <w:tcPr>
            <w:tcW w:w="1985" w:type="dxa"/>
            <w:tcBorders>
              <w:top w:val="nil"/>
              <w:left w:val="nil"/>
              <w:bottom w:val="nil"/>
              <w:right w:val="single" w:sz="4" w:space="0" w:color="auto"/>
            </w:tcBorders>
            <w:shd w:val="clear" w:color="auto" w:fill="auto"/>
            <w:noWrap/>
            <w:vAlign w:val="bottom"/>
            <w:hideMark/>
          </w:tcPr>
          <w:p w14:paraId="1CAF756B"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820</w:t>
            </w:r>
          </w:p>
        </w:tc>
        <w:tc>
          <w:tcPr>
            <w:tcW w:w="1954" w:type="dxa"/>
            <w:tcBorders>
              <w:top w:val="nil"/>
              <w:left w:val="nil"/>
              <w:bottom w:val="nil"/>
              <w:right w:val="single" w:sz="4" w:space="0" w:color="auto"/>
            </w:tcBorders>
            <w:shd w:val="clear" w:color="auto" w:fill="auto"/>
            <w:noWrap/>
            <w:vAlign w:val="bottom"/>
            <w:hideMark/>
          </w:tcPr>
          <w:p w14:paraId="12384704"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841</w:t>
            </w:r>
          </w:p>
        </w:tc>
      </w:tr>
      <w:tr w:rsidR="009D43C3" w:rsidRPr="000C156A" w14:paraId="4F7FD354" w14:textId="77777777" w:rsidTr="005D02F0">
        <w:trPr>
          <w:trHeight w:val="255"/>
          <w:jc w:val="center"/>
        </w:trPr>
        <w:tc>
          <w:tcPr>
            <w:tcW w:w="4531" w:type="dxa"/>
            <w:tcBorders>
              <w:top w:val="nil"/>
              <w:left w:val="single" w:sz="4" w:space="0" w:color="auto"/>
              <w:bottom w:val="nil"/>
              <w:right w:val="nil"/>
            </w:tcBorders>
            <w:shd w:val="clear" w:color="auto" w:fill="auto"/>
            <w:hideMark/>
          </w:tcPr>
          <w:p w14:paraId="3D29C8A6" w14:textId="77777777" w:rsidR="009D43C3" w:rsidRPr="000C156A" w:rsidRDefault="009D43C3" w:rsidP="005D02F0">
            <w:pPr>
              <w:pStyle w:val="Tabletext"/>
              <w:spacing w:before="0"/>
              <w:rPr>
                <w:rFonts w:cs="Calibri"/>
                <w:szCs w:val="22"/>
                <w:lang w:val="en-US" w:eastAsia="fr-FR"/>
              </w:rPr>
            </w:pPr>
            <w:r w:rsidRPr="000C156A">
              <w:rPr>
                <w:rFonts w:cs="Calibri" w:hint="eastAsia"/>
                <w:szCs w:val="22"/>
                <w:lang w:val="en-US" w:eastAsia="zh-CN"/>
              </w:rPr>
              <w:t>理财</w:t>
            </w:r>
            <w:r w:rsidRPr="000C156A">
              <w:rPr>
                <w:rFonts w:cs="Calibri" w:hint="eastAsia"/>
                <w:szCs w:val="22"/>
                <w:lang w:val="en-US" w:eastAsia="fr-FR"/>
              </w:rPr>
              <w:t>收入</w:t>
            </w:r>
          </w:p>
        </w:tc>
        <w:tc>
          <w:tcPr>
            <w:tcW w:w="1985" w:type="dxa"/>
            <w:tcBorders>
              <w:top w:val="nil"/>
              <w:left w:val="nil"/>
              <w:bottom w:val="nil"/>
              <w:right w:val="single" w:sz="4" w:space="0" w:color="auto"/>
            </w:tcBorders>
            <w:shd w:val="clear" w:color="auto" w:fill="auto"/>
            <w:noWrap/>
            <w:vAlign w:val="bottom"/>
            <w:hideMark/>
          </w:tcPr>
          <w:p w14:paraId="07036080" w14:textId="4D9CA73C"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w:t>
            </w:r>
            <w:r w:rsidR="00CF258E" w:rsidRPr="000C156A">
              <w:rPr>
                <w:rFonts w:cs="Calibri"/>
                <w:color w:val="000000"/>
                <w:sz w:val="22"/>
                <w:szCs w:val="22"/>
                <w:lang w:eastAsia="en-GB"/>
              </w:rPr>
              <w:t xml:space="preserve"> </w:t>
            </w:r>
            <w:r w:rsidRPr="000C156A">
              <w:rPr>
                <w:rFonts w:cs="Calibri"/>
                <w:color w:val="000000"/>
                <w:sz w:val="22"/>
                <w:szCs w:val="22"/>
                <w:lang w:eastAsia="en-GB"/>
              </w:rPr>
              <w:t>700</w:t>
            </w:r>
          </w:p>
        </w:tc>
        <w:tc>
          <w:tcPr>
            <w:tcW w:w="1954" w:type="dxa"/>
            <w:tcBorders>
              <w:top w:val="nil"/>
              <w:left w:val="nil"/>
              <w:bottom w:val="nil"/>
              <w:right w:val="single" w:sz="4" w:space="0" w:color="auto"/>
            </w:tcBorders>
            <w:shd w:val="clear" w:color="auto" w:fill="auto"/>
            <w:noWrap/>
            <w:vAlign w:val="bottom"/>
            <w:hideMark/>
          </w:tcPr>
          <w:p w14:paraId="2799B9F6" w14:textId="5E708C99"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10</w:t>
            </w:r>
            <w:r w:rsidR="00CF258E" w:rsidRPr="000C156A">
              <w:rPr>
                <w:rFonts w:cs="Calibri"/>
                <w:color w:val="000000"/>
                <w:sz w:val="22"/>
                <w:szCs w:val="22"/>
                <w:lang w:eastAsia="en-GB"/>
              </w:rPr>
              <w:t xml:space="preserve"> </w:t>
            </w:r>
            <w:r w:rsidRPr="000C156A">
              <w:rPr>
                <w:rFonts w:cs="Calibri"/>
                <w:color w:val="000000"/>
                <w:sz w:val="22"/>
                <w:szCs w:val="22"/>
                <w:lang w:eastAsia="en-GB"/>
              </w:rPr>
              <w:t>030</w:t>
            </w:r>
          </w:p>
        </w:tc>
      </w:tr>
      <w:tr w:rsidR="009D43C3" w:rsidRPr="000C156A" w14:paraId="00590A69" w14:textId="77777777" w:rsidTr="005D02F0">
        <w:trPr>
          <w:trHeight w:val="255"/>
          <w:jc w:val="center"/>
        </w:trPr>
        <w:tc>
          <w:tcPr>
            <w:tcW w:w="4531" w:type="dxa"/>
            <w:tcBorders>
              <w:top w:val="nil"/>
              <w:left w:val="single" w:sz="4" w:space="0" w:color="auto"/>
              <w:bottom w:val="nil"/>
              <w:right w:val="nil"/>
            </w:tcBorders>
            <w:shd w:val="clear" w:color="auto" w:fill="auto"/>
            <w:hideMark/>
          </w:tcPr>
          <w:p w14:paraId="75DB29DC" w14:textId="77777777" w:rsidR="009D43C3" w:rsidRPr="000C156A" w:rsidRDefault="009D43C3" w:rsidP="005D02F0">
            <w:pPr>
              <w:overflowPunct/>
              <w:adjustRightInd/>
              <w:spacing w:before="0"/>
              <w:textAlignment w:val="auto"/>
              <w:rPr>
                <w:rFonts w:cs="Calibri"/>
                <w:color w:val="000000"/>
                <w:sz w:val="22"/>
                <w:szCs w:val="22"/>
                <w:lang w:val="en-US" w:eastAsia="zh-CN"/>
              </w:rPr>
            </w:pPr>
            <w:r w:rsidRPr="000C156A">
              <w:rPr>
                <w:rFonts w:cs="Calibri"/>
                <w:color w:val="000000"/>
                <w:sz w:val="22"/>
                <w:szCs w:val="22"/>
                <w:lang w:val="en-US" w:eastAsia="zh-CN"/>
              </w:rPr>
              <w:t> </w:t>
            </w:r>
          </w:p>
        </w:tc>
        <w:tc>
          <w:tcPr>
            <w:tcW w:w="1985" w:type="dxa"/>
            <w:tcBorders>
              <w:top w:val="nil"/>
              <w:left w:val="nil"/>
              <w:bottom w:val="nil"/>
              <w:right w:val="single" w:sz="4" w:space="0" w:color="auto"/>
            </w:tcBorders>
            <w:shd w:val="clear" w:color="auto" w:fill="auto"/>
            <w:hideMark/>
          </w:tcPr>
          <w:p w14:paraId="73E1CFC9" w14:textId="77777777" w:rsidR="009D43C3" w:rsidRPr="000C156A" w:rsidRDefault="009D43C3" w:rsidP="005D02F0">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38ED3D64" w14:textId="77777777" w:rsidR="009D43C3" w:rsidRPr="000C156A" w:rsidRDefault="009D43C3" w:rsidP="005D02F0">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r>
      <w:tr w:rsidR="009D43C3" w:rsidRPr="000C156A" w14:paraId="1EEFE632" w14:textId="77777777" w:rsidTr="005D02F0">
        <w:trPr>
          <w:trHeight w:val="499"/>
          <w:jc w:val="center"/>
        </w:trPr>
        <w:tc>
          <w:tcPr>
            <w:tcW w:w="4531" w:type="dxa"/>
            <w:tcBorders>
              <w:top w:val="single" w:sz="4" w:space="0" w:color="auto"/>
              <w:left w:val="single" w:sz="4" w:space="0" w:color="auto"/>
              <w:bottom w:val="single" w:sz="4" w:space="0" w:color="auto"/>
              <w:right w:val="nil"/>
            </w:tcBorders>
            <w:shd w:val="clear" w:color="auto" w:fill="auto"/>
            <w:noWrap/>
            <w:vAlign w:val="center"/>
            <w:hideMark/>
          </w:tcPr>
          <w:p w14:paraId="72F112E4" w14:textId="77777777" w:rsidR="009D43C3" w:rsidRPr="000C156A" w:rsidRDefault="009D43C3" w:rsidP="005D02F0">
            <w:pPr>
              <w:overflowPunct/>
              <w:adjustRightInd/>
              <w:spacing w:before="0"/>
              <w:textAlignment w:val="auto"/>
              <w:rPr>
                <w:rFonts w:cs="Calibri"/>
                <w:b/>
                <w:bCs/>
                <w:color w:val="000000"/>
                <w:sz w:val="22"/>
                <w:szCs w:val="22"/>
                <w:lang w:val="en-US" w:eastAsia="zh-CN"/>
              </w:rPr>
            </w:pPr>
            <w:r w:rsidRPr="000C156A">
              <w:rPr>
                <w:rFonts w:cs="Calibri" w:hint="eastAsia"/>
                <w:b/>
                <w:bCs/>
                <w:sz w:val="22"/>
                <w:szCs w:val="22"/>
                <w:lang w:val="en-US" w:eastAsia="fr-FR"/>
              </w:rPr>
              <w:t>收入总额</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56EB03D" w14:textId="47437618"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170</w:t>
            </w:r>
            <w:r w:rsidR="00CF258E" w:rsidRPr="000C156A">
              <w:rPr>
                <w:rFonts w:cs="Calibri"/>
                <w:b/>
                <w:bCs/>
                <w:color w:val="000000"/>
                <w:sz w:val="22"/>
                <w:szCs w:val="22"/>
                <w:lang w:eastAsia="en-GB"/>
              </w:rPr>
              <w:t xml:space="preserve"> </w:t>
            </w:r>
            <w:r w:rsidRPr="000C156A">
              <w:rPr>
                <w:rFonts w:cs="Calibri"/>
                <w:b/>
                <w:bCs/>
                <w:color w:val="000000"/>
                <w:sz w:val="22"/>
                <w:szCs w:val="22"/>
                <w:lang w:eastAsia="en-GB"/>
              </w:rPr>
              <w:t>373</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14:paraId="226BDC51" w14:textId="21A62982"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187</w:t>
            </w:r>
            <w:r w:rsidR="00CF258E" w:rsidRPr="000C156A">
              <w:rPr>
                <w:rFonts w:cs="Calibri"/>
                <w:b/>
                <w:bCs/>
                <w:color w:val="000000"/>
                <w:sz w:val="22"/>
                <w:szCs w:val="22"/>
                <w:lang w:eastAsia="en-GB"/>
              </w:rPr>
              <w:t xml:space="preserve"> </w:t>
            </w:r>
            <w:r w:rsidRPr="000C156A">
              <w:rPr>
                <w:rFonts w:cs="Calibri"/>
                <w:b/>
                <w:bCs/>
                <w:color w:val="000000"/>
                <w:sz w:val="22"/>
                <w:szCs w:val="22"/>
                <w:lang w:eastAsia="en-GB"/>
              </w:rPr>
              <w:t>177</w:t>
            </w:r>
          </w:p>
        </w:tc>
      </w:tr>
      <w:tr w:rsidR="009D43C3" w:rsidRPr="000C156A" w14:paraId="03C99D2A" w14:textId="77777777" w:rsidTr="005D02F0">
        <w:trPr>
          <w:trHeight w:val="255"/>
          <w:jc w:val="center"/>
        </w:trPr>
        <w:tc>
          <w:tcPr>
            <w:tcW w:w="4531" w:type="dxa"/>
            <w:tcBorders>
              <w:top w:val="nil"/>
              <w:left w:val="single" w:sz="4" w:space="0" w:color="auto"/>
              <w:bottom w:val="nil"/>
              <w:right w:val="nil"/>
            </w:tcBorders>
            <w:shd w:val="clear" w:color="auto" w:fill="auto"/>
            <w:hideMark/>
          </w:tcPr>
          <w:p w14:paraId="745ECCAD" w14:textId="77777777" w:rsidR="009D43C3" w:rsidRPr="000C156A" w:rsidRDefault="009D43C3" w:rsidP="005D02F0">
            <w:pPr>
              <w:overflowPunct/>
              <w:adjustRightInd/>
              <w:spacing w:before="0"/>
              <w:textAlignment w:val="auto"/>
              <w:rPr>
                <w:rFonts w:cs="Calibri"/>
                <w:b/>
                <w:bCs/>
                <w:color w:val="000000"/>
                <w:sz w:val="22"/>
                <w:szCs w:val="22"/>
                <w:lang w:val="en-US" w:eastAsia="zh-CN"/>
              </w:rPr>
            </w:pPr>
            <w:r w:rsidRPr="000C156A">
              <w:rPr>
                <w:rFonts w:cs="Calibri"/>
                <w:b/>
                <w:bCs/>
                <w:color w:val="000000"/>
                <w:sz w:val="22"/>
                <w:szCs w:val="22"/>
                <w:lang w:val="en-US" w:eastAsia="zh-CN"/>
              </w:rPr>
              <w:t> </w:t>
            </w:r>
          </w:p>
        </w:tc>
        <w:tc>
          <w:tcPr>
            <w:tcW w:w="1985" w:type="dxa"/>
            <w:tcBorders>
              <w:top w:val="nil"/>
              <w:left w:val="nil"/>
              <w:bottom w:val="nil"/>
              <w:right w:val="single" w:sz="4" w:space="0" w:color="auto"/>
            </w:tcBorders>
            <w:shd w:val="clear" w:color="auto" w:fill="auto"/>
            <w:hideMark/>
          </w:tcPr>
          <w:p w14:paraId="73DEF1BF" w14:textId="77777777" w:rsidR="009D43C3" w:rsidRPr="000C156A" w:rsidRDefault="009D43C3" w:rsidP="005D02F0">
            <w:pPr>
              <w:overflowPunct/>
              <w:autoSpaceDE/>
              <w:autoSpaceDN/>
              <w:adjustRightInd/>
              <w:spacing w:before="0"/>
              <w:textAlignment w:val="auto"/>
              <w:rPr>
                <w:rFonts w:cs="Calibri"/>
                <w:b/>
                <w:bCs/>
                <w:color w:val="000000"/>
                <w:sz w:val="22"/>
                <w:szCs w:val="22"/>
                <w:lang w:eastAsia="en-GB"/>
              </w:rPr>
            </w:pPr>
            <w:r w:rsidRPr="000C156A">
              <w:rPr>
                <w:rFonts w:cs="Calibri"/>
                <w:b/>
                <w:bCs/>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4AED119D" w14:textId="77777777" w:rsidR="009D43C3" w:rsidRPr="000C156A" w:rsidRDefault="009D43C3" w:rsidP="005D02F0">
            <w:pPr>
              <w:overflowPunct/>
              <w:autoSpaceDE/>
              <w:autoSpaceDN/>
              <w:adjustRightInd/>
              <w:spacing w:before="0"/>
              <w:textAlignment w:val="auto"/>
              <w:rPr>
                <w:rFonts w:cs="Calibri"/>
                <w:b/>
                <w:bCs/>
                <w:color w:val="000000"/>
                <w:sz w:val="22"/>
                <w:szCs w:val="22"/>
                <w:lang w:eastAsia="en-GB"/>
              </w:rPr>
            </w:pPr>
            <w:r w:rsidRPr="000C156A">
              <w:rPr>
                <w:rFonts w:cs="Calibri"/>
                <w:b/>
                <w:bCs/>
                <w:color w:val="000000"/>
                <w:sz w:val="22"/>
                <w:szCs w:val="22"/>
                <w:lang w:eastAsia="en-GB"/>
              </w:rPr>
              <w:t> </w:t>
            </w:r>
          </w:p>
        </w:tc>
      </w:tr>
      <w:tr w:rsidR="009D43C3" w:rsidRPr="000C156A" w14:paraId="4421E1D9" w14:textId="77777777" w:rsidTr="005D02F0">
        <w:trPr>
          <w:trHeight w:val="315"/>
          <w:jc w:val="center"/>
        </w:trPr>
        <w:tc>
          <w:tcPr>
            <w:tcW w:w="4531" w:type="dxa"/>
            <w:tcBorders>
              <w:top w:val="nil"/>
              <w:left w:val="single" w:sz="4" w:space="0" w:color="auto"/>
              <w:bottom w:val="nil"/>
              <w:right w:val="nil"/>
            </w:tcBorders>
            <w:shd w:val="clear" w:color="auto" w:fill="auto"/>
            <w:noWrap/>
            <w:vAlign w:val="bottom"/>
            <w:hideMark/>
          </w:tcPr>
          <w:p w14:paraId="689F01AA" w14:textId="77777777" w:rsidR="009D43C3" w:rsidRPr="000C156A" w:rsidRDefault="009D43C3" w:rsidP="005D02F0">
            <w:pPr>
              <w:overflowPunct/>
              <w:adjustRightInd/>
              <w:spacing w:before="0"/>
              <w:textAlignment w:val="auto"/>
              <w:rPr>
                <w:rFonts w:cs="Calibri"/>
                <w:b/>
                <w:bCs/>
                <w:color w:val="000000"/>
                <w:sz w:val="22"/>
                <w:szCs w:val="22"/>
                <w:lang w:val="en-US" w:eastAsia="zh-CN"/>
              </w:rPr>
            </w:pPr>
            <w:r w:rsidRPr="000C156A">
              <w:rPr>
                <w:rFonts w:cs="Calibri" w:hint="eastAsia"/>
                <w:b/>
                <w:bCs/>
                <w:sz w:val="22"/>
                <w:szCs w:val="22"/>
                <w:lang w:val="en-US" w:eastAsia="fr-FR"/>
              </w:rPr>
              <w:t>费用</w:t>
            </w:r>
          </w:p>
        </w:tc>
        <w:tc>
          <w:tcPr>
            <w:tcW w:w="1985" w:type="dxa"/>
            <w:tcBorders>
              <w:top w:val="nil"/>
              <w:left w:val="nil"/>
              <w:bottom w:val="nil"/>
              <w:right w:val="single" w:sz="4" w:space="0" w:color="auto"/>
            </w:tcBorders>
            <w:shd w:val="clear" w:color="auto" w:fill="auto"/>
            <w:hideMark/>
          </w:tcPr>
          <w:p w14:paraId="370FB372" w14:textId="77777777" w:rsidR="009D43C3" w:rsidRPr="000C156A" w:rsidRDefault="009D43C3" w:rsidP="005D02F0">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7063EA56" w14:textId="77777777" w:rsidR="009D43C3" w:rsidRPr="000C156A" w:rsidRDefault="009D43C3" w:rsidP="005D02F0">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r>
      <w:tr w:rsidR="009D43C3" w:rsidRPr="000C156A" w14:paraId="3FB56D42" w14:textId="77777777" w:rsidTr="005D02F0">
        <w:trPr>
          <w:trHeight w:val="255"/>
          <w:jc w:val="center"/>
        </w:trPr>
        <w:tc>
          <w:tcPr>
            <w:tcW w:w="4531" w:type="dxa"/>
            <w:tcBorders>
              <w:top w:val="nil"/>
              <w:left w:val="single" w:sz="4" w:space="0" w:color="auto"/>
              <w:bottom w:val="nil"/>
              <w:right w:val="nil"/>
            </w:tcBorders>
            <w:shd w:val="clear" w:color="auto" w:fill="auto"/>
            <w:hideMark/>
          </w:tcPr>
          <w:p w14:paraId="62E21E5E" w14:textId="77777777" w:rsidR="009D43C3" w:rsidRPr="000C156A" w:rsidRDefault="009D43C3" w:rsidP="005D02F0">
            <w:pPr>
              <w:overflowPunct/>
              <w:adjustRightInd/>
              <w:spacing w:before="0"/>
              <w:textAlignment w:val="auto"/>
              <w:rPr>
                <w:rFonts w:cs="Calibri"/>
                <w:b/>
                <w:bCs/>
                <w:color w:val="000000"/>
                <w:sz w:val="22"/>
                <w:szCs w:val="22"/>
                <w:lang w:val="en-US" w:eastAsia="zh-CN"/>
              </w:rPr>
            </w:pPr>
            <w:r w:rsidRPr="000C156A">
              <w:rPr>
                <w:rFonts w:cs="Calibri"/>
                <w:b/>
                <w:bCs/>
                <w:color w:val="000000"/>
                <w:sz w:val="22"/>
                <w:szCs w:val="22"/>
                <w:lang w:val="en-US" w:eastAsia="zh-CN"/>
              </w:rPr>
              <w:t> </w:t>
            </w:r>
          </w:p>
        </w:tc>
        <w:tc>
          <w:tcPr>
            <w:tcW w:w="1985" w:type="dxa"/>
            <w:tcBorders>
              <w:top w:val="nil"/>
              <w:left w:val="nil"/>
              <w:bottom w:val="nil"/>
              <w:right w:val="single" w:sz="4" w:space="0" w:color="auto"/>
            </w:tcBorders>
            <w:shd w:val="clear" w:color="auto" w:fill="auto"/>
            <w:hideMark/>
          </w:tcPr>
          <w:p w14:paraId="17B3E281" w14:textId="77777777" w:rsidR="009D43C3" w:rsidRPr="000C156A" w:rsidRDefault="009D43C3" w:rsidP="005D02F0">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6B0526FB" w14:textId="77777777" w:rsidR="009D43C3" w:rsidRPr="000C156A" w:rsidRDefault="009D43C3" w:rsidP="005D02F0">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r>
      <w:tr w:rsidR="009D43C3" w:rsidRPr="000C156A" w14:paraId="2D3AD7C0" w14:textId="77777777" w:rsidTr="005D02F0">
        <w:trPr>
          <w:trHeight w:val="255"/>
          <w:jc w:val="center"/>
        </w:trPr>
        <w:tc>
          <w:tcPr>
            <w:tcW w:w="4531" w:type="dxa"/>
            <w:tcBorders>
              <w:top w:val="nil"/>
              <w:left w:val="single" w:sz="4" w:space="0" w:color="auto"/>
              <w:bottom w:val="nil"/>
              <w:right w:val="nil"/>
            </w:tcBorders>
            <w:shd w:val="clear" w:color="auto" w:fill="auto"/>
            <w:noWrap/>
            <w:hideMark/>
          </w:tcPr>
          <w:p w14:paraId="2E2D6368" w14:textId="77777777" w:rsidR="009D43C3" w:rsidRPr="000C156A" w:rsidRDefault="009D43C3" w:rsidP="005D02F0">
            <w:pPr>
              <w:pStyle w:val="Tabletext"/>
              <w:spacing w:before="0"/>
              <w:rPr>
                <w:rFonts w:cs="Calibri"/>
                <w:szCs w:val="22"/>
                <w:lang w:val="en-US" w:eastAsia="fr-FR"/>
              </w:rPr>
            </w:pPr>
            <w:r w:rsidRPr="000C156A">
              <w:rPr>
                <w:rFonts w:cs="Calibri" w:hint="eastAsia"/>
                <w:szCs w:val="22"/>
                <w:lang w:val="en-US" w:eastAsia="fr-FR"/>
              </w:rPr>
              <w:t>职员费用</w:t>
            </w:r>
          </w:p>
        </w:tc>
        <w:tc>
          <w:tcPr>
            <w:tcW w:w="1985" w:type="dxa"/>
            <w:tcBorders>
              <w:top w:val="nil"/>
              <w:left w:val="nil"/>
              <w:bottom w:val="nil"/>
              <w:right w:val="single" w:sz="4" w:space="0" w:color="auto"/>
            </w:tcBorders>
            <w:shd w:val="clear" w:color="auto" w:fill="auto"/>
            <w:hideMark/>
          </w:tcPr>
          <w:p w14:paraId="1E4B4BE0" w14:textId="242CA11B"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153</w:t>
            </w:r>
            <w:r w:rsidR="00CF258E" w:rsidRPr="000C156A">
              <w:rPr>
                <w:rFonts w:cs="Calibri"/>
                <w:color w:val="000000"/>
                <w:sz w:val="22"/>
                <w:szCs w:val="22"/>
                <w:lang w:eastAsia="en-GB"/>
              </w:rPr>
              <w:t xml:space="preserve"> </w:t>
            </w:r>
            <w:r w:rsidRPr="000C156A">
              <w:rPr>
                <w:rFonts w:cs="Calibri"/>
                <w:color w:val="000000"/>
                <w:sz w:val="22"/>
                <w:szCs w:val="22"/>
                <w:lang w:eastAsia="en-GB"/>
              </w:rPr>
              <w:t>825</w:t>
            </w:r>
          </w:p>
        </w:tc>
        <w:tc>
          <w:tcPr>
            <w:tcW w:w="1954" w:type="dxa"/>
            <w:tcBorders>
              <w:top w:val="nil"/>
              <w:left w:val="nil"/>
              <w:bottom w:val="nil"/>
              <w:right w:val="single" w:sz="4" w:space="0" w:color="auto"/>
            </w:tcBorders>
            <w:shd w:val="clear" w:color="auto" w:fill="auto"/>
            <w:hideMark/>
          </w:tcPr>
          <w:p w14:paraId="49AA819A" w14:textId="15EB172B"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203</w:t>
            </w:r>
            <w:r w:rsidR="00CF258E" w:rsidRPr="000C156A">
              <w:rPr>
                <w:rFonts w:cs="Calibri"/>
                <w:color w:val="000000"/>
                <w:sz w:val="22"/>
                <w:szCs w:val="22"/>
                <w:lang w:eastAsia="en-GB"/>
              </w:rPr>
              <w:t xml:space="preserve"> </w:t>
            </w:r>
            <w:r w:rsidRPr="000C156A">
              <w:rPr>
                <w:rFonts w:cs="Calibri"/>
                <w:color w:val="000000"/>
                <w:sz w:val="22"/>
                <w:szCs w:val="22"/>
                <w:lang w:eastAsia="en-GB"/>
              </w:rPr>
              <w:t>942</w:t>
            </w:r>
          </w:p>
        </w:tc>
      </w:tr>
      <w:tr w:rsidR="009D43C3" w:rsidRPr="000C156A" w14:paraId="453C46B5" w14:textId="77777777" w:rsidTr="005D02F0">
        <w:trPr>
          <w:trHeight w:val="255"/>
          <w:jc w:val="center"/>
        </w:trPr>
        <w:tc>
          <w:tcPr>
            <w:tcW w:w="4531" w:type="dxa"/>
            <w:tcBorders>
              <w:top w:val="nil"/>
              <w:left w:val="single" w:sz="4" w:space="0" w:color="auto"/>
              <w:bottom w:val="nil"/>
              <w:right w:val="nil"/>
            </w:tcBorders>
            <w:shd w:val="clear" w:color="auto" w:fill="auto"/>
            <w:hideMark/>
          </w:tcPr>
          <w:p w14:paraId="45739C51" w14:textId="77777777" w:rsidR="009D43C3" w:rsidRPr="000C156A" w:rsidRDefault="009D43C3" w:rsidP="005D02F0">
            <w:pPr>
              <w:pStyle w:val="Tabletext"/>
              <w:spacing w:before="0"/>
              <w:rPr>
                <w:rFonts w:cs="Calibri"/>
                <w:szCs w:val="22"/>
                <w:lang w:val="en-US" w:eastAsia="fr-FR"/>
              </w:rPr>
            </w:pPr>
            <w:r w:rsidRPr="000C156A">
              <w:rPr>
                <w:rFonts w:cs="Calibri" w:hint="eastAsia"/>
                <w:szCs w:val="22"/>
                <w:lang w:val="en-US" w:eastAsia="fr-FR"/>
              </w:rPr>
              <w:t>差旅费用</w:t>
            </w:r>
          </w:p>
        </w:tc>
        <w:tc>
          <w:tcPr>
            <w:tcW w:w="1985" w:type="dxa"/>
            <w:tcBorders>
              <w:top w:val="nil"/>
              <w:left w:val="nil"/>
              <w:bottom w:val="nil"/>
              <w:right w:val="single" w:sz="4" w:space="0" w:color="auto"/>
            </w:tcBorders>
            <w:shd w:val="clear" w:color="auto" w:fill="auto"/>
            <w:hideMark/>
          </w:tcPr>
          <w:p w14:paraId="7F40B8C5" w14:textId="3D1CE0BC"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w:t>
            </w:r>
            <w:r w:rsidR="00CF258E" w:rsidRPr="000C156A">
              <w:rPr>
                <w:rFonts w:cs="Calibri"/>
                <w:color w:val="000000"/>
                <w:sz w:val="22"/>
                <w:szCs w:val="22"/>
                <w:lang w:eastAsia="en-GB"/>
              </w:rPr>
              <w:t xml:space="preserve"> </w:t>
            </w:r>
            <w:r w:rsidRPr="000C156A">
              <w:rPr>
                <w:rFonts w:cs="Calibri"/>
                <w:color w:val="000000"/>
                <w:sz w:val="22"/>
                <w:szCs w:val="22"/>
                <w:lang w:eastAsia="en-GB"/>
              </w:rPr>
              <w:t>003</w:t>
            </w:r>
          </w:p>
        </w:tc>
        <w:tc>
          <w:tcPr>
            <w:tcW w:w="1954" w:type="dxa"/>
            <w:tcBorders>
              <w:top w:val="nil"/>
              <w:left w:val="nil"/>
              <w:bottom w:val="nil"/>
              <w:right w:val="single" w:sz="4" w:space="0" w:color="auto"/>
            </w:tcBorders>
            <w:shd w:val="clear" w:color="auto" w:fill="auto"/>
            <w:hideMark/>
          </w:tcPr>
          <w:p w14:paraId="70FD6C9A" w14:textId="6CF8379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7</w:t>
            </w:r>
            <w:r w:rsidR="00CF258E" w:rsidRPr="000C156A">
              <w:rPr>
                <w:rFonts w:cs="Calibri"/>
                <w:color w:val="000000"/>
                <w:sz w:val="22"/>
                <w:szCs w:val="22"/>
                <w:lang w:eastAsia="en-GB"/>
              </w:rPr>
              <w:t xml:space="preserve"> </w:t>
            </w:r>
            <w:r w:rsidRPr="000C156A">
              <w:rPr>
                <w:rFonts w:cs="Calibri"/>
                <w:color w:val="000000"/>
                <w:sz w:val="22"/>
                <w:szCs w:val="22"/>
                <w:lang w:eastAsia="en-GB"/>
              </w:rPr>
              <w:t>767</w:t>
            </w:r>
          </w:p>
        </w:tc>
      </w:tr>
      <w:tr w:rsidR="009D43C3" w:rsidRPr="000C156A" w14:paraId="52B35781" w14:textId="77777777" w:rsidTr="005D02F0">
        <w:trPr>
          <w:trHeight w:val="255"/>
          <w:jc w:val="center"/>
        </w:trPr>
        <w:tc>
          <w:tcPr>
            <w:tcW w:w="4531" w:type="dxa"/>
            <w:tcBorders>
              <w:top w:val="nil"/>
              <w:left w:val="single" w:sz="4" w:space="0" w:color="auto"/>
              <w:bottom w:val="nil"/>
              <w:right w:val="nil"/>
            </w:tcBorders>
            <w:shd w:val="clear" w:color="auto" w:fill="auto"/>
            <w:hideMark/>
          </w:tcPr>
          <w:p w14:paraId="347163D9" w14:textId="77777777" w:rsidR="009D43C3" w:rsidRPr="000C156A" w:rsidRDefault="009D43C3" w:rsidP="005D02F0">
            <w:pPr>
              <w:pStyle w:val="Tabletext"/>
              <w:spacing w:before="0"/>
              <w:rPr>
                <w:rFonts w:cs="Calibri"/>
                <w:szCs w:val="22"/>
                <w:lang w:val="en-US" w:eastAsia="fr-FR"/>
              </w:rPr>
            </w:pPr>
            <w:r w:rsidRPr="000C156A">
              <w:rPr>
                <w:rFonts w:cs="Calibri"/>
                <w:szCs w:val="22"/>
                <w:lang w:val="en-US" w:eastAsia="fr-FR"/>
              </w:rPr>
              <w:t>合同服</w:t>
            </w:r>
            <w:r w:rsidRPr="000C156A">
              <w:rPr>
                <w:rFonts w:cs="Calibri" w:hint="eastAsia"/>
                <w:szCs w:val="22"/>
                <w:lang w:val="en-US" w:eastAsia="fr-FR"/>
              </w:rPr>
              <w:t>务</w:t>
            </w:r>
          </w:p>
        </w:tc>
        <w:tc>
          <w:tcPr>
            <w:tcW w:w="1985" w:type="dxa"/>
            <w:tcBorders>
              <w:top w:val="nil"/>
              <w:left w:val="nil"/>
              <w:bottom w:val="nil"/>
              <w:right w:val="single" w:sz="4" w:space="0" w:color="auto"/>
            </w:tcBorders>
            <w:shd w:val="clear" w:color="auto" w:fill="auto"/>
            <w:hideMark/>
          </w:tcPr>
          <w:p w14:paraId="7D104A5A" w14:textId="22475F28"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14</w:t>
            </w:r>
            <w:r w:rsidR="00CF258E" w:rsidRPr="000C156A">
              <w:rPr>
                <w:rFonts w:cs="Calibri"/>
                <w:color w:val="000000"/>
                <w:sz w:val="22"/>
                <w:szCs w:val="22"/>
                <w:lang w:eastAsia="en-GB"/>
              </w:rPr>
              <w:t xml:space="preserve"> </w:t>
            </w:r>
            <w:r w:rsidRPr="000C156A">
              <w:rPr>
                <w:rFonts w:cs="Calibri"/>
                <w:color w:val="000000"/>
                <w:sz w:val="22"/>
                <w:szCs w:val="22"/>
                <w:lang w:eastAsia="en-GB"/>
              </w:rPr>
              <w:t>512</w:t>
            </w:r>
          </w:p>
        </w:tc>
        <w:tc>
          <w:tcPr>
            <w:tcW w:w="1954" w:type="dxa"/>
            <w:tcBorders>
              <w:top w:val="nil"/>
              <w:left w:val="nil"/>
              <w:bottom w:val="nil"/>
              <w:right w:val="single" w:sz="4" w:space="0" w:color="auto"/>
            </w:tcBorders>
            <w:shd w:val="clear" w:color="auto" w:fill="auto"/>
            <w:hideMark/>
          </w:tcPr>
          <w:p w14:paraId="75016CAE" w14:textId="30DFC201"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13</w:t>
            </w:r>
            <w:r w:rsidR="00CF258E" w:rsidRPr="000C156A">
              <w:rPr>
                <w:rFonts w:cs="Calibri"/>
                <w:color w:val="000000"/>
                <w:sz w:val="22"/>
                <w:szCs w:val="22"/>
                <w:lang w:eastAsia="en-GB"/>
              </w:rPr>
              <w:t xml:space="preserve"> </w:t>
            </w:r>
            <w:r w:rsidRPr="000C156A">
              <w:rPr>
                <w:rFonts w:cs="Calibri"/>
                <w:color w:val="000000"/>
                <w:sz w:val="22"/>
                <w:szCs w:val="22"/>
                <w:lang w:eastAsia="en-GB"/>
              </w:rPr>
              <w:t>821</w:t>
            </w:r>
          </w:p>
        </w:tc>
      </w:tr>
      <w:tr w:rsidR="009D43C3" w:rsidRPr="000C156A" w14:paraId="2B12F65E" w14:textId="77777777" w:rsidTr="005D02F0">
        <w:trPr>
          <w:trHeight w:val="255"/>
          <w:jc w:val="center"/>
        </w:trPr>
        <w:tc>
          <w:tcPr>
            <w:tcW w:w="4531" w:type="dxa"/>
            <w:tcBorders>
              <w:top w:val="nil"/>
              <w:left w:val="single" w:sz="4" w:space="0" w:color="auto"/>
              <w:bottom w:val="nil"/>
              <w:right w:val="nil"/>
            </w:tcBorders>
            <w:shd w:val="clear" w:color="auto" w:fill="auto"/>
            <w:hideMark/>
          </w:tcPr>
          <w:p w14:paraId="4530D94A" w14:textId="77777777" w:rsidR="009D43C3" w:rsidRPr="000C156A" w:rsidRDefault="009D43C3" w:rsidP="005D02F0">
            <w:pPr>
              <w:pStyle w:val="Tabletext"/>
              <w:spacing w:before="0"/>
              <w:rPr>
                <w:rFonts w:cs="Calibri"/>
                <w:szCs w:val="22"/>
                <w:lang w:val="en-US" w:eastAsia="zh-CN"/>
              </w:rPr>
            </w:pPr>
            <w:r w:rsidRPr="000C156A">
              <w:rPr>
                <w:rFonts w:cs="Calibri" w:hint="eastAsia"/>
                <w:szCs w:val="22"/>
                <w:lang w:val="en-US" w:eastAsia="zh-CN"/>
              </w:rPr>
              <w:t>房屋设备租金与维修费</w:t>
            </w:r>
          </w:p>
        </w:tc>
        <w:tc>
          <w:tcPr>
            <w:tcW w:w="1985" w:type="dxa"/>
            <w:tcBorders>
              <w:top w:val="nil"/>
              <w:left w:val="nil"/>
              <w:bottom w:val="nil"/>
              <w:right w:val="single" w:sz="4" w:space="0" w:color="auto"/>
            </w:tcBorders>
            <w:shd w:val="clear" w:color="auto" w:fill="auto"/>
            <w:hideMark/>
          </w:tcPr>
          <w:p w14:paraId="7E0CB529" w14:textId="28A65C92"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w:t>
            </w:r>
            <w:r w:rsidR="00CF258E" w:rsidRPr="000C156A">
              <w:rPr>
                <w:rFonts w:cs="Calibri"/>
                <w:color w:val="000000"/>
                <w:sz w:val="22"/>
                <w:szCs w:val="22"/>
                <w:lang w:eastAsia="en-GB"/>
              </w:rPr>
              <w:t xml:space="preserve"> </w:t>
            </w:r>
            <w:r w:rsidRPr="000C156A">
              <w:rPr>
                <w:rFonts w:cs="Calibri"/>
                <w:color w:val="000000"/>
                <w:sz w:val="22"/>
                <w:szCs w:val="22"/>
                <w:lang w:eastAsia="en-GB"/>
              </w:rPr>
              <w:t>004</w:t>
            </w:r>
          </w:p>
        </w:tc>
        <w:tc>
          <w:tcPr>
            <w:tcW w:w="1954" w:type="dxa"/>
            <w:tcBorders>
              <w:top w:val="nil"/>
              <w:left w:val="nil"/>
              <w:bottom w:val="nil"/>
              <w:right w:val="single" w:sz="4" w:space="0" w:color="auto"/>
            </w:tcBorders>
            <w:shd w:val="clear" w:color="auto" w:fill="auto"/>
            <w:hideMark/>
          </w:tcPr>
          <w:p w14:paraId="488ED876" w14:textId="65072183"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w:t>
            </w:r>
            <w:r w:rsidR="00CF258E" w:rsidRPr="000C156A">
              <w:rPr>
                <w:rFonts w:cs="Calibri"/>
                <w:color w:val="000000"/>
                <w:sz w:val="22"/>
                <w:szCs w:val="22"/>
                <w:lang w:eastAsia="en-GB"/>
              </w:rPr>
              <w:t xml:space="preserve"> </w:t>
            </w:r>
            <w:r w:rsidRPr="000C156A">
              <w:rPr>
                <w:rFonts w:cs="Calibri"/>
                <w:color w:val="000000"/>
                <w:sz w:val="22"/>
                <w:szCs w:val="22"/>
                <w:lang w:eastAsia="en-GB"/>
              </w:rPr>
              <w:t>175</w:t>
            </w:r>
          </w:p>
        </w:tc>
      </w:tr>
      <w:tr w:rsidR="009D43C3" w:rsidRPr="000C156A" w14:paraId="468C9C8C" w14:textId="77777777" w:rsidTr="005D02F0">
        <w:trPr>
          <w:trHeight w:val="255"/>
          <w:jc w:val="center"/>
        </w:trPr>
        <w:tc>
          <w:tcPr>
            <w:tcW w:w="4531" w:type="dxa"/>
            <w:tcBorders>
              <w:top w:val="nil"/>
              <w:left w:val="single" w:sz="4" w:space="0" w:color="auto"/>
              <w:bottom w:val="nil"/>
              <w:right w:val="nil"/>
            </w:tcBorders>
            <w:shd w:val="clear" w:color="auto" w:fill="auto"/>
            <w:hideMark/>
          </w:tcPr>
          <w:p w14:paraId="11824347" w14:textId="77777777" w:rsidR="009D43C3" w:rsidRPr="000C156A" w:rsidRDefault="009D43C3" w:rsidP="005D02F0">
            <w:pPr>
              <w:pStyle w:val="Tabletext"/>
              <w:spacing w:before="0"/>
              <w:rPr>
                <w:rFonts w:cs="Calibri"/>
                <w:szCs w:val="22"/>
                <w:lang w:val="en-US" w:eastAsia="fr-FR"/>
              </w:rPr>
            </w:pPr>
            <w:r w:rsidRPr="000C156A">
              <w:rPr>
                <w:rFonts w:cs="Calibri" w:hint="eastAsia"/>
                <w:szCs w:val="22"/>
                <w:lang w:val="en-US" w:eastAsia="fr-FR"/>
              </w:rPr>
              <w:t>设备和用品</w:t>
            </w:r>
          </w:p>
        </w:tc>
        <w:tc>
          <w:tcPr>
            <w:tcW w:w="1985" w:type="dxa"/>
            <w:tcBorders>
              <w:top w:val="nil"/>
              <w:left w:val="nil"/>
              <w:bottom w:val="nil"/>
              <w:right w:val="single" w:sz="4" w:space="0" w:color="auto"/>
            </w:tcBorders>
            <w:shd w:val="clear" w:color="auto" w:fill="auto"/>
            <w:hideMark/>
          </w:tcPr>
          <w:p w14:paraId="4D5BA713" w14:textId="120593A3"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2</w:t>
            </w:r>
            <w:r w:rsidR="00CF258E" w:rsidRPr="000C156A">
              <w:rPr>
                <w:rFonts w:cs="Calibri"/>
                <w:color w:val="000000"/>
                <w:sz w:val="22"/>
                <w:szCs w:val="22"/>
                <w:lang w:eastAsia="en-GB"/>
              </w:rPr>
              <w:t xml:space="preserve"> </w:t>
            </w:r>
            <w:r w:rsidRPr="000C156A">
              <w:rPr>
                <w:rFonts w:cs="Calibri"/>
                <w:color w:val="000000"/>
                <w:sz w:val="22"/>
                <w:szCs w:val="22"/>
                <w:lang w:eastAsia="en-GB"/>
              </w:rPr>
              <w:t>896</w:t>
            </w:r>
          </w:p>
        </w:tc>
        <w:tc>
          <w:tcPr>
            <w:tcW w:w="1954" w:type="dxa"/>
            <w:tcBorders>
              <w:top w:val="nil"/>
              <w:left w:val="nil"/>
              <w:bottom w:val="nil"/>
              <w:right w:val="single" w:sz="4" w:space="0" w:color="auto"/>
            </w:tcBorders>
            <w:shd w:val="clear" w:color="auto" w:fill="auto"/>
            <w:hideMark/>
          </w:tcPr>
          <w:p w14:paraId="50256B27" w14:textId="6846811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w:t>
            </w:r>
            <w:r w:rsidR="00CF258E" w:rsidRPr="000C156A">
              <w:rPr>
                <w:rFonts w:cs="Calibri"/>
                <w:color w:val="000000"/>
                <w:sz w:val="22"/>
                <w:szCs w:val="22"/>
                <w:lang w:eastAsia="en-GB"/>
              </w:rPr>
              <w:t xml:space="preserve"> </w:t>
            </w:r>
            <w:r w:rsidRPr="000C156A">
              <w:rPr>
                <w:rFonts w:cs="Calibri"/>
                <w:color w:val="000000"/>
                <w:sz w:val="22"/>
                <w:szCs w:val="22"/>
                <w:lang w:eastAsia="en-GB"/>
              </w:rPr>
              <w:t>816</w:t>
            </w:r>
          </w:p>
        </w:tc>
      </w:tr>
      <w:tr w:rsidR="009D43C3" w:rsidRPr="000C156A" w14:paraId="15700E29" w14:textId="77777777" w:rsidTr="005D02F0">
        <w:trPr>
          <w:trHeight w:val="255"/>
          <w:jc w:val="center"/>
        </w:trPr>
        <w:tc>
          <w:tcPr>
            <w:tcW w:w="4531" w:type="dxa"/>
            <w:tcBorders>
              <w:top w:val="nil"/>
              <w:left w:val="single" w:sz="4" w:space="0" w:color="auto"/>
              <w:bottom w:val="nil"/>
              <w:right w:val="nil"/>
            </w:tcBorders>
            <w:shd w:val="clear" w:color="auto" w:fill="auto"/>
            <w:hideMark/>
          </w:tcPr>
          <w:p w14:paraId="1B5E777C" w14:textId="77777777" w:rsidR="009D43C3" w:rsidRPr="000C156A" w:rsidRDefault="009D43C3" w:rsidP="005D02F0">
            <w:pPr>
              <w:pStyle w:val="Tabletext"/>
              <w:spacing w:before="0"/>
              <w:rPr>
                <w:rFonts w:cs="Calibri"/>
                <w:szCs w:val="22"/>
                <w:lang w:val="en-US" w:eastAsia="fr-FR"/>
              </w:rPr>
            </w:pPr>
            <w:r w:rsidRPr="000C156A">
              <w:rPr>
                <w:rFonts w:cs="Calibri" w:hint="eastAsia"/>
                <w:szCs w:val="22"/>
                <w:lang w:val="en-US" w:eastAsia="fr-FR"/>
              </w:rPr>
              <w:t>折旧和减值损失</w:t>
            </w:r>
          </w:p>
        </w:tc>
        <w:tc>
          <w:tcPr>
            <w:tcW w:w="1985" w:type="dxa"/>
            <w:tcBorders>
              <w:top w:val="nil"/>
              <w:left w:val="nil"/>
              <w:bottom w:val="nil"/>
              <w:right w:val="single" w:sz="4" w:space="0" w:color="auto"/>
            </w:tcBorders>
            <w:shd w:val="clear" w:color="auto" w:fill="auto"/>
            <w:hideMark/>
          </w:tcPr>
          <w:p w14:paraId="121A949C" w14:textId="2B42BD4D"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16</w:t>
            </w:r>
            <w:r w:rsidR="00CF258E" w:rsidRPr="000C156A">
              <w:rPr>
                <w:rFonts w:cs="Calibri"/>
                <w:color w:val="000000"/>
                <w:sz w:val="22"/>
                <w:szCs w:val="22"/>
                <w:lang w:eastAsia="en-GB"/>
              </w:rPr>
              <w:t xml:space="preserve"> </w:t>
            </w:r>
            <w:r w:rsidRPr="000C156A">
              <w:rPr>
                <w:rFonts w:cs="Calibri"/>
                <w:color w:val="000000"/>
                <w:sz w:val="22"/>
                <w:szCs w:val="22"/>
                <w:lang w:eastAsia="en-GB"/>
              </w:rPr>
              <w:t>598</w:t>
            </w:r>
          </w:p>
        </w:tc>
        <w:tc>
          <w:tcPr>
            <w:tcW w:w="1954" w:type="dxa"/>
            <w:tcBorders>
              <w:top w:val="nil"/>
              <w:left w:val="nil"/>
              <w:bottom w:val="nil"/>
              <w:right w:val="single" w:sz="4" w:space="0" w:color="auto"/>
            </w:tcBorders>
            <w:shd w:val="clear" w:color="auto" w:fill="auto"/>
            <w:hideMark/>
          </w:tcPr>
          <w:p w14:paraId="20C3DFDE" w14:textId="0D6C98D4"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w:t>
            </w:r>
            <w:r w:rsidR="00CF258E" w:rsidRPr="000C156A">
              <w:rPr>
                <w:rFonts w:cs="Calibri"/>
                <w:color w:val="000000"/>
                <w:sz w:val="22"/>
                <w:szCs w:val="22"/>
                <w:lang w:eastAsia="en-GB"/>
              </w:rPr>
              <w:t xml:space="preserve"> </w:t>
            </w:r>
            <w:r w:rsidRPr="000C156A">
              <w:rPr>
                <w:rFonts w:cs="Calibri"/>
                <w:color w:val="000000"/>
                <w:sz w:val="22"/>
                <w:szCs w:val="22"/>
                <w:lang w:eastAsia="en-GB"/>
              </w:rPr>
              <w:t>570</w:t>
            </w:r>
          </w:p>
        </w:tc>
      </w:tr>
      <w:tr w:rsidR="009D43C3" w:rsidRPr="000C156A" w14:paraId="365FE38C" w14:textId="77777777" w:rsidTr="005D02F0">
        <w:trPr>
          <w:trHeight w:val="255"/>
          <w:jc w:val="center"/>
        </w:trPr>
        <w:tc>
          <w:tcPr>
            <w:tcW w:w="4531" w:type="dxa"/>
            <w:tcBorders>
              <w:top w:val="nil"/>
              <w:left w:val="single" w:sz="4" w:space="0" w:color="auto"/>
              <w:bottom w:val="nil"/>
              <w:right w:val="nil"/>
            </w:tcBorders>
            <w:shd w:val="clear" w:color="auto" w:fill="auto"/>
            <w:hideMark/>
          </w:tcPr>
          <w:p w14:paraId="06DBEB74" w14:textId="77777777" w:rsidR="009D43C3" w:rsidRPr="000C156A" w:rsidRDefault="009D43C3" w:rsidP="005D02F0">
            <w:pPr>
              <w:pStyle w:val="Tabletext"/>
              <w:spacing w:before="0"/>
              <w:rPr>
                <w:rFonts w:cs="Calibri"/>
                <w:szCs w:val="22"/>
                <w:lang w:val="en-US" w:eastAsia="zh-CN"/>
              </w:rPr>
            </w:pPr>
            <w:r w:rsidRPr="000C156A">
              <w:rPr>
                <w:rFonts w:cs="Calibri" w:hint="eastAsia"/>
                <w:szCs w:val="22"/>
                <w:lang w:val="en-US" w:eastAsia="zh-CN"/>
              </w:rPr>
              <w:t>运输、通信和服务费用</w:t>
            </w:r>
          </w:p>
        </w:tc>
        <w:tc>
          <w:tcPr>
            <w:tcW w:w="1985" w:type="dxa"/>
            <w:tcBorders>
              <w:top w:val="nil"/>
              <w:left w:val="nil"/>
              <w:bottom w:val="nil"/>
              <w:right w:val="single" w:sz="4" w:space="0" w:color="auto"/>
            </w:tcBorders>
            <w:shd w:val="clear" w:color="auto" w:fill="auto"/>
            <w:hideMark/>
          </w:tcPr>
          <w:p w14:paraId="3DE4693A" w14:textId="7052F58B"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w:t>
            </w:r>
            <w:r w:rsidR="00CF258E" w:rsidRPr="000C156A">
              <w:rPr>
                <w:rFonts w:cs="Calibri"/>
                <w:color w:val="000000"/>
                <w:sz w:val="22"/>
                <w:szCs w:val="22"/>
                <w:lang w:eastAsia="en-GB"/>
              </w:rPr>
              <w:t xml:space="preserve"> </w:t>
            </w:r>
            <w:r w:rsidRPr="000C156A">
              <w:rPr>
                <w:rFonts w:cs="Calibri"/>
                <w:color w:val="000000"/>
                <w:sz w:val="22"/>
                <w:szCs w:val="22"/>
                <w:lang w:eastAsia="en-GB"/>
              </w:rPr>
              <w:t>599</w:t>
            </w:r>
          </w:p>
        </w:tc>
        <w:tc>
          <w:tcPr>
            <w:tcW w:w="1954" w:type="dxa"/>
            <w:tcBorders>
              <w:top w:val="nil"/>
              <w:left w:val="nil"/>
              <w:bottom w:val="nil"/>
              <w:right w:val="single" w:sz="4" w:space="0" w:color="auto"/>
            </w:tcBorders>
            <w:shd w:val="clear" w:color="auto" w:fill="auto"/>
            <w:hideMark/>
          </w:tcPr>
          <w:p w14:paraId="7EA5B6B9" w14:textId="420494DD"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w:t>
            </w:r>
            <w:r w:rsidR="00CF258E" w:rsidRPr="000C156A">
              <w:rPr>
                <w:rFonts w:cs="Calibri"/>
                <w:color w:val="000000"/>
                <w:sz w:val="22"/>
                <w:szCs w:val="22"/>
                <w:lang w:eastAsia="en-GB"/>
              </w:rPr>
              <w:t xml:space="preserve"> </w:t>
            </w:r>
            <w:r w:rsidRPr="000C156A">
              <w:rPr>
                <w:rFonts w:cs="Calibri"/>
                <w:color w:val="000000"/>
                <w:sz w:val="22"/>
                <w:szCs w:val="22"/>
                <w:lang w:eastAsia="en-GB"/>
              </w:rPr>
              <w:t>619</w:t>
            </w:r>
          </w:p>
        </w:tc>
      </w:tr>
      <w:tr w:rsidR="009D43C3" w:rsidRPr="000C156A" w14:paraId="42F30467" w14:textId="77777777" w:rsidTr="005D02F0">
        <w:trPr>
          <w:trHeight w:val="255"/>
          <w:jc w:val="center"/>
        </w:trPr>
        <w:tc>
          <w:tcPr>
            <w:tcW w:w="4531" w:type="dxa"/>
            <w:tcBorders>
              <w:top w:val="nil"/>
              <w:left w:val="single" w:sz="4" w:space="0" w:color="auto"/>
              <w:bottom w:val="nil"/>
              <w:right w:val="nil"/>
            </w:tcBorders>
            <w:shd w:val="clear" w:color="auto" w:fill="auto"/>
            <w:hideMark/>
          </w:tcPr>
          <w:p w14:paraId="17A953F1" w14:textId="77777777" w:rsidR="009D43C3" w:rsidRPr="000C156A" w:rsidRDefault="009D43C3" w:rsidP="005D02F0">
            <w:pPr>
              <w:pStyle w:val="Tabletext"/>
              <w:spacing w:before="0"/>
              <w:rPr>
                <w:rFonts w:cs="Calibri"/>
                <w:szCs w:val="22"/>
                <w:lang w:val="en-US" w:eastAsia="zh-CN"/>
              </w:rPr>
            </w:pPr>
            <w:r w:rsidRPr="000C156A">
              <w:rPr>
                <w:rFonts w:cs="Calibri" w:hint="eastAsia"/>
                <w:szCs w:val="22"/>
                <w:lang w:val="en-US" w:eastAsia="fr-FR"/>
              </w:rPr>
              <w:t>其它费用</w:t>
            </w:r>
          </w:p>
        </w:tc>
        <w:tc>
          <w:tcPr>
            <w:tcW w:w="1985" w:type="dxa"/>
            <w:tcBorders>
              <w:top w:val="nil"/>
              <w:left w:val="nil"/>
              <w:bottom w:val="nil"/>
              <w:right w:val="single" w:sz="4" w:space="0" w:color="auto"/>
            </w:tcBorders>
            <w:shd w:val="clear" w:color="auto" w:fill="auto"/>
            <w:hideMark/>
          </w:tcPr>
          <w:p w14:paraId="56061579" w14:textId="01C7B865"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w:t>
            </w:r>
            <w:r w:rsidR="00CF258E" w:rsidRPr="000C156A">
              <w:rPr>
                <w:rFonts w:cs="Calibri"/>
                <w:color w:val="000000"/>
                <w:sz w:val="22"/>
                <w:szCs w:val="22"/>
                <w:lang w:eastAsia="en-GB"/>
              </w:rPr>
              <w:t xml:space="preserve"> </w:t>
            </w:r>
            <w:r w:rsidRPr="000C156A">
              <w:rPr>
                <w:rFonts w:cs="Calibri"/>
                <w:color w:val="000000"/>
                <w:sz w:val="22"/>
                <w:szCs w:val="22"/>
                <w:lang w:eastAsia="en-GB"/>
              </w:rPr>
              <w:t>306</w:t>
            </w:r>
          </w:p>
        </w:tc>
        <w:tc>
          <w:tcPr>
            <w:tcW w:w="1954" w:type="dxa"/>
            <w:tcBorders>
              <w:top w:val="nil"/>
              <w:left w:val="nil"/>
              <w:bottom w:val="nil"/>
              <w:right w:val="single" w:sz="4" w:space="0" w:color="auto"/>
            </w:tcBorders>
            <w:shd w:val="clear" w:color="auto" w:fill="auto"/>
            <w:hideMark/>
          </w:tcPr>
          <w:p w14:paraId="4272A364"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411</w:t>
            </w:r>
          </w:p>
        </w:tc>
      </w:tr>
      <w:tr w:rsidR="009D43C3" w:rsidRPr="000C156A" w14:paraId="4E6BEDA1" w14:textId="77777777" w:rsidTr="005D02F0">
        <w:trPr>
          <w:trHeight w:val="255"/>
          <w:jc w:val="center"/>
        </w:trPr>
        <w:tc>
          <w:tcPr>
            <w:tcW w:w="4531" w:type="dxa"/>
            <w:tcBorders>
              <w:top w:val="nil"/>
              <w:left w:val="single" w:sz="4" w:space="0" w:color="auto"/>
              <w:bottom w:val="nil"/>
              <w:right w:val="nil"/>
            </w:tcBorders>
            <w:shd w:val="clear" w:color="auto" w:fill="auto"/>
            <w:hideMark/>
          </w:tcPr>
          <w:p w14:paraId="7FFCAB6C" w14:textId="77777777" w:rsidR="009D43C3" w:rsidRPr="000C156A" w:rsidRDefault="009D43C3" w:rsidP="005D02F0">
            <w:pPr>
              <w:pStyle w:val="Tabletext"/>
              <w:spacing w:before="0"/>
              <w:rPr>
                <w:rFonts w:cs="Calibri"/>
                <w:szCs w:val="22"/>
                <w:lang w:val="en-US" w:eastAsia="fr-FR"/>
              </w:rPr>
            </w:pPr>
            <w:r w:rsidRPr="000C156A">
              <w:rPr>
                <w:rFonts w:cs="Calibri" w:hint="eastAsia"/>
                <w:szCs w:val="22"/>
                <w:lang w:val="en-US" w:eastAsia="fr-FR"/>
              </w:rPr>
              <w:t>实物捐赠</w:t>
            </w:r>
          </w:p>
        </w:tc>
        <w:tc>
          <w:tcPr>
            <w:tcW w:w="1985" w:type="dxa"/>
            <w:tcBorders>
              <w:top w:val="nil"/>
              <w:left w:val="nil"/>
              <w:bottom w:val="nil"/>
              <w:right w:val="single" w:sz="4" w:space="0" w:color="auto"/>
            </w:tcBorders>
            <w:shd w:val="clear" w:color="auto" w:fill="auto"/>
            <w:hideMark/>
          </w:tcPr>
          <w:p w14:paraId="1B493D6E"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820</w:t>
            </w:r>
          </w:p>
        </w:tc>
        <w:tc>
          <w:tcPr>
            <w:tcW w:w="1954" w:type="dxa"/>
            <w:tcBorders>
              <w:top w:val="nil"/>
              <w:left w:val="nil"/>
              <w:bottom w:val="nil"/>
              <w:right w:val="single" w:sz="4" w:space="0" w:color="auto"/>
            </w:tcBorders>
            <w:shd w:val="clear" w:color="auto" w:fill="auto"/>
            <w:hideMark/>
          </w:tcPr>
          <w:p w14:paraId="63C66DB7"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841</w:t>
            </w:r>
          </w:p>
        </w:tc>
      </w:tr>
      <w:tr w:rsidR="009D43C3" w:rsidRPr="000C156A" w14:paraId="42804E1F" w14:textId="77777777" w:rsidTr="005D02F0">
        <w:trPr>
          <w:trHeight w:val="255"/>
          <w:jc w:val="center"/>
        </w:trPr>
        <w:tc>
          <w:tcPr>
            <w:tcW w:w="4531" w:type="dxa"/>
            <w:tcBorders>
              <w:top w:val="nil"/>
              <w:left w:val="single" w:sz="4" w:space="0" w:color="auto"/>
              <w:bottom w:val="nil"/>
              <w:right w:val="nil"/>
            </w:tcBorders>
            <w:shd w:val="clear" w:color="auto" w:fill="auto"/>
            <w:hideMark/>
          </w:tcPr>
          <w:p w14:paraId="1D8825C3" w14:textId="77777777" w:rsidR="009D43C3" w:rsidRPr="000C156A" w:rsidRDefault="009D43C3" w:rsidP="005D02F0">
            <w:pPr>
              <w:pStyle w:val="Tabletext"/>
              <w:spacing w:before="0"/>
              <w:rPr>
                <w:rFonts w:cs="Calibri"/>
                <w:szCs w:val="22"/>
                <w:lang w:val="en-US" w:eastAsia="zh-CN"/>
              </w:rPr>
            </w:pPr>
            <w:r w:rsidRPr="000C156A">
              <w:rPr>
                <w:rFonts w:cs="Calibri" w:hint="eastAsia"/>
                <w:szCs w:val="22"/>
                <w:lang w:val="en-US" w:eastAsia="fr-FR"/>
              </w:rPr>
              <w:t>财务费用</w:t>
            </w:r>
          </w:p>
        </w:tc>
        <w:tc>
          <w:tcPr>
            <w:tcW w:w="1985" w:type="dxa"/>
            <w:tcBorders>
              <w:top w:val="nil"/>
              <w:left w:val="nil"/>
              <w:bottom w:val="nil"/>
              <w:right w:val="single" w:sz="4" w:space="0" w:color="auto"/>
            </w:tcBorders>
            <w:shd w:val="clear" w:color="auto" w:fill="auto"/>
            <w:hideMark/>
          </w:tcPr>
          <w:p w14:paraId="0B1D6F60" w14:textId="44DDE76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15</w:t>
            </w:r>
            <w:r w:rsidR="00CF258E" w:rsidRPr="000C156A">
              <w:rPr>
                <w:rFonts w:cs="Calibri"/>
                <w:color w:val="000000"/>
                <w:sz w:val="22"/>
                <w:szCs w:val="22"/>
                <w:lang w:eastAsia="en-GB"/>
              </w:rPr>
              <w:t xml:space="preserve"> </w:t>
            </w:r>
            <w:r w:rsidRPr="000C156A">
              <w:rPr>
                <w:rFonts w:cs="Calibri"/>
                <w:color w:val="000000"/>
                <w:sz w:val="22"/>
                <w:szCs w:val="22"/>
                <w:lang w:eastAsia="en-GB"/>
              </w:rPr>
              <w:t>069</w:t>
            </w:r>
          </w:p>
        </w:tc>
        <w:tc>
          <w:tcPr>
            <w:tcW w:w="1954" w:type="dxa"/>
            <w:tcBorders>
              <w:top w:val="nil"/>
              <w:left w:val="nil"/>
              <w:bottom w:val="nil"/>
              <w:right w:val="single" w:sz="4" w:space="0" w:color="auto"/>
            </w:tcBorders>
            <w:shd w:val="clear" w:color="auto" w:fill="auto"/>
            <w:hideMark/>
          </w:tcPr>
          <w:p w14:paraId="03467EEF" w14:textId="544E21D9"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w:t>
            </w:r>
            <w:r w:rsidR="00CF258E" w:rsidRPr="000C156A">
              <w:rPr>
                <w:rFonts w:cs="Calibri"/>
                <w:color w:val="000000"/>
                <w:sz w:val="22"/>
                <w:szCs w:val="22"/>
                <w:lang w:eastAsia="en-GB"/>
              </w:rPr>
              <w:t xml:space="preserve"> </w:t>
            </w:r>
            <w:r w:rsidRPr="000C156A">
              <w:rPr>
                <w:rFonts w:cs="Calibri"/>
                <w:color w:val="000000"/>
                <w:sz w:val="22"/>
                <w:szCs w:val="22"/>
                <w:lang w:eastAsia="en-GB"/>
              </w:rPr>
              <w:t>679</w:t>
            </w:r>
          </w:p>
        </w:tc>
      </w:tr>
      <w:tr w:rsidR="009D43C3" w:rsidRPr="000C156A" w14:paraId="4191D6D0" w14:textId="77777777" w:rsidTr="005D02F0">
        <w:trPr>
          <w:trHeight w:val="255"/>
          <w:jc w:val="center"/>
        </w:trPr>
        <w:tc>
          <w:tcPr>
            <w:tcW w:w="4531" w:type="dxa"/>
            <w:tcBorders>
              <w:top w:val="nil"/>
              <w:left w:val="single" w:sz="4" w:space="0" w:color="auto"/>
              <w:bottom w:val="nil"/>
              <w:right w:val="nil"/>
            </w:tcBorders>
            <w:shd w:val="clear" w:color="auto" w:fill="auto"/>
            <w:hideMark/>
          </w:tcPr>
          <w:p w14:paraId="4F41D70D" w14:textId="77777777" w:rsidR="009D43C3" w:rsidRPr="000C156A" w:rsidRDefault="009D43C3" w:rsidP="005D02F0">
            <w:pPr>
              <w:overflowPunct/>
              <w:adjustRightInd/>
              <w:spacing w:before="0"/>
              <w:textAlignment w:val="auto"/>
              <w:rPr>
                <w:rFonts w:cs="Calibri"/>
                <w:color w:val="000000"/>
                <w:sz w:val="22"/>
                <w:szCs w:val="22"/>
                <w:lang w:val="en-US" w:eastAsia="zh-CN"/>
              </w:rPr>
            </w:pPr>
            <w:r w:rsidRPr="000C156A">
              <w:rPr>
                <w:rFonts w:cs="Calibri"/>
                <w:color w:val="000000"/>
                <w:sz w:val="22"/>
                <w:szCs w:val="22"/>
                <w:lang w:val="en-US" w:eastAsia="zh-CN"/>
              </w:rPr>
              <w:t> </w:t>
            </w:r>
          </w:p>
        </w:tc>
        <w:tc>
          <w:tcPr>
            <w:tcW w:w="1985" w:type="dxa"/>
            <w:tcBorders>
              <w:top w:val="nil"/>
              <w:left w:val="nil"/>
              <w:bottom w:val="nil"/>
              <w:right w:val="single" w:sz="4" w:space="0" w:color="auto"/>
            </w:tcBorders>
            <w:shd w:val="clear" w:color="auto" w:fill="auto"/>
            <w:hideMark/>
          </w:tcPr>
          <w:p w14:paraId="2BE3EBC2" w14:textId="77777777" w:rsidR="009D43C3" w:rsidRPr="000C156A" w:rsidRDefault="009D43C3" w:rsidP="005D02F0">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61D849BE" w14:textId="77777777" w:rsidR="009D43C3" w:rsidRPr="000C156A" w:rsidRDefault="009D43C3" w:rsidP="005D02F0">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r>
      <w:tr w:rsidR="009D43C3" w:rsidRPr="000C156A" w14:paraId="1B93ADF6" w14:textId="77777777" w:rsidTr="00356D30">
        <w:trPr>
          <w:trHeight w:val="329"/>
          <w:jc w:val="center"/>
        </w:trPr>
        <w:tc>
          <w:tcPr>
            <w:tcW w:w="4531" w:type="dxa"/>
            <w:tcBorders>
              <w:top w:val="single" w:sz="4" w:space="0" w:color="auto"/>
              <w:left w:val="single" w:sz="4" w:space="0" w:color="auto"/>
              <w:bottom w:val="single" w:sz="4" w:space="0" w:color="auto"/>
              <w:right w:val="nil"/>
            </w:tcBorders>
            <w:shd w:val="clear" w:color="auto" w:fill="auto"/>
            <w:noWrap/>
            <w:hideMark/>
          </w:tcPr>
          <w:p w14:paraId="12EACCC5" w14:textId="77777777" w:rsidR="009D43C3" w:rsidRPr="000C156A" w:rsidRDefault="009D43C3" w:rsidP="00356D30">
            <w:pPr>
              <w:pStyle w:val="Tablehead"/>
              <w:spacing w:before="20" w:after="20"/>
              <w:jc w:val="left"/>
              <w:rPr>
                <w:rFonts w:cs="Calibri"/>
                <w:b w:val="0"/>
                <w:bCs/>
                <w:szCs w:val="22"/>
                <w:lang w:val="en-US" w:eastAsia="fr-FR"/>
              </w:rPr>
            </w:pPr>
            <w:r w:rsidRPr="000C156A">
              <w:rPr>
                <w:rFonts w:cs="Calibri" w:hint="eastAsia"/>
                <w:bCs/>
                <w:szCs w:val="22"/>
                <w:lang w:val="en-US" w:eastAsia="fr-FR"/>
              </w:rPr>
              <w:t>费用总额</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4BE67EC" w14:textId="541F1EA9"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217</w:t>
            </w:r>
            <w:r w:rsidR="00CF258E" w:rsidRPr="000C156A">
              <w:rPr>
                <w:rFonts w:cs="Calibri"/>
                <w:b/>
                <w:bCs/>
                <w:color w:val="000000"/>
                <w:sz w:val="22"/>
                <w:szCs w:val="22"/>
                <w:lang w:eastAsia="en-GB"/>
              </w:rPr>
              <w:t xml:space="preserve"> </w:t>
            </w:r>
            <w:r w:rsidRPr="000C156A">
              <w:rPr>
                <w:rFonts w:cs="Calibri"/>
                <w:b/>
                <w:bCs/>
                <w:color w:val="000000"/>
                <w:sz w:val="22"/>
                <w:szCs w:val="22"/>
                <w:lang w:eastAsia="en-GB"/>
              </w:rPr>
              <w:t>632</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14:paraId="27A5B814" w14:textId="52A67548"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244</w:t>
            </w:r>
            <w:r w:rsidR="00CF258E" w:rsidRPr="000C156A">
              <w:rPr>
                <w:rFonts w:cs="Calibri"/>
                <w:b/>
                <w:bCs/>
                <w:color w:val="000000"/>
                <w:sz w:val="22"/>
                <w:szCs w:val="22"/>
                <w:lang w:eastAsia="en-GB"/>
              </w:rPr>
              <w:t xml:space="preserve"> </w:t>
            </w:r>
            <w:r w:rsidRPr="000C156A">
              <w:rPr>
                <w:rFonts w:cs="Calibri"/>
                <w:b/>
                <w:bCs/>
                <w:color w:val="000000"/>
                <w:sz w:val="22"/>
                <w:szCs w:val="22"/>
                <w:lang w:eastAsia="en-GB"/>
              </w:rPr>
              <w:t>640</w:t>
            </w:r>
          </w:p>
        </w:tc>
      </w:tr>
      <w:tr w:rsidR="009D43C3" w:rsidRPr="000C156A" w14:paraId="32A66D3E" w14:textId="77777777" w:rsidTr="00356D30">
        <w:trPr>
          <w:trHeight w:val="277"/>
          <w:jc w:val="center"/>
        </w:trPr>
        <w:tc>
          <w:tcPr>
            <w:tcW w:w="4531" w:type="dxa"/>
            <w:tcBorders>
              <w:top w:val="nil"/>
              <w:left w:val="single" w:sz="4" w:space="0" w:color="auto"/>
              <w:bottom w:val="single" w:sz="4" w:space="0" w:color="auto"/>
              <w:right w:val="nil"/>
            </w:tcBorders>
            <w:shd w:val="clear" w:color="auto" w:fill="auto"/>
            <w:noWrap/>
            <w:hideMark/>
          </w:tcPr>
          <w:p w14:paraId="0B856FEA" w14:textId="77777777" w:rsidR="009D43C3" w:rsidRPr="000C156A" w:rsidRDefault="009D43C3" w:rsidP="00356D30">
            <w:pPr>
              <w:pStyle w:val="Tablehead"/>
              <w:spacing w:before="20" w:after="20"/>
              <w:jc w:val="left"/>
              <w:rPr>
                <w:rFonts w:cs="Calibri"/>
                <w:b w:val="0"/>
                <w:bCs/>
                <w:szCs w:val="22"/>
                <w:lang w:val="en-US" w:eastAsia="zh-CN"/>
              </w:rPr>
            </w:pPr>
            <w:r w:rsidRPr="000C156A">
              <w:rPr>
                <w:rFonts w:cs="Calibri" w:hint="eastAsia"/>
                <w:bCs/>
                <w:szCs w:val="22"/>
                <w:lang w:val="en-US" w:eastAsia="fr-FR"/>
              </w:rPr>
              <w:t>本期的盈余</w:t>
            </w:r>
            <w:r w:rsidRPr="000C156A">
              <w:rPr>
                <w:rFonts w:cs="Calibri" w:hint="eastAsia"/>
                <w:bCs/>
                <w:szCs w:val="22"/>
                <w:lang w:val="en-US" w:eastAsia="zh-CN"/>
              </w:rPr>
              <w:t>/</w:t>
            </w:r>
            <w:r w:rsidRPr="000C156A">
              <w:rPr>
                <w:rFonts w:cs="Calibri" w:hint="eastAsia"/>
                <w:bCs/>
                <w:szCs w:val="22"/>
                <w:lang w:val="en-US" w:eastAsia="fr-FR"/>
              </w:rPr>
              <w:t>亏损</w:t>
            </w:r>
          </w:p>
        </w:tc>
        <w:tc>
          <w:tcPr>
            <w:tcW w:w="1985" w:type="dxa"/>
            <w:tcBorders>
              <w:top w:val="nil"/>
              <w:left w:val="nil"/>
              <w:bottom w:val="single" w:sz="4" w:space="0" w:color="auto"/>
              <w:right w:val="single" w:sz="4" w:space="0" w:color="auto"/>
            </w:tcBorders>
            <w:shd w:val="clear" w:color="auto" w:fill="auto"/>
            <w:noWrap/>
            <w:vAlign w:val="center"/>
            <w:hideMark/>
          </w:tcPr>
          <w:p w14:paraId="19232AAB" w14:textId="4AF3A7CA"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-47</w:t>
            </w:r>
            <w:r w:rsidR="00CF258E" w:rsidRPr="000C156A">
              <w:rPr>
                <w:rFonts w:cs="Calibri"/>
                <w:color w:val="000000"/>
                <w:sz w:val="22"/>
                <w:szCs w:val="22"/>
                <w:lang w:eastAsia="en-GB"/>
              </w:rPr>
              <w:t xml:space="preserve"> </w:t>
            </w:r>
            <w:r w:rsidRPr="000C156A">
              <w:rPr>
                <w:rFonts w:cs="Calibri"/>
                <w:color w:val="000000"/>
                <w:sz w:val="22"/>
                <w:szCs w:val="22"/>
                <w:lang w:eastAsia="en-GB"/>
              </w:rPr>
              <w:t>259</w:t>
            </w:r>
          </w:p>
        </w:tc>
        <w:tc>
          <w:tcPr>
            <w:tcW w:w="1954" w:type="dxa"/>
            <w:tcBorders>
              <w:top w:val="nil"/>
              <w:left w:val="nil"/>
              <w:bottom w:val="single" w:sz="4" w:space="0" w:color="auto"/>
              <w:right w:val="single" w:sz="4" w:space="0" w:color="auto"/>
            </w:tcBorders>
            <w:shd w:val="clear" w:color="auto" w:fill="auto"/>
            <w:noWrap/>
            <w:vAlign w:val="center"/>
            <w:hideMark/>
          </w:tcPr>
          <w:p w14:paraId="7528A09C" w14:textId="6D45305E"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-57</w:t>
            </w:r>
            <w:r w:rsidR="00CF258E" w:rsidRPr="000C156A">
              <w:rPr>
                <w:rFonts w:cs="Calibri"/>
                <w:color w:val="000000"/>
                <w:sz w:val="22"/>
                <w:szCs w:val="22"/>
                <w:lang w:eastAsia="en-GB"/>
              </w:rPr>
              <w:t xml:space="preserve"> </w:t>
            </w:r>
            <w:r w:rsidRPr="000C156A">
              <w:rPr>
                <w:rFonts w:cs="Calibri"/>
                <w:color w:val="000000"/>
                <w:sz w:val="22"/>
                <w:szCs w:val="22"/>
                <w:lang w:eastAsia="en-GB"/>
              </w:rPr>
              <w:t>464</w:t>
            </w:r>
          </w:p>
        </w:tc>
      </w:tr>
    </w:tbl>
    <w:p w14:paraId="35B9C502" w14:textId="77777777" w:rsidR="009D43C3" w:rsidRPr="000C156A" w:rsidRDefault="009D43C3" w:rsidP="009D43C3">
      <w:r w:rsidRPr="000C156A">
        <w:br w:type="page"/>
      </w:r>
      <w:bookmarkStart w:id="286" w:name="_MON_1402486013"/>
      <w:bookmarkStart w:id="287" w:name="_MON_1402488600"/>
      <w:bookmarkStart w:id="288" w:name="_MON_1402986623"/>
      <w:bookmarkStart w:id="289" w:name="_MON_1402753501"/>
      <w:bookmarkEnd w:id="286"/>
      <w:bookmarkEnd w:id="287"/>
      <w:bookmarkEnd w:id="288"/>
      <w:bookmarkEnd w:id="289"/>
    </w:p>
    <w:p w14:paraId="32C79D44" w14:textId="77777777" w:rsidR="009D43C3" w:rsidRPr="000C156A" w:rsidRDefault="009D43C3" w:rsidP="00CF258E">
      <w:pPr>
        <w:pStyle w:val="Heading1"/>
        <w:spacing w:after="240"/>
        <w:jc w:val="center"/>
        <w:rPr>
          <w:rFonts w:cs="Microsoft YaHei"/>
          <w:lang w:val="fr-FR" w:eastAsia="zh-CN"/>
        </w:rPr>
      </w:pPr>
      <w:bookmarkStart w:id="290" w:name="_Toc329165772"/>
      <w:bookmarkStart w:id="291" w:name="_Toc482894782"/>
      <w:bookmarkStart w:id="292" w:name="_Toc482892538"/>
      <w:bookmarkStart w:id="293" w:name="_Toc511116009"/>
      <w:bookmarkStart w:id="294" w:name="_Toc41905839"/>
      <w:bookmarkStart w:id="295" w:name="_Toc41906887"/>
      <w:bookmarkStart w:id="296" w:name="_Toc41907968"/>
      <w:bookmarkStart w:id="297" w:name="_Toc41908036"/>
      <w:bookmarkStart w:id="298" w:name="_Toc73519213"/>
      <w:bookmarkStart w:id="299" w:name="_Toc73636238"/>
      <w:r w:rsidRPr="000C156A">
        <w:rPr>
          <w:rFonts w:cs="Microsoft YaHei" w:hint="eastAsia"/>
          <w:lang w:val="fr-FR" w:eastAsia="zh-CN"/>
        </w:rPr>
        <w:lastRenderedPageBreak/>
        <w:t>三</w:t>
      </w:r>
      <w:r w:rsidRPr="000C156A">
        <w:rPr>
          <w:lang w:eastAsia="zh-CN"/>
        </w:rPr>
        <w:t xml:space="preserve"> – 2020</w:t>
      </w:r>
      <w:r w:rsidRPr="000C156A">
        <w:rPr>
          <w:rFonts w:cs="Microsoft YaHei" w:hint="eastAsia"/>
          <w:lang w:val="fr-FR" w:eastAsia="zh-CN"/>
        </w:rPr>
        <w:t>年</w:t>
      </w:r>
      <w:r w:rsidRPr="000C156A">
        <w:rPr>
          <w:lang w:eastAsia="zh-CN"/>
        </w:rPr>
        <w:t>12</w:t>
      </w:r>
      <w:r w:rsidRPr="000C156A">
        <w:rPr>
          <w:rFonts w:cs="Microsoft YaHei" w:hint="eastAsia"/>
          <w:lang w:val="fr-FR" w:eastAsia="zh-CN"/>
        </w:rPr>
        <w:t>月</w:t>
      </w:r>
      <w:r w:rsidRPr="000C156A">
        <w:rPr>
          <w:lang w:eastAsia="zh-CN"/>
        </w:rPr>
        <w:t>31</w:t>
      </w:r>
      <w:r w:rsidRPr="000C156A">
        <w:rPr>
          <w:rFonts w:cs="Microsoft YaHei" w:hint="eastAsia"/>
          <w:lang w:val="fr-FR" w:eastAsia="zh-CN"/>
        </w:rPr>
        <w:t>日结束的周期的资产净值变化</w:t>
      </w:r>
      <w:bookmarkEnd w:id="290"/>
      <w:r w:rsidRPr="000C156A">
        <w:rPr>
          <w:rFonts w:cs="Microsoft YaHei" w:hint="eastAsia"/>
          <w:lang w:val="fr-FR" w:eastAsia="zh-CN"/>
        </w:rPr>
        <w:t>表</w:t>
      </w:r>
      <w:bookmarkEnd w:id="291"/>
      <w:bookmarkEnd w:id="292"/>
      <w:bookmarkEnd w:id="293"/>
      <w:bookmarkEnd w:id="294"/>
      <w:bookmarkEnd w:id="295"/>
      <w:bookmarkEnd w:id="296"/>
      <w:bookmarkEnd w:id="297"/>
      <w:bookmarkEnd w:id="298"/>
      <w:bookmarkEnd w:id="299"/>
    </w:p>
    <w:tbl>
      <w:tblPr>
        <w:tblW w:w="9500" w:type="dxa"/>
        <w:tblInd w:w="-10" w:type="dxa"/>
        <w:tblLook w:val="04A0" w:firstRow="1" w:lastRow="0" w:firstColumn="1" w:lastColumn="0" w:noHBand="0" w:noVBand="1"/>
      </w:tblPr>
      <w:tblGrid>
        <w:gridCol w:w="2977"/>
        <w:gridCol w:w="1843"/>
        <w:gridCol w:w="1559"/>
        <w:gridCol w:w="1276"/>
        <w:gridCol w:w="1845"/>
      </w:tblGrid>
      <w:tr w:rsidR="009D43C3" w:rsidRPr="000C156A" w14:paraId="3CF9E34B" w14:textId="77777777" w:rsidTr="00CF258E">
        <w:trPr>
          <w:trHeight w:val="521"/>
        </w:trPr>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CD8B19" w14:textId="77777777" w:rsidR="009D43C3" w:rsidRPr="000C156A" w:rsidRDefault="009D43C3" w:rsidP="005D02F0">
            <w:pPr>
              <w:pStyle w:val="Tablehead"/>
              <w:spacing w:before="20" w:after="60"/>
              <w:jc w:val="left"/>
              <w:rPr>
                <w:rFonts w:cs="Calibri"/>
                <w:szCs w:val="22"/>
                <w:lang w:val="en-US" w:eastAsia="zh-CN"/>
              </w:rPr>
            </w:pPr>
            <w:bookmarkStart w:id="300" w:name="_MON_1402489248"/>
            <w:bookmarkStart w:id="301" w:name="_MON_1396442479"/>
            <w:bookmarkStart w:id="302" w:name="_MON_1402488670"/>
            <w:bookmarkStart w:id="303" w:name="_MON_1402488972"/>
            <w:bookmarkStart w:id="304" w:name="_MON_1402753589"/>
            <w:bookmarkStart w:id="305" w:name="_MON_1402753602"/>
            <w:bookmarkStart w:id="306" w:name="_MON_1402488996"/>
            <w:bookmarkStart w:id="307" w:name="_MON_1402489007"/>
            <w:bookmarkStart w:id="308" w:name="_MON_1402489067"/>
            <w:bookmarkStart w:id="309" w:name="_MON_1402489117"/>
            <w:bookmarkEnd w:id="300"/>
            <w:bookmarkEnd w:id="301"/>
            <w:bookmarkEnd w:id="302"/>
            <w:bookmarkEnd w:id="303"/>
            <w:bookmarkEnd w:id="304"/>
            <w:bookmarkEnd w:id="305"/>
            <w:bookmarkEnd w:id="306"/>
            <w:bookmarkEnd w:id="307"/>
            <w:bookmarkEnd w:id="308"/>
            <w:bookmarkEnd w:id="309"/>
            <w:r w:rsidRPr="000C156A">
              <w:rPr>
                <w:rFonts w:cs="Calibri" w:hint="eastAsia"/>
                <w:bCs/>
                <w:szCs w:val="22"/>
                <w:lang w:val="en-US" w:eastAsia="zh-CN"/>
              </w:rPr>
              <w:t>（单位：千瑞郎）</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6E5E2242" w14:textId="77777777" w:rsidR="009D43C3" w:rsidRPr="000C156A" w:rsidRDefault="009D43C3" w:rsidP="005D02F0">
            <w:pPr>
              <w:pStyle w:val="Tablehead"/>
              <w:spacing w:before="20" w:after="60"/>
              <w:rPr>
                <w:rFonts w:cs="Calibri"/>
                <w:szCs w:val="22"/>
                <w:lang w:val="en-US" w:eastAsia="zh-CN"/>
              </w:rPr>
            </w:pPr>
            <w:r w:rsidRPr="000C156A">
              <w:rPr>
                <w:rFonts w:cs="Calibri"/>
                <w:szCs w:val="22"/>
                <w:lang w:val="en-US"/>
              </w:rPr>
              <w:t>20</w:t>
            </w:r>
            <w:r w:rsidRPr="000C156A">
              <w:rPr>
                <w:rFonts w:cs="Calibri" w:hint="eastAsia"/>
                <w:szCs w:val="22"/>
                <w:lang w:val="en-US" w:eastAsia="zh-CN"/>
              </w:rPr>
              <w:t>19</w:t>
            </w:r>
            <w:r w:rsidRPr="000C156A">
              <w:rPr>
                <w:rFonts w:cs="Calibri" w:hint="eastAsia"/>
                <w:szCs w:val="22"/>
                <w:lang w:val="en-US" w:eastAsia="zh-CN"/>
              </w:rPr>
              <w:t>年</w:t>
            </w:r>
            <w:r w:rsidRPr="000C156A">
              <w:rPr>
                <w:rFonts w:cs="Calibri" w:hint="eastAsia"/>
                <w:szCs w:val="22"/>
                <w:lang w:val="en-US" w:eastAsia="zh-CN"/>
              </w:rPr>
              <w:t>12</w:t>
            </w:r>
            <w:r w:rsidRPr="000C156A">
              <w:rPr>
                <w:rFonts w:cs="Calibri" w:hint="eastAsia"/>
                <w:szCs w:val="22"/>
                <w:lang w:val="en-US" w:eastAsia="zh-CN"/>
              </w:rPr>
              <w:t>月</w:t>
            </w:r>
            <w:r w:rsidRPr="000C156A">
              <w:rPr>
                <w:rFonts w:cs="Calibri" w:hint="eastAsia"/>
                <w:szCs w:val="22"/>
                <w:lang w:val="en-US" w:eastAsia="zh-CN"/>
              </w:rPr>
              <w:t>31</w:t>
            </w:r>
            <w:r w:rsidRPr="000C156A">
              <w:rPr>
                <w:rFonts w:cs="Calibri" w:hint="eastAsia"/>
                <w:szCs w:val="22"/>
                <w:lang w:val="en-US" w:eastAsia="zh-CN"/>
              </w:rPr>
              <w:t>日</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C553890" w14:textId="77777777" w:rsidR="009D43C3" w:rsidRPr="000C156A" w:rsidRDefault="009D43C3" w:rsidP="005D02F0">
            <w:pPr>
              <w:pStyle w:val="Tablehead"/>
              <w:spacing w:before="20" w:after="60"/>
              <w:rPr>
                <w:rFonts w:cs="Calibri"/>
                <w:szCs w:val="22"/>
                <w:lang w:val="en-US" w:eastAsia="zh-CN"/>
              </w:rPr>
            </w:pPr>
            <w:r w:rsidRPr="000C156A">
              <w:rPr>
                <w:rFonts w:cs="Calibri"/>
                <w:szCs w:val="22"/>
                <w:lang w:val="en-US" w:eastAsia="zh-CN"/>
              </w:rPr>
              <w:t>2020</w:t>
            </w:r>
            <w:r w:rsidRPr="000C156A">
              <w:rPr>
                <w:rFonts w:cs="Calibri" w:hint="eastAsia"/>
                <w:szCs w:val="22"/>
                <w:lang w:val="en-US" w:eastAsia="zh-CN"/>
              </w:rPr>
              <w:t>年</w:t>
            </w:r>
            <w:r w:rsidRPr="000C156A">
              <w:rPr>
                <w:rFonts w:cs="Calibri"/>
                <w:szCs w:val="22"/>
                <w:lang w:val="en-US" w:eastAsia="zh-CN"/>
              </w:rPr>
              <w:br/>
            </w:r>
            <w:r w:rsidRPr="000C156A">
              <w:rPr>
                <w:rFonts w:cs="Calibri" w:hint="eastAsia"/>
                <w:szCs w:val="22"/>
                <w:lang w:val="en-US" w:eastAsia="zh-CN"/>
              </w:rPr>
              <w:t>盈余</w:t>
            </w:r>
            <w:r w:rsidRPr="000C156A">
              <w:rPr>
                <w:rFonts w:cs="Calibri" w:hint="eastAsia"/>
                <w:szCs w:val="22"/>
                <w:lang w:val="en-US" w:eastAsia="zh-CN"/>
              </w:rPr>
              <w:t>/</w:t>
            </w:r>
            <w:r w:rsidRPr="000C156A">
              <w:rPr>
                <w:rFonts w:cs="Calibri" w:hint="eastAsia"/>
                <w:szCs w:val="22"/>
                <w:lang w:val="en-US" w:eastAsia="zh-CN"/>
              </w:rPr>
              <w:t>亏损</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C67A615" w14:textId="77777777" w:rsidR="009D43C3" w:rsidRPr="000C156A" w:rsidRDefault="009D43C3" w:rsidP="005D02F0">
            <w:pPr>
              <w:pStyle w:val="Tablehead"/>
              <w:spacing w:before="20" w:after="60"/>
              <w:rPr>
                <w:rFonts w:cs="Calibri"/>
                <w:szCs w:val="22"/>
                <w:lang w:val="en-US" w:eastAsia="zh-CN"/>
              </w:rPr>
            </w:pPr>
            <w:r w:rsidRPr="000C156A">
              <w:rPr>
                <w:rFonts w:cs="Calibri" w:hint="eastAsia"/>
                <w:szCs w:val="22"/>
                <w:lang w:val="en-US" w:eastAsia="zh-CN"/>
              </w:rPr>
              <w:t>其他调整</w:t>
            </w:r>
          </w:p>
        </w:tc>
        <w:tc>
          <w:tcPr>
            <w:tcW w:w="1845" w:type="dxa"/>
            <w:tcBorders>
              <w:top w:val="single" w:sz="8" w:space="0" w:color="auto"/>
              <w:left w:val="nil"/>
              <w:bottom w:val="single" w:sz="8" w:space="0" w:color="auto"/>
              <w:right w:val="single" w:sz="8" w:space="0" w:color="auto"/>
            </w:tcBorders>
            <w:shd w:val="clear" w:color="auto" w:fill="auto"/>
            <w:vAlign w:val="center"/>
            <w:hideMark/>
          </w:tcPr>
          <w:p w14:paraId="0F5B4F32" w14:textId="77777777" w:rsidR="009D43C3" w:rsidRPr="000C156A" w:rsidRDefault="009D43C3" w:rsidP="005D02F0">
            <w:pPr>
              <w:pStyle w:val="Tablehead"/>
              <w:spacing w:before="20" w:after="60"/>
              <w:rPr>
                <w:rFonts w:cs="Calibri"/>
                <w:szCs w:val="22"/>
                <w:lang w:val="en-US" w:eastAsia="zh-CN"/>
              </w:rPr>
            </w:pPr>
            <w:r w:rsidRPr="000C156A">
              <w:rPr>
                <w:rFonts w:cs="Calibri"/>
                <w:szCs w:val="22"/>
                <w:lang w:val="en-US" w:eastAsia="zh-CN"/>
              </w:rPr>
              <w:t>2020</w:t>
            </w:r>
            <w:r w:rsidRPr="000C156A">
              <w:rPr>
                <w:rFonts w:cs="Calibri" w:hint="eastAsia"/>
                <w:szCs w:val="22"/>
                <w:lang w:val="en-US" w:eastAsia="zh-CN"/>
              </w:rPr>
              <w:t>年</w:t>
            </w:r>
            <w:r w:rsidRPr="000C156A">
              <w:rPr>
                <w:rFonts w:cs="Calibri" w:hint="eastAsia"/>
                <w:szCs w:val="22"/>
                <w:lang w:val="en-US" w:eastAsia="zh-CN"/>
              </w:rPr>
              <w:t>1</w:t>
            </w:r>
            <w:r w:rsidRPr="000C156A">
              <w:rPr>
                <w:rFonts w:cs="Calibri"/>
                <w:szCs w:val="22"/>
                <w:lang w:val="en-US" w:eastAsia="zh-CN"/>
              </w:rPr>
              <w:t>2</w:t>
            </w:r>
            <w:r w:rsidRPr="000C156A">
              <w:rPr>
                <w:rFonts w:cs="Calibri" w:hint="eastAsia"/>
                <w:szCs w:val="22"/>
                <w:lang w:val="en-US" w:eastAsia="zh-CN"/>
              </w:rPr>
              <w:t>月</w:t>
            </w:r>
            <w:r w:rsidRPr="000C156A">
              <w:rPr>
                <w:rFonts w:cs="Calibri" w:hint="eastAsia"/>
                <w:szCs w:val="22"/>
                <w:lang w:val="en-US" w:eastAsia="zh-CN"/>
              </w:rPr>
              <w:t>31</w:t>
            </w:r>
            <w:r w:rsidRPr="000C156A">
              <w:rPr>
                <w:rFonts w:cs="Calibri" w:hint="eastAsia"/>
                <w:szCs w:val="22"/>
                <w:lang w:val="en-US" w:eastAsia="zh-CN"/>
              </w:rPr>
              <w:t>日</w:t>
            </w:r>
          </w:p>
        </w:tc>
      </w:tr>
      <w:tr w:rsidR="009D43C3" w:rsidRPr="000C156A" w14:paraId="7BBE197A" w14:textId="77777777" w:rsidTr="005D02F0">
        <w:trPr>
          <w:trHeight w:val="255"/>
        </w:trPr>
        <w:tc>
          <w:tcPr>
            <w:tcW w:w="2977" w:type="dxa"/>
            <w:tcBorders>
              <w:top w:val="nil"/>
              <w:left w:val="single" w:sz="8" w:space="0" w:color="auto"/>
              <w:bottom w:val="nil"/>
              <w:right w:val="single" w:sz="8" w:space="0" w:color="auto"/>
            </w:tcBorders>
            <w:shd w:val="clear" w:color="auto" w:fill="auto"/>
            <w:hideMark/>
          </w:tcPr>
          <w:p w14:paraId="59917B94" w14:textId="77777777" w:rsidR="009D43C3" w:rsidRPr="000C156A" w:rsidRDefault="009D43C3" w:rsidP="005D02F0">
            <w:pPr>
              <w:pStyle w:val="Tabletext"/>
              <w:rPr>
                <w:rFonts w:cs="Calibri"/>
                <w:b/>
                <w:bCs/>
                <w:szCs w:val="22"/>
                <w:lang w:val="en-US" w:eastAsia="zh-CN"/>
              </w:rPr>
            </w:pPr>
            <w:r w:rsidRPr="000C156A">
              <w:rPr>
                <w:rFonts w:cs="Calibri" w:hint="eastAsia"/>
                <w:b/>
                <w:bCs/>
                <w:szCs w:val="22"/>
                <w:lang w:val="en-US" w:eastAsia="zh-CN"/>
              </w:rPr>
              <w:t>向</w:t>
            </w:r>
            <w:r w:rsidRPr="000C156A">
              <w:rPr>
                <w:rFonts w:cs="Calibri"/>
                <w:b/>
                <w:bCs/>
                <w:szCs w:val="22"/>
                <w:lang w:val="en-US" w:eastAsia="zh-CN"/>
              </w:rPr>
              <w:t>IPSAS</w:t>
            </w:r>
            <w:r w:rsidRPr="000C156A">
              <w:rPr>
                <w:rFonts w:cs="Calibri" w:hint="eastAsia"/>
                <w:b/>
                <w:bCs/>
                <w:szCs w:val="22"/>
                <w:lang w:val="en-US" w:eastAsia="zh-CN"/>
              </w:rPr>
              <w:t>过渡</w:t>
            </w:r>
          </w:p>
        </w:tc>
        <w:tc>
          <w:tcPr>
            <w:tcW w:w="1843" w:type="dxa"/>
            <w:tcBorders>
              <w:top w:val="nil"/>
              <w:left w:val="nil"/>
              <w:bottom w:val="nil"/>
              <w:right w:val="single" w:sz="8" w:space="0" w:color="auto"/>
            </w:tcBorders>
            <w:shd w:val="clear" w:color="auto" w:fill="auto"/>
            <w:vAlign w:val="center"/>
            <w:hideMark/>
          </w:tcPr>
          <w:p w14:paraId="3D3EB39C" w14:textId="1F0579A9" w:rsidR="009D43C3" w:rsidRPr="000C156A" w:rsidRDefault="009D43C3" w:rsidP="005D02F0">
            <w:pPr>
              <w:overflowPunct/>
              <w:autoSpaceDE/>
              <w:autoSpaceDN/>
              <w:adjustRightInd/>
              <w:spacing w:before="0"/>
              <w:jc w:val="right"/>
              <w:textAlignment w:val="auto"/>
              <w:rPr>
                <w:rFonts w:cs="Calibri"/>
                <w:b/>
                <w:bCs/>
                <w:sz w:val="22"/>
                <w:szCs w:val="22"/>
                <w:lang w:eastAsia="zh-CN"/>
              </w:rPr>
            </w:pPr>
            <w:r w:rsidRPr="000C156A">
              <w:rPr>
                <w:rFonts w:cs="Calibri"/>
                <w:b/>
                <w:bCs/>
                <w:sz w:val="22"/>
                <w:szCs w:val="22"/>
                <w:lang w:eastAsia="zh-CN"/>
              </w:rPr>
              <w:t>-125</w:t>
            </w:r>
            <w:r w:rsidR="00CF258E" w:rsidRPr="000C156A">
              <w:rPr>
                <w:rFonts w:cs="Calibri"/>
                <w:b/>
                <w:bCs/>
                <w:sz w:val="22"/>
                <w:szCs w:val="22"/>
                <w:lang w:eastAsia="zh-CN"/>
              </w:rPr>
              <w:t xml:space="preserve"> </w:t>
            </w:r>
            <w:r w:rsidRPr="000C156A">
              <w:rPr>
                <w:rFonts w:cs="Calibri"/>
                <w:b/>
                <w:bCs/>
                <w:sz w:val="22"/>
                <w:szCs w:val="22"/>
                <w:lang w:eastAsia="zh-CN"/>
              </w:rPr>
              <w:t>100</w:t>
            </w:r>
          </w:p>
        </w:tc>
        <w:tc>
          <w:tcPr>
            <w:tcW w:w="1559" w:type="dxa"/>
            <w:tcBorders>
              <w:top w:val="nil"/>
              <w:left w:val="nil"/>
              <w:bottom w:val="nil"/>
              <w:right w:val="single" w:sz="8" w:space="0" w:color="auto"/>
            </w:tcBorders>
            <w:shd w:val="clear" w:color="auto" w:fill="auto"/>
            <w:vAlign w:val="center"/>
            <w:hideMark/>
          </w:tcPr>
          <w:p w14:paraId="297D2F28" w14:textId="77777777" w:rsidR="009D43C3" w:rsidRPr="000C156A" w:rsidRDefault="009D43C3" w:rsidP="005D02F0">
            <w:pPr>
              <w:overflowPunct/>
              <w:autoSpaceDE/>
              <w:autoSpaceDN/>
              <w:adjustRightInd/>
              <w:spacing w:before="0"/>
              <w:jc w:val="right"/>
              <w:textAlignment w:val="auto"/>
              <w:rPr>
                <w:rFonts w:cs="Calibri"/>
                <w:b/>
                <w:bCs/>
                <w:color w:val="000000"/>
                <w:sz w:val="22"/>
                <w:szCs w:val="22"/>
                <w:lang w:eastAsia="zh-CN"/>
              </w:rPr>
            </w:pPr>
            <w:r w:rsidRPr="000C156A">
              <w:rPr>
                <w:rFonts w:cs="Calibri" w:hint="eastAsia"/>
                <w:b/>
                <w:bCs/>
                <w:color w:val="000000"/>
                <w:sz w:val="22"/>
                <w:szCs w:val="22"/>
                <w:lang w:eastAsia="zh-CN"/>
              </w:rPr>
              <w:t>-</w:t>
            </w:r>
          </w:p>
        </w:tc>
        <w:tc>
          <w:tcPr>
            <w:tcW w:w="1276" w:type="dxa"/>
            <w:tcBorders>
              <w:top w:val="nil"/>
              <w:left w:val="nil"/>
              <w:bottom w:val="nil"/>
              <w:right w:val="single" w:sz="8" w:space="0" w:color="auto"/>
            </w:tcBorders>
            <w:shd w:val="clear" w:color="auto" w:fill="auto"/>
            <w:vAlign w:val="center"/>
            <w:hideMark/>
          </w:tcPr>
          <w:p w14:paraId="4286CFF2" w14:textId="77777777" w:rsidR="009D43C3" w:rsidRPr="000C156A" w:rsidRDefault="009D43C3" w:rsidP="005D02F0">
            <w:pPr>
              <w:overflowPunct/>
              <w:autoSpaceDE/>
              <w:autoSpaceDN/>
              <w:adjustRightInd/>
              <w:spacing w:before="0"/>
              <w:jc w:val="right"/>
              <w:textAlignment w:val="auto"/>
              <w:rPr>
                <w:rFonts w:cs="Calibri"/>
                <w:b/>
                <w:bCs/>
                <w:sz w:val="22"/>
                <w:szCs w:val="22"/>
                <w:lang w:eastAsia="zh-CN"/>
              </w:rPr>
            </w:pPr>
            <w:r w:rsidRPr="000C156A">
              <w:rPr>
                <w:rFonts w:cs="Calibri" w:hint="eastAsia"/>
                <w:b/>
                <w:bCs/>
                <w:sz w:val="22"/>
                <w:szCs w:val="22"/>
                <w:lang w:eastAsia="zh-CN"/>
              </w:rPr>
              <w:t>-</w:t>
            </w:r>
          </w:p>
        </w:tc>
        <w:tc>
          <w:tcPr>
            <w:tcW w:w="1845" w:type="dxa"/>
            <w:tcBorders>
              <w:top w:val="nil"/>
              <w:left w:val="nil"/>
              <w:bottom w:val="nil"/>
              <w:right w:val="single" w:sz="8" w:space="0" w:color="auto"/>
            </w:tcBorders>
            <w:shd w:val="clear" w:color="auto" w:fill="auto"/>
            <w:vAlign w:val="center"/>
            <w:hideMark/>
          </w:tcPr>
          <w:p w14:paraId="48E45C84" w14:textId="728903F3" w:rsidR="009D43C3" w:rsidRPr="000C156A" w:rsidRDefault="009D43C3" w:rsidP="005D02F0">
            <w:pPr>
              <w:overflowPunct/>
              <w:autoSpaceDE/>
              <w:autoSpaceDN/>
              <w:adjustRightInd/>
              <w:spacing w:before="0"/>
              <w:jc w:val="right"/>
              <w:textAlignment w:val="auto"/>
              <w:rPr>
                <w:rFonts w:cs="Calibri"/>
                <w:b/>
                <w:bCs/>
                <w:color w:val="000000"/>
                <w:sz w:val="22"/>
                <w:szCs w:val="22"/>
                <w:lang w:eastAsia="zh-CN"/>
              </w:rPr>
            </w:pPr>
            <w:r w:rsidRPr="000C156A">
              <w:rPr>
                <w:rFonts w:cs="Calibri"/>
                <w:b/>
                <w:bCs/>
                <w:color w:val="000000"/>
                <w:sz w:val="22"/>
                <w:szCs w:val="22"/>
                <w:lang w:eastAsia="zh-CN"/>
              </w:rPr>
              <w:t>-125</w:t>
            </w:r>
            <w:r w:rsidR="00CF258E" w:rsidRPr="000C156A">
              <w:rPr>
                <w:rFonts w:cs="Calibri"/>
                <w:b/>
                <w:bCs/>
                <w:color w:val="000000"/>
                <w:sz w:val="22"/>
                <w:szCs w:val="22"/>
                <w:lang w:eastAsia="zh-CN"/>
              </w:rPr>
              <w:t xml:space="preserve"> </w:t>
            </w:r>
            <w:r w:rsidRPr="000C156A">
              <w:rPr>
                <w:rFonts w:cs="Calibri"/>
                <w:b/>
                <w:bCs/>
                <w:color w:val="000000"/>
                <w:sz w:val="22"/>
                <w:szCs w:val="22"/>
                <w:lang w:eastAsia="zh-CN"/>
              </w:rPr>
              <w:t>100</w:t>
            </w:r>
          </w:p>
        </w:tc>
      </w:tr>
      <w:tr w:rsidR="009D43C3" w:rsidRPr="000C156A" w14:paraId="28F517E8" w14:textId="77777777" w:rsidTr="005D02F0">
        <w:trPr>
          <w:trHeight w:val="255"/>
        </w:trPr>
        <w:tc>
          <w:tcPr>
            <w:tcW w:w="2977" w:type="dxa"/>
            <w:tcBorders>
              <w:top w:val="nil"/>
              <w:left w:val="single" w:sz="8" w:space="0" w:color="auto"/>
              <w:bottom w:val="nil"/>
              <w:right w:val="single" w:sz="8" w:space="0" w:color="auto"/>
            </w:tcBorders>
            <w:shd w:val="clear" w:color="auto" w:fill="auto"/>
            <w:hideMark/>
          </w:tcPr>
          <w:p w14:paraId="46E4623E" w14:textId="77777777" w:rsidR="009D43C3" w:rsidRPr="000C156A" w:rsidRDefault="009D43C3" w:rsidP="005D02F0">
            <w:pPr>
              <w:pStyle w:val="Tabletext"/>
              <w:rPr>
                <w:rFonts w:cs="Calibri"/>
                <w:b/>
                <w:bCs/>
                <w:szCs w:val="22"/>
                <w:lang w:val="en-US" w:eastAsia="zh-CN"/>
              </w:rPr>
            </w:pPr>
            <w:r w:rsidRPr="000C156A">
              <w:rPr>
                <w:rFonts w:cs="Calibri" w:hint="eastAsia"/>
                <w:b/>
                <w:bCs/>
                <w:szCs w:val="22"/>
                <w:lang w:val="en-US" w:eastAsia="zh-CN"/>
              </w:rPr>
              <w:t>储备金账目</w:t>
            </w:r>
          </w:p>
        </w:tc>
        <w:tc>
          <w:tcPr>
            <w:tcW w:w="1843" w:type="dxa"/>
            <w:tcBorders>
              <w:top w:val="nil"/>
              <w:left w:val="nil"/>
              <w:bottom w:val="nil"/>
              <w:right w:val="single" w:sz="8" w:space="0" w:color="auto"/>
            </w:tcBorders>
            <w:shd w:val="clear" w:color="auto" w:fill="auto"/>
            <w:vAlign w:val="center"/>
            <w:hideMark/>
          </w:tcPr>
          <w:p w14:paraId="4299C75B" w14:textId="0ABC86B5" w:rsidR="009D43C3" w:rsidRPr="000C156A" w:rsidRDefault="009D43C3" w:rsidP="005D02F0">
            <w:pPr>
              <w:overflowPunct/>
              <w:autoSpaceDE/>
              <w:autoSpaceDN/>
              <w:adjustRightInd/>
              <w:spacing w:before="0"/>
              <w:jc w:val="right"/>
              <w:textAlignment w:val="auto"/>
              <w:rPr>
                <w:rFonts w:cs="Calibri"/>
                <w:b/>
                <w:bCs/>
                <w:sz w:val="22"/>
                <w:szCs w:val="22"/>
                <w:lang w:eastAsia="zh-CN"/>
              </w:rPr>
            </w:pPr>
            <w:r w:rsidRPr="000C156A">
              <w:rPr>
                <w:rFonts w:cs="Calibri"/>
                <w:b/>
                <w:bCs/>
                <w:sz w:val="22"/>
                <w:szCs w:val="22"/>
                <w:lang w:eastAsia="zh-CN"/>
              </w:rPr>
              <w:t>24</w:t>
            </w:r>
            <w:r w:rsidR="00CF258E" w:rsidRPr="000C156A">
              <w:rPr>
                <w:rFonts w:cs="Calibri"/>
                <w:b/>
                <w:bCs/>
                <w:sz w:val="22"/>
                <w:szCs w:val="22"/>
                <w:lang w:eastAsia="zh-CN"/>
              </w:rPr>
              <w:t xml:space="preserve"> </w:t>
            </w:r>
            <w:r w:rsidRPr="000C156A">
              <w:rPr>
                <w:rFonts w:cs="Calibri"/>
                <w:b/>
                <w:bCs/>
                <w:sz w:val="22"/>
                <w:szCs w:val="22"/>
                <w:lang w:eastAsia="zh-CN"/>
              </w:rPr>
              <w:t>935</w:t>
            </w:r>
          </w:p>
        </w:tc>
        <w:tc>
          <w:tcPr>
            <w:tcW w:w="1559" w:type="dxa"/>
            <w:tcBorders>
              <w:top w:val="nil"/>
              <w:left w:val="nil"/>
              <w:bottom w:val="nil"/>
              <w:right w:val="single" w:sz="8" w:space="0" w:color="auto"/>
            </w:tcBorders>
            <w:shd w:val="clear" w:color="auto" w:fill="auto"/>
            <w:vAlign w:val="center"/>
            <w:hideMark/>
          </w:tcPr>
          <w:p w14:paraId="2081B7F1" w14:textId="77777777" w:rsidR="009D43C3" w:rsidRPr="000C156A" w:rsidRDefault="009D43C3" w:rsidP="005D02F0">
            <w:pPr>
              <w:overflowPunct/>
              <w:autoSpaceDE/>
              <w:autoSpaceDN/>
              <w:adjustRightInd/>
              <w:spacing w:before="0"/>
              <w:jc w:val="right"/>
              <w:textAlignment w:val="auto"/>
              <w:rPr>
                <w:rFonts w:cs="Calibri"/>
                <w:b/>
                <w:bCs/>
                <w:color w:val="000000"/>
                <w:sz w:val="22"/>
                <w:szCs w:val="22"/>
                <w:lang w:eastAsia="zh-CN"/>
              </w:rPr>
            </w:pPr>
          </w:p>
        </w:tc>
        <w:tc>
          <w:tcPr>
            <w:tcW w:w="1276" w:type="dxa"/>
            <w:tcBorders>
              <w:top w:val="nil"/>
              <w:left w:val="nil"/>
              <w:bottom w:val="nil"/>
              <w:right w:val="single" w:sz="8" w:space="0" w:color="auto"/>
            </w:tcBorders>
            <w:shd w:val="clear" w:color="auto" w:fill="auto"/>
            <w:vAlign w:val="center"/>
            <w:hideMark/>
          </w:tcPr>
          <w:p w14:paraId="2B7A4FC6" w14:textId="77777777" w:rsidR="009D43C3" w:rsidRPr="000C156A" w:rsidRDefault="009D43C3" w:rsidP="005D02F0">
            <w:pPr>
              <w:overflowPunct/>
              <w:autoSpaceDE/>
              <w:autoSpaceDN/>
              <w:adjustRightInd/>
              <w:spacing w:before="0"/>
              <w:jc w:val="right"/>
              <w:textAlignment w:val="auto"/>
              <w:rPr>
                <w:rFonts w:cs="Calibri"/>
                <w:b/>
                <w:bCs/>
                <w:sz w:val="22"/>
                <w:szCs w:val="22"/>
                <w:lang w:eastAsia="zh-CN"/>
              </w:rPr>
            </w:pPr>
            <w:r w:rsidRPr="000C156A">
              <w:rPr>
                <w:rFonts w:cs="Calibri"/>
                <w:b/>
                <w:bCs/>
                <w:sz w:val="22"/>
                <w:szCs w:val="22"/>
                <w:lang w:eastAsia="zh-CN"/>
              </w:rPr>
              <w:t>867</w:t>
            </w:r>
          </w:p>
        </w:tc>
        <w:tc>
          <w:tcPr>
            <w:tcW w:w="1845" w:type="dxa"/>
            <w:tcBorders>
              <w:top w:val="nil"/>
              <w:left w:val="nil"/>
              <w:bottom w:val="nil"/>
              <w:right w:val="single" w:sz="8" w:space="0" w:color="auto"/>
            </w:tcBorders>
            <w:shd w:val="clear" w:color="auto" w:fill="auto"/>
            <w:vAlign w:val="center"/>
            <w:hideMark/>
          </w:tcPr>
          <w:p w14:paraId="0E5333C0" w14:textId="7206F092" w:rsidR="009D43C3" w:rsidRPr="000C156A" w:rsidRDefault="009D43C3" w:rsidP="005D02F0">
            <w:pPr>
              <w:overflowPunct/>
              <w:autoSpaceDE/>
              <w:autoSpaceDN/>
              <w:adjustRightInd/>
              <w:spacing w:before="0"/>
              <w:jc w:val="right"/>
              <w:textAlignment w:val="auto"/>
              <w:rPr>
                <w:rFonts w:cs="Calibri"/>
                <w:b/>
                <w:bCs/>
                <w:color w:val="000000"/>
                <w:sz w:val="22"/>
                <w:szCs w:val="22"/>
                <w:lang w:eastAsia="zh-CN"/>
              </w:rPr>
            </w:pPr>
            <w:r w:rsidRPr="000C156A">
              <w:rPr>
                <w:rFonts w:cs="Calibri"/>
                <w:b/>
                <w:bCs/>
                <w:color w:val="000000"/>
                <w:sz w:val="22"/>
                <w:szCs w:val="22"/>
                <w:lang w:eastAsia="zh-CN"/>
              </w:rPr>
              <w:t>25</w:t>
            </w:r>
            <w:r w:rsidR="00CF258E" w:rsidRPr="000C156A">
              <w:rPr>
                <w:rFonts w:cs="Calibri"/>
                <w:b/>
                <w:bCs/>
                <w:color w:val="000000"/>
                <w:sz w:val="22"/>
                <w:szCs w:val="22"/>
                <w:lang w:eastAsia="zh-CN"/>
              </w:rPr>
              <w:t xml:space="preserve"> </w:t>
            </w:r>
            <w:r w:rsidRPr="000C156A">
              <w:rPr>
                <w:rFonts w:cs="Calibri"/>
                <w:b/>
                <w:bCs/>
                <w:color w:val="000000"/>
                <w:sz w:val="22"/>
                <w:szCs w:val="22"/>
                <w:lang w:eastAsia="zh-CN"/>
              </w:rPr>
              <w:t>802</w:t>
            </w:r>
          </w:p>
        </w:tc>
      </w:tr>
      <w:tr w:rsidR="009D43C3" w:rsidRPr="000C156A" w14:paraId="7FAE5EB7" w14:textId="77777777" w:rsidTr="005D02F0">
        <w:trPr>
          <w:trHeight w:val="255"/>
        </w:trPr>
        <w:tc>
          <w:tcPr>
            <w:tcW w:w="2977" w:type="dxa"/>
            <w:tcBorders>
              <w:top w:val="nil"/>
              <w:left w:val="single" w:sz="8" w:space="0" w:color="auto"/>
              <w:bottom w:val="nil"/>
              <w:right w:val="single" w:sz="8" w:space="0" w:color="auto"/>
            </w:tcBorders>
            <w:shd w:val="clear" w:color="auto" w:fill="auto"/>
            <w:hideMark/>
          </w:tcPr>
          <w:p w14:paraId="5DA2D9E0" w14:textId="77777777" w:rsidR="009D43C3" w:rsidRPr="000C156A" w:rsidRDefault="009D43C3" w:rsidP="005D02F0">
            <w:pPr>
              <w:pStyle w:val="Tabletext"/>
              <w:rPr>
                <w:rFonts w:cs="Calibri"/>
                <w:b/>
                <w:bCs/>
                <w:szCs w:val="22"/>
                <w:lang w:val="en-US" w:eastAsia="zh-CN"/>
              </w:rPr>
            </w:pPr>
            <w:r w:rsidRPr="000C156A">
              <w:rPr>
                <w:rFonts w:cs="Calibri" w:hint="eastAsia"/>
                <w:b/>
                <w:bCs/>
                <w:szCs w:val="22"/>
                <w:lang w:val="en-US" w:eastAsia="zh-CN"/>
              </w:rPr>
              <w:t>其他储备金</w:t>
            </w:r>
          </w:p>
        </w:tc>
        <w:tc>
          <w:tcPr>
            <w:tcW w:w="1843" w:type="dxa"/>
            <w:tcBorders>
              <w:top w:val="nil"/>
              <w:left w:val="nil"/>
              <w:bottom w:val="nil"/>
              <w:right w:val="single" w:sz="8" w:space="0" w:color="auto"/>
            </w:tcBorders>
            <w:shd w:val="clear" w:color="auto" w:fill="auto"/>
            <w:vAlign w:val="center"/>
            <w:hideMark/>
          </w:tcPr>
          <w:p w14:paraId="4B8D41DD" w14:textId="370ADF9E" w:rsidR="009D43C3" w:rsidRPr="000C156A" w:rsidRDefault="009D43C3" w:rsidP="005D02F0">
            <w:pPr>
              <w:overflowPunct/>
              <w:autoSpaceDE/>
              <w:autoSpaceDN/>
              <w:adjustRightInd/>
              <w:spacing w:before="0"/>
              <w:jc w:val="right"/>
              <w:textAlignment w:val="auto"/>
              <w:rPr>
                <w:rFonts w:cs="Calibri"/>
                <w:b/>
                <w:bCs/>
                <w:color w:val="000000"/>
                <w:sz w:val="22"/>
                <w:szCs w:val="22"/>
                <w:lang w:eastAsia="zh-CN"/>
              </w:rPr>
            </w:pPr>
            <w:r w:rsidRPr="000C156A">
              <w:rPr>
                <w:rFonts w:cs="Calibri"/>
                <w:b/>
                <w:bCs/>
                <w:color w:val="000000"/>
                <w:sz w:val="22"/>
                <w:szCs w:val="22"/>
                <w:lang w:eastAsia="zh-CN"/>
              </w:rPr>
              <w:t>72</w:t>
            </w:r>
            <w:r w:rsidR="00CF258E" w:rsidRPr="000C156A">
              <w:rPr>
                <w:rFonts w:cs="Calibri"/>
                <w:b/>
                <w:bCs/>
                <w:color w:val="000000"/>
                <w:sz w:val="22"/>
                <w:szCs w:val="22"/>
                <w:lang w:eastAsia="zh-CN"/>
              </w:rPr>
              <w:t xml:space="preserve"> </w:t>
            </w:r>
            <w:r w:rsidRPr="000C156A">
              <w:rPr>
                <w:rFonts w:cs="Calibri"/>
                <w:b/>
                <w:bCs/>
                <w:color w:val="000000"/>
                <w:sz w:val="22"/>
                <w:szCs w:val="22"/>
                <w:lang w:eastAsia="zh-CN"/>
              </w:rPr>
              <w:t>203</w:t>
            </w:r>
          </w:p>
        </w:tc>
        <w:tc>
          <w:tcPr>
            <w:tcW w:w="1559" w:type="dxa"/>
            <w:tcBorders>
              <w:top w:val="nil"/>
              <w:left w:val="nil"/>
              <w:bottom w:val="nil"/>
              <w:right w:val="single" w:sz="8" w:space="0" w:color="auto"/>
            </w:tcBorders>
            <w:shd w:val="clear" w:color="auto" w:fill="auto"/>
            <w:vAlign w:val="center"/>
            <w:hideMark/>
          </w:tcPr>
          <w:p w14:paraId="05248CD0" w14:textId="7590F736" w:rsidR="009D43C3" w:rsidRPr="000C156A" w:rsidRDefault="009D43C3" w:rsidP="005D02F0">
            <w:pPr>
              <w:overflowPunct/>
              <w:autoSpaceDE/>
              <w:autoSpaceDN/>
              <w:adjustRightInd/>
              <w:spacing w:before="0"/>
              <w:jc w:val="right"/>
              <w:textAlignment w:val="auto"/>
              <w:rPr>
                <w:rFonts w:cs="Calibri"/>
                <w:b/>
                <w:bCs/>
                <w:color w:val="000000"/>
                <w:sz w:val="22"/>
                <w:szCs w:val="22"/>
                <w:lang w:eastAsia="zh-CN"/>
              </w:rPr>
            </w:pPr>
            <w:r w:rsidRPr="000C156A">
              <w:rPr>
                <w:rFonts w:cs="Calibri"/>
                <w:b/>
                <w:bCs/>
                <w:color w:val="000000"/>
                <w:sz w:val="22"/>
                <w:szCs w:val="22"/>
                <w:lang w:eastAsia="zh-CN"/>
              </w:rPr>
              <w:t>4</w:t>
            </w:r>
            <w:r w:rsidR="00CF258E" w:rsidRPr="000C156A">
              <w:rPr>
                <w:rFonts w:cs="Calibri"/>
                <w:b/>
                <w:bCs/>
                <w:color w:val="000000"/>
                <w:sz w:val="22"/>
                <w:szCs w:val="22"/>
                <w:lang w:eastAsia="zh-CN"/>
              </w:rPr>
              <w:t xml:space="preserve"> </w:t>
            </w:r>
            <w:r w:rsidRPr="000C156A">
              <w:rPr>
                <w:rFonts w:cs="Calibri"/>
                <w:b/>
                <w:bCs/>
                <w:color w:val="000000"/>
                <w:sz w:val="22"/>
                <w:szCs w:val="22"/>
                <w:lang w:eastAsia="zh-CN"/>
              </w:rPr>
              <w:t>875</w:t>
            </w:r>
          </w:p>
        </w:tc>
        <w:tc>
          <w:tcPr>
            <w:tcW w:w="1276" w:type="dxa"/>
            <w:tcBorders>
              <w:top w:val="nil"/>
              <w:left w:val="nil"/>
              <w:bottom w:val="nil"/>
              <w:right w:val="single" w:sz="8" w:space="0" w:color="auto"/>
            </w:tcBorders>
            <w:shd w:val="clear" w:color="auto" w:fill="auto"/>
            <w:vAlign w:val="center"/>
            <w:hideMark/>
          </w:tcPr>
          <w:p w14:paraId="663AACA6" w14:textId="22EBECF2" w:rsidR="009D43C3" w:rsidRPr="000C156A" w:rsidRDefault="009D43C3" w:rsidP="005D02F0">
            <w:pPr>
              <w:overflowPunct/>
              <w:autoSpaceDE/>
              <w:autoSpaceDN/>
              <w:adjustRightInd/>
              <w:spacing w:before="0"/>
              <w:jc w:val="right"/>
              <w:textAlignment w:val="auto"/>
              <w:rPr>
                <w:rFonts w:cs="Calibri"/>
                <w:b/>
                <w:bCs/>
                <w:color w:val="000000"/>
                <w:sz w:val="22"/>
                <w:szCs w:val="22"/>
                <w:lang w:eastAsia="zh-CN"/>
              </w:rPr>
            </w:pPr>
            <w:r w:rsidRPr="000C156A">
              <w:rPr>
                <w:rFonts w:cs="Calibri"/>
                <w:b/>
                <w:bCs/>
                <w:color w:val="000000"/>
                <w:sz w:val="22"/>
                <w:szCs w:val="22"/>
                <w:lang w:eastAsia="zh-CN"/>
              </w:rPr>
              <w:t>-15</w:t>
            </w:r>
            <w:r w:rsidR="00CF258E" w:rsidRPr="000C156A">
              <w:rPr>
                <w:rFonts w:cs="Calibri"/>
                <w:b/>
                <w:bCs/>
                <w:color w:val="000000"/>
                <w:sz w:val="22"/>
                <w:szCs w:val="22"/>
                <w:lang w:eastAsia="zh-CN"/>
              </w:rPr>
              <w:t xml:space="preserve"> </w:t>
            </w:r>
            <w:r w:rsidRPr="000C156A">
              <w:rPr>
                <w:rFonts w:cs="Calibri"/>
                <w:b/>
                <w:bCs/>
                <w:color w:val="000000"/>
                <w:sz w:val="22"/>
                <w:szCs w:val="22"/>
                <w:lang w:eastAsia="zh-CN"/>
              </w:rPr>
              <w:t>853</w:t>
            </w:r>
          </w:p>
        </w:tc>
        <w:tc>
          <w:tcPr>
            <w:tcW w:w="1845" w:type="dxa"/>
            <w:tcBorders>
              <w:top w:val="nil"/>
              <w:left w:val="nil"/>
              <w:bottom w:val="nil"/>
              <w:right w:val="single" w:sz="8" w:space="0" w:color="auto"/>
            </w:tcBorders>
            <w:shd w:val="clear" w:color="auto" w:fill="auto"/>
            <w:vAlign w:val="center"/>
            <w:hideMark/>
          </w:tcPr>
          <w:p w14:paraId="73FE5922" w14:textId="7B990111" w:rsidR="009D43C3" w:rsidRPr="000C156A" w:rsidRDefault="009D43C3" w:rsidP="005D02F0">
            <w:pPr>
              <w:overflowPunct/>
              <w:autoSpaceDE/>
              <w:autoSpaceDN/>
              <w:adjustRightInd/>
              <w:spacing w:before="0"/>
              <w:jc w:val="right"/>
              <w:textAlignment w:val="auto"/>
              <w:rPr>
                <w:rFonts w:cs="Calibri"/>
                <w:b/>
                <w:bCs/>
                <w:color w:val="000000"/>
                <w:sz w:val="22"/>
                <w:szCs w:val="22"/>
                <w:lang w:eastAsia="zh-CN"/>
              </w:rPr>
            </w:pPr>
            <w:r w:rsidRPr="000C156A">
              <w:rPr>
                <w:rFonts w:cs="Calibri"/>
                <w:b/>
                <w:bCs/>
                <w:color w:val="000000"/>
                <w:sz w:val="22"/>
                <w:szCs w:val="22"/>
                <w:lang w:eastAsia="zh-CN"/>
              </w:rPr>
              <w:t>61</w:t>
            </w:r>
            <w:r w:rsidR="00CF258E" w:rsidRPr="000C156A">
              <w:rPr>
                <w:rFonts w:cs="Calibri"/>
                <w:b/>
                <w:bCs/>
                <w:color w:val="000000"/>
                <w:sz w:val="22"/>
                <w:szCs w:val="22"/>
                <w:lang w:eastAsia="zh-CN"/>
              </w:rPr>
              <w:t xml:space="preserve"> </w:t>
            </w:r>
            <w:r w:rsidRPr="000C156A">
              <w:rPr>
                <w:rFonts w:cs="Calibri"/>
                <w:b/>
                <w:bCs/>
                <w:color w:val="000000"/>
                <w:sz w:val="22"/>
                <w:szCs w:val="22"/>
                <w:lang w:eastAsia="zh-CN"/>
              </w:rPr>
              <w:t>225</w:t>
            </w:r>
          </w:p>
        </w:tc>
      </w:tr>
      <w:tr w:rsidR="009D43C3" w:rsidRPr="000C156A" w14:paraId="0CA276AE" w14:textId="77777777" w:rsidTr="005D02F0">
        <w:trPr>
          <w:trHeight w:val="255"/>
        </w:trPr>
        <w:tc>
          <w:tcPr>
            <w:tcW w:w="2977" w:type="dxa"/>
            <w:tcBorders>
              <w:top w:val="nil"/>
              <w:left w:val="single" w:sz="8" w:space="0" w:color="auto"/>
              <w:bottom w:val="nil"/>
              <w:right w:val="single" w:sz="8" w:space="0" w:color="auto"/>
            </w:tcBorders>
            <w:shd w:val="clear" w:color="auto" w:fill="auto"/>
            <w:vAlign w:val="center"/>
            <w:hideMark/>
          </w:tcPr>
          <w:p w14:paraId="5F748BF0" w14:textId="77777777" w:rsidR="009D43C3" w:rsidRPr="000C156A" w:rsidRDefault="009D43C3" w:rsidP="005D02F0">
            <w:pPr>
              <w:overflowPunct/>
              <w:adjustRightInd/>
              <w:spacing w:before="60" w:after="60"/>
              <w:textAlignment w:val="auto"/>
              <w:rPr>
                <w:rFonts w:cs="Calibri"/>
                <w:color w:val="000000"/>
                <w:sz w:val="22"/>
                <w:szCs w:val="22"/>
                <w:lang w:val="en-US" w:eastAsia="zh-CN"/>
              </w:rPr>
            </w:pPr>
            <w:r w:rsidRPr="000C156A">
              <w:rPr>
                <w:rFonts w:cs="Calibri" w:hint="eastAsia"/>
                <w:color w:val="000000"/>
                <w:sz w:val="22"/>
                <w:szCs w:val="22"/>
                <w:lang w:val="en-US" w:eastAsia="zh-CN"/>
              </w:rPr>
              <w:t>往年节余</w:t>
            </w:r>
          </w:p>
        </w:tc>
        <w:tc>
          <w:tcPr>
            <w:tcW w:w="1843" w:type="dxa"/>
            <w:tcBorders>
              <w:top w:val="nil"/>
              <w:left w:val="nil"/>
              <w:bottom w:val="nil"/>
              <w:right w:val="single" w:sz="8" w:space="0" w:color="auto"/>
            </w:tcBorders>
            <w:shd w:val="clear" w:color="auto" w:fill="auto"/>
            <w:vAlign w:val="center"/>
            <w:hideMark/>
          </w:tcPr>
          <w:p w14:paraId="152960F7" w14:textId="7DD027E6" w:rsidR="009D43C3" w:rsidRPr="000C156A" w:rsidRDefault="009D43C3" w:rsidP="005D02F0">
            <w:pPr>
              <w:overflowPunct/>
              <w:autoSpaceDE/>
              <w:autoSpaceDN/>
              <w:adjustRightInd/>
              <w:spacing w:before="0"/>
              <w:jc w:val="right"/>
              <w:textAlignment w:val="auto"/>
              <w:rPr>
                <w:rFonts w:cs="Calibri"/>
                <w:sz w:val="22"/>
                <w:szCs w:val="22"/>
                <w:lang w:eastAsia="zh-CN"/>
              </w:rPr>
            </w:pPr>
            <w:r w:rsidRPr="000C156A">
              <w:rPr>
                <w:rFonts w:cs="Calibri"/>
                <w:sz w:val="22"/>
                <w:szCs w:val="22"/>
                <w:lang w:eastAsia="zh-CN"/>
              </w:rPr>
              <w:t>10</w:t>
            </w:r>
            <w:r w:rsidR="00CF258E" w:rsidRPr="000C156A">
              <w:rPr>
                <w:rFonts w:cs="Calibri"/>
                <w:sz w:val="22"/>
                <w:szCs w:val="22"/>
                <w:lang w:eastAsia="zh-CN"/>
              </w:rPr>
              <w:t xml:space="preserve"> </w:t>
            </w:r>
            <w:r w:rsidRPr="000C156A">
              <w:rPr>
                <w:rFonts w:cs="Calibri"/>
                <w:sz w:val="22"/>
                <w:szCs w:val="22"/>
                <w:lang w:eastAsia="zh-CN"/>
              </w:rPr>
              <w:t>252</w:t>
            </w:r>
          </w:p>
        </w:tc>
        <w:tc>
          <w:tcPr>
            <w:tcW w:w="1559" w:type="dxa"/>
            <w:tcBorders>
              <w:top w:val="nil"/>
              <w:left w:val="nil"/>
              <w:bottom w:val="nil"/>
              <w:right w:val="single" w:sz="8" w:space="0" w:color="auto"/>
            </w:tcBorders>
            <w:shd w:val="clear" w:color="auto" w:fill="auto"/>
            <w:vAlign w:val="center"/>
            <w:hideMark/>
          </w:tcPr>
          <w:p w14:paraId="6F7990FC" w14:textId="2FB508A6"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zh-CN"/>
              </w:rPr>
              <w:t>-1</w:t>
            </w:r>
            <w:r w:rsidR="00CF258E" w:rsidRPr="000C156A">
              <w:rPr>
                <w:rFonts w:cs="Calibri"/>
                <w:color w:val="000000"/>
                <w:sz w:val="22"/>
                <w:szCs w:val="22"/>
                <w:lang w:eastAsia="zh-CN"/>
              </w:rPr>
              <w:t xml:space="preserve"> </w:t>
            </w:r>
            <w:r w:rsidRPr="000C156A">
              <w:rPr>
                <w:rFonts w:cs="Calibri"/>
                <w:color w:val="000000"/>
                <w:sz w:val="22"/>
                <w:szCs w:val="22"/>
                <w:lang w:eastAsia="zh-CN"/>
              </w:rPr>
              <w:t>4</w:t>
            </w:r>
            <w:r w:rsidRPr="000C156A">
              <w:rPr>
                <w:rFonts w:cs="Calibri"/>
                <w:color w:val="000000"/>
                <w:sz w:val="22"/>
                <w:szCs w:val="22"/>
                <w:lang w:eastAsia="en-GB"/>
              </w:rPr>
              <w:t>83</w:t>
            </w:r>
          </w:p>
        </w:tc>
        <w:tc>
          <w:tcPr>
            <w:tcW w:w="1276" w:type="dxa"/>
            <w:tcBorders>
              <w:top w:val="nil"/>
              <w:left w:val="nil"/>
              <w:bottom w:val="nil"/>
              <w:right w:val="single" w:sz="8" w:space="0" w:color="auto"/>
            </w:tcBorders>
            <w:shd w:val="clear" w:color="auto" w:fill="auto"/>
            <w:vAlign w:val="center"/>
            <w:hideMark/>
          </w:tcPr>
          <w:p w14:paraId="25BC08A9" w14:textId="15E471D0" w:rsidR="009D43C3" w:rsidRPr="000C156A" w:rsidRDefault="009D43C3" w:rsidP="005D02F0">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-3</w:t>
            </w:r>
            <w:r w:rsidR="00CF258E" w:rsidRPr="000C156A">
              <w:rPr>
                <w:rFonts w:cs="Calibri"/>
                <w:sz w:val="22"/>
                <w:szCs w:val="22"/>
                <w:lang w:eastAsia="en-GB"/>
              </w:rPr>
              <w:t xml:space="preserve"> </w:t>
            </w:r>
            <w:r w:rsidRPr="000C156A">
              <w:rPr>
                <w:rFonts w:cs="Calibri"/>
                <w:sz w:val="22"/>
                <w:szCs w:val="22"/>
                <w:lang w:eastAsia="en-GB"/>
              </w:rPr>
              <w:t>746</w:t>
            </w:r>
          </w:p>
        </w:tc>
        <w:tc>
          <w:tcPr>
            <w:tcW w:w="1845" w:type="dxa"/>
            <w:tcBorders>
              <w:top w:val="nil"/>
              <w:left w:val="nil"/>
              <w:bottom w:val="nil"/>
              <w:right w:val="single" w:sz="8" w:space="0" w:color="auto"/>
            </w:tcBorders>
            <w:shd w:val="clear" w:color="auto" w:fill="auto"/>
            <w:vAlign w:val="center"/>
            <w:hideMark/>
          </w:tcPr>
          <w:p w14:paraId="39A511A3" w14:textId="05764850"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5</w:t>
            </w:r>
            <w:r w:rsidR="00CF258E" w:rsidRPr="000C156A">
              <w:rPr>
                <w:rFonts w:cs="Calibri"/>
                <w:color w:val="000000"/>
                <w:sz w:val="22"/>
                <w:szCs w:val="22"/>
                <w:lang w:eastAsia="en-GB"/>
              </w:rPr>
              <w:t xml:space="preserve"> </w:t>
            </w:r>
            <w:r w:rsidRPr="000C156A">
              <w:rPr>
                <w:rFonts w:cs="Calibri"/>
                <w:color w:val="000000"/>
                <w:sz w:val="22"/>
                <w:szCs w:val="22"/>
                <w:lang w:eastAsia="en-GB"/>
              </w:rPr>
              <w:t>023</w:t>
            </w:r>
          </w:p>
        </w:tc>
      </w:tr>
      <w:tr w:rsidR="009D43C3" w:rsidRPr="000C156A" w14:paraId="2D180305" w14:textId="77777777" w:rsidTr="005D02F0">
        <w:trPr>
          <w:trHeight w:val="255"/>
        </w:trPr>
        <w:tc>
          <w:tcPr>
            <w:tcW w:w="2977" w:type="dxa"/>
            <w:tcBorders>
              <w:top w:val="nil"/>
              <w:left w:val="single" w:sz="8" w:space="0" w:color="auto"/>
              <w:bottom w:val="nil"/>
              <w:right w:val="single" w:sz="8" w:space="0" w:color="auto"/>
            </w:tcBorders>
            <w:shd w:val="clear" w:color="auto" w:fill="auto"/>
            <w:vAlign w:val="center"/>
            <w:hideMark/>
          </w:tcPr>
          <w:p w14:paraId="4FAFAA3B" w14:textId="77777777" w:rsidR="009D43C3" w:rsidRPr="000C156A" w:rsidRDefault="009D43C3" w:rsidP="005D02F0">
            <w:pPr>
              <w:overflowPunct/>
              <w:adjustRightInd/>
              <w:spacing w:before="60" w:after="60"/>
              <w:textAlignment w:val="auto"/>
              <w:rPr>
                <w:rFonts w:cs="Calibri"/>
                <w:color w:val="000000"/>
                <w:sz w:val="22"/>
                <w:szCs w:val="22"/>
                <w:lang w:val="en-US" w:eastAsia="zh-CN"/>
              </w:rPr>
            </w:pPr>
            <w:r w:rsidRPr="000C156A">
              <w:rPr>
                <w:rFonts w:cs="Calibri" w:hint="eastAsia"/>
                <w:sz w:val="22"/>
                <w:szCs w:val="22"/>
                <w:lang w:val="en-US" w:eastAsia="zh-CN"/>
              </w:rPr>
              <w:t>投资基金</w:t>
            </w:r>
          </w:p>
        </w:tc>
        <w:tc>
          <w:tcPr>
            <w:tcW w:w="1843" w:type="dxa"/>
            <w:tcBorders>
              <w:top w:val="nil"/>
              <w:left w:val="nil"/>
              <w:bottom w:val="nil"/>
              <w:right w:val="single" w:sz="8" w:space="0" w:color="auto"/>
            </w:tcBorders>
            <w:shd w:val="clear" w:color="auto" w:fill="auto"/>
            <w:vAlign w:val="center"/>
            <w:hideMark/>
          </w:tcPr>
          <w:p w14:paraId="21227C0B" w14:textId="69D92200" w:rsidR="009D43C3" w:rsidRPr="000C156A" w:rsidRDefault="009D43C3" w:rsidP="005D02F0">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11</w:t>
            </w:r>
            <w:r w:rsidR="00CF258E" w:rsidRPr="000C156A">
              <w:rPr>
                <w:rFonts w:cs="Calibri"/>
                <w:sz w:val="22"/>
                <w:szCs w:val="22"/>
                <w:lang w:eastAsia="en-GB"/>
              </w:rPr>
              <w:t xml:space="preserve"> </w:t>
            </w:r>
            <w:r w:rsidRPr="000C156A">
              <w:rPr>
                <w:rFonts w:cs="Calibri"/>
                <w:sz w:val="22"/>
                <w:szCs w:val="22"/>
                <w:lang w:eastAsia="en-GB"/>
              </w:rPr>
              <w:t>985</w:t>
            </w:r>
          </w:p>
        </w:tc>
        <w:tc>
          <w:tcPr>
            <w:tcW w:w="1559" w:type="dxa"/>
            <w:tcBorders>
              <w:top w:val="nil"/>
              <w:left w:val="nil"/>
              <w:bottom w:val="nil"/>
              <w:right w:val="single" w:sz="8" w:space="0" w:color="auto"/>
            </w:tcBorders>
            <w:shd w:val="clear" w:color="auto" w:fill="auto"/>
            <w:vAlign w:val="center"/>
            <w:hideMark/>
          </w:tcPr>
          <w:p w14:paraId="42FD66F8" w14:textId="2E9C49AC"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w:t>
            </w:r>
            <w:r w:rsidR="00CF258E" w:rsidRPr="000C156A">
              <w:rPr>
                <w:rFonts w:cs="Calibri"/>
                <w:color w:val="000000"/>
                <w:sz w:val="22"/>
                <w:szCs w:val="22"/>
                <w:lang w:eastAsia="en-GB"/>
              </w:rPr>
              <w:t xml:space="preserve"> </w:t>
            </w:r>
            <w:r w:rsidRPr="000C156A">
              <w:rPr>
                <w:rFonts w:cs="Calibri"/>
                <w:color w:val="000000"/>
                <w:sz w:val="22"/>
                <w:szCs w:val="22"/>
                <w:lang w:eastAsia="en-GB"/>
              </w:rPr>
              <w:t>799</w:t>
            </w:r>
          </w:p>
        </w:tc>
        <w:tc>
          <w:tcPr>
            <w:tcW w:w="1276" w:type="dxa"/>
            <w:tcBorders>
              <w:top w:val="nil"/>
              <w:left w:val="nil"/>
              <w:bottom w:val="nil"/>
              <w:right w:val="single" w:sz="8" w:space="0" w:color="auto"/>
            </w:tcBorders>
            <w:shd w:val="clear" w:color="auto" w:fill="auto"/>
            <w:vAlign w:val="center"/>
            <w:hideMark/>
          </w:tcPr>
          <w:p w14:paraId="0E64220C" w14:textId="2EAAD7E2"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w:t>
            </w:r>
            <w:r w:rsidR="00CF258E" w:rsidRPr="000C156A">
              <w:rPr>
                <w:rFonts w:cs="Calibri"/>
                <w:color w:val="000000"/>
                <w:sz w:val="22"/>
                <w:szCs w:val="22"/>
                <w:lang w:eastAsia="en-GB"/>
              </w:rPr>
              <w:t xml:space="preserve"> </w:t>
            </w:r>
            <w:r w:rsidRPr="000C156A">
              <w:rPr>
                <w:rFonts w:cs="Calibri"/>
                <w:color w:val="000000"/>
                <w:sz w:val="22"/>
                <w:szCs w:val="22"/>
                <w:lang w:eastAsia="en-GB"/>
              </w:rPr>
              <w:t>033</w:t>
            </w:r>
          </w:p>
        </w:tc>
        <w:tc>
          <w:tcPr>
            <w:tcW w:w="1845" w:type="dxa"/>
            <w:tcBorders>
              <w:top w:val="nil"/>
              <w:left w:val="nil"/>
              <w:bottom w:val="nil"/>
              <w:right w:val="single" w:sz="8" w:space="0" w:color="auto"/>
            </w:tcBorders>
            <w:shd w:val="clear" w:color="auto" w:fill="auto"/>
            <w:vAlign w:val="center"/>
            <w:hideMark/>
          </w:tcPr>
          <w:p w14:paraId="327AD3B1" w14:textId="6E939290"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14</w:t>
            </w:r>
            <w:r w:rsidR="00CF258E" w:rsidRPr="000C156A">
              <w:rPr>
                <w:rFonts w:cs="Calibri"/>
                <w:color w:val="000000"/>
                <w:sz w:val="22"/>
                <w:szCs w:val="22"/>
                <w:lang w:eastAsia="en-GB"/>
              </w:rPr>
              <w:t xml:space="preserve"> </w:t>
            </w:r>
            <w:r w:rsidRPr="000C156A">
              <w:rPr>
                <w:rFonts w:cs="Calibri"/>
                <w:color w:val="000000"/>
                <w:sz w:val="22"/>
                <w:szCs w:val="22"/>
                <w:lang w:eastAsia="en-GB"/>
              </w:rPr>
              <w:t>817</w:t>
            </w:r>
          </w:p>
        </w:tc>
      </w:tr>
      <w:tr w:rsidR="009D43C3" w:rsidRPr="000C156A" w14:paraId="0D37B245" w14:textId="77777777" w:rsidTr="005D02F0">
        <w:trPr>
          <w:trHeight w:val="255"/>
        </w:trPr>
        <w:tc>
          <w:tcPr>
            <w:tcW w:w="2977" w:type="dxa"/>
            <w:tcBorders>
              <w:top w:val="nil"/>
              <w:left w:val="single" w:sz="8" w:space="0" w:color="auto"/>
              <w:bottom w:val="nil"/>
              <w:right w:val="single" w:sz="8" w:space="0" w:color="auto"/>
            </w:tcBorders>
            <w:shd w:val="clear" w:color="auto" w:fill="auto"/>
            <w:vAlign w:val="center"/>
            <w:hideMark/>
          </w:tcPr>
          <w:p w14:paraId="0D38A8DE" w14:textId="77777777" w:rsidR="009D43C3" w:rsidRPr="000C156A" w:rsidRDefault="009D43C3" w:rsidP="005D02F0">
            <w:pPr>
              <w:overflowPunct/>
              <w:adjustRightInd/>
              <w:spacing w:before="60" w:after="60"/>
              <w:textAlignment w:val="auto"/>
              <w:rPr>
                <w:rFonts w:cs="Calibri"/>
                <w:color w:val="000000"/>
                <w:sz w:val="22"/>
                <w:szCs w:val="22"/>
                <w:lang w:val="en-US" w:eastAsia="zh-CN"/>
              </w:rPr>
            </w:pPr>
            <w:r w:rsidRPr="000C156A">
              <w:rPr>
                <w:rFonts w:cs="Calibri" w:hint="eastAsia"/>
                <w:color w:val="000000"/>
                <w:sz w:val="22"/>
                <w:szCs w:val="22"/>
                <w:lang w:val="en-US" w:eastAsia="zh-CN"/>
              </w:rPr>
              <w:t>新办公楼基金</w:t>
            </w:r>
          </w:p>
        </w:tc>
        <w:tc>
          <w:tcPr>
            <w:tcW w:w="1843" w:type="dxa"/>
            <w:tcBorders>
              <w:top w:val="nil"/>
              <w:left w:val="nil"/>
              <w:bottom w:val="nil"/>
              <w:right w:val="single" w:sz="8" w:space="0" w:color="auto"/>
            </w:tcBorders>
            <w:shd w:val="clear" w:color="auto" w:fill="auto"/>
            <w:vAlign w:val="center"/>
            <w:hideMark/>
          </w:tcPr>
          <w:p w14:paraId="51B2FC27" w14:textId="5DF40005" w:rsidR="009D43C3" w:rsidRPr="000C156A" w:rsidRDefault="009D43C3" w:rsidP="005D02F0">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-4</w:t>
            </w:r>
            <w:r w:rsidR="00CF258E" w:rsidRPr="000C156A">
              <w:rPr>
                <w:rFonts w:cs="Calibri"/>
                <w:sz w:val="22"/>
                <w:szCs w:val="22"/>
                <w:lang w:eastAsia="en-GB"/>
              </w:rPr>
              <w:t xml:space="preserve"> </w:t>
            </w:r>
            <w:r w:rsidRPr="000C156A">
              <w:rPr>
                <w:rFonts w:cs="Calibri"/>
                <w:sz w:val="22"/>
                <w:szCs w:val="22"/>
                <w:lang w:eastAsia="en-GB"/>
              </w:rPr>
              <w:t>862</w:t>
            </w:r>
          </w:p>
        </w:tc>
        <w:tc>
          <w:tcPr>
            <w:tcW w:w="1559" w:type="dxa"/>
            <w:tcBorders>
              <w:top w:val="nil"/>
              <w:left w:val="nil"/>
              <w:bottom w:val="nil"/>
              <w:right w:val="single" w:sz="8" w:space="0" w:color="auto"/>
            </w:tcBorders>
            <w:shd w:val="clear" w:color="auto" w:fill="auto"/>
            <w:vAlign w:val="center"/>
            <w:hideMark/>
          </w:tcPr>
          <w:p w14:paraId="5A804426" w14:textId="37F4D7CA"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w:t>
            </w:r>
            <w:r w:rsidR="00CF258E" w:rsidRPr="000C156A">
              <w:rPr>
                <w:rFonts w:cs="Calibri"/>
                <w:color w:val="000000"/>
                <w:sz w:val="22"/>
                <w:szCs w:val="22"/>
                <w:lang w:eastAsia="en-GB"/>
              </w:rPr>
              <w:t xml:space="preserve"> </w:t>
            </w:r>
            <w:r w:rsidRPr="000C156A">
              <w:rPr>
                <w:rFonts w:cs="Calibri"/>
                <w:color w:val="000000"/>
                <w:sz w:val="22"/>
                <w:szCs w:val="22"/>
                <w:lang w:eastAsia="en-GB"/>
              </w:rPr>
              <w:t>228</w:t>
            </w:r>
          </w:p>
        </w:tc>
        <w:tc>
          <w:tcPr>
            <w:tcW w:w="1276" w:type="dxa"/>
            <w:tcBorders>
              <w:top w:val="nil"/>
              <w:left w:val="nil"/>
              <w:bottom w:val="nil"/>
              <w:right w:val="single" w:sz="8" w:space="0" w:color="auto"/>
            </w:tcBorders>
            <w:shd w:val="clear" w:color="auto" w:fill="auto"/>
            <w:vAlign w:val="center"/>
            <w:hideMark/>
          </w:tcPr>
          <w:p w14:paraId="05C359CC"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p>
        </w:tc>
        <w:tc>
          <w:tcPr>
            <w:tcW w:w="1845" w:type="dxa"/>
            <w:tcBorders>
              <w:top w:val="nil"/>
              <w:left w:val="nil"/>
              <w:bottom w:val="nil"/>
              <w:right w:val="single" w:sz="8" w:space="0" w:color="auto"/>
            </w:tcBorders>
            <w:shd w:val="clear" w:color="auto" w:fill="auto"/>
            <w:vAlign w:val="center"/>
            <w:hideMark/>
          </w:tcPr>
          <w:p w14:paraId="3258A17B" w14:textId="33493155"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-9</w:t>
            </w:r>
            <w:r w:rsidR="00CF258E" w:rsidRPr="000C156A">
              <w:rPr>
                <w:rFonts w:cs="Calibri"/>
                <w:color w:val="000000"/>
                <w:sz w:val="22"/>
                <w:szCs w:val="22"/>
                <w:lang w:eastAsia="en-GB"/>
              </w:rPr>
              <w:t xml:space="preserve"> </w:t>
            </w:r>
            <w:r w:rsidRPr="000C156A">
              <w:rPr>
                <w:rFonts w:cs="Calibri"/>
                <w:color w:val="000000"/>
                <w:sz w:val="22"/>
                <w:szCs w:val="22"/>
                <w:lang w:eastAsia="en-GB"/>
              </w:rPr>
              <w:t>090</w:t>
            </w:r>
          </w:p>
        </w:tc>
      </w:tr>
      <w:tr w:rsidR="009D43C3" w:rsidRPr="000C156A" w14:paraId="1D910A61" w14:textId="77777777" w:rsidTr="005D02F0">
        <w:trPr>
          <w:trHeight w:val="255"/>
        </w:trPr>
        <w:tc>
          <w:tcPr>
            <w:tcW w:w="2977" w:type="dxa"/>
            <w:tcBorders>
              <w:top w:val="nil"/>
              <w:left w:val="single" w:sz="8" w:space="0" w:color="auto"/>
              <w:bottom w:val="nil"/>
              <w:right w:val="single" w:sz="8" w:space="0" w:color="auto"/>
            </w:tcBorders>
            <w:shd w:val="clear" w:color="auto" w:fill="auto"/>
            <w:hideMark/>
          </w:tcPr>
          <w:p w14:paraId="2CBEB897" w14:textId="77777777" w:rsidR="009D43C3" w:rsidRPr="000C156A" w:rsidRDefault="009D43C3" w:rsidP="005D02F0">
            <w:pPr>
              <w:pStyle w:val="Tabletext"/>
              <w:rPr>
                <w:rFonts w:cs="Calibri"/>
                <w:szCs w:val="22"/>
                <w:lang w:val="en-US" w:eastAsia="zh-CN"/>
              </w:rPr>
            </w:pPr>
            <w:r w:rsidRPr="000C156A">
              <w:rPr>
                <w:rFonts w:cs="Calibri" w:hint="eastAsia"/>
                <w:szCs w:val="22"/>
                <w:lang w:val="en-US" w:eastAsia="zh-CN"/>
              </w:rPr>
              <w:t>新办公楼储备金</w:t>
            </w:r>
          </w:p>
        </w:tc>
        <w:tc>
          <w:tcPr>
            <w:tcW w:w="1843" w:type="dxa"/>
            <w:tcBorders>
              <w:top w:val="nil"/>
              <w:left w:val="nil"/>
              <w:bottom w:val="nil"/>
              <w:right w:val="single" w:sz="8" w:space="0" w:color="auto"/>
            </w:tcBorders>
            <w:shd w:val="clear" w:color="auto" w:fill="auto"/>
            <w:vAlign w:val="center"/>
            <w:hideMark/>
          </w:tcPr>
          <w:p w14:paraId="2BBC4330" w14:textId="48C54CDB" w:rsidR="009D43C3" w:rsidRPr="000C156A" w:rsidRDefault="009D43C3" w:rsidP="005D02F0">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8</w:t>
            </w:r>
            <w:r w:rsidR="00CF258E" w:rsidRPr="000C156A">
              <w:rPr>
                <w:rFonts w:cs="Calibri"/>
                <w:sz w:val="22"/>
                <w:szCs w:val="22"/>
                <w:lang w:eastAsia="en-GB"/>
              </w:rPr>
              <w:t xml:space="preserve"> </w:t>
            </w:r>
            <w:r w:rsidRPr="000C156A">
              <w:rPr>
                <w:rFonts w:cs="Calibri"/>
                <w:sz w:val="22"/>
                <w:szCs w:val="22"/>
                <w:lang w:eastAsia="en-GB"/>
              </w:rPr>
              <w:t>182</w:t>
            </w:r>
          </w:p>
        </w:tc>
        <w:tc>
          <w:tcPr>
            <w:tcW w:w="1559" w:type="dxa"/>
            <w:tcBorders>
              <w:top w:val="nil"/>
              <w:left w:val="nil"/>
              <w:bottom w:val="nil"/>
              <w:right w:val="single" w:sz="8" w:space="0" w:color="auto"/>
            </w:tcBorders>
            <w:shd w:val="clear" w:color="auto" w:fill="auto"/>
            <w:vAlign w:val="center"/>
            <w:hideMark/>
          </w:tcPr>
          <w:p w14:paraId="706A431B" w14:textId="355AB51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10</w:t>
            </w:r>
            <w:r w:rsidR="00CF258E" w:rsidRPr="000C156A">
              <w:rPr>
                <w:rFonts w:cs="Calibri"/>
                <w:color w:val="000000"/>
                <w:sz w:val="22"/>
                <w:szCs w:val="22"/>
                <w:lang w:eastAsia="en-GB"/>
              </w:rPr>
              <w:t xml:space="preserve"> </w:t>
            </w:r>
            <w:r w:rsidRPr="000C156A">
              <w:rPr>
                <w:rFonts w:cs="Calibri"/>
                <w:color w:val="000000"/>
                <w:sz w:val="22"/>
                <w:szCs w:val="22"/>
                <w:lang w:eastAsia="en-GB"/>
              </w:rPr>
              <w:t>006</w:t>
            </w:r>
          </w:p>
        </w:tc>
        <w:tc>
          <w:tcPr>
            <w:tcW w:w="1276" w:type="dxa"/>
            <w:tcBorders>
              <w:top w:val="nil"/>
              <w:left w:val="nil"/>
              <w:bottom w:val="nil"/>
              <w:right w:val="single" w:sz="8" w:space="0" w:color="auto"/>
            </w:tcBorders>
            <w:shd w:val="clear" w:color="auto" w:fill="auto"/>
            <w:vAlign w:val="center"/>
            <w:hideMark/>
          </w:tcPr>
          <w:p w14:paraId="379D4544"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p>
        </w:tc>
        <w:tc>
          <w:tcPr>
            <w:tcW w:w="1845" w:type="dxa"/>
            <w:tcBorders>
              <w:top w:val="nil"/>
              <w:left w:val="nil"/>
              <w:bottom w:val="nil"/>
              <w:right w:val="single" w:sz="8" w:space="0" w:color="auto"/>
            </w:tcBorders>
            <w:shd w:val="clear" w:color="auto" w:fill="auto"/>
            <w:vAlign w:val="center"/>
            <w:hideMark/>
          </w:tcPr>
          <w:p w14:paraId="27770F41" w14:textId="0ADD6109"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18</w:t>
            </w:r>
            <w:r w:rsidR="00CF258E" w:rsidRPr="000C156A">
              <w:rPr>
                <w:rFonts w:cs="Calibri"/>
                <w:color w:val="000000"/>
                <w:sz w:val="22"/>
                <w:szCs w:val="22"/>
                <w:lang w:eastAsia="en-GB"/>
              </w:rPr>
              <w:t xml:space="preserve"> </w:t>
            </w:r>
            <w:r w:rsidRPr="000C156A">
              <w:rPr>
                <w:rFonts w:cs="Calibri"/>
                <w:color w:val="000000"/>
                <w:sz w:val="22"/>
                <w:szCs w:val="22"/>
                <w:lang w:eastAsia="en-GB"/>
              </w:rPr>
              <w:t>188</w:t>
            </w:r>
          </w:p>
        </w:tc>
      </w:tr>
      <w:tr w:rsidR="009D43C3" w:rsidRPr="000C156A" w14:paraId="4AAA8D6C" w14:textId="77777777" w:rsidTr="005D02F0">
        <w:trPr>
          <w:trHeight w:val="255"/>
        </w:trPr>
        <w:tc>
          <w:tcPr>
            <w:tcW w:w="2977" w:type="dxa"/>
            <w:tcBorders>
              <w:top w:val="nil"/>
              <w:left w:val="single" w:sz="8" w:space="0" w:color="auto"/>
              <w:bottom w:val="nil"/>
              <w:right w:val="single" w:sz="8" w:space="0" w:color="auto"/>
            </w:tcBorders>
            <w:shd w:val="clear" w:color="auto" w:fill="auto"/>
          </w:tcPr>
          <w:p w14:paraId="6047F5F1" w14:textId="77777777" w:rsidR="009D43C3" w:rsidRPr="000C156A" w:rsidRDefault="009D43C3" w:rsidP="005D02F0">
            <w:pPr>
              <w:pStyle w:val="Tabletext"/>
              <w:rPr>
                <w:rFonts w:cs="Calibri"/>
                <w:szCs w:val="22"/>
                <w:lang w:val="en-US" w:eastAsia="zh-CN"/>
              </w:rPr>
            </w:pPr>
            <w:r w:rsidRPr="000C156A">
              <w:rPr>
                <w:rFonts w:cs="Calibri"/>
                <w:szCs w:val="22"/>
                <w:lang w:eastAsia="zh-CN"/>
              </w:rPr>
              <w:t>风险管控基金</w:t>
            </w:r>
          </w:p>
        </w:tc>
        <w:tc>
          <w:tcPr>
            <w:tcW w:w="1843" w:type="dxa"/>
            <w:tcBorders>
              <w:top w:val="nil"/>
              <w:left w:val="nil"/>
              <w:bottom w:val="nil"/>
              <w:right w:val="single" w:sz="8" w:space="0" w:color="auto"/>
            </w:tcBorders>
            <w:shd w:val="clear" w:color="auto" w:fill="auto"/>
            <w:vAlign w:val="center"/>
          </w:tcPr>
          <w:p w14:paraId="43B2FC10" w14:textId="2D0B6277" w:rsidR="009D43C3" w:rsidRPr="000C156A" w:rsidRDefault="009D43C3" w:rsidP="005D02F0">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1</w:t>
            </w:r>
            <w:r w:rsidR="00CF258E" w:rsidRPr="000C156A">
              <w:rPr>
                <w:rFonts w:cs="Calibri"/>
                <w:sz w:val="22"/>
                <w:szCs w:val="22"/>
                <w:lang w:eastAsia="en-GB"/>
              </w:rPr>
              <w:t xml:space="preserve"> </w:t>
            </w:r>
            <w:r w:rsidRPr="000C156A">
              <w:rPr>
                <w:rFonts w:cs="Calibri"/>
                <w:sz w:val="22"/>
                <w:szCs w:val="22"/>
                <w:lang w:eastAsia="en-GB"/>
              </w:rPr>
              <w:t>425</w:t>
            </w:r>
          </w:p>
        </w:tc>
        <w:tc>
          <w:tcPr>
            <w:tcW w:w="1559" w:type="dxa"/>
            <w:tcBorders>
              <w:top w:val="nil"/>
              <w:left w:val="nil"/>
              <w:bottom w:val="nil"/>
              <w:right w:val="single" w:sz="8" w:space="0" w:color="auto"/>
            </w:tcBorders>
            <w:shd w:val="clear" w:color="auto" w:fill="auto"/>
            <w:vAlign w:val="center"/>
          </w:tcPr>
          <w:p w14:paraId="447CBFAA"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p>
        </w:tc>
        <w:tc>
          <w:tcPr>
            <w:tcW w:w="1276" w:type="dxa"/>
            <w:tcBorders>
              <w:top w:val="nil"/>
              <w:left w:val="nil"/>
              <w:bottom w:val="nil"/>
              <w:right w:val="single" w:sz="8" w:space="0" w:color="auto"/>
            </w:tcBorders>
            <w:shd w:val="clear" w:color="auto" w:fill="auto"/>
            <w:vAlign w:val="center"/>
          </w:tcPr>
          <w:p w14:paraId="00D1AC09" w14:textId="5E010EBD"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2</w:t>
            </w:r>
            <w:r w:rsidR="00CF258E" w:rsidRPr="000C156A">
              <w:rPr>
                <w:rFonts w:cs="Calibri"/>
                <w:color w:val="000000"/>
                <w:sz w:val="22"/>
                <w:szCs w:val="22"/>
                <w:lang w:eastAsia="en-GB"/>
              </w:rPr>
              <w:t xml:space="preserve"> </w:t>
            </w:r>
            <w:r w:rsidRPr="000C156A">
              <w:rPr>
                <w:rFonts w:cs="Calibri"/>
                <w:color w:val="000000"/>
                <w:sz w:val="22"/>
                <w:szCs w:val="22"/>
                <w:lang w:eastAsia="en-GB"/>
              </w:rPr>
              <w:t>005</w:t>
            </w:r>
          </w:p>
        </w:tc>
        <w:tc>
          <w:tcPr>
            <w:tcW w:w="1845" w:type="dxa"/>
            <w:tcBorders>
              <w:top w:val="nil"/>
              <w:left w:val="nil"/>
              <w:bottom w:val="nil"/>
              <w:right w:val="single" w:sz="8" w:space="0" w:color="auto"/>
            </w:tcBorders>
            <w:shd w:val="clear" w:color="auto" w:fill="auto"/>
            <w:vAlign w:val="center"/>
          </w:tcPr>
          <w:p w14:paraId="06C18F7E" w14:textId="26EA800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w:t>
            </w:r>
            <w:r w:rsidR="00CF258E" w:rsidRPr="000C156A">
              <w:rPr>
                <w:rFonts w:cs="Calibri"/>
                <w:color w:val="000000"/>
                <w:sz w:val="22"/>
                <w:szCs w:val="22"/>
                <w:lang w:eastAsia="en-GB"/>
              </w:rPr>
              <w:t xml:space="preserve"> </w:t>
            </w:r>
            <w:r w:rsidRPr="000C156A">
              <w:rPr>
                <w:rFonts w:cs="Calibri"/>
                <w:color w:val="000000"/>
                <w:sz w:val="22"/>
                <w:szCs w:val="22"/>
                <w:lang w:eastAsia="en-GB"/>
              </w:rPr>
              <w:t>430</w:t>
            </w:r>
          </w:p>
        </w:tc>
      </w:tr>
      <w:tr w:rsidR="009D43C3" w:rsidRPr="000C156A" w14:paraId="55EE14DE" w14:textId="77777777" w:rsidTr="005D02F0">
        <w:trPr>
          <w:trHeight w:val="255"/>
        </w:trPr>
        <w:tc>
          <w:tcPr>
            <w:tcW w:w="2977" w:type="dxa"/>
            <w:tcBorders>
              <w:top w:val="nil"/>
              <w:left w:val="single" w:sz="8" w:space="0" w:color="auto"/>
              <w:bottom w:val="nil"/>
              <w:right w:val="single" w:sz="8" w:space="0" w:color="auto"/>
            </w:tcBorders>
            <w:shd w:val="clear" w:color="auto" w:fill="auto"/>
            <w:hideMark/>
          </w:tcPr>
          <w:p w14:paraId="0C003381" w14:textId="77777777" w:rsidR="009D43C3" w:rsidRPr="000C156A" w:rsidRDefault="009D43C3" w:rsidP="005D02F0">
            <w:pPr>
              <w:pStyle w:val="Tabletext"/>
              <w:rPr>
                <w:rFonts w:cs="Calibri"/>
                <w:szCs w:val="22"/>
                <w:lang w:val="en-US" w:eastAsia="zh-CN"/>
              </w:rPr>
            </w:pPr>
            <w:r w:rsidRPr="000C156A">
              <w:rPr>
                <w:rFonts w:cs="Calibri" w:hint="eastAsia"/>
                <w:szCs w:val="22"/>
                <w:lang w:val="en-US" w:eastAsia="zh-CN"/>
              </w:rPr>
              <w:t>福利基金</w:t>
            </w:r>
          </w:p>
        </w:tc>
        <w:tc>
          <w:tcPr>
            <w:tcW w:w="1843" w:type="dxa"/>
            <w:tcBorders>
              <w:top w:val="nil"/>
              <w:left w:val="nil"/>
              <w:bottom w:val="nil"/>
              <w:right w:val="single" w:sz="8" w:space="0" w:color="auto"/>
            </w:tcBorders>
            <w:shd w:val="clear" w:color="auto" w:fill="auto"/>
            <w:vAlign w:val="center"/>
            <w:hideMark/>
          </w:tcPr>
          <w:p w14:paraId="7EC48DC3" w14:textId="77777777" w:rsidR="009D43C3" w:rsidRPr="000C156A" w:rsidRDefault="009D43C3" w:rsidP="005D02F0">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348</w:t>
            </w:r>
          </w:p>
        </w:tc>
        <w:tc>
          <w:tcPr>
            <w:tcW w:w="1559" w:type="dxa"/>
            <w:tcBorders>
              <w:top w:val="nil"/>
              <w:left w:val="nil"/>
              <w:bottom w:val="nil"/>
              <w:right w:val="single" w:sz="8" w:space="0" w:color="auto"/>
            </w:tcBorders>
            <w:shd w:val="clear" w:color="auto" w:fill="auto"/>
            <w:vAlign w:val="center"/>
            <w:hideMark/>
          </w:tcPr>
          <w:p w14:paraId="557F70FE"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 </w:t>
            </w:r>
          </w:p>
        </w:tc>
        <w:tc>
          <w:tcPr>
            <w:tcW w:w="1276" w:type="dxa"/>
            <w:tcBorders>
              <w:top w:val="nil"/>
              <w:left w:val="nil"/>
              <w:bottom w:val="nil"/>
              <w:right w:val="single" w:sz="8" w:space="0" w:color="auto"/>
            </w:tcBorders>
            <w:shd w:val="clear" w:color="auto" w:fill="auto"/>
            <w:vAlign w:val="center"/>
            <w:hideMark/>
          </w:tcPr>
          <w:p w14:paraId="151EA38E"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p>
        </w:tc>
        <w:tc>
          <w:tcPr>
            <w:tcW w:w="1845" w:type="dxa"/>
            <w:tcBorders>
              <w:top w:val="nil"/>
              <w:left w:val="nil"/>
              <w:bottom w:val="nil"/>
              <w:right w:val="single" w:sz="8" w:space="0" w:color="auto"/>
            </w:tcBorders>
            <w:shd w:val="clear" w:color="auto" w:fill="auto"/>
            <w:vAlign w:val="center"/>
            <w:hideMark/>
          </w:tcPr>
          <w:p w14:paraId="53754BE9"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348</w:t>
            </w:r>
          </w:p>
        </w:tc>
      </w:tr>
      <w:tr w:rsidR="009D43C3" w:rsidRPr="000C156A" w14:paraId="1D204331" w14:textId="77777777" w:rsidTr="005D02F0">
        <w:trPr>
          <w:trHeight w:val="255"/>
        </w:trPr>
        <w:tc>
          <w:tcPr>
            <w:tcW w:w="2977" w:type="dxa"/>
            <w:tcBorders>
              <w:top w:val="nil"/>
              <w:left w:val="single" w:sz="8" w:space="0" w:color="auto"/>
              <w:bottom w:val="nil"/>
              <w:right w:val="single" w:sz="8" w:space="0" w:color="auto"/>
            </w:tcBorders>
            <w:shd w:val="clear" w:color="auto" w:fill="auto"/>
            <w:hideMark/>
          </w:tcPr>
          <w:p w14:paraId="29A35FB8" w14:textId="77777777" w:rsidR="009D43C3" w:rsidRPr="000C156A" w:rsidRDefault="009D43C3" w:rsidP="005D02F0">
            <w:pPr>
              <w:pStyle w:val="Tabletext"/>
              <w:rPr>
                <w:rFonts w:cs="Calibri"/>
                <w:szCs w:val="22"/>
                <w:lang w:val="en-US" w:eastAsia="zh-CN"/>
              </w:rPr>
            </w:pPr>
            <w:r w:rsidRPr="000C156A">
              <w:rPr>
                <w:rFonts w:cs="Calibri" w:hint="eastAsia"/>
                <w:szCs w:val="22"/>
                <w:lang w:val="en-US" w:eastAsia="zh-CN"/>
              </w:rPr>
              <w:t>百年纪念基金</w:t>
            </w:r>
          </w:p>
        </w:tc>
        <w:tc>
          <w:tcPr>
            <w:tcW w:w="1843" w:type="dxa"/>
            <w:tcBorders>
              <w:top w:val="nil"/>
              <w:left w:val="nil"/>
              <w:bottom w:val="nil"/>
              <w:right w:val="single" w:sz="8" w:space="0" w:color="auto"/>
            </w:tcBorders>
            <w:shd w:val="clear" w:color="auto" w:fill="auto"/>
            <w:vAlign w:val="center"/>
            <w:hideMark/>
          </w:tcPr>
          <w:p w14:paraId="7B9BCBDD" w14:textId="77777777" w:rsidR="009D43C3" w:rsidRPr="000C156A" w:rsidRDefault="009D43C3" w:rsidP="005D02F0">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212</w:t>
            </w:r>
          </w:p>
        </w:tc>
        <w:tc>
          <w:tcPr>
            <w:tcW w:w="1559" w:type="dxa"/>
            <w:tcBorders>
              <w:top w:val="nil"/>
              <w:left w:val="nil"/>
              <w:bottom w:val="nil"/>
              <w:right w:val="single" w:sz="8" w:space="0" w:color="auto"/>
            </w:tcBorders>
            <w:shd w:val="clear" w:color="auto" w:fill="auto"/>
            <w:vAlign w:val="center"/>
            <w:hideMark/>
          </w:tcPr>
          <w:p w14:paraId="22E8DC11"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 </w:t>
            </w:r>
          </w:p>
        </w:tc>
        <w:tc>
          <w:tcPr>
            <w:tcW w:w="1276" w:type="dxa"/>
            <w:tcBorders>
              <w:top w:val="nil"/>
              <w:left w:val="nil"/>
              <w:bottom w:val="nil"/>
              <w:right w:val="single" w:sz="8" w:space="0" w:color="auto"/>
            </w:tcBorders>
            <w:shd w:val="clear" w:color="auto" w:fill="auto"/>
            <w:vAlign w:val="center"/>
            <w:hideMark/>
          </w:tcPr>
          <w:p w14:paraId="5A4F388A"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p>
        </w:tc>
        <w:tc>
          <w:tcPr>
            <w:tcW w:w="1845" w:type="dxa"/>
            <w:tcBorders>
              <w:top w:val="nil"/>
              <w:left w:val="nil"/>
              <w:bottom w:val="nil"/>
              <w:right w:val="single" w:sz="8" w:space="0" w:color="auto"/>
            </w:tcBorders>
            <w:shd w:val="clear" w:color="auto" w:fill="auto"/>
            <w:vAlign w:val="center"/>
            <w:hideMark/>
          </w:tcPr>
          <w:p w14:paraId="2C38E119"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212</w:t>
            </w:r>
          </w:p>
        </w:tc>
      </w:tr>
      <w:tr w:rsidR="009D43C3" w:rsidRPr="000C156A" w14:paraId="4E6FD5E1" w14:textId="77777777" w:rsidTr="005D02F0">
        <w:trPr>
          <w:trHeight w:val="255"/>
        </w:trPr>
        <w:tc>
          <w:tcPr>
            <w:tcW w:w="2977" w:type="dxa"/>
            <w:tcBorders>
              <w:top w:val="nil"/>
              <w:left w:val="single" w:sz="8" w:space="0" w:color="auto"/>
              <w:bottom w:val="nil"/>
              <w:right w:val="single" w:sz="8" w:space="0" w:color="auto"/>
            </w:tcBorders>
            <w:shd w:val="clear" w:color="auto" w:fill="auto"/>
            <w:hideMark/>
          </w:tcPr>
          <w:p w14:paraId="79BE70BC" w14:textId="77777777" w:rsidR="009D43C3" w:rsidRPr="000C156A" w:rsidRDefault="009D43C3" w:rsidP="005D02F0">
            <w:pPr>
              <w:pStyle w:val="Tabletext"/>
              <w:rPr>
                <w:rFonts w:cs="Calibri"/>
                <w:szCs w:val="22"/>
                <w:lang w:val="en-US" w:eastAsia="zh-CN"/>
              </w:rPr>
            </w:pPr>
            <w:r w:rsidRPr="000C156A">
              <w:rPr>
                <w:rFonts w:cs="Calibri" w:hint="eastAsia"/>
                <w:szCs w:val="22"/>
                <w:lang w:val="en-US" w:eastAsia="zh-CN"/>
              </w:rPr>
              <w:t>国际电联职员退休和福利基金（</w:t>
            </w:r>
            <w:r w:rsidRPr="000C156A">
              <w:rPr>
                <w:rFonts w:cs="Calibri"/>
                <w:szCs w:val="22"/>
                <w:lang w:val="en-US" w:eastAsia="zh-CN"/>
              </w:rPr>
              <w:t>SS&amp;B</w:t>
            </w:r>
            <w:r w:rsidRPr="000C156A">
              <w:rPr>
                <w:rFonts w:cs="Calibri"/>
                <w:szCs w:val="22"/>
                <w:lang w:val="en-US" w:eastAsia="zh-CN"/>
              </w:rPr>
              <w:t>）</w:t>
            </w:r>
            <w:r w:rsidRPr="000C156A">
              <w:rPr>
                <w:rFonts w:cs="Calibri" w:hint="eastAsia"/>
                <w:szCs w:val="22"/>
                <w:lang w:val="en-US" w:eastAsia="zh-CN"/>
              </w:rPr>
              <w:t>补充基金</w:t>
            </w:r>
          </w:p>
        </w:tc>
        <w:tc>
          <w:tcPr>
            <w:tcW w:w="1843" w:type="dxa"/>
            <w:tcBorders>
              <w:top w:val="nil"/>
              <w:left w:val="nil"/>
              <w:bottom w:val="nil"/>
              <w:right w:val="single" w:sz="8" w:space="0" w:color="auto"/>
            </w:tcBorders>
            <w:shd w:val="clear" w:color="auto" w:fill="auto"/>
            <w:vAlign w:val="center"/>
            <w:hideMark/>
          </w:tcPr>
          <w:p w14:paraId="19F7D682" w14:textId="332A65A2" w:rsidR="009D43C3" w:rsidRPr="000C156A" w:rsidRDefault="009D43C3" w:rsidP="005D02F0">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6</w:t>
            </w:r>
            <w:r w:rsidR="00CF258E" w:rsidRPr="000C156A">
              <w:rPr>
                <w:rFonts w:cs="Calibri"/>
                <w:sz w:val="22"/>
                <w:szCs w:val="22"/>
                <w:lang w:eastAsia="en-GB"/>
              </w:rPr>
              <w:t xml:space="preserve"> </w:t>
            </w:r>
            <w:r w:rsidRPr="000C156A">
              <w:rPr>
                <w:rFonts w:cs="Calibri"/>
                <w:sz w:val="22"/>
                <w:szCs w:val="22"/>
                <w:lang w:eastAsia="en-GB"/>
              </w:rPr>
              <w:t>166</w:t>
            </w:r>
          </w:p>
        </w:tc>
        <w:tc>
          <w:tcPr>
            <w:tcW w:w="1559" w:type="dxa"/>
            <w:tcBorders>
              <w:top w:val="nil"/>
              <w:left w:val="nil"/>
              <w:bottom w:val="nil"/>
              <w:right w:val="single" w:sz="8" w:space="0" w:color="auto"/>
            </w:tcBorders>
            <w:shd w:val="clear" w:color="auto" w:fill="auto"/>
            <w:vAlign w:val="center"/>
            <w:hideMark/>
          </w:tcPr>
          <w:p w14:paraId="53ECF698"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w:t>
            </w:r>
          </w:p>
        </w:tc>
        <w:tc>
          <w:tcPr>
            <w:tcW w:w="1276" w:type="dxa"/>
            <w:tcBorders>
              <w:top w:val="nil"/>
              <w:left w:val="nil"/>
              <w:bottom w:val="nil"/>
              <w:right w:val="single" w:sz="8" w:space="0" w:color="auto"/>
            </w:tcBorders>
            <w:shd w:val="clear" w:color="auto" w:fill="auto"/>
            <w:vAlign w:val="center"/>
            <w:hideMark/>
          </w:tcPr>
          <w:p w14:paraId="44BCF5FE"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p>
        </w:tc>
        <w:tc>
          <w:tcPr>
            <w:tcW w:w="1845" w:type="dxa"/>
            <w:tcBorders>
              <w:top w:val="nil"/>
              <w:left w:val="nil"/>
              <w:bottom w:val="nil"/>
              <w:right w:val="single" w:sz="8" w:space="0" w:color="auto"/>
            </w:tcBorders>
            <w:shd w:val="clear" w:color="auto" w:fill="auto"/>
            <w:vAlign w:val="center"/>
            <w:hideMark/>
          </w:tcPr>
          <w:p w14:paraId="2035E3C6" w14:textId="60F3855B"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6</w:t>
            </w:r>
            <w:r w:rsidR="00CF258E" w:rsidRPr="000C156A">
              <w:rPr>
                <w:rFonts w:cs="Calibri"/>
                <w:color w:val="000000"/>
                <w:sz w:val="22"/>
                <w:szCs w:val="22"/>
                <w:lang w:eastAsia="en-GB"/>
              </w:rPr>
              <w:t xml:space="preserve"> </w:t>
            </w:r>
            <w:r w:rsidRPr="000C156A">
              <w:rPr>
                <w:rFonts w:cs="Calibri"/>
                <w:color w:val="000000"/>
                <w:sz w:val="22"/>
                <w:szCs w:val="22"/>
                <w:lang w:eastAsia="en-GB"/>
              </w:rPr>
              <w:t>174</w:t>
            </w:r>
          </w:p>
        </w:tc>
      </w:tr>
      <w:tr w:rsidR="009D43C3" w:rsidRPr="000C156A" w14:paraId="07B0A137" w14:textId="77777777" w:rsidTr="005D02F0">
        <w:trPr>
          <w:trHeight w:val="255"/>
        </w:trPr>
        <w:tc>
          <w:tcPr>
            <w:tcW w:w="2977" w:type="dxa"/>
            <w:tcBorders>
              <w:top w:val="nil"/>
              <w:left w:val="single" w:sz="8" w:space="0" w:color="auto"/>
              <w:bottom w:val="nil"/>
              <w:right w:val="single" w:sz="8" w:space="0" w:color="auto"/>
            </w:tcBorders>
            <w:shd w:val="clear" w:color="auto" w:fill="auto"/>
            <w:hideMark/>
          </w:tcPr>
          <w:p w14:paraId="336D065C" w14:textId="77777777" w:rsidR="009D43C3" w:rsidRPr="000C156A" w:rsidRDefault="009D43C3" w:rsidP="005D02F0">
            <w:pPr>
              <w:pStyle w:val="Tabletext"/>
              <w:rPr>
                <w:rFonts w:cs="Calibri"/>
                <w:szCs w:val="22"/>
                <w:lang w:val="en-US" w:eastAsia="zh-CN"/>
              </w:rPr>
            </w:pPr>
            <w:r w:rsidRPr="000C156A">
              <w:rPr>
                <w:rFonts w:cs="Calibri"/>
                <w:szCs w:val="22"/>
                <w:lang w:val="en-US" w:eastAsia="fr-FR"/>
              </w:rPr>
              <w:t>SS&amp;B</w:t>
            </w:r>
            <w:r w:rsidRPr="000C156A">
              <w:rPr>
                <w:rFonts w:cs="Calibri" w:hint="eastAsia"/>
                <w:szCs w:val="22"/>
                <w:lang w:val="en-US" w:eastAsia="zh-CN"/>
              </w:rPr>
              <w:t>援助基金</w:t>
            </w:r>
          </w:p>
        </w:tc>
        <w:tc>
          <w:tcPr>
            <w:tcW w:w="1843" w:type="dxa"/>
            <w:tcBorders>
              <w:top w:val="nil"/>
              <w:left w:val="nil"/>
              <w:bottom w:val="nil"/>
              <w:right w:val="single" w:sz="8" w:space="0" w:color="auto"/>
            </w:tcBorders>
            <w:shd w:val="clear" w:color="auto" w:fill="auto"/>
            <w:vAlign w:val="center"/>
            <w:hideMark/>
          </w:tcPr>
          <w:p w14:paraId="7899C74B" w14:textId="77777777" w:rsidR="009D43C3" w:rsidRPr="000C156A" w:rsidRDefault="009D43C3" w:rsidP="005D02F0">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278</w:t>
            </w:r>
          </w:p>
        </w:tc>
        <w:tc>
          <w:tcPr>
            <w:tcW w:w="1559" w:type="dxa"/>
            <w:tcBorders>
              <w:top w:val="nil"/>
              <w:left w:val="nil"/>
              <w:bottom w:val="nil"/>
              <w:right w:val="single" w:sz="8" w:space="0" w:color="auto"/>
            </w:tcBorders>
            <w:shd w:val="clear" w:color="auto" w:fill="auto"/>
            <w:vAlign w:val="center"/>
            <w:hideMark/>
          </w:tcPr>
          <w:p w14:paraId="3E7F7A36"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 </w:t>
            </w:r>
          </w:p>
        </w:tc>
        <w:tc>
          <w:tcPr>
            <w:tcW w:w="1276" w:type="dxa"/>
            <w:tcBorders>
              <w:top w:val="nil"/>
              <w:left w:val="nil"/>
              <w:bottom w:val="nil"/>
              <w:right w:val="single" w:sz="8" w:space="0" w:color="auto"/>
            </w:tcBorders>
            <w:shd w:val="clear" w:color="auto" w:fill="auto"/>
            <w:vAlign w:val="center"/>
            <w:hideMark/>
          </w:tcPr>
          <w:p w14:paraId="3B804E19"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p>
        </w:tc>
        <w:tc>
          <w:tcPr>
            <w:tcW w:w="1845" w:type="dxa"/>
            <w:tcBorders>
              <w:top w:val="nil"/>
              <w:left w:val="nil"/>
              <w:bottom w:val="nil"/>
              <w:right w:val="single" w:sz="8" w:space="0" w:color="auto"/>
            </w:tcBorders>
            <w:shd w:val="clear" w:color="auto" w:fill="auto"/>
            <w:vAlign w:val="center"/>
            <w:hideMark/>
          </w:tcPr>
          <w:p w14:paraId="4440DED0"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278</w:t>
            </w:r>
          </w:p>
        </w:tc>
      </w:tr>
      <w:tr w:rsidR="009D43C3" w:rsidRPr="000C156A" w14:paraId="34D4604D" w14:textId="77777777" w:rsidTr="005D02F0">
        <w:trPr>
          <w:trHeight w:val="255"/>
        </w:trPr>
        <w:tc>
          <w:tcPr>
            <w:tcW w:w="2977" w:type="dxa"/>
            <w:tcBorders>
              <w:top w:val="nil"/>
              <w:left w:val="single" w:sz="8" w:space="0" w:color="auto"/>
              <w:bottom w:val="nil"/>
              <w:right w:val="single" w:sz="8" w:space="0" w:color="auto"/>
            </w:tcBorders>
            <w:shd w:val="clear" w:color="auto" w:fill="auto"/>
            <w:hideMark/>
          </w:tcPr>
          <w:p w14:paraId="1E2571AE" w14:textId="77777777" w:rsidR="009D43C3" w:rsidRPr="000C156A" w:rsidRDefault="009D43C3" w:rsidP="005D02F0">
            <w:pPr>
              <w:pStyle w:val="Tabletext"/>
              <w:rPr>
                <w:rFonts w:cs="Calibri"/>
                <w:szCs w:val="22"/>
                <w:lang w:val="en-US" w:eastAsia="zh-CN"/>
              </w:rPr>
            </w:pPr>
            <w:r w:rsidRPr="000C156A">
              <w:rPr>
                <w:rFonts w:cs="Calibri"/>
                <w:szCs w:val="22"/>
                <w:lang w:val="en-US" w:eastAsia="fr-FR"/>
              </w:rPr>
              <w:t>ASHI</w:t>
            </w:r>
            <w:r w:rsidRPr="000C156A">
              <w:rPr>
                <w:rFonts w:cs="Calibri" w:hint="eastAsia"/>
                <w:szCs w:val="22"/>
                <w:lang w:val="en-US" w:eastAsia="zh-CN"/>
              </w:rPr>
              <w:t>基金</w:t>
            </w:r>
          </w:p>
        </w:tc>
        <w:tc>
          <w:tcPr>
            <w:tcW w:w="1843" w:type="dxa"/>
            <w:tcBorders>
              <w:top w:val="nil"/>
              <w:left w:val="nil"/>
              <w:bottom w:val="nil"/>
              <w:right w:val="single" w:sz="8" w:space="0" w:color="auto"/>
            </w:tcBorders>
            <w:shd w:val="clear" w:color="auto" w:fill="auto"/>
            <w:vAlign w:val="center"/>
            <w:hideMark/>
          </w:tcPr>
          <w:p w14:paraId="1D86EA9E" w14:textId="529533E1" w:rsidR="009D43C3" w:rsidRPr="000C156A" w:rsidRDefault="009D43C3" w:rsidP="005D02F0">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12</w:t>
            </w:r>
            <w:r w:rsidR="00CF258E" w:rsidRPr="000C156A">
              <w:rPr>
                <w:rFonts w:cs="Calibri"/>
                <w:sz w:val="22"/>
                <w:szCs w:val="22"/>
                <w:lang w:eastAsia="en-GB"/>
              </w:rPr>
              <w:t xml:space="preserve"> </w:t>
            </w:r>
            <w:r w:rsidRPr="000C156A">
              <w:rPr>
                <w:rFonts w:cs="Calibri"/>
                <w:sz w:val="22"/>
                <w:szCs w:val="22"/>
                <w:lang w:eastAsia="en-GB"/>
              </w:rPr>
              <w:t>000</w:t>
            </w:r>
          </w:p>
        </w:tc>
        <w:tc>
          <w:tcPr>
            <w:tcW w:w="1559" w:type="dxa"/>
            <w:tcBorders>
              <w:top w:val="nil"/>
              <w:left w:val="nil"/>
              <w:bottom w:val="nil"/>
              <w:right w:val="single" w:sz="8" w:space="0" w:color="auto"/>
            </w:tcBorders>
            <w:shd w:val="clear" w:color="auto" w:fill="auto"/>
            <w:vAlign w:val="center"/>
            <w:hideMark/>
          </w:tcPr>
          <w:p w14:paraId="5BE37109"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p>
        </w:tc>
        <w:tc>
          <w:tcPr>
            <w:tcW w:w="1276" w:type="dxa"/>
            <w:tcBorders>
              <w:top w:val="nil"/>
              <w:left w:val="nil"/>
              <w:bottom w:val="nil"/>
              <w:right w:val="single" w:sz="8" w:space="0" w:color="auto"/>
            </w:tcBorders>
            <w:shd w:val="clear" w:color="auto" w:fill="auto"/>
            <w:vAlign w:val="center"/>
            <w:hideMark/>
          </w:tcPr>
          <w:p w14:paraId="3F74449B" w14:textId="18CB2AB5"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w:t>
            </w:r>
            <w:r w:rsidR="00CF258E" w:rsidRPr="000C156A">
              <w:rPr>
                <w:rFonts w:cs="Calibri"/>
                <w:color w:val="000000"/>
                <w:sz w:val="22"/>
                <w:szCs w:val="22"/>
                <w:lang w:eastAsia="en-GB"/>
              </w:rPr>
              <w:t xml:space="preserve"> </w:t>
            </w:r>
            <w:r w:rsidRPr="000C156A">
              <w:rPr>
                <w:rFonts w:cs="Calibri"/>
                <w:color w:val="000000"/>
                <w:sz w:val="22"/>
                <w:szCs w:val="22"/>
                <w:lang w:eastAsia="en-GB"/>
              </w:rPr>
              <w:t>000</w:t>
            </w:r>
          </w:p>
        </w:tc>
        <w:tc>
          <w:tcPr>
            <w:tcW w:w="1845" w:type="dxa"/>
            <w:tcBorders>
              <w:top w:val="nil"/>
              <w:left w:val="nil"/>
              <w:bottom w:val="nil"/>
              <w:right w:val="single" w:sz="8" w:space="0" w:color="auto"/>
            </w:tcBorders>
            <w:shd w:val="clear" w:color="auto" w:fill="auto"/>
            <w:vAlign w:val="center"/>
            <w:hideMark/>
          </w:tcPr>
          <w:p w14:paraId="6A78BC15" w14:textId="054A02A3"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13</w:t>
            </w:r>
            <w:r w:rsidR="00CF258E" w:rsidRPr="000C156A">
              <w:rPr>
                <w:rFonts w:cs="Calibri"/>
                <w:color w:val="000000"/>
                <w:sz w:val="22"/>
                <w:szCs w:val="22"/>
                <w:lang w:eastAsia="en-GB"/>
              </w:rPr>
              <w:t xml:space="preserve"> </w:t>
            </w:r>
            <w:r w:rsidRPr="000C156A">
              <w:rPr>
                <w:rFonts w:cs="Calibri"/>
                <w:color w:val="000000"/>
                <w:sz w:val="22"/>
                <w:szCs w:val="22"/>
                <w:lang w:eastAsia="en-GB"/>
              </w:rPr>
              <w:t>000</w:t>
            </w:r>
          </w:p>
        </w:tc>
      </w:tr>
      <w:tr w:rsidR="009D43C3" w:rsidRPr="000C156A" w14:paraId="2C4D65B0" w14:textId="77777777" w:rsidTr="005D02F0">
        <w:trPr>
          <w:trHeight w:val="255"/>
        </w:trPr>
        <w:tc>
          <w:tcPr>
            <w:tcW w:w="2977" w:type="dxa"/>
            <w:tcBorders>
              <w:top w:val="nil"/>
              <w:left w:val="single" w:sz="8" w:space="0" w:color="auto"/>
              <w:bottom w:val="nil"/>
              <w:right w:val="single" w:sz="8" w:space="0" w:color="auto"/>
            </w:tcBorders>
            <w:shd w:val="clear" w:color="auto" w:fill="auto"/>
            <w:hideMark/>
          </w:tcPr>
          <w:p w14:paraId="527F2850" w14:textId="77777777" w:rsidR="009D43C3" w:rsidRPr="000C156A" w:rsidRDefault="009D43C3" w:rsidP="005D02F0">
            <w:pPr>
              <w:pStyle w:val="Tabletext"/>
              <w:rPr>
                <w:rFonts w:cs="Calibri"/>
                <w:szCs w:val="22"/>
                <w:lang w:val="en-US" w:eastAsia="zh-CN"/>
              </w:rPr>
            </w:pPr>
            <w:r w:rsidRPr="000C156A">
              <w:rPr>
                <w:rFonts w:cs="Calibri" w:hint="eastAsia"/>
                <w:szCs w:val="22"/>
                <w:lang w:val="en-US" w:eastAsia="zh-CN"/>
              </w:rPr>
              <w:t>健康保险基金</w:t>
            </w:r>
          </w:p>
        </w:tc>
        <w:tc>
          <w:tcPr>
            <w:tcW w:w="1843" w:type="dxa"/>
            <w:tcBorders>
              <w:top w:val="nil"/>
              <w:left w:val="nil"/>
              <w:bottom w:val="nil"/>
              <w:right w:val="single" w:sz="8" w:space="0" w:color="auto"/>
            </w:tcBorders>
            <w:shd w:val="clear" w:color="auto" w:fill="auto"/>
            <w:vAlign w:val="center"/>
            <w:hideMark/>
          </w:tcPr>
          <w:p w14:paraId="733A63B2" w14:textId="2D3297B2" w:rsidR="009D43C3" w:rsidRPr="000C156A" w:rsidRDefault="009D43C3" w:rsidP="005D02F0">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20</w:t>
            </w:r>
            <w:r w:rsidR="00CF258E" w:rsidRPr="000C156A">
              <w:rPr>
                <w:rFonts w:cs="Calibri"/>
                <w:sz w:val="22"/>
                <w:szCs w:val="22"/>
                <w:lang w:eastAsia="en-GB"/>
              </w:rPr>
              <w:t xml:space="preserve"> </w:t>
            </w:r>
            <w:r w:rsidRPr="000C156A">
              <w:rPr>
                <w:rFonts w:cs="Calibri"/>
                <w:sz w:val="22"/>
                <w:szCs w:val="22"/>
                <w:lang w:eastAsia="en-GB"/>
              </w:rPr>
              <w:t>332</w:t>
            </w:r>
          </w:p>
        </w:tc>
        <w:tc>
          <w:tcPr>
            <w:tcW w:w="1559" w:type="dxa"/>
            <w:tcBorders>
              <w:top w:val="nil"/>
              <w:left w:val="nil"/>
              <w:bottom w:val="nil"/>
              <w:right w:val="single" w:sz="8" w:space="0" w:color="auto"/>
            </w:tcBorders>
            <w:shd w:val="clear" w:color="auto" w:fill="auto"/>
            <w:noWrap/>
            <w:vAlign w:val="center"/>
            <w:hideMark/>
          </w:tcPr>
          <w:p w14:paraId="220F8D51"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 </w:t>
            </w:r>
          </w:p>
        </w:tc>
        <w:tc>
          <w:tcPr>
            <w:tcW w:w="1276" w:type="dxa"/>
            <w:tcBorders>
              <w:top w:val="nil"/>
              <w:left w:val="nil"/>
              <w:bottom w:val="nil"/>
              <w:right w:val="single" w:sz="8" w:space="0" w:color="auto"/>
            </w:tcBorders>
            <w:shd w:val="clear" w:color="auto" w:fill="auto"/>
            <w:noWrap/>
            <w:vAlign w:val="center"/>
            <w:hideMark/>
          </w:tcPr>
          <w:p w14:paraId="49AD1466" w14:textId="20E51B9A"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-18</w:t>
            </w:r>
            <w:r w:rsidR="00CF258E" w:rsidRPr="000C156A">
              <w:rPr>
                <w:rFonts w:cs="Calibri"/>
                <w:color w:val="000000"/>
                <w:sz w:val="22"/>
                <w:szCs w:val="22"/>
                <w:lang w:eastAsia="en-GB"/>
              </w:rPr>
              <w:t xml:space="preserve"> </w:t>
            </w:r>
            <w:r w:rsidRPr="000C156A">
              <w:rPr>
                <w:rFonts w:cs="Calibri"/>
                <w:color w:val="000000"/>
                <w:sz w:val="22"/>
                <w:szCs w:val="22"/>
                <w:lang w:eastAsia="en-GB"/>
              </w:rPr>
              <w:t>578</w:t>
            </w:r>
          </w:p>
        </w:tc>
        <w:tc>
          <w:tcPr>
            <w:tcW w:w="1845" w:type="dxa"/>
            <w:tcBorders>
              <w:top w:val="nil"/>
              <w:left w:val="nil"/>
              <w:bottom w:val="nil"/>
              <w:right w:val="single" w:sz="8" w:space="0" w:color="auto"/>
            </w:tcBorders>
            <w:shd w:val="clear" w:color="auto" w:fill="auto"/>
            <w:vAlign w:val="center"/>
            <w:hideMark/>
          </w:tcPr>
          <w:p w14:paraId="0FF45AD5" w14:textId="0B16F3D1"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w:t>
            </w:r>
            <w:r w:rsidR="00CF258E" w:rsidRPr="000C156A">
              <w:rPr>
                <w:rFonts w:cs="Calibri"/>
                <w:color w:val="000000"/>
                <w:sz w:val="22"/>
                <w:szCs w:val="22"/>
                <w:lang w:eastAsia="en-GB"/>
              </w:rPr>
              <w:t xml:space="preserve"> </w:t>
            </w:r>
            <w:r w:rsidRPr="000C156A">
              <w:rPr>
                <w:rFonts w:cs="Calibri"/>
                <w:color w:val="000000"/>
                <w:sz w:val="22"/>
                <w:szCs w:val="22"/>
                <w:lang w:eastAsia="en-GB"/>
              </w:rPr>
              <w:t>754</w:t>
            </w:r>
          </w:p>
        </w:tc>
      </w:tr>
      <w:tr w:rsidR="009D43C3" w:rsidRPr="000C156A" w14:paraId="7F618891" w14:textId="77777777" w:rsidTr="005D02F0">
        <w:trPr>
          <w:trHeight w:val="255"/>
        </w:trPr>
        <w:tc>
          <w:tcPr>
            <w:tcW w:w="2977" w:type="dxa"/>
            <w:tcBorders>
              <w:top w:val="nil"/>
              <w:left w:val="single" w:sz="8" w:space="0" w:color="auto"/>
              <w:bottom w:val="nil"/>
              <w:right w:val="single" w:sz="8" w:space="0" w:color="auto"/>
            </w:tcBorders>
            <w:shd w:val="clear" w:color="auto" w:fill="auto"/>
            <w:hideMark/>
          </w:tcPr>
          <w:p w14:paraId="3042CF47" w14:textId="77777777" w:rsidR="009D43C3" w:rsidRPr="000C156A" w:rsidRDefault="009D43C3" w:rsidP="005D02F0">
            <w:pPr>
              <w:pStyle w:val="Tabletext"/>
              <w:rPr>
                <w:rFonts w:cs="Calibri"/>
                <w:szCs w:val="22"/>
                <w:lang w:val="en-US" w:eastAsia="zh-CN"/>
              </w:rPr>
            </w:pPr>
            <w:r w:rsidRPr="000C156A">
              <w:rPr>
                <w:rFonts w:cs="Calibri" w:hint="eastAsia"/>
                <w:szCs w:val="22"/>
                <w:lang w:val="en-US" w:eastAsia="zh-CN"/>
              </w:rPr>
              <w:t>预算外分配的储备金</w:t>
            </w:r>
          </w:p>
        </w:tc>
        <w:tc>
          <w:tcPr>
            <w:tcW w:w="1843" w:type="dxa"/>
            <w:tcBorders>
              <w:top w:val="nil"/>
              <w:left w:val="nil"/>
              <w:bottom w:val="nil"/>
              <w:right w:val="single" w:sz="8" w:space="0" w:color="auto"/>
            </w:tcBorders>
            <w:shd w:val="clear" w:color="auto" w:fill="auto"/>
            <w:vAlign w:val="center"/>
            <w:hideMark/>
          </w:tcPr>
          <w:p w14:paraId="0E16B56E" w14:textId="2E2C762A" w:rsidR="009D43C3" w:rsidRPr="000C156A" w:rsidRDefault="009D43C3" w:rsidP="005D02F0">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5</w:t>
            </w:r>
            <w:r w:rsidR="00CF258E" w:rsidRPr="000C156A">
              <w:rPr>
                <w:rFonts w:cs="Calibri"/>
                <w:sz w:val="22"/>
                <w:szCs w:val="22"/>
                <w:lang w:eastAsia="en-GB"/>
              </w:rPr>
              <w:t xml:space="preserve"> </w:t>
            </w:r>
            <w:r w:rsidRPr="000C156A">
              <w:rPr>
                <w:rFonts w:cs="Calibri"/>
                <w:sz w:val="22"/>
                <w:szCs w:val="22"/>
                <w:lang w:eastAsia="en-GB"/>
              </w:rPr>
              <w:t>336</w:t>
            </w:r>
          </w:p>
        </w:tc>
        <w:tc>
          <w:tcPr>
            <w:tcW w:w="1559" w:type="dxa"/>
            <w:tcBorders>
              <w:top w:val="nil"/>
              <w:left w:val="nil"/>
              <w:bottom w:val="nil"/>
              <w:right w:val="single" w:sz="8" w:space="0" w:color="auto"/>
            </w:tcBorders>
            <w:shd w:val="clear" w:color="auto" w:fill="auto"/>
            <w:noWrap/>
            <w:vAlign w:val="center"/>
            <w:hideMark/>
          </w:tcPr>
          <w:p w14:paraId="183B0040" w14:textId="3BCC3082"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w:t>
            </w:r>
            <w:r w:rsidR="00CF258E" w:rsidRPr="000C156A">
              <w:rPr>
                <w:rFonts w:cs="Calibri"/>
                <w:color w:val="000000"/>
                <w:sz w:val="22"/>
                <w:szCs w:val="22"/>
                <w:lang w:eastAsia="en-GB"/>
              </w:rPr>
              <w:t xml:space="preserve"> </w:t>
            </w:r>
            <w:r w:rsidRPr="000C156A">
              <w:rPr>
                <w:rFonts w:cs="Calibri"/>
                <w:color w:val="000000"/>
                <w:sz w:val="22"/>
                <w:szCs w:val="22"/>
                <w:lang w:eastAsia="en-GB"/>
              </w:rPr>
              <w:t>227</w:t>
            </w:r>
          </w:p>
        </w:tc>
        <w:tc>
          <w:tcPr>
            <w:tcW w:w="1276" w:type="dxa"/>
            <w:tcBorders>
              <w:top w:val="nil"/>
              <w:left w:val="nil"/>
              <w:bottom w:val="nil"/>
              <w:right w:val="single" w:sz="8" w:space="0" w:color="auto"/>
            </w:tcBorders>
            <w:shd w:val="clear" w:color="auto" w:fill="auto"/>
            <w:noWrap/>
            <w:vAlign w:val="center"/>
            <w:hideMark/>
          </w:tcPr>
          <w:p w14:paraId="2A854F13" w14:textId="35AFD4EB"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w:t>
            </w:r>
            <w:r w:rsidR="00CF258E" w:rsidRPr="000C156A">
              <w:rPr>
                <w:rFonts w:cs="Calibri"/>
                <w:color w:val="000000"/>
                <w:sz w:val="22"/>
                <w:szCs w:val="22"/>
                <w:lang w:eastAsia="en-GB"/>
              </w:rPr>
              <w:t xml:space="preserve"> </w:t>
            </w:r>
            <w:r w:rsidRPr="000C156A">
              <w:rPr>
                <w:rFonts w:cs="Calibri"/>
                <w:color w:val="000000"/>
                <w:sz w:val="22"/>
                <w:szCs w:val="22"/>
                <w:lang w:eastAsia="en-GB"/>
              </w:rPr>
              <w:t>899</w:t>
            </w:r>
          </w:p>
        </w:tc>
        <w:tc>
          <w:tcPr>
            <w:tcW w:w="1845" w:type="dxa"/>
            <w:tcBorders>
              <w:top w:val="nil"/>
              <w:left w:val="nil"/>
              <w:bottom w:val="nil"/>
              <w:right w:val="single" w:sz="8" w:space="0" w:color="auto"/>
            </w:tcBorders>
            <w:shd w:val="clear" w:color="auto" w:fill="auto"/>
            <w:vAlign w:val="center"/>
            <w:hideMark/>
          </w:tcPr>
          <w:p w14:paraId="57374BBD" w14:textId="0A59C4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w:t>
            </w:r>
            <w:r w:rsidR="00CF258E" w:rsidRPr="000C156A">
              <w:rPr>
                <w:rFonts w:cs="Calibri"/>
                <w:color w:val="000000"/>
                <w:sz w:val="22"/>
                <w:szCs w:val="22"/>
                <w:lang w:eastAsia="en-GB"/>
              </w:rPr>
              <w:t xml:space="preserve"> </w:t>
            </w:r>
            <w:r w:rsidRPr="000C156A">
              <w:rPr>
                <w:rFonts w:cs="Calibri"/>
                <w:color w:val="000000"/>
                <w:sz w:val="22"/>
                <w:szCs w:val="22"/>
                <w:lang w:eastAsia="en-GB"/>
              </w:rPr>
              <w:t>008</w:t>
            </w:r>
          </w:p>
        </w:tc>
      </w:tr>
      <w:tr w:rsidR="009D43C3" w:rsidRPr="000C156A" w14:paraId="35E3726A" w14:textId="77777777" w:rsidTr="005D02F0">
        <w:trPr>
          <w:trHeight w:val="255"/>
        </w:trPr>
        <w:tc>
          <w:tcPr>
            <w:tcW w:w="2977" w:type="dxa"/>
            <w:tcBorders>
              <w:top w:val="nil"/>
              <w:left w:val="single" w:sz="8" w:space="0" w:color="auto"/>
              <w:bottom w:val="nil"/>
              <w:right w:val="single" w:sz="8" w:space="0" w:color="auto"/>
            </w:tcBorders>
            <w:shd w:val="clear" w:color="auto" w:fill="auto"/>
            <w:hideMark/>
          </w:tcPr>
          <w:p w14:paraId="5BC12CFE" w14:textId="77777777" w:rsidR="009D43C3" w:rsidRPr="000C156A" w:rsidRDefault="009D43C3" w:rsidP="005D02F0">
            <w:pPr>
              <w:pStyle w:val="Tabletext"/>
              <w:rPr>
                <w:rFonts w:cs="Calibri"/>
                <w:szCs w:val="22"/>
                <w:lang w:val="en-US" w:eastAsia="zh-CN"/>
              </w:rPr>
            </w:pPr>
            <w:r w:rsidRPr="000C156A">
              <w:rPr>
                <w:rFonts w:cs="Calibri" w:hint="eastAsia"/>
                <w:szCs w:val="22"/>
                <w:lang w:val="en-US" w:eastAsia="zh-CN"/>
              </w:rPr>
              <w:t>货币兑换转换</w:t>
            </w:r>
          </w:p>
        </w:tc>
        <w:tc>
          <w:tcPr>
            <w:tcW w:w="1843" w:type="dxa"/>
            <w:tcBorders>
              <w:top w:val="nil"/>
              <w:left w:val="nil"/>
              <w:bottom w:val="nil"/>
              <w:right w:val="single" w:sz="8" w:space="0" w:color="auto"/>
            </w:tcBorders>
            <w:shd w:val="clear" w:color="auto" w:fill="auto"/>
            <w:vAlign w:val="center"/>
            <w:hideMark/>
          </w:tcPr>
          <w:p w14:paraId="1CE7F21A" w14:textId="77777777" w:rsidR="009D43C3" w:rsidRPr="000C156A" w:rsidRDefault="009D43C3" w:rsidP="005D02F0">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549</w:t>
            </w:r>
          </w:p>
        </w:tc>
        <w:tc>
          <w:tcPr>
            <w:tcW w:w="1559" w:type="dxa"/>
            <w:tcBorders>
              <w:top w:val="nil"/>
              <w:left w:val="nil"/>
              <w:bottom w:val="nil"/>
              <w:right w:val="single" w:sz="8" w:space="0" w:color="auto"/>
            </w:tcBorders>
            <w:shd w:val="clear" w:color="auto" w:fill="auto"/>
            <w:noWrap/>
            <w:vAlign w:val="center"/>
            <w:hideMark/>
          </w:tcPr>
          <w:p w14:paraId="093FA385"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0</w:t>
            </w:r>
          </w:p>
        </w:tc>
        <w:tc>
          <w:tcPr>
            <w:tcW w:w="1276" w:type="dxa"/>
            <w:tcBorders>
              <w:top w:val="nil"/>
              <w:left w:val="nil"/>
              <w:bottom w:val="nil"/>
              <w:right w:val="single" w:sz="8" w:space="0" w:color="auto"/>
            </w:tcBorders>
            <w:shd w:val="clear" w:color="auto" w:fill="auto"/>
            <w:noWrap/>
            <w:vAlign w:val="center"/>
            <w:hideMark/>
          </w:tcPr>
          <w:p w14:paraId="6970D126" w14:textId="329BE64A"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w:t>
            </w:r>
            <w:r w:rsidR="00CF258E" w:rsidRPr="000C156A">
              <w:rPr>
                <w:rFonts w:cs="Calibri"/>
                <w:color w:val="000000"/>
                <w:sz w:val="22"/>
                <w:szCs w:val="22"/>
                <w:lang w:eastAsia="en-GB"/>
              </w:rPr>
              <w:t xml:space="preserve"> </w:t>
            </w:r>
            <w:r w:rsidRPr="000C156A">
              <w:rPr>
                <w:rFonts w:cs="Calibri"/>
                <w:color w:val="000000"/>
                <w:sz w:val="22"/>
                <w:szCs w:val="22"/>
                <w:lang w:eastAsia="en-GB"/>
              </w:rPr>
              <w:t>465</w:t>
            </w:r>
          </w:p>
        </w:tc>
        <w:tc>
          <w:tcPr>
            <w:tcW w:w="1845" w:type="dxa"/>
            <w:tcBorders>
              <w:top w:val="nil"/>
              <w:left w:val="nil"/>
              <w:bottom w:val="nil"/>
              <w:right w:val="single" w:sz="8" w:space="0" w:color="auto"/>
            </w:tcBorders>
            <w:shd w:val="clear" w:color="auto" w:fill="auto"/>
            <w:vAlign w:val="center"/>
            <w:hideMark/>
          </w:tcPr>
          <w:p w14:paraId="2814829C"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-916</w:t>
            </w:r>
          </w:p>
        </w:tc>
      </w:tr>
      <w:tr w:rsidR="009D43C3" w:rsidRPr="000C156A" w14:paraId="25108ED0" w14:textId="77777777" w:rsidTr="005D02F0">
        <w:trPr>
          <w:trHeight w:val="255"/>
        </w:trPr>
        <w:tc>
          <w:tcPr>
            <w:tcW w:w="2977" w:type="dxa"/>
            <w:tcBorders>
              <w:top w:val="nil"/>
              <w:left w:val="single" w:sz="8" w:space="0" w:color="auto"/>
              <w:bottom w:val="nil"/>
              <w:right w:val="single" w:sz="8" w:space="0" w:color="auto"/>
            </w:tcBorders>
            <w:shd w:val="clear" w:color="auto" w:fill="auto"/>
            <w:hideMark/>
          </w:tcPr>
          <w:p w14:paraId="71A91AE1" w14:textId="77777777" w:rsidR="009D43C3" w:rsidRPr="000C156A" w:rsidRDefault="009D43C3" w:rsidP="005D02F0">
            <w:pPr>
              <w:pStyle w:val="Tabletext"/>
              <w:rPr>
                <w:rFonts w:cs="Calibri"/>
                <w:b/>
                <w:szCs w:val="22"/>
                <w:lang w:val="en-US" w:eastAsia="zh-CN"/>
              </w:rPr>
            </w:pPr>
            <w:r w:rsidRPr="000C156A">
              <w:rPr>
                <w:rFonts w:cs="Calibri" w:hint="eastAsia"/>
                <w:b/>
                <w:szCs w:val="22"/>
                <w:lang w:val="en-US" w:eastAsia="zh-CN"/>
              </w:rPr>
              <w:t>预算外活动相关基金</w:t>
            </w:r>
          </w:p>
        </w:tc>
        <w:tc>
          <w:tcPr>
            <w:tcW w:w="1843" w:type="dxa"/>
            <w:tcBorders>
              <w:top w:val="nil"/>
              <w:left w:val="nil"/>
              <w:bottom w:val="nil"/>
              <w:right w:val="single" w:sz="8" w:space="0" w:color="auto"/>
            </w:tcBorders>
            <w:shd w:val="clear" w:color="auto" w:fill="auto"/>
            <w:vAlign w:val="center"/>
            <w:hideMark/>
          </w:tcPr>
          <w:p w14:paraId="7F7929CA" w14:textId="4ADF38CF" w:rsidR="009D43C3" w:rsidRPr="000C156A" w:rsidRDefault="009D43C3" w:rsidP="005D02F0">
            <w:pPr>
              <w:overflowPunct/>
              <w:autoSpaceDE/>
              <w:autoSpaceDN/>
              <w:adjustRightInd/>
              <w:spacing w:before="0"/>
              <w:jc w:val="right"/>
              <w:textAlignment w:val="auto"/>
              <w:rPr>
                <w:rFonts w:cs="Calibri"/>
                <w:b/>
                <w:bCs/>
                <w:sz w:val="22"/>
                <w:szCs w:val="22"/>
                <w:lang w:eastAsia="en-GB"/>
              </w:rPr>
            </w:pPr>
            <w:r w:rsidRPr="000C156A">
              <w:rPr>
                <w:rFonts w:cs="Calibri"/>
                <w:b/>
                <w:bCs/>
                <w:sz w:val="22"/>
                <w:szCs w:val="22"/>
                <w:lang w:eastAsia="en-GB"/>
              </w:rPr>
              <w:t>13</w:t>
            </w:r>
            <w:r w:rsidR="00CF258E" w:rsidRPr="000C156A">
              <w:rPr>
                <w:rFonts w:cs="Calibri"/>
                <w:b/>
                <w:bCs/>
                <w:sz w:val="22"/>
                <w:szCs w:val="22"/>
                <w:lang w:eastAsia="en-GB"/>
              </w:rPr>
              <w:t xml:space="preserve"> </w:t>
            </w:r>
            <w:r w:rsidRPr="000C156A">
              <w:rPr>
                <w:rFonts w:cs="Calibri"/>
                <w:b/>
                <w:bCs/>
                <w:sz w:val="22"/>
                <w:szCs w:val="22"/>
                <w:lang w:eastAsia="en-GB"/>
              </w:rPr>
              <w:t>181</w:t>
            </w:r>
          </w:p>
        </w:tc>
        <w:tc>
          <w:tcPr>
            <w:tcW w:w="1559" w:type="dxa"/>
            <w:tcBorders>
              <w:top w:val="nil"/>
              <w:left w:val="nil"/>
              <w:bottom w:val="nil"/>
              <w:right w:val="single" w:sz="8" w:space="0" w:color="auto"/>
            </w:tcBorders>
            <w:shd w:val="clear" w:color="auto" w:fill="auto"/>
            <w:vAlign w:val="center"/>
            <w:hideMark/>
          </w:tcPr>
          <w:p w14:paraId="6645148E" w14:textId="6B541546"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w:t>
            </w:r>
            <w:r w:rsidR="00CF258E" w:rsidRPr="000C156A">
              <w:rPr>
                <w:rFonts w:cs="Calibri"/>
                <w:b/>
                <w:bCs/>
                <w:color w:val="000000"/>
                <w:sz w:val="22"/>
                <w:szCs w:val="22"/>
                <w:lang w:eastAsia="en-GB"/>
              </w:rPr>
              <w:t xml:space="preserve"> </w:t>
            </w:r>
            <w:r w:rsidRPr="000C156A">
              <w:rPr>
                <w:rFonts w:cs="Calibri"/>
                <w:b/>
                <w:bCs/>
                <w:color w:val="000000"/>
                <w:sz w:val="22"/>
                <w:szCs w:val="22"/>
                <w:lang w:eastAsia="en-GB"/>
              </w:rPr>
              <w:t>905</w:t>
            </w:r>
          </w:p>
        </w:tc>
        <w:tc>
          <w:tcPr>
            <w:tcW w:w="1276" w:type="dxa"/>
            <w:tcBorders>
              <w:top w:val="nil"/>
              <w:left w:val="nil"/>
              <w:bottom w:val="nil"/>
              <w:right w:val="single" w:sz="8" w:space="0" w:color="auto"/>
            </w:tcBorders>
            <w:shd w:val="clear" w:color="auto" w:fill="auto"/>
            <w:vAlign w:val="center"/>
            <w:hideMark/>
          </w:tcPr>
          <w:p w14:paraId="03327444" w14:textId="77777777"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-893</w:t>
            </w:r>
          </w:p>
        </w:tc>
        <w:tc>
          <w:tcPr>
            <w:tcW w:w="1845" w:type="dxa"/>
            <w:tcBorders>
              <w:top w:val="nil"/>
              <w:left w:val="nil"/>
              <w:bottom w:val="nil"/>
              <w:right w:val="single" w:sz="8" w:space="0" w:color="auto"/>
            </w:tcBorders>
            <w:shd w:val="clear" w:color="auto" w:fill="auto"/>
            <w:vAlign w:val="center"/>
            <w:hideMark/>
          </w:tcPr>
          <w:p w14:paraId="41A2FEAA" w14:textId="4C9CD499"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10</w:t>
            </w:r>
            <w:r w:rsidR="00CF258E" w:rsidRPr="000C156A">
              <w:rPr>
                <w:rFonts w:cs="Calibri"/>
                <w:b/>
                <w:bCs/>
                <w:color w:val="000000"/>
                <w:sz w:val="22"/>
                <w:szCs w:val="22"/>
                <w:lang w:eastAsia="en-GB"/>
              </w:rPr>
              <w:t xml:space="preserve"> </w:t>
            </w:r>
            <w:r w:rsidRPr="000C156A">
              <w:rPr>
                <w:rFonts w:cs="Calibri"/>
                <w:b/>
                <w:bCs/>
                <w:color w:val="000000"/>
                <w:sz w:val="22"/>
                <w:szCs w:val="22"/>
                <w:lang w:eastAsia="en-GB"/>
              </w:rPr>
              <w:t>383</w:t>
            </w:r>
          </w:p>
        </w:tc>
      </w:tr>
      <w:tr w:rsidR="009D43C3" w:rsidRPr="000C156A" w14:paraId="16B17E3A" w14:textId="77777777" w:rsidTr="005D02F0">
        <w:trPr>
          <w:trHeight w:val="255"/>
        </w:trPr>
        <w:tc>
          <w:tcPr>
            <w:tcW w:w="2977" w:type="dxa"/>
            <w:tcBorders>
              <w:top w:val="nil"/>
              <w:left w:val="single" w:sz="8" w:space="0" w:color="auto"/>
              <w:bottom w:val="nil"/>
              <w:right w:val="single" w:sz="8" w:space="0" w:color="auto"/>
            </w:tcBorders>
            <w:shd w:val="clear" w:color="auto" w:fill="auto"/>
            <w:hideMark/>
          </w:tcPr>
          <w:p w14:paraId="07437DE2" w14:textId="77777777" w:rsidR="009D43C3" w:rsidRPr="000C156A" w:rsidRDefault="009D43C3" w:rsidP="005D02F0">
            <w:pPr>
              <w:pStyle w:val="Tabletext"/>
              <w:rPr>
                <w:rFonts w:cs="Calibri"/>
                <w:bCs/>
                <w:szCs w:val="22"/>
                <w:lang w:val="en-US" w:eastAsia="zh-CN"/>
              </w:rPr>
            </w:pPr>
            <w:r w:rsidRPr="000C156A">
              <w:rPr>
                <w:rFonts w:cs="Calibri" w:hint="eastAsia"/>
                <w:bCs/>
                <w:szCs w:val="22"/>
                <w:lang w:val="en-US" w:eastAsia="zh-CN"/>
              </w:rPr>
              <w:t>电信展览部（</w:t>
            </w:r>
            <w:r w:rsidRPr="000C156A">
              <w:rPr>
                <w:rFonts w:cs="Calibri"/>
                <w:bCs/>
                <w:szCs w:val="22"/>
                <w:lang w:val="en-US" w:eastAsia="zh-CN"/>
              </w:rPr>
              <w:t>TLC</w:t>
            </w:r>
            <w:r w:rsidRPr="000C156A">
              <w:rPr>
                <w:rFonts w:cs="Calibri"/>
                <w:bCs/>
                <w:szCs w:val="22"/>
                <w:lang w:val="en-US" w:eastAsia="zh-CN"/>
              </w:rPr>
              <w:t>）</w:t>
            </w:r>
          </w:p>
        </w:tc>
        <w:tc>
          <w:tcPr>
            <w:tcW w:w="1843" w:type="dxa"/>
            <w:tcBorders>
              <w:top w:val="nil"/>
              <w:left w:val="nil"/>
              <w:bottom w:val="nil"/>
              <w:right w:val="single" w:sz="8" w:space="0" w:color="auto"/>
            </w:tcBorders>
            <w:shd w:val="clear" w:color="auto" w:fill="auto"/>
            <w:vAlign w:val="center"/>
            <w:hideMark/>
          </w:tcPr>
          <w:p w14:paraId="4341030B" w14:textId="7AA57A7E" w:rsidR="009D43C3" w:rsidRPr="000C156A" w:rsidRDefault="009D43C3" w:rsidP="005D02F0">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8</w:t>
            </w:r>
            <w:r w:rsidR="00CF258E" w:rsidRPr="000C156A">
              <w:rPr>
                <w:rFonts w:cs="Calibri"/>
                <w:sz w:val="22"/>
                <w:szCs w:val="22"/>
                <w:lang w:eastAsia="en-GB"/>
              </w:rPr>
              <w:t xml:space="preserve"> </w:t>
            </w:r>
            <w:r w:rsidRPr="000C156A">
              <w:rPr>
                <w:rFonts w:cs="Calibri"/>
                <w:sz w:val="22"/>
                <w:szCs w:val="22"/>
                <w:lang w:eastAsia="en-GB"/>
              </w:rPr>
              <w:t>563</w:t>
            </w:r>
          </w:p>
        </w:tc>
        <w:tc>
          <w:tcPr>
            <w:tcW w:w="1559" w:type="dxa"/>
            <w:tcBorders>
              <w:top w:val="nil"/>
              <w:left w:val="nil"/>
              <w:bottom w:val="nil"/>
              <w:right w:val="single" w:sz="8" w:space="0" w:color="auto"/>
            </w:tcBorders>
            <w:shd w:val="clear" w:color="auto" w:fill="auto"/>
            <w:vAlign w:val="center"/>
            <w:hideMark/>
          </w:tcPr>
          <w:p w14:paraId="301EA2D3" w14:textId="1F9C0871"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w:t>
            </w:r>
            <w:r w:rsidR="00CF258E" w:rsidRPr="000C156A">
              <w:rPr>
                <w:rFonts w:cs="Calibri"/>
                <w:color w:val="000000"/>
                <w:sz w:val="22"/>
                <w:szCs w:val="22"/>
                <w:lang w:eastAsia="en-GB"/>
              </w:rPr>
              <w:t xml:space="preserve"> </w:t>
            </w:r>
            <w:r w:rsidRPr="000C156A">
              <w:rPr>
                <w:rFonts w:cs="Calibri"/>
                <w:color w:val="000000"/>
                <w:sz w:val="22"/>
                <w:szCs w:val="22"/>
                <w:lang w:eastAsia="en-GB"/>
              </w:rPr>
              <w:t>905</w:t>
            </w:r>
          </w:p>
        </w:tc>
        <w:tc>
          <w:tcPr>
            <w:tcW w:w="1276" w:type="dxa"/>
            <w:tcBorders>
              <w:top w:val="nil"/>
              <w:left w:val="nil"/>
              <w:bottom w:val="nil"/>
              <w:right w:val="single" w:sz="8" w:space="0" w:color="auto"/>
            </w:tcBorders>
            <w:shd w:val="clear" w:color="auto" w:fill="auto"/>
            <w:vAlign w:val="center"/>
            <w:hideMark/>
          </w:tcPr>
          <w:p w14:paraId="22594CB9"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-42</w:t>
            </w:r>
          </w:p>
        </w:tc>
        <w:tc>
          <w:tcPr>
            <w:tcW w:w="1845" w:type="dxa"/>
            <w:tcBorders>
              <w:top w:val="nil"/>
              <w:left w:val="nil"/>
              <w:bottom w:val="nil"/>
              <w:right w:val="single" w:sz="8" w:space="0" w:color="auto"/>
            </w:tcBorders>
            <w:shd w:val="clear" w:color="auto" w:fill="auto"/>
            <w:vAlign w:val="center"/>
            <w:hideMark/>
          </w:tcPr>
          <w:p w14:paraId="56E12767" w14:textId="5E7BAE3C"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6</w:t>
            </w:r>
            <w:r w:rsidR="00CF258E" w:rsidRPr="000C156A">
              <w:rPr>
                <w:rFonts w:cs="Calibri"/>
                <w:color w:val="000000"/>
                <w:sz w:val="22"/>
                <w:szCs w:val="22"/>
                <w:lang w:eastAsia="en-GB"/>
              </w:rPr>
              <w:t xml:space="preserve"> </w:t>
            </w:r>
            <w:r w:rsidRPr="000C156A">
              <w:rPr>
                <w:rFonts w:cs="Calibri"/>
                <w:color w:val="000000"/>
                <w:sz w:val="22"/>
                <w:szCs w:val="22"/>
                <w:lang w:eastAsia="en-GB"/>
              </w:rPr>
              <w:t>616</w:t>
            </w:r>
          </w:p>
        </w:tc>
      </w:tr>
      <w:tr w:rsidR="009D43C3" w:rsidRPr="000C156A" w14:paraId="6FF5411F" w14:textId="77777777" w:rsidTr="005D02F0">
        <w:trPr>
          <w:trHeight w:val="255"/>
        </w:trPr>
        <w:tc>
          <w:tcPr>
            <w:tcW w:w="2977" w:type="dxa"/>
            <w:tcBorders>
              <w:top w:val="nil"/>
              <w:left w:val="single" w:sz="8" w:space="0" w:color="auto"/>
              <w:bottom w:val="nil"/>
              <w:right w:val="single" w:sz="8" w:space="0" w:color="auto"/>
            </w:tcBorders>
            <w:shd w:val="clear" w:color="auto" w:fill="auto"/>
            <w:hideMark/>
          </w:tcPr>
          <w:p w14:paraId="32442873" w14:textId="77777777" w:rsidR="009D43C3" w:rsidRPr="000C156A" w:rsidRDefault="009D43C3" w:rsidP="005D02F0">
            <w:pPr>
              <w:pStyle w:val="Tabletext"/>
              <w:rPr>
                <w:rFonts w:cs="Calibri"/>
                <w:bCs/>
                <w:szCs w:val="22"/>
                <w:lang w:val="en-US" w:eastAsia="zh-CN"/>
              </w:rPr>
            </w:pPr>
            <w:r w:rsidRPr="000C156A">
              <w:rPr>
                <w:rFonts w:cs="Calibri" w:hint="eastAsia"/>
                <w:bCs/>
                <w:szCs w:val="22"/>
                <w:lang w:val="en-US" w:eastAsia="zh-CN"/>
              </w:rPr>
              <w:t>其他</w:t>
            </w:r>
          </w:p>
        </w:tc>
        <w:tc>
          <w:tcPr>
            <w:tcW w:w="1843" w:type="dxa"/>
            <w:tcBorders>
              <w:top w:val="nil"/>
              <w:left w:val="nil"/>
              <w:bottom w:val="nil"/>
              <w:right w:val="single" w:sz="8" w:space="0" w:color="auto"/>
            </w:tcBorders>
            <w:shd w:val="clear" w:color="auto" w:fill="auto"/>
            <w:vAlign w:val="center"/>
            <w:hideMark/>
          </w:tcPr>
          <w:p w14:paraId="7BD09226" w14:textId="767E3E35" w:rsidR="009D43C3" w:rsidRPr="000C156A" w:rsidRDefault="009D43C3" w:rsidP="005D02F0">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4</w:t>
            </w:r>
            <w:r w:rsidR="00CF258E" w:rsidRPr="000C156A">
              <w:rPr>
                <w:rFonts w:cs="Calibri"/>
                <w:sz w:val="22"/>
                <w:szCs w:val="22"/>
                <w:lang w:eastAsia="en-GB"/>
              </w:rPr>
              <w:t xml:space="preserve"> </w:t>
            </w:r>
            <w:r w:rsidRPr="000C156A">
              <w:rPr>
                <w:rFonts w:cs="Calibri"/>
                <w:sz w:val="22"/>
                <w:szCs w:val="22"/>
                <w:lang w:eastAsia="en-GB"/>
              </w:rPr>
              <w:t>618</w:t>
            </w:r>
          </w:p>
        </w:tc>
        <w:tc>
          <w:tcPr>
            <w:tcW w:w="1559" w:type="dxa"/>
            <w:tcBorders>
              <w:top w:val="nil"/>
              <w:left w:val="nil"/>
              <w:bottom w:val="nil"/>
              <w:right w:val="single" w:sz="8" w:space="0" w:color="auto"/>
            </w:tcBorders>
            <w:shd w:val="clear" w:color="auto" w:fill="auto"/>
            <w:vAlign w:val="center"/>
            <w:hideMark/>
          </w:tcPr>
          <w:p w14:paraId="0B83BBDC"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p>
        </w:tc>
        <w:tc>
          <w:tcPr>
            <w:tcW w:w="1276" w:type="dxa"/>
            <w:tcBorders>
              <w:top w:val="nil"/>
              <w:left w:val="nil"/>
              <w:bottom w:val="nil"/>
              <w:right w:val="single" w:sz="8" w:space="0" w:color="auto"/>
            </w:tcBorders>
            <w:shd w:val="clear" w:color="auto" w:fill="auto"/>
            <w:vAlign w:val="center"/>
            <w:hideMark/>
          </w:tcPr>
          <w:p w14:paraId="57CAAABB" w14:textId="77777777"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-851</w:t>
            </w:r>
          </w:p>
        </w:tc>
        <w:tc>
          <w:tcPr>
            <w:tcW w:w="1845" w:type="dxa"/>
            <w:tcBorders>
              <w:top w:val="nil"/>
              <w:left w:val="nil"/>
              <w:bottom w:val="nil"/>
              <w:right w:val="single" w:sz="8" w:space="0" w:color="auto"/>
            </w:tcBorders>
            <w:shd w:val="clear" w:color="auto" w:fill="auto"/>
            <w:vAlign w:val="center"/>
            <w:hideMark/>
          </w:tcPr>
          <w:p w14:paraId="1504B089" w14:textId="02B8A7F0"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w:t>
            </w:r>
            <w:r w:rsidR="00CF258E" w:rsidRPr="000C156A">
              <w:rPr>
                <w:rFonts w:cs="Calibri"/>
                <w:color w:val="000000"/>
                <w:sz w:val="22"/>
                <w:szCs w:val="22"/>
                <w:lang w:eastAsia="en-GB"/>
              </w:rPr>
              <w:t xml:space="preserve"> </w:t>
            </w:r>
            <w:r w:rsidRPr="000C156A">
              <w:rPr>
                <w:rFonts w:cs="Calibri"/>
                <w:color w:val="000000"/>
                <w:sz w:val="22"/>
                <w:szCs w:val="22"/>
                <w:lang w:eastAsia="en-GB"/>
              </w:rPr>
              <w:t>767</w:t>
            </w:r>
          </w:p>
        </w:tc>
      </w:tr>
      <w:tr w:rsidR="009D43C3" w:rsidRPr="000C156A" w14:paraId="6A922D1B" w14:textId="77777777" w:rsidTr="005D02F0">
        <w:trPr>
          <w:trHeight w:val="255"/>
        </w:trPr>
        <w:tc>
          <w:tcPr>
            <w:tcW w:w="2977" w:type="dxa"/>
            <w:tcBorders>
              <w:top w:val="nil"/>
              <w:left w:val="single" w:sz="8" w:space="0" w:color="auto"/>
              <w:bottom w:val="nil"/>
              <w:right w:val="single" w:sz="8" w:space="0" w:color="auto"/>
            </w:tcBorders>
            <w:shd w:val="clear" w:color="auto" w:fill="auto"/>
            <w:hideMark/>
          </w:tcPr>
          <w:p w14:paraId="2ED03BCC" w14:textId="77777777" w:rsidR="009D43C3" w:rsidRPr="000C156A" w:rsidRDefault="009D43C3" w:rsidP="005D02F0">
            <w:pPr>
              <w:pStyle w:val="Tabletext"/>
              <w:rPr>
                <w:rFonts w:cs="Calibri"/>
                <w:bCs/>
                <w:szCs w:val="22"/>
                <w:lang w:val="en-US" w:eastAsia="zh-CN"/>
              </w:rPr>
            </w:pPr>
            <w:r w:rsidRPr="000C156A">
              <w:rPr>
                <w:rFonts w:cs="Calibri"/>
                <w:b/>
                <w:szCs w:val="22"/>
                <w:lang w:val="en-US"/>
              </w:rPr>
              <w:t>ASHI</w:t>
            </w:r>
            <w:r w:rsidRPr="000C156A">
              <w:rPr>
                <w:rFonts w:cs="Calibri" w:hint="eastAsia"/>
                <w:b/>
                <w:szCs w:val="22"/>
                <w:lang w:val="en-US" w:eastAsia="zh-CN"/>
              </w:rPr>
              <w:t>精算亏损</w:t>
            </w:r>
          </w:p>
        </w:tc>
        <w:tc>
          <w:tcPr>
            <w:tcW w:w="1843" w:type="dxa"/>
            <w:tcBorders>
              <w:top w:val="nil"/>
              <w:left w:val="nil"/>
              <w:bottom w:val="nil"/>
              <w:right w:val="single" w:sz="8" w:space="0" w:color="auto"/>
            </w:tcBorders>
            <w:shd w:val="clear" w:color="auto" w:fill="auto"/>
            <w:vAlign w:val="center"/>
            <w:hideMark/>
          </w:tcPr>
          <w:p w14:paraId="0592CC91" w14:textId="089FF943" w:rsidR="009D43C3" w:rsidRPr="000C156A" w:rsidRDefault="009D43C3" w:rsidP="005D02F0">
            <w:pPr>
              <w:overflowPunct/>
              <w:autoSpaceDE/>
              <w:autoSpaceDN/>
              <w:adjustRightInd/>
              <w:spacing w:before="0"/>
              <w:jc w:val="right"/>
              <w:textAlignment w:val="auto"/>
              <w:rPr>
                <w:rFonts w:cs="Calibri"/>
                <w:b/>
                <w:bCs/>
                <w:sz w:val="22"/>
                <w:szCs w:val="22"/>
                <w:lang w:eastAsia="en-GB"/>
              </w:rPr>
            </w:pPr>
            <w:r w:rsidRPr="000C156A">
              <w:rPr>
                <w:rFonts w:cs="Calibri"/>
                <w:b/>
                <w:bCs/>
                <w:sz w:val="22"/>
                <w:szCs w:val="22"/>
                <w:lang w:eastAsia="en-GB"/>
              </w:rPr>
              <w:t>-278</w:t>
            </w:r>
            <w:r w:rsidR="00CF258E" w:rsidRPr="000C156A">
              <w:rPr>
                <w:rFonts w:cs="Calibri"/>
                <w:b/>
                <w:bCs/>
                <w:sz w:val="22"/>
                <w:szCs w:val="22"/>
                <w:lang w:eastAsia="en-GB"/>
              </w:rPr>
              <w:t xml:space="preserve"> </w:t>
            </w:r>
            <w:r w:rsidRPr="000C156A">
              <w:rPr>
                <w:rFonts w:cs="Calibri"/>
                <w:b/>
                <w:bCs/>
                <w:sz w:val="22"/>
                <w:szCs w:val="22"/>
                <w:lang w:eastAsia="en-GB"/>
              </w:rPr>
              <w:t>315</w:t>
            </w:r>
          </w:p>
        </w:tc>
        <w:tc>
          <w:tcPr>
            <w:tcW w:w="1559" w:type="dxa"/>
            <w:tcBorders>
              <w:top w:val="nil"/>
              <w:left w:val="nil"/>
              <w:bottom w:val="nil"/>
              <w:right w:val="single" w:sz="8" w:space="0" w:color="auto"/>
            </w:tcBorders>
            <w:shd w:val="clear" w:color="auto" w:fill="auto"/>
            <w:vAlign w:val="center"/>
            <w:hideMark/>
          </w:tcPr>
          <w:p w14:paraId="6BBE86C7" w14:textId="77777777"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p>
        </w:tc>
        <w:tc>
          <w:tcPr>
            <w:tcW w:w="1276" w:type="dxa"/>
            <w:tcBorders>
              <w:top w:val="nil"/>
              <w:left w:val="nil"/>
              <w:bottom w:val="nil"/>
              <w:right w:val="single" w:sz="8" w:space="0" w:color="auto"/>
            </w:tcBorders>
            <w:shd w:val="clear" w:color="auto" w:fill="auto"/>
            <w:vAlign w:val="center"/>
            <w:hideMark/>
          </w:tcPr>
          <w:p w14:paraId="074571AA" w14:textId="5D335C8B"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15</w:t>
            </w:r>
            <w:r w:rsidR="00CF258E" w:rsidRPr="000C156A">
              <w:rPr>
                <w:rFonts w:cs="Calibri"/>
                <w:b/>
                <w:bCs/>
                <w:color w:val="000000"/>
                <w:sz w:val="22"/>
                <w:szCs w:val="22"/>
                <w:lang w:eastAsia="en-GB"/>
              </w:rPr>
              <w:t xml:space="preserve"> </w:t>
            </w:r>
            <w:r w:rsidRPr="000C156A">
              <w:rPr>
                <w:rFonts w:cs="Calibri"/>
                <w:b/>
                <w:bCs/>
                <w:color w:val="000000"/>
                <w:sz w:val="22"/>
                <w:szCs w:val="22"/>
                <w:lang w:eastAsia="en-GB"/>
              </w:rPr>
              <w:t>214</w:t>
            </w:r>
          </w:p>
        </w:tc>
        <w:tc>
          <w:tcPr>
            <w:tcW w:w="1845" w:type="dxa"/>
            <w:tcBorders>
              <w:top w:val="nil"/>
              <w:left w:val="nil"/>
              <w:bottom w:val="nil"/>
              <w:right w:val="single" w:sz="8" w:space="0" w:color="auto"/>
            </w:tcBorders>
            <w:shd w:val="clear" w:color="auto" w:fill="auto"/>
            <w:vAlign w:val="center"/>
            <w:hideMark/>
          </w:tcPr>
          <w:p w14:paraId="0E26337E" w14:textId="0DD83B05"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-263</w:t>
            </w:r>
            <w:r w:rsidR="00CF258E" w:rsidRPr="000C156A">
              <w:rPr>
                <w:rFonts w:cs="Calibri"/>
                <w:b/>
                <w:bCs/>
                <w:color w:val="000000"/>
                <w:sz w:val="22"/>
                <w:szCs w:val="22"/>
                <w:lang w:eastAsia="en-GB"/>
              </w:rPr>
              <w:t xml:space="preserve"> </w:t>
            </w:r>
            <w:r w:rsidRPr="000C156A">
              <w:rPr>
                <w:rFonts w:cs="Calibri"/>
                <w:b/>
                <w:bCs/>
                <w:color w:val="000000"/>
                <w:sz w:val="22"/>
                <w:szCs w:val="22"/>
                <w:lang w:eastAsia="en-GB"/>
              </w:rPr>
              <w:t>101</w:t>
            </w:r>
          </w:p>
        </w:tc>
      </w:tr>
      <w:tr w:rsidR="009D43C3" w:rsidRPr="000C156A" w14:paraId="2588AD40" w14:textId="77777777" w:rsidTr="005D02F0">
        <w:trPr>
          <w:trHeight w:val="270"/>
        </w:trPr>
        <w:tc>
          <w:tcPr>
            <w:tcW w:w="2977" w:type="dxa"/>
            <w:tcBorders>
              <w:top w:val="nil"/>
              <w:left w:val="single" w:sz="8" w:space="0" w:color="auto"/>
              <w:bottom w:val="nil"/>
              <w:right w:val="single" w:sz="8" w:space="0" w:color="auto"/>
            </w:tcBorders>
            <w:shd w:val="clear" w:color="auto" w:fill="auto"/>
            <w:hideMark/>
          </w:tcPr>
          <w:p w14:paraId="04D957D4" w14:textId="77777777" w:rsidR="009D43C3" w:rsidRPr="000C156A" w:rsidRDefault="009D43C3" w:rsidP="005D02F0">
            <w:pPr>
              <w:pStyle w:val="Tabletext"/>
              <w:rPr>
                <w:rFonts w:cs="Calibri"/>
                <w:bCs/>
                <w:szCs w:val="22"/>
                <w:lang w:val="en-US" w:eastAsia="zh-CN"/>
              </w:rPr>
            </w:pPr>
            <w:r w:rsidRPr="000C156A">
              <w:rPr>
                <w:rFonts w:cs="Calibri"/>
                <w:b/>
                <w:bCs/>
                <w:szCs w:val="22"/>
                <w:lang w:val="en-US" w:eastAsia="zh-CN"/>
              </w:rPr>
              <w:t>IPSAS</w:t>
            </w:r>
            <w:r w:rsidRPr="000C156A">
              <w:rPr>
                <w:rFonts w:cs="Calibri" w:hint="eastAsia"/>
                <w:b/>
                <w:szCs w:val="22"/>
                <w:lang w:val="en-US" w:eastAsia="zh-CN"/>
              </w:rPr>
              <w:t>累计赤字（统计）</w:t>
            </w:r>
          </w:p>
        </w:tc>
        <w:tc>
          <w:tcPr>
            <w:tcW w:w="1843" w:type="dxa"/>
            <w:tcBorders>
              <w:top w:val="nil"/>
              <w:left w:val="nil"/>
              <w:bottom w:val="nil"/>
              <w:right w:val="single" w:sz="8" w:space="0" w:color="auto"/>
            </w:tcBorders>
            <w:shd w:val="clear" w:color="auto" w:fill="auto"/>
            <w:vAlign w:val="center"/>
            <w:hideMark/>
          </w:tcPr>
          <w:p w14:paraId="210B0C86" w14:textId="6C43A1DF"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-159</w:t>
            </w:r>
            <w:r w:rsidR="00CF258E" w:rsidRPr="000C156A">
              <w:rPr>
                <w:rFonts w:cs="Calibri"/>
                <w:b/>
                <w:bCs/>
                <w:color w:val="000000"/>
                <w:sz w:val="22"/>
                <w:szCs w:val="22"/>
                <w:lang w:eastAsia="en-GB"/>
              </w:rPr>
              <w:t xml:space="preserve"> </w:t>
            </w:r>
            <w:r w:rsidRPr="000C156A">
              <w:rPr>
                <w:rFonts w:cs="Calibri"/>
                <w:b/>
                <w:bCs/>
                <w:color w:val="000000"/>
                <w:sz w:val="22"/>
                <w:szCs w:val="22"/>
                <w:lang w:eastAsia="en-GB"/>
              </w:rPr>
              <w:t>551</w:t>
            </w:r>
          </w:p>
        </w:tc>
        <w:tc>
          <w:tcPr>
            <w:tcW w:w="1559" w:type="dxa"/>
            <w:tcBorders>
              <w:top w:val="nil"/>
              <w:left w:val="nil"/>
              <w:bottom w:val="nil"/>
              <w:right w:val="single" w:sz="8" w:space="0" w:color="auto"/>
            </w:tcBorders>
            <w:shd w:val="clear" w:color="auto" w:fill="auto"/>
            <w:vAlign w:val="center"/>
            <w:hideMark/>
          </w:tcPr>
          <w:p w14:paraId="3FEC4679" w14:textId="0FF1D44D" w:rsidR="009D43C3" w:rsidRPr="000C156A" w:rsidRDefault="009D43C3"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-50</w:t>
            </w:r>
            <w:r w:rsidR="00CF258E" w:rsidRPr="000C156A">
              <w:rPr>
                <w:rFonts w:cs="Calibri"/>
                <w:color w:val="000000"/>
                <w:sz w:val="22"/>
                <w:szCs w:val="22"/>
                <w:lang w:eastAsia="en-GB"/>
              </w:rPr>
              <w:t xml:space="preserve"> </w:t>
            </w:r>
            <w:r w:rsidRPr="000C156A">
              <w:rPr>
                <w:rFonts w:cs="Calibri"/>
                <w:color w:val="000000"/>
                <w:sz w:val="22"/>
                <w:szCs w:val="22"/>
                <w:lang w:eastAsia="en-GB"/>
              </w:rPr>
              <w:t>229</w:t>
            </w:r>
          </w:p>
        </w:tc>
        <w:tc>
          <w:tcPr>
            <w:tcW w:w="1276" w:type="dxa"/>
            <w:tcBorders>
              <w:top w:val="nil"/>
              <w:left w:val="nil"/>
              <w:bottom w:val="nil"/>
              <w:right w:val="single" w:sz="8" w:space="0" w:color="auto"/>
            </w:tcBorders>
            <w:shd w:val="clear" w:color="auto" w:fill="auto"/>
            <w:vAlign w:val="center"/>
            <w:hideMark/>
          </w:tcPr>
          <w:p w14:paraId="665868F8" w14:textId="77777777"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p>
        </w:tc>
        <w:tc>
          <w:tcPr>
            <w:tcW w:w="1845" w:type="dxa"/>
            <w:tcBorders>
              <w:top w:val="nil"/>
              <w:left w:val="nil"/>
              <w:bottom w:val="nil"/>
              <w:right w:val="single" w:sz="8" w:space="0" w:color="auto"/>
            </w:tcBorders>
            <w:shd w:val="clear" w:color="auto" w:fill="auto"/>
            <w:vAlign w:val="center"/>
            <w:hideMark/>
          </w:tcPr>
          <w:p w14:paraId="68BFEA34" w14:textId="3A67BDCD"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-209</w:t>
            </w:r>
            <w:r w:rsidR="00CF258E" w:rsidRPr="000C156A">
              <w:rPr>
                <w:rFonts w:cs="Calibri"/>
                <w:b/>
                <w:bCs/>
                <w:color w:val="000000"/>
                <w:sz w:val="22"/>
                <w:szCs w:val="22"/>
                <w:lang w:eastAsia="en-GB"/>
              </w:rPr>
              <w:t xml:space="preserve"> </w:t>
            </w:r>
            <w:r w:rsidRPr="000C156A">
              <w:rPr>
                <w:rFonts w:cs="Calibri"/>
                <w:b/>
                <w:bCs/>
                <w:color w:val="000000"/>
                <w:sz w:val="22"/>
                <w:szCs w:val="22"/>
                <w:lang w:eastAsia="en-GB"/>
              </w:rPr>
              <w:t>780</w:t>
            </w:r>
          </w:p>
        </w:tc>
      </w:tr>
      <w:tr w:rsidR="009D43C3" w:rsidRPr="000C156A" w14:paraId="54D78DF2" w14:textId="77777777" w:rsidTr="005D02F0">
        <w:trPr>
          <w:trHeight w:val="270"/>
        </w:trPr>
        <w:tc>
          <w:tcPr>
            <w:tcW w:w="2977" w:type="dxa"/>
            <w:tcBorders>
              <w:top w:val="single" w:sz="8" w:space="0" w:color="auto"/>
              <w:left w:val="single" w:sz="8" w:space="0" w:color="auto"/>
              <w:bottom w:val="single" w:sz="8" w:space="0" w:color="auto"/>
              <w:right w:val="single" w:sz="8" w:space="0" w:color="auto"/>
            </w:tcBorders>
            <w:shd w:val="clear" w:color="auto" w:fill="auto"/>
            <w:hideMark/>
          </w:tcPr>
          <w:p w14:paraId="076B3A5C" w14:textId="77777777" w:rsidR="009D43C3" w:rsidRPr="000C156A" w:rsidRDefault="009D43C3" w:rsidP="005D02F0">
            <w:pPr>
              <w:pStyle w:val="Tabletext"/>
              <w:jc w:val="right"/>
              <w:rPr>
                <w:rFonts w:cs="Calibri"/>
                <w:b/>
                <w:bCs/>
                <w:szCs w:val="22"/>
                <w:lang w:val="en-US" w:eastAsia="zh-CN"/>
              </w:rPr>
            </w:pPr>
            <w:r w:rsidRPr="000C156A">
              <w:rPr>
                <w:rFonts w:cs="Calibri" w:hint="eastAsia"/>
                <w:b/>
                <w:bCs/>
                <w:szCs w:val="22"/>
                <w:lang w:val="en-US" w:eastAsia="zh-CN"/>
              </w:rPr>
              <w:t>净资产总计</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37AA8130" w14:textId="022B5904"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-452</w:t>
            </w:r>
            <w:r w:rsidR="00CF258E" w:rsidRPr="000C156A">
              <w:rPr>
                <w:rFonts w:cs="Calibri"/>
                <w:b/>
                <w:bCs/>
                <w:color w:val="000000"/>
                <w:sz w:val="22"/>
                <w:szCs w:val="22"/>
                <w:lang w:eastAsia="en-GB"/>
              </w:rPr>
              <w:t xml:space="preserve"> </w:t>
            </w:r>
            <w:r w:rsidRPr="000C156A">
              <w:rPr>
                <w:rFonts w:cs="Calibri"/>
                <w:b/>
                <w:bCs/>
                <w:color w:val="000000"/>
                <w:sz w:val="22"/>
                <w:szCs w:val="22"/>
                <w:lang w:eastAsia="en-GB"/>
              </w:rPr>
              <w:t>646</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32AD6E5" w14:textId="0DC308CB"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-47</w:t>
            </w:r>
            <w:r w:rsidR="00CF258E" w:rsidRPr="000C156A">
              <w:rPr>
                <w:rFonts w:cs="Calibri"/>
                <w:b/>
                <w:bCs/>
                <w:color w:val="000000"/>
                <w:sz w:val="22"/>
                <w:szCs w:val="22"/>
                <w:lang w:eastAsia="en-GB"/>
              </w:rPr>
              <w:t xml:space="preserve"> </w:t>
            </w:r>
            <w:r w:rsidRPr="000C156A">
              <w:rPr>
                <w:rFonts w:cs="Calibri"/>
                <w:b/>
                <w:bCs/>
                <w:color w:val="000000"/>
                <w:sz w:val="22"/>
                <w:szCs w:val="22"/>
                <w:lang w:eastAsia="en-GB"/>
              </w:rPr>
              <w:t>259</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D82DB78" w14:textId="77777777"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-665</w:t>
            </w:r>
          </w:p>
        </w:tc>
        <w:tc>
          <w:tcPr>
            <w:tcW w:w="1845" w:type="dxa"/>
            <w:tcBorders>
              <w:top w:val="single" w:sz="8" w:space="0" w:color="auto"/>
              <w:left w:val="nil"/>
              <w:bottom w:val="single" w:sz="8" w:space="0" w:color="auto"/>
              <w:right w:val="single" w:sz="8" w:space="0" w:color="auto"/>
            </w:tcBorders>
            <w:shd w:val="clear" w:color="auto" w:fill="auto"/>
            <w:vAlign w:val="center"/>
            <w:hideMark/>
          </w:tcPr>
          <w:p w14:paraId="602A60FC" w14:textId="157D6C60" w:rsidR="009D43C3" w:rsidRPr="000C156A" w:rsidRDefault="009D43C3"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-500</w:t>
            </w:r>
            <w:r w:rsidR="00CF258E" w:rsidRPr="000C156A">
              <w:rPr>
                <w:rFonts w:cs="Calibri"/>
                <w:b/>
                <w:bCs/>
                <w:color w:val="000000"/>
                <w:sz w:val="22"/>
                <w:szCs w:val="22"/>
                <w:lang w:eastAsia="en-GB"/>
              </w:rPr>
              <w:t xml:space="preserve"> </w:t>
            </w:r>
            <w:r w:rsidRPr="000C156A">
              <w:rPr>
                <w:rFonts w:cs="Calibri"/>
                <w:b/>
                <w:bCs/>
                <w:color w:val="000000"/>
                <w:sz w:val="22"/>
                <w:szCs w:val="22"/>
                <w:lang w:eastAsia="en-GB"/>
              </w:rPr>
              <w:t>570</w:t>
            </w:r>
          </w:p>
        </w:tc>
      </w:tr>
    </w:tbl>
    <w:p w14:paraId="6C6D540E" w14:textId="77777777" w:rsidR="009D43C3" w:rsidRPr="000C156A" w:rsidRDefault="009D43C3" w:rsidP="009D43C3">
      <w:pPr>
        <w:rPr>
          <w:lang w:eastAsia="zh-CN"/>
        </w:rPr>
      </w:pPr>
    </w:p>
    <w:p w14:paraId="393E8071" w14:textId="77777777" w:rsidR="009D43C3" w:rsidRPr="000C156A" w:rsidRDefault="009D43C3" w:rsidP="009D43C3">
      <w:pPr>
        <w:rPr>
          <w:lang w:eastAsia="zh-CN"/>
        </w:rPr>
      </w:pPr>
      <w:r w:rsidRPr="000C156A">
        <w:br w:type="page"/>
      </w:r>
    </w:p>
    <w:p w14:paraId="2DD2437F" w14:textId="77777777" w:rsidR="009D43C3" w:rsidRPr="000C156A" w:rsidRDefault="009D43C3" w:rsidP="00CF258E">
      <w:pPr>
        <w:pStyle w:val="Heading1"/>
        <w:spacing w:after="240"/>
        <w:jc w:val="center"/>
        <w:rPr>
          <w:lang w:eastAsia="zh-CN"/>
        </w:rPr>
      </w:pPr>
      <w:bookmarkStart w:id="310" w:name="_Toc329165774"/>
      <w:bookmarkStart w:id="311" w:name="_Toc482894783"/>
      <w:bookmarkStart w:id="312" w:name="_Toc482892539"/>
      <w:bookmarkStart w:id="313" w:name="_Toc511116010"/>
      <w:bookmarkStart w:id="314" w:name="_Toc41905840"/>
      <w:bookmarkStart w:id="315" w:name="_Toc41906888"/>
      <w:bookmarkStart w:id="316" w:name="_Toc41907969"/>
      <w:bookmarkStart w:id="317" w:name="_Toc41908037"/>
      <w:bookmarkStart w:id="318" w:name="_Toc73519214"/>
      <w:bookmarkStart w:id="319" w:name="_Toc73636239"/>
      <w:r w:rsidRPr="000C156A">
        <w:rPr>
          <w:rFonts w:cs="Microsoft YaHei" w:hint="eastAsia"/>
          <w:lang w:val="fr-FR" w:eastAsia="zh-CN"/>
        </w:rPr>
        <w:lastRenderedPageBreak/>
        <w:t>四</w:t>
      </w:r>
      <w:r w:rsidRPr="000C156A">
        <w:rPr>
          <w:lang w:eastAsia="zh-CN"/>
        </w:rPr>
        <w:t xml:space="preserve"> – 2020</w:t>
      </w:r>
      <w:r w:rsidRPr="000C156A">
        <w:rPr>
          <w:rFonts w:cs="Microsoft YaHei" w:hint="eastAsia"/>
          <w:lang w:val="fr-FR" w:eastAsia="zh-CN"/>
        </w:rPr>
        <w:t>年</w:t>
      </w:r>
      <w:r w:rsidRPr="000C156A">
        <w:rPr>
          <w:lang w:eastAsia="zh-CN"/>
        </w:rPr>
        <w:t>12</w:t>
      </w:r>
      <w:r w:rsidRPr="000C156A">
        <w:rPr>
          <w:rFonts w:cs="Microsoft YaHei" w:hint="eastAsia"/>
          <w:lang w:val="fr-FR" w:eastAsia="zh-CN"/>
        </w:rPr>
        <w:t>月</w:t>
      </w:r>
      <w:r w:rsidRPr="000C156A">
        <w:rPr>
          <w:lang w:eastAsia="zh-CN"/>
        </w:rPr>
        <w:t>31</w:t>
      </w:r>
      <w:r w:rsidRPr="000C156A">
        <w:rPr>
          <w:rFonts w:cs="Microsoft YaHei" w:hint="eastAsia"/>
          <w:lang w:val="fr-FR" w:eastAsia="zh-CN"/>
        </w:rPr>
        <w:t>日结束的周期的现金流</w:t>
      </w:r>
      <w:bookmarkEnd w:id="310"/>
      <w:r w:rsidRPr="000C156A">
        <w:rPr>
          <w:rFonts w:cs="Microsoft YaHei" w:hint="eastAsia"/>
          <w:lang w:val="fr-FR" w:eastAsia="zh-CN"/>
        </w:rPr>
        <w:t>表</w:t>
      </w:r>
      <w:bookmarkEnd w:id="311"/>
      <w:bookmarkEnd w:id="312"/>
      <w:bookmarkEnd w:id="313"/>
      <w:bookmarkEnd w:id="314"/>
      <w:bookmarkEnd w:id="315"/>
      <w:bookmarkEnd w:id="316"/>
      <w:bookmarkEnd w:id="317"/>
      <w:bookmarkEnd w:id="318"/>
      <w:bookmarkEnd w:id="319"/>
    </w:p>
    <w:tbl>
      <w:tblPr>
        <w:tblW w:w="5000" w:type="pct"/>
        <w:tblLook w:val="04A0" w:firstRow="1" w:lastRow="0" w:firstColumn="1" w:lastColumn="0" w:noHBand="0" w:noVBand="1"/>
      </w:tblPr>
      <w:tblGrid>
        <w:gridCol w:w="5773"/>
        <w:gridCol w:w="1928"/>
        <w:gridCol w:w="1928"/>
      </w:tblGrid>
      <w:tr w:rsidR="009D43C3" w:rsidRPr="000C156A" w14:paraId="359BDA24" w14:textId="77777777" w:rsidTr="005D02F0">
        <w:trPr>
          <w:tblHeader/>
        </w:trPr>
        <w:tc>
          <w:tcPr>
            <w:tcW w:w="2998" w:type="pct"/>
            <w:tcBorders>
              <w:top w:val="single" w:sz="4" w:space="0" w:color="auto"/>
              <w:left w:val="single" w:sz="4" w:space="0" w:color="auto"/>
              <w:bottom w:val="single" w:sz="4" w:space="0" w:color="auto"/>
              <w:right w:val="nil"/>
            </w:tcBorders>
            <w:shd w:val="clear" w:color="auto" w:fill="auto"/>
            <w:noWrap/>
            <w:vAlign w:val="center"/>
            <w:hideMark/>
          </w:tcPr>
          <w:bookmarkEnd w:id="285"/>
          <w:p w14:paraId="76742DCF" w14:textId="77777777" w:rsidR="009D43C3" w:rsidRPr="000C156A" w:rsidRDefault="009D43C3" w:rsidP="005D02F0">
            <w:pPr>
              <w:pStyle w:val="Tabletext"/>
              <w:rPr>
                <w:rFonts w:cs="Calibri"/>
                <w:sz w:val="18"/>
                <w:szCs w:val="18"/>
                <w:lang w:val="en-US"/>
              </w:rPr>
            </w:pPr>
            <w:r w:rsidRPr="000C156A">
              <w:rPr>
                <w:rFonts w:cs="Calibri" w:hint="eastAsia"/>
                <w:sz w:val="18"/>
                <w:szCs w:val="18"/>
                <w:lang w:val="en-US"/>
              </w:rPr>
              <w:t>（单位：千瑞郎）</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E53C3" w14:textId="77777777" w:rsidR="009D43C3" w:rsidRPr="000C156A" w:rsidRDefault="009D43C3" w:rsidP="005D02F0">
            <w:pPr>
              <w:pStyle w:val="Tabletext"/>
              <w:jc w:val="right"/>
              <w:rPr>
                <w:rFonts w:cs="Calibri"/>
                <w:b/>
                <w:bCs/>
                <w:sz w:val="18"/>
                <w:szCs w:val="18"/>
                <w:lang w:val="en-US" w:eastAsia="zh-CN"/>
              </w:rPr>
            </w:pPr>
            <w:r w:rsidRPr="000C156A">
              <w:rPr>
                <w:rFonts w:cs="Calibri" w:hint="eastAsia"/>
                <w:b/>
                <w:bCs/>
                <w:sz w:val="18"/>
                <w:szCs w:val="18"/>
                <w:lang w:val="en-US" w:eastAsia="zh-CN"/>
              </w:rPr>
              <w:t>2020</w:t>
            </w:r>
            <w:r w:rsidRPr="000C156A">
              <w:rPr>
                <w:rFonts w:cs="Calibri" w:hint="eastAsia"/>
                <w:b/>
                <w:bCs/>
                <w:sz w:val="18"/>
                <w:szCs w:val="18"/>
                <w:lang w:val="en-US" w:eastAsia="zh-CN"/>
              </w:rPr>
              <w:t>年</w:t>
            </w:r>
            <w:r w:rsidRPr="000C156A">
              <w:rPr>
                <w:rFonts w:cs="Calibri" w:hint="eastAsia"/>
                <w:b/>
                <w:bCs/>
                <w:sz w:val="18"/>
                <w:szCs w:val="18"/>
                <w:lang w:val="en-US" w:eastAsia="zh-CN"/>
              </w:rPr>
              <w:t>12</w:t>
            </w:r>
            <w:r w:rsidRPr="000C156A">
              <w:rPr>
                <w:rFonts w:cs="Calibri" w:hint="eastAsia"/>
                <w:b/>
                <w:bCs/>
                <w:sz w:val="18"/>
                <w:szCs w:val="18"/>
                <w:lang w:val="en-US" w:eastAsia="zh-CN"/>
              </w:rPr>
              <w:t>月</w:t>
            </w:r>
            <w:r w:rsidRPr="000C156A">
              <w:rPr>
                <w:rFonts w:cs="Calibri" w:hint="eastAsia"/>
                <w:b/>
                <w:bCs/>
                <w:sz w:val="18"/>
                <w:szCs w:val="18"/>
                <w:lang w:val="en-US" w:eastAsia="zh-CN"/>
              </w:rPr>
              <w:t>31</w:t>
            </w:r>
            <w:r w:rsidRPr="000C156A">
              <w:rPr>
                <w:rFonts w:cs="Calibri" w:hint="eastAsia"/>
                <w:b/>
                <w:bCs/>
                <w:sz w:val="18"/>
                <w:szCs w:val="18"/>
                <w:lang w:val="en-US" w:eastAsia="zh-CN"/>
              </w:rPr>
              <w:t>日</w:t>
            </w:r>
          </w:p>
        </w:tc>
        <w:tc>
          <w:tcPr>
            <w:tcW w:w="1001" w:type="pct"/>
            <w:tcBorders>
              <w:top w:val="single" w:sz="4" w:space="0" w:color="auto"/>
              <w:left w:val="nil"/>
              <w:bottom w:val="single" w:sz="4" w:space="0" w:color="auto"/>
              <w:right w:val="single" w:sz="4" w:space="0" w:color="auto"/>
            </w:tcBorders>
            <w:shd w:val="clear" w:color="auto" w:fill="auto"/>
            <w:vAlign w:val="center"/>
            <w:hideMark/>
          </w:tcPr>
          <w:p w14:paraId="5AB03987" w14:textId="77777777" w:rsidR="009D43C3" w:rsidRPr="000C156A" w:rsidRDefault="009D43C3" w:rsidP="005D02F0">
            <w:pPr>
              <w:pStyle w:val="Tabletext"/>
              <w:jc w:val="right"/>
              <w:rPr>
                <w:rFonts w:cs="Calibri"/>
                <w:b/>
                <w:bCs/>
                <w:sz w:val="18"/>
                <w:szCs w:val="18"/>
                <w:lang w:val="en-US" w:eastAsia="zh-CN"/>
              </w:rPr>
            </w:pPr>
            <w:r w:rsidRPr="000C156A">
              <w:rPr>
                <w:rFonts w:cs="Calibri" w:hint="eastAsia"/>
                <w:b/>
                <w:bCs/>
                <w:sz w:val="18"/>
                <w:szCs w:val="18"/>
                <w:lang w:val="en-US" w:eastAsia="zh-CN"/>
              </w:rPr>
              <w:t>2019</w:t>
            </w:r>
            <w:r w:rsidRPr="000C156A">
              <w:rPr>
                <w:rFonts w:cs="Calibri" w:hint="eastAsia"/>
                <w:b/>
                <w:bCs/>
                <w:sz w:val="18"/>
                <w:szCs w:val="18"/>
                <w:lang w:val="en-US" w:eastAsia="zh-CN"/>
              </w:rPr>
              <w:t>年</w:t>
            </w:r>
            <w:r w:rsidRPr="000C156A">
              <w:rPr>
                <w:rFonts w:cs="Calibri" w:hint="eastAsia"/>
                <w:b/>
                <w:bCs/>
                <w:sz w:val="18"/>
                <w:szCs w:val="18"/>
                <w:lang w:val="en-US" w:eastAsia="zh-CN"/>
              </w:rPr>
              <w:t>12</w:t>
            </w:r>
            <w:r w:rsidRPr="000C156A">
              <w:rPr>
                <w:rFonts w:cs="Calibri" w:hint="eastAsia"/>
                <w:b/>
                <w:bCs/>
                <w:sz w:val="18"/>
                <w:szCs w:val="18"/>
                <w:lang w:val="en-US" w:eastAsia="zh-CN"/>
              </w:rPr>
              <w:t>月</w:t>
            </w:r>
            <w:r w:rsidRPr="000C156A">
              <w:rPr>
                <w:rFonts w:cs="Calibri" w:hint="eastAsia"/>
                <w:b/>
                <w:bCs/>
                <w:sz w:val="18"/>
                <w:szCs w:val="18"/>
                <w:lang w:val="en-US" w:eastAsia="zh-CN"/>
              </w:rPr>
              <w:t>31</w:t>
            </w:r>
            <w:r w:rsidRPr="000C156A">
              <w:rPr>
                <w:rFonts w:cs="Calibri" w:hint="eastAsia"/>
                <w:b/>
                <w:bCs/>
                <w:sz w:val="18"/>
                <w:szCs w:val="18"/>
                <w:lang w:val="en-US" w:eastAsia="zh-CN"/>
              </w:rPr>
              <w:t>日</w:t>
            </w:r>
          </w:p>
        </w:tc>
      </w:tr>
      <w:tr w:rsidR="009D43C3" w:rsidRPr="000C156A" w14:paraId="0E549D5B" w14:textId="77777777" w:rsidTr="005D02F0">
        <w:tc>
          <w:tcPr>
            <w:tcW w:w="2998" w:type="pct"/>
            <w:tcBorders>
              <w:top w:val="nil"/>
              <w:left w:val="single" w:sz="4" w:space="0" w:color="auto"/>
              <w:bottom w:val="nil"/>
              <w:right w:val="nil"/>
            </w:tcBorders>
            <w:shd w:val="clear" w:color="auto" w:fill="auto"/>
            <w:hideMark/>
          </w:tcPr>
          <w:p w14:paraId="370C78B6" w14:textId="77777777" w:rsidR="009D43C3" w:rsidRPr="000C156A" w:rsidRDefault="009D43C3" w:rsidP="005D02F0">
            <w:pPr>
              <w:overflowPunct/>
              <w:adjustRightInd/>
              <w:spacing w:before="0"/>
              <w:textAlignment w:val="auto"/>
              <w:rPr>
                <w:rFonts w:cs="Calibri"/>
                <w:b/>
                <w:bCs/>
                <w:color w:val="000000"/>
                <w:sz w:val="12"/>
                <w:szCs w:val="12"/>
                <w:lang w:val="en-US" w:eastAsia="zh-CN"/>
              </w:rPr>
            </w:pPr>
          </w:p>
        </w:tc>
        <w:tc>
          <w:tcPr>
            <w:tcW w:w="1001" w:type="pct"/>
            <w:tcBorders>
              <w:top w:val="nil"/>
              <w:left w:val="single" w:sz="4" w:space="0" w:color="auto"/>
              <w:bottom w:val="nil"/>
              <w:right w:val="single" w:sz="4" w:space="0" w:color="auto"/>
            </w:tcBorders>
            <w:shd w:val="clear" w:color="auto" w:fill="auto"/>
            <w:noWrap/>
            <w:vAlign w:val="bottom"/>
            <w:hideMark/>
          </w:tcPr>
          <w:p w14:paraId="747FAB97" w14:textId="77777777" w:rsidR="009D43C3" w:rsidRPr="000C156A" w:rsidRDefault="009D43C3" w:rsidP="005D02F0">
            <w:pPr>
              <w:overflowPunct/>
              <w:autoSpaceDE/>
              <w:autoSpaceDN/>
              <w:adjustRightInd/>
              <w:spacing w:before="0"/>
              <w:jc w:val="right"/>
              <w:textAlignment w:val="auto"/>
              <w:rPr>
                <w:color w:val="000000"/>
                <w:sz w:val="12"/>
                <w:szCs w:val="12"/>
                <w:lang w:val="en-US" w:eastAsia="zh-CN"/>
              </w:rPr>
            </w:pPr>
          </w:p>
        </w:tc>
        <w:tc>
          <w:tcPr>
            <w:tcW w:w="1001" w:type="pct"/>
            <w:tcBorders>
              <w:top w:val="nil"/>
              <w:left w:val="nil"/>
              <w:bottom w:val="nil"/>
              <w:right w:val="single" w:sz="4" w:space="0" w:color="auto"/>
            </w:tcBorders>
            <w:shd w:val="clear" w:color="auto" w:fill="auto"/>
            <w:noWrap/>
            <w:vAlign w:val="bottom"/>
            <w:hideMark/>
          </w:tcPr>
          <w:p w14:paraId="60E6B903" w14:textId="77777777" w:rsidR="009D43C3" w:rsidRPr="000C156A" w:rsidRDefault="009D43C3" w:rsidP="005D02F0">
            <w:pPr>
              <w:spacing w:before="0"/>
              <w:jc w:val="right"/>
              <w:rPr>
                <w:color w:val="000000"/>
                <w:sz w:val="12"/>
                <w:szCs w:val="12"/>
              </w:rPr>
            </w:pPr>
          </w:p>
        </w:tc>
      </w:tr>
      <w:tr w:rsidR="009D43C3" w:rsidRPr="000C156A" w14:paraId="524D0D0E" w14:textId="77777777" w:rsidTr="005D02F0">
        <w:tc>
          <w:tcPr>
            <w:tcW w:w="2998" w:type="pct"/>
            <w:tcBorders>
              <w:top w:val="nil"/>
              <w:left w:val="single" w:sz="4" w:space="0" w:color="auto"/>
              <w:bottom w:val="nil"/>
              <w:right w:val="nil"/>
            </w:tcBorders>
            <w:shd w:val="clear" w:color="auto" w:fill="auto"/>
            <w:hideMark/>
          </w:tcPr>
          <w:p w14:paraId="5F2569CC" w14:textId="77777777" w:rsidR="009D43C3" w:rsidRPr="000C156A" w:rsidRDefault="009D43C3" w:rsidP="005D02F0">
            <w:pPr>
              <w:pStyle w:val="Tabletext"/>
              <w:spacing w:before="0"/>
              <w:rPr>
                <w:rFonts w:cs="Calibri"/>
                <w:sz w:val="18"/>
                <w:szCs w:val="18"/>
                <w:lang w:val="en-US" w:eastAsia="zh-CN"/>
              </w:rPr>
            </w:pPr>
            <w:r w:rsidRPr="000C156A">
              <w:rPr>
                <w:rFonts w:cs="Calibri" w:hint="eastAsia"/>
                <w:sz w:val="18"/>
                <w:szCs w:val="18"/>
                <w:lang w:val="en-US" w:eastAsia="zh-CN"/>
              </w:rPr>
              <w:t>本期盈余（赤字）</w:t>
            </w:r>
          </w:p>
        </w:tc>
        <w:tc>
          <w:tcPr>
            <w:tcW w:w="1001" w:type="pct"/>
            <w:tcBorders>
              <w:top w:val="nil"/>
              <w:left w:val="single" w:sz="4" w:space="0" w:color="auto"/>
              <w:bottom w:val="nil"/>
              <w:right w:val="single" w:sz="4" w:space="0" w:color="auto"/>
            </w:tcBorders>
            <w:shd w:val="clear" w:color="auto" w:fill="auto"/>
            <w:noWrap/>
            <w:vAlign w:val="bottom"/>
            <w:hideMark/>
          </w:tcPr>
          <w:p w14:paraId="3958AAB9" w14:textId="50B9F94C" w:rsidR="009D43C3" w:rsidRPr="000C156A" w:rsidRDefault="009D43C3" w:rsidP="005D02F0">
            <w:pPr>
              <w:overflowPunct/>
              <w:autoSpaceDE/>
              <w:autoSpaceDN/>
              <w:adjustRightInd/>
              <w:spacing w:before="0"/>
              <w:jc w:val="right"/>
              <w:textAlignment w:val="auto"/>
              <w:rPr>
                <w:sz w:val="18"/>
                <w:szCs w:val="18"/>
                <w:lang w:val="en-US" w:eastAsia="zh-CN"/>
              </w:rPr>
            </w:pPr>
            <w:r w:rsidRPr="000C156A">
              <w:rPr>
                <w:sz w:val="18"/>
                <w:szCs w:val="18"/>
              </w:rPr>
              <w:t>-47</w:t>
            </w:r>
            <w:r w:rsidR="00CF258E" w:rsidRPr="000C156A">
              <w:rPr>
                <w:sz w:val="18"/>
                <w:szCs w:val="18"/>
              </w:rPr>
              <w:t xml:space="preserve"> </w:t>
            </w:r>
            <w:r w:rsidRPr="000C156A">
              <w:rPr>
                <w:sz w:val="18"/>
                <w:szCs w:val="18"/>
              </w:rPr>
              <w:t>259</w:t>
            </w:r>
          </w:p>
        </w:tc>
        <w:tc>
          <w:tcPr>
            <w:tcW w:w="1001" w:type="pct"/>
            <w:tcBorders>
              <w:top w:val="nil"/>
              <w:left w:val="nil"/>
              <w:bottom w:val="nil"/>
              <w:right w:val="single" w:sz="4" w:space="0" w:color="auto"/>
            </w:tcBorders>
            <w:shd w:val="clear" w:color="auto" w:fill="auto"/>
            <w:noWrap/>
            <w:vAlign w:val="bottom"/>
            <w:hideMark/>
          </w:tcPr>
          <w:p w14:paraId="199A5F77" w14:textId="06C90CA5" w:rsidR="009D43C3" w:rsidRPr="000C156A" w:rsidRDefault="009D43C3" w:rsidP="005D02F0">
            <w:pPr>
              <w:spacing w:before="0"/>
              <w:jc w:val="right"/>
              <w:rPr>
                <w:sz w:val="18"/>
                <w:szCs w:val="18"/>
              </w:rPr>
            </w:pPr>
            <w:r w:rsidRPr="000C156A">
              <w:rPr>
                <w:sz w:val="18"/>
                <w:szCs w:val="18"/>
              </w:rPr>
              <w:t>-57</w:t>
            </w:r>
            <w:r w:rsidR="00CF258E" w:rsidRPr="000C156A">
              <w:rPr>
                <w:sz w:val="18"/>
                <w:szCs w:val="18"/>
              </w:rPr>
              <w:t xml:space="preserve"> </w:t>
            </w:r>
            <w:r w:rsidRPr="000C156A">
              <w:rPr>
                <w:sz w:val="18"/>
                <w:szCs w:val="18"/>
              </w:rPr>
              <w:t>463</w:t>
            </w:r>
          </w:p>
        </w:tc>
      </w:tr>
      <w:tr w:rsidR="009D43C3" w:rsidRPr="000C156A" w14:paraId="1162B4FC" w14:textId="77777777" w:rsidTr="005D02F0">
        <w:tc>
          <w:tcPr>
            <w:tcW w:w="2998" w:type="pct"/>
            <w:tcBorders>
              <w:top w:val="nil"/>
              <w:left w:val="single" w:sz="4" w:space="0" w:color="auto"/>
              <w:bottom w:val="nil"/>
              <w:right w:val="nil"/>
            </w:tcBorders>
            <w:shd w:val="clear" w:color="auto" w:fill="auto"/>
            <w:hideMark/>
          </w:tcPr>
          <w:p w14:paraId="70FAAE18" w14:textId="77777777" w:rsidR="009D43C3" w:rsidRPr="000C156A" w:rsidRDefault="009D43C3" w:rsidP="005D02F0">
            <w:pPr>
              <w:pStyle w:val="Tabletext"/>
              <w:spacing w:before="0"/>
              <w:rPr>
                <w:rFonts w:cs="Calibri"/>
                <w:sz w:val="18"/>
                <w:szCs w:val="18"/>
                <w:lang w:val="en-US" w:eastAsia="zh-CN"/>
              </w:rPr>
            </w:pPr>
            <w:r w:rsidRPr="000C156A">
              <w:rPr>
                <w:rFonts w:cs="Calibri" w:hint="eastAsia"/>
                <w:b/>
                <w:bCs/>
                <w:sz w:val="18"/>
                <w:szCs w:val="18"/>
                <w:lang w:val="en-US" w:eastAsia="zh-CN"/>
              </w:rPr>
              <w:t>非货币动态</w:t>
            </w:r>
          </w:p>
        </w:tc>
        <w:tc>
          <w:tcPr>
            <w:tcW w:w="1001" w:type="pct"/>
            <w:tcBorders>
              <w:top w:val="nil"/>
              <w:left w:val="single" w:sz="4" w:space="0" w:color="auto"/>
              <w:bottom w:val="nil"/>
              <w:right w:val="single" w:sz="4" w:space="0" w:color="auto"/>
            </w:tcBorders>
            <w:shd w:val="clear" w:color="auto" w:fill="auto"/>
            <w:noWrap/>
            <w:vAlign w:val="bottom"/>
            <w:hideMark/>
          </w:tcPr>
          <w:p w14:paraId="5BF5D105" w14:textId="77777777" w:rsidR="009D43C3" w:rsidRPr="000C156A" w:rsidRDefault="009D43C3" w:rsidP="005D02F0">
            <w:pPr>
              <w:spacing w:before="0"/>
              <w:jc w:val="right"/>
              <w:rPr>
                <w:sz w:val="18"/>
                <w:szCs w:val="18"/>
              </w:rPr>
            </w:pPr>
          </w:p>
        </w:tc>
        <w:tc>
          <w:tcPr>
            <w:tcW w:w="1001" w:type="pct"/>
            <w:tcBorders>
              <w:top w:val="nil"/>
              <w:left w:val="nil"/>
              <w:bottom w:val="nil"/>
              <w:right w:val="single" w:sz="4" w:space="0" w:color="auto"/>
            </w:tcBorders>
            <w:shd w:val="clear" w:color="auto" w:fill="auto"/>
            <w:noWrap/>
            <w:vAlign w:val="bottom"/>
            <w:hideMark/>
          </w:tcPr>
          <w:p w14:paraId="006081DD" w14:textId="77777777" w:rsidR="009D43C3" w:rsidRPr="000C156A" w:rsidRDefault="009D43C3" w:rsidP="005D02F0">
            <w:pPr>
              <w:spacing w:before="0"/>
              <w:jc w:val="right"/>
              <w:rPr>
                <w:sz w:val="18"/>
                <w:szCs w:val="18"/>
              </w:rPr>
            </w:pPr>
          </w:p>
        </w:tc>
      </w:tr>
      <w:tr w:rsidR="009D43C3" w:rsidRPr="000C156A" w14:paraId="47791514" w14:textId="77777777" w:rsidTr="005D02F0">
        <w:tc>
          <w:tcPr>
            <w:tcW w:w="2998" w:type="pct"/>
            <w:tcBorders>
              <w:top w:val="nil"/>
              <w:left w:val="single" w:sz="4" w:space="0" w:color="auto"/>
              <w:bottom w:val="nil"/>
              <w:right w:val="nil"/>
            </w:tcBorders>
            <w:shd w:val="clear" w:color="auto" w:fill="auto"/>
            <w:hideMark/>
          </w:tcPr>
          <w:p w14:paraId="12C5D5C8" w14:textId="77777777" w:rsidR="009D43C3" w:rsidRPr="000C156A" w:rsidRDefault="009D43C3" w:rsidP="005D02F0">
            <w:pPr>
              <w:pStyle w:val="Tabletext"/>
              <w:spacing w:before="0"/>
              <w:rPr>
                <w:rFonts w:cs="Calibri"/>
                <w:sz w:val="18"/>
                <w:szCs w:val="18"/>
                <w:lang w:val="en-US" w:eastAsia="zh-CN"/>
              </w:rPr>
            </w:pPr>
            <w:r w:rsidRPr="000C156A">
              <w:rPr>
                <w:rFonts w:cs="Calibri" w:hint="eastAsia"/>
                <w:sz w:val="18"/>
                <w:szCs w:val="18"/>
                <w:lang w:val="en-US" w:eastAsia="zh-CN"/>
              </w:rPr>
              <w:t>折旧</w:t>
            </w:r>
          </w:p>
        </w:tc>
        <w:tc>
          <w:tcPr>
            <w:tcW w:w="1001" w:type="pct"/>
            <w:tcBorders>
              <w:top w:val="nil"/>
              <w:left w:val="single" w:sz="4" w:space="0" w:color="auto"/>
              <w:bottom w:val="nil"/>
              <w:right w:val="single" w:sz="4" w:space="0" w:color="auto"/>
            </w:tcBorders>
            <w:shd w:val="clear" w:color="auto" w:fill="auto"/>
            <w:noWrap/>
            <w:vAlign w:val="bottom"/>
            <w:hideMark/>
          </w:tcPr>
          <w:p w14:paraId="4AA71E46" w14:textId="152338EC" w:rsidR="009D43C3" w:rsidRPr="000C156A" w:rsidRDefault="009D43C3" w:rsidP="005D02F0">
            <w:pPr>
              <w:spacing w:before="0"/>
              <w:jc w:val="right"/>
              <w:rPr>
                <w:sz w:val="18"/>
                <w:szCs w:val="18"/>
              </w:rPr>
            </w:pPr>
            <w:r w:rsidRPr="000C156A">
              <w:rPr>
                <w:sz w:val="18"/>
                <w:szCs w:val="18"/>
              </w:rPr>
              <w:t>16</w:t>
            </w:r>
            <w:r w:rsidR="00CF258E" w:rsidRPr="000C156A">
              <w:rPr>
                <w:sz w:val="18"/>
                <w:szCs w:val="18"/>
              </w:rPr>
              <w:t xml:space="preserve"> </w:t>
            </w:r>
            <w:r w:rsidRPr="000C156A">
              <w:rPr>
                <w:sz w:val="18"/>
                <w:szCs w:val="18"/>
              </w:rPr>
              <w:t>598</w:t>
            </w:r>
          </w:p>
        </w:tc>
        <w:tc>
          <w:tcPr>
            <w:tcW w:w="1001" w:type="pct"/>
            <w:tcBorders>
              <w:top w:val="nil"/>
              <w:left w:val="nil"/>
              <w:bottom w:val="nil"/>
              <w:right w:val="single" w:sz="4" w:space="0" w:color="auto"/>
            </w:tcBorders>
            <w:shd w:val="clear" w:color="auto" w:fill="auto"/>
            <w:noWrap/>
            <w:vAlign w:val="bottom"/>
            <w:hideMark/>
          </w:tcPr>
          <w:p w14:paraId="08412D72" w14:textId="2539A906" w:rsidR="009D43C3" w:rsidRPr="000C156A" w:rsidRDefault="009D43C3" w:rsidP="005D02F0">
            <w:pPr>
              <w:spacing w:before="0"/>
              <w:jc w:val="right"/>
              <w:rPr>
                <w:sz w:val="18"/>
                <w:szCs w:val="18"/>
              </w:rPr>
            </w:pPr>
            <w:r w:rsidRPr="000C156A">
              <w:rPr>
                <w:sz w:val="18"/>
                <w:szCs w:val="18"/>
              </w:rPr>
              <w:t>4</w:t>
            </w:r>
            <w:r w:rsidR="00CF258E" w:rsidRPr="000C156A">
              <w:rPr>
                <w:sz w:val="18"/>
                <w:szCs w:val="18"/>
              </w:rPr>
              <w:t xml:space="preserve"> </w:t>
            </w:r>
            <w:r w:rsidRPr="000C156A">
              <w:rPr>
                <w:sz w:val="18"/>
                <w:szCs w:val="18"/>
              </w:rPr>
              <w:t>570</w:t>
            </w:r>
          </w:p>
        </w:tc>
      </w:tr>
      <w:tr w:rsidR="009D43C3" w:rsidRPr="000C156A" w14:paraId="57EBD9D0" w14:textId="77777777" w:rsidTr="005D02F0">
        <w:tc>
          <w:tcPr>
            <w:tcW w:w="2998" w:type="pct"/>
            <w:tcBorders>
              <w:top w:val="nil"/>
              <w:left w:val="single" w:sz="4" w:space="0" w:color="auto"/>
              <w:bottom w:val="nil"/>
              <w:right w:val="nil"/>
            </w:tcBorders>
            <w:shd w:val="clear" w:color="auto" w:fill="auto"/>
            <w:hideMark/>
          </w:tcPr>
          <w:p w14:paraId="0B2A6F9E" w14:textId="77777777" w:rsidR="009D43C3" w:rsidRPr="000C156A" w:rsidRDefault="009D43C3" w:rsidP="005D02F0">
            <w:pPr>
              <w:pStyle w:val="Tabletext"/>
              <w:spacing w:before="0"/>
              <w:rPr>
                <w:rFonts w:cs="Calibri"/>
                <w:sz w:val="18"/>
                <w:szCs w:val="18"/>
                <w:lang w:val="en-US" w:eastAsia="zh-CN"/>
              </w:rPr>
            </w:pPr>
            <w:r w:rsidRPr="000C156A">
              <w:rPr>
                <w:rFonts w:cs="Calibri" w:hint="eastAsia"/>
                <w:sz w:val="18"/>
                <w:szCs w:val="18"/>
                <w:lang w:val="en-US" w:eastAsia="zh-CN"/>
              </w:rPr>
              <w:t>ASHI</w:t>
            </w:r>
            <w:r w:rsidRPr="000C156A">
              <w:rPr>
                <w:rFonts w:cs="Calibri" w:hint="eastAsia"/>
                <w:sz w:val="18"/>
                <w:szCs w:val="18"/>
                <w:lang w:val="en-US" w:eastAsia="zh-CN"/>
              </w:rPr>
              <w:t>准备金</w:t>
            </w:r>
          </w:p>
        </w:tc>
        <w:tc>
          <w:tcPr>
            <w:tcW w:w="1001" w:type="pct"/>
            <w:tcBorders>
              <w:top w:val="nil"/>
              <w:left w:val="single" w:sz="4" w:space="0" w:color="auto"/>
              <w:bottom w:val="nil"/>
              <w:right w:val="single" w:sz="4" w:space="0" w:color="auto"/>
            </w:tcBorders>
            <w:shd w:val="clear" w:color="auto" w:fill="auto"/>
            <w:noWrap/>
            <w:vAlign w:val="bottom"/>
            <w:hideMark/>
          </w:tcPr>
          <w:p w14:paraId="7608C195" w14:textId="32772B3E" w:rsidR="009D43C3" w:rsidRPr="000C156A" w:rsidRDefault="009D43C3" w:rsidP="005D02F0">
            <w:pPr>
              <w:spacing w:before="0"/>
              <w:jc w:val="right"/>
              <w:rPr>
                <w:sz w:val="18"/>
                <w:szCs w:val="18"/>
              </w:rPr>
            </w:pPr>
            <w:r w:rsidRPr="000C156A">
              <w:rPr>
                <w:sz w:val="18"/>
                <w:szCs w:val="18"/>
              </w:rPr>
              <w:t>22</w:t>
            </w:r>
            <w:r w:rsidR="00CF258E" w:rsidRPr="000C156A">
              <w:rPr>
                <w:sz w:val="18"/>
                <w:szCs w:val="18"/>
              </w:rPr>
              <w:t xml:space="preserve"> </w:t>
            </w:r>
            <w:r w:rsidRPr="000C156A">
              <w:rPr>
                <w:sz w:val="18"/>
                <w:szCs w:val="18"/>
              </w:rPr>
              <w:t>789</w:t>
            </w:r>
          </w:p>
        </w:tc>
        <w:tc>
          <w:tcPr>
            <w:tcW w:w="1001" w:type="pct"/>
            <w:tcBorders>
              <w:top w:val="nil"/>
              <w:left w:val="nil"/>
              <w:bottom w:val="nil"/>
              <w:right w:val="single" w:sz="4" w:space="0" w:color="auto"/>
            </w:tcBorders>
            <w:shd w:val="clear" w:color="auto" w:fill="auto"/>
            <w:noWrap/>
            <w:vAlign w:val="bottom"/>
            <w:hideMark/>
          </w:tcPr>
          <w:p w14:paraId="48F77261" w14:textId="0F934D82" w:rsidR="009D43C3" w:rsidRPr="000C156A" w:rsidRDefault="009D43C3" w:rsidP="005D02F0">
            <w:pPr>
              <w:spacing w:before="0"/>
              <w:jc w:val="right"/>
              <w:rPr>
                <w:sz w:val="18"/>
                <w:szCs w:val="18"/>
              </w:rPr>
            </w:pPr>
            <w:r w:rsidRPr="000C156A">
              <w:rPr>
                <w:sz w:val="18"/>
                <w:szCs w:val="18"/>
              </w:rPr>
              <w:t>71</w:t>
            </w:r>
            <w:r w:rsidR="00CF258E" w:rsidRPr="000C156A">
              <w:rPr>
                <w:sz w:val="18"/>
                <w:szCs w:val="18"/>
              </w:rPr>
              <w:t xml:space="preserve"> </w:t>
            </w:r>
            <w:r w:rsidRPr="000C156A">
              <w:rPr>
                <w:sz w:val="18"/>
                <w:szCs w:val="18"/>
              </w:rPr>
              <w:t>694</w:t>
            </w:r>
          </w:p>
        </w:tc>
      </w:tr>
      <w:tr w:rsidR="009D43C3" w:rsidRPr="000C156A" w14:paraId="3AA8CCC2" w14:textId="77777777" w:rsidTr="005D02F0">
        <w:tc>
          <w:tcPr>
            <w:tcW w:w="2998" w:type="pct"/>
            <w:tcBorders>
              <w:top w:val="nil"/>
              <w:left w:val="single" w:sz="4" w:space="0" w:color="auto"/>
              <w:bottom w:val="nil"/>
              <w:right w:val="nil"/>
            </w:tcBorders>
            <w:shd w:val="clear" w:color="auto" w:fill="auto"/>
            <w:hideMark/>
          </w:tcPr>
          <w:p w14:paraId="0E0FF3F5" w14:textId="77777777" w:rsidR="009D43C3" w:rsidRPr="000C156A" w:rsidRDefault="009D43C3" w:rsidP="005D02F0">
            <w:pPr>
              <w:pStyle w:val="Tabletext"/>
              <w:spacing w:before="0"/>
              <w:rPr>
                <w:rFonts w:cs="Calibri"/>
                <w:sz w:val="18"/>
                <w:szCs w:val="18"/>
                <w:lang w:val="en-US" w:eastAsia="zh-CN"/>
              </w:rPr>
            </w:pPr>
            <w:r w:rsidRPr="000C156A">
              <w:rPr>
                <w:rFonts w:cs="Calibri"/>
                <w:sz w:val="18"/>
                <w:szCs w:val="18"/>
                <w:lang w:val="en-US" w:eastAsia="zh-CN"/>
              </w:rPr>
              <w:t>归国准备金（</w:t>
            </w:r>
            <w:r w:rsidRPr="000C156A">
              <w:rPr>
                <w:rFonts w:cs="Calibri"/>
                <w:sz w:val="18"/>
                <w:szCs w:val="18"/>
                <w:lang w:val="en-US" w:eastAsia="zh-CN"/>
              </w:rPr>
              <w:t>LT</w:t>
            </w:r>
            <w:r w:rsidRPr="000C156A">
              <w:rPr>
                <w:rFonts w:cs="Calibri" w:hint="eastAsia"/>
                <w:sz w:val="18"/>
                <w:szCs w:val="18"/>
                <w:lang w:val="en-US" w:eastAsia="zh-CN"/>
              </w:rPr>
              <w:t>）</w:t>
            </w:r>
          </w:p>
        </w:tc>
        <w:tc>
          <w:tcPr>
            <w:tcW w:w="1001" w:type="pct"/>
            <w:tcBorders>
              <w:top w:val="nil"/>
              <w:left w:val="single" w:sz="4" w:space="0" w:color="auto"/>
              <w:bottom w:val="nil"/>
              <w:right w:val="single" w:sz="4" w:space="0" w:color="auto"/>
            </w:tcBorders>
            <w:shd w:val="clear" w:color="auto" w:fill="auto"/>
            <w:noWrap/>
            <w:vAlign w:val="bottom"/>
            <w:hideMark/>
          </w:tcPr>
          <w:p w14:paraId="150EA6FE" w14:textId="77777777" w:rsidR="009D43C3" w:rsidRPr="000C156A" w:rsidRDefault="009D43C3" w:rsidP="005D02F0">
            <w:pPr>
              <w:spacing w:before="0"/>
              <w:jc w:val="right"/>
              <w:rPr>
                <w:color w:val="000000"/>
                <w:sz w:val="18"/>
                <w:szCs w:val="18"/>
              </w:rPr>
            </w:pPr>
            <w:r w:rsidRPr="000C156A">
              <w:rPr>
                <w:color w:val="000000"/>
                <w:sz w:val="18"/>
                <w:szCs w:val="18"/>
              </w:rPr>
              <w:t>-518</w:t>
            </w:r>
          </w:p>
        </w:tc>
        <w:tc>
          <w:tcPr>
            <w:tcW w:w="1001" w:type="pct"/>
            <w:tcBorders>
              <w:top w:val="nil"/>
              <w:left w:val="nil"/>
              <w:bottom w:val="nil"/>
              <w:right w:val="single" w:sz="4" w:space="0" w:color="auto"/>
            </w:tcBorders>
            <w:shd w:val="clear" w:color="auto" w:fill="auto"/>
            <w:noWrap/>
            <w:vAlign w:val="bottom"/>
            <w:hideMark/>
          </w:tcPr>
          <w:p w14:paraId="6E291F75" w14:textId="15C892BA" w:rsidR="009D43C3" w:rsidRPr="000C156A" w:rsidRDefault="009D43C3" w:rsidP="005D02F0">
            <w:pPr>
              <w:spacing w:before="0"/>
              <w:jc w:val="right"/>
              <w:rPr>
                <w:color w:val="000000"/>
                <w:sz w:val="18"/>
                <w:szCs w:val="18"/>
              </w:rPr>
            </w:pPr>
            <w:r w:rsidRPr="000C156A">
              <w:rPr>
                <w:color w:val="000000"/>
                <w:sz w:val="18"/>
                <w:szCs w:val="18"/>
              </w:rPr>
              <w:t>1</w:t>
            </w:r>
            <w:r w:rsidR="00CF258E" w:rsidRPr="000C156A">
              <w:rPr>
                <w:color w:val="000000"/>
                <w:sz w:val="18"/>
                <w:szCs w:val="18"/>
              </w:rPr>
              <w:t xml:space="preserve"> </w:t>
            </w:r>
            <w:r w:rsidRPr="000C156A">
              <w:rPr>
                <w:color w:val="000000"/>
                <w:sz w:val="18"/>
                <w:szCs w:val="18"/>
              </w:rPr>
              <w:t>717</w:t>
            </w:r>
          </w:p>
        </w:tc>
      </w:tr>
      <w:tr w:rsidR="009D43C3" w:rsidRPr="000C156A" w14:paraId="175087D7" w14:textId="77777777" w:rsidTr="005D02F0">
        <w:tc>
          <w:tcPr>
            <w:tcW w:w="2998" w:type="pct"/>
            <w:tcBorders>
              <w:top w:val="nil"/>
              <w:left w:val="single" w:sz="4" w:space="0" w:color="auto"/>
              <w:bottom w:val="nil"/>
              <w:right w:val="nil"/>
            </w:tcBorders>
            <w:shd w:val="clear" w:color="auto" w:fill="auto"/>
            <w:hideMark/>
          </w:tcPr>
          <w:p w14:paraId="78C3EEB0" w14:textId="77777777" w:rsidR="009D43C3" w:rsidRPr="000C156A" w:rsidRDefault="009D43C3" w:rsidP="005D02F0">
            <w:pPr>
              <w:pStyle w:val="Tabletext"/>
              <w:spacing w:before="0"/>
              <w:rPr>
                <w:rFonts w:cs="Calibri"/>
                <w:sz w:val="18"/>
                <w:szCs w:val="18"/>
                <w:lang w:val="en-US" w:eastAsia="zh-CN"/>
              </w:rPr>
            </w:pPr>
            <w:r w:rsidRPr="000C156A">
              <w:rPr>
                <w:rFonts w:cs="Calibri" w:hint="eastAsia"/>
                <w:sz w:val="18"/>
                <w:szCs w:val="18"/>
                <w:lang w:val="en-US" w:eastAsia="zh-CN"/>
              </w:rPr>
              <w:t>职员福利准备金（</w:t>
            </w:r>
            <w:r w:rsidRPr="000C156A">
              <w:rPr>
                <w:rFonts w:cs="Calibri"/>
                <w:sz w:val="18"/>
                <w:szCs w:val="18"/>
                <w:lang w:val="en-US" w:eastAsia="zh-CN"/>
              </w:rPr>
              <w:t>ST</w:t>
            </w:r>
            <w:r w:rsidRPr="000C156A">
              <w:rPr>
                <w:rFonts w:cs="Calibri" w:hint="eastAsia"/>
                <w:sz w:val="18"/>
                <w:szCs w:val="18"/>
                <w:lang w:val="en-US" w:eastAsia="zh-CN"/>
              </w:rPr>
              <w:t>）</w:t>
            </w:r>
          </w:p>
        </w:tc>
        <w:tc>
          <w:tcPr>
            <w:tcW w:w="1001" w:type="pct"/>
            <w:tcBorders>
              <w:top w:val="nil"/>
              <w:left w:val="single" w:sz="4" w:space="0" w:color="auto"/>
              <w:bottom w:val="nil"/>
              <w:right w:val="single" w:sz="4" w:space="0" w:color="auto"/>
            </w:tcBorders>
            <w:shd w:val="clear" w:color="auto" w:fill="auto"/>
            <w:noWrap/>
            <w:vAlign w:val="bottom"/>
            <w:hideMark/>
          </w:tcPr>
          <w:p w14:paraId="0FA8C955" w14:textId="77777777" w:rsidR="009D43C3" w:rsidRPr="000C156A" w:rsidRDefault="009D43C3" w:rsidP="005D02F0">
            <w:pPr>
              <w:spacing w:before="0"/>
              <w:jc w:val="right"/>
              <w:rPr>
                <w:color w:val="000000"/>
                <w:sz w:val="18"/>
                <w:szCs w:val="18"/>
              </w:rPr>
            </w:pPr>
            <w:r w:rsidRPr="000C156A">
              <w:rPr>
                <w:color w:val="000000"/>
                <w:sz w:val="18"/>
                <w:szCs w:val="18"/>
              </w:rPr>
              <w:t>-124</w:t>
            </w:r>
          </w:p>
        </w:tc>
        <w:tc>
          <w:tcPr>
            <w:tcW w:w="1001" w:type="pct"/>
            <w:tcBorders>
              <w:top w:val="nil"/>
              <w:left w:val="nil"/>
              <w:bottom w:val="nil"/>
              <w:right w:val="single" w:sz="4" w:space="0" w:color="auto"/>
            </w:tcBorders>
            <w:shd w:val="clear" w:color="auto" w:fill="auto"/>
            <w:noWrap/>
            <w:vAlign w:val="bottom"/>
            <w:hideMark/>
          </w:tcPr>
          <w:p w14:paraId="59406ADD" w14:textId="77777777" w:rsidR="009D43C3" w:rsidRPr="000C156A" w:rsidRDefault="009D43C3" w:rsidP="005D02F0">
            <w:pPr>
              <w:spacing w:before="0"/>
              <w:jc w:val="right"/>
              <w:rPr>
                <w:color w:val="000000"/>
                <w:sz w:val="18"/>
                <w:szCs w:val="18"/>
              </w:rPr>
            </w:pPr>
            <w:r w:rsidRPr="000C156A">
              <w:rPr>
                <w:color w:val="000000"/>
                <w:sz w:val="18"/>
                <w:szCs w:val="18"/>
              </w:rPr>
              <w:t>38</w:t>
            </w:r>
          </w:p>
        </w:tc>
      </w:tr>
      <w:tr w:rsidR="009D43C3" w:rsidRPr="000C156A" w14:paraId="1B24D75A" w14:textId="77777777" w:rsidTr="005D02F0">
        <w:tc>
          <w:tcPr>
            <w:tcW w:w="2998" w:type="pct"/>
            <w:tcBorders>
              <w:top w:val="nil"/>
              <w:left w:val="single" w:sz="4" w:space="0" w:color="auto"/>
              <w:bottom w:val="nil"/>
              <w:right w:val="nil"/>
            </w:tcBorders>
            <w:shd w:val="clear" w:color="auto" w:fill="auto"/>
            <w:hideMark/>
          </w:tcPr>
          <w:p w14:paraId="0777F7A2" w14:textId="77777777" w:rsidR="009D43C3" w:rsidRPr="000C156A" w:rsidRDefault="009D43C3" w:rsidP="005D02F0">
            <w:pPr>
              <w:pStyle w:val="Tabletext"/>
              <w:spacing w:before="0"/>
              <w:rPr>
                <w:rFonts w:cs="Calibri"/>
                <w:sz w:val="18"/>
                <w:szCs w:val="18"/>
                <w:lang w:val="en-US" w:eastAsia="zh-CN"/>
              </w:rPr>
            </w:pPr>
            <w:r w:rsidRPr="000C156A">
              <w:rPr>
                <w:rFonts w:cs="Calibri" w:hint="eastAsia"/>
                <w:sz w:val="18"/>
                <w:szCs w:val="18"/>
                <w:lang w:val="en-US" w:eastAsia="zh-CN"/>
              </w:rPr>
              <w:t>应计休假准备金（</w:t>
            </w:r>
            <w:r w:rsidRPr="000C156A">
              <w:rPr>
                <w:rFonts w:cs="Calibri"/>
                <w:sz w:val="18"/>
                <w:szCs w:val="18"/>
                <w:lang w:val="en-US" w:eastAsia="zh-CN"/>
              </w:rPr>
              <w:t>LT</w:t>
            </w:r>
            <w:r w:rsidRPr="000C156A">
              <w:rPr>
                <w:rFonts w:cs="Calibri" w:hint="eastAsia"/>
                <w:sz w:val="18"/>
                <w:szCs w:val="18"/>
                <w:lang w:val="en-US" w:eastAsia="zh-CN"/>
              </w:rPr>
              <w:t>）</w:t>
            </w:r>
          </w:p>
        </w:tc>
        <w:tc>
          <w:tcPr>
            <w:tcW w:w="1001" w:type="pct"/>
            <w:tcBorders>
              <w:top w:val="nil"/>
              <w:left w:val="single" w:sz="4" w:space="0" w:color="auto"/>
              <w:bottom w:val="nil"/>
              <w:right w:val="single" w:sz="4" w:space="0" w:color="auto"/>
            </w:tcBorders>
            <w:shd w:val="clear" w:color="auto" w:fill="auto"/>
            <w:noWrap/>
            <w:vAlign w:val="bottom"/>
            <w:hideMark/>
          </w:tcPr>
          <w:p w14:paraId="2063C1FE" w14:textId="6AC801F0" w:rsidR="009D43C3" w:rsidRPr="000C156A" w:rsidRDefault="009D43C3" w:rsidP="005D02F0">
            <w:pPr>
              <w:spacing w:before="0"/>
              <w:jc w:val="right"/>
              <w:rPr>
                <w:color w:val="000000"/>
                <w:sz w:val="18"/>
                <w:szCs w:val="18"/>
              </w:rPr>
            </w:pPr>
            <w:r w:rsidRPr="000C156A">
              <w:rPr>
                <w:color w:val="000000"/>
                <w:sz w:val="18"/>
                <w:szCs w:val="18"/>
              </w:rPr>
              <w:t>2</w:t>
            </w:r>
            <w:r w:rsidR="00CF258E" w:rsidRPr="000C156A">
              <w:rPr>
                <w:color w:val="000000"/>
                <w:sz w:val="18"/>
                <w:szCs w:val="18"/>
              </w:rPr>
              <w:t xml:space="preserve"> </w:t>
            </w:r>
            <w:r w:rsidRPr="000C156A">
              <w:rPr>
                <w:color w:val="000000"/>
                <w:sz w:val="18"/>
                <w:szCs w:val="18"/>
              </w:rPr>
              <w:t>571</w:t>
            </w:r>
          </w:p>
        </w:tc>
        <w:tc>
          <w:tcPr>
            <w:tcW w:w="1001" w:type="pct"/>
            <w:tcBorders>
              <w:top w:val="nil"/>
              <w:left w:val="nil"/>
              <w:bottom w:val="nil"/>
              <w:right w:val="single" w:sz="4" w:space="0" w:color="auto"/>
            </w:tcBorders>
            <w:shd w:val="clear" w:color="auto" w:fill="auto"/>
            <w:noWrap/>
            <w:vAlign w:val="bottom"/>
            <w:hideMark/>
          </w:tcPr>
          <w:p w14:paraId="2E15F355" w14:textId="77777777" w:rsidR="009D43C3" w:rsidRPr="000C156A" w:rsidRDefault="009D43C3" w:rsidP="005D02F0">
            <w:pPr>
              <w:spacing w:before="0"/>
              <w:jc w:val="right"/>
              <w:rPr>
                <w:color w:val="000000"/>
                <w:sz w:val="18"/>
                <w:szCs w:val="18"/>
              </w:rPr>
            </w:pPr>
            <w:r w:rsidRPr="000C156A">
              <w:rPr>
                <w:color w:val="000000"/>
                <w:sz w:val="18"/>
                <w:szCs w:val="18"/>
              </w:rPr>
              <w:t>817</w:t>
            </w:r>
          </w:p>
        </w:tc>
      </w:tr>
      <w:tr w:rsidR="009D43C3" w:rsidRPr="000C156A" w14:paraId="3E3AD78D" w14:textId="77777777" w:rsidTr="005D02F0">
        <w:tc>
          <w:tcPr>
            <w:tcW w:w="2998" w:type="pct"/>
            <w:tcBorders>
              <w:top w:val="nil"/>
              <w:left w:val="single" w:sz="4" w:space="0" w:color="auto"/>
              <w:bottom w:val="nil"/>
              <w:right w:val="nil"/>
            </w:tcBorders>
            <w:shd w:val="clear" w:color="auto" w:fill="auto"/>
            <w:hideMark/>
          </w:tcPr>
          <w:p w14:paraId="6F665881" w14:textId="77777777" w:rsidR="009D43C3" w:rsidRPr="000C156A" w:rsidRDefault="009D43C3" w:rsidP="005D02F0">
            <w:pPr>
              <w:pStyle w:val="Tabletext"/>
              <w:spacing w:before="0"/>
              <w:rPr>
                <w:rFonts w:cs="Calibri"/>
                <w:sz w:val="18"/>
                <w:szCs w:val="18"/>
                <w:lang w:val="en-US" w:eastAsia="fr-FR"/>
              </w:rPr>
            </w:pPr>
            <w:r w:rsidRPr="000C156A">
              <w:rPr>
                <w:rFonts w:cs="Calibri" w:hint="eastAsia"/>
                <w:sz w:val="18"/>
                <w:szCs w:val="18"/>
                <w:lang w:val="en-US"/>
              </w:rPr>
              <w:t>其它准备金</w:t>
            </w:r>
          </w:p>
        </w:tc>
        <w:tc>
          <w:tcPr>
            <w:tcW w:w="1001" w:type="pct"/>
            <w:tcBorders>
              <w:top w:val="nil"/>
              <w:left w:val="single" w:sz="4" w:space="0" w:color="auto"/>
              <w:bottom w:val="nil"/>
              <w:right w:val="single" w:sz="4" w:space="0" w:color="auto"/>
            </w:tcBorders>
            <w:shd w:val="clear" w:color="auto" w:fill="auto"/>
            <w:noWrap/>
            <w:vAlign w:val="bottom"/>
            <w:hideMark/>
          </w:tcPr>
          <w:p w14:paraId="445E51A3" w14:textId="77777777" w:rsidR="009D43C3" w:rsidRPr="000C156A" w:rsidRDefault="009D43C3" w:rsidP="005D02F0">
            <w:pPr>
              <w:spacing w:before="0"/>
              <w:jc w:val="right"/>
              <w:rPr>
                <w:color w:val="000000"/>
                <w:sz w:val="18"/>
                <w:szCs w:val="18"/>
              </w:rPr>
            </w:pPr>
            <w:r w:rsidRPr="000C156A">
              <w:rPr>
                <w:color w:val="000000"/>
                <w:sz w:val="18"/>
                <w:szCs w:val="18"/>
              </w:rPr>
              <w:t>763</w:t>
            </w:r>
          </w:p>
        </w:tc>
        <w:tc>
          <w:tcPr>
            <w:tcW w:w="1001" w:type="pct"/>
            <w:tcBorders>
              <w:top w:val="nil"/>
              <w:left w:val="nil"/>
              <w:bottom w:val="nil"/>
              <w:right w:val="single" w:sz="4" w:space="0" w:color="auto"/>
            </w:tcBorders>
            <w:shd w:val="clear" w:color="auto" w:fill="auto"/>
            <w:noWrap/>
            <w:vAlign w:val="bottom"/>
            <w:hideMark/>
          </w:tcPr>
          <w:p w14:paraId="716EAEF5" w14:textId="40BA3440" w:rsidR="009D43C3" w:rsidRPr="000C156A" w:rsidRDefault="009D43C3" w:rsidP="005D02F0">
            <w:pPr>
              <w:spacing w:before="0"/>
              <w:jc w:val="right"/>
              <w:rPr>
                <w:color w:val="000000"/>
                <w:sz w:val="18"/>
                <w:szCs w:val="18"/>
              </w:rPr>
            </w:pPr>
            <w:r w:rsidRPr="000C156A">
              <w:rPr>
                <w:color w:val="000000"/>
                <w:sz w:val="18"/>
                <w:szCs w:val="18"/>
              </w:rPr>
              <w:t>-2</w:t>
            </w:r>
            <w:r w:rsidR="00CF258E" w:rsidRPr="000C156A">
              <w:rPr>
                <w:color w:val="000000"/>
                <w:sz w:val="18"/>
                <w:szCs w:val="18"/>
              </w:rPr>
              <w:t xml:space="preserve"> </w:t>
            </w:r>
            <w:r w:rsidRPr="000C156A">
              <w:rPr>
                <w:color w:val="000000"/>
                <w:sz w:val="18"/>
                <w:szCs w:val="18"/>
              </w:rPr>
              <w:t>087</w:t>
            </w:r>
          </w:p>
        </w:tc>
      </w:tr>
      <w:tr w:rsidR="009D43C3" w:rsidRPr="000C156A" w14:paraId="680B8879" w14:textId="77777777" w:rsidTr="005D02F0">
        <w:tc>
          <w:tcPr>
            <w:tcW w:w="2998" w:type="pct"/>
            <w:tcBorders>
              <w:top w:val="nil"/>
              <w:left w:val="single" w:sz="4" w:space="0" w:color="auto"/>
              <w:bottom w:val="nil"/>
              <w:right w:val="nil"/>
            </w:tcBorders>
            <w:shd w:val="clear" w:color="auto" w:fill="auto"/>
            <w:hideMark/>
          </w:tcPr>
          <w:p w14:paraId="726C2173" w14:textId="77777777" w:rsidR="009D43C3" w:rsidRPr="000C156A" w:rsidRDefault="009D43C3" w:rsidP="005D02F0">
            <w:pPr>
              <w:pStyle w:val="Tabletext"/>
              <w:spacing w:before="0"/>
              <w:rPr>
                <w:rFonts w:cs="Calibri"/>
                <w:sz w:val="18"/>
                <w:szCs w:val="18"/>
                <w:lang w:val="en-US" w:eastAsia="zh-CN"/>
              </w:rPr>
            </w:pPr>
            <w:r w:rsidRPr="000C156A">
              <w:rPr>
                <w:rFonts w:cs="Calibri" w:hint="eastAsia"/>
                <w:sz w:val="18"/>
                <w:szCs w:val="18"/>
                <w:lang w:val="en-US" w:eastAsia="zh-CN"/>
              </w:rPr>
              <w:t>可疑应收款项准备金</w:t>
            </w:r>
          </w:p>
        </w:tc>
        <w:tc>
          <w:tcPr>
            <w:tcW w:w="1001" w:type="pct"/>
            <w:tcBorders>
              <w:top w:val="nil"/>
              <w:left w:val="single" w:sz="4" w:space="0" w:color="auto"/>
              <w:bottom w:val="nil"/>
              <w:right w:val="single" w:sz="4" w:space="0" w:color="auto"/>
            </w:tcBorders>
            <w:shd w:val="clear" w:color="auto" w:fill="auto"/>
            <w:noWrap/>
            <w:vAlign w:val="bottom"/>
            <w:hideMark/>
          </w:tcPr>
          <w:p w14:paraId="394C21D4" w14:textId="77777777" w:rsidR="009D43C3" w:rsidRPr="000C156A" w:rsidRDefault="009D43C3" w:rsidP="005D02F0">
            <w:pPr>
              <w:spacing w:before="0"/>
              <w:jc w:val="right"/>
              <w:rPr>
                <w:color w:val="000000"/>
                <w:sz w:val="18"/>
                <w:szCs w:val="18"/>
              </w:rPr>
            </w:pPr>
            <w:r w:rsidRPr="000C156A">
              <w:rPr>
                <w:color w:val="000000"/>
                <w:sz w:val="18"/>
                <w:szCs w:val="18"/>
              </w:rPr>
              <w:t>348</w:t>
            </w:r>
          </w:p>
        </w:tc>
        <w:tc>
          <w:tcPr>
            <w:tcW w:w="1001" w:type="pct"/>
            <w:tcBorders>
              <w:top w:val="nil"/>
              <w:left w:val="nil"/>
              <w:bottom w:val="nil"/>
              <w:right w:val="single" w:sz="4" w:space="0" w:color="auto"/>
            </w:tcBorders>
            <w:shd w:val="clear" w:color="auto" w:fill="auto"/>
            <w:noWrap/>
            <w:vAlign w:val="bottom"/>
            <w:hideMark/>
          </w:tcPr>
          <w:p w14:paraId="38BA8EF8" w14:textId="77777777" w:rsidR="009D43C3" w:rsidRPr="000C156A" w:rsidRDefault="009D43C3" w:rsidP="005D02F0">
            <w:pPr>
              <w:spacing w:before="0"/>
              <w:jc w:val="right"/>
              <w:rPr>
                <w:color w:val="000000"/>
                <w:sz w:val="18"/>
                <w:szCs w:val="18"/>
              </w:rPr>
            </w:pPr>
            <w:r w:rsidRPr="000C156A">
              <w:rPr>
                <w:color w:val="000000"/>
                <w:sz w:val="18"/>
                <w:szCs w:val="18"/>
              </w:rPr>
              <w:t>-6</w:t>
            </w:r>
          </w:p>
        </w:tc>
      </w:tr>
      <w:tr w:rsidR="009D43C3" w:rsidRPr="000C156A" w14:paraId="51B81ED8" w14:textId="77777777" w:rsidTr="005D02F0">
        <w:tc>
          <w:tcPr>
            <w:tcW w:w="2998" w:type="pct"/>
            <w:tcBorders>
              <w:top w:val="nil"/>
              <w:left w:val="single" w:sz="4" w:space="0" w:color="auto"/>
              <w:bottom w:val="nil"/>
              <w:right w:val="nil"/>
            </w:tcBorders>
            <w:shd w:val="clear" w:color="auto" w:fill="auto"/>
            <w:hideMark/>
          </w:tcPr>
          <w:p w14:paraId="1D7F75A2" w14:textId="77777777" w:rsidR="009D43C3" w:rsidRPr="000C156A" w:rsidRDefault="009D43C3" w:rsidP="005D02F0">
            <w:pPr>
              <w:pStyle w:val="Tabletext"/>
              <w:spacing w:before="0"/>
              <w:rPr>
                <w:rFonts w:cs="Calibri"/>
                <w:sz w:val="18"/>
                <w:szCs w:val="18"/>
                <w:lang w:val="en-US" w:eastAsia="zh-CN"/>
              </w:rPr>
            </w:pPr>
            <w:r w:rsidRPr="000C156A">
              <w:rPr>
                <w:rFonts w:cs="Calibri" w:hint="eastAsia"/>
                <w:sz w:val="18"/>
                <w:szCs w:val="18"/>
                <w:lang w:val="en-US" w:eastAsia="zh-CN"/>
              </w:rPr>
              <w:t>库存</w:t>
            </w:r>
            <w:r w:rsidRPr="000C156A">
              <w:rPr>
                <w:rFonts w:cs="Calibri"/>
                <w:sz w:val="18"/>
                <w:szCs w:val="18"/>
                <w:lang w:val="en-US" w:eastAsia="zh-CN"/>
              </w:rPr>
              <w:t>折旧</w:t>
            </w:r>
          </w:p>
        </w:tc>
        <w:tc>
          <w:tcPr>
            <w:tcW w:w="1001" w:type="pct"/>
            <w:tcBorders>
              <w:top w:val="nil"/>
              <w:left w:val="single" w:sz="4" w:space="0" w:color="auto"/>
              <w:bottom w:val="nil"/>
              <w:right w:val="single" w:sz="4" w:space="0" w:color="auto"/>
            </w:tcBorders>
            <w:shd w:val="clear" w:color="auto" w:fill="auto"/>
            <w:noWrap/>
            <w:vAlign w:val="bottom"/>
            <w:hideMark/>
          </w:tcPr>
          <w:p w14:paraId="3DD07C01" w14:textId="77777777" w:rsidR="009D43C3" w:rsidRPr="000C156A" w:rsidRDefault="009D43C3" w:rsidP="005D02F0">
            <w:pPr>
              <w:spacing w:before="0"/>
              <w:jc w:val="right"/>
              <w:rPr>
                <w:sz w:val="18"/>
                <w:szCs w:val="18"/>
              </w:rPr>
            </w:pPr>
            <w:r w:rsidRPr="000C156A">
              <w:rPr>
                <w:sz w:val="18"/>
                <w:szCs w:val="18"/>
              </w:rPr>
              <w:t>-67</w:t>
            </w:r>
          </w:p>
        </w:tc>
        <w:tc>
          <w:tcPr>
            <w:tcW w:w="1001" w:type="pct"/>
            <w:tcBorders>
              <w:top w:val="nil"/>
              <w:left w:val="nil"/>
              <w:bottom w:val="nil"/>
              <w:right w:val="single" w:sz="4" w:space="0" w:color="auto"/>
            </w:tcBorders>
            <w:shd w:val="clear" w:color="auto" w:fill="auto"/>
            <w:noWrap/>
            <w:vAlign w:val="bottom"/>
            <w:hideMark/>
          </w:tcPr>
          <w:p w14:paraId="0231F607" w14:textId="77777777" w:rsidR="009D43C3" w:rsidRPr="000C156A" w:rsidRDefault="009D43C3" w:rsidP="005D02F0">
            <w:pPr>
              <w:spacing w:before="0"/>
              <w:jc w:val="right"/>
              <w:rPr>
                <w:sz w:val="18"/>
                <w:szCs w:val="18"/>
              </w:rPr>
            </w:pPr>
            <w:r w:rsidRPr="000C156A">
              <w:rPr>
                <w:sz w:val="18"/>
                <w:szCs w:val="18"/>
              </w:rPr>
              <w:t>31</w:t>
            </w:r>
          </w:p>
        </w:tc>
      </w:tr>
      <w:tr w:rsidR="009D43C3" w:rsidRPr="000C156A" w14:paraId="2E331146" w14:textId="77777777" w:rsidTr="005D02F0">
        <w:tc>
          <w:tcPr>
            <w:tcW w:w="2998" w:type="pct"/>
            <w:tcBorders>
              <w:top w:val="nil"/>
              <w:left w:val="single" w:sz="4" w:space="0" w:color="auto"/>
              <w:bottom w:val="nil"/>
              <w:right w:val="nil"/>
            </w:tcBorders>
            <w:shd w:val="clear" w:color="auto" w:fill="auto"/>
            <w:hideMark/>
          </w:tcPr>
          <w:p w14:paraId="1F841612" w14:textId="77777777" w:rsidR="009D43C3" w:rsidRPr="000C156A" w:rsidRDefault="009D43C3" w:rsidP="005D02F0">
            <w:pPr>
              <w:pStyle w:val="Tabletext"/>
              <w:spacing w:before="0"/>
              <w:rPr>
                <w:rFonts w:cs="Calibri"/>
                <w:sz w:val="18"/>
                <w:szCs w:val="18"/>
                <w:lang w:val="en-US" w:eastAsia="zh-CN"/>
              </w:rPr>
            </w:pPr>
            <w:r w:rsidRPr="000C156A">
              <w:rPr>
                <w:rFonts w:cs="Calibri"/>
                <w:sz w:val="18"/>
                <w:szCs w:val="18"/>
                <w:lang w:eastAsia="zh-CN"/>
              </w:rPr>
              <w:t>未实现的兑换率</w:t>
            </w:r>
            <w:r w:rsidRPr="000C156A">
              <w:rPr>
                <w:rFonts w:cs="Calibri" w:hint="eastAsia"/>
                <w:sz w:val="18"/>
                <w:szCs w:val="18"/>
                <w:lang w:eastAsia="zh-CN"/>
              </w:rPr>
              <w:t>收益</w:t>
            </w:r>
            <w:r w:rsidRPr="000C156A">
              <w:rPr>
                <w:rFonts w:cs="Calibri" w:hint="eastAsia"/>
                <w:sz w:val="18"/>
                <w:szCs w:val="18"/>
                <w:lang w:eastAsia="zh-CN"/>
              </w:rPr>
              <w:t>/</w:t>
            </w:r>
            <w:r w:rsidRPr="000C156A">
              <w:rPr>
                <w:rFonts w:cs="Calibri" w:hint="eastAsia"/>
                <w:sz w:val="18"/>
                <w:szCs w:val="18"/>
                <w:lang w:val="en-US" w:eastAsia="zh-CN"/>
              </w:rPr>
              <w:t>损耗</w:t>
            </w:r>
          </w:p>
        </w:tc>
        <w:tc>
          <w:tcPr>
            <w:tcW w:w="1001" w:type="pct"/>
            <w:tcBorders>
              <w:top w:val="nil"/>
              <w:left w:val="single" w:sz="4" w:space="0" w:color="auto"/>
              <w:bottom w:val="nil"/>
              <w:right w:val="single" w:sz="4" w:space="0" w:color="auto"/>
            </w:tcBorders>
            <w:shd w:val="clear" w:color="auto" w:fill="auto"/>
            <w:noWrap/>
            <w:vAlign w:val="bottom"/>
            <w:hideMark/>
          </w:tcPr>
          <w:p w14:paraId="294F739A" w14:textId="4023BA31" w:rsidR="009D43C3" w:rsidRPr="000C156A" w:rsidRDefault="009D43C3" w:rsidP="005D02F0">
            <w:pPr>
              <w:spacing w:before="0"/>
              <w:jc w:val="right"/>
              <w:rPr>
                <w:sz w:val="18"/>
                <w:szCs w:val="18"/>
              </w:rPr>
            </w:pPr>
            <w:r w:rsidRPr="000C156A">
              <w:rPr>
                <w:sz w:val="18"/>
                <w:szCs w:val="18"/>
              </w:rPr>
              <w:t>12</w:t>
            </w:r>
            <w:r w:rsidR="00CF258E" w:rsidRPr="000C156A">
              <w:rPr>
                <w:sz w:val="18"/>
                <w:szCs w:val="18"/>
              </w:rPr>
              <w:t xml:space="preserve"> </w:t>
            </w:r>
            <w:r w:rsidRPr="000C156A">
              <w:rPr>
                <w:sz w:val="18"/>
                <w:szCs w:val="18"/>
              </w:rPr>
              <w:t>399</w:t>
            </w:r>
          </w:p>
        </w:tc>
        <w:tc>
          <w:tcPr>
            <w:tcW w:w="1001" w:type="pct"/>
            <w:tcBorders>
              <w:top w:val="nil"/>
              <w:left w:val="nil"/>
              <w:bottom w:val="nil"/>
              <w:right w:val="single" w:sz="4" w:space="0" w:color="auto"/>
            </w:tcBorders>
            <w:shd w:val="clear" w:color="auto" w:fill="auto"/>
            <w:noWrap/>
            <w:vAlign w:val="bottom"/>
            <w:hideMark/>
          </w:tcPr>
          <w:p w14:paraId="6812A439" w14:textId="5A766F71" w:rsidR="009D43C3" w:rsidRPr="000C156A" w:rsidRDefault="009D43C3" w:rsidP="005D02F0">
            <w:pPr>
              <w:spacing w:before="0"/>
              <w:jc w:val="right"/>
              <w:rPr>
                <w:sz w:val="18"/>
                <w:szCs w:val="18"/>
              </w:rPr>
            </w:pPr>
            <w:r w:rsidRPr="000C156A">
              <w:rPr>
                <w:sz w:val="18"/>
                <w:szCs w:val="18"/>
              </w:rPr>
              <w:t>-7</w:t>
            </w:r>
            <w:r w:rsidR="00CF258E" w:rsidRPr="000C156A">
              <w:rPr>
                <w:sz w:val="18"/>
                <w:szCs w:val="18"/>
              </w:rPr>
              <w:t xml:space="preserve"> </w:t>
            </w:r>
            <w:r w:rsidRPr="000C156A">
              <w:rPr>
                <w:sz w:val="18"/>
                <w:szCs w:val="18"/>
              </w:rPr>
              <w:t>926</w:t>
            </w:r>
          </w:p>
        </w:tc>
      </w:tr>
      <w:tr w:rsidR="009D43C3" w:rsidRPr="000C156A" w14:paraId="5CCA0CA2" w14:textId="77777777" w:rsidTr="005D02F0">
        <w:tc>
          <w:tcPr>
            <w:tcW w:w="2998" w:type="pct"/>
            <w:tcBorders>
              <w:top w:val="nil"/>
              <w:left w:val="single" w:sz="4" w:space="0" w:color="auto"/>
              <w:bottom w:val="nil"/>
              <w:right w:val="nil"/>
            </w:tcBorders>
            <w:shd w:val="clear" w:color="auto" w:fill="auto"/>
            <w:hideMark/>
          </w:tcPr>
          <w:p w14:paraId="782A79DA" w14:textId="77777777" w:rsidR="009D43C3" w:rsidRPr="000C156A" w:rsidRDefault="009D43C3" w:rsidP="005D02F0">
            <w:pPr>
              <w:pStyle w:val="Tabletext"/>
              <w:spacing w:before="0"/>
              <w:rPr>
                <w:rFonts w:cs="Calibri"/>
                <w:sz w:val="18"/>
                <w:szCs w:val="18"/>
                <w:lang w:val="en-US" w:eastAsia="fr-FR"/>
              </w:rPr>
            </w:pPr>
            <w:r w:rsidRPr="000C156A">
              <w:rPr>
                <w:rFonts w:cs="Calibri" w:hint="eastAsia"/>
                <w:sz w:val="18"/>
                <w:szCs w:val="18"/>
                <w:lang w:val="en-US" w:eastAsia="zh-CN"/>
              </w:rPr>
              <w:t>收到</w:t>
            </w:r>
            <w:r w:rsidRPr="000C156A">
              <w:rPr>
                <w:rFonts w:cs="Calibri" w:hint="eastAsia"/>
                <w:sz w:val="18"/>
                <w:szCs w:val="18"/>
                <w:lang w:val="en-US"/>
              </w:rPr>
              <w:t>利息</w:t>
            </w:r>
          </w:p>
        </w:tc>
        <w:tc>
          <w:tcPr>
            <w:tcW w:w="1001" w:type="pct"/>
            <w:tcBorders>
              <w:top w:val="nil"/>
              <w:left w:val="single" w:sz="4" w:space="0" w:color="auto"/>
              <w:bottom w:val="nil"/>
              <w:right w:val="single" w:sz="4" w:space="0" w:color="auto"/>
            </w:tcBorders>
            <w:shd w:val="clear" w:color="auto" w:fill="auto"/>
            <w:noWrap/>
            <w:vAlign w:val="bottom"/>
            <w:hideMark/>
          </w:tcPr>
          <w:p w14:paraId="10918EB8" w14:textId="77777777" w:rsidR="009D43C3" w:rsidRPr="000C156A" w:rsidRDefault="009D43C3" w:rsidP="005D02F0">
            <w:pPr>
              <w:spacing w:before="0"/>
              <w:jc w:val="right"/>
              <w:rPr>
                <w:sz w:val="18"/>
                <w:szCs w:val="18"/>
              </w:rPr>
            </w:pPr>
            <w:r w:rsidRPr="000C156A">
              <w:rPr>
                <w:sz w:val="18"/>
                <w:szCs w:val="18"/>
              </w:rPr>
              <w:t>-400</w:t>
            </w:r>
          </w:p>
        </w:tc>
        <w:tc>
          <w:tcPr>
            <w:tcW w:w="1001" w:type="pct"/>
            <w:tcBorders>
              <w:top w:val="nil"/>
              <w:left w:val="nil"/>
              <w:bottom w:val="nil"/>
              <w:right w:val="single" w:sz="4" w:space="0" w:color="auto"/>
            </w:tcBorders>
            <w:shd w:val="clear" w:color="auto" w:fill="auto"/>
            <w:noWrap/>
            <w:vAlign w:val="bottom"/>
            <w:hideMark/>
          </w:tcPr>
          <w:p w14:paraId="3B1CD953" w14:textId="77777777" w:rsidR="009D43C3" w:rsidRPr="000C156A" w:rsidRDefault="009D43C3" w:rsidP="005D02F0">
            <w:pPr>
              <w:spacing w:before="0"/>
              <w:jc w:val="right"/>
              <w:rPr>
                <w:sz w:val="18"/>
                <w:szCs w:val="18"/>
              </w:rPr>
            </w:pPr>
            <w:r w:rsidRPr="000C156A">
              <w:rPr>
                <w:sz w:val="18"/>
                <w:szCs w:val="18"/>
              </w:rPr>
              <w:t>-926</w:t>
            </w:r>
          </w:p>
        </w:tc>
      </w:tr>
      <w:tr w:rsidR="009D43C3" w:rsidRPr="000C156A" w14:paraId="0AA1B0BD" w14:textId="77777777" w:rsidTr="005D02F0">
        <w:tc>
          <w:tcPr>
            <w:tcW w:w="2998" w:type="pct"/>
            <w:tcBorders>
              <w:top w:val="nil"/>
              <w:left w:val="single" w:sz="4" w:space="0" w:color="auto"/>
              <w:bottom w:val="nil"/>
              <w:right w:val="nil"/>
            </w:tcBorders>
            <w:shd w:val="clear" w:color="auto" w:fill="auto"/>
            <w:hideMark/>
          </w:tcPr>
          <w:p w14:paraId="4E5387A1" w14:textId="77777777" w:rsidR="009D43C3" w:rsidRPr="000C156A" w:rsidRDefault="009D43C3" w:rsidP="005D02F0">
            <w:pPr>
              <w:overflowPunct/>
              <w:adjustRightInd/>
              <w:spacing w:before="0"/>
              <w:textAlignment w:val="auto"/>
              <w:rPr>
                <w:rFonts w:cs="Calibri"/>
                <w:color w:val="000000"/>
                <w:sz w:val="18"/>
                <w:szCs w:val="18"/>
                <w:lang w:val="en-US" w:eastAsia="zh-CN"/>
              </w:rPr>
            </w:pPr>
            <w:r w:rsidRPr="000C156A">
              <w:rPr>
                <w:rFonts w:cs="Calibri"/>
                <w:color w:val="000000"/>
                <w:sz w:val="18"/>
                <w:szCs w:val="18"/>
                <w:lang w:val="en-US" w:eastAsia="zh-CN"/>
              </w:rPr>
              <w:t> </w:t>
            </w:r>
          </w:p>
        </w:tc>
        <w:tc>
          <w:tcPr>
            <w:tcW w:w="1001" w:type="pct"/>
            <w:tcBorders>
              <w:top w:val="nil"/>
              <w:left w:val="single" w:sz="4" w:space="0" w:color="auto"/>
              <w:bottom w:val="nil"/>
              <w:right w:val="single" w:sz="4" w:space="0" w:color="auto"/>
            </w:tcBorders>
            <w:shd w:val="clear" w:color="auto" w:fill="auto"/>
            <w:noWrap/>
            <w:vAlign w:val="bottom"/>
            <w:hideMark/>
          </w:tcPr>
          <w:p w14:paraId="75871117" w14:textId="77777777" w:rsidR="009D43C3" w:rsidRPr="000C156A" w:rsidRDefault="009D43C3" w:rsidP="005D02F0">
            <w:pPr>
              <w:spacing w:before="0"/>
              <w:jc w:val="right"/>
              <w:rPr>
                <w:sz w:val="18"/>
                <w:szCs w:val="18"/>
              </w:rPr>
            </w:pPr>
          </w:p>
        </w:tc>
        <w:tc>
          <w:tcPr>
            <w:tcW w:w="1001" w:type="pct"/>
            <w:tcBorders>
              <w:top w:val="nil"/>
              <w:left w:val="nil"/>
              <w:bottom w:val="nil"/>
              <w:right w:val="single" w:sz="4" w:space="0" w:color="auto"/>
            </w:tcBorders>
            <w:shd w:val="clear" w:color="auto" w:fill="auto"/>
            <w:noWrap/>
            <w:vAlign w:val="bottom"/>
            <w:hideMark/>
          </w:tcPr>
          <w:p w14:paraId="59A784E2" w14:textId="77777777" w:rsidR="009D43C3" w:rsidRPr="000C156A" w:rsidRDefault="009D43C3" w:rsidP="005D02F0">
            <w:pPr>
              <w:spacing w:before="0"/>
              <w:jc w:val="right"/>
              <w:rPr>
                <w:sz w:val="18"/>
                <w:szCs w:val="18"/>
              </w:rPr>
            </w:pPr>
          </w:p>
        </w:tc>
      </w:tr>
      <w:tr w:rsidR="009D43C3" w:rsidRPr="000C156A" w14:paraId="11585CF1" w14:textId="77777777" w:rsidTr="005D02F0">
        <w:tc>
          <w:tcPr>
            <w:tcW w:w="2998" w:type="pct"/>
            <w:tcBorders>
              <w:top w:val="single" w:sz="4" w:space="0" w:color="auto"/>
              <w:left w:val="single" w:sz="4" w:space="0" w:color="auto"/>
              <w:bottom w:val="single" w:sz="4" w:space="0" w:color="auto"/>
              <w:right w:val="nil"/>
            </w:tcBorders>
            <w:shd w:val="clear" w:color="auto" w:fill="auto"/>
            <w:hideMark/>
          </w:tcPr>
          <w:p w14:paraId="780605F1" w14:textId="77777777" w:rsidR="009D43C3" w:rsidRPr="000C156A" w:rsidRDefault="009D43C3" w:rsidP="005D02F0">
            <w:pPr>
              <w:spacing w:before="0" w:after="60"/>
              <w:rPr>
                <w:rFonts w:cs="Calibri"/>
                <w:b/>
                <w:bCs/>
                <w:sz w:val="18"/>
                <w:szCs w:val="18"/>
                <w:lang w:val="en-US" w:eastAsia="zh-CN"/>
              </w:rPr>
            </w:pPr>
            <w:r w:rsidRPr="000C156A">
              <w:rPr>
                <w:rFonts w:cs="Calibri" w:hint="eastAsia"/>
                <w:b/>
                <w:bCs/>
                <w:sz w:val="18"/>
                <w:szCs w:val="18"/>
                <w:lang w:val="en-US" w:eastAsia="zh-CN"/>
              </w:rPr>
              <w:t>非货币流动产生的盈余（赤字）</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14:paraId="1A1EF31A" w14:textId="0BA59A2C" w:rsidR="009D43C3" w:rsidRPr="000C156A" w:rsidRDefault="009D43C3" w:rsidP="005D02F0">
            <w:pPr>
              <w:spacing w:before="0"/>
              <w:jc w:val="right"/>
              <w:rPr>
                <w:b/>
                <w:bCs/>
                <w:sz w:val="18"/>
                <w:szCs w:val="18"/>
              </w:rPr>
            </w:pPr>
            <w:r w:rsidRPr="000C156A">
              <w:rPr>
                <w:b/>
                <w:bCs/>
                <w:sz w:val="18"/>
                <w:szCs w:val="18"/>
              </w:rPr>
              <w:t>7</w:t>
            </w:r>
            <w:r w:rsidR="00CF258E" w:rsidRPr="000C156A">
              <w:rPr>
                <w:b/>
                <w:bCs/>
                <w:sz w:val="18"/>
                <w:szCs w:val="18"/>
              </w:rPr>
              <w:t xml:space="preserve"> </w:t>
            </w:r>
            <w:r w:rsidRPr="000C156A">
              <w:rPr>
                <w:b/>
                <w:bCs/>
                <w:sz w:val="18"/>
                <w:szCs w:val="18"/>
              </w:rPr>
              <w:t>099</w:t>
            </w:r>
          </w:p>
        </w:tc>
        <w:tc>
          <w:tcPr>
            <w:tcW w:w="1001" w:type="pct"/>
            <w:tcBorders>
              <w:top w:val="single" w:sz="4" w:space="0" w:color="auto"/>
              <w:left w:val="nil"/>
              <w:bottom w:val="single" w:sz="4" w:space="0" w:color="auto"/>
              <w:right w:val="single" w:sz="4" w:space="0" w:color="auto"/>
            </w:tcBorders>
            <w:shd w:val="clear" w:color="auto" w:fill="auto"/>
            <w:hideMark/>
          </w:tcPr>
          <w:p w14:paraId="3060EC5C" w14:textId="30CB4887" w:rsidR="009D43C3" w:rsidRPr="000C156A" w:rsidRDefault="009D43C3" w:rsidP="005D02F0">
            <w:pPr>
              <w:spacing w:before="0"/>
              <w:jc w:val="right"/>
              <w:rPr>
                <w:b/>
                <w:bCs/>
                <w:sz w:val="18"/>
                <w:szCs w:val="18"/>
              </w:rPr>
            </w:pPr>
            <w:r w:rsidRPr="000C156A">
              <w:rPr>
                <w:b/>
                <w:bCs/>
                <w:sz w:val="18"/>
                <w:szCs w:val="18"/>
              </w:rPr>
              <w:t>10</w:t>
            </w:r>
            <w:r w:rsidR="00CF258E" w:rsidRPr="000C156A">
              <w:rPr>
                <w:b/>
                <w:bCs/>
                <w:sz w:val="18"/>
                <w:szCs w:val="18"/>
              </w:rPr>
              <w:t xml:space="preserve"> </w:t>
            </w:r>
            <w:r w:rsidRPr="000C156A">
              <w:rPr>
                <w:b/>
                <w:bCs/>
                <w:sz w:val="18"/>
                <w:szCs w:val="18"/>
              </w:rPr>
              <w:t>457</w:t>
            </w:r>
          </w:p>
        </w:tc>
      </w:tr>
      <w:tr w:rsidR="009D43C3" w:rsidRPr="000C156A" w14:paraId="5C33F4F5" w14:textId="77777777" w:rsidTr="005D02F0">
        <w:tc>
          <w:tcPr>
            <w:tcW w:w="2998" w:type="pct"/>
            <w:tcBorders>
              <w:top w:val="nil"/>
              <w:left w:val="single" w:sz="4" w:space="0" w:color="auto"/>
              <w:bottom w:val="nil"/>
              <w:right w:val="nil"/>
            </w:tcBorders>
            <w:shd w:val="clear" w:color="auto" w:fill="auto"/>
            <w:hideMark/>
          </w:tcPr>
          <w:p w14:paraId="05F24306" w14:textId="77777777" w:rsidR="009D43C3" w:rsidRPr="000C156A" w:rsidRDefault="009D43C3" w:rsidP="005D02F0">
            <w:pPr>
              <w:pStyle w:val="Tabletext"/>
              <w:spacing w:before="0"/>
              <w:rPr>
                <w:rFonts w:cs="Calibri"/>
                <w:sz w:val="18"/>
                <w:szCs w:val="18"/>
                <w:lang w:val="en-US"/>
              </w:rPr>
            </w:pPr>
            <w:r w:rsidRPr="000C156A">
              <w:rPr>
                <w:rFonts w:cs="Calibri"/>
                <w:sz w:val="18"/>
                <w:szCs w:val="18"/>
                <w:lang w:val="en-US"/>
              </w:rPr>
              <w:t>库存的（增加）减</w:t>
            </w:r>
            <w:r w:rsidRPr="000C156A">
              <w:rPr>
                <w:rFonts w:cs="Calibri" w:hint="eastAsia"/>
                <w:sz w:val="18"/>
                <w:szCs w:val="18"/>
                <w:lang w:val="en-US"/>
              </w:rPr>
              <w:t>少</w:t>
            </w:r>
          </w:p>
        </w:tc>
        <w:tc>
          <w:tcPr>
            <w:tcW w:w="1001" w:type="pct"/>
            <w:tcBorders>
              <w:top w:val="nil"/>
              <w:left w:val="single" w:sz="4" w:space="0" w:color="auto"/>
              <w:bottom w:val="nil"/>
              <w:right w:val="single" w:sz="4" w:space="0" w:color="auto"/>
            </w:tcBorders>
            <w:shd w:val="clear" w:color="auto" w:fill="auto"/>
            <w:noWrap/>
            <w:vAlign w:val="bottom"/>
            <w:hideMark/>
          </w:tcPr>
          <w:p w14:paraId="3A01FCDF" w14:textId="77777777" w:rsidR="009D43C3" w:rsidRPr="000C156A" w:rsidRDefault="009D43C3" w:rsidP="005D02F0">
            <w:pPr>
              <w:spacing w:before="0"/>
              <w:jc w:val="right"/>
              <w:rPr>
                <w:sz w:val="18"/>
                <w:szCs w:val="18"/>
              </w:rPr>
            </w:pPr>
            <w:r w:rsidRPr="000C156A">
              <w:rPr>
                <w:sz w:val="18"/>
                <w:szCs w:val="18"/>
              </w:rPr>
              <w:t>147</w:t>
            </w:r>
          </w:p>
        </w:tc>
        <w:tc>
          <w:tcPr>
            <w:tcW w:w="1001" w:type="pct"/>
            <w:tcBorders>
              <w:top w:val="nil"/>
              <w:left w:val="nil"/>
              <w:bottom w:val="nil"/>
              <w:right w:val="single" w:sz="4" w:space="0" w:color="auto"/>
            </w:tcBorders>
            <w:shd w:val="clear" w:color="auto" w:fill="auto"/>
            <w:noWrap/>
            <w:vAlign w:val="bottom"/>
            <w:hideMark/>
          </w:tcPr>
          <w:p w14:paraId="794EB99F" w14:textId="77777777" w:rsidR="009D43C3" w:rsidRPr="000C156A" w:rsidRDefault="009D43C3" w:rsidP="005D02F0">
            <w:pPr>
              <w:spacing w:before="0"/>
              <w:jc w:val="right"/>
              <w:rPr>
                <w:color w:val="000000"/>
                <w:sz w:val="18"/>
                <w:szCs w:val="18"/>
              </w:rPr>
            </w:pPr>
            <w:r w:rsidRPr="000C156A">
              <w:rPr>
                <w:sz w:val="18"/>
                <w:szCs w:val="18"/>
              </w:rPr>
              <w:t>-35</w:t>
            </w:r>
          </w:p>
        </w:tc>
      </w:tr>
      <w:tr w:rsidR="009D43C3" w:rsidRPr="000C156A" w14:paraId="2F0A61D4" w14:textId="77777777" w:rsidTr="005D02F0">
        <w:tc>
          <w:tcPr>
            <w:tcW w:w="2998" w:type="pct"/>
            <w:tcBorders>
              <w:top w:val="nil"/>
              <w:left w:val="single" w:sz="4" w:space="0" w:color="auto"/>
              <w:bottom w:val="nil"/>
              <w:right w:val="nil"/>
            </w:tcBorders>
            <w:shd w:val="clear" w:color="auto" w:fill="auto"/>
            <w:hideMark/>
          </w:tcPr>
          <w:p w14:paraId="50493FEF" w14:textId="77777777" w:rsidR="009D43C3" w:rsidRPr="000C156A" w:rsidRDefault="009D43C3" w:rsidP="005D02F0">
            <w:pPr>
              <w:pStyle w:val="Tabletext"/>
              <w:spacing w:before="0"/>
              <w:rPr>
                <w:rFonts w:cs="Calibri"/>
                <w:sz w:val="18"/>
                <w:szCs w:val="18"/>
                <w:lang w:val="en-US" w:eastAsia="zh-CN"/>
              </w:rPr>
            </w:pPr>
            <w:r w:rsidRPr="000C156A">
              <w:rPr>
                <w:rFonts w:cs="Calibri" w:hint="eastAsia"/>
                <w:sz w:val="18"/>
                <w:szCs w:val="18"/>
                <w:lang w:val="en-US" w:eastAsia="zh-CN"/>
              </w:rPr>
              <w:t>短期可回收款项的（增加）减少</w:t>
            </w:r>
          </w:p>
        </w:tc>
        <w:tc>
          <w:tcPr>
            <w:tcW w:w="1001" w:type="pct"/>
            <w:tcBorders>
              <w:top w:val="nil"/>
              <w:left w:val="single" w:sz="4" w:space="0" w:color="auto"/>
              <w:bottom w:val="nil"/>
              <w:right w:val="single" w:sz="4" w:space="0" w:color="auto"/>
            </w:tcBorders>
            <w:shd w:val="clear" w:color="auto" w:fill="auto"/>
            <w:noWrap/>
            <w:vAlign w:val="bottom"/>
            <w:hideMark/>
          </w:tcPr>
          <w:p w14:paraId="25268101" w14:textId="4411B9D7" w:rsidR="009D43C3" w:rsidRPr="000C156A" w:rsidRDefault="009D43C3" w:rsidP="005D02F0">
            <w:pPr>
              <w:spacing w:before="0"/>
              <w:jc w:val="right"/>
              <w:rPr>
                <w:color w:val="000000"/>
                <w:sz w:val="18"/>
                <w:szCs w:val="18"/>
              </w:rPr>
            </w:pPr>
            <w:r w:rsidRPr="000C156A">
              <w:rPr>
                <w:color w:val="000000"/>
                <w:sz w:val="18"/>
                <w:szCs w:val="18"/>
              </w:rPr>
              <w:t>-3</w:t>
            </w:r>
            <w:r w:rsidR="00CF258E" w:rsidRPr="000C156A">
              <w:rPr>
                <w:color w:val="000000"/>
                <w:sz w:val="18"/>
                <w:szCs w:val="18"/>
              </w:rPr>
              <w:t xml:space="preserve"> </w:t>
            </w:r>
            <w:r w:rsidRPr="000C156A">
              <w:rPr>
                <w:color w:val="000000"/>
                <w:sz w:val="18"/>
                <w:szCs w:val="18"/>
              </w:rPr>
              <w:t>348</w:t>
            </w:r>
          </w:p>
        </w:tc>
        <w:tc>
          <w:tcPr>
            <w:tcW w:w="1001" w:type="pct"/>
            <w:tcBorders>
              <w:top w:val="nil"/>
              <w:left w:val="nil"/>
              <w:bottom w:val="nil"/>
              <w:right w:val="single" w:sz="4" w:space="0" w:color="auto"/>
            </w:tcBorders>
            <w:shd w:val="clear" w:color="auto" w:fill="auto"/>
            <w:noWrap/>
            <w:vAlign w:val="bottom"/>
            <w:hideMark/>
          </w:tcPr>
          <w:p w14:paraId="512FBA49" w14:textId="3BEC413D" w:rsidR="009D43C3" w:rsidRPr="000C156A" w:rsidRDefault="009D43C3" w:rsidP="005D02F0">
            <w:pPr>
              <w:spacing w:before="0"/>
              <w:jc w:val="right"/>
              <w:rPr>
                <w:color w:val="000000"/>
                <w:sz w:val="18"/>
                <w:szCs w:val="18"/>
              </w:rPr>
            </w:pPr>
            <w:r w:rsidRPr="000C156A">
              <w:rPr>
                <w:color w:val="000000"/>
                <w:sz w:val="18"/>
                <w:szCs w:val="18"/>
              </w:rPr>
              <w:t>-4</w:t>
            </w:r>
            <w:r w:rsidR="00CF258E" w:rsidRPr="000C156A">
              <w:rPr>
                <w:color w:val="000000"/>
                <w:sz w:val="18"/>
                <w:szCs w:val="18"/>
              </w:rPr>
              <w:t xml:space="preserve"> </w:t>
            </w:r>
            <w:r w:rsidRPr="000C156A">
              <w:rPr>
                <w:color w:val="000000"/>
                <w:sz w:val="18"/>
                <w:szCs w:val="18"/>
              </w:rPr>
              <w:t>018</w:t>
            </w:r>
          </w:p>
        </w:tc>
      </w:tr>
      <w:tr w:rsidR="009D43C3" w:rsidRPr="000C156A" w14:paraId="705023BE" w14:textId="77777777" w:rsidTr="005D02F0">
        <w:tc>
          <w:tcPr>
            <w:tcW w:w="2998" w:type="pct"/>
            <w:tcBorders>
              <w:top w:val="nil"/>
              <w:left w:val="single" w:sz="4" w:space="0" w:color="auto"/>
              <w:bottom w:val="nil"/>
              <w:right w:val="nil"/>
            </w:tcBorders>
            <w:shd w:val="clear" w:color="auto" w:fill="auto"/>
            <w:hideMark/>
          </w:tcPr>
          <w:p w14:paraId="3C57DDA7" w14:textId="77777777" w:rsidR="009D43C3" w:rsidRPr="000C156A" w:rsidRDefault="009D43C3" w:rsidP="005D02F0">
            <w:pPr>
              <w:pStyle w:val="Tabletext"/>
              <w:spacing w:before="0"/>
              <w:rPr>
                <w:rFonts w:cs="Calibri"/>
                <w:sz w:val="18"/>
                <w:szCs w:val="18"/>
                <w:lang w:val="en-US" w:eastAsia="zh-CN"/>
              </w:rPr>
            </w:pPr>
            <w:r w:rsidRPr="000C156A">
              <w:rPr>
                <w:rFonts w:cs="Calibri" w:hint="eastAsia"/>
                <w:sz w:val="18"/>
                <w:szCs w:val="18"/>
                <w:lang w:val="en-US" w:eastAsia="zh-CN"/>
              </w:rPr>
              <w:t>其它短期可回收款项的（增加）减少</w:t>
            </w:r>
          </w:p>
        </w:tc>
        <w:tc>
          <w:tcPr>
            <w:tcW w:w="1001" w:type="pct"/>
            <w:tcBorders>
              <w:top w:val="nil"/>
              <w:left w:val="single" w:sz="4" w:space="0" w:color="auto"/>
              <w:bottom w:val="nil"/>
              <w:right w:val="single" w:sz="4" w:space="0" w:color="auto"/>
            </w:tcBorders>
            <w:shd w:val="clear" w:color="auto" w:fill="auto"/>
            <w:noWrap/>
            <w:vAlign w:val="bottom"/>
            <w:hideMark/>
          </w:tcPr>
          <w:p w14:paraId="11DF2F21" w14:textId="7AC0D1C0" w:rsidR="009D43C3" w:rsidRPr="000C156A" w:rsidRDefault="009D43C3" w:rsidP="005D02F0">
            <w:pPr>
              <w:spacing w:before="0"/>
              <w:jc w:val="right"/>
              <w:rPr>
                <w:color w:val="000000"/>
                <w:sz w:val="18"/>
                <w:szCs w:val="18"/>
              </w:rPr>
            </w:pPr>
            <w:r w:rsidRPr="000C156A">
              <w:rPr>
                <w:color w:val="000000"/>
                <w:sz w:val="18"/>
                <w:szCs w:val="18"/>
              </w:rPr>
              <w:t>19</w:t>
            </w:r>
            <w:r w:rsidR="00CF258E" w:rsidRPr="000C156A">
              <w:rPr>
                <w:color w:val="000000"/>
                <w:sz w:val="18"/>
                <w:szCs w:val="18"/>
              </w:rPr>
              <w:t xml:space="preserve"> </w:t>
            </w:r>
            <w:r w:rsidRPr="000C156A">
              <w:rPr>
                <w:color w:val="000000"/>
                <w:sz w:val="18"/>
                <w:szCs w:val="18"/>
              </w:rPr>
              <w:t>928</w:t>
            </w:r>
          </w:p>
        </w:tc>
        <w:tc>
          <w:tcPr>
            <w:tcW w:w="1001" w:type="pct"/>
            <w:tcBorders>
              <w:top w:val="nil"/>
              <w:left w:val="nil"/>
              <w:bottom w:val="nil"/>
              <w:right w:val="single" w:sz="4" w:space="0" w:color="auto"/>
            </w:tcBorders>
            <w:shd w:val="clear" w:color="auto" w:fill="auto"/>
            <w:noWrap/>
            <w:vAlign w:val="bottom"/>
            <w:hideMark/>
          </w:tcPr>
          <w:p w14:paraId="3A1FC833" w14:textId="77777777" w:rsidR="009D43C3" w:rsidRPr="000C156A" w:rsidRDefault="009D43C3" w:rsidP="005D02F0">
            <w:pPr>
              <w:spacing w:before="0"/>
              <w:jc w:val="right"/>
              <w:rPr>
                <w:color w:val="000000"/>
                <w:sz w:val="18"/>
                <w:szCs w:val="18"/>
              </w:rPr>
            </w:pPr>
            <w:r w:rsidRPr="000C156A">
              <w:rPr>
                <w:color w:val="000000"/>
                <w:sz w:val="18"/>
                <w:szCs w:val="18"/>
              </w:rPr>
              <w:t>-821</w:t>
            </w:r>
          </w:p>
        </w:tc>
      </w:tr>
      <w:tr w:rsidR="009D43C3" w:rsidRPr="000C156A" w14:paraId="623C6B6A" w14:textId="77777777" w:rsidTr="005D02F0">
        <w:tc>
          <w:tcPr>
            <w:tcW w:w="2998" w:type="pct"/>
            <w:tcBorders>
              <w:top w:val="nil"/>
              <w:left w:val="single" w:sz="4" w:space="0" w:color="auto"/>
              <w:bottom w:val="nil"/>
              <w:right w:val="nil"/>
            </w:tcBorders>
            <w:shd w:val="clear" w:color="auto" w:fill="auto"/>
            <w:hideMark/>
          </w:tcPr>
          <w:p w14:paraId="4D781A59" w14:textId="77777777" w:rsidR="009D43C3" w:rsidRPr="000C156A" w:rsidRDefault="009D43C3" w:rsidP="005D02F0">
            <w:pPr>
              <w:pStyle w:val="Tabletext"/>
              <w:spacing w:before="0"/>
              <w:rPr>
                <w:rFonts w:cs="Calibri"/>
                <w:sz w:val="18"/>
                <w:szCs w:val="18"/>
                <w:lang w:val="en-US" w:eastAsia="zh-CN"/>
              </w:rPr>
            </w:pPr>
            <w:r w:rsidRPr="000C156A">
              <w:rPr>
                <w:rFonts w:cs="Calibri" w:hint="eastAsia"/>
                <w:sz w:val="18"/>
                <w:szCs w:val="18"/>
                <w:lang w:val="en-US" w:eastAsia="zh-CN"/>
              </w:rPr>
              <w:t>供应商的增加（减少）</w:t>
            </w:r>
          </w:p>
        </w:tc>
        <w:tc>
          <w:tcPr>
            <w:tcW w:w="1001" w:type="pct"/>
            <w:tcBorders>
              <w:top w:val="nil"/>
              <w:left w:val="single" w:sz="4" w:space="0" w:color="auto"/>
              <w:bottom w:val="nil"/>
              <w:right w:val="single" w:sz="4" w:space="0" w:color="auto"/>
            </w:tcBorders>
            <w:shd w:val="clear" w:color="auto" w:fill="auto"/>
            <w:noWrap/>
            <w:vAlign w:val="bottom"/>
            <w:hideMark/>
          </w:tcPr>
          <w:p w14:paraId="13979895" w14:textId="43472A44" w:rsidR="009D43C3" w:rsidRPr="000C156A" w:rsidRDefault="009D43C3" w:rsidP="005D02F0">
            <w:pPr>
              <w:spacing w:before="0"/>
              <w:jc w:val="right"/>
              <w:rPr>
                <w:sz w:val="18"/>
                <w:szCs w:val="18"/>
              </w:rPr>
            </w:pPr>
            <w:r w:rsidRPr="000C156A">
              <w:rPr>
                <w:sz w:val="18"/>
                <w:szCs w:val="18"/>
              </w:rPr>
              <w:t>-2</w:t>
            </w:r>
            <w:r w:rsidR="00CF258E" w:rsidRPr="000C156A">
              <w:rPr>
                <w:sz w:val="18"/>
                <w:szCs w:val="18"/>
              </w:rPr>
              <w:t xml:space="preserve"> </w:t>
            </w:r>
            <w:r w:rsidRPr="000C156A">
              <w:rPr>
                <w:sz w:val="18"/>
                <w:szCs w:val="18"/>
              </w:rPr>
              <w:t>493</w:t>
            </w:r>
          </w:p>
        </w:tc>
        <w:tc>
          <w:tcPr>
            <w:tcW w:w="1001" w:type="pct"/>
            <w:tcBorders>
              <w:top w:val="nil"/>
              <w:left w:val="nil"/>
              <w:bottom w:val="nil"/>
              <w:right w:val="single" w:sz="4" w:space="0" w:color="auto"/>
            </w:tcBorders>
            <w:shd w:val="clear" w:color="auto" w:fill="auto"/>
            <w:noWrap/>
            <w:vAlign w:val="bottom"/>
            <w:hideMark/>
          </w:tcPr>
          <w:p w14:paraId="39C55436" w14:textId="77777777" w:rsidR="009D43C3" w:rsidRPr="000C156A" w:rsidRDefault="009D43C3" w:rsidP="005D02F0">
            <w:pPr>
              <w:spacing w:before="0"/>
              <w:jc w:val="right"/>
              <w:rPr>
                <w:color w:val="000000"/>
                <w:sz w:val="18"/>
                <w:szCs w:val="18"/>
              </w:rPr>
            </w:pPr>
            <w:r w:rsidRPr="000C156A">
              <w:rPr>
                <w:sz w:val="18"/>
                <w:szCs w:val="18"/>
              </w:rPr>
              <w:t>-397</w:t>
            </w:r>
          </w:p>
        </w:tc>
      </w:tr>
      <w:tr w:rsidR="009D43C3" w:rsidRPr="000C156A" w14:paraId="0FE18AC6" w14:textId="77777777" w:rsidTr="005D02F0">
        <w:tc>
          <w:tcPr>
            <w:tcW w:w="2998" w:type="pct"/>
            <w:tcBorders>
              <w:top w:val="nil"/>
              <w:left w:val="single" w:sz="4" w:space="0" w:color="auto"/>
              <w:bottom w:val="nil"/>
              <w:right w:val="nil"/>
            </w:tcBorders>
            <w:shd w:val="clear" w:color="auto" w:fill="auto"/>
            <w:hideMark/>
          </w:tcPr>
          <w:p w14:paraId="42F1AC81" w14:textId="77777777" w:rsidR="009D43C3" w:rsidRPr="000C156A" w:rsidRDefault="009D43C3" w:rsidP="005D02F0">
            <w:pPr>
              <w:pStyle w:val="Tabletext"/>
              <w:spacing w:before="0"/>
              <w:rPr>
                <w:rFonts w:cs="Calibri"/>
                <w:sz w:val="18"/>
                <w:szCs w:val="18"/>
                <w:lang w:val="en-US" w:eastAsia="zh-CN"/>
              </w:rPr>
            </w:pPr>
            <w:r w:rsidRPr="000C156A">
              <w:rPr>
                <w:rFonts w:cs="Calibri" w:hint="eastAsia"/>
                <w:sz w:val="18"/>
                <w:szCs w:val="18"/>
                <w:lang w:val="en-US" w:eastAsia="zh-CN"/>
              </w:rPr>
              <w:t>递延收入的增加（减少）</w:t>
            </w:r>
          </w:p>
        </w:tc>
        <w:tc>
          <w:tcPr>
            <w:tcW w:w="1001" w:type="pct"/>
            <w:tcBorders>
              <w:top w:val="nil"/>
              <w:left w:val="single" w:sz="4" w:space="0" w:color="auto"/>
              <w:bottom w:val="nil"/>
              <w:right w:val="single" w:sz="4" w:space="0" w:color="auto"/>
            </w:tcBorders>
            <w:shd w:val="clear" w:color="auto" w:fill="auto"/>
            <w:noWrap/>
            <w:vAlign w:val="bottom"/>
            <w:hideMark/>
          </w:tcPr>
          <w:p w14:paraId="4C73B963" w14:textId="32A0B792" w:rsidR="009D43C3" w:rsidRPr="000C156A" w:rsidRDefault="009D43C3" w:rsidP="005D02F0">
            <w:pPr>
              <w:spacing w:before="0"/>
              <w:jc w:val="right"/>
              <w:rPr>
                <w:sz w:val="18"/>
                <w:szCs w:val="18"/>
              </w:rPr>
            </w:pPr>
            <w:r w:rsidRPr="000C156A">
              <w:rPr>
                <w:sz w:val="18"/>
                <w:szCs w:val="18"/>
              </w:rPr>
              <w:t>-3</w:t>
            </w:r>
            <w:r w:rsidR="00CF258E" w:rsidRPr="000C156A">
              <w:rPr>
                <w:sz w:val="18"/>
                <w:szCs w:val="18"/>
              </w:rPr>
              <w:t xml:space="preserve"> </w:t>
            </w:r>
            <w:r w:rsidRPr="000C156A">
              <w:rPr>
                <w:sz w:val="18"/>
                <w:szCs w:val="18"/>
              </w:rPr>
              <w:t>076</w:t>
            </w:r>
          </w:p>
        </w:tc>
        <w:tc>
          <w:tcPr>
            <w:tcW w:w="1001" w:type="pct"/>
            <w:tcBorders>
              <w:top w:val="nil"/>
              <w:left w:val="nil"/>
              <w:bottom w:val="nil"/>
              <w:right w:val="single" w:sz="4" w:space="0" w:color="auto"/>
            </w:tcBorders>
            <w:shd w:val="clear" w:color="auto" w:fill="auto"/>
            <w:noWrap/>
            <w:vAlign w:val="bottom"/>
            <w:hideMark/>
          </w:tcPr>
          <w:p w14:paraId="0E9BF3B8" w14:textId="77777777" w:rsidR="009D43C3" w:rsidRPr="000C156A" w:rsidRDefault="009D43C3" w:rsidP="005D02F0">
            <w:pPr>
              <w:spacing w:before="0"/>
              <w:jc w:val="right"/>
              <w:rPr>
                <w:color w:val="000000"/>
                <w:sz w:val="18"/>
                <w:szCs w:val="18"/>
              </w:rPr>
            </w:pPr>
            <w:r w:rsidRPr="000C156A">
              <w:rPr>
                <w:sz w:val="18"/>
                <w:szCs w:val="18"/>
              </w:rPr>
              <w:t>-631</w:t>
            </w:r>
          </w:p>
        </w:tc>
      </w:tr>
      <w:tr w:rsidR="009D43C3" w:rsidRPr="000C156A" w14:paraId="79381218" w14:textId="77777777" w:rsidTr="005D02F0">
        <w:tc>
          <w:tcPr>
            <w:tcW w:w="2998" w:type="pct"/>
            <w:tcBorders>
              <w:top w:val="nil"/>
              <w:left w:val="single" w:sz="4" w:space="0" w:color="auto"/>
              <w:bottom w:val="nil"/>
              <w:right w:val="nil"/>
            </w:tcBorders>
            <w:shd w:val="clear" w:color="auto" w:fill="auto"/>
            <w:hideMark/>
          </w:tcPr>
          <w:p w14:paraId="5A9598DB" w14:textId="77777777" w:rsidR="009D43C3" w:rsidRPr="000C156A" w:rsidRDefault="009D43C3" w:rsidP="005D02F0">
            <w:pPr>
              <w:pStyle w:val="Tabletext"/>
              <w:spacing w:before="0"/>
              <w:rPr>
                <w:rFonts w:cs="Calibri"/>
                <w:sz w:val="18"/>
                <w:szCs w:val="18"/>
                <w:lang w:val="en-US" w:eastAsia="zh-CN"/>
              </w:rPr>
            </w:pPr>
            <w:r w:rsidRPr="000C156A">
              <w:rPr>
                <w:rFonts w:cs="Calibri" w:hint="eastAsia"/>
                <w:sz w:val="18"/>
                <w:szCs w:val="18"/>
                <w:lang w:val="en-US" w:eastAsia="zh-CN"/>
              </w:rPr>
              <w:t>其它债务的增加（减少）</w:t>
            </w:r>
          </w:p>
        </w:tc>
        <w:tc>
          <w:tcPr>
            <w:tcW w:w="1001" w:type="pct"/>
            <w:tcBorders>
              <w:top w:val="nil"/>
              <w:left w:val="single" w:sz="4" w:space="0" w:color="auto"/>
              <w:bottom w:val="nil"/>
              <w:right w:val="single" w:sz="4" w:space="0" w:color="auto"/>
            </w:tcBorders>
            <w:shd w:val="clear" w:color="auto" w:fill="auto"/>
            <w:noWrap/>
            <w:vAlign w:val="bottom"/>
            <w:hideMark/>
          </w:tcPr>
          <w:p w14:paraId="3815FBFA" w14:textId="22878CE3" w:rsidR="009D43C3" w:rsidRPr="000C156A" w:rsidRDefault="009D43C3" w:rsidP="005D02F0">
            <w:pPr>
              <w:spacing w:before="0"/>
              <w:jc w:val="right"/>
              <w:rPr>
                <w:color w:val="000000"/>
                <w:sz w:val="18"/>
                <w:szCs w:val="18"/>
              </w:rPr>
            </w:pPr>
            <w:r w:rsidRPr="000C156A">
              <w:rPr>
                <w:color w:val="000000"/>
                <w:sz w:val="18"/>
                <w:szCs w:val="18"/>
              </w:rPr>
              <w:t>-19</w:t>
            </w:r>
            <w:r w:rsidR="00CF258E" w:rsidRPr="000C156A">
              <w:rPr>
                <w:color w:val="000000"/>
                <w:sz w:val="18"/>
                <w:szCs w:val="18"/>
              </w:rPr>
              <w:t xml:space="preserve"> </w:t>
            </w:r>
            <w:r w:rsidRPr="000C156A">
              <w:rPr>
                <w:color w:val="000000"/>
                <w:sz w:val="18"/>
                <w:szCs w:val="18"/>
              </w:rPr>
              <w:t>592</w:t>
            </w:r>
          </w:p>
        </w:tc>
        <w:tc>
          <w:tcPr>
            <w:tcW w:w="1001" w:type="pct"/>
            <w:tcBorders>
              <w:top w:val="nil"/>
              <w:left w:val="nil"/>
              <w:bottom w:val="nil"/>
              <w:right w:val="single" w:sz="4" w:space="0" w:color="auto"/>
            </w:tcBorders>
            <w:shd w:val="clear" w:color="auto" w:fill="auto"/>
            <w:noWrap/>
            <w:vAlign w:val="bottom"/>
            <w:hideMark/>
          </w:tcPr>
          <w:p w14:paraId="3E70674F" w14:textId="7AB36E9F" w:rsidR="009D43C3" w:rsidRPr="000C156A" w:rsidRDefault="009D43C3" w:rsidP="005D02F0">
            <w:pPr>
              <w:spacing w:before="0"/>
              <w:jc w:val="right"/>
              <w:rPr>
                <w:color w:val="000000"/>
                <w:sz w:val="18"/>
                <w:szCs w:val="18"/>
              </w:rPr>
            </w:pPr>
            <w:r w:rsidRPr="000C156A">
              <w:rPr>
                <w:color w:val="000000"/>
                <w:sz w:val="18"/>
                <w:szCs w:val="18"/>
              </w:rPr>
              <w:t>2</w:t>
            </w:r>
            <w:r w:rsidR="00CF258E" w:rsidRPr="000C156A">
              <w:rPr>
                <w:color w:val="000000"/>
                <w:sz w:val="18"/>
                <w:szCs w:val="18"/>
              </w:rPr>
              <w:t xml:space="preserve"> </w:t>
            </w:r>
            <w:r w:rsidRPr="000C156A">
              <w:rPr>
                <w:color w:val="000000"/>
                <w:sz w:val="18"/>
                <w:szCs w:val="18"/>
              </w:rPr>
              <w:t>878</w:t>
            </w:r>
          </w:p>
        </w:tc>
      </w:tr>
      <w:tr w:rsidR="009D43C3" w:rsidRPr="000C156A" w14:paraId="0D502FBE" w14:textId="77777777" w:rsidTr="005D02F0">
        <w:tc>
          <w:tcPr>
            <w:tcW w:w="2998" w:type="pct"/>
            <w:tcBorders>
              <w:top w:val="nil"/>
              <w:left w:val="single" w:sz="4" w:space="0" w:color="auto"/>
              <w:bottom w:val="nil"/>
              <w:right w:val="nil"/>
            </w:tcBorders>
            <w:shd w:val="clear" w:color="auto" w:fill="auto"/>
            <w:hideMark/>
          </w:tcPr>
          <w:p w14:paraId="771B1F19" w14:textId="77777777" w:rsidR="009D43C3" w:rsidRPr="000C156A" w:rsidRDefault="009D43C3" w:rsidP="005D02F0">
            <w:pPr>
              <w:pStyle w:val="Tabletext"/>
              <w:spacing w:before="0"/>
              <w:rPr>
                <w:rFonts w:cs="Calibri"/>
                <w:sz w:val="18"/>
                <w:szCs w:val="18"/>
                <w:lang w:val="en-US" w:eastAsia="zh-CN"/>
              </w:rPr>
            </w:pPr>
            <w:r w:rsidRPr="000C156A">
              <w:rPr>
                <w:rFonts w:cs="Calibri" w:hint="eastAsia"/>
                <w:sz w:val="18"/>
                <w:szCs w:val="18"/>
                <w:lang w:val="en-US" w:eastAsia="zh-CN"/>
              </w:rPr>
              <w:t>职员福利准备金的使用（</w:t>
            </w:r>
            <w:r w:rsidRPr="000C156A">
              <w:rPr>
                <w:rFonts w:cs="Calibri"/>
                <w:sz w:val="18"/>
                <w:szCs w:val="18"/>
                <w:lang w:val="en-US" w:eastAsia="zh-CN"/>
              </w:rPr>
              <w:t>ST</w:t>
            </w:r>
            <w:r w:rsidRPr="000C156A">
              <w:rPr>
                <w:rFonts w:cs="Calibri" w:hint="eastAsia"/>
                <w:sz w:val="18"/>
                <w:szCs w:val="18"/>
                <w:lang w:val="en-US" w:eastAsia="zh-CN"/>
              </w:rPr>
              <w:t>）</w:t>
            </w:r>
          </w:p>
        </w:tc>
        <w:tc>
          <w:tcPr>
            <w:tcW w:w="1001" w:type="pct"/>
            <w:tcBorders>
              <w:top w:val="nil"/>
              <w:left w:val="single" w:sz="4" w:space="0" w:color="auto"/>
              <w:bottom w:val="nil"/>
              <w:right w:val="single" w:sz="4" w:space="0" w:color="auto"/>
            </w:tcBorders>
            <w:shd w:val="clear" w:color="auto" w:fill="auto"/>
            <w:noWrap/>
            <w:vAlign w:val="bottom"/>
            <w:hideMark/>
          </w:tcPr>
          <w:p w14:paraId="6684F000" w14:textId="77777777" w:rsidR="009D43C3" w:rsidRPr="000C156A" w:rsidRDefault="009D43C3" w:rsidP="005D02F0">
            <w:pPr>
              <w:spacing w:before="0"/>
              <w:jc w:val="right"/>
              <w:rPr>
                <w:color w:val="000000"/>
                <w:sz w:val="18"/>
                <w:szCs w:val="18"/>
              </w:rPr>
            </w:pPr>
            <w:r w:rsidRPr="000C156A">
              <w:rPr>
                <w:color w:val="000000"/>
                <w:sz w:val="18"/>
                <w:szCs w:val="18"/>
              </w:rPr>
              <w:t>-44</w:t>
            </w:r>
          </w:p>
        </w:tc>
        <w:tc>
          <w:tcPr>
            <w:tcW w:w="1001" w:type="pct"/>
            <w:tcBorders>
              <w:top w:val="nil"/>
              <w:left w:val="nil"/>
              <w:bottom w:val="nil"/>
              <w:right w:val="single" w:sz="4" w:space="0" w:color="auto"/>
            </w:tcBorders>
            <w:shd w:val="clear" w:color="auto" w:fill="auto"/>
            <w:noWrap/>
            <w:vAlign w:val="bottom"/>
            <w:hideMark/>
          </w:tcPr>
          <w:p w14:paraId="14F81BD3" w14:textId="77777777" w:rsidR="009D43C3" w:rsidRPr="000C156A" w:rsidRDefault="009D43C3" w:rsidP="005D02F0">
            <w:pPr>
              <w:spacing w:before="0"/>
              <w:jc w:val="right"/>
              <w:rPr>
                <w:color w:val="000000"/>
                <w:sz w:val="18"/>
                <w:szCs w:val="18"/>
              </w:rPr>
            </w:pPr>
            <w:r w:rsidRPr="000C156A">
              <w:rPr>
                <w:color w:val="000000"/>
                <w:sz w:val="18"/>
                <w:szCs w:val="18"/>
              </w:rPr>
              <w:t>-46</w:t>
            </w:r>
          </w:p>
        </w:tc>
      </w:tr>
      <w:tr w:rsidR="009D43C3" w:rsidRPr="000C156A" w14:paraId="1537AE99" w14:textId="77777777" w:rsidTr="005D02F0">
        <w:tc>
          <w:tcPr>
            <w:tcW w:w="2998" w:type="pct"/>
            <w:tcBorders>
              <w:top w:val="nil"/>
              <w:left w:val="single" w:sz="4" w:space="0" w:color="auto"/>
              <w:bottom w:val="nil"/>
              <w:right w:val="nil"/>
            </w:tcBorders>
            <w:shd w:val="clear" w:color="auto" w:fill="auto"/>
            <w:hideMark/>
          </w:tcPr>
          <w:p w14:paraId="58444771" w14:textId="77777777" w:rsidR="009D43C3" w:rsidRPr="000C156A" w:rsidRDefault="009D43C3" w:rsidP="005D02F0">
            <w:pPr>
              <w:pStyle w:val="Tabletext"/>
              <w:spacing w:before="0"/>
              <w:rPr>
                <w:rFonts w:cs="Calibri"/>
                <w:sz w:val="18"/>
                <w:szCs w:val="18"/>
                <w:lang w:val="en-US" w:eastAsia="zh-CN"/>
              </w:rPr>
            </w:pPr>
            <w:r w:rsidRPr="000C156A">
              <w:rPr>
                <w:rFonts w:cs="Calibri" w:hint="eastAsia"/>
                <w:sz w:val="18"/>
                <w:szCs w:val="18"/>
                <w:lang w:val="en-US" w:eastAsia="zh-CN"/>
              </w:rPr>
              <w:t>归国准备金的使用（</w:t>
            </w:r>
            <w:r w:rsidRPr="000C156A">
              <w:rPr>
                <w:rFonts w:cs="Calibri"/>
                <w:sz w:val="18"/>
                <w:szCs w:val="18"/>
                <w:lang w:val="en-US" w:eastAsia="zh-CN"/>
              </w:rPr>
              <w:t>LT</w:t>
            </w:r>
            <w:r w:rsidRPr="000C156A">
              <w:rPr>
                <w:rFonts w:cs="Calibri" w:hint="eastAsia"/>
                <w:sz w:val="18"/>
                <w:szCs w:val="18"/>
                <w:lang w:val="en-US" w:eastAsia="zh-CN"/>
              </w:rPr>
              <w:t>）</w:t>
            </w:r>
          </w:p>
        </w:tc>
        <w:tc>
          <w:tcPr>
            <w:tcW w:w="1001" w:type="pct"/>
            <w:tcBorders>
              <w:top w:val="nil"/>
              <w:left w:val="single" w:sz="4" w:space="0" w:color="auto"/>
              <w:bottom w:val="nil"/>
              <w:right w:val="single" w:sz="4" w:space="0" w:color="auto"/>
            </w:tcBorders>
            <w:shd w:val="clear" w:color="auto" w:fill="auto"/>
            <w:noWrap/>
            <w:vAlign w:val="bottom"/>
            <w:hideMark/>
          </w:tcPr>
          <w:p w14:paraId="4E759576" w14:textId="77777777" w:rsidR="009D43C3" w:rsidRPr="000C156A" w:rsidRDefault="009D43C3" w:rsidP="005D02F0">
            <w:pPr>
              <w:spacing w:before="0"/>
              <w:jc w:val="right"/>
              <w:rPr>
                <w:color w:val="000000"/>
                <w:sz w:val="18"/>
                <w:szCs w:val="18"/>
              </w:rPr>
            </w:pPr>
            <w:r w:rsidRPr="000C156A">
              <w:rPr>
                <w:color w:val="000000"/>
                <w:sz w:val="18"/>
                <w:szCs w:val="18"/>
              </w:rPr>
              <w:t>-265</w:t>
            </w:r>
          </w:p>
        </w:tc>
        <w:tc>
          <w:tcPr>
            <w:tcW w:w="1001" w:type="pct"/>
            <w:tcBorders>
              <w:top w:val="nil"/>
              <w:left w:val="nil"/>
              <w:bottom w:val="nil"/>
              <w:right w:val="single" w:sz="4" w:space="0" w:color="auto"/>
            </w:tcBorders>
            <w:shd w:val="clear" w:color="auto" w:fill="auto"/>
            <w:noWrap/>
            <w:vAlign w:val="bottom"/>
            <w:hideMark/>
          </w:tcPr>
          <w:p w14:paraId="0FF3C0CA" w14:textId="77777777" w:rsidR="009D43C3" w:rsidRPr="000C156A" w:rsidRDefault="009D43C3" w:rsidP="005D02F0">
            <w:pPr>
              <w:spacing w:before="0"/>
              <w:jc w:val="right"/>
              <w:rPr>
                <w:color w:val="000000"/>
                <w:sz w:val="18"/>
                <w:szCs w:val="18"/>
              </w:rPr>
            </w:pPr>
            <w:r w:rsidRPr="000C156A">
              <w:rPr>
                <w:color w:val="000000"/>
                <w:sz w:val="18"/>
                <w:szCs w:val="18"/>
              </w:rPr>
              <w:t>-558</w:t>
            </w:r>
          </w:p>
        </w:tc>
      </w:tr>
      <w:tr w:rsidR="009D43C3" w:rsidRPr="000C156A" w14:paraId="7B9F7CC0" w14:textId="77777777" w:rsidTr="005D02F0">
        <w:tc>
          <w:tcPr>
            <w:tcW w:w="2998" w:type="pct"/>
            <w:tcBorders>
              <w:top w:val="nil"/>
              <w:left w:val="single" w:sz="4" w:space="0" w:color="auto"/>
              <w:bottom w:val="nil"/>
              <w:right w:val="nil"/>
            </w:tcBorders>
            <w:shd w:val="clear" w:color="auto" w:fill="auto"/>
            <w:hideMark/>
          </w:tcPr>
          <w:p w14:paraId="1431D350" w14:textId="77777777" w:rsidR="009D43C3" w:rsidRPr="000C156A" w:rsidRDefault="009D43C3" w:rsidP="005D02F0">
            <w:pPr>
              <w:pStyle w:val="Tabletext"/>
              <w:spacing w:before="0"/>
              <w:rPr>
                <w:rFonts w:cs="Calibri"/>
                <w:sz w:val="18"/>
                <w:szCs w:val="18"/>
                <w:lang w:val="en-US" w:eastAsia="zh-CN"/>
              </w:rPr>
            </w:pPr>
            <w:r w:rsidRPr="000C156A">
              <w:rPr>
                <w:rFonts w:cs="Calibri" w:hint="eastAsia"/>
                <w:sz w:val="18"/>
                <w:szCs w:val="18"/>
                <w:lang w:val="en-US" w:eastAsia="zh-CN"/>
              </w:rPr>
              <w:t>应计休假准备金的使用（</w:t>
            </w:r>
            <w:r w:rsidRPr="000C156A">
              <w:rPr>
                <w:rFonts w:cs="Calibri"/>
                <w:sz w:val="18"/>
                <w:szCs w:val="18"/>
                <w:lang w:val="en-US" w:eastAsia="zh-CN"/>
              </w:rPr>
              <w:t>LT</w:t>
            </w:r>
            <w:r w:rsidRPr="000C156A">
              <w:rPr>
                <w:rFonts w:cs="Calibri" w:hint="eastAsia"/>
                <w:sz w:val="18"/>
                <w:szCs w:val="18"/>
                <w:lang w:val="en-US" w:eastAsia="zh-CN"/>
              </w:rPr>
              <w:t>）</w:t>
            </w:r>
          </w:p>
        </w:tc>
        <w:tc>
          <w:tcPr>
            <w:tcW w:w="1001" w:type="pct"/>
            <w:tcBorders>
              <w:top w:val="nil"/>
              <w:left w:val="single" w:sz="4" w:space="0" w:color="auto"/>
              <w:bottom w:val="nil"/>
              <w:right w:val="single" w:sz="4" w:space="0" w:color="auto"/>
            </w:tcBorders>
            <w:shd w:val="clear" w:color="auto" w:fill="auto"/>
            <w:noWrap/>
            <w:vAlign w:val="bottom"/>
            <w:hideMark/>
          </w:tcPr>
          <w:p w14:paraId="56847296" w14:textId="77777777" w:rsidR="009D43C3" w:rsidRPr="000C156A" w:rsidRDefault="009D43C3" w:rsidP="005D02F0">
            <w:pPr>
              <w:spacing w:before="0"/>
              <w:jc w:val="right"/>
              <w:rPr>
                <w:color w:val="000000"/>
                <w:sz w:val="18"/>
                <w:szCs w:val="18"/>
              </w:rPr>
            </w:pPr>
            <w:r w:rsidRPr="000C156A">
              <w:rPr>
                <w:color w:val="000000"/>
                <w:sz w:val="18"/>
                <w:szCs w:val="18"/>
              </w:rPr>
              <w:t>-597</w:t>
            </w:r>
          </w:p>
        </w:tc>
        <w:tc>
          <w:tcPr>
            <w:tcW w:w="1001" w:type="pct"/>
            <w:tcBorders>
              <w:top w:val="nil"/>
              <w:left w:val="nil"/>
              <w:bottom w:val="nil"/>
              <w:right w:val="single" w:sz="4" w:space="0" w:color="auto"/>
            </w:tcBorders>
            <w:shd w:val="clear" w:color="auto" w:fill="auto"/>
            <w:noWrap/>
            <w:vAlign w:val="bottom"/>
            <w:hideMark/>
          </w:tcPr>
          <w:p w14:paraId="322CCC1F" w14:textId="77777777" w:rsidR="009D43C3" w:rsidRPr="000C156A" w:rsidRDefault="009D43C3" w:rsidP="005D02F0">
            <w:pPr>
              <w:spacing w:before="0"/>
              <w:jc w:val="right"/>
              <w:rPr>
                <w:color w:val="000000"/>
                <w:sz w:val="18"/>
                <w:szCs w:val="18"/>
              </w:rPr>
            </w:pPr>
            <w:r w:rsidRPr="000C156A">
              <w:rPr>
                <w:color w:val="000000"/>
                <w:sz w:val="18"/>
                <w:szCs w:val="18"/>
              </w:rPr>
              <w:t>-188</w:t>
            </w:r>
          </w:p>
        </w:tc>
      </w:tr>
      <w:tr w:rsidR="009D43C3" w:rsidRPr="000C156A" w14:paraId="171B1660" w14:textId="77777777" w:rsidTr="005D02F0">
        <w:tc>
          <w:tcPr>
            <w:tcW w:w="2998" w:type="pct"/>
            <w:tcBorders>
              <w:top w:val="nil"/>
              <w:left w:val="single" w:sz="4" w:space="0" w:color="auto"/>
              <w:bottom w:val="nil"/>
              <w:right w:val="nil"/>
            </w:tcBorders>
            <w:shd w:val="clear" w:color="auto" w:fill="auto"/>
            <w:hideMark/>
          </w:tcPr>
          <w:p w14:paraId="3081DA7F" w14:textId="77777777" w:rsidR="009D43C3" w:rsidRPr="000C156A" w:rsidRDefault="009D43C3" w:rsidP="005D02F0">
            <w:pPr>
              <w:pStyle w:val="Tabletext"/>
              <w:spacing w:before="0"/>
              <w:rPr>
                <w:rFonts w:cs="Calibri"/>
                <w:sz w:val="18"/>
                <w:szCs w:val="18"/>
                <w:lang w:val="en-US" w:eastAsia="zh-CN"/>
              </w:rPr>
            </w:pPr>
            <w:r w:rsidRPr="000C156A">
              <w:rPr>
                <w:rFonts w:cs="Calibri" w:hint="eastAsia"/>
                <w:sz w:val="18"/>
                <w:szCs w:val="18"/>
                <w:lang w:val="en-US" w:eastAsia="zh-CN"/>
              </w:rPr>
              <w:t>增加（减少）</w:t>
            </w:r>
            <w:r w:rsidRPr="000C156A">
              <w:rPr>
                <w:rFonts w:cs="Calibri"/>
                <w:sz w:val="18"/>
                <w:szCs w:val="18"/>
                <w:lang w:val="en-US" w:eastAsia="zh-CN"/>
              </w:rPr>
              <w:t xml:space="preserve"> – </w:t>
            </w:r>
            <w:r w:rsidRPr="000C156A">
              <w:rPr>
                <w:rFonts w:cs="Calibri" w:hint="eastAsia"/>
                <w:sz w:val="18"/>
                <w:szCs w:val="18"/>
                <w:lang w:val="en-US" w:eastAsia="zh-CN"/>
              </w:rPr>
              <w:t>其它准备金</w:t>
            </w:r>
          </w:p>
        </w:tc>
        <w:tc>
          <w:tcPr>
            <w:tcW w:w="1001" w:type="pct"/>
            <w:tcBorders>
              <w:top w:val="nil"/>
              <w:left w:val="single" w:sz="4" w:space="0" w:color="auto"/>
              <w:bottom w:val="nil"/>
              <w:right w:val="single" w:sz="4" w:space="0" w:color="auto"/>
            </w:tcBorders>
            <w:shd w:val="clear" w:color="auto" w:fill="auto"/>
            <w:noWrap/>
            <w:vAlign w:val="bottom"/>
            <w:hideMark/>
          </w:tcPr>
          <w:p w14:paraId="00A800A6" w14:textId="77777777" w:rsidR="009D43C3" w:rsidRPr="000C156A" w:rsidRDefault="009D43C3" w:rsidP="005D02F0">
            <w:pPr>
              <w:spacing w:before="0"/>
              <w:jc w:val="right"/>
              <w:rPr>
                <w:color w:val="000000"/>
                <w:sz w:val="18"/>
                <w:szCs w:val="18"/>
              </w:rPr>
            </w:pPr>
            <w:r w:rsidRPr="000C156A">
              <w:rPr>
                <w:color w:val="000000"/>
                <w:sz w:val="18"/>
                <w:szCs w:val="18"/>
              </w:rPr>
              <w:t>-386</w:t>
            </w:r>
          </w:p>
        </w:tc>
        <w:tc>
          <w:tcPr>
            <w:tcW w:w="1001" w:type="pct"/>
            <w:tcBorders>
              <w:top w:val="nil"/>
              <w:left w:val="nil"/>
              <w:bottom w:val="nil"/>
              <w:right w:val="single" w:sz="4" w:space="0" w:color="auto"/>
            </w:tcBorders>
            <w:shd w:val="clear" w:color="auto" w:fill="auto"/>
            <w:noWrap/>
            <w:vAlign w:val="bottom"/>
            <w:hideMark/>
          </w:tcPr>
          <w:p w14:paraId="482D90DC" w14:textId="66FF311D" w:rsidR="009D43C3" w:rsidRPr="000C156A" w:rsidRDefault="009D43C3" w:rsidP="005D02F0">
            <w:pPr>
              <w:spacing w:before="0"/>
              <w:jc w:val="right"/>
              <w:rPr>
                <w:color w:val="000000"/>
                <w:sz w:val="18"/>
                <w:szCs w:val="18"/>
              </w:rPr>
            </w:pPr>
            <w:r w:rsidRPr="000C156A">
              <w:rPr>
                <w:color w:val="000000"/>
                <w:sz w:val="18"/>
                <w:szCs w:val="18"/>
              </w:rPr>
              <w:t>-4</w:t>
            </w:r>
            <w:r w:rsidR="00CF258E" w:rsidRPr="000C156A">
              <w:rPr>
                <w:color w:val="000000"/>
                <w:sz w:val="18"/>
                <w:szCs w:val="18"/>
              </w:rPr>
              <w:t xml:space="preserve"> </w:t>
            </w:r>
            <w:r w:rsidRPr="000C156A">
              <w:rPr>
                <w:color w:val="000000"/>
                <w:sz w:val="18"/>
                <w:szCs w:val="18"/>
              </w:rPr>
              <w:t>018</w:t>
            </w:r>
          </w:p>
        </w:tc>
      </w:tr>
      <w:tr w:rsidR="009D43C3" w:rsidRPr="000C156A" w14:paraId="530C62D5" w14:textId="77777777" w:rsidTr="005D02F0">
        <w:tc>
          <w:tcPr>
            <w:tcW w:w="2998" w:type="pct"/>
            <w:tcBorders>
              <w:top w:val="nil"/>
              <w:left w:val="single" w:sz="4" w:space="0" w:color="auto"/>
              <w:bottom w:val="nil"/>
              <w:right w:val="nil"/>
            </w:tcBorders>
            <w:shd w:val="clear" w:color="auto" w:fill="auto"/>
            <w:hideMark/>
          </w:tcPr>
          <w:p w14:paraId="053626A3" w14:textId="77777777" w:rsidR="009D43C3" w:rsidRPr="000C156A" w:rsidRDefault="009D43C3" w:rsidP="005D02F0">
            <w:pPr>
              <w:pStyle w:val="Tabletext"/>
              <w:spacing w:before="0"/>
              <w:rPr>
                <w:rFonts w:cs="Calibri"/>
                <w:sz w:val="18"/>
                <w:szCs w:val="18"/>
                <w:lang w:val="en-US" w:eastAsia="zh-CN"/>
              </w:rPr>
            </w:pPr>
            <w:r w:rsidRPr="000C156A">
              <w:rPr>
                <w:rFonts w:cs="Calibri" w:hint="eastAsia"/>
                <w:sz w:val="18"/>
                <w:szCs w:val="18"/>
                <w:lang w:val="en-US" w:eastAsia="zh-CN"/>
              </w:rPr>
              <w:t>第三方资金的增加（减少）</w:t>
            </w:r>
          </w:p>
        </w:tc>
        <w:tc>
          <w:tcPr>
            <w:tcW w:w="1001" w:type="pct"/>
            <w:tcBorders>
              <w:top w:val="nil"/>
              <w:left w:val="single" w:sz="4" w:space="0" w:color="auto"/>
              <w:bottom w:val="nil"/>
              <w:right w:val="single" w:sz="4" w:space="0" w:color="auto"/>
            </w:tcBorders>
            <w:shd w:val="clear" w:color="auto" w:fill="auto"/>
            <w:noWrap/>
            <w:vAlign w:val="bottom"/>
            <w:hideMark/>
          </w:tcPr>
          <w:p w14:paraId="0974F2D1" w14:textId="2F13CFFB" w:rsidR="009D43C3" w:rsidRPr="000C156A" w:rsidRDefault="009D43C3" w:rsidP="005D02F0">
            <w:pPr>
              <w:spacing w:before="0"/>
              <w:jc w:val="right"/>
              <w:rPr>
                <w:sz w:val="18"/>
                <w:szCs w:val="18"/>
              </w:rPr>
            </w:pPr>
            <w:r w:rsidRPr="000C156A">
              <w:rPr>
                <w:sz w:val="18"/>
                <w:szCs w:val="18"/>
              </w:rPr>
              <w:t>4</w:t>
            </w:r>
            <w:r w:rsidR="00CF258E" w:rsidRPr="000C156A">
              <w:rPr>
                <w:sz w:val="18"/>
                <w:szCs w:val="18"/>
              </w:rPr>
              <w:t xml:space="preserve"> </w:t>
            </w:r>
            <w:r w:rsidRPr="000C156A">
              <w:rPr>
                <w:sz w:val="18"/>
                <w:szCs w:val="18"/>
              </w:rPr>
              <w:t>458</w:t>
            </w:r>
          </w:p>
        </w:tc>
        <w:tc>
          <w:tcPr>
            <w:tcW w:w="1001" w:type="pct"/>
            <w:tcBorders>
              <w:top w:val="nil"/>
              <w:left w:val="nil"/>
              <w:bottom w:val="nil"/>
              <w:right w:val="single" w:sz="4" w:space="0" w:color="auto"/>
            </w:tcBorders>
            <w:shd w:val="clear" w:color="auto" w:fill="auto"/>
            <w:noWrap/>
            <w:vAlign w:val="bottom"/>
            <w:hideMark/>
          </w:tcPr>
          <w:p w14:paraId="6693E6DC" w14:textId="6E4B0EB6" w:rsidR="009D43C3" w:rsidRPr="000C156A" w:rsidRDefault="009D43C3" w:rsidP="005D02F0">
            <w:pPr>
              <w:spacing w:before="0"/>
              <w:jc w:val="right"/>
              <w:rPr>
                <w:color w:val="000000"/>
                <w:sz w:val="18"/>
                <w:szCs w:val="18"/>
              </w:rPr>
            </w:pPr>
            <w:r w:rsidRPr="000C156A">
              <w:rPr>
                <w:sz w:val="18"/>
                <w:szCs w:val="18"/>
              </w:rPr>
              <w:t>4</w:t>
            </w:r>
            <w:r w:rsidR="00CF258E" w:rsidRPr="000C156A">
              <w:rPr>
                <w:sz w:val="18"/>
                <w:szCs w:val="18"/>
              </w:rPr>
              <w:t xml:space="preserve"> </w:t>
            </w:r>
            <w:r w:rsidRPr="000C156A">
              <w:rPr>
                <w:sz w:val="18"/>
                <w:szCs w:val="18"/>
              </w:rPr>
              <w:t>500</w:t>
            </w:r>
          </w:p>
        </w:tc>
      </w:tr>
      <w:tr w:rsidR="009D43C3" w:rsidRPr="000C156A" w14:paraId="19987007" w14:textId="77777777" w:rsidTr="005D02F0">
        <w:tc>
          <w:tcPr>
            <w:tcW w:w="2998" w:type="pct"/>
            <w:tcBorders>
              <w:top w:val="nil"/>
              <w:left w:val="single" w:sz="4" w:space="0" w:color="auto"/>
              <w:bottom w:val="nil"/>
              <w:right w:val="nil"/>
            </w:tcBorders>
            <w:shd w:val="clear" w:color="auto" w:fill="auto"/>
            <w:hideMark/>
          </w:tcPr>
          <w:p w14:paraId="1D386836" w14:textId="77777777" w:rsidR="009D43C3" w:rsidRPr="000C156A" w:rsidRDefault="009D43C3" w:rsidP="005D02F0">
            <w:pPr>
              <w:pStyle w:val="Tabletext"/>
              <w:spacing w:before="0"/>
              <w:rPr>
                <w:rFonts w:cs="Calibri"/>
                <w:sz w:val="18"/>
                <w:szCs w:val="18"/>
                <w:lang w:val="en-US"/>
              </w:rPr>
            </w:pPr>
            <w:r w:rsidRPr="000C156A">
              <w:rPr>
                <w:rFonts w:cs="Calibri" w:hint="eastAsia"/>
                <w:sz w:val="18"/>
                <w:szCs w:val="18"/>
                <w:lang w:val="en-US"/>
              </w:rPr>
              <w:t>自有资金的变化</w:t>
            </w:r>
          </w:p>
        </w:tc>
        <w:tc>
          <w:tcPr>
            <w:tcW w:w="1001" w:type="pct"/>
            <w:tcBorders>
              <w:top w:val="nil"/>
              <w:left w:val="single" w:sz="4" w:space="0" w:color="auto"/>
              <w:bottom w:val="nil"/>
              <w:right w:val="single" w:sz="4" w:space="0" w:color="auto"/>
            </w:tcBorders>
            <w:shd w:val="clear" w:color="auto" w:fill="auto"/>
            <w:noWrap/>
            <w:vAlign w:val="bottom"/>
            <w:hideMark/>
          </w:tcPr>
          <w:p w14:paraId="1802A980" w14:textId="73383509" w:rsidR="009D43C3" w:rsidRPr="000C156A" w:rsidRDefault="009D43C3" w:rsidP="005D02F0">
            <w:pPr>
              <w:spacing w:before="0"/>
              <w:jc w:val="right"/>
              <w:rPr>
                <w:sz w:val="18"/>
                <w:szCs w:val="18"/>
              </w:rPr>
            </w:pPr>
            <w:r w:rsidRPr="000C156A">
              <w:rPr>
                <w:sz w:val="18"/>
                <w:szCs w:val="18"/>
              </w:rPr>
              <w:t>-15</w:t>
            </w:r>
            <w:r w:rsidR="00CF258E" w:rsidRPr="000C156A">
              <w:rPr>
                <w:sz w:val="18"/>
                <w:szCs w:val="18"/>
              </w:rPr>
              <w:t xml:space="preserve"> </w:t>
            </w:r>
            <w:r w:rsidRPr="000C156A">
              <w:rPr>
                <w:sz w:val="18"/>
                <w:szCs w:val="18"/>
              </w:rPr>
              <w:t>877</w:t>
            </w:r>
          </w:p>
        </w:tc>
        <w:tc>
          <w:tcPr>
            <w:tcW w:w="1001" w:type="pct"/>
            <w:tcBorders>
              <w:top w:val="nil"/>
              <w:left w:val="nil"/>
              <w:bottom w:val="nil"/>
              <w:right w:val="single" w:sz="4" w:space="0" w:color="auto"/>
            </w:tcBorders>
            <w:shd w:val="clear" w:color="auto" w:fill="auto"/>
            <w:noWrap/>
            <w:vAlign w:val="bottom"/>
            <w:hideMark/>
          </w:tcPr>
          <w:p w14:paraId="392D4AB9" w14:textId="00A136B0" w:rsidR="009D43C3" w:rsidRPr="000C156A" w:rsidRDefault="009D43C3" w:rsidP="005D02F0">
            <w:pPr>
              <w:spacing w:before="0"/>
              <w:jc w:val="right"/>
              <w:rPr>
                <w:color w:val="000000"/>
                <w:sz w:val="18"/>
                <w:szCs w:val="18"/>
              </w:rPr>
            </w:pPr>
            <w:r w:rsidRPr="000C156A">
              <w:rPr>
                <w:sz w:val="18"/>
                <w:szCs w:val="18"/>
              </w:rPr>
              <w:t>-4</w:t>
            </w:r>
            <w:r w:rsidR="00CF258E" w:rsidRPr="000C156A">
              <w:rPr>
                <w:sz w:val="18"/>
                <w:szCs w:val="18"/>
              </w:rPr>
              <w:t xml:space="preserve"> </w:t>
            </w:r>
            <w:r w:rsidRPr="000C156A">
              <w:rPr>
                <w:sz w:val="18"/>
                <w:szCs w:val="18"/>
              </w:rPr>
              <w:t>117</w:t>
            </w:r>
          </w:p>
        </w:tc>
      </w:tr>
      <w:tr w:rsidR="009D43C3" w:rsidRPr="000C156A" w14:paraId="684B53C5" w14:textId="77777777" w:rsidTr="005D02F0">
        <w:tc>
          <w:tcPr>
            <w:tcW w:w="2998" w:type="pct"/>
            <w:tcBorders>
              <w:top w:val="nil"/>
              <w:left w:val="single" w:sz="4" w:space="0" w:color="auto"/>
              <w:bottom w:val="nil"/>
              <w:right w:val="nil"/>
            </w:tcBorders>
            <w:shd w:val="clear" w:color="auto" w:fill="auto"/>
            <w:noWrap/>
            <w:vAlign w:val="bottom"/>
            <w:hideMark/>
          </w:tcPr>
          <w:p w14:paraId="080E87B3" w14:textId="77777777" w:rsidR="009D43C3" w:rsidRPr="000C156A" w:rsidRDefault="009D43C3" w:rsidP="005D02F0">
            <w:pPr>
              <w:overflowPunct/>
              <w:adjustRightInd/>
              <w:spacing w:before="0"/>
              <w:textAlignment w:val="auto"/>
              <w:rPr>
                <w:rFonts w:cs="Calibri"/>
                <w:color w:val="000000"/>
                <w:sz w:val="18"/>
                <w:szCs w:val="18"/>
                <w:lang w:val="en-US" w:eastAsia="zh-CN"/>
              </w:rPr>
            </w:pPr>
            <w:r w:rsidRPr="000C156A">
              <w:rPr>
                <w:rFonts w:cs="Calibri"/>
                <w:color w:val="000000"/>
                <w:sz w:val="18"/>
                <w:szCs w:val="18"/>
                <w:lang w:val="en-US" w:eastAsia="zh-CN"/>
              </w:rPr>
              <w:t> </w:t>
            </w:r>
          </w:p>
        </w:tc>
        <w:tc>
          <w:tcPr>
            <w:tcW w:w="1001" w:type="pct"/>
            <w:tcBorders>
              <w:top w:val="nil"/>
              <w:left w:val="single" w:sz="4" w:space="0" w:color="auto"/>
              <w:bottom w:val="nil"/>
              <w:right w:val="single" w:sz="4" w:space="0" w:color="auto"/>
            </w:tcBorders>
            <w:shd w:val="clear" w:color="auto" w:fill="auto"/>
            <w:noWrap/>
            <w:vAlign w:val="bottom"/>
            <w:hideMark/>
          </w:tcPr>
          <w:p w14:paraId="3078989F" w14:textId="77777777" w:rsidR="009D43C3" w:rsidRPr="000C156A" w:rsidRDefault="009D43C3" w:rsidP="005D02F0">
            <w:pPr>
              <w:spacing w:before="0"/>
              <w:jc w:val="right"/>
              <w:rPr>
                <w:sz w:val="18"/>
                <w:szCs w:val="18"/>
              </w:rPr>
            </w:pPr>
          </w:p>
        </w:tc>
        <w:tc>
          <w:tcPr>
            <w:tcW w:w="1001" w:type="pct"/>
            <w:tcBorders>
              <w:top w:val="nil"/>
              <w:left w:val="nil"/>
              <w:bottom w:val="nil"/>
              <w:right w:val="single" w:sz="4" w:space="0" w:color="auto"/>
            </w:tcBorders>
            <w:shd w:val="clear" w:color="auto" w:fill="auto"/>
            <w:noWrap/>
            <w:vAlign w:val="bottom"/>
            <w:hideMark/>
          </w:tcPr>
          <w:p w14:paraId="1D83E740" w14:textId="77777777" w:rsidR="009D43C3" w:rsidRPr="000C156A" w:rsidRDefault="009D43C3" w:rsidP="005D02F0">
            <w:pPr>
              <w:spacing w:before="0"/>
              <w:jc w:val="right"/>
              <w:rPr>
                <w:color w:val="000000"/>
                <w:sz w:val="18"/>
                <w:szCs w:val="18"/>
              </w:rPr>
            </w:pPr>
          </w:p>
        </w:tc>
      </w:tr>
      <w:tr w:rsidR="009D43C3" w:rsidRPr="000C156A" w14:paraId="6E8A5C84" w14:textId="77777777" w:rsidTr="005D02F0">
        <w:tc>
          <w:tcPr>
            <w:tcW w:w="2998" w:type="pct"/>
            <w:tcBorders>
              <w:top w:val="single" w:sz="4" w:space="0" w:color="auto"/>
              <w:left w:val="single" w:sz="4" w:space="0" w:color="auto"/>
              <w:bottom w:val="single" w:sz="4" w:space="0" w:color="auto"/>
              <w:right w:val="nil"/>
            </w:tcBorders>
            <w:shd w:val="clear" w:color="auto" w:fill="auto"/>
            <w:hideMark/>
          </w:tcPr>
          <w:p w14:paraId="2CD99E62" w14:textId="77777777" w:rsidR="009D43C3" w:rsidRPr="000C156A" w:rsidRDefault="009D43C3" w:rsidP="005D02F0">
            <w:pPr>
              <w:overflowPunct/>
              <w:adjustRightInd/>
              <w:spacing w:before="0" w:after="60"/>
              <w:textAlignment w:val="auto"/>
              <w:rPr>
                <w:rFonts w:cs="Calibri"/>
                <w:b/>
                <w:bCs/>
                <w:color w:val="000000"/>
                <w:sz w:val="18"/>
                <w:szCs w:val="18"/>
                <w:lang w:val="en-US" w:eastAsia="zh-CN"/>
              </w:rPr>
            </w:pPr>
            <w:r w:rsidRPr="000C156A">
              <w:rPr>
                <w:rFonts w:cs="Calibri" w:hint="eastAsia"/>
                <w:b/>
                <w:bCs/>
                <w:sz w:val="18"/>
                <w:szCs w:val="18"/>
                <w:lang w:val="en-US"/>
              </w:rPr>
              <w:t>营运活动的现金流</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14:paraId="339DEC12" w14:textId="21337EC6" w:rsidR="009D43C3" w:rsidRPr="000C156A" w:rsidRDefault="009D43C3" w:rsidP="005D02F0">
            <w:pPr>
              <w:spacing w:before="0"/>
              <w:jc w:val="right"/>
              <w:rPr>
                <w:b/>
                <w:bCs/>
                <w:sz w:val="18"/>
                <w:szCs w:val="18"/>
              </w:rPr>
            </w:pPr>
            <w:r w:rsidRPr="000C156A">
              <w:rPr>
                <w:b/>
                <w:bCs/>
                <w:sz w:val="18"/>
                <w:szCs w:val="18"/>
              </w:rPr>
              <w:t>-21</w:t>
            </w:r>
            <w:r w:rsidR="00CF258E" w:rsidRPr="000C156A">
              <w:rPr>
                <w:b/>
                <w:bCs/>
                <w:sz w:val="18"/>
                <w:szCs w:val="18"/>
              </w:rPr>
              <w:t xml:space="preserve"> </w:t>
            </w:r>
            <w:r w:rsidRPr="000C156A">
              <w:rPr>
                <w:b/>
                <w:bCs/>
                <w:sz w:val="18"/>
                <w:szCs w:val="18"/>
              </w:rPr>
              <w:t>146</w:t>
            </w:r>
          </w:p>
        </w:tc>
        <w:tc>
          <w:tcPr>
            <w:tcW w:w="1001" w:type="pct"/>
            <w:tcBorders>
              <w:top w:val="single" w:sz="4" w:space="0" w:color="auto"/>
              <w:left w:val="nil"/>
              <w:bottom w:val="single" w:sz="4" w:space="0" w:color="auto"/>
              <w:right w:val="single" w:sz="4" w:space="0" w:color="auto"/>
            </w:tcBorders>
            <w:shd w:val="clear" w:color="auto" w:fill="auto"/>
            <w:hideMark/>
          </w:tcPr>
          <w:p w14:paraId="4C76398B" w14:textId="60852C50" w:rsidR="009D43C3" w:rsidRPr="000C156A" w:rsidRDefault="009D43C3" w:rsidP="005D02F0">
            <w:pPr>
              <w:spacing w:before="0"/>
              <w:jc w:val="right"/>
              <w:rPr>
                <w:b/>
                <w:bCs/>
                <w:color w:val="000000"/>
                <w:sz w:val="18"/>
                <w:szCs w:val="18"/>
              </w:rPr>
            </w:pPr>
            <w:r w:rsidRPr="000C156A">
              <w:rPr>
                <w:b/>
                <w:bCs/>
                <w:sz w:val="18"/>
                <w:szCs w:val="18"/>
              </w:rPr>
              <w:t>-7</w:t>
            </w:r>
            <w:r w:rsidR="00CF258E" w:rsidRPr="000C156A">
              <w:rPr>
                <w:b/>
                <w:bCs/>
                <w:sz w:val="18"/>
                <w:szCs w:val="18"/>
              </w:rPr>
              <w:t xml:space="preserve"> </w:t>
            </w:r>
            <w:r w:rsidRPr="000C156A">
              <w:rPr>
                <w:b/>
                <w:bCs/>
                <w:sz w:val="18"/>
                <w:szCs w:val="18"/>
              </w:rPr>
              <w:t>452</w:t>
            </w:r>
          </w:p>
        </w:tc>
      </w:tr>
      <w:tr w:rsidR="009D43C3" w:rsidRPr="000C156A" w14:paraId="4620DD39" w14:textId="77777777" w:rsidTr="005D02F0">
        <w:tc>
          <w:tcPr>
            <w:tcW w:w="2998" w:type="pct"/>
            <w:tcBorders>
              <w:top w:val="nil"/>
              <w:left w:val="single" w:sz="4" w:space="0" w:color="auto"/>
              <w:bottom w:val="nil"/>
              <w:right w:val="nil"/>
            </w:tcBorders>
            <w:shd w:val="clear" w:color="auto" w:fill="auto"/>
            <w:hideMark/>
          </w:tcPr>
          <w:p w14:paraId="4D0C17AF" w14:textId="77777777" w:rsidR="009D43C3" w:rsidRPr="000C156A" w:rsidRDefault="009D43C3" w:rsidP="005D02F0">
            <w:pPr>
              <w:overflowPunct/>
              <w:adjustRightInd/>
              <w:spacing w:before="0"/>
              <w:textAlignment w:val="auto"/>
              <w:rPr>
                <w:rFonts w:cs="Calibri"/>
                <w:color w:val="000000"/>
                <w:sz w:val="18"/>
                <w:szCs w:val="18"/>
                <w:lang w:val="en-US" w:eastAsia="zh-CN"/>
              </w:rPr>
            </w:pPr>
            <w:r w:rsidRPr="000C156A">
              <w:rPr>
                <w:rFonts w:cs="Calibri"/>
                <w:color w:val="000000"/>
                <w:sz w:val="18"/>
                <w:szCs w:val="18"/>
                <w:lang w:val="en-US" w:eastAsia="zh-CN"/>
              </w:rPr>
              <w:t> </w:t>
            </w:r>
          </w:p>
        </w:tc>
        <w:tc>
          <w:tcPr>
            <w:tcW w:w="1001" w:type="pct"/>
            <w:tcBorders>
              <w:top w:val="nil"/>
              <w:left w:val="single" w:sz="4" w:space="0" w:color="auto"/>
              <w:bottom w:val="nil"/>
              <w:right w:val="single" w:sz="4" w:space="0" w:color="auto"/>
            </w:tcBorders>
            <w:shd w:val="clear" w:color="auto" w:fill="auto"/>
            <w:noWrap/>
            <w:vAlign w:val="bottom"/>
            <w:hideMark/>
          </w:tcPr>
          <w:p w14:paraId="63F5656C" w14:textId="77777777" w:rsidR="009D43C3" w:rsidRPr="000C156A" w:rsidRDefault="009D43C3" w:rsidP="005D02F0">
            <w:pPr>
              <w:spacing w:before="0"/>
              <w:jc w:val="right"/>
              <w:rPr>
                <w:sz w:val="18"/>
                <w:szCs w:val="18"/>
              </w:rPr>
            </w:pPr>
          </w:p>
        </w:tc>
        <w:tc>
          <w:tcPr>
            <w:tcW w:w="1001" w:type="pct"/>
            <w:tcBorders>
              <w:top w:val="nil"/>
              <w:left w:val="nil"/>
              <w:bottom w:val="nil"/>
              <w:right w:val="single" w:sz="4" w:space="0" w:color="auto"/>
            </w:tcBorders>
            <w:shd w:val="clear" w:color="auto" w:fill="auto"/>
            <w:noWrap/>
            <w:vAlign w:val="bottom"/>
            <w:hideMark/>
          </w:tcPr>
          <w:p w14:paraId="5840B9B3" w14:textId="77777777" w:rsidR="009D43C3" w:rsidRPr="000C156A" w:rsidRDefault="009D43C3" w:rsidP="005D02F0">
            <w:pPr>
              <w:spacing w:before="0"/>
              <w:jc w:val="right"/>
              <w:rPr>
                <w:color w:val="000000"/>
                <w:sz w:val="18"/>
                <w:szCs w:val="18"/>
              </w:rPr>
            </w:pPr>
          </w:p>
        </w:tc>
      </w:tr>
      <w:tr w:rsidR="009D43C3" w:rsidRPr="000C156A" w14:paraId="7BDBBDEE" w14:textId="77777777" w:rsidTr="005D02F0">
        <w:tc>
          <w:tcPr>
            <w:tcW w:w="2998" w:type="pct"/>
            <w:tcBorders>
              <w:top w:val="nil"/>
              <w:left w:val="single" w:sz="4" w:space="0" w:color="auto"/>
              <w:bottom w:val="nil"/>
              <w:right w:val="nil"/>
            </w:tcBorders>
            <w:shd w:val="clear" w:color="auto" w:fill="auto"/>
            <w:hideMark/>
          </w:tcPr>
          <w:p w14:paraId="75D39B56" w14:textId="77777777" w:rsidR="009D43C3" w:rsidRPr="000C156A" w:rsidRDefault="009D43C3" w:rsidP="005D02F0">
            <w:pPr>
              <w:overflowPunct/>
              <w:adjustRightInd/>
              <w:spacing w:before="0" w:after="60"/>
              <w:textAlignment w:val="auto"/>
              <w:rPr>
                <w:rFonts w:cs="Calibri"/>
                <w:b/>
                <w:bCs/>
                <w:color w:val="000000"/>
                <w:sz w:val="18"/>
                <w:szCs w:val="18"/>
                <w:lang w:val="en-US" w:eastAsia="zh-CN"/>
              </w:rPr>
            </w:pPr>
            <w:r w:rsidRPr="000C156A">
              <w:rPr>
                <w:rFonts w:cs="Calibri" w:hint="eastAsia"/>
                <w:b/>
                <w:bCs/>
                <w:sz w:val="18"/>
                <w:szCs w:val="18"/>
                <w:lang w:val="en-US" w:eastAsia="zh-CN"/>
              </w:rPr>
              <w:t>投资活动的现金流净值</w:t>
            </w:r>
          </w:p>
        </w:tc>
        <w:tc>
          <w:tcPr>
            <w:tcW w:w="1001" w:type="pct"/>
            <w:tcBorders>
              <w:top w:val="nil"/>
              <w:left w:val="single" w:sz="4" w:space="0" w:color="auto"/>
              <w:bottom w:val="nil"/>
              <w:right w:val="single" w:sz="4" w:space="0" w:color="auto"/>
            </w:tcBorders>
            <w:shd w:val="clear" w:color="auto" w:fill="auto"/>
            <w:noWrap/>
            <w:vAlign w:val="bottom"/>
            <w:hideMark/>
          </w:tcPr>
          <w:p w14:paraId="51FB24F5" w14:textId="77777777" w:rsidR="009D43C3" w:rsidRPr="000C156A" w:rsidRDefault="009D43C3" w:rsidP="005D02F0">
            <w:pPr>
              <w:spacing w:before="0"/>
              <w:jc w:val="right"/>
              <w:rPr>
                <w:sz w:val="18"/>
                <w:szCs w:val="18"/>
                <w:lang w:eastAsia="zh-CN"/>
              </w:rPr>
            </w:pPr>
          </w:p>
        </w:tc>
        <w:tc>
          <w:tcPr>
            <w:tcW w:w="1001" w:type="pct"/>
            <w:tcBorders>
              <w:top w:val="nil"/>
              <w:left w:val="nil"/>
              <w:bottom w:val="nil"/>
              <w:right w:val="single" w:sz="4" w:space="0" w:color="auto"/>
            </w:tcBorders>
            <w:shd w:val="clear" w:color="auto" w:fill="auto"/>
            <w:noWrap/>
            <w:vAlign w:val="bottom"/>
            <w:hideMark/>
          </w:tcPr>
          <w:p w14:paraId="2AC5A871" w14:textId="77777777" w:rsidR="009D43C3" w:rsidRPr="000C156A" w:rsidRDefault="009D43C3" w:rsidP="005D02F0">
            <w:pPr>
              <w:spacing w:before="0"/>
              <w:jc w:val="right"/>
              <w:rPr>
                <w:color w:val="000000"/>
                <w:sz w:val="18"/>
                <w:szCs w:val="18"/>
                <w:lang w:eastAsia="zh-CN"/>
              </w:rPr>
            </w:pPr>
          </w:p>
        </w:tc>
      </w:tr>
      <w:tr w:rsidR="009D43C3" w:rsidRPr="000C156A" w14:paraId="7FA7265F" w14:textId="77777777" w:rsidTr="005D02F0">
        <w:tc>
          <w:tcPr>
            <w:tcW w:w="2998" w:type="pct"/>
            <w:tcBorders>
              <w:top w:val="nil"/>
              <w:left w:val="single" w:sz="4" w:space="0" w:color="auto"/>
              <w:bottom w:val="nil"/>
              <w:right w:val="nil"/>
            </w:tcBorders>
            <w:shd w:val="clear" w:color="auto" w:fill="auto"/>
            <w:hideMark/>
          </w:tcPr>
          <w:p w14:paraId="38124D38" w14:textId="77777777" w:rsidR="009D43C3" w:rsidRPr="000C156A" w:rsidRDefault="009D43C3" w:rsidP="005D02F0">
            <w:pPr>
              <w:pStyle w:val="Tabletext"/>
              <w:spacing w:before="0"/>
              <w:rPr>
                <w:rFonts w:cs="Calibri"/>
                <w:sz w:val="18"/>
                <w:szCs w:val="18"/>
                <w:lang w:val="en-US"/>
              </w:rPr>
            </w:pPr>
            <w:r w:rsidRPr="000C156A">
              <w:rPr>
                <w:rFonts w:cs="Calibri" w:hint="eastAsia"/>
                <w:sz w:val="18"/>
                <w:szCs w:val="18"/>
                <w:lang w:val="en-US"/>
              </w:rPr>
              <w:t>（增加）</w:t>
            </w:r>
            <w:r w:rsidRPr="000C156A">
              <w:rPr>
                <w:rFonts w:cs="Calibri" w:hint="eastAsia"/>
                <w:sz w:val="18"/>
                <w:szCs w:val="18"/>
                <w:lang w:val="en-US"/>
              </w:rPr>
              <w:t>/</w:t>
            </w:r>
            <w:r w:rsidRPr="000C156A">
              <w:rPr>
                <w:rFonts w:cs="Calibri" w:hint="eastAsia"/>
                <w:sz w:val="18"/>
                <w:szCs w:val="18"/>
                <w:lang w:val="en-US"/>
              </w:rPr>
              <w:t>减少</w:t>
            </w:r>
            <w:r w:rsidRPr="000C156A">
              <w:rPr>
                <w:rFonts w:cs="Calibri"/>
                <w:sz w:val="18"/>
                <w:szCs w:val="18"/>
                <w:lang w:val="en-US"/>
              </w:rPr>
              <w:t xml:space="preserve"> –</w:t>
            </w:r>
            <w:r w:rsidRPr="000C156A">
              <w:rPr>
                <w:rFonts w:cs="Calibri" w:hint="eastAsia"/>
                <w:sz w:val="18"/>
                <w:szCs w:val="18"/>
                <w:lang w:val="en-US" w:eastAsia="zh-CN"/>
              </w:rPr>
              <w:t xml:space="preserve"> </w:t>
            </w:r>
            <w:r w:rsidRPr="000C156A">
              <w:rPr>
                <w:rFonts w:cs="Calibri" w:hint="eastAsia"/>
                <w:sz w:val="18"/>
                <w:szCs w:val="18"/>
                <w:lang w:val="en-US"/>
              </w:rPr>
              <w:t>投资</w:t>
            </w:r>
          </w:p>
        </w:tc>
        <w:tc>
          <w:tcPr>
            <w:tcW w:w="1001" w:type="pct"/>
            <w:tcBorders>
              <w:top w:val="nil"/>
              <w:left w:val="single" w:sz="4" w:space="0" w:color="auto"/>
              <w:bottom w:val="nil"/>
              <w:right w:val="single" w:sz="4" w:space="0" w:color="auto"/>
            </w:tcBorders>
            <w:shd w:val="clear" w:color="auto" w:fill="auto"/>
            <w:noWrap/>
            <w:vAlign w:val="bottom"/>
            <w:hideMark/>
          </w:tcPr>
          <w:p w14:paraId="31293DA1" w14:textId="3C82ED86" w:rsidR="009D43C3" w:rsidRPr="000C156A" w:rsidRDefault="009D43C3" w:rsidP="005D02F0">
            <w:pPr>
              <w:spacing w:before="0"/>
              <w:jc w:val="right"/>
              <w:rPr>
                <w:sz w:val="18"/>
                <w:szCs w:val="18"/>
              </w:rPr>
            </w:pPr>
            <w:r w:rsidRPr="000C156A">
              <w:rPr>
                <w:sz w:val="18"/>
                <w:szCs w:val="18"/>
              </w:rPr>
              <w:t>-62</w:t>
            </w:r>
            <w:r w:rsidR="00CF258E" w:rsidRPr="000C156A">
              <w:rPr>
                <w:sz w:val="18"/>
                <w:szCs w:val="18"/>
              </w:rPr>
              <w:t xml:space="preserve"> </w:t>
            </w:r>
            <w:r w:rsidRPr="000C156A">
              <w:rPr>
                <w:sz w:val="18"/>
                <w:szCs w:val="18"/>
              </w:rPr>
              <w:t>188</w:t>
            </w:r>
          </w:p>
        </w:tc>
        <w:tc>
          <w:tcPr>
            <w:tcW w:w="1001" w:type="pct"/>
            <w:tcBorders>
              <w:top w:val="nil"/>
              <w:left w:val="nil"/>
              <w:bottom w:val="nil"/>
              <w:right w:val="single" w:sz="4" w:space="0" w:color="auto"/>
            </w:tcBorders>
            <w:shd w:val="clear" w:color="auto" w:fill="auto"/>
            <w:noWrap/>
            <w:vAlign w:val="bottom"/>
            <w:hideMark/>
          </w:tcPr>
          <w:p w14:paraId="162E0CA0" w14:textId="2E2B5161" w:rsidR="009D43C3" w:rsidRPr="000C156A" w:rsidRDefault="009D43C3" w:rsidP="005D02F0">
            <w:pPr>
              <w:spacing w:before="0"/>
              <w:jc w:val="right"/>
              <w:rPr>
                <w:sz w:val="18"/>
                <w:szCs w:val="18"/>
              </w:rPr>
            </w:pPr>
            <w:r w:rsidRPr="000C156A">
              <w:rPr>
                <w:sz w:val="18"/>
                <w:szCs w:val="18"/>
              </w:rPr>
              <w:t>15</w:t>
            </w:r>
            <w:r w:rsidR="00CF258E" w:rsidRPr="000C156A">
              <w:rPr>
                <w:sz w:val="18"/>
                <w:szCs w:val="18"/>
              </w:rPr>
              <w:t xml:space="preserve"> </w:t>
            </w:r>
            <w:r w:rsidRPr="000C156A">
              <w:rPr>
                <w:sz w:val="18"/>
                <w:szCs w:val="18"/>
              </w:rPr>
              <w:t>667</w:t>
            </w:r>
          </w:p>
        </w:tc>
      </w:tr>
      <w:tr w:rsidR="009D43C3" w:rsidRPr="000C156A" w14:paraId="4A9FFD0D" w14:textId="77777777" w:rsidTr="005D02F0">
        <w:tc>
          <w:tcPr>
            <w:tcW w:w="2998" w:type="pct"/>
            <w:tcBorders>
              <w:top w:val="nil"/>
              <w:left w:val="single" w:sz="4" w:space="0" w:color="auto"/>
              <w:bottom w:val="nil"/>
              <w:right w:val="nil"/>
            </w:tcBorders>
            <w:shd w:val="clear" w:color="auto" w:fill="auto"/>
            <w:hideMark/>
          </w:tcPr>
          <w:p w14:paraId="4A77F8F5" w14:textId="77777777" w:rsidR="009D43C3" w:rsidRPr="000C156A" w:rsidRDefault="009D43C3" w:rsidP="005D02F0">
            <w:pPr>
              <w:pStyle w:val="Tabletext"/>
              <w:spacing w:before="0"/>
              <w:rPr>
                <w:rFonts w:cs="Calibri"/>
                <w:sz w:val="18"/>
                <w:szCs w:val="18"/>
                <w:lang w:val="en-US"/>
              </w:rPr>
            </w:pPr>
            <w:r w:rsidRPr="000C156A">
              <w:rPr>
                <w:rFonts w:cs="Calibri" w:hint="eastAsia"/>
                <w:sz w:val="18"/>
                <w:szCs w:val="18"/>
                <w:lang w:val="en-US"/>
              </w:rPr>
              <w:t>短期投资利息</w:t>
            </w:r>
          </w:p>
        </w:tc>
        <w:tc>
          <w:tcPr>
            <w:tcW w:w="1001" w:type="pct"/>
            <w:tcBorders>
              <w:top w:val="nil"/>
              <w:left w:val="single" w:sz="4" w:space="0" w:color="auto"/>
              <w:bottom w:val="nil"/>
              <w:right w:val="single" w:sz="4" w:space="0" w:color="auto"/>
            </w:tcBorders>
            <w:shd w:val="clear" w:color="auto" w:fill="auto"/>
            <w:noWrap/>
            <w:vAlign w:val="bottom"/>
            <w:hideMark/>
          </w:tcPr>
          <w:p w14:paraId="77969EF3" w14:textId="77777777" w:rsidR="009D43C3" w:rsidRPr="000C156A" w:rsidRDefault="009D43C3" w:rsidP="005D02F0">
            <w:pPr>
              <w:spacing w:before="0"/>
              <w:jc w:val="right"/>
              <w:rPr>
                <w:sz w:val="18"/>
                <w:szCs w:val="18"/>
              </w:rPr>
            </w:pPr>
            <w:r w:rsidRPr="000C156A">
              <w:rPr>
                <w:sz w:val="18"/>
                <w:szCs w:val="18"/>
              </w:rPr>
              <w:t>400</w:t>
            </w:r>
          </w:p>
        </w:tc>
        <w:tc>
          <w:tcPr>
            <w:tcW w:w="1001" w:type="pct"/>
            <w:tcBorders>
              <w:top w:val="nil"/>
              <w:left w:val="nil"/>
              <w:bottom w:val="nil"/>
              <w:right w:val="single" w:sz="4" w:space="0" w:color="auto"/>
            </w:tcBorders>
            <w:shd w:val="clear" w:color="auto" w:fill="auto"/>
            <w:noWrap/>
            <w:vAlign w:val="bottom"/>
            <w:hideMark/>
          </w:tcPr>
          <w:p w14:paraId="685CC936" w14:textId="77777777" w:rsidR="009D43C3" w:rsidRPr="000C156A" w:rsidRDefault="009D43C3" w:rsidP="005D02F0">
            <w:pPr>
              <w:spacing w:before="0"/>
              <w:jc w:val="right"/>
              <w:rPr>
                <w:sz w:val="18"/>
                <w:szCs w:val="18"/>
              </w:rPr>
            </w:pPr>
            <w:r w:rsidRPr="000C156A">
              <w:rPr>
                <w:sz w:val="18"/>
                <w:szCs w:val="18"/>
              </w:rPr>
              <w:t>926</w:t>
            </w:r>
          </w:p>
        </w:tc>
      </w:tr>
      <w:tr w:rsidR="009D43C3" w:rsidRPr="000C156A" w14:paraId="31827F90" w14:textId="77777777" w:rsidTr="005D02F0">
        <w:tc>
          <w:tcPr>
            <w:tcW w:w="2998" w:type="pct"/>
            <w:tcBorders>
              <w:top w:val="nil"/>
              <w:left w:val="single" w:sz="4" w:space="0" w:color="auto"/>
              <w:bottom w:val="nil"/>
              <w:right w:val="nil"/>
            </w:tcBorders>
            <w:shd w:val="clear" w:color="auto" w:fill="auto"/>
            <w:hideMark/>
          </w:tcPr>
          <w:p w14:paraId="76BBACCB" w14:textId="77777777" w:rsidR="009D43C3" w:rsidRPr="000C156A" w:rsidRDefault="009D43C3" w:rsidP="005D02F0">
            <w:pPr>
              <w:overflowPunct/>
              <w:adjustRightInd/>
              <w:spacing w:before="0" w:after="60"/>
              <w:textAlignment w:val="auto"/>
              <w:rPr>
                <w:rFonts w:cs="Calibri"/>
                <w:color w:val="000000"/>
                <w:sz w:val="18"/>
                <w:szCs w:val="18"/>
                <w:lang w:val="en-US" w:eastAsia="zh-CN"/>
              </w:rPr>
            </w:pPr>
            <w:r w:rsidRPr="000C156A">
              <w:rPr>
                <w:rFonts w:cs="Calibri" w:hint="eastAsia"/>
                <w:sz w:val="18"/>
                <w:szCs w:val="18"/>
                <w:lang w:val="en-US" w:eastAsia="zh-CN"/>
              </w:rPr>
              <w:t>物业、机器和设备的（购置）</w:t>
            </w:r>
            <w:r w:rsidRPr="000C156A">
              <w:rPr>
                <w:rFonts w:cs="Calibri" w:hint="eastAsia"/>
                <w:sz w:val="18"/>
                <w:szCs w:val="18"/>
                <w:lang w:val="en-US" w:eastAsia="zh-CN"/>
              </w:rPr>
              <w:t>/</w:t>
            </w:r>
            <w:r w:rsidRPr="000C156A">
              <w:rPr>
                <w:rFonts w:cs="Calibri" w:hint="eastAsia"/>
                <w:sz w:val="18"/>
                <w:szCs w:val="18"/>
                <w:lang w:val="en-US" w:eastAsia="zh-CN"/>
              </w:rPr>
              <w:t>销售</w:t>
            </w:r>
          </w:p>
        </w:tc>
        <w:tc>
          <w:tcPr>
            <w:tcW w:w="1001" w:type="pct"/>
            <w:tcBorders>
              <w:top w:val="nil"/>
              <w:left w:val="single" w:sz="4" w:space="0" w:color="auto"/>
              <w:bottom w:val="nil"/>
              <w:right w:val="single" w:sz="4" w:space="0" w:color="auto"/>
            </w:tcBorders>
            <w:shd w:val="clear" w:color="auto" w:fill="auto"/>
            <w:noWrap/>
            <w:vAlign w:val="bottom"/>
            <w:hideMark/>
          </w:tcPr>
          <w:p w14:paraId="18E0D61E" w14:textId="77777777" w:rsidR="009D43C3" w:rsidRPr="000C156A" w:rsidRDefault="009D43C3" w:rsidP="005D02F0">
            <w:pPr>
              <w:spacing w:before="0"/>
              <w:jc w:val="right"/>
              <w:rPr>
                <w:sz w:val="18"/>
                <w:szCs w:val="18"/>
              </w:rPr>
            </w:pPr>
            <w:r w:rsidRPr="000C156A">
              <w:rPr>
                <w:sz w:val="18"/>
                <w:szCs w:val="18"/>
              </w:rPr>
              <w:t>-798</w:t>
            </w:r>
          </w:p>
        </w:tc>
        <w:tc>
          <w:tcPr>
            <w:tcW w:w="1001" w:type="pct"/>
            <w:tcBorders>
              <w:top w:val="nil"/>
              <w:left w:val="nil"/>
              <w:bottom w:val="nil"/>
              <w:right w:val="single" w:sz="4" w:space="0" w:color="auto"/>
            </w:tcBorders>
            <w:shd w:val="clear" w:color="auto" w:fill="auto"/>
            <w:noWrap/>
            <w:vAlign w:val="bottom"/>
            <w:hideMark/>
          </w:tcPr>
          <w:p w14:paraId="048305CF" w14:textId="77777777" w:rsidR="009D43C3" w:rsidRPr="000C156A" w:rsidRDefault="009D43C3" w:rsidP="005D02F0">
            <w:pPr>
              <w:spacing w:before="0"/>
              <w:jc w:val="right"/>
              <w:rPr>
                <w:sz w:val="18"/>
                <w:szCs w:val="18"/>
              </w:rPr>
            </w:pPr>
            <w:r w:rsidRPr="000C156A">
              <w:rPr>
                <w:sz w:val="18"/>
                <w:szCs w:val="18"/>
              </w:rPr>
              <w:t>-656</w:t>
            </w:r>
          </w:p>
        </w:tc>
      </w:tr>
      <w:tr w:rsidR="009D43C3" w:rsidRPr="000C156A" w14:paraId="569F7CDD" w14:textId="77777777" w:rsidTr="005D02F0">
        <w:tc>
          <w:tcPr>
            <w:tcW w:w="2998" w:type="pct"/>
            <w:tcBorders>
              <w:top w:val="nil"/>
              <w:left w:val="single" w:sz="4" w:space="0" w:color="auto"/>
              <w:bottom w:val="nil"/>
              <w:right w:val="nil"/>
            </w:tcBorders>
            <w:shd w:val="clear" w:color="auto" w:fill="auto"/>
            <w:hideMark/>
          </w:tcPr>
          <w:p w14:paraId="766474FA" w14:textId="77777777" w:rsidR="009D43C3" w:rsidRPr="000C156A" w:rsidRDefault="009D43C3" w:rsidP="005D02F0">
            <w:pPr>
              <w:overflowPunct/>
              <w:adjustRightInd/>
              <w:spacing w:before="0" w:after="60"/>
              <w:textAlignment w:val="auto"/>
              <w:rPr>
                <w:rFonts w:cs="Calibri"/>
                <w:color w:val="000000"/>
                <w:sz w:val="18"/>
                <w:szCs w:val="18"/>
                <w:lang w:val="en-US" w:eastAsia="zh-CN"/>
              </w:rPr>
            </w:pPr>
            <w:r w:rsidRPr="000C156A">
              <w:rPr>
                <w:rFonts w:cs="Calibri"/>
                <w:color w:val="000000"/>
                <w:sz w:val="18"/>
                <w:szCs w:val="18"/>
                <w:lang w:val="en-US" w:eastAsia="zh-CN"/>
              </w:rPr>
              <w:t>（</w:t>
            </w:r>
            <w:r w:rsidRPr="000C156A">
              <w:rPr>
                <w:rFonts w:cs="Calibri" w:hint="eastAsia"/>
                <w:sz w:val="18"/>
                <w:szCs w:val="18"/>
                <w:lang w:val="en-US" w:eastAsia="zh-CN"/>
              </w:rPr>
              <w:t>无形资产的（购置）</w:t>
            </w:r>
            <w:r w:rsidRPr="000C156A">
              <w:rPr>
                <w:rFonts w:cs="Calibri" w:hint="eastAsia"/>
                <w:sz w:val="18"/>
                <w:szCs w:val="18"/>
                <w:lang w:val="en-US" w:eastAsia="zh-CN"/>
              </w:rPr>
              <w:t>/</w:t>
            </w:r>
            <w:r w:rsidRPr="000C156A">
              <w:rPr>
                <w:rFonts w:cs="Calibri" w:hint="eastAsia"/>
                <w:sz w:val="18"/>
                <w:szCs w:val="18"/>
                <w:lang w:val="en-US" w:eastAsia="zh-CN"/>
              </w:rPr>
              <w:t>销售</w:t>
            </w:r>
          </w:p>
        </w:tc>
        <w:tc>
          <w:tcPr>
            <w:tcW w:w="1001" w:type="pct"/>
            <w:tcBorders>
              <w:top w:val="nil"/>
              <w:left w:val="single" w:sz="4" w:space="0" w:color="auto"/>
              <w:bottom w:val="nil"/>
              <w:right w:val="single" w:sz="4" w:space="0" w:color="auto"/>
            </w:tcBorders>
            <w:shd w:val="clear" w:color="auto" w:fill="auto"/>
            <w:noWrap/>
            <w:vAlign w:val="bottom"/>
            <w:hideMark/>
          </w:tcPr>
          <w:p w14:paraId="06E88778" w14:textId="77777777" w:rsidR="009D43C3" w:rsidRPr="000C156A" w:rsidRDefault="009D43C3" w:rsidP="005D02F0">
            <w:pPr>
              <w:spacing w:before="0"/>
              <w:jc w:val="right"/>
              <w:rPr>
                <w:sz w:val="18"/>
                <w:szCs w:val="18"/>
              </w:rPr>
            </w:pPr>
            <w:r w:rsidRPr="000C156A">
              <w:rPr>
                <w:sz w:val="18"/>
                <w:szCs w:val="18"/>
              </w:rPr>
              <w:t>-722</w:t>
            </w:r>
          </w:p>
        </w:tc>
        <w:tc>
          <w:tcPr>
            <w:tcW w:w="1001" w:type="pct"/>
            <w:tcBorders>
              <w:top w:val="nil"/>
              <w:left w:val="nil"/>
              <w:bottom w:val="nil"/>
              <w:right w:val="single" w:sz="4" w:space="0" w:color="auto"/>
            </w:tcBorders>
            <w:shd w:val="clear" w:color="auto" w:fill="auto"/>
            <w:noWrap/>
            <w:vAlign w:val="bottom"/>
            <w:hideMark/>
          </w:tcPr>
          <w:p w14:paraId="21A1C8C2" w14:textId="77777777" w:rsidR="009D43C3" w:rsidRPr="000C156A" w:rsidRDefault="009D43C3" w:rsidP="005D02F0">
            <w:pPr>
              <w:spacing w:before="0"/>
              <w:jc w:val="right"/>
              <w:rPr>
                <w:sz w:val="18"/>
                <w:szCs w:val="18"/>
              </w:rPr>
            </w:pPr>
            <w:r w:rsidRPr="000C156A">
              <w:rPr>
                <w:sz w:val="18"/>
                <w:szCs w:val="18"/>
              </w:rPr>
              <w:t>-792</w:t>
            </w:r>
          </w:p>
        </w:tc>
      </w:tr>
      <w:tr w:rsidR="009D43C3" w:rsidRPr="000C156A" w14:paraId="3D41A955" w14:textId="77777777" w:rsidTr="005D02F0">
        <w:tc>
          <w:tcPr>
            <w:tcW w:w="2998" w:type="pct"/>
            <w:tcBorders>
              <w:top w:val="nil"/>
              <w:left w:val="single" w:sz="4" w:space="0" w:color="auto"/>
              <w:bottom w:val="nil"/>
              <w:right w:val="nil"/>
            </w:tcBorders>
            <w:shd w:val="clear" w:color="auto" w:fill="auto"/>
            <w:hideMark/>
          </w:tcPr>
          <w:p w14:paraId="3F860194" w14:textId="77777777" w:rsidR="009D43C3" w:rsidRPr="000C156A" w:rsidRDefault="009D43C3" w:rsidP="005D02F0">
            <w:pPr>
              <w:overflowPunct/>
              <w:adjustRightInd/>
              <w:spacing w:before="0" w:after="60"/>
              <w:textAlignment w:val="auto"/>
              <w:rPr>
                <w:rFonts w:cs="Calibri"/>
                <w:color w:val="000000"/>
                <w:sz w:val="18"/>
                <w:szCs w:val="18"/>
                <w:lang w:val="en-US" w:eastAsia="zh-CN"/>
              </w:rPr>
            </w:pPr>
            <w:r w:rsidRPr="000C156A">
              <w:rPr>
                <w:rFonts w:cs="Calibri" w:hint="eastAsia"/>
                <w:color w:val="000000"/>
                <w:sz w:val="18"/>
                <w:szCs w:val="18"/>
                <w:lang w:val="en-US" w:eastAsia="zh-CN"/>
              </w:rPr>
              <w:t>（采购）</w:t>
            </w:r>
            <w:r w:rsidRPr="000C156A">
              <w:rPr>
                <w:rFonts w:cs="Calibri"/>
                <w:color w:val="000000"/>
                <w:sz w:val="18"/>
                <w:szCs w:val="18"/>
                <w:lang w:val="en-US" w:eastAsia="zh-CN"/>
              </w:rPr>
              <w:t>/</w:t>
            </w:r>
            <w:r w:rsidRPr="000C156A">
              <w:rPr>
                <w:rFonts w:cs="Calibri" w:hint="eastAsia"/>
                <w:color w:val="000000"/>
                <w:sz w:val="18"/>
                <w:szCs w:val="18"/>
                <w:lang w:val="en-US" w:eastAsia="zh-CN"/>
              </w:rPr>
              <w:t>在建</w:t>
            </w:r>
            <w:r w:rsidRPr="000C156A">
              <w:rPr>
                <w:rFonts w:cs="Calibri"/>
                <w:color w:val="000000"/>
                <w:sz w:val="18"/>
                <w:szCs w:val="18"/>
                <w:lang w:val="en-US" w:eastAsia="zh-CN"/>
              </w:rPr>
              <w:t>资产的销售</w:t>
            </w:r>
          </w:p>
        </w:tc>
        <w:tc>
          <w:tcPr>
            <w:tcW w:w="1001" w:type="pct"/>
            <w:tcBorders>
              <w:top w:val="nil"/>
              <w:left w:val="single" w:sz="4" w:space="0" w:color="auto"/>
              <w:bottom w:val="nil"/>
              <w:right w:val="single" w:sz="4" w:space="0" w:color="auto"/>
            </w:tcBorders>
            <w:shd w:val="clear" w:color="auto" w:fill="auto"/>
            <w:noWrap/>
            <w:vAlign w:val="bottom"/>
            <w:hideMark/>
          </w:tcPr>
          <w:p w14:paraId="12F755B2" w14:textId="7981D8F5" w:rsidR="009D43C3" w:rsidRPr="000C156A" w:rsidRDefault="009D43C3" w:rsidP="005D02F0">
            <w:pPr>
              <w:spacing w:before="0"/>
              <w:jc w:val="right"/>
              <w:rPr>
                <w:sz w:val="18"/>
                <w:szCs w:val="18"/>
              </w:rPr>
            </w:pPr>
            <w:r w:rsidRPr="000C156A">
              <w:rPr>
                <w:sz w:val="18"/>
                <w:szCs w:val="18"/>
              </w:rPr>
              <w:t>-4</w:t>
            </w:r>
            <w:r w:rsidR="00CF258E" w:rsidRPr="000C156A">
              <w:rPr>
                <w:sz w:val="18"/>
                <w:szCs w:val="18"/>
              </w:rPr>
              <w:t xml:space="preserve"> </w:t>
            </w:r>
            <w:r w:rsidRPr="000C156A">
              <w:rPr>
                <w:sz w:val="18"/>
                <w:szCs w:val="18"/>
              </w:rPr>
              <w:t>252</w:t>
            </w:r>
          </w:p>
        </w:tc>
        <w:tc>
          <w:tcPr>
            <w:tcW w:w="1001" w:type="pct"/>
            <w:tcBorders>
              <w:top w:val="nil"/>
              <w:left w:val="nil"/>
              <w:bottom w:val="nil"/>
              <w:right w:val="single" w:sz="4" w:space="0" w:color="auto"/>
            </w:tcBorders>
            <w:shd w:val="clear" w:color="auto" w:fill="auto"/>
            <w:noWrap/>
            <w:vAlign w:val="bottom"/>
            <w:hideMark/>
          </w:tcPr>
          <w:p w14:paraId="359F59B8" w14:textId="58B46183" w:rsidR="009D43C3" w:rsidRPr="000C156A" w:rsidRDefault="009D43C3" w:rsidP="005D02F0">
            <w:pPr>
              <w:spacing w:before="0"/>
              <w:jc w:val="right"/>
              <w:rPr>
                <w:sz w:val="18"/>
                <w:szCs w:val="18"/>
              </w:rPr>
            </w:pPr>
            <w:r w:rsidRPr="000C156A">
              <w:rPr>
                <w:sz w:val="18"/>
                <w:szCs w:val="18"/>
              </w:rPr>
              <w:t>-2</w:t>
            </w:r>
            <w:r w:rsidR="00CF258E" w:rsidRPr="000C156A">
              <w:rPr>
                <w:sz w:val="18"/>
                <w:szCs w:val="18"/>
              </w:rPr>
              <w:t xml:space="preserve"> </w:t>
            </w:r>
            <w:r w:rsidRPr="000C156A">
              <w:rPr>
                <w:sz w:val="18"/>
                <w:szCs w:val="18"/>
              </w:rPr>
              <w:t>881</w:t>
            </w:r>
          </w:p>
        </w:tc>
      </w:tr>
      <w:tr w:rsidR="009D43C3" w:rsidRPr="000C156A" w14:paraId="231F6CA6" w14:textId="77777777" w:rsidTr="005D02F0">
        <w:tc>
          <w:tcPr>
            <w:tcW w:w="2998" w:type="pct"/>
            <w:tcBorders>
              <w:top w:val="single" w:sz="4" w:space="0" w:color="auto"/>
              <w:left w:val="single" w:sz="4" w:space="0" w:color="auto"/>
              <w:bottom w:val="single" w:sz="4" w:space="0" w:color="auto"/>
              <w:right w:val="nil"/>
            </w:tcBorders>
            <w:shd w:val="clear" w:color="auto" w:fill="auto"/>
            <w:hideMark/>
          </w:tcPr>
          <w:p w14:paraId="1B09F248" w14:textId="77777777" w:rsidR="009D43C3" w:rsidRPr="000C156A" w:rsidRDefault="009D43C3" w:rsidP="005D02F0">
            <w:pPr>
              <w:overflowPunct/>
              <w:adjustRightInd/>
              <w:spacing w:before="0" w:after="60"/>
              <w:textAlignment w:val="auto"/>
              <w:rPr>
                <w:rFonts w:cs="Calibri"/>
                <w:b/>
                <w:bCs/>
                <w:color w:val="000000"/>
                <w:sz w:val="18"/>
                <w:szCs w:val="18"/>
                <w:lang w:val="en-US" w:eastAsia="zh-CN"/>
              </w:rPr>
            </w:pPr>
            <w:r w:rsidRPr="000C156A">
              <w:rPr>
                <w:rFonts w:cs="Calibri" w:hint="eastAsia"/>
                <w:b/>
                <w:bCs/>
                <w:sz w:val="18"/>
                <w:szCs w:val="18"/>
                <w:lang w:val="en-US" w:eastAsia="zh-CN"/>
              </w:rPr>
              <w:t>投资活动产生的现金流净值</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14:paraId="67A063CF" w14:textId="6FE97D23" w:rsidR="009D43C3" w:rsidRPr="000C156A" w:rsidRDefault="009D43C3" w:rsidP="005D02F0">
            <w:pPr>
              <w:spacing w:before="0"/>
              <w:jc w:val="right"/>
              <w:rPr>
                <w:b/>
                <w:bCs/>
                <w:sz w:val="18"/>
                <w:szCs w:val="18"/>
              </w:rPr>
            </w:pPr>
            <w:r w:rsidRPr="000C156A">
              <w:rPr>
                <w:b/>
                <w:bCs/>
                <w:sz w:val="18"/>
                <w:szCs w:val="18"/>
              </w:rPr>
              <w:t>-67</w:t>
            </w:r>
            <w:r w:rsidR="00CF258E" w:rsidRPr="000C156A">
              <w:rPr>
                <w:b/>
                <w:bCs/>
                <w:sz w:val="18"/>
                <w:szCs w:val="18"/>
              </w:rPr>
              <w:t xml:space="preserve"> </w:t>
            </w:r>
            <w:r w:rsidRPr="000C156A">
              <w:rPr>
                <w:b/>
                <w:bCs/>
                <w:sz w:val="18"/>
                <w:szCs w:val="18"/>
              </w:rPr>
              <w:t>560</w:t>
            </w:r>
          </w:p>
        </w:tc>
        <w:tc>
          <w:tcPr>
            <w:tcW w:w="1001" w:type="pct"/>
            <w:tcBorders>
              <w:top w:val="single" w:sz="4" w:space="0" w:color="auto"/>
              <w:left w:val="nil"/>
              <w:bottom w:val="single" w:sz="4" w:space="0" w:color="auto"/>
              <w:right w:val="single" w:sz="4" w:space="0" w:color="auto"/>
            </w:tcBorders>
            <w:shd w:val="clear" w:color="auto" w:fill="auto"/>
            <w:hideMark/>
          </w:tcPr>
          <w:p w14:paraId="0F21EA1F" w14:textId="3AC5E524" w:rsidR="009D43C3" w:rsidRPr="000C156A" w:rsidRDefault="009D43C3" w:rsidP="007E6BDD">
            <w:pPr>
              <w:spacing w:before="0"/>
              <w:jc w:val="right"/>
              <w:rPr>
                <w:b/>
                <w:bCs/>
                <w:color w:val="000000"/>
                <w:sz w:val="18"/>
                <w:szCs w:val="18"/>
              </w:rPr>
            </w:pPr>
            <w:r w:rsidRPr="000C156A">
              <w:rPr>
                <w:b/>
                <w:bCs/>
                <w:sz w:val="18"/>
                <w:szCs w:val="18"/>
              </w:rPr>
              <w:t>12</w:t>
            </w:r>
            <w:r w:rsidR="00CF258E" w:rsidRPr="000C156A">
              <w:rPr>
                <w:b/>
                <w:bCs/>
                <w:sz w:val="18"/>
                <w:szCs w:val="18"/>
              </w:rPr>
              <w:t xml:space="preserve"> </w:t>
            </w:r>
            <w:r w:rsidRPr="000C156A">
              <w:rPr>
                <w:b/>
                <w:bCs/>
                <w:sz w:val="18"/>
                <w:szCs w:val="18"/>
              </w:rPr>
              <w:t>26</w:t>
            </w:r>
            <w:r w:rsidR="007E6BDD" w:rsidRPr="000C156A">
              <w:rPr>
                <w:b/>
                <w:bCs/>
                <w:sz w:val="18"/>
                <w:szCs w:val="18"/>
              </w:rPr>
              <w:t>4</w:t>
            </w:r>
          </w:p>
        </w:tc>
      </w:tr>
      <w:tr w:rsidR="009D43C3" w:rsidRPr="000C156A" w14:paraId="08B87F31" w14:textId="77777777" w:rsidTr="005D02F0">
        <w:tc>
          <w:tcPr>
            <w:tcW w:w="2998" w:type="pct"/>
            <w:tcBorders>
              <w:top w:val="nil"/>
              <w:left w:val="single" w:sz="4" w:space="0" w:color="auto"/>
              <w:bottom w:val="nil"/>
              <w:right w:val="nil"/>
            </w:tcBorders>
            <w:shd w:val="clear" w:color="auto" w:fill="auto"/>
            <w:hideMark/>
          </w:tcPr>
          <w:p w14:paraId="0797D76D" w14:textId="77777777" w:rsidR="009D43C3" w:rsidRPr="000C156A" w:rsidRDefault="009D43C3" w:rsidP="005D02F0">
            <w:pPr>
              <w:overflowPunct/>
              <w:adjustRightInd/>
              <w:spacing w:before="0"/>
              <w:textAlignment w:val="auto"/>
              <w:rPr>
                <w:rFonts w:cs="Calibri"/>
                <w:color w:val="000000"/>
                <w:sz w:val="18"/>
                <w:szCs w:val="18"/>
                <w:lang w:val="en-US" w:eastAsia="zh-CN"/>
              </w:rPr>
            </w:pPr>
            <w:r w:rsidRPr="000C156A">
              <w:rPr>
                <w:rFonts w:cs="Calibri"/>
                <w:color w:val="000000"/>
                <w:sz w:val="18"/>
                <w:szCs w:val="18"/>
                <w:lang w:val="en-US" w:eastAsia="zh-CN"/>
              </w:rPr>
              <w:t> </w:t>
            </w:r>
          </w:p>
        </w:tc>
        <w:tc>
          <w:tcPr>
            <w:tcW w:w="1001" w:type="pct"/>
            <w:tcBorders>
              <w:top w:val="nil"/>
              <w:left w:val="single" w:sz="4" w:space="0" w:color="auto"/>
              <w:bottom w:val="nil"/>
              <w:right w:val="single" w:sz="4" w:space="0" w:color="auto"/>
            </w:tcBorders>
            <w:shd w:val="clear" w:color="auto" w:fill="auto"/>
            <w:noWrap/>
            <w:vAlign w:val="bottom"/>
            <w:hideMark/>
          </w:tcPr>
          <w:p w14:paraId="67303023" w14:textId="77777777" w:rsidR="009D43C3" w:rsidRPr="000C156A" w:rsidRDefault="009D43C3" w:rsidP="005D02F0">
            <w:pPr>
              <w:spacing w:before="0"/>
              <w:jc w:val="right"/>
              <w:rPr>
                <w:sz w:val="18"/>
                <w:szCs w:val="18"/>
              </w:rPr>
            </w:pPr>
          </w:p>
        </w:tc>
        <w:tc>
          <w:tcPr>
            <w:tcW w:w="1001" w:type="pct"/>
            <w:tcBorders>
              <w:top w:val="nil"/>
              <w:left w:val="nil"/>
              <w:bottom w:val="nil"/>
              <w:right w:val="single" w:sz="4" w:space="0" w:color="auto"/>
            </w:tcBorders>
            <w:shd w:val="clear" w:color="auto" w:fill="auto"/>
            <w:noWrap/>
            <w:vAlign w:val="bottom"/>
            <w:hideMark/>
          </w:tcPr>
          <w:p w14:paraId="3EB389C1" w14:textId="77777777" w:rsidR="009D43C3" w:rsidRPr="000C156A" w:rsidRDefault="009D43C3" w:rsidP="005D02F0">
            <w:pPr>
              <w:spacing w:before="0"/>
              <w:jc w:val="right"/>
              <w:rPr>
                <w:color w:val="000000"/>
                <w:sz w:val="18"/>
                <w:szCs w:val="18"/>
              </w:rPr>
            </w:pPr>
          </w:p>
        </w:tc>
      </w:tr>
      <w:tr w:rsidR="009D43C3" w:rsidRPr="000C156A" w14:paraId="26C1D6F8" w14:textId="77777777" w:rsidTr="005D02F0">
        <w:tc>
          <w:tcPr>
            <w:tcW w:w="2998" w:type="pct"/>
            <w:tcBorders>
              <w:top w:val="nil"/>
              <w:left w:val="single" w:sz="4" w:space="0" w:color="auto"/>
              <w:bottom w:val="nil"/>
              <w:right w:val="nil"/>
            </w:tcBorders>
            <w:shd w:val="clear" w:color="auto" w:fill="auto"/>
            <w:hideMark/>
          </w:tcPr>
          <w:p w14:paraId="28F4389E" w14:textId="77777777" w:rsidR="009D43C3" w:rsidRPr="000C156A" w:rsidRDefault="009D43C3" w:rsidP="005D02F0">
            <w:pPr>
              <w:pStyle w:val="Tabletext"/>
              <w:spacing w:before="0"/>
              <w:rPr>
                <w:rFonts w:cs="Calibri"/>
                <w:sz w:val="18"/>
                <w:szCs w:val="18"/>
                <w:lang w:val="en-US" w:eastAsia="zh-CN"/>
              </w:rPr>
            </w:pPr>
            <w:r w:rsidRPr="000C156A">
              <w:rPr>
                <w:rFonts w:cs="Calibri" w:hint="eastAsia"/>
                <w:b/>
                <w:bCs/>
                <w:sz w:val="18"/>
                <w:szCs w:val="18"/>
                <w:lang w:val="en-US" w:eastAsia="zh-CN"/>
              </w:rPr>
              <w:t>财务活动产生的现金流</w:t>
            </w:r>
          </w:p>
        </w:tc>
        <w:tc>
          <w:tcPr>
            <w:tcW w:w="1001" w:type="pct"/>
            <w:tcBorders>
              <w:top w:val="nil"/>
              <w:left w:val="single" w:sz="4" w:space="0" w:color="auto"/>
              <w:bottom w:val="nil"/>
              <w:right w:val="single" w:sz="4" w:space="0" w:color="auto"/>
            </w:tcBorders>
            <w:shd w:val="clear" w:color="auto" w:fill="auto"/>
            <w:noWrap/>
            <w:vAlign w:val="bottom"/>
            <w:hideMark/>
          </w:tcPr>
          <w:p w14:paraId="3C2CD99E" w14:textId="77777777" w:rsidR="009D43C3" w:rsidRPr="000C156A" w:rsidRDefault="009D43C3" w:rsidP="005D02F0">
            <w:pPr>
              <w:spacing w:before="0"/>
              <w:jc w:val="right"/>
              <w:rPr>
                <w:sz w:val="18"/>
                <w:szCs w:val="18"/>
                <w:lang w:eastAsia="zh-CN"/>
              </w:rPr>
            </w:pPr>
          </w:p>
        </w:tc>
        <w:tc>
          <w:tcPr>
            <w:tcW w:w="1001" w:type="pct"/>
            <w:tcBorders>
              <w:top w:val="nil"/>
              <w:left w:val="nil"/>
              <w:bottom w:val="nil"/>
              <w:right w:val="single" w:sz="4" w:space="0" w:color="auto"/>
            </w:tcBorders>
            <w:shd w:val="clear" w:color="auto" w:fill="auto"/>
            <w:noWrap/>
            <w:vAlign w:val="bottom"/>
            <w:hideMark/>
          </w:tcPr>
          <w:p w14:paraId="1FA56289" w14:textId="77777777" w:rsidR="009D43C3" w:rsidRPr="000C156A" w:rsidRDefault="009D43C3" w:rsidP="005D02F0">
            <w:pPr>
              <w:spacing w:before="0"/>
              <w:jc w:val="right"/>
              <w:rPr>
                <w:color w:val="000000"/>
                <w:sz w:val="18"/>
                <w:szCs w:val="18"/>
                <w:lang w:eastAsia="zh-CN"/>
              </w:rPr>
            </w:pPr>
          </w:p>
        </w:tc>
      </w:tr>
      <w:tr w:rsidR="009D43C3" w:rsidRPr="000C156A" w14:paraId="0933199F" w14:textId="77777777" w:rsidTr="005D02F0">
        <w:tc>
          <w:tcPr>
            <w:tcW w:w="2998" w:type="pct"/>
            <w:tcBorders>
              <w:top w:val="nil"/>
              <w:left w:val="single" w:sz="4" w:space="0" w:color="auto"/>
              <w:bottom w:val="nil"/>
              <w:right w:val="nil"/>
            </w:tcBorders>
            <w:shd w:val="clear" w:color="auto" w:fill="auto"/>
            <w:hideMark/>
          </w:tcPr>
          <w:p w14:paraId="7560C095" w14:textId="77777777" w:rsidR="009D43C3" w:rsidRPr="000C156A" w:rsidRDefault="009D43C3" w:rsidP="005D02F0">
            <w:pPr>
              <w:pStyle w:val="Tabletext"/>
              <w:spacing w:before="0"/>
              <w:rPr>
                <w:rFonts w:cs="Calibri"/>
                <w:sz w:val="18"/>
                <w:szCs w:val="18"/>
                <w:lang w:val="en-US" w:eastAsia="zh-CN"/>
              </w:rPr>
            </w:pPr>
            <w:r w:rsidRPr="000C156A">
              <w:rPr>
                <w:rFonts w:cs="Calibri" w:hint="eastAsia"/>
                <w:sz w:val="18"/>
                <w:szCs w:val="18"/>
                <w:lang w:val="en-US" w:eastAsia="zh-CN"/>
              </w:rPr>
              <w:t>FIPOI</w:t>
            </w:r>
            <w:r w:rsidRPr="000C156A">
              <w:rPr>
                <w:rFonts w:cs="Calibri" w:hint="eastAsia"/>
                <w:sz w:val="18"/>
                <w:szCs w:val="18"/>
                <w:lang w:val="en-US" w:eastAsia="zh-CN"/>
              </w:rPr>
              <w:t>贷款投资（增加）</w:t>
            </w:r>
            <w:r w:rsidRPr="000C156A">
              <w:rPr>
                <w:rFonts w:cs="Calibri" w:hint="eastAsia"/>
                <w:sz w:val="18"/>
                <w:szCs w:val="18"/>
                <w:lang w:val="en-US" w:eastAsia="zh-CN"/>
              </w:rPr>
              <w:t>/</w:t>
            </w:r>
            <w:r w:rsidRPr="000C156A">
              <w:rPr>
                <w:rFonts w:cs="Calibri" w:hint="eastAsia"/>
                <w:sz w:val="18"/>
                <w:szCs w:val="18"/>
                <w:lang w:val="en-US" w:eastAsia="zh-CN"/>
              </w:rPr>
              <w:t>减少</w:t>
            </w:r>
          </w:p>
        </w:tc>
        <w:tc>
          <w:tcPr>
            <w:tcW w:w="1001" w:type="pct"/>
            <w:tcBorders>
              <w:top w:val="nil"/>
              <w:left w:val="single" w:sz="4" w:space="0" w:color="auto"/>
              <w:bottom w:val="nil"/>
              <w:right w:val="single" w:sz="4" w:space="0" w:color="auto"/>
            </w:tcBorders>
            <w:shd w:val="clear" w:color="auto" w:fill="auto"/>
            <w:noWrap/>
            <w:vAlign w:val="bottom"/>
            <w:hideMark/>
          </w:tcPr>
          <w:p w14:paraId="1BC901D4" w14:textId="15F09F6C" w:rsidR="009D43C3" w:rsidRPr="000C156A" w:rsidRDefault="009D43C3" w:rsidP="005D02F0">
            <w:pPr>
              <w:spacing w:before="0"/>
              <w:jc w:val="right"/>
              <w:rPr>
                <w:sz w:val="18"/>
                <w:szCs w:val="18"/>
              </w:rPr>
            </w:pPr>
            <w:r w:rsidRPr="000C156A">
              <w:rPr>
                <w:sz w:val="18"/>
                <w:szCs w:val="18"/>
              </w:rPr>
              <w:t>2</w:t>
            </w:r>
            <w:r w:rsidR="00CF258E" w:rsidRPr="000C156A">
              <w:rPr>
                <w:sz w:val="18"/>
                <w:szCs w:val="18"/>
              </w:rPr>
              <w:t xml:space="preserve"> </w:t>
            </w:r>
            <w:r w:rsidRPr="000C156A">
              <w:rPr>
                <w:sz w:val="18"/>
                <w:szCs w:val="18"/>
              </w:rPr>
              <w:t>161</w:t>
            </w:r>
          </w:p>
        </w:tc>
        <w:tc>
          <w:tcPr>
            <w:tcW w:w="1001" w:type="pct"/>
            <w:tcBorders>
              <w:top w:val="nil"/>
              <w:left w:val="nil"/>
              <w:bottom w:val="nil"/>
              <w:right w:val="single" w:sz="4" w:space="0" w:color="auto"/>
            </w:tcBorders>
            <w:shd w:val="clear" w:color="auto" w:fill="auto"/>
            <w:noWrap/>
            <w:vAlign w:val="bottom"/>
            <w:hideMark/>
          </w:tcPr>
          <w:p w14:paraId="0957D27F" w14:textId="24CA522F" w:rsidR="009D43C3" w:rsidRPr="000C156A" w:rsidRDefault="009D43C3" w:rsidP="005D02F0">
            <w:pPr>
              <w:spacing w:before="0"/>
              <w:jc w:val="right"/>
              <w:rPr>
                <w:sz w:val="18"/>
                <w:szCs w:val="18"/>
              </w:rPr>
            </w:pPr>
            <w:r w:rsidRPr="000C156A">
              <w:rPr>
                <w:sz w:val="18"/>
                <w:szCs w:val="18"/>
              </w:rPr>
              <w:t>1</w:t>
            </w:r>
            <w:r w:rsidR="00CF258E" w:rsidRPr="000C156A">
              <w:rPr>
                <w:sz w:val="18"/>
                <w:szCs w:val="18"/>
              </w:rPr>
              <w:t xml:space="preserve"> </w:t>
            </w:r>
            <w:r w:rsidRPr="000C156A">
              <w:rPr>
                <w:sz w:val="18"/>
                <w:szCs w:val="18"/>
              </w:rPr>
              <w:t>757</w:t>
            </w:r>
          </w:p>
        </w:tc>
      </w:tr>
      <w:tr w:rsidR="009D43C3" w:rsidRPr="000C156A" w14:paraId="4E1EAE78" w14:textId="77777777" w:rsidTr="005D02F0">
        <w:tc>
          <w:tcPr>
            <w:tcW w:w="2998" w:type="pct"/>
            <w:tcBorders>
              <w:top w:val="single" w:sz="4" w:space="0" w:color="auto"/>
              <w:left w:val="single" w:sz="4" w:space="0" w:color="auto"/>
              <w:bottom w:val="single" w:sz="4" w:space="0" w:color="auto"/>
              <w:right w:val="nil"/>
            </w:tcBorders>
            <w:shd w:val="clear" w:color="auto" w:fill="auto"/>
            <w:hideMark/>
          </w:tcPr>
          <w:p w14:paraId="086AA72E" w14:textId="77777777" w:rsidR="009D43C3" w:rsidRPr="000C156A" w:rsidRDefault="009D43C3" w:rsidP="005D02F0">
            <w:pPr>
              <w:overflowPunct/>
              <w:adjustRightInd/>
              <w:spacing w:before="0" w:after="60"/>
              <w:textAlignment w:val="auto"/>
              <w:rPr>
                <w:rFonts w:cs="Calibri"/>
                <w:b/>
                <w:bCs/>
                <w:color w:val="000000"/>
                <w:sz w:val="18"/>
                <w:szCs w:val="18"/>
                <w:lang w:val="en-US" w:eastAsia="zh-CN"/>
              </w:rPr>
            </w:pPr>
            <w:r w:rsidRPr="000C156A">
              <w:rPr>
                <w:rFonts w:cs="Calibri" w:hint="eastAsia"/>
                <w:b/>
                <w:bCs/>
                <w:sz w:val="18"/>
                <w:szCs w:val="18"/>
                <w:lang w:val="en-US" w:eastAsia="zh-CN"/>
              </w:rPr>
              <w:t>财务活动产生的现金流</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14:paraId="7E9C4EF2" w14:textId="5A30FA37" w:rsidR="009D43C3" w:rsidRPr="000C156A" w:rsidRDefault="009D43C3" w:rsidP="005D02F0">
            <w:pPr>
              <w:spacing w:before="0"/>
              <w:jc w:val="right"/>
              <w:rPr>
                <w:b/>
                <w:bCs/>
                <w:sz w:val="18"/>
                <w:szCs w:val="18"/>
              </w:rPr>
            </w:pPr>
            <w:r w:rsidRPr="000C156A">
              <w:rPr>
                <w:b/>
                <w:bCs/>
                <w:sz w:val="18"/>
                <w:szCs w:val="18"/>
              </w:rPr>
              <w:t>2</w:t>
            </w:r>
            <w:r w:rsidR="00CF258E" w:rsidRPr="000C156A">
              <w:rPr>
                <w:b/>
                <w:bCs/>
                <w:sz w:val="18"/>
                <w:szCs w:val="18"/>
              </w:rPr>
              <w:t xml:space="preserve"> </w:t>
            </w:r>
            <w:r w:rsidRPr="000C156A">
              <w:rPr>
                <w:b/>
                <w:bCs/>
                <w:sz w:val="18"/>
                <w:szCs w:val="18"/>
              </w:rPr>
              <w:t>161</w:t>
            </w:r>
          </w:p>
        </w:tc>
        <w:tc>
          <w:tcPr>
            <w:tcW w:w="1001" w:type="pct"/>
            <w:tcBorders>
              <w:top w:val="single" w:sz="4" w:space="0" w:color="auto"/>
              <w:left w:val="nil"/>
              <w:bottom w:val="single" w:sz="4" w:space="0" w:color="auto"/>
              <w:right w:val="single" w:sz="4" w:space="0" w:color="auto"/>
            </w:tcBorders>
            <w:shd w:val="clear" w:color="auto" w:fill="auto"/>
            <w:hideMark/>
          </w:tcPr>
          <w:p w14:paraId="4D8DA5CE" w14:textId="20571B4B" w:rsidR="009D43C3" w:rsidRPr="000C156A" w:rsidRDefault="009D43C3" w:rsidP="005D02F0">
            <w:pPr>
              <w:spacing w:before="0"/>
              <w:jc w:val="right"/>
              <w:rPr>
                <w:b/>
                <w:bCs/>
                <w:color w:val="000000"/>
                <w:sz w:val="18"/>
                <w:szCs w:val="18"/>
              </w:rPr>
            </w:pPr>
            <w:r w:rsidRPr="000C156A">
              <w:rPr>
                <w:b/>
                <w:bCs/>
                <w:sz w:val="18"/>
                <w:szCs w:val="18"/>
              </w:rPr>
              <w:t>1</w:t>
            </w:r>
            <w:r w:rsidR="00CF258E" w:rsidRPr="000C156A">
              <w:rPr>
                <w:b/>
                <w:bCs/>
                <w:sz w:val="18"/>
                <w:szCs w:val="18"/>
              </w:rPr>
              <w:t xml:space="preserve"> </w:t>
            </w:r>
            <w:r w:rsidRPr="000C156A">
              <w:rPr>
                <w:b/>
                <w:bCs/>
                <w:sz w:val="18"/>
                <w:szCs w:val="18"/>
              </w:rPr>
              <w:t>757</w:t>
            </w:r>
          </w:p>
        </w:tc>
      </w:tr>
      <w:tr w:rsidR="009D43C3" w:rsidRPr="000C156A" w14:paraId="29F7478E" w14:textId="77777777" w:rsidTr="005D02F0">
        <w:tc>
          <w:tcPr>
            <w:tcW w:w="2998" w:type="pct"/>
            <w:tcBorders>
              <w:top w:val="nil"/>
              <w:left w:val="single" w:sz="4" w:space="0" w:color="auto"/>
              <w:bottom w:val="nil"/>
              <w:right w:val="nil"/>
            </w:tcBorders>
            <w:shd w:val="clear" w:color="auto" w:fill="auto"/>
            <w:hideMark/>
          </w:tcPr>
          <w:p w14:paraId="0A181B3F" w14:textId="77777777" w:rsidR="009D43C3" w:rsidRPr="000C156A" w:rsidRDefault="009D43C3" w:rsidP="005D02F0">
            <w:pPr>
              <w:overflowPunct/>
              <w:adjustRightInd/>
              <w:spacing w:before="0"/>
              <w:textAlignment w:val="auto"/>
              <w:rPr>
                <w:rFonts w:cs="Calibri"/>
                <w:b/>
                <w:bCs/>
                <w:color w:val="000000"/>
                <w:sz w:val="12"/>
                <w:szCs w:val="12"/>
                <w:lang w:val="en-US" w:eastAsia="zh-CN"/>
              </w:rPr>
            </w:pPr>
            <w:r w:rsidRPr="000C156A">
              <w:rPr>
                <w:rFonts w:cs="Calibri"/>
                <w:b/>
                <w:bCs/>
                <w:color w:val="000000"/>
                <w:sz w:val="12"/>
                <w:szCs w:val="12"/>
                <w:lang w:val="en-US" w:eastAsia="zh-CN"/>
              </w:rPr>
              <w:t> </w:t>
            </w:r>
          </w:p>
        </w:tc>
        <w:tc>
          <w:tcPr>
            <w:tcW w:w="1001" w:type="pct"/>
            <w:tcBorders>
              <w:top w:val="nil"/>
              <w:left w:val="single" w:sz="4" w:space="0" w:color="auto"/>
              <w:bottom w:val="nil"/>
              <w:right w:val="single" w:sz="4" w:space="0" w:color="auto"/>
            </w:tcBorders>
            <w:shd w:val="clear" w:color="auto" w:fill="auto"/>
            <w:noWrap/>
            <w:vAlign w:val="bottom"/>
            <w:hideMark/>
          </w:tcPr>
          <w:p w14:paraId="59D9F7B5" w14:textId="77777777" w:rsidR="009D43C3" w:rsidRPr="000C156A" w:rsidRDefault="009D43C3" w:rsidP="005D02F0">
            <w:pPr>
              <w:spacing w:before="0"/>
              <w:jc w:val="right"/>
              <w:rPr>
                <w:sz w:val="12"/>
                <w:szCs w:val="12"/>
              </w:rPr>
            </w:pPr>
          </w:p>
        </w:tc>
        <w:tc>
          <w:tcPr>
            <w:tcW w:w="1001" w:type="pct"/>
            <w:tcBorders>
              <w:top w:val="nil"/>
              <w:left w:val="nil"/>
              <w:bottom w:val="nil"/>
              <w:right w:val="single" w:sz="4" w:space="0" w:color="auto"/>
            </w:tcBorders>
            <w:shd w:val="clear" w:color="auto" w:fill="auto"/>
            <w:noWrap/>
            <w:vAlign w:val="bottom"/>
            <w:hideMark/>
          </w:tcPr>
          <w:p w14:paraId="1A00C0F5" w14:textId="77777777" w:rsidR="009D43C3" w:rsidRPr="000C156A" w:rsidRDefault="009D43C3" w:rsidP="005D02F0">
            <w:pPr>
              <w:spacing w:before="0"/>
              <w:jc w:val="right"/>
              <w:rPr>
                <w:color w:val="000000"/>
                <w:sz w:val="12"/>
                <w:szCs w:val="12"/>
              </w:rPr>
            </w:pPr>
          </w:p>
        </w:tc>
      </w:tr>
      <w:tr w:rsidR="009D43C3" w:rsidRPr="000C156A" w14:paraId="75DBE548" w14:textId="77777777" w:rsidTr="005D02F0">
        <w:tc>
          <w:tcPr>
            <w:tcW w:w="2998" w:type="pct"/>
            <w:tcBorders>
              <w:top w:val="single" w:sz="4" w:space="0" w:color="auto"/>
              <w:left w:val="single" w:sz="4" w:space="0" w:color="auto"/>
              <w:bottom w:val="single" w:sz="4" w:space="0" w:color="auto"/>
              <w:right w:val="nil"/>
            </w:tcBorders>
            <w:shd w:val="clear" w:color="auto" w:fill="auto"/>
            <w:hideMark/>
          </w:tcPr>
          <w:p w14:paraId="0E80D02E" w14:textId="77777777" w:rsidR="009D43C3" w:rsidRPr="000C156A" w:rsidRDefault="009D43C3" w:rsidP="005D02F0">
            <w:pPr>
              <w:overflowPunct/>
              <w:adjustRightInd/>
              <w:spacing w:before="0" w:after="60"/>
              <w:textAlignment w:val="auto"/>
              <w:rPr>
                <w:rFonts w:cs="Calibri"/>
                <w:b/>
                <w:bCs/>
                <w:color w:val="000000"/>
                <w:sz w:val="18"/>
                <w:szCs w:val="18"/>
                <w:lang w:val="en-US" w:eastAsia="zh-CN"/>
              </w:rPr>
            </w:pPr>
            <w:r w:rsidRPr="000C156A">
              <w:rPr>
                <w:rFonts w:cs="Calibri" w:hint="eastAsia"/>
                <w:b/>
                <w:bCs/>
                <w:sz w:val="18"/>
                <w:szCs w:val="18"/>
                <w:lang w:val="en-US" w:eastAsia="zh-CN"/>
              </w:rPr>
              <w:t>以现金和现金等价物计算的净增长</w:t>
            </w:r>
            <w:r w:rsidRPr="000C156A">
              <w:rPr>
                <w:rFonts w:cs="Calibri" w:hint="eastAsia"/>
                <w:b/>
                <w:bCs/>
                <w:sz w:val="18"/>
                <w:szCs w:val="18"/>
                <w:lang w:val="en-US" w:eastAsia="zh-CN"/>
              </w:rPr>
              <w:t>/</w:t>
            </w:r>
            <w:r w:rsidRPr="000C156A">
              <w:rPr>
                <w:rFonts w:cs="Calibri" w:hint="eastAsia"/>
                <w:b/>
                <w:bCs/>
                <w:sz w:val="18"/>
                <w:szCs w:val="18"/>
                <w:lang w:val="en-US" w:eastAsia="zh-CN"/>
              </w:rPr>
              <w:t>（减少）</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EBF3406" w14:textId="2D55CB9C" w:rsidR="009D43C3" w:rsidRPr="000C156A" w:rsidRDefault="009D43C3" w:rsidP="005D02F0">
            <w:pPr>
              <w:spacing w:before="0"/>
              <w:jc w:val="right"/>
              <w:rPr>
                <w:b/>
                <w:bCs/>
                <w:sz w:val="18"/>
                <w:szCs w:val="18"/>
              </w:rPr>
            </w:pPr>
            <w:r w:rsidRPr="000C156A">
              <w:rPr>
                <w:b/>
                <w:bCs/>
                <w:sz w:val="18"/>
                <w:szCs w:val="18"/>
              </w:rPr>
              <w:t>-79</w:t>
            </w:r>
            <w:r w:rsidR="00CF258E" w:rsidRPr="000C156A">
              <w:rPr>
                <w:b/>
                <w:bCs/>
                <w:sz w:val="18"/>
                <w:szCs w:val="18"/>
              </w:rPr>
              <w:t xml:space="preserve"> </w:t>
            </w:r>
            <w:r w:rsidRPr="000C156A">
              <w:rPr>
                <w:b/>
                <w:bCs/>
                <w:sz w:val="18"/>
                <w:szCs w:val="18"/>
              </w:rPr>
              <w:t>446</w:t>
            </w:r>
          </w:p>
        </w:tc>
        <w:tc>
          <w:tcPr>
            <w:tcW w:w="1001" w:type="pct"/>
            <w:tcBorders>
              <w:top w:val="single" w:sz="4" w:space="0" w:color="auto"/>
              <w:left w:val="nil"/>
              <w:bottom w:val="single" w:sz="4" w:space="0" w:color="auto"/>
              <w:right w:val="single" w:sz="4" w:space="0" w:color="auto"/>
            </w:tcBorders>
            <w:shd w:val="clear" w:color="auto" w:fill="auto"/>
            <w:vAlign w:val="bottom"/>
            <w:hideMark/>
          </w:tcPr>
          <w:p w14:paraId="083BB6AE" w14:textId="26987B83" w:rsidR="009D43C3" w:rsidRPr="000C156A" w:rsidRDefault="009D43C3" w:rsidP="005D02F0">
            <w:pPr>
              <w:spacing w:before="0"/>
              <w:jc w:val="right"/>
              <w:rPr>
                <w:b/>
                <w:bCs/>
                <w:color w:val="000000"/>
                <w:sz w:val="18"/>
                <w:szCs w:val="18"/>
              </w:rPr>
            </w:pPr>
            <w:r w:rsidRPr="000C156A">
              <w:rPr>
                <w:b/>
                <w:bCs/>
                <w:sz w:val="18"/>
                <w:szCs w:val="18"/>
              </w:rPr>
              <w:t>17</w:t>
            </w:r>
            <w:r w:rsidR="00CF258E" w:rsidRPr="000C156A">
              <w:rPr>
                <w:b/>
                <w:bCs/>
                <w:sz w:val="18"/>
                <w:szCs w:val="18"/>
              </w:rPr>
              <w:t xml:space="preserve"> </w:t>
            </w:r>
            <w:r w:rsidRPr="000C156A">
              <w:rPr>
                <w:b/>
                <w:bCs/>
                <w:sz w:val="18"/>
                <w:szCs w:val="18"/>
              </w:rPr>
              <w:t>026</w:t>
            </w:r>
          </w:p>
        </w:tc>
      </w:tr>
      <w:tr w:rsidR="009D43C3" w:rsidRPr="000C156A" w14:paraId="5170611E" w14:textId="77777777" w:rsidTr="005D02F0">
        <w:tc>
          <w:tcPr>
            <w:tcW w:w="2998" w:type="pct"/>
            <w:tcBorders>
              <w:top w:val="nil"/>
              <w:left w:val="single" w:sz="4" w:space="0" w:color="auto"/>
              <w:bottom w:val="nil"/>
              <w:right w:val="nil"/>
            </w:tcBorders>
            <w:shd w:val="clear" w:color="auto" w:fill="auto"/>
            <w:noWrap/>
            <w:vAlign w:val="bottom"/>
            <w:hideMark/>
          </w:tcPr>
          <w:p w14:paraId="0FF80494" w14:textId="77777777" w:rsidR="009D43C3" w:rsidRPr="000C156A" w:rsidRDefault="009D43C3" w:rsidP="005D02F0">
            <w:pPr>
              <w:overflowPunct/>
              <w:adjustRightInd/>
              <w:spacing w:before="0" w:after="60"/>
              <w:textAlignment w:val="auto"/>
              <w:rPr>
                <w:rFonts w:cs="Calibri"/>
                <w:color w:val="000000"/>
                <w:sz w:val="12"/>
                <w:szCs w:val="12"/>
                <w:lang w:val="en-US" w:eastAsia="zh-CN"/>
              </w:rPr>
            </w:pPr>
            <w:r w:rsidRPr="000C156A">
              <w:rPr>
                <w:rFonts w:cs="Calibri"/>
                <w:color w:val="000000"/>
                <w:sz w:val="12"/>
                <w:szCs w:val="12"/>
                <w:lang w:val="en-US" w:eastAsia="zh-CN"/>
              </w:rPr>
              <w:t> </w:t>
            </w:r>
          </w:p>
        </w:tc>
        <w:tc>
          <w:tcPr>
            <w:tcW w:w="1001" w:type="pct"/>
            <w:tcBorders>
              <w:top w:val="nil"/>
              <w:left w:val="single" w:sz="4" w:space="0" w:color="auto"/>
              <w:bottom w:val="nil"/>
              <w:right w:val="single" w:sz="4" w:space="0" w:color="auto"/>
            </w:tcBorders>
            <w:shd w:val="clear" w:color="auto" w:fill="auto"/>
            <w:noWrap/>
            <w:vAlign w:val="bottom"/>
            <w:hideMark/>
          </w:tcPr>
          <w:p w14:paraId="38D45A56" w14:textId="77777777" w:rsidR="009D43C3" w:rsidRPr="000C156A" w:rsidRDefault="009D43C3" w:rsidP="005D02F0">
            <w:pPr>
              <w:spacing w:before="0"/>
              <w:jc w:val="right"/>
              <w:rPr>
                <w:sz w:val="12"/>
                <w:szCs w:val="12"/>
              </w:rPr>
            </w:pPr>
          </w:p>
        </w:tc>
        <w:tc>
          <w:tcPr>
            <w:tcW w:w="1001" w:type="pct"/>
            <w:tcBorders>
              <w:top w:val="nil"/>
              <w:left w:val="nil"/>
              <w:bottom w:val="nil"/>
              <w:right w:val="single" w:sz="4" w:space="0" w:color="auto"/>
            </w:tcBorders>
            <w:shd w:val="clear" w:color="auto" w:fill="auto"/>
            <w:noWrap/>
            <w:vAlign w:val="bottom"/>
            <w:hideMark/>
          </w:tcPr>
          <w:p w14:paraId="459A7467" w14:textId="77777777" w:rsidR="009D43C3" w:rsidRPr="000C156A" w:rsidRDefault="009D43C3" w:rsidP="005D02F0">
            <w:pPr>
              <w:spacing w:before="0"/>
              <w:jc w:val="right"/>
              <w:rPr>
                <w:color w:val="000000"/>
                <w:sz w:val="12"/>
                <w:szCs w:val="12"/>
              </w:rPr>
            </w:pPr>
          </w:p>
        </w:tc>
      </w:tr>
      <w:tr w:rsidR="009D43C3" w:rsidRPr="000C156A" w14:paraId="208AC5CE" w14:textId="77777777" w:rsidTr="005D02F0">
        <w:tc>
          <w:tcPr>
            <w:tcW w:w="2998" w:type="pct"/>
            <w:tcBorders>
              <w:top w:val="nil"/>
              <w:left w:val="single" w:sz="4" w:space="0" w:color="auto"/>
              <w:bottom w:val="nil"/>
              <w:right w:val="nil"/>
            </w:tcBorders>
            <w:shd w:val="clear" w:color="auto" w:fill="auto"/>
            <w:hideMark/>
          </w:tcPr>
          <w:p w14:paraId="5F4AA399" w14:textId="77777777" w:rsidR="009D43C3" w:rsidRPr="000C156A" w:rsidRDefault="009D43C3" w:rsidP="005D02F0">
            <w:pPr>
              <w:overflowPunct/>
              <w:adjustRightInd/>
              <w:spacing w:before="0" w:after="60"/>
              <w:textAlignment w:val="auto"/>
              <w:rPr>
                <w:rFonts w:cs="Calibri"/>
                <w:b/>
                <w:bCs/>
                <w:color w:val="000000"/>
                <w:sz w:val="18"/>
                <w:szCs w:val="18"/>
                <w:lang w:val="en-US" w:eastAsia="zh-CN"/>
              </w:rPr>
            </w:pPr>
            <w:r w:rsidRPr="000C156A">
              <w:rPr>
                <w:rFonts w:cs="Calibri" w:hint="eastAsia"/>
                <w:b/>
                <w:bCs/>
                <w:sz w:val="18"/>
                <w:szCs w:val="18"/>
                <w:lang w:val="en-US" w:eastAsia="zh-CN"/>
              </w:rPr>
              <w:t>期初现金和现金等价物</w:t>
            </w:r>
          </w:p>
        </w:tc>
        <w:tc>
          <w:tcPr>
            <w:tcW w:w="1001" w:type="pct"/>
            <w:tcBorders>
              <w:top w:val="nil"/>
              <w:left w:val="single" w:sz="4" w:space="0" w:color="auto"/>
              <w:bottom w:val="nil"/>
              <w:right w:val="single" w:sz="4" w:space="0" w:color="auto"/>
            </w:tcBorders>
            <w:shd w:val="clear" w:color="auto" w:fill="auto"/>
            <w:noWrap/>
            <w:vAlign w:val="bottom"/>
            <w:hideMark/>
          </w:tcPr>
          <w:p w14:paraId="4D730D68" w14:textId="33A20C43" w:rsidR="009D43C3" w:rsidRPr="000C156A" w:rsidRDefault="009D43C3" w:rsidP="005D02F0">
            <w:pPr>
              <w:spacing w:before="0"/>
              <w:jc w:val="right"/>
              <w:rPr>
                <w:b/>
                <w:bCs/>
                <w:sz w:val="18"/>
                <w:szCs w:val="18"/>
              </w:rPr>
            </w:pPr>
            <w:r w:rsidRPr="000C156A">
              <w:rPr>
                <w:b/>
                <w:bCs/>
                <w:sz w:val="18"/>
                <w:szCs w:val="18"/>
              </w:rPr>
              <w:t>178</w:t>
            </w:r>
            <w:r w:rsidR="00CF258E" w:rsidRPr="000C156A">
              <w:rPr>
                <w:b/>
                <w:bCs/>
                <w:sz w:val="18"/>
                <w:szCs w:val="18"/>
              </w:rPr>
              <w:t xml:space="preserve"> </w:t>
            </w:r>
            <w:r w:rsidRPr="000C156A">
              <w:rPr>
                <w:b/>
                <w:bCs/>
                <w:sz w:val="18"/>
                <w:szCs w:val="18"/>
              </w:rPr>
              <w:t>852</w:t>
            </w:r>
          </w:p>
        </w:tc>
        <w:tc>
          <w:tcPr>
            <w:tcW w:w="1001" w:type="pct"/>
            <w:tcBorders>
              <w:top w:val="nil"/>
              <w:left w:val="nil"/>
              <w:bottom w:val="nil"/>
              <w:right w:val="single" w:sz="4" w:space="0" w:color="auto"/>
            </w:tcBorders>
            <w:shd w:val="clear" w:color="auto" w:fill="auto"/>
            <w:noWrap/>
            <w:vAlign w:val="bottom"/>
            <w:hideMark/>
          </w:tcPr>
          <w:p w14:paraId="51D62D0A" w14:textId="0D7CBE2A" w:rsidR="009D43C3" w:rsidRPr="000C156A" w:rsidRDefault="009D43C3" w:rsidP="005D02F0">
            <w:pPr>
              <w:spacing w:before="0"/>
              <w:jc w:val="right"/>
              <w:rPr>
                <w:b/>
                <w:bCs/>
                <w:sz w:val="18"/>
                <w:szCs w:val="18"/>
              </w:rPr>
            </w:pPr>
            <w:r w:rsidRPr="000C156A">
              <w:rPr>
                <w:b/>
                <w:bCs/>
                <w:sz w:val="18"/>
                <w:szCs w:val="18"/>
              </w:rPr>
              <w:t>161</w:t>
            </w:r>
            <w:r w:rsidR="00CF258E" w:rsidRPr="000C156A">
              <w:rPr>
                <w:b/>
                <w:bCs/>
                <w:sz w:val="18"/>
                <w:szCs w:val="18"/>
              </w:rPr>
              <w:t xml:space="preserve"> </w:t>
            </w:r>
            <w:r w:rsidRPr="000C156A">
              <w:rPr>
                <w:b/>
                <w:bCs/>
                <w:sz w:val="18"/>
                <w:szCs w:val="18"/>
              </w:rPr>
              <w:t>826</w:t>
            </w:r>
          </w:p>
        </w:tc>
      </w:tr>
      <w:tr w:rsidR="009D43C3" w:rsidRPr="000C156A" w14:paraId="3D19B14E" w14:textId="77777777" w:rsidTr="005D02F0">
        <w:tc>
          <w:tcPr>
            <w:tcW w:w="2998" w:type="pct"/>
            <w:tcBorders>
              <w:top w:val="nil"/>
              <w:left w:val="single" w:sz="4" w:space="0" w:color="auto"/>
              <w:bottom w:val="single" w:sz="4" w:space="0" w:color="auto"/>
              <w:right w:val="nil"/>
            </w:tcBorders>
            <w:shd w:val="clear" w:color="auto" w:fill="auto"/>
            <w:hideMark/>
          </w:tcPr>
          <w:p w14:paraId="572738B3" w14:textId="77777777" w:rsidR="009D43C3" w:rsidRPr="000C156A" w:rsidRDefault="009D43C3" w:rsidP="005D02F0">
            <w:pPr>
              <w:overflowPunct/>
              <w:adjustRightInd/>
              <w:spacing w:before="0" w:after="60"/>
              <w:textAlignment w:val="auto"/>
              <w:rPr>
                <w:rFonts w:cs="Calibri"/>
                <w:b/>
                <w:bCs/>
                <w:color w:val="000000"/>
                <w:sz w:val="18"/>
                <w:szCs w:val="18"/>
                <w:lang w:val="en-US" w:eastAsia="zh-CN"/>
              </w:rPr>
            </w:pPr>
            <w:r w:rsidRPr="000C156A">
              <w:rPr>
                <w:rFonts w:cs="Calibri" w:hint="eastAsia"/>
                <w:b/>
                <w:bCs/>
                <w:sz w:val="18"/>
                <w:szCs w:val="18"/>
                <w:lang w:val="en-US" w:eastAsia="zh-CN"/>
              </w:rPr>
              <w:t>期末现金和现金等价物</w:t>
            </w:r>
          </w:p>
        </w:tc>
        <w:tc>
          <w:tcPr>
            <w:tcW w:w="1001" w:type="pct"/>
            <w:tcBorders>
              <w:top w:val="nil"/>
              <w:left w:val="single" w:sz="4" w:space="0" w:color="auto"/>
              <w:bottom w:val="single" w:sz="4" w:space="0" w:color="auto"/>
              <w:right w:val="single" w:sz="4" w:space="0" w:color="auto"/>
            </w:tcBorders>
            <w:shd w:val="clear" w:color="auto" w:fill="auto"/>
            <w:noWrap/>
            <w:vAlign w:val="bottom"/>
            <w:hideMark/>
          </w:tcPr>
          <w:p w14:paraId="16B72191" w14:textId="5E91A8CF" w:rsidR="009D43C3" w:rsidRPr="000C156A" w:rsidRDefault="009D43C3" w:rsidP="005D02F0">
            <w:pPr>
              <w:spacing w:before="0"/>
              <w:jc w:val="right"/>
              <w:rPr>
                <w:b/>
                <w:bCs/>
                <w:sz w:val="18"/>
                <w:szCs w:val="18"/>
              </w:rPr>
            </w:pPr>
            <w:r w:rsidRPr="000C156A">
              <w:rPr>
                <w:rFonts w:hint="eastAsia"/>
                <w:b/>
                <w:bCs/>
                <w:sz w:val="18"/>
                <w:szCs w:val="18"/>
                <w:lang w:eastAsia="zh-CN"/>
              </w:rPr>
              <w:t>99</w:t>
            </w:r>
            <w:r w:rsidR="00CF258E" w:rsidRPr="000C156A">
              <w:rPr>
                <w:rFonts w:hint="eastAsia"/>
                <w:b/>
                <w:bCs/>
                <w:sz w:val="18"/>
                <w:szCs w:val="18"/>
                <w:lang w:eastAsia="zh-CN"/>
              </w:rPr>
              <w:t xml:space="preserve"> </w:t>
            </w:r>
            <w:r w:rsidRPr="000C156A">
              <w:rPr>
                <w:b/>
                <w:bCs/>
                <w:sz w:val="18"/>
                <w:szCs w:val="18"/>
                <w:lang w:eastAsia="zh-CN"/>
              </w:rPr>
              <w:t>406</w:t>
            </w:r>
          </w:p>
        </w:tc>
        <w:tc>
          <w:tcPr>
            <w:tcW w:w="1001" w:type="pct"/>
            <w:tcBorders>
              <w:top w:val="nil"/>
              <w:left w:val="nil"/>
              <w:bottom w:val="single" w:sz="4" w:space="0" w:color="auto"/>
              <w:right w:val="single" w:sz="4" w:space="0" w:color="auto"/>
            </w:tcBorders>
            <w:shd w:val="clear" w:color="auto" w:fill="auto"/>
            <w:noWrap/>
            <w:vAlign w:val="bottom"/>
            <w:hideMark/>
          </w:tcPr>
          <w:p w14:paraId="0A8F78CB" w14:textId="42AE5FD7" w:rsidR="009D43C3" w:rsidRPr="000C156A" w:rsidRDefault="009D43C3" w:rsidP="005D02F0">
            <w:pPr>
              <w:spacing w:before="0"/>
              <w:jc w:val="right"/>
              <w:rPr>
                <w:b/>
                <w:bCs/>
                <w:sz w:val="18"/>
                <w:szCs w:val="18"/>
              </w:rPr>
            </w:pPr>
            <w:r w:rsidRPr="000C156A">
              <w:rPr>
                <w:b/>
                <w:bCs/>
                <w:sz w:val="18"/>
                <w:szCs w:val="18"/>
              </w:rPr>
              <w:t>178</w:t>
            </w:r>
            <w:r w:rsidR="00CF258E" w:rsidRPr="000C156A">
              <w:rPr>
                <w:b/>
                <w:bCs/>
                <w:sz w:val="18"/>
                <w:szCs w:val="18"/>
              </w:rPr>
              <w:t xml:space="preserve"> </w:t>
            </w:r>
            <w:r w:rsidRPr="000C156A">
              <w:rPr>
                <w:b/>
                <w:bCs/>
                <w:sz w:val="18"/>
                <w:szCs w:val="18"/>
              </w:rPr>
              <w:t>852</w:t>
            </w:r>
          </w:p>
        </w:tc>
      </w:tr>
    </w:tbl>
    <w:p w14:paraId="1DB3C199" w14:textId="77777777" w:rsidR="009D43C3" w:rsidRPr="000C156A" w:rsidRDefault="009D43C3" w:rsidP="00025236">
      <w:pPr>
        <w:pStyle w:val="Heading1"/>
        <w:spacing w:after="240"/>
        <w:jc w:val="center"/>
        <w:rPr>
          <w:lang w:eastAsia="zh-CN"/>
        </w:rPr>
      </w:pPr>
      <w:bookmarkStart w:id="320" w:name="_Toc329165773"/>
      <w:bookmarkStart w:id="321" w:name="_Toc482894784"/>
      <w:bookmarkStart w:id="322" w:name="_Toc482892540"/>
      <w:bookmarkStart w:id="323" w:name="_Toc511116011"/>
      <w:bookmarkStart w:id="324" w:name="_Toc41905841"/>
      <w:bookmarkStart w:id="325" w:name="_Toc41906889"/>
      <w:bookmarkStart w:id="326" w:name="_Toc41907970"/>
      <w:bookmarkStart w:id="327" w:name="_Toc41908038"/>
      <w:bookmarkStart w:id="328" w:name="_Toc73519215"/>
      <w:bookmarkStart w:id="329" w:name="_Toc73636240"/>
      <w:r w:rsidRPr="000C156A">
        <w:rPr>
          <w:rFonts w:cs="Microsoft YaHei" w:hint="eastAsia"/>
          <w:lang w:val="fr-FR" w:eastAsia="zh-CN"/>
        </w:rPr>
        <w:lastRenderedPageBreak/>
        <w:t>五</w:t>
      </w:r>
      <w:r w:rsidRPr="000C156A">
        <w:rPr>
          <w:lang w:eastAsia="zh-CN"/>
        </w:rPr>
        <w:t xml:space="preserve"> – 2020</w:t>
      </w:r>
      <w:r w:rsidRPr="000C156A">
        <w:rPr>
          <w:rFonts w:cs="Microsoft YaHei" w:hint="eastAsia"/>
          <w:lang w:val="fr-FR" w:eastAsia="zh-CN"/>
        </w:rPr>
        <w:t>年财务期预算金额与实际发生金额的对比</w:t>
      </w:r>
      <w:bookmarkEnd w:id="320"/>
      <w:r w:rsidRPr="000C156A">
        <w:rPr>
          <w:rFonts w:cs="Microsoft YaHei" w:hint="eastAsia"/>
          <w:lang w:val="fr-FR" w:eastAsia="zh-CN"/>
        </w:rPr>
        <w:t>表</w:t>
      </w:r>
      <w:bookmarkEnd w:id="321"/>
      <w:bookmarkEnd w:id="322"/>
      <w:bookmarkEnd w:id="323"/>
      <w:bookmarkEnd w:id="324"/>
      <w:bookmarkEnd w:id="325"/>
      <w:bookmarkEnd w:id="326"/>
      <w:bookmarkEnd w:id="327"/>
      <w:bookmarkEnd w:id="328"/>
      <w:bookmarkEnd w:id="329"/>
    </w:p>
    <w:p w14:paraId="1416D045" w14:textId="77777777" w:rsidR="009D43C3" w:rsidRPr="000C156A" w:rsidRDefault="009D43C3" w:rsidP="00025236">
      <w:pPr>
        <w:spacing w:after="240"/>
        <w:jc w:val="center"/>
        <w:rPr>
          <w:b/>
          <w:bCs/>
          <w:sz w:val="20"/>
          <w:lang w:val="en-US"/>
        </w:rPr>
      </w:pPr>
      <w:r w:rsidRPr="000C156A">
        <w:rPr>
          <w:rFonts w:hint="eastAsia"/>
          <w:b/>
          <w:bCs/>
          <w:sz w:val="20"/>
          <w:lang w:val="en-US"/>
        </w:rPr>
        <w:t>（单位：千瑞郎）</w:t>
      </w:r>
    </w:p>
    <w:tbl>
      <w:tblPr>
        <w:tblW w:w="5368" w:type="pct"/>
        <w:tblInd w:w="-431" w:type="dxa"/>
        <w:tblLayout w:type="fixed"/>
        <w:tblLook w:val="04A0" w:firstRow="1" w:lastRow="0" w:firstColumn="1" w:lastColumn="0" w:noHBand="0" w:noVBand="1"/>
      </w:tblPr>
      <w:tblGrid>
        <w:gridCol w:w="2782"/>
        <w:gridCol w:w="1116"/>
        <w:gridCol w:w="1119"/>
        <w:gridCol w:w="1119"/>
        <w:gridCol w:w="1129"/>
        <w:gridCol w:w="1400"/>
        <w:gridCol w:w="1673"/>
      </w:tblGrid>
      <w:tr w:rsidR="009D43C3" w:rsidRPr="000C156A" w14:paraId="60406F4E" w14:textId="77777777" w:rsidTr="005D02F0">
        <w:trPr>
          <w:trHeight w:val="255"/>
        </w:trPr>
        <w:tc>
          <w:tcPr>
            <w:tcW w:w="13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4097B2" w14:textId="77777777" w:rsidR="009D43C3" w:rsidRPr="000C156A" w:rsidRDefault="009D43C3" w:rsidP="005D02F0">
            <w:pPr>
              <w:overflowPunct/>
              <w:adjustRightInd/>
              <w:spacing w:before="0"/>
              <w:jc w:val="center"/>
              <w:textAlignment w:val="auto"/>
              <w:rPr>
                <w:rFonts w:ascii="Arial" w:hAnsi="Arial" w:cs="Arial"/>
                <w:b/>
                <w:bCs/>
                <w:color w:val="000000"/>
                <w:sz w:val="18"/>
                <w:szCs w:val="18"/>
                <w:lang w:val="en-US" w:eastAsia="zh-CN"/>
              </w:rPr>
            </w:pPr>
            <w:r w:rsidRPr="000C156A">
              <w:rPr>
                <w:rFonts w:hint="eastAsia"/>
                <w:b/>
                <w:bCs/>
                <w:sz w:val="18"/>
                <w:szCs w:val="18"/>
                <w:lang w:val="en-US"/>
              </w:rPr>
              <w:t>收入</w:t>
            </w:r>
          </w:p>
        </w:tc>
        <w:tc>
          <w:tcPr>
            <w:tcW w:w="216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2B085D15" w14:textId="77777777" w:rsidR="009D43C3" w:rsidRPr="000C156A" w:rsidRDefault="009D43C3" w:rsidP="005D02F0">
            <w:pPr>
              <w:overflowPunct/>
              <w:adjustRightInd/>
              <w:spacing w:before="0"/>
              <w:jc w:val="center"/>
              <w:textAlignment w:val="auto"/>
              <w:rPr>
                <w:rFonts w:ascii="Arial" w:hAnsi="Arial" w:cs="Arial"/>
                <w:b/>
                <w:bCs/>
                <w:color w:val="000000"/>
                <w:sz w:val="18"/>
                <w:szCs w:val="18"/>
                <w:lang w:val="en-US" w:eastAsia="zh-CN"/>
              </w:rPr>
            </w:pPr>
            <w:r w:rsidRPr="000C156A">
              <w:rPr>
                <w:rFonts w:hint="eastAsia"/>
                <w:b/>
                <w:bCs/>
                <w:sz w:val="18"/>
                <w:szCs w:val="18"/>
                <w:lang w:val="en-US"/>
              </w:rPr>
              <w:t>预算</w:t>
            </w:r>
            <w:r w:rsidRPr="000C156A">
              <w:rPr>
                <w:rFonts w:hint="eastAsia"/>
                <w:b/>
                <w:bCs/>
                <w:sz w:val="18"/>
                <w:szCs w:val="18"/>
                <w:lang w:val="en-US" w:eastAsia="zh-CN"/>
              </w:rPr>
              <w:t>金</w:t>
            </w:r>
            <w:r w:rsidRPr="000C156A">
              <w:rPr>
                <w:rFonts w:hint="eastAsia"/>
                <w:b/>
                <w:bCs/>
                <w:sz w:val="18"/>
                <w:szCs w:val="18"/>
                <w:lang w:val="en-US"/>
              </w:rPr>
              <w:t>额</w:t>
            </w:r>
          </w:p>
        </w:tc>
        <w:tc>
          <w:tcPr>
            <w:tcW w:w="6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E7CB29" w14:textId="77777777" w:rsidR="009D43C3" w:rsidRPr="000C156A" w:rsidRDefault="009D43C3" w:rsidP="005D02F0">
            <w:pPr>
              <w:pStyle w:val="Tablehead"/>
              <w:spacing w:before="40" w:after="40"/>
              <w:rPr>
                <w:sz w:val="18"/>
                <w:szCs w:val="18"/>
                <w:lang w:val="en-US" w:eastAsia="zh-CN"/>
              </w:rPr>
            </w:pPr>
            <w:r w:rsidRPr="000C156A">
              <w:rPr>
                <w:rFonts w:hint="eastAsia"/>
                <w:sz w:val="18"/>
                <w:szCs w:val="18"/>
                <w:lang w:val="en-US"/>
              </w:rPr>
              <w:t>可比的</w:t>
            </w:r>
            <w:r w:rsidRPr="000C156A">
              <w:rPr>
                <w:sz w:val="18"/>
                <w:szCs w:val="18"/>
                <w:lang w:val="en-US" w:eastAsia="zh-CN"/>
              </w:rPr>
              <w:br/>
            </w:r>
            <w:r w:rsidRPr="000C156A">
              <w:rPr>
                <w:rFonts w:hint="eastAsia"/>
                <w:sz w:val="18"/>
                <w:szCs w:val="18"/>
                <w:lang w:val="en-US" w:eastAsia="zh-CN"/>
              </w:rPr>
              <w:t>实际金额</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69F09D" w14:textId="77777777" w:rsidR="009D43C3" w:rsidRPr="000C156A" w:rsidRDefault="009D43C3" w:rsidP="005D02F0">
            <w:pPr>
              <w:pStyle w:val="Tablehead"/>
              <w:spacing w:before="40" w:after="40"/>
              <w:rPr>
                <w:sz w:val="18"/>
                <w:szCs w:val="18"/>
                <w:lang w:val="en-US" w:eastAsia="zh-CN"/>
              </w:rPr>
            </w:pPr>
            <w:r w:rsidRPr="000C156A">
              <w:rPr>
                <w:rFonts w:hint="eastAsia"/>
                <w:sz w:val="18"/>
                <w:szCs w:val="18"/>
                <w:lang w:val="en-US" w:eastAsia="zh-CN"/>
              </w:rPr>
              <w:t>最终预算和</w:t>
            </w:r>
            <w:r w:rsidRPr="000C156A">
              <w:rPr>
                <w:sz w:val="18"/>
                <w:szCs w:val="18"/>
                <w:lang w:val="en-US" w:eastAsia="zh-CN"/>
              </w:rPr>
              <w:br/>
            </w:r>
            <w:r w:rsidRPr="000C156A">
              <w:rPr>
                <w:rFonts w:hint="eastAsia"/>
                <w:sz w:val="18"/>
                <w:szCs w:val="18"/>
                <w:lang w:val="en-US" w:eastAsia="zh-CN"/>
              </w:rPr>
              <w:t>实际金额</w:t>
            </w:r>
            <w:r w:rsidRPr="000C156A">
              <w:rPr>
                <w:sz w:val="18"/>
                <w:szCs w:val="18"/>
                <w:lang w:val="en-US" w:eastAsia="zh-CN"/>
              </w:rPr>
              <w:br/>
            </w:r>
            <w:r w:rsidRPr="000C156A">
              <w:rPr>
                <w:rFonts w:hint="eastAsia"/>
                <w:sz w:val="18"/>
                <w:szCs w:val="18"/>
                <w:lang w:val="en-US" w:eastAsia="zh-CN"/>
              </w:rPr>
              <w:t>之间的差异</w:t>
            </w:r>
          </w:p>
        </w:tc>
      </w:tr>
      <w:tr w:rsidR="009D43C3" w:rsidRPr="000C156A" w14:paraId="4C30BBDF" w14:textId="77777777" w:rsidTr="005D02F0">
        <w:trPr>
          <w:trHeight w:val="630"/>
        </w:trPr>
        <w:tc>
          <w:tcPr>
            <w:tcW w:w="1346" w:type="pct"/>
            <w:vMerge/>
            <w:tcBorders>
              <w:top w:val="single" w:sz="4" w:space="0" w:color="auto"/>
              <w:left w:val="single" w:sz="4" w:space="0" w:color="auto"/>
              <w:bottom w:val="single" w:sz="4" w:space="0" w:color="000000"/>
              <w:right w:val="single" w:sz="4" w:space="0" w:color="auto"/>
            </w:tcBorders>
            <w:vAlign w:val="center"/>
            <w:hideMark/>
          </w:tcPr>
          <w:p w14:paraId="22FAECFD" w14:textId="77777777" w:rsidR="009D43C3" w:rsidRPr="000C156A" w:rsidRDefault="009D43C3" w:rsidP="005D02F0">
            <w:pPr>
              <w:overflowPunct/>
              <w:adjustRightInd/>
              <w:spacing w:before="0"/>
              <w:textAlignment w:val="auto"/>
              <w:rPr>
                <w:rFonts w:ascii="Arial" w:hAnsi="Arial" w:cs="Arial"/>
                <w:b/>
                <w:bCs/>
                <w:color w:val="000000"/>
                <w:sz w:val="18"/>
                <w:szCs w:val="18"/>
                <w:lang w:val="en-US" w:eastAsia="zh-CN"/>
              </w:rPr>
            </w:pPr>
          </w:p>
        </w:tc>
        <w:tc>
          <w:tcPr>
            <w:tcW w:w="540" w:type="pct"/>
            <w:tcBorders>
              <w:top w:val="nil"/>
              <w:left w:val="nil"/>
              <w:bottom w:val="single" w:sz="4" w:space="0" w:color="auto"/>
              <w:right w:val="single" w:sz="4" w:space="0" w:color="auto"/>
            </w:tcBorders>
            <w:shd w:val="clear" w:color="auto" w:fill="auto"/>
            <w:vAlign w:val="center"/>
            <w:hideMark/>
          </w:tcPr>
          <w:p w14:paraId="0F625DBC" w14:textId="77777777" w:rsidR="009D43C3" w:rsidRPr="000C156A" w:rsidRDefault="009D43C3" w:rsidP="005D02F0">
            <w:pPr>
              <w:pStyle w:val="Tablehead"/>
              <w:spacing w:before="40" w:after="40"/>
              <w:rPr>
                <w:sz w:val="18"/>
                <w:szCs w:val="18"/>
                <w:lang w:val="en-US" w:eastAsia="zh-CN"/>
              </w:rPr>
            </w:pPr>
            <w:r w:rsidRPr="000C156A">
              <w:rPr>
                <w:rFonts w:hint="eastAsia"/>
                <w:sz w:val="18"/>
                <w:szCs w:val="18"/>
                <w:lang w:val="en-US" w:eastAsia="zh-CN"/>
              </w:rPr>
              <w:t>初始预算</w:t>
            </w:r>
          </w:p>
        </w:tc>
        <w:tc>
          <w:tcPr>
            <w:tcW w:w="541" w:type="pct"/>
            <w:tcBorders>
              <w:top w:val="nil"/>
              <w:left w:val="nil"/>
              <w:bottom w:val="single" w:sz="4" w:space="0" w:color="auto"/>
              <w:right w:val="nil"/>
            </w:tcBorders>
            <w:shd w:val="clear" w:color="auto" w:fill="auto"/>
            <w:hideMark/>
          </w:tcPr>
          <w:p w14:paraId="4BB2B523" w14:textId="77777777" w:rsidR="009D43C3" w:rsidRPr="000C156A" w:rsidRDefault="009D43C3" w:rsidP="005D02F0">
            <w:pPr>
              <w:pStyle w:val="Tablehead"/>
              <w:spacing w:after="40"/>
              <w:rPr>
                <w:sz w:val="18"/>
                <w:szCs w:val="18"/>
                <w:lang w:val="en-US" w:eastAsia="zh-CN"/>
              </w:rPr>
            </w:pPr>
            <w:r w:rsidRPr="000C156A">
              <w:rPr>
                <w:rFonts w:hint="eastAsia"/>
                <w:sz w:val="18"/>
                <w:szCs w:val="18"/>
                <w:lang w:val="en-US"/>
              </w:rPr>
              <w:t>推迟</w:t>
            </w:r>
            <w:r w:rsidRPr="000C156A">
              <w:rPr>
                <w:sz w:val="18"/>
                <w:szCs w:val="18"/>
                <w:lang w:val="en-US"/>
              </w:rPr>
              <w:t>的</w:t>
            </w:r>
            <w:r w:rsidRPr="000C156A">
              <w:rPr>
                <w:sz w:val="18"/>
                <w:szCs w:val="18"/>
                <w:lang w:val="en-US"/>
              </w:rPr>
              <w:br/>
            </w:r>
            <w:r w:rsidRPr="000C156A">
              <w:rPr>
                <w:sz w:val="18"/>
                <w:szCs w:val="18"/>
                <w:lang w:val="en-US"/>
              </w:rPr>
              <w:t>活动</w:t>
            </w:r>
          </w:p>
        </w:tc>
        <w:tc>
          <w:tcPr>
            <w:tcW w:w="541" w:type="pct"/>
            <w:tcBorders>
              <w:top w:val="nil"/>
              <w:left w:val="single" w:sz="4" w:space="0" w:color="auto"/>
              <w:bottom w:val="single" w:sz="4" w:space="0" w:color="auto"/>
              <w:right w:val="single" w:sz="4" w:space="0" w:color="auto"/>
            </w:tcBorders>
            <w:shd w:val="clear" w:color="auto" w:fill="auto"/>
            <w:vAlign w:val="center"/>
            <w:hideMark/>
          </w:tcPr>
          <w:p w14:paraId="21DBD044" w14:textId="77777777" w:rsidR="009D43C3" w:rsidRPr="000C156A" w:rsidRDefault="009D43C3" w:rsidP="005D02F0">
            <w:pPr>
              <w:pStyle w:val="Tablehead"/>
              <w:spacing w:before="40" w:after="40"/>
              <w:rPr>
                <w:sz w:val="18"/>
                <w:szCs w:val="18"/>
                <w:lang w:val="en-US" w:eastAsia="fr-FR"/>
              </w:rPr>
            </w:pPr>
            <w:r w:rsidRPr="000C156A">
              <w:rPr>
                <w:rFonts w:hint="eastAsia"/>
                <w:sz w:val="18"/>
                <w:szCs w:val="18"/>
                <w:lang w:val="en-US"/>
              </w:rPr>
              <w:t>预算内</w:t>
            </w:r>
            <w:r w:rsidRPr="000C156A">
              <w:rPr>
                <w:sz w:val="18"/>
                <w:szCs w:val="18"/>
                <w:lang w:val="en-US"/>
              </w:rPr>
              <w:br/>
            </w:r>
            <w:r w:rsidRPr="000C156A">
              <w:rPr>
                <w:rFonts w:hint="eastAsia"/>
                <w:sz w:val="18"/>
                <w:szCs w:val="18"/>
                <w:lang w:val="en-US"/>
              </w:rPr>
              <w:t>转账</w:t>
            </w:r>
          </w:p>
        </w:tc>
        <w:tc>
          <w:tcPr>
            <w:tcW w:w="546" w:type="pct"/>
            <w:tcBorders>
              <w:top w:val="nil"/>
              <w:left w:val="nil"/>
              <w:bottom w:val="single" w:sz="4" w:space="0" w:color="auto"/>
              <w:right w:val="single" w:sz="4" w:space="0" w:color="auto"/>
            </w:tcBorders>
            <w:shd w:val="clear" w:color="auto" w:fill="auto"/>
            <w:vAlign w:val="center"/>
            <w:hideMark/>
          </w:tcPr>
          <w:p w14:paraId="08D17E4C" w14:textId="77777777" w:rsidR="009D43C3" w:rsidRPr="000C156A" w:rsidRDefault="009D43C3" w:rsidP="005D02F0">
            <w:pPr>
              <w:pStyle w:val="Tablehead"/>
              <w:spacing w:before="40" w:after="40"/>
              <w:rPr>
                <w:sz w:val="18"/>
                <w:szCs w:val="18"/>
                <w:lang w:val="en-US" w:eastAsia="fr-FR"/>
              </w:rPr>
            </w:pPr>
            <w:r w:rsidRPr="000C156A">
              <w:rPr>
                <w:rFonts w:hint="eastAsia"/>
                <w:sz w:val="18"/>
                <w:szCs w:val="18"/>
                <w:lang w:val="en-US" w:eastAsia="fr-FR"/>
              </w:rPr>
              <w:t>最终预算</w:t>
            </w:r>
          </w:p>
        </w:tc>
        <w:tc>
          <w:tcPr>
            <w:tcW w:w="677" w:type="pct"/>
            <w:vMerge/>
            <w:tcBorders>
              <w:top w:val="single" w:sz="4" w:space="0" w:color="auto"/>
              <w:left w:val="single" w:sz="4" w:space="0" w:color="auto"/>
              <w:bottom w:val="single" w:sz="4" w:space="0" w:color="000000"/>
              <w:right w:val="single" w:sz="4" w:space="0" w:color="auto"/>
            </w:tcBorders>
            <w:vAlign w:val="center"/>
            <w:hideMark/>
          </w:tcPr>
          <w:p w14:paraId="67E6E8EC" w14:textId="77777777" w:rsidR="009D43C3" w:rsidRPr="000C156A" w:rsidRDefault="009D43C3" w:rsidP="005D02F0">
            <w:pPr>
              <w:overflowPunct/>
              <w:adjustRightInd/>
              <w:spacing w:before="0"/>
              <w:textAlignment w:val="auto"/>
              <w:rPr>
                <w:rFonts w:ascii="Arial" w:hAnsi="Arial" w:cs="Arial"/>
                <w:b/>
                <w:bCs/>
                <w:color w:val="000000"/>
                <w:sz w:val="18"/>
                <w:szCs w:val="18"/>
                <w:lang w:val="en-US" w:eastAsia="zh-CN"/>
              </w:rPr>
            </w:pPr>
          </w:p>
        </w:tc>
        <w:tc>
          <w:tcPr>
            <w:tcW w:w="809" w:type="pct"/>
            <w:vMerge/>
            <w:tcBorders>
              <w:top w:val="single" w:sz="4" w:space="0" w:color="auto"/>
              <w:left w:val="single" w:sz="4" w:space="0" w:color="auto"/>
              <w:bottom w:val="single" w:sz="4" w:space="0" w:color="000000"/>
              <w:right w:val="single" w:sz="4" w:space="0" w:color="auto"/>
            </w:tcBorders>
            <w:vAlign w:val="center"/>
            <w:hideMark/>
          </w:tcPr>
          <w:p w14:paraId="2082923C" w14:textId="77777777" w:rsidR="009D43C3" w:rsidRPr="000C156A" w:rsidRDefault="009D43C3" w:rsidP="005D02F0">
            <w:pPr>
              <w:overflowPunct/>
              <w:adjustRightInd/>
              <w:spacing w:before="0"/>
              <w:textAlignment w:val="auto"/>
              <w:rPr>
                <w:rFonts w:ascii="Arial" w:hAnsi="Arial" w:cs="Arial"/>
                <w:b/>
                <w:bCs/>
                <w:color w:val="000000"/>
                <w:sz w:val="18"/>
                <w:szCs w:val="18"/>
                <w:lang w:val="en-US" w:eastAsia="zh-CN"/>
              </w:rPr>
            </w:pPr>
          </w:p>
        </w:tc>
      </w:tr>
      <w:tr w:rsidR="009D43C3" w:rsidRPr="000C156A" w14:paraId="4EF0E0D5" w14:textId="77777777" w:rsidTr="005D02F0">
        <w:trPr>
          <w:trHeight w:val="435"/>
        </w:trPr>
        <w:tc>
          <w:tcPr>
            <w:tcW w:w="1346" w:type="pct"/>
            <w:vMerge/>
            <w:tcBorders>
              <w:top w:val="single" w:sz="4" w:space="0" w:color="auto"/>
              <w:left w:val="single" w:sz="4" w:space="0" w:color="auto"/>
              <w:bottom w:val="single" w:sz="4" w:space="0" w:color="000000"/>
              <w:right w:val="single" w:sz="4" w:space="0" w:color="auto"/>
            </w:tcBorders>
            <w:vAlign w:val="center"/>
            <w:hideMark/>
          </w:tcPr>
          <w:p w14:paraId="04A43D12" w14:textId="77777777" w:rsidR="009D43C3" w:rsidRPr="000C156A" w:rsidRDefault="009D43C3" w:rsidP="005D02F0">
            <w:pPr>
              <w:overflowPunct/>
              <w:adjustRightInd/>
              <w:spacing w:before="0"/>
              <w:textAlignment w:val="auto"/>
              <w:rPr>
                <w:rFonts w:ascii="Arial" w:hAnsi="Arial" w:cs="Arial"/>
                <w:b/>
                <w:bCs/>
                <w:color w:val="000000"/>
                <w:sz w:val="18"/>
                <w:szCs w:val="18"/>
                <w:lang w:val="en-US" w:eastAsia="zh-CN"/>
              </w:rPr>
            </w:pPr>
          </w:p>
        </w:tc>
        <w:tc>
          <w:tcPr>
            <w:tcW w:w="540" w:type="pct"/>
            <w:tcBorders>
              <w:top w:val="nil"/>
              <w:left w:val="nil"/>
              <w:bottom w:val="single" w:sz="4" w:space="0" w:color="auto"/>
              <w:right w:val="single" w:sz="4" w:space="0" w:color="auto"/>
            </w:tcBorders>
            <w:shd w:val="clear" w:color="auto" w:fill="auto"/>
            <w:noWrap/>
            <w:vAlign w:val="center"/>
            <w:hideMark/>
          </w:tcPr>
          <w:p w14:paraId="2BC793F6" w14:textId="7CBC0DAB" w:rsidR="009D43C3" w:rsidRPr="000C156A" w:rsidRDefault="009D43C3" w:rsidP="005D02F0">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00E7018F"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541" w:type="pct"/>
            <w:tcBorders>
              <w:top w:val="nil"/>
              <w:left w:val="nil"/>
              <w:bottom w:val="single" w:sz="4" w:space="0" w:color="auto"/>
              <w:right w:val="single" w:sz="4" w:space="0" w:color="auto"/>
            </w:tcBorders>
            <w:shd w:val="clear" w:color="auto" w:fill="auto"/>
            <w:noWrap/>
            <w:hideMark/>
          </w:tcPr>
          <w:p w14:paraId="22841597" w14:textId="4A78F29B" w:rsidR="009D43C3" w:rsidRPr="000C156A" w:rsidRDefault="009D43C3" w:rsidP="005D02F0">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00E7018F"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541" w:type="pct"/>
            <w:tcBorders>
              <w:top w:val="nil"/>
              <w:left w:val="nil"/>
              <w:bottom w:val="single" w:sz="4" w:space="0" w:color="auto"/>
              <w:right w:val="single" w:sz="4" w:space="0" w:color="auto"/>
            </w:tcBorders>
            <w:shd w:val="clear" w:color="auto" w:fill="auto"/>
            <w:noWrap/>
            <w:vAlign w:val="center"/>
            <w:hideMark/>
          </w:tcPr>
          <w:p w14:paraId="403D17CC" w14:textId="603929E9" w:rsidR="009D43C3" w:rsidRPr="000C156A" w:rsidRDefault="009D43C3" w:rsidP="005D02F0">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00E7018F"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545" w:type="pct"/>
            <w:tcBorders>
              <w:top w:val="nil"/>
              <w:left w:val="nil"/>
              <w:bottom w:val="single" w:sz="4" w:space="0" w:color="auto"/>
              <w:right w:val="single" w:sz="4" w:space="0" w:color="auto"/>
            </w:tcBorders>
            <w:shd w:val="clear" w:color="auto" w:fill="auto"/>
            <w:noWrap/>
            <w:vAlign w:val="center"/>
            <w:hideMark/>
          </w:tcPr>
          <w:p w14:paraId="02C6D411" w14:textId="58AC6E04" w:rsidR="009D43C3" w:rsidRPr="000C156A" w:rsidRDefault="009D43C3" w:rsidP="005D02F0">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00E7018F"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677" w:type="pct"/>
            <w:tcBorders>
              <w:top w:val="nil"/>
              <w:left w:val="nil"/>
              <w:bottom w:val="single" w:sz="4" w:space="0" w:color="auto"/>
              <w:right w:val="single" w:sz="4" w:space="0" w:color="auto"/>
            </w:tcBorders>
            <w:shd w:val="clear" w:color="auto" w:fill="auto"/>
            <w:noWrap/>
            <w:vAlign w:val="center"/>
            <w:hideMark/>
          </w:tcPr>
          <w:p w14:paraId="20C23352" w14:textId="23A67A37" w:rsidR="009D43C3" w:rsidRPr="000C156A" w:rsidRDefault="009D43C3" w:rsidP="00E7018F">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00E7018F"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809" w:type="pct"/>
            <w:tcBorders>
              <w:top w:val="nil"/>
              <w:left w:val="nil"/>
              <w:bottom w:val="single" w:sz="4" w:space="0" w:color="auto"/>
              <w:right w:val="single" w:sz="4" w:space="0" w:color="auto"/>
            </w:tcBorders>
            <w:shd w:val="clear" w:color="auto" w:fill="auto"/>
            <w:noWrap/>
            <w:vAlign w:val="center"/>
            <w:hideMark/>
          </w:tcPr>
          <w:p w14:paraId="55378B89" w14:textId="6B486BC4" w:rsidR="009D43C3" w:rsidRPr="000C156A" w:rsidRDefault="009D43C3" w:rsidP="00E7018F">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00E7018F"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r>
      <w:tr w:rsidR="009D43C3" w:rsidRPr="000C156A" w14:paraId="145E57EE" w14:textId="77777777" w:rsidTr="005D02F0">
        <w:trPr>
          <w:trHeight w:val="255"/>
        </w:trPr>
        <w:tc>
          <w:tcPr>
            <w:tcW w:w="1346" w:type="pct"/>
            <w:tcBorders>
              <w:top w:val="nil"/>
              <w:left w:val="single" w:sz="4" w:space="0" w:color="auto"/>
              <w:bottom w:val="nil"/>
              <w:right w:val="nil"/>
            </w:tcBorders>
            <w:shd w:val="clear" w:color="auto" w:fill="auto"/>
            <w:hideMark/>
          </w:tcPr>
          <w:p w14:paraId="09EE31F6" w14:textId="77777777" w:rsidR="009D43C3" w:rsidRPr="000C156A" w:rsidRDefault="009D43C3" w:rsidP="005D02F0">
            <w:pPr>
              <w:pStyle w:val="Tabletext"/>
              <w:spacing w:before="20" w:after="20"/>
              <w:rPr>
                <w:rFonts w:ascii="SimSun" w:hAnsi="SimSun"/>
                <w:b/>
                <w:bCs/>
                <w:sz w:val="18"/>
                <w:szCs w:val="18"/>
                <w:lang w:val="en-US" w:eastAsia="zh-CN"/>
              </w:rPr>
            </w:pPr>
            <w:r w:rsidRPr="000C156A">
              <w:rPr>
                <w:rFonts w:ascii="SimSun" w:hAnsi="SimSun" w:hint="eastAsia"/>
                <w:b/>
                <w:bCs/>
                <w:sz w:val="18"/>
                <w:szCs w:val="18"/>
                <w:lang w:val="en-US" w:eastAsia="zh-CN"/>
              </w:rPr>
              <w:t>分摊会费</w:t>
            </w:r>
          </w:p>
        </w:tc>
        <w:tc>
          <w:tcPr>
            <w:tcW w:w="540" w:type="pct"/>
            <w:tcBorders>
              <w:top w:val="nil"/>
              <w:left w:val="single" w:sz="4" w:space="0" w:color="auto"/>
              <w:bottom w:val="nil"/>
              <w:right w:val="single" w:sz="4" w:space="0" w:color="auto"/>
            </w:tcBorders>
            <w:shd w:val="clear" w:color="auto" w:fill="auto"/>
            <w:noWrap/>
            <w:vAlign w:val="bottom"/>
            <w:hideMark/>
          </w:tcPr>
          <w:p w14:paraId="11FF5109" w14:textId="4C95BC7D"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125</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552</w:t>
            </w:r>
          </w:p>
        </w:tc>
        <w:tc>
          <w:tcPr>
            <w:tcW w:w="541" w:type="pct"/>
            <w:tcBorders>
              <w:top w:val="nil"/>
              <w:left w:val="nil"/>
              <w:bottom w:val="nil"/>
              <w:right w:val="single" w:sz="4" w:space="0" w:color="auto"/>
            </w:tcBorders>
            <w:shd w:val="clear" w:color="auto" w:fill="auto"/>
            <w:noWrap/>
            <w:vAlign w:val="bottom"/>
            <w:hideMark/>
          </w:tcPr>
          <w:p w14:paraId="0AD46F42"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12BCF82B"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5" w:type="pct"/>
            <w:tcBorders>
              <w:top w:val="nil"/>
              <w:left w:val="nil"/>
              <w:bottom w:val="nil"/>
              <w:right w:val="single" w:sz="4" w:space="0" w:color="auto"/>
            </w:tcBorders>
            <w:shd w:val="clear" w:color="auto" w:fill="auto"/>
            <w:noWrap/>
            <w:vAlign w:val="bottom"/>
            <w:hideMark/>
          </w:tcPr>
          <w:p w14:paraId="76893E25" w14:textId="77C41352"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125</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552</w:t>
            </w:r>
          </w:p>
        </w:tc>
        <w:tc>
          <w:tcPr>
            <w:tcW w:w="677" w:type="pct"/>
            <w:tcBorders>
              <w:top w:val="nil"/>
              <w:left w:val="nil"/>
              <w:bottom w:val="nil"/>
              <w:right w:val="single" w:sz="4" w:space="0" w:color="auto"/>
            </w:tcBorders>
            <w:shd w:val="clear" w:color="auto" w:fill="auto"/>
            <w:noWrap/>
            <w:vAlign w:val="bottom"/>
            <w:hideMark/>
          </w:tcPr>
          <w:p w14:paraId="0A21F7F2" w14:textId="0898A2CA"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125</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741</w:t>
            </w:r>
          </w:p>
        </w:tc>
        <w:tc>
          <w:tcPr>
            <w:tcW w:w="809" w:type="pct"/>
            <w:tcBorders>
              <w:top w:val="nil"/>
              <w:left w:val="nil"/>
              <w:bottom w:val="nil"/>
              <w:right w:val="single" w:sz="4" w:space="0" w:color="auto"/>
            </w:tcBorders>
            <w:shd w:val="clear" w:color="auto" w:fill="auto"/>
            <w:noWrap/>
            <w:vAlign w:val="bottom"/>
            <w:hideMark/>
          </w:tcPr>
          <w:p w14:paraId="5431C4F9"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189</w:t>
            </w:r>
          </w:p>
        </w:tc>
      </w:tr>
      <w:tr w:rsidR="009D43C3" w:rsidRPr="000C156A" w14:paraId="356A2BB0" w14:textId="77777777" w:rsidTr="005D02F0">
        <w:trPr>
          <w:trHeight w:val="255"/>
        </w:trPr>
        <w:tc>
          <w:tcPr>
            <w:tcW w:w="1346" w:type="pct"/>
            <w:tcBorders>
              <w:top w:val="nil"/>
              <w:left w:val="single" w:sz="4" w:space="0" w:color="auto"/>
              <w:bottom w:val="nil"/>
              <w:right w:val="nil"/>
            </w:tcBorders>
            <w:shd w:val="clear" w:color="auto" w:fill="auto"/>
            <w:vAlign w:val="bottom"/>
            <w:hideMark/>
          </w:tcPr>
          <w:p w14:paraId="02600647" w14:textId="77777777" w:rsidR="009D43C3" w:rsidRPr="000C156A" w:rsidRDefault="009D43C3" w:rsidP="005D02F0">
            <w:pPr>
              <w:pStyle w:val="Tabletext"/>
              <w:spacing w:before="20" w:after="20"/>
              <w:rPr>
                <w:rFonts w:ascii="SimSun" w:hAnsi="SimSun"/>
                <w:b/>
                <w:bCs/>
                <w:sz w:val="18"/>
                <w:szCs w:val="18"/>
                <w:lang w:val="en-US" w:eastAsia="zh-CN"/>
              </w:rPr>
            </w:pPr>
            <w:r w:rsidRPr="000C156A">
              <w:rPr>
                <w:rFonts w:ascii="SimSun" w:hAnsi="SimSun"/>
                <w:b/>
                <w:bCs/>
                <w:sz w:val="18"/>
                <w:szCs w:val="18"/>
                <w:lang w:val="en-US" w:eastAsia="zh-CN"/>
              </w:rPr>
              <w:t>成本回</w:t>
            </w:r>
            <w:r w:rsidRPr="000C156A">
              <w:rPr>
                <w:rFonts w:ascii="SimSun" w:hAnsi="SimSun" w:hint="eastAsia"/>
                <w:b/>
                <w:bCs/>
                <w:sz w:val="18"/>
                <w:szCs w:val="18"/>
                <w:lang w:val="en-US" w:eastAsia="zh-CN"/>
              </w:rPr>
              <w:t>收</w:t>
            </w:r>
          </w:p>
        </w:tc>
        <w:tc>
          <w:tcPr>
            <w:tcW w:w="540" w:type="pct"/>
            <w:tcBorders>
              <w:top w:val="nil"/>
              <w:left w:val="single" w:sz="4" w:space="0" w:color="auto"/>
              <w:bottom w:val="nil"/>
              <w:right w:val="single" w:sz="4" w:space="0" w:color="auto"/>
            </w:tcBorders>
            <w:shd w:val="clear" w:color="auto" w:fill="auto"/>
            <w:noWrap/>
            <w:vAlign w:val="bottom"/>
            <w:hideMark/>
          </w:tcPr>
          <w:p w14:paraId="38DD89D7" w14:textId="159E632C"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37</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875</w:t>
            </w:r>
          </w:p>
        </w:tc>
        <w:tc>
          <w:tcPr>
            <w:tcW w:w="541" w:type="pct"/>
            <w:tcBorders>
              <w:top w:val="nil"/>
              <w:left w:val="nil"/>
              <w:bottom w:val="nil"/>
              <w:right w:val="single" w:sz="4" w:space="0" w:color="auto"/>
            </w:tcBorders>
            <w:shd w:val="clear" w:color="auto" w:fill="auto"/>
            <w:noWrap/>
            <w:vAlign w:val="bottom"/>
            <w:hideMark/>
          </w:tcPr>
          <w:p w14:paraId="25FDD1DB"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15687363"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5" w:type="pct"/>
            <w:tcBorders>
              <w:top w:val="nil"/>
              <w:left w:val="nil"/>
              <w:bottom w:val="nil"/>
              <w:right w:val="single" w:sz="4" w:space="0" w:color="auto"/>
            </w:tcBorders>
            <w:shd w:val="clear" w:color="auto" w:fill="auto"/>
            <w:noWrap/>
            <w:vAlign w:val="bottom"/>
            <w:hideMark/>
          </w:tcPr>
          <w:p w14:paraId="631F529D" w14:textId="03413904"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37</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875</w:t>
            </w:r>
          </w:p>
        </w:tc>
        <w:tc>
          <w:tcPr>
            <w:tcW w:w="677" w:type="pct"/>
            <w:tcBorders>
              <w:top w:val="nil"/>
              <w:left w:val="nil"/>
              <w:bottom w:val="nil"/>
              <w:right w:val="single" w:sz="4" w:space="0" w:color="auto"/>
            </w:tcBorders>
            <w:shd w:val="clear" w:color="auto" w:fill="auto"/>
            <w:noWrap/>
            <w:vAlign w:val="bottom"/>
            <w:hideMark/>
          </w:tcPr>
          <w:p w14:paraId="43B12CF9" w14:textId="070310A1"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31</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271</w:t>
            </w:r>
          </w:p>
        </w:tc>
        <w:tc>
          <w:tcPr>
            <w:tcW w:w="809" w:type="pct"/>
            <w:tcBorders>
              <w:top w:val="nil"/>
              <w:left w:val="nil"/>
              <w:bottom w:val="nil"/>
              <w:right w:val="single" w:sz="4" w:space="0" w:color="auto"/>
            </w:tcBorders>
            <w:shd w:val="clear" w:color="auto" w:fill="auto"/>
            <w:noWrap/>
            <w:vAlign w:val="bottom"/>
            <w:hideMark/>
          </w:tcPr>
          <w:p w14:paraId="7F17216C" w14:textId="1F385C09"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-6</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604</w:t>
            </w:r>
          </w:p>
        </w:tc>
      </w:tr>
      <w:tr w:rsidR="009D43C3" w:rsidRPr="000C156A" w14:paraId="3A500703" w14:textId="77777777" w:rsidTr="005D02F0">
        <w:trPr>
          <w:trHeight w:val="255"/>
        </w:trPr>
        <w:tc>
          <w:tcPr>
            <w:tcW w:w="1346" w:type="pct"/>
            <w:tcBorders>
              <w:top w:val="nil"/>
              <w:left w:val="single" w:sz="4" w:space="0" w:color="auto"/>
              <w:bottom w:val="nil"/>
              <w:right w:val="nil"/>
            </w:tcBorders>
            <w:shd w:val="clear" w:color="auto" w:fill="auto"/>
            <w:vAlign w:val="bottom"/>
            <w:hideMark/>
          </w:tcPr>
          <w:p w14:paraId="451AD7BA" w14:textId="77777777" w:rsidR="009D43C3" w:rsidRPr="000C156A" w:rsidRDefault="009D43C3" w:rsidP="005D02F0">
            <w:pPr>
              <w:pStyle w:val="Tabletext"/>
              <w:spacing w:before="20" w:after="20"/>
              <w:rPr>
                <w:rFonts w:ascii="SimSun" w:hAnsi="SimSun"/>
                <w:b/>
                <w:bCs/>
                <w:sz w:val="18"/>
                <w:szCs w:val="18"/>
                <w:lang w:val="en-US" w:eastAsia="zh-CN"/>
              </w:rPr>
            </w:pPr>
            <w:r w:rsidRPr="000C156A">
              <w:rPr>
                <w:rFonts w:ascii="SimSun" w:hAnsi="SimSun" w:hint="eastAsia"/>
                <w:b/>
                <w:bCs/>
                <w:sz w:val="18"/>
                <w:szCs w:val="18"/>
                <w:lang w:val="en-US" w:eastAsia="zh-CN"/>
              </w:rPr>
              <w:t>利息</w:t>
            </w:r>
          </w:p>
        </w:tc>
        <w:tc>
          <w:tcPr>
            <w:tcW w:w="540" w:type="pct"/>
            <w:tcBorders>
              <w:top w:val="nil"/>
              <w:left w:val="single" w:sz="4" w:space="0" w:color="auto"/>
              <w:bottom w:val="nil"/>
              <w:right w:val="single" w:sz="4" w:space="0" w:color="auto"/>
            </w:tcBorders>
            <w:shd w:val="clear" w:color="auto" w:fill="auto"/>
            <w:noWrap/>
            <w:vAlign w:val="bottom"/>
            <w:hideMark/>
          </w:tcPr>
          <w:p w14:paraId="31D2DDC7"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300</w:t>
            </w:r>
          </w:p>
        </w:tc>
        <w:tc>
          <w:tcPr>
            <w:tcW w:w="541" w:type="pct"/>
            <w:tcBorders>
              <w:top w:val="nil"/>
              <w:left w:val="nil"/>
              <w:bottom w:val="nil"/>
              <w:right w:val="single" w:sz="4" w:space="0" w:color="auto"/>
            </w:tcBorders>
            <w:shd w:val="clear" w:color="auto" w:fill="auto"/>
            <w:noWrap/>
            <w:vAlign w:val="bottom"/>
            <w:hideMark/>
          </w:tcPr>
          <w:p w14:paraId="0192E1A8"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7AE78CA5"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5" w:type="pct"/>
            <w:tcBorders>
              <w:top w:val="nil"/>
              <w:left w:val="nil"/>
              <w:bottom w:val="nil"/>
              <w:right w:val="single" w:sz="4" w:space="0" w:color="auto"/>
            </w:tcBorders>
            <w:shd w:val="clear" w:color="auto" w:fill="auto"/>
            <w:noWrap/>
            <w:vAlign w:val="bottom"/>
            <w:hideMark/>
          </w:tcPr>
          <w:p w14:paraId="200B9300"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300</w:t>
            </w:r>
          </w:p>
        </w:tc>
        <w:tc>
          <w:tcPr>
            <w:tcW w:w="677" w:type="pct"/>
            <w:tcBorders>
              <w:top w:val="nil"/>
              <w:left w:val="nil"/>
              <w:bottom w:val="nil"/>
              <w:right w:val="single" w:sz="4" w:space="0" w:color="auto"/>
            </w:tcBorders>
            <w:shd w:val="clear" w:color="auto" w:fill="auto"/>
            <w:noWrap/>
            <w:vAlign w:val="bottom"/>
            <w:hideMark/>
          </w:tcPr>
          <w:p w14:paraId="77132C28"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125</w:t>
            </w:r>
          </w:p>
        </w:tc>
        <w:tc>
          <w:tcPr>
            <w:tcW w:w="809" w:type="pct"/>
            <w:tcBorders>
              <w:top w:val="nil"/>
              <w:left w:val="nil"/>
              <w:bottom w:val="nil"/>
              <w:right w:val="single" w:sz="4" w:space="0" w:color="auto"/>
            </w:tcBorders>
            <w:shd w:val="clear" w:color="auto" w:fill="auto"/>
            <w:noWrap/>
            <w:vAlign w:val="bottom"/>
            <w:hideMark/>
          </w:tcPr>
          <w:p w14:paraId="3591ED79"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-175</w:t>
            </w:r>
          </w:p>
        </w:tc>
      </w:tr>
      <w:tr w:rsidR="009D43C3" w:rsidRPr="000C156A" w14:paraId="181ACDEC" w14:textId="77777777" w:rsidTr="005D02F0">
        <w:trPr>
          <w:trHeight w:val="255"/>
        </w:trPr>
        <w:tc>
          <w:tcPr>
            <w:tcW w:w="1346" w:type="pct"/>
            <w:tcBorders>
              <w:top w:val="nil"/>
              <w:left w:val="single" w:sz="4" w:space="0" w:color="auto"/>
              <w:bottom w:val="nil"/>
              <w:right w:val="nil"/>
            </w:tcBorders>
            <w:shd w:val="clear" w:color="auto" w:fill="auto"/>
            <w:vAlign w:val="bottom"/>
            <w:hideMark/>
          </w:tcPr>
          <w:p w14:paraId="2B29BF94" w14:textId="77777777" w:rsidR="009D43C3" w:rsidRPr="000C156A" w:rsidRDefault="009D43C3" w:rsidP="005D02F0">
            <w:pPr>
              <w:pStyle w:val="Tabletext"/>
              <w:spacing w:before="20" w:after="20"/>
              <w:rPr>
                <w:rFonts w:ascii="SimSun" w:hAnsi="SimSun"/>
                <w:b/>
                <w:bCs/>
                <w:sz w:val="18"/>
                <w:szCs w:val="18"/>
                <w:lang w:val="en-US" w:eastAsia="zh-CN"/>
              </w:rPr>
            </w:pPr>
            <w:r w:rsidRPr="000C156A">
              <w:rPr>
                <w:rFonts w:ascii="SimSun" w:hAnsi="SimSun" w:hint="eastAsia"/>
                <w:b/>
                <w:bCs/>
                <w:sz w:val="18"/>
                <w:szCs w:val="18"/>
                <w:lang w:val="en-US" w:eastAsia="zh-CN"/>
              </w:rPr>
              <w:t>其它收入</w:t>
            </w:r>
          </w:p>
        </w:tc>
        <w:tc>
          <w:tcPr>
            <w:tcW w:w="540" w:type="pct"/>
            <w:tcBorders>
              <w:top w:val="nil"/>
              <w:left w:val="single" w:sz="4" w:space="0" w:color="auto"/>
              <w:bottom w:val="nil"/>
              <w:right w:val="single" w:sz="4" w:space="0" w:color="auto"/>
            </w:tcBorders>
            <w:shd w:val="clear" w:color="auto" w:fill="auto"/>
            <w:noWrap/>
            <w:vAlign w:val="bottom"/>
            <w:hideMark/>
          </w:tcPr>
          <w:p w14:paraId="7BA76129" w14:textId="77777777" w:rsidR="009D43C3" w:rsidRPr="000C156A" w:rsidRDefault="009D43C3" w:rsidP="005D02F0">
            <w:pPr>
              <w:overflowPunct/>
              <w:autoSpaceDE/>
              <w:autoSpaceDN/>
              <w:adjustRightInd/>
              <w:spacing w:before="0"/>
              <w:jc w:val="right"/>
              <w:textAlignment w:val="auto"/>
              <w:rPr>
                <w:rFonts w:cs="Arial"/>
                <w:b/>
                <w:bCs/>
                <w:sz w:val="18"/>
                <w:szCs w:val="18"/>
                <w:lang w:val="en-US" w:eastAsia="zh-CN"/>
              </w:rPr>
            </w:pPr>
            <w:r w:rsidRPr="000C156A">
              <w:rPr>
                <w:rFonts w:cs="Arial"/>
                <w:b/>
                <w:bCs/>
                <w:sz w:val="18"/>
                <w:szCs w:val="18"/>
                <w:lang w:val="en-US" w:eastAsia="zh-CN"/>
              </w:rPr>
              <w:t>100</w:t>
            </w:r>
          </w:p>
        </w:tc>
        <w:tc>
          <w:tcPr>
            <w:tcW w:w="541" w:type="pct"/>
            <w:tcBorders>
              <w:top w:val="nil"/>
              <w:left w:val="nil"/>
              <w:bottom w:val="nil"/>
              <w:right w:val="single" w:sz="4" w:space="0" w:color="auto"/>
            </w:tcBorders>
            <w:shd w:val="clear" w:color="auto" w:fill="auto"/>
            <w:noWrap/>
            <w:vAlign w:val="bottom"/>
            <w:hideMark/>
          </w:tcPr>
          <w:p w14:paraId="5F475E46"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4FF89159"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5" w:type="pct"/>
            <w:tcBorders>
              <w:top w:val="nil"/>
              <w:left w:val="nil"/>
              <w:bottom w:val="nil"/>
              <w:right w:val="single" w:sz="4" w:space="0" w:color="auto"/>
            </w:tcBorders>
            <w:shd w:val="clear" w:color="auto" w:fill="auto"/>
            <w:noWrap/>
            <w:vAlign w:val="bottom"/>
            <w:hideMark/>
          </w:tcPr>
          <w:p w14:paraId="0DECEF15" w14:textId="77777777" w:rsidR="009D43C3" w:rsidRPr="000C156A" w:rsidRDefault="009D43C3" w:rsidP="005D02F0">
            <w:pPr>
              <w:overflowPunct/>
              <w:autoSpaceDE/>
              <w:autoSpaceDN/>
              <w:adjustRightInd/>
              <w:spacing w:before="0"/>
              <w:jc w:val="right"/>
              <w:textAlignment w:val="auto"/>
              <w:rPr>
                <w:rFonts w:cs="Arial"/>
                <w:b/>
                <w:bCs/>
                <w:sz w:val="18"/>
                <w:szCs w:val="18"/>
                <w:lang w:val="en-US" w:eastAsia="zh-CN"/>
              </w:rPr>
            </w:pPr>
            <w:r w:rsidRPr="000C156A">
              <w:rPr>
                <w:rFonts w:cs="Arial"/>
                <w:b/>
                <w:bCs/>
                <w:sz w:val="18"/>
                <w:szCs w:val="18"/>
                <w:lang w:val="en-US" w:eastAsia="zh-CN"/>
              </w:rPr>
              <w:t>100</w:t>
            </w:r>
          </w:p>
        </w:tc>
        <w:tc>
          <w:tcPr>
            <w:tcW w:w="677" w:type="pct"/>
            <w:tcBorders>
              <w:top w:val="nil"/>
              <w:left w:val="nil"/>
              <w:bottom w:val="nil"/>
              <w:right w:val="single" w:sz="4" w:space="0" w:color="auto"/>
            </w:tcBorders>
            <w:shd w:val="clear" w:color="auto" w:fill="auto"/>
            <w:noWrap/>
            <w:vAlign w:val="bottom"/>
            <w:hideMark/>
          </w:tcPr>
          <w:p w14:paraId="559CB3BF" w14:textId="4B314C20" w:rsidR="009D43C3" w:rsidRPr="000C156A" w:rsidRDefault="009D43C3" w:rsidP="005D02F0">
            <w:pPr>
              <w:overflowPunct/>
              <w:autoSpaceDE/>
              <w:autoSpaceDN/>
              <w:adjustRightInd/>
              <w:spacing w:before="0"/>
              <w:jc w:val="right"/>
              <w:textAlignment w:val="auto"/>
              <w:rPr>
                <w:rFonts w:cs="Arial"/>
                <w:b/>
                <w:bCs/>
                <w:sz w:val="18"/>
                <w:szCs w:val="18"/>
                <w:lang w:val="en-US" w:eastAsia="zh-CN"/>
              </w:rPr>
            </w:pPr>
            <w:r w:rsidRPr="000C156A">
              <w:rPr>
                <w:rFonts w:cs="Arial"/>
                <w:b/>
                <w:bCs/>
                <w:sz w:val="18"/>
                <w:szCs w:val="18"/>
                <w:lang w:val="en-US" w:eastAsia="zh-CN"/>
              </w:rPr>
              <w:t>-1</w:t>
            </w:r>
            <w:r w:rsidR="00CF258E" w:rsidRPr="000C156A">
              <w:rPr>
                <w:rFonts w:cs="Arial"/>
                <w:b/>
                <w:bCs/>
                <w:sz w:val="18"/>
                <w:szCs w:val="18"/>
                <w:lang w:val="en-US" w:eastAsia="zh-CN"/>
              </w:rPr>
              <w:t xml:space="preserve"> </w:t>
            </w:r>
            <w:r w:rsidRPr="000C156A">
              <w:rPr>
                <w:rFonts w:cs="Arial"/>
                <w:b/>
                <w:bCs/>
                <w:sz w:val="18"/>
                <w:szCs w:val="18"/>
                <w:lang w:val="en-US" w:eastAsia="zh-CN"/>
              </w:rPr>
              <w:t>834</w:t>
            </w:r>
          </w:p>
        </w:tc>
        <w:tc>
          <w:tcPr>
            <w:tcW w:w="809" w:type="pct"/>
            <w:tcBorders>
              <w:top w:val="nil"/>
              <w:left w:val="nil"/>
              <w:bottom w:val="nil"/>
              <w:right w:val="single" w:sz="4" w:space="0" w:color="auto"/>
            </w:tcBorders>
            <w:shd w:val="clear" w:color="auto" w:fill="auto"/>
            <w:noWrap/>
            <w:vAlign w:val="bottom"/>
            <w:hideMark/>
          </w:tcPr>
          <w:p w14:paraId="77A88C49" w14:textId="2D49F128" w:rsidR="009D43C3" w:rsidRPr="000C156A" w:rsidRDefault="009D43C3" w:rsidP="005D02F0">
            <w:pPr>
              <w:overflowPunct/>
              <w:autoSpaceDE/>
              <w:autoSpaceDN/>
              <w:adjustRightInd/>
              <w:spacing w:before="0"/>
              <w:jc w:val="right"/>
              <w:textAlignment w:val="auto"/>
              <w:rPr>
                <w:rFonts w:cs="Arial"/>
                <w:b/>
                <w:bCs/>
                <w:sz w:val="18"/>
                <w:szCs w:val="18"/>
                <w:lang w:val="en-US" w:eastAsia="zh-CN"/>
              </w:rPr>
            </w:pPr>
            <w:r w:rsidRPr="000C156A">
              <w:rPr>
                <w:rFonts w:cs="Arial"/>
                <w:b/>
                <w:bCs/>
                <w:sz w:val="18"/>
                <w:szCs w:val="18"/>
                <w:lang w:val="en-US" w:eastAsia="zh-CN"/>
              </w:rPr>
              <w:t>-1</w:t>
            </w:r>
            <w:r w:rsidR="00CF258E" w:rsidRPr="000C156A">
              <w:rPr>
                <w:rFonts w:cs="Arial"/>
                <w:b/>
                <w:bCs/>
                <w:sz w:val="18"/>
                <w:szCs w:val="18"/>
                <w:lang w:val="en-US" w:eastAsia="zh-CN"/>
              </w:rPr>
              <w:t xml:space="preserve"> </w:t>
            </w:r>
            <w:r w:rsidRPr="000C156A">
              <w:rPr>
                <w:rFonts w:cs="Arial"/>
                <w:b/>
                <w:bCs/>
                <w:sz w:val="18"/>
                <w:szCs w:val="18"/>
                <w:lang w:val="en-US" w:eastAsia="zh-CN"/>
              </w:rPr>
              <w:t>934</w:t>
            </w:r>
          </w:p>
        </w:tc>
      </w:tr>
      <w:tr w:rsidR="009D43C3" w:rsidRPr="000C156A" w14:paraId="17D0A677" w14:textId="77777777" w:rsidTr="005D02F0">
        <w:trPr>
          <w:trHeight w:val="255"/>
        </w:trPr>
        <w:tc>
          <w:tcPr>
            <w:tcW w:w="1346" w:type="pct"/>
            <w:tcBorders>
              <w:top w:val="nil"/>
              <w:left w:val="single" w:sz="4" w:space="0" w:color="auto"/>
              <w:bottom w:val="nil"/>
              <w:right w:val="nil"/>
            </w:tcBorders>
            <w:shd w:val="clear" w:color="auto" w:fill="auto"/>
            <w:vAlign w:val="bottom"/>
          </w:tcPr>
          <w:p w14:paraId="575AA4E2" w14:textId="77777777" w:rsidR="009D43C3" w:rsidRPr="000C156A" w:rsidRDefault="009D43C3" w:rsidP="005D02F0">
            <w:pPr>
              <w:pStyle w:val="Tabletext"/>
              <w:spacing w:before="20" w:after="20"/>
              <w:rPr>
                <w:rFonts w:ascii="SimSun" w:hAnsi="SimSun"/>
                <w:b/>
                <w:bCs/>
                <w:sz w:val="18"/>
                <w:szCs w:val="18"/>
                <w:lang w:val="en-US" w:eastAsia="zh-CN"/>
              </w:rPr>
            </w:pPr>
            <w:r w:rsidRPr="000C156A">
              <w:rPr>
                <w:rFonts w:ascii="SimSun" w:hAnsi="SimSun"/>
                <w:b/>
                <w:bCs/>
                <w:sz w:val="18"/>
                <w:szCs w:val="18"/>
                <w:lang w:val="en-US" w:eastAsia="zh-CN"/>
              </w:rPr>
              <w:t>推迟的活</w:t>
            </w:r>
            <w:r w:rsidRPr="000C156A">
              <w:rPr>
                <w:rFonts w:ascii="SimSun" w:hAnsi="SimSun" w:hint="eastAsia"/>
                <w:b/>
                <w:bCs/>
                <w:sz w:val="18"/>
                <w:szCs w:val="18"/>
                <w:lang w:val="en-US" w:eastAsia="zh-CN"/>
              </w:rPr>
              <w:t>动</w:t>
            </w:r>
          </w:p>
        </w:tc>
        <w:tc>
          <w:tcPr>
            <w:tcW w:w="540" w:type="pct"/>
            <w:tcBorders>
              <w:top w:val="nil"/>
              <w:left w:val="single" w:sz="4" w:space="0" w:color="auto"/>
              <w:bottom w:val="nil"/>
              <w:right w:val="single" w:sz="4" w:space="0" w:color="auto"/>
            </w:tcBorders>
            <w:shd w:val="clear" w:color="auto" w:fill="auto"/>
            <w:noWrap/>
          </w:tcPr>
          <w:p w14:paraId="4B745D40"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nil"/>
              <w:right w:val="single" w:sz="4" w:space="0" w:color="auto"/>
            </w:tcBorders>
            <w:shd w:val="clear" w:color="auto" w:fill="auto"/>
            <w:noWrap/>
          </w:tcPr>
          <w:p w14:paraId="4A2A3059" w14:textId="36761F02"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867</w:t>
            </w:r>
          </w:p>
        </w:tc>
        <w:tc>
          <w:tcPr>
            <w:tcW w:w="541" w:type="pct"/>
            <w:tcBorders>
              <w:top w:val="nil"/>
              <w:left w:val="nil"/>
              <w:bottom w:val="nil"/>
              <w:right w:val="single" w:sz="4" w:space="0" w:color="auto"/>
            </w:tcBorders>
            <w:shd w:val="clear" w:color="auto" w:fill="auto"/>
            <w:noWrap/>
          </w:tcPr>
          <w:p w14:paraId="4F8DA6D7"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5" w:type="pct"/>
            <w:tcBorders>
              <w:top w:val="nil"/>
              <w:left w:val="nil"/>
              <w:bottom w:val="nil"/>
              <w:right w:val="single" w:sz="4" w:space="0" w:color="auto"/>
            </w:tcBorders>
            <w:shd w:val="clear" w:color="auto" w:fill="auto"/>
            <w:noWrap/>
          </w:tcPr>
          <w:p w14:paraId="08465E26" w14:textId="5545BF44"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867</w:t>
            </w:r>
          </w:p>
        </w:tc>
        <w:tc>
          <w:tcPr>
            <w:tcW w:w="677" w:type="pct"/>
            <w:tcBorders>
              <w:top w:val="nil"/>
              <w:left w:val="nil"/>
              <w:bottom w:val="nil"/>
              <w:right w:val="single" w:sz="4" w:space="0" w:color="auto"/>
            </w:tcBorders>
            <w:shd w:val="clear" w:color="auto" w:fill="auto"/>
            <w:noWrap/>
          </w:tcPr>
          <w:p w14:paraId="0E969BB1" w14:textId="5C0D7A14"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867</w:t>
            </w:r>
          </w:p>
        </w:tc>
        <w:tc>
          <w:tcPr>
            <w:tcW w:w="809" w:type="pct"/>
            <w:tcBorders>
              <w:top w:val="nil"/>
              <w:left w:val="nil"/>
              <w:bottom w:val="nil"/>
              <w:right w:val="single" w:sz="4" w:space="0" w:color="auto"/>
            </w:tcBorders>
            <w:shd w:val="clear" w:color="auto" w:fill="auto"/>
            <w:noWrap/>
          </w:tcPr>
          <w:p w14:paraId="42DF9E82"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r>
      <w:tr w:rsidR="009D43C3" w:rsidRPr="000C156A" w14:paraId="608B519A" w14:textId="77777777" w:rsidTr="005D02F0">
        <w:trPr>
          <w:trHeight w:val="255"/>
        </w:trPr>
        <w:tc>
          <w:tcPr>
            <w:tcW w:w="1346" w:type="pct"/>
            <w:tcBorders>
              <w:top w:val="nil"/>
              <w:left w:val="single" w:sz="4" w:space="0" w:color="auto"/>
              <w:bottom w:val="nil"/>
              <w:right w:val="nil"/>
            </w:tcBorders>
            <w:shd w:val="clear" w:color="auto" w:fill="auto"/>
            <w:vAlign w:val="bottom"/>
            <w:hideMark/>
          </w:tcPr>
          <w:p w14:paraId="3A8ED06A" w14:textId="77777777" w:rsidR="009D43C3" w:rsidRPr="000C156A" w:rsidRDefault="009D43C3" w:rsidP="005D02F0">
            <w:pPr>
              <w:pStyle w:val="Tabletext"/>
              <w:spacing w:before="20" w:after="20"/>
              <w:rPr>
                <w:rFonts w:ascii="SimSun" w:hAnsi="SimSun"/>
                <w:b/>
                <w:bCs/>
                <w:sz w:val="18"/>
                <w:szCs w:val="18"/>
                <w:lang w:val="en-US"/>
              </w:rPr>
            </w:pPr>
            <w:r w:rsidRPr="000C156A">
              <w:rPr>
                <w:rFonts w:ascii="SimSun" w:hAnsi="SimSun" w:hint="eastAsia"/>
                <w:b/>
                <w:bCs/>
                <w:sz w:val="18"/>
                <w:szCs w:val="18"/>
                <w:lang w:val="en-US" w:eastAsia="zh-CN"/>
              </w:rPr>
              <w:t>储备金账户</w:t>
            </w:r>
            <w:r w:rsidRPr="000C156A">
              <w:rPr>
                <w:rFonts w:ascii="SimSun" w:hAnsi="SimSun" w:hint="eastAsia"/>
                <w:b/>
                <w:bCs/>
                <w:sz w:val="18"/>
                <w:szCs w:val="18"/>
                <w:lang w:val="en-US"/>
              </w:rPr>
              <w:t>提款</w:t>
            </w:r>
          </w:p>
        </w:tc>
        <w:tc>
          <w:tcPr>
            <w:tcW w:w="540" w:type="pct"/>
            <w:tcBorders>
              <w:top w:val="nil"/>
              <w:left w:val="single" w:sz="4" w:space="0" w:color="auto"/>
              <w:bottom w:val="nil"/>
              <w:right w:val="single" w:sz="4" w:space="0" w:color="auto"/>
            </w:tcBorders>
            <w:shd w:val="clear" w:color="auto" w:fill="auto"/>
            <w:noWrap/>
            <w:hideMark/>
          </w:tcPr>
          <w:p w14:paraId="13DE3A4B"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4F6F032C"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70D9841A"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5" w:type="pct"/>
            <w:tcBorders>
              <w:top w:val="nil"/>
              <w:left w:val="nil"/>
              <w:bottom w:val="nil"/>
              <w:right w:val="single" w:sz="4" w:space="0" w:color="auto"/>
            </w:tcBorders>
            <w:shd w:val="clear" w:color="auto" w:fill="auto"/>
            <w:noWrap/>
            <w:hideMark/>
          </w:tcPr>
          <w:p w14:paraId="63ADC078"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w:t>
            </w:r>
          </w:p>
        </w:tc>
        <w:tc>
          <w:tcPr>
            <w:tcW w:w="677" w:type="pct"/>
            <w:tcBorders>
              <w:top w:val="nil"/>
              <w:left w:val="nil"/>
              <w:bottom w:val="nil"/>
              <w:right w:val="single" w:sz="4" w:space="0" w:color="auto"/>
            </w:tcBorders>
            <w:shd w:val="clear" w:color="auto" w:fill="auto"/>
            <w:noWrap/>
            <w:hideMark/>
          </w:tcPr>
          <w:p w14:paraId="1BBDB282"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w:t>
            </w:r>
          </w:p>
        </w:tc>
        <w:tc>
          <w:tcPr>
            <w:tcW w:w="809" w:type="pct"/>
            <w:tcBorders>
              <w:top w:val="nil"/>
              <w:left w:val="nil"/>
              <w:bottom w:val="nil"/>
              <w:right w:val="single" w:sz="4" w:space="0" w:color="auto"/>
            </w:tcBorders>
            <w:shd w:val="clear" w:color="auto" w:fill="auto"/>
            <w:noWrap/>
            <w:hideMark/>
          </w:tcPr>
          <w:p w14:paraId="5775E2D1"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r>
      <w:tr w:rsidR="009D43C3" w:rsidRPr="000C156A" w14:paraId="2EF8D8C0" w14:textId="77777777" w:rsidTr="005D02F0">
        <w:trPr>
          <w:trHeight w:val="255"/>
        </w:trPr>
        <w:tc>
          <w:tcPr>
            <w:tcW w:w="1346" w:type="pct"/>
            <w:tcBorders>
              <w:top w:val="nil"/>
              <w:left w:val="single" w:sz="4" w:space="0" w:color="auto"/>
              <w:bottom w:val="nil"/>
              <w:right w:val="nil"/>
            </w:tcBorders>
            <w:shd w:val="clear" w:color="auto" w:fill="auto"/>
            <w:hideMark/>
          </w:tcPr>
          <w:p w14:paraId="5BC66D71" w14:textId="77777777" w:rsidR="009D43C3" w:rsidRPr="000C156A" w:rsidRDefault="009D43C3" w:rsidP="005D02F0">
            <w:pPr>
              <w:pStyle w:val="Tabletext"/>
              <w:spacing w:before="20" w:after="20"/>
              <w:rPr>
                <w:sz w:val="18"/>
                <w:szCs w:val="18"/>
                <w:lang w:val="en-US"/>
              </w:rPr>
            </w:pPr>
            <w:r w:rsidRPr="000C156A">
              <w:rPr>
                <w:rFonts w:cs="Arial" w:hint="eastAsia"/>
                <w:color w:val="000000"/>
                <w:sz w:val="18"/>
                <w:szCs w:val="18"/>
                <w:lang w:val="en-US" w:eastAsia="zh-CN"/>
              </w:rPr>
              <w:t>预算执行结余</w:t>
            </w:r>
          </w:p>
        </w:tc>
        <w:tc>
          <w:tcPr>
            <w:tcW w:w="540" w:type="pct"/>
            <w:tcBorders>
              <w:top w:val="nil"/>
              <w:left w:val="single" w:sz="4" w:space="0" w:color="auto"/>
              <w:bottom w:val="nil"/>
              <w:right w:val="single" w:sz="4" w:space="0" w:color="auto"/>
            </w:tcBorders>
            <w:shd w:val="clear" w:color="auto" w:fill="auto"/>
            <w:noWrap/>
            <w:hideMark/>
          </w:tcPr>
          <w:p w14:paraId="6661627D" w14:textId="795EDD69"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3</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651</w:t>
            </w:r>
          </w:p>
        </w:tc>
        <w:tc>
          <w:tcPr>
            <w:tcW w:w="541" w:type="pct"/>
            <w:tcBorders>
              <w:top w:val="nil"/>
              <w:left w:val="nil"/>
              <w:bottom w:val="single" w:sz="4" w:space="0" w:color="auto"/>
              <w:right w:val="single" w:sz="4" w:space="0" w:color="auto"/>
            </w:tcBorders>
            <w:shd w:val="clear" w:color="auto" w:fill="auto"/>
            <w:noWrap/>
            <w:hideMark/>
          </w:tcPr>
          <w:p w14:paraId="410C3877"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single" w:sz="4" w:space="0" w:color="auto"/>
              <w:right w:val="single" w:sz="4" w:space="0" w:color="auto"/>
            </w:tcBorders>
            <w:shd w:val="clear" w:color="auto" w:fill="auto"/>
            <w:noWrap/>
            <w:hideMark/>
          </w:tcPr>
          <w:p w14:paraId="0CDF0C05"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5" w:type="pct"/>
            <w:tcBorders>
              <w:top w:val="nil"/>
              <w:left w:val="nil"/>
              <w:bottom w:val="nil"/>
              <w:right w:val="single" w:sz="4" w:space="0" w:color="auto"/>
            </w:tcBorders>
            <w:shd w:val="clear" w:color="auto" w:fill="auto"/>
            <w:noWrap/>
            <w:hideMark/>
          </w:tcPr>
          <w:p w14:paraId="63DCC6AC" w14:textId="7FF7AD99"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3</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651</w:t>
            </w:r>
          </w:p>
        </w:tc>
        <w:tc>
          <w:tcPr>
            <w:tcW w:w="677" w:type="pct"/>
            <w:tcBorders>
              <w:top w:val="nil"/>
              <w:left w:val="nil"/>
              <w:bottom w:val="single" w:sz="4" w:space="0" w:color="auto"/>
              <w:right w:val="single" w:sz="4" w:space="0" w:color="auto"/>
            </w:tcBorders>
            <w:shd w:val="clear" w:color="auto" w:fill="auto"/>
            <w:noWrap/>
            <w:hideMark/>
          </w:tcPr>
          <w:p w14:paraId="27BEB0CB"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r w:rsidRPr="000C156A">
              <w:rPr>
                <w:rFonts w:cs="Arial"/>
                <w:color w:val="000000"/>
                <w:sz w:val="18"/>
                <w:szCs w:val="18"/>
                <w:lang w:val="en-US" w:eastAsia="zh-CN"/>
              </w:rPr>
              <w:t>-</w:t>
            </w:r>
          </w:p>
        </w:tc>
        <w:tc>
          <w:tcPr>
            <w:tcW w:w="809" w:type="pct"/>
            <w:tcBorders>
              <w:top w:val="nil"/>
              <w:left w:val="nil"/>
              <w:bottom w:val="nil"/>
              <w:right w:val="single" w:sz="4" w:space="0" w:color="auto"/>
            </w:tcBorders>
            <w:shd w:val="clear" w:color="auto" w:fill="auto"/>
            <w:noWrap/>
            <w:hideMark/>
          </w:tcPr>
          <w:p w14:paraId="59911C55" w14:textId="1A0537F9"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-3</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651</w:t>
            </w:r>
          </w:p>
        </w:tc>
      </w:tr>
      <w:tr w:rsidR="009D43C3" w:rsidRPr="000C156A" w14:paraId="70AA50DB" w14:textId="77777777" w:rsidTr="005D02F0">
        <w:trPr>
          <w:trHeight w:val="255"/>
        </w:trPr>
        <w:tc>
          <w:tcPr>
            <w:tcW w:w="1346" w:type="pct"/>
            <w:tcBorders>
              <w:top w:val="single" w:sz="4" w:space="0" w:color="auto"/>
              <w:left w:val="single" w:sz="4" w:space="0" w:color="auto"/>
              <w:bottom w:val="single" w:sz="4" w:space="0" w:color="auto"/>
              <w:right w:val="single" w:sz="4" w:space="0" w:color="auto"/>
            </w:tcBorders>
            <w:shd w:val="clear" w:color="auto" w:fill="auto"/>
            <w:noWrap/>
            <w:hideMark/>
          </w:tcPr>
          <w:p w14:paraId="1B9FF87F" w14:textId="77777777" w:rsidR="009D43C3" w:rsidRPr="000C156A" w:rsidRDefault="009D43C3" w:rsidP="005D02F0">
            <w:pPr>
              <w:pStyle w:val="Tabletext"/>
              <w:spacing w:before="20" w:after="20"/>
              <w:rPr>
                <w:sz w:val="18"/>
                <w:szCs w:val="18"/>
                <w:lang w:val="en-US" w:eastAsia="fr-FR"/>
              </w:rPr>
            </w:pPr>
            <w:r w:rsidRPr="000C156A">
              <w:rPr>
                <w:rFonts w:hint="eastAsia"/>
                <w:b/>
                <w:sz w:val="18"/>
                <w:szCs w:val="18"/>
                <w:lang w:val="en-US"/>
              </w:rPr>
              <w:t>收入</w:t>
            </w:r>
            <w:r w:rsidRPr="000C156A">
              <w:rPr>
                <w:rFonts w:hint="eastAsia"/>
                <w:b/>
                <w:sz w:val="18"/>
                <w:szCs w:val="18"/>
                <w:lang w:val="en-US" w:eastAsia="zh-CN"/>
              </w:rPr>
              <w:t>合计</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14:paraId="630CE332" w14:textId="78D35BAB"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167</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478</w:t>
            </w:r>
          </w:p>
        </w:tc>
        <w:tc>
          <w:tcPr>
            <w:tcW w:w="541" w:type="pct"/>
            <w:tcBorders>
              <w:top w:val="nil"/>
              <w:left w:val="nil"/>
              <w:bottom w:val="single" w:sz="4" w:space="0" w:color="auto"/>
              <w:right w:val="single" w:sz="4" w:space="0" w:color="auto"/>
            </w:tcBorders>
            <w:shd w:val="clear" w:color="auto" w:fill="auto"/>
            <w:noWrap/>
            <w:vAlign w:val="bottom"/>
            <w:hideMark/>
          </w:tcPr>
          <w:p w14:paraId="0074E4D0" w14:textId="2951CA03"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867</w:t>
            </w:r>
          </w:p>
        </w:tc>
        <w:tc>
          <w:tcPr>
            <w:tcW w:w="541" w:type="pct"/>
            <w:tcBorders>
              <w:top w:val="nil"/>
              <w:left w:val="nil"/>
              <w:bottom w:val="single" w:sz="4" w:space="0" w:color="auto"/>
              <w:right w:val="single" w:sz="4" w:space="0" w:color="auto"/>
            </w:tcBorders>
            <w:shd w:val="clear" w:color="auto" w:fill="auto"/>
            <w:noWrap/>
            <w:vAlign w:val="bottom"/>
            <w:hideMark/>
          </w:tcPr>
          <w:p w14:paraId="1F7AA567"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3F282FD8" w14:textId="3B17C6EA"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165</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611</w:t>
            </w:r>
          </w:p>
        </w:tc>
        <w:tc>
          <w:tcPr>
            <w:tcW w:w="677" w:type="pct"/>
            <w:tcBorders>
              <w:top w:val="nil"/>
              <w:left w:val="nil"/>
              <w:bottom w:val="single" w:sz="4" w:space="0" w:color="auto"/>
              <w:right w:val="single" w:sz="4" w:space="0" w:color="auto"/>
            </w:tcBorders>
            <w:shd w:val="clear" w:color="auto" w:fill="auto"/>
            <w:noWrap/>
            <w:vAlign w:val="bottom"/>
            <w:hideMark/>
          </w:tcPr>
          <w:p w14:paraId="03C04521" w14:textId="389E7A25"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153</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435</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14:paraId="0228C215" w14:textId="3B4DA76F"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-12</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176</w:t>
            </w:r>
          </w:p>
        </w:tc>
      </w:tr>
      <w:tr w:rsidR="009D43C3" w:rsidRPr="000C156A" w14:paraId="13416056" w14:textId="77777777" w:rsidTr="005D02F0">
        <w:trPr>
          <w:trHeight w:val="255"/>
        </w:trPr>
        <w:tc>
          <w:tcPr>
            <w:tcW w:w="1346" w:type="pct"/>
            <w:vMerge w:val="restart"/>
            <w:tcBorders>
              <w:top w:val="nil"/>
              <w:left w:val="single" w:sz="4" w:space="0" w:color="auto"/>
              <w:bottom w:val="single" w:sz="4" w:space="0" w:color="000000"/>
              <w:right w:val="single" w:sz="4" w:space="0" w:color="auto"/>
            </w:tcBorders>
            <w:shd w:val="clear" w:color="auto" w:fill="auto"/>
            <w:vAlign w:val="center"/>
            <w:hideMark/>
          </w:tcPr>
          <w:p w14:paraId="50ECC85D" w14:textId="77777777" w:rsidR="009D43C3" w:rsidRPr="000C156A" w:rsidRDefault="009D43C3" w:rsidP="005D02F0">
            <w:pPr>
              <w:pStyle w:val="Tablehead"/>
              <w:spacing w:before="40" w:after="40"/>
              <w:rPr>
                <w:sz w:val="18"/>
                <w:szCs w:val="18"/>
                <w:lang w:val="en-US"/>
              </w:rPr>
            </w:pPr>
            <w:r w:rsidRPr="000C156A">
              <w:rPr>
                <w:rFonts w:hint="eastAsia"/>
                <w:sz w:val="18"/>
                <w:szCs w:val="18"/>
                <w:lang w:val="en-US"/>
              </w:rPr>
              <w:t>费用</w:t>
            </w:r>
          </w:p>
        </w:tc>
        <w:tc>
          <w:tcPr>
            <w:tcW w:w="216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26CF6A6F" w14:textId="77777777" w:rsidR="009D43C3" w:rsidRPr="000C156A" w:rsidRDefault="009D43C3" w:rsidP="005D02F0">
            <w:pPr>
              <w:overflowPunct/>
              <w:adjustRightInd/>
              <w:spacing w:before="0"/>
              <w:jc w:val="center"/>
              <w:textAlignment w:val="auto"/>
              <w:rPr>
                <w:rFonts w:ascii="Arial" w:hAnsi="Arial" w:cs="Arial"/>
                <w:b/>
                <w:bCs/>
                <w:color w:val="000000"/>
                <w:sz w:val="18"/>
                <w:szCs w:val="18"/>
                <w:lang w:val="en-US" w:eastAsia="zh-CN"/>
              </w:rPr>
            </w:pPr>
            <w:r w:rsidRPr="000C156A">
              <w:rPr>
                <w:rFonts w:hint="eastAsia"/>
                <w:b/>
                <w:bCs/>
                <w:sz w:val="18"/>
                <w:szCs w:val="18"/>
                <w:lang w:val="en-US"/>
              </w:rPr>
              <w:t>预算</w:t>
            </w:r>
            <w:r w:rsidRPr="000C156A">
              <w:rPr>
                <w:rFonts w:hint="eastAsia"/>
                <w:b/>
                <w:bCs/>
                <w:sz w:val="18"/>
                <w:szCs w:val="18"/>
                <w:lang w:val="en-US" w:eastAsia="zh-CN"/>
              </w:rPr>
              <w:t>金</w:t>
            </w:r>
            <w:r w:rsidRPr="000C156A">
              <w:rPr>
                <w:rFonts w:hint="eastAsia"/>
                <w:b/>
                <w:bCs/>
                <w:sz w:val="18"/>
                <w:szCs w:val="18"/>
                <w:lang w:val="en-US"/>
              </w:rPr>
              <w:t>额</w:t>
            </w:r>
          </w:p>
        </w:tc>
        <w:tc>
          <w:tcPr>
            <w:tcW w:w="677" w:type="pct"/>
            <w:vMerge w:val="restart"/>
            <w:tcBorders>
              <w:top w:val="nil"/>
              <w:left w:val="single" w:sz="4" w:space="0" w:color="auto"/>
              <w:bottom w:val="single" w:sz="4" w:space="0" w:color="000000"/>
              <w:right w:val="single" w:sz="4" w:space="0" w:color="auto"/>
            </w:tcBorders>
            <w:shd w:val="clear" w:color="auto" w:fill="auto"/>
            <w:vAlign w:val="center"/>
            <w:hideMark/>
          </w:tcPr>
          <w:p w14:paraId="7E32E535" w14:textId="77777777" w:rsidR="009D43C3" w:rsidRPr="000C156A" w:rsidRDefault="009D43C3" w:rsidP="005D02F0">
            <w:pPr>
              <w:pStyle w:val="Tablehead"/>
              <w:spacing w:before="40" w:after="40"/>
              <w:rPr>
                <w:sz w:val="18"/>
                <w:szCs w:val="18"/>
                <w:lang w:val="en-US" w:eastAsia="zh-CN"/>
              </w:rPr>
            </w:pPr>
            <w:r w:rsidRPr="000C156A">
              <w:rPr>
                <w:rFonts w:hint="eastAsia"/>
                <w:sz w:val="18"/>
                <w:szCs w:val="18"/>
                <w:lang w:val="en-US"/>
              </w:rPr>
              <w:t>可比的</w:t>
            </w:r>
            <w:r w:rsidRPr="000C156A">
              <w:rPr>
                <w:sz w:val="18"/>
                <w:szCs w:val="18"/>
                <w:lang w:val="en-US"/>
              </w:rPr>
              <w:br/>
            </w:r>
            <w:r w:rsidRPr="000C156A">
              <w:rPr>
                <w:rFonts w:hint="eastAsia"/>
                <w:sz w:val="18"/>
                <w:szCs w:val="18"/>
                <w:lang w:val="en-US" w:eastAsia="zh-CN"/>
              </w:rPr>
              <w:t>实际金额</w:t>
            </w:r>
          </w:p>
        </w:tc>
        <w:tc>
          <w:tcPr>
            <w:tcW w:w="809" w:type="pct"/>
            <w:vMerge w:val="restart"/>
            <w:tcBorders>
              <w:top w:val="nil"/>
              <w:left w:val="single" w:sz="4" w:space="0" w:color="auto"/>
              <w:bottom w:val="single" w:sz="4" w:space="0" w:color="000000"/>
              <w:right w:val="single" w:sz="4" w:space="0" w:color="auto"/>
            </w:tcBorders>
            <w:shd w:val="clear" w:color="auto" w:fill="auto"/>
            <w:vAlign w:val="center"/>
            <w:hideMark/>
          </w:tcPr>
          <w:p w14:paraId="01902E00" w14:textId="77777777" w:rsidR="009D43C3" w:rsidRPr="000C156A" w:rsidRDefault="009D43C3" w:rsidP="005D02F0">
            <w:pPr>
              <w:pStyle w:val="Tablehead"/>
              <w:spacing w:before="40" w:after="40"/>
              <w:rPr>
                <w:sz w:val="18"/>
                <w:szCs w:val="18"/>
                <w:lang w:val="en-US" w:eastAsia="zh-CN"/>
              </w:rPr>
            </w:pPr>
            <w:r w:rsidRPr="000C156A">
              <w:rPr>
                <w:rFonts w:hint="eastAsia"/>
                <w:sz w:val="18"/>
                <w:szCs w:val="18"/>
                <w:lang w:val="en-US" w:eastAsia="zh-CN"/>
              </w:rPr>
              <w:t>最终预算和</w:t>
            </w:r>
            <w:r w:rsidRPr="000C156A">
              <w:rPr>
                <w:sz w:val="18"/>
                <w:szCs w:val="18"/>
                <w:lang w:val="en-US" w:eastAsia="zh-CN"/>
              </w:rPr>
              <w:br/>
            </w:r>
            <w:r w:rsidRPr="000C156A">
              <w:rPr>
                <w:rFonts w:hint="eastAsia"/>
                <w:sz w:val="18"/>
                <w:szCs w:val="18"/>
                <w:lang w:val="en-US" w:eastAsia="zh-CN"/>
              </w:rPr>
              <w:t>实际金额</w:t>
            </w:r>
            <w:r w:rsidRPr="000C156A">
              <w:rPr>
                <w:sz w:val="18"/>
                <w:szCs w:val="18"/>
                <w:lang w:val="en-US" w:eastAsia="zh-CN"/>
              </w:rPr>
              <w:br/>
            </w:r>
            <w:r w:rsidRPr="000C156A">
              <w:rPr>
                <w:rFonts w:hint="eastAsia"/>
                <w:sz w:val="18"/>
                <w:szCs w:val="18"/>
                <w:lang w:val="en-US" w:eastAsia="zh-CN"/>
              </w:rPr>
              <w:t>之间的差异</w:t>
            </w:r>
          </w:p>
        </w:tc>
      </w:tr>
      <w:tr w:rsidR="009D43C3" w:rsidRPr="000C156A" w14:paraId="0175DFFB" w14:textId="77777777" w:rsidTr="005D02F0">
        <w:trPr>
          <w:trHeight w:val="630"/>
        </w:trPr>
        <w:tc>
          <w:tcPr>
            <w:tcW w:w="1346" w:type="pct"/>
            <w:vMerge/>
            <w:tcBorders>
              <w:top w:val="nil"/>
              <w:left w:val="single" w:sz="4" w:space="0" w:color="auto"/>
              <w:bottom w:val="single" w:sz="4" w:space="0" w:color="000000"/>
              <w:right w:val="single" w:sz="4" w:space="0" w:color="auto"/>
            </w:tcBorders>
            <w:vAlign w:val="center"/>
            <w:hideMark/>
          </w:tcPr>
          <w:p w14:paraId="4E198EC5" w14:textId="77777777" w:rsidR="009D43C3" w:rsidRPr="000C156A" w:rsidRDefault="009D43C3" w:rsidP="005D02F0">
            <w:pPr>
              <w:overflowPunct/>
              <w:adjustRightInd/>
              <w:spacing w:before="0"/>
              <w:textAlignment w:val="auto"/>
              <w:rPr>
                <w:rFonts w:ascii="Arial" w:hAnsi="Arial" w:cs="Arial"/>
                <w:b/>
                <w:bCs/>
                <w:color w:val="000000"/>
                <w:sz w:val="18"/>
                <w:szCs w:val="18"/>
                <w:lang w:val="en-US" w:eastAsia="zh-CN"/>
              </w:rPr>
            </w:pPr>
          </w:p>
        </w:tc>
        <w:tc>
          <w:tcPr>
            <w:tcW w:w="540" w:type="pct"/>
            <w:tcBorders>
              <w:top w:val="nil"/>
              <w:left w:val="nil"/>
              <w:bottom w:val="single" w:sz="4" w:space="0" w:color="auto"/>
              <w:right w:val="single" w:sz="4" w:space="0" w:color="auto"/>
            </w:tcBorders>
            <w:shd w:val="clear" w:color="auto" w:fill="auto"/>
            <w:vAlign w:val="center"/>
            <w:hideMark/>
          </w:tcPr>
          <w:p w14:paraId="45870481" w14:textId="77777777" w:rsidR="009D43C3" w:rsidRPr="000C156A" w:rsidRDefault="009D43C3" w:rsidP="005D02F0">
            <w:pPr>
              <w:pStyle w:val="Tablehead"/>
              <w:spacing w:before="40" w:after="40"/>
              <w:rPr>
                <w:sz w:val="18"/>
                <w:szCs w:val="18"/>
                <w:lang w:val="en-US" w:eastAsia="zh-CN"/>
              </w:rPr>
            </w:pPr>
            <w:r w:rsidRPr="000C156A">
              <w:rPr>
                <w:rFonts w:hint="eastAsia"/>
                <w:sz w:val="18"/>
                <w:szCs w:val="18"/>
                <w:lang w:val="en-US" w:eastAsia="zh-CN"/>
              </w:rPr>
              <w:t>初始预算</w:t>
            </w:r>
          </w:p>
        </w:tc>
        <w:tc>
          <w:tcPr>
            <w:tcW w:w="541" w:type="pct"/>
            <w:tcBorders>
              <w:top w:val="nil"/>
              <w:left w:val="nil"/>
              <w:bottom w:val="single" w:sz="4" w:space="0" w:color="auto"/>
              <w:right w:val="single" w:sz="4" w:space="0" w:color="auto"/>
            </w:tcBorders>
            <w:shd w:val="clear" w:color="auto" w:fill="auto"/>
            <w:hideMark/>
          </w:tcPr>
          <w:p w14:paraId="67C49E6E" w14:textId="77777777" w:rsidR="009D43C3" w:rsidRPr="000C156A" w:rsidRDefault="009D43C3" w:rsidP="005D02F0">
            <w:pPr>
              <w:pStyle w:val="Tablehead"/>
              <w:spacing w:after="40"/>
              <w:rPr>
                <w:sz w:val="18"/>
                <w:szCs w:val="18"/>
                <w:lang w:val="en-US" w:eastAsia="zh-CN"/>
              </w:rPr>
            </w:pPr>
            <w:r w:rsidRPr="000C156A">
              <w:rPr>
                <w:rFonts w:hint="eastAsia"/>
                <w:sz w:val="18"/>
                <w:szCs w:val="18"/>
                <w:lang w:val="en-US"/>
              </w:rPr>
              <w:t>推迟</w:t>
            </w:r>
            <w:r w:rsidRPr="000C156A">
              <w:rPr>
                <w:sz w:val="18"/>
                <w:szCs w:val="18"/>
                <w:lang w:val="en-US"/>
              </w:rPr>
              <w:t>的</w:t>
            </w:r>
            <w:r w:rsidRPr="000C156A">
              <w:rPr>
                <w:sz w:val="18"/>
                <w:szCs w:val="18"/>
                <w:lang w:val="en-US"/>
              </w:rPr>
              <w:br/>
            </w:r>
            <w:r w:rsidRPr="000C156A">
              <w:rPr>
                <w:sz w:val="18"/>
                <w:szCs w:val="18"/>
                <w:lang w:val="en-US"/>
              </w:rPr>
              <w:t>活动</w:t>
            </w:r>
          </w:p>
        </w:tc>
        <w:tc>
          <w:tcPr>
            <w:tcW w:w="541" w:type="pct"/>
            <w:tcBorders>
              <w:top w:val="nil"/>
              <w:left w:val="nil"/>
              <w:bottom w:val="single" w:sz="4" w:space="0" w:color="auto"/>
              <w:right w:val="nil"/>
            </w:tcBorders>
            <w:shd w:val="clear" w:color="auto" w:fill="auto"/>
            <w:vAlign w:val="center"/>
            <w:hideMark/>
          </w:tcPr>
          <w:p w14:paraId="7CFECC6E" w14:textId="77777777" w:rsidR="009D43C3" w:rsidRPr="000C156A" w:rsidRDefault="009D43C3" w:rsidP="005D02F0">
            <w:pPr>
              <w:pStyle w:val="Tablehead"/>
              <w:spacing w:before="40" w:after="40"/>
              <w:rPr>
                <w:sz w:val="18"/>
                <w:szCs w:val="18"/>
                <w:lang w:val="en-US" w:eastAsia="fr-FR"/>
              </w:rPr>
            </w:pPr>
            <w:r w:rsidRPr="000C156A">
              <w:rPr>
                <w:rFonts w:hint="eastAsia"/>
                <w:sz w:val="18"/>
                <w:szCs w:val="18"/>
                <w:lang w:val="en-US"/>
              </w:rPr>
              <w:t>预算内</w:t>
            </w:r>
            <w:r w:rsidRPr="000C156A">
              <w:rPr>
                <w:sz w:val="18"/>
                <w:szCs w:val="18"/>
                <w:lang w:val="en-US"/>
              </w:rPr>
              <w:br/>
            </w:r>
            <w:r w:rsidRPr="000C156A">
              <w:rPr>
                <w:rFonts w:hint="eastAsia"/>
                <w:sz w:val="18"/>
                <w:szCs w:val="18"/>
                <w:lang w:val="en-US"/>
              </w:rPr>
              <w:t>转账</w:t>
            </w:r>
          </w:p>
        </w:tc>
        <w:tc>
          <w:tcPr>
            <w:tcW w:w="545" w:type="pct"/>
            <w:tcBorders>
              <w:top w:val="nil"/>
              <w:left w:val="single" w:sz="4" w:space="0" w:color="auto"/>
              <w:bottom w:val="single" w:sz="4" w:space="0" w:color="auto"/>
              <w:right w:val="single" w:sz="4" w:space="0" w:color="auto"/>
            </w:tcBorders>
            <w:shd w:val="clear" w:color="auto" w:fill="auto"/>
            <w:vAlign w:val="center"/>
            <w:hideMark/>
          </w:tcPr>
          <w:p w14:paraId="55F59C6F" w14:textId="77777777" w:rsidR="009D43C3" w:rsidRPr="000C156A" w:rsidRDefault="009D43C3" w:rsidP="005D02F0">
            <w:pPr>
              <w:pStyle w:val="Tablehead"/>
              <w:spacing w:before="40" w:after="40"/>
              <w:rPr>
                <w:sz w:val="18"/>
                <w:szCs w:val="18"/>
                <w:lang w:val="en-US" w:eastAsia="fr-FR"/>
              </w:rPr>
            </w:pPr>
            <w:r w:rsidRPr="000C156A">
              <w:rPr>
                <w:rFonts w:hint="eastAsia"/>
                <w:sz w:val="18"/>
                <w:szCs w:val="18"/>
                <w:lang w:val="en-US" w:eastAsia="fr-FR"/>
              </w:rPr>
              <w:t>最终预算</w:t>
            </w:r>
          </w:p>
        </w:tc>
        <w:tc>
          <w:tcPr>
            <w:tcW w:w="677" w:type="pct"/>
            <w:vMerge/>
            <w:tcBorders>
              <w:top w:val="nil"/>
              <w:left w:val="single" w:sz="4" w:space="0" w:color="auto"/>
              <w:bottom w:val="single" w:sz="4" w:space="0" w:color="000000"/>
              <w:right w:val="single" w:sz="4" w:space="0" w:color="auto"/>
            </w:tcBorders>
            <w:vAlign w:val="center"/>
            <w:hideMark/>
          </w:tcPr>
          <w:p w14:paraId="4A7F2D8F" w14:textId="77777777" w:rsidR="009D43C3" w:rsidRPr="000C156A" w:rsidRDefault="009D43C3" w:rsidP="005D02F0">
            <w:pPr>
              <w:overflowPunct/>
              <w:adjustRightInd/>
              <w:spacing w:before="0"/>
              <w:textAlignment w:val="auto"/>
              <w:rPr>
                <w:rFonts w:ascii="Arial" w:hAnsi="Arial" w:cs="Arial"/>
                <w:b/>
                <w:bCs/>
                <w:color w:val="000000"/>
                <w:sz w:val="18"/>
                <w:szCs w:val="18"/>
                <w:lang w:val="en-US" w:eastAsia="zh-CN"/>
              </w:rPr>
            </w:pPr>
          </w:p>
        </w:tc>
        <w:tc>
          <w:tcPr>
            <w:tcW w:w="809" w:type="pct"/>
            <w:vMerge/>
            <w:tcBorders>
              <w:top w:val="nil"/>
              <w:left w:val="single" w:sz="4" w:space="0" w:color="auto"/>
              <w:bottom w:val="single" w:sz="4" w:space="0" w:color="000000"/>
              <w:right w:val="single" w:sz="4" w:space="0" w:color="auto"/>
            </w:tcBorders>
            <w:vAlign w:val="center"/>
            <w:hideMark/>
          </w:tcPr>
          <w:p w14:paraId="0C039B9F" w14:textId="77777777" w:rsidR="009D43C3" w:rsidRPr="000C156A" w:rsidRDefault="009D43C3" w:rsidP="005D02F0">
            <w:pPr>
              <w:overflowPunct/>
              <w:adjustRightInd/>
              <w:spacing w:before="0"/>
              <w:textAlignment w:val="auto"/>
              <w:rPr>
                <w:rFonts w:ascii="Arial" w:hAnsi="Arial" w:cs="Arial"/>
                <w:b/>
                <w:bCs/>
                <w:color w:val="000000"/>
                <w:sz w:val="18"/>
                <w:szCs w:val="18"/>
                <w:lang w:val="en-US" w:eastAsia="zh-CN"/>
              </w:rPr>
            </w:pPr>
          </w:p>
        </w:tc>
      </w:tr>
      <w:tr w:rsidR="009D43C3" w:rsidRPr="000C156A" w14:paraId="1E803A1B" w14:textId="77777777" w:rsidTr="005D02F0">
        <w:trPr>
          <w:trHeight w:val="255"/>
        </w:trPr>
        <w:tc>
          <w:tcPr>
            <w:tcW w:w="1346" w:type="pct"/>
            <w:vMerge/>
            <w:tcBorders>
              <w:top w:val="nil"/>
              <w:left w:val="single" w:sz="4" w:space="0" w:color="auto"/>
              <w:bottom w:val="single" w:sz="4" w:space="0" w:color="000000"/>
              <w:right w:val="single" w:sz="4" w:space="0" w:color="auto"/>
            </w:tcBorders>
            <w:vAlign w:val="center"/>
            <w:hideMark/>
          </w:tcPr>
          <w:p w14:paraId="221E6306" w14:textId="77777777" w:rsidR="009D43C3" w:rsidRPr="000C156A" w:rsidRDefault="009D43C3" w:rsidP="005D02F0">
            <w:pPr>
              <w:overflowPunct/>
              <w:adjustRightInd/>
              <w:spacing w:before="0"/>
              <w:textAlignment w:val="auto"/>
              <w:rPr>
                <w:rFonts w:ascii="Arial" w:hAnsi="Arial" w:cs="Arial"/>
                <w:b/>
                <w:bCs/>
                <w:color w:val="000000"/>
                <w:sz w:val="18"/>
                <w:szCs w:val="18"/>
                <w:lang w:val="en-US" w:eastAsia="zh-CN"/>
              </w:rPr>
            </w:pPr>
          </w:p>
        </w:tc>
        <w:tc>
          <w:tcPr>
            <w:tcW w:w="540" w:type="pct"/>
            <w:tcBorders>
              <w:top w:val="nil"/>
              <w:left w:val="nil"/>
              <w:bottom w:val="single" w:sz="4" w:space="0" w:color="auto"/>
              <w:right w:val="single" w:sz="4" w:space="0" w:color="auto"/>
            </w:tcBorders>
            <w:shd w:val="clear" w:color="auto" w:fill="auto"/>
            <w:noWrap/>
            <w:vAlign w:val="center"/>
            <w:hideMark/>
          </w:tcPr>
          <w:p w14:paraId="02C9918F" w14:textId="0C320049" w:rsidR="009D43C3" w:rsidRPr="000C156A" w:rsidRDefault="009D43C3" w:rsidP="005D02F0">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009E23E4"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541" w:type="pct"/>
            <w:tcBorders>
              <w:top w:val="nil"/>
              <w:left w:val="nil"/>
              <w:bottom w:val="single" w:sz="4" w:space="0" w:color="auto"/>
              <w:right w:val="single" w:sz="4" w:space="0" w:color="auto"/>
            </w:tcBorders>
            <w:shd w:val="clear" w:color="auto" w:fill="auto"/>
            <w:noWrap/>
            <w:hideMark/>
          </w:tcPr>
          <w:p w14:paraId="09E1D8A8" w14:textId="522D2029" w:rsidR="009D43C3" w:rsidRPr="000C156A" w:rsidRDefault="009D43C3" w:rsidP="005D02F0">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009E23E4"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541" w:type="pct"/>
            <w:tcBorders>
              <w:top w:val="nil"/>
              <w:left w:val="nil"/>
              <w:bottom w:val="single" w:sz="4" w:space="0" w:color="auto"/>
              <w:right w:val="single" w:sz="4" w:space="0" w:color="auto"/>
            </w:tcBorders>
            <w:shd w:val="clear" w:color="auto" w:fill="auto"/>
            <w:noWrap/>
            <w:vAlign w:val="center"/>
            <w:hideMark/>
          </w:tcPr>
          <w:p w14:paraId="38415B9F" w14:textId="4D6593EB" w:rsidR="009D43C3" w:rsidRPr="000C156A" w:rsidRDefault="009D43C3" w:rsidP="005D02F0">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009E23E4"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545" w:type="pct"/>
            <w:tcBorders>
              <w:top w:val="nil"/>
              <w:left w:val="nil"/>
              <w:bottom w:val="single" w:sz="4" w:space="0" w:color="auto"/>
              <w:right w:val="single" w:sz="4" w:space="0" w:color="auto"/>
            </w:tcBorders>
            <w:shd w:val="clear" w:color="auto" w:fill="auto"/>
            <w:noWrap/>
            <w:vAlign w:val="center"/>
            <w:hideMark/>
          </w:tcPr>
          <w:p w14:paraId="3E64A687" w14:textId="094803E9" w:rsidR="009D43C3" w:rsidRPr="000C156A" w:rsidRDefault="009D43C3" w:rsidP="005D02F0">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009E23E4"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677" w:type="pct"/>
            <w:tcBorders>
              <w:top w:val="nil"/>
              <w:left w:val="nil"/>
              <w:bottom w:val="single" w:sz="4" w:space="0" w:color="auto"/>
              <w:right w:val="single" w:sz="4" w:space="0" w:color="auto"/>
            </w:tcBorders>
            <w:shd w:val="clear" w:color="auto" w:fill="auto"/>
            <w:noWrap/>
            <w:vAlign w:val="center"/>
            <w:hideMark/>
          </w:tcPr>
          <w:p w14:paraId="36554BBB" w14:textId="0FAE41A8" w:rsidR="009D43C3" w:rsidRPr="000C156A" w:rsidRDefault="009D43C3" w:rsidP="009E23E4">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009E23E4"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809" w:type="pct"/>
            <w:tcBorders>
              <w:top w:val="nil"/>
              <w:left w:val="nil"/>
              <w:bottom w:val="single" w:sz="4" w:space="0" w:color="auto"/>
              <w:right w:val="single" w:sz="4" w:space="0" w:color="auto"/>
            </w:tcBorders>
            <w:shd w:val="clear" w:color="auto" w:fill="auto"/>
            <w:noWrap/>
            <w:vAlign w:val="center"/>
            <w:hideMark/>
          </w:tcPr>
          <w:p w14:paraId="014711BD" w14:textId="6470B218" w:rsidR="009D43C3" w:rsidRPr="000C156A" w:rsidRDefault="009D43C3" w:rsidP="009E23E4">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009E23E4"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r>
      <w:tr w:rsidR="009D43C3" w:rsidRPr="000C156A" w14:paraId="4E7906E4" w14:textId="77777777" w:rsidTr="005D02F0">
        <w:trPr>
          <w:trHeight w:val="255"/>
        </w:trPr>
        <w:tc>
          <w:tcPr>
            <w:tcW w:w="1346" w:type="pct"/>
            <w:tcBorders>
              <w:top w:val="nil"/>
              <w:left w:val="single" w:sz="4" w:space="0" w:color="auto"/>
              <w:bottom w:val="nil"/>
              <w:right w:val="nil"/>
            </w:tcBorders>
            <w:shd w:val="clear" w:color="auto" w:fill="auto"/>
            <w:vAlign w:val="bottom"/>
            <w:hideMark/>
          </w:tcPr>
          <w:p w14:paraId="3841EB5D" w14:textId="77777777" w:rsidR="009D43C3" w:rsidRPr="000C156A" w:rsidRDefault="009D43C3" w:rsidP="005D02F0">
            <w:pPr>
              <w:pStyle w:val="Tabletext"/>
              <w:spacing w:before="20" w:after="20"/>
              <w:rPr>
                <w:rFonts w:ascii="STKaiti" w:eastAsia="STKaiti" w:hAnsi="STKaiti"/>
                <w:sz w:val="18"/>
                <w:szCs w:val="18"/>
                <w:lang w:val="en-US" w:eastAsia="zh-CN"/>
              </w:rPr>
            </w:pPr>
            <w:r w:rsidRPr="000C156A">
              <w:rPr>
                <w:rFonts w:ascii="STKaiti" w:eastAsia="STKaiti" w:hAnsi="STKaiti"/>
                <w:sz w:val="18"/>
                <w:szCs w:val="18"/>
                <w:lang w:val="en-US" w:eastAsia="zh-CN"/>
              </w:rPr>
              <w:t>总秘书</w:t>
            </w:r>
            <w:r w:rsidRPr="000C156A">
              <w:rPr>
                <w:rFonts w:ascii="STKaiti" w:eastAsia="STKaiti" w:hAnsi="STKaiti" w:hint="eastAsia"/>
                <w:sz w:val="18"/>
                <w:szCs w:val="18"/>
                <w:lang w:val="en-US" w:eastAsia="zh-CN"/>
              </w:rPr>
              <w:t>处</w:t>
            </w:r>
          </w:p>
        </w:tc>
        <w:tc>
          <w:tcPr>
            <w:tcW w:w="540" w:type="pct"/>
            <w:tcBorders>
              <w:top w:val="nil"/>
              <w:left w:val="single" w:sz="4" w:space="0" w:color="auto"/>
              <w:bottom w:val="nil"/>
              <w:right w:val="single" w:sz="4" w:space="0" w:color="auto"/>
            </w:tcBorders>
            <w:shd w:val="clear" w:color="auto" w:fill="auto"/>
            <w:noWrap/>
            <w:vAlign w:val="bottom"/>
            <w:hideMark/>
          </w:tcPr>
          <w:p w14:paraId="53EF0DB0" w14:textId="5D8548F8"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91</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920</w:t>
            </w:r>
          </w:p>
        </w:tc>
        <w:tc>
          <w:tcPr>
            <w:tcW w:w="541" w:type="pct"/>
            <w:tcBorders>
              <w:top w:val="nil"/>
              <w:left w:val="nil"/>
              <w:bottom w:val="nil"/>
              <w:right w:val="single" w:sz="4" w:space="0" w:color="auto"/>
            </w:tcBorders>
            <w:shd w:val="clear" w:color="auto" w:fill="auto"/>
            <w:noWrap/>
            <w:vAlign w:val="bottom"/>
            <w:hideMark/>
          </w:tcPr>
          <w:p w14:paraId="14ECF241" w14:textId="77777777"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61166EDE" w14:textId="77777777"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p>
        </w:tc>
        <w:tc>
          <w:tcPr>
            <w:tcW w:w="545" w:type="pct"/>
            <w:tcBorders>
              <w:top w:val="nil"/>
              <w:left w:val="nil"/>
              <w:bottom w:val="nil"/>
              <w:right w:val="single" w:sz="4" w:space="0" w:color="auto"/>
            </w:tcBorders>
            <w:shd w:val="clear" w:color="auto" w:fill="auto"/>
            <w:noWrap/>
            <w:vAlign w:val="bottom"/>
            <w:hideMark/>
          </w:tcPr>
          <w:p w14:paraId="34A830E3" w14:textId="4D21763D"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91</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920</w:t>
            </w:r>
          </w:p>
        </w:tc>
        <w:tc>
          <w:tcPr>
            <w:tcW w:w="677" w:type="pct"/>
            <w:tcBorders>
              <w:top w:val="nil"/>
              <w:left w:val="nil"/>
              <w:bottom w:val="nil"/>
              <w:right w:val="nil"/>
            </w:tcBorders>
            <w:shd w:val="clear" w:color="auto" w:fill="auto"/>
            <w:noWrap/>
            <w:vAlign w:val="bottom"/>
            <w:hideMark/>
          </w:tcPr>
          <w:p w14:paraId="33684012" w14:textId="0F0957C5"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84</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764</w:t>
            </w:r>
          </w:p>
        </w:tc>
        <w:tc>
          <w:tcPr>
            <w:tcW w:w="809" w:type="pct"/>
            <w:tcBorders>
              <w:top w:val="nil"/>
              <w:left w:val="single" w:sz="4" w:space="0" w:color="auto"/>
              <w:bottom w:val="nil"/>
              <w:right w:val="single" w:sz="4" w:space="0" w:color="auto"/>
            </w:tcBorders>
            <w:shd w:val="clear" w:color="auto" w:fill="auto"/>
            <w:noWrap/>
            <w:vAlign w:val="bottom"/>
            <w:hideMark/>
          </w:tcPr>
          <w:p w14:paraId="416EB094" w14:textId="51649369"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7</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156</w:t>
            </w:r>
          </w:p>
        </w:tc>
      </w:tr>
      <w:tr w:rsidR="009D43C3" w:rsidRPr="000C156A" w14:paraId="79803771" w14:textId="77777777" w:rsidTr="005D02F0">
        <w:trPr>
          <w:trHeight w:val="255"/>
        </w:trPr>
        <w:tc>
          <w:tcPr>
            <w:tcW w:w="1346" w:type="pct"/>
            <w:tcBorders>
              <w:top w:val="nil"/>
              <w:left w:val="single" w:sz="4" w:space="0" w:color="auto"/>
              <w:bottom w:val="nil"/>
              <w:right w:val="nil"/>
            </w:tcBorders>
            <w:shd w:val="clear" w:color="auto" w:fill="auto"/>
            <w:vAlign w:val="bottom"/>
            <w:hideMark/>
          </w:tcPr>
          <w:p w14:paraId="140A2C9A" w14:textId="77777777" w:rsidR="009D43C3" w:rsidRPr="000C156A" w:rsidRDefault="009D43C3" w:rsidP="005D02F0">
            <w:pPr>
              <w:pStyle w:val="Tabletext"/>
              <w:spacing w:before="20" w:after="20"/>
              <w:rPr>
                <w:rFonts w:ascii="STKaiti" w:eastAsia="STKaiti" w:hAnsi="STKaiti"/>
                <w:sz w:val="18"/>
                <w:szCs w:val="18"/>
                <w:lang w:val="en-US" w:eastAsia="zh-CN"/>
              </w:rPr>
            </w:pPr>
            <w:r w:rsidRPr="000C156A">
              <w:rPr>
                <w:rFonts w:ascii="STKaiti" w:eastAsia="STKaiti" w:hAnsi="STKaiti" w:hint="eastAsia"/>
                <w:sz w:val="18"/>
                <w:szCs w:val="18"/>
                <w:lang w:val="en-US" w:eastAsia="zh-CN"/>
              </w:rPr>
              <w:t>无线电通信部门</w:t>
            </w:r>
          </w:p>
        </w:tc>
        <w:tc>
          <w:tcPr>
            <w:tcW w:w="540" w:type="pct"/>
            <w:tcBorders>
              <w:top w:val="nil"/>
              <w:left w:val="single" w:sz="4" w:space="0" w:color="auto"/>
              <w:bottom w:val="nil"/>
              <w:right w:val="single" w:sz="4" w:space="0" w:color="auto"/>
            </w:tcBorders>
            <w:shd w:val="clear" w:color="auto" w:fill="auto"/>
            <w:noWrap/>
            <w:hideMark/>
          </w:tcPr>
          <w:p w14:paraId="655DC644" w14:textId="5205C0E3"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29</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831</w:t>
            </w:r>
          </w:p>
        </w:tc>
        <w:tc>
          <w:tcPr>
            <w:tcW w:w="541" w:type="pct"/>
            <w:tcBorders>
              <w:top w:val="nil"/>
              <w:left w:val="nil"/>
              <w:bottom w:val="nil"/>
              <w:right w:val="single" w:sz="4" w:space="0" w:color="auto"/>
            </w:tcBorders>
            <w:shd w:val="clear" w:color="auto" w:fill="auto"/>
            <w:noWrap/>
            <w:hideMark/>
          </w:tcPr>
          <w:p w14:paraId="598C12FE" w14:textId="77777777"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6DC17083" w14:textId="77777777"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3106546A" w14:textId="70B03F1F"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29</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831</w:t>
            </w:r>
          </w:p>
        </w:tc>
        <w:tc>
          <w:tcPr>
            <w:tcW w:w="677" w:type="pct"/>
            <w:tcBorders>
              <w:top w:val="nil"/>
              <w:left w:val="nil"/>
              <w:bottom w:val="nil"/>
              <w:right w:val="nil"/>
            </w:tcBorders>
            <w:shd w:val="clear" w:color="auto" w:fill="auto"/>
            <w:noWrap/>
            <w:hideMark/>
          </w:tcPr>
          <w:p w14:paraId="5AE1460A" w14:textId="71DC8A35"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27</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278</w:t>
            </w:r>
          </w:p>
        </w:tc>
        <w:tc>
          <w:tcPr>
            <w:tcW w:w="809" w:type="pct"/>
            <w:tcBorders>
              <w:top w:val="nil"/>
              <w:left w:val="single" w:sz="4" w:space="0" w:color="auto"/>
              <w:bottom w:val="nil"/>
              <w:right w:val="single" w:sz="4" w:space="0" w:color="auto"/>
            </w:tcBorders>
            <w:shd w:val="clear" w:color="auto" w:fill="auto"/>
            <w:noWrap/>
            <w:hideMark/>
          </w:tcPr>
          <w:p w14:paraId="0F48DE2E" w14:textId="52A30D54"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2</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553</w:t>
            </w:r>
          </w:p>
        </w:tc>
      </w:tr>
      <w:tr w:rsidR="009D43C3" w:rsidRPr="000C156A" w14:paraId="54001953" w14:textId="77777777" w:rsidTr="005D02F0">
        <w:trPr>
          <w:trHeight w:val="255"/>
        </w:trPr>
        <w:tc>
          <w:tcPr>
            <w:tcW w:w="1346" w:type="pct"/>
            <w:tcBorders>
              <w:top w:val="nil"/>
              <w:left w:val="single" w:sz="4" w:space="0" w:color="auto"/>
              <w:bottom w:val="nil"/>
              <w:right w:val="nil"/>
            </w:tcBorders>
            <w:shd w:val="clear" w:color="auto" w:fill="auto"/>
            <w:vAlign w:val="bottom"/>
            <w:hideMark/>
          </w:tcPr>
          <w:p w14:paraId="46DBD4C0" w14:textId="77777777" w:rsidR="009D43C3" w:rsidRPr="000C156A" w:rsidRDefault="009D43C3" w:rsidP="005D02F0">
            <w:pPr>
              <w:pStyle w:val="Tabletext"/>
              <w:spacing w:before="20" w:after="20"/>
              <w:rPr>
                <w:rFonts w:ascii="STKaiti" w:eastAsia="STKaiti" w:hAnsi="STKaiti"/>
                <w:sz w:val="18"/>
                <w:szCs w:val="18"/>
                <w:lang w:val="en-US" w:eastAsia="zh-CN"/>
              </w:rPr>
            </w:pPr>
            <w:r w:rsidRPr="000C156A">
              <w:rPr>
                <w:rFonts w:ascii="STKaiti" w:eastAsia="STKaiti" w:hAnsi="STKaiti" w:hint="eastAsia"/>
                <w:sz w:val="18"/>
                <w:szCs w:val="18"/>
                <w:lang w:val="en-US" w:eastAsia="zh-CN"/>
              </w:rPr>
              <w:t>电信标准化部门</w:t>
            </w:r>
          </w:p>
        </w:tc>
        <w:tc>
          <w:tcPr>
            <w:tcW w:w="540" w:type="pct"/>
            <w:tcBorders>
              <w:top w:val="nil"/>
              <w:left w:val="single" w:sz="4" w:space="0" w:color="auto"/>
              <w:bottom w:val="nil"/>
              <w:right w:val="single" w:sz="4" w:space="0" w:color="auto"/>
            </w:tcBorders>
            <w:shd w:val="clear" w:color="auto" w:fill="auto"/>
            <w:noWrap/>
            <w:hideMark/>
          </w:tcPr>
          <w:p w14:paraId="7A7D9666" w14:textId="5F5FEA8B"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14</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328</w:t>
            </w:r>
          </w:p>
        </w:tc>
        <w:tc>
          <w:tcPr>
            <w:tcW w:w="541" w:type="pct"/>
            <w:tcBorders>
              <w:top w:val="nil"/>
              <w:left w:val="nil"/>
              <w:bottom w:val="nil"/>
              <w:right w:val="single" w:sz="4" w:space="0" w:color="auto"/>
            </w:tcBorders>
            <w:shd w:val="clear" w:color="auto" w:fill="auto"/>
            <w:noWrap/>
            <w:hideMark/>
          </w:tcPr>
          <w:p w14:paraId="3EFFC04A" w14:textId="77777777"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7480ACD3" w14:textId="77777777"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0773019C" w14:textId="75AEA270"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14</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328</w:t>
            </w:r>
          </w:p>
        </w:tc>
        <w:tc>
          <w:tcPr>
            <w:tcW w:w="677" w:type="pct"/>
            <w:tcBorders>
              <w:top w:val="nil"/>
              <w:left w:val="nil"/>
              <w:bottom w:val="nil"/>
              <w:right w:val="nil"/>
            </w:tcBorders>
            <w:shd w:val="clear" w:color="auto" w:fill="auto"/>
            <w:noWrap/>
            <w:hideMark/>
          </w:tcPr>
          <w:p w14:paraId="621160F6" w14:textId="2C5CC82F"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13</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080</w:t>
            </w:r>
          </w:p>
        </w:tc>
        <w:tc>
          <w:tcPr>
            <w:tcW w:w="809" w:type="pct"/>
            <w:tcBorders>
              <w:top w:val="nil"/>
              <w:left w:val="single" w:sz="4" w:space="0" w:color="auto"/>
              <w:bottom w:val="nil"/>
              <w:right w:val="single" w:sz="4" w:space="0" w:color="auto"/>
            </w:tcBorders>
            <w:shd w:val="clear" w:color="auto" w:fill="auto"/>
            <w:noWrap/>
            <w:hideMark/>
          </w:tcPr>
          <w:p w14:paraId="4FC1AC69" w14:textId="616E58AB"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248</w:t>
            </w:r>
          </w:p>
        </w:tc>
      </w:tr>
      <w:tr w:rsidR="009D43C3" w:rsidRPr="000C156A" w14:paraId="6CBAFC4C" w14:textId="77777777" w:rsidTr="005D02F0">
        <w:trPr>
          <w:trHeight w:val="240"/>
        </w:trPr>
        <w:tc>
          <w:tcPr>
            <w:tcW w:w="1346" w:type="pct"/>
            <w:tcBorders>
              <w:top w:val="nil"/>
              <w:left w:val="single" w:sz="4" w:space="0" w:color="auto"/>
              <w:bottom w:val="nil"/>
              <w:right w:val="nil"/>
            </w:tcBorders>
            <w:shd w:val="clear" w:color="auto" w:fill="auto"/>
            <w:vAlign w:val="bottom"/>
            <w:hideMark/>
          </w:tcPr>
          <w:p w14:paraId="22D8758C" w14:textId="77777777" w:rsidR="009D43C3" w:rsidRPr="000C156A" w:rsidRDefault="009D43C3" w:rsidP="005D02F0">
            <w:pPr>
              <w:pStyle w:val="Tabletext"/>
              <w:spacing w:before="20" w:after="20"/>
              <w:rPr>
                <w:rFonts w:ascii="STKaiti" w:eastAsia="STKaiti" w:hAnsi="STKaiti"/>
                <w:sz w:val="18"/>
                <w:szCs w:val="18"/>
                <w:lang w:val="en-US"/>
              </w:rPr>
            </w:pPr>
            <w:r w:rsidRPr="000C156A">
              <w:rPr>
                <w:rFonts w:ascii="STKaiti" w:eastAsia="STKaiti" w:hAnsi="STKaiti" w:hint="eastAsia"/>
                <w:sz w:val="18"/>
                <w:szCs w:val="18"/>
                <w:lang w:val="en-US" w:eastAsia="zh-CN"/>
              </w:rPr>
              <w:t>电信</w:t>
            </w:r>
            <w:r w:rsidRPr="000C156A">
              <w:rPr>
                <w:rFonts w:ascii="STKaiti" w:eastAsia="STKaiti" w:hAnsi="STKaiti" w:hint="eastAsia"/>
                <w:sz w:val="18"/>
                <w:szCs w:val="18"/>
                <w:lang w:val="en-US"/>
              </w:rPr>
              <w:t>发展部门</w:t>
            </w:r>
          </w:p>
        </w:tc>
        <w:tc>
          <w:tcPr>
            <w:tcW w:w="540" w:type="pct"/>
            <w:tcBorders>
              <w:top w:val="nil"/>
              <w:left w:val="single" w:sz="4" w:space="0" w:color="auto"/>
              <w:bottom w:val="nil"/>
              <w:right w:val="single" w:sz="4" w:space="0" w:color="auto"/>
            </w:tcBorders>
            <w:shd w:val="clear" w:color="auto" w:fill="auto"/>
            <w:noWrap/>
            <w:hideMark/>
          </w:tcPr>
          <w:p w14:paraId="65224104" w14:textId="2F4C912F"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31</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399</w:t>
            </w:r>
          </w:p>
        </w:tc>
        <w:tc>
          <w:tcPr>
            <w:tcW w:w="541" w:type="pct"/>
            <w:tcBorders>
              <w:top w:val="nil"/>
              <w:left w:val="nil"/>
              <w:bottom w:val="nil"/>
              <w:right w:val="single" w:sz="4" w:space="0" w:color="auto"/>
            </w:tcBorders>
            <w:shd w:val="clear" w:color="auto" w:fill="auto"/>
            <w:noWrap/>
            <w:hideMark/>
          </w:tcPr>
          <w:p w14:paraId="6E252964" w14:textId="77777777"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22B1D399" w14:textId="77777777"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1B0F4836" w14:textId="3734F77C"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31</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399</w:t>
            </w:r>
          </w:p>
        </w:tc>
        <w:tc>
          <w:tcPr>
            <w:tcW w:w="677" w:type="pct"/>
            <w:tcBorders>
              <w:top w:val="nil"/>
              <w:left w:val="nil"/>
              <w:bottom w:val="nil"/>
              <w:right w:val="nil"/>
            </w:tcBorders>
            <w:shd w:val="clear" w:color="auto" w:fill="auto"/>
            <w:noWrap/>
            <w:hideMark/>
          </w:tcPr>
          <w:p w14:paraId="3451F8DD" w14:textId="025E61CB"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29</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795</w:t>
            </w:r>
          </w:p>
        </w:tc>
        <w:tc>
          <w:tcPr>
            <w:tcW w:w="809" w:type="pct"/>
            <w:tcBorders>
              <w:top w:val="nil"/>
              <w:left w:val="single" w:sz="4" w:space="0" w:color="auto"/>
              <w:bottom w:val="nil"/>
              <w:right w:val="single" w:sz="4" w:space="0" w:color="auto"/>
            </w:tcBorders>
            <w:shd w:val="clear" w:color="auto" w:fill="auto"/>
            <w:noWrap/>
            <w:hideMark/>
          </w:tcPr>
          <w:p w14:paraId="47C5076F" w14:textId="2D6E336D"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604</w:t>
            </w:r>
          </w:p>
        </w:tc>
      </w:tr>
      <w:tr w:rsidR="009D43C3" w:rsidRPr="000C156A" w14:paraId="5FC64D4E" w14:textId="77777777" w:rsidTr="005D02F0">
        <w:trPr>
          <w:trHeight w:val="240"/>
        </w:trPr>
        <w:tc>
          <w:tcPr>
            <w:tcW w:w="1346" w:type="pct"/>
            <w:tcBorders>
              <w:top w:val="nil"/>
              <w:left w:val="single" w:sz="4" w:space="0" w:color="auto"/>
              <w:bottom w:val="nil"/>
              <w:right w:val="nil"/>
            </w:tcBorders>
            <w:shd w:val="clear" w:color="auto" w:fill="auto"/>
            <w:vAlign w:val="bottom"/>
            <w:hideMark/>
          </w:tcPr>
          <w:p w14:paraId="5C6DDAAE" w14:textId="77777777" w:rsidR="009D43C3" w:rsidRPr="000C156A" w:rsidRDefault="009D43C3" w:rsidP="005D02F0">
            <w:pPr>
              <w:pStyle w:val="Tabletext"/>
              <w:spacing w:before="20" w:after="20"/>
              <w:rPr>
                <w:rFonts w:eastAsia="STKaiti" w:cs="Calibri"/>
                <w:color w:val="FF0000"/>
                <w:sz w:val="18"/>
                <w:szCs w:val="18"/>
                <w:lang w:val="en-US" w:eastAsia="zh-CN"/>
              </w:rPr>
            </w:pPr>
            <w:r w:rsidRPr="000C156A">
              <w:rPr>
                <w:rFonts w:ascii="STKaiti" w:eastAsia="STKaiti" w:hAnsi="STKaiti"/>
                <w:sz w:val="18"/>
                <w:szCs w:val="18"/>
                <w:lang w:val="en-US"/>
              </w:rPr>
              <w:t>推迟的活</w:t>
            </w:r>
            <w:r w:rsidRPr="000C156A">
              <w:rPr>
                <w:rFonts w:ascii="STKaiti" w:eastAsia="STKaiti" w:hAnsi="STKaiti" w:hint="eastAsia"/>
                <w:sz w:val="18"/>
                <w:szCs w:val="18"/>
                <w:lang w:val="en-US"/>
              </w:rPr>
              <w:t>动</w:t>
            </w:r>
          </w:p>
        </w:tc>
        <w:tc>
          <w:tcPr>
            <w:tcW w:w="540" w:type="pct"/>
            <w:tcBorders>
              <w:top w:val="nil"/>
              <w:left w:val="single" w:sz="4" w:space="0" w:color="auto"/>
              <w:bottom w:val="nil"/>
              <w:right w:val="single" w:sz="4" w:space="0" w:color="auto"/>
            </w:tcBorders>
            <w:shd w:val="clear" w:color="auto" w:fill="auto"/>
            <w:noWrap/>
            <w:hideMark/>
          </w:tcPr>
          <w:p w14:paraId="7D6B34C7" w14:textId="77777777"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14D4A1E5" w14:textId="530CB402"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867</w:t>
            </w:r>
          </w:p>
        </w:tc>
        <w:tc>
          <w:tcPr>
            <w:tcW w:w="541" w:type="pct"/>
            <w:tcBorders>
              <w:top w:val="nil"/>
              <w:left w:val="nil"/>
              <w:bottom w:val="nil"/>
              <w:right w:val="single" w:sz="4" w:space="0" w:color="auto"/>
            </w:tcBorders>
            <w:shd w:val="clear" w:color="auto" w:fill="auto"/>
            <w:noWrap/>
            <w:hideMark/>
          </w:tcPr>
          <w:p w14:paraId="3C537B60" w14:textId="77777777"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69B0D9A7" w14:textId="1300DF54"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867</w:t>
            </w:r>
          </w:p>
        </w:tc>
        <w:tc>
          <w:tcPr>
            <w:tcW w:w="677" w:type="pct"/>
            <w:tcBorders>
              <w:top w:val="nil"/>
              <w:left w:val="nil"/>
              <w:bottom w:val="nil"/>
              <w:right w:val="nil"/>
            </w:tcBorders>
            <w:shd w:val="clear" w:color="auto" w:fill="auto"/>
            <w:noWrap/>
            <w:hideMark/>
          </w:tcPr>
          <w:p w14:paraId="409ADC52" w14:textId="77777777"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p>
        </w:tc>
        <w:tc>
          <w:tcPr>
            <w:tcW w:w="809" w:type="pct"/>
            <w:tcBorders>
              <w:top w:val="nil"/>
              <w:left w:val="single" w:sz="4" w:space="0" w:color="auto"/>
              <w:bottom w:val="nil"/>
              <w:right w:val="single" w:sz="4" w:space="0" w:color="auto"/>
            </w:tcBorders>
            <w:shd w:val="clear" w:color="auto" w:fill="auto"/>
            <w:noWrap/>
            <w:hideMark/>
          </w:tcPr>
          <w:p w14:paraId="10030AE9" w14:textId="77777777"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p>
        </w:tc>
      </w:tr>
      <w:tr w:rsidR="009D43C3" w:rsidRPr="000C156A" w14:paraId="3B783C57" w14:textId="77777777" w:rsidTr="005D02F0">
        <w:trPr>
          <w:trHeight w:val="240"/>
        </w:trPr>
        <w:tc>
          <w:tcPr>
            <w:tcW w:w="1346" w:type="pct"/>
            <w:tcBorders>
              <w:top w:val="nil"/>
              <w:left w:val="single" w:sz="4" w:space="0" w:color="auto"/>
              <w:bottom w:val="nil"/>
              <w:right w:val="nil"/>
            </w:tcBorders>
            <w:shd w:val="clear" w:color="auto" w:fill="auto"/>
            <w:vAlign w:val="bottom"/>
          </w:tcPr>
          <w:p w14:paraId="5590A02C" w14:textId="77777777" w:rsidR="009D43C3" w:rsidRPr="000C156A" w:rsidRDefault="009D43C3" w:rsidP="005D02F0">
            <w:pPr>
              <w:pStyle w:val="Tabletext"/>
              <w:spacing w:before="20" w:after="20"/>
              <w:rPr>
                <w:rFonts w:ascii="STKaiti" w:eastAsia="STKaiti" w:hAnsi="STKaiti"/>
                <w:sz w:val="18"/>
                <w:szCs w:val="18"/>
                <w:lang w:val="en-US" w:eastAsia="zh-CN"/>
              </w:rPr>
            </w:pPr>
          </w:p>
        </w:tc>
        <w:tc>
          <w:tcPr>
            <w:tcW w:w="540" w:type="pct"/>
            <w:tcBorders>
              <w:top w:val="nil"/>
              <w:left w:val="single" w:sz="4" w:space="0" w:color="auto"/>
              <w:bottom w:val="nil"/>
              <w:right w:val="single" w:sz="4" w:space="0" w:color="auto"/>
            </w:tcBorders>
            <w:shd w:val="clear" w:color="auto" w:fill="auto"/>
            <w:noWrap/>
          </w:tcPr>
          <w:p w14:paraId="285D94F9" w14:textId="77777777"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p>
        </w:tc>
        <w:tc>
          <w:tcPr>
            <w:tcW w:w="541" w:type="pct"/>
            <w:tcBorders>
              <w:top w:val="nil"/>
              <w:left w:val="nil"/>
              <w:bottom w:val="nil"/>
              <w:right w:val="single" w:sz="4" w:space="0" w:color="auto"/>
            </w:tcBorders>
            <w:shd w:val="clear" w:color="auto" w:fill="auto"/>
            <w:noWrap/>
          </w:tcPr>
          <w:p w14:paraId="2928D7E5" w14:textId="77777777"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p>
        </w:tc>
        <w:tc>
          <w:tcPr>
            <w:tcW w:w="541" w:type="pct"/>
            <w:tcBorders>
              <w:top w:val="nil"/>
              <w:left w:val="nil"/>
              <w:bottom w:val="nil"/>
              <w:right w:val="single" w:sz="4" w:space="0" w:color="auto"/>
            </w:tcBorders>
            <w:shd w:val="clear" w:color="auto" w:fill="auto"/>
            <w:noWrap/>
          </w:tcPr>
          <w:p w14:paraId="1EEF31F4" w14:textId="77777777"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p>
        </w:tc>
        <w:tc>
          <w:tcPr>
            <w:tcW w:w="546" w:type="pct"/>
            <w:tcBorders>
              <w:top w:val="nil"/>
              <w:left w:val="nil"/>
              <w:bottom w:val="nil"/>
              <w:right w:val="single" w:sz="4" w:space="0" w:color="auto"/>
            </w:tcBorders>
            <w:shd w:val="clear" w:color="auto" w:fill="auto"/>
            <w:noWrap/>
          </w:tcPr>
          <w:p w14:paraId="595C153C" w14:textId="77777777"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w:t>
            </w:r>
          </w:p>
        </w:tc>
        <w:tc>
          <w:tcPr>
            <w:tcW w:w="677" w:type="pct"/>
            <w:tcBorders>
              <w:top w:val="nil"/>
              <w:left w:val="nil"/>
              <w:bottom w:val="nil"/>
              <w:right w:val="nil"/>
            </w:tcBorders>
            <w:shd w:val="clear" w:color="auto" w:fill="auto"/>
            <w:noWrap/>
          </w:tcPr>
          <w:p w14:paraId="3CA79675" w14:textId="77777777"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p>
        </w:tc>
        <w:tc>
          <w:tcPr>
            <w:tcW w:w="809" w:type="pct"/>
            <w:tcBorders>
              <w:top w:val="nil"/>
              <w:left w:val="single" w:sz="4" w:space="0" w:color="auto"/>
              <w:bottom w:val="nil"/>
              <w:right w:val="single" w:sz="4" w:space="0" w:color="auto"/>
            </w:tcBorders>
            <w:shd w:val="clear" w:color="auto" w:fill="auto"/>
            <w:noWrap/>
          </w:tcPr>
          <w:p w14:paraId="0443E36B" w14:textId="77777777"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w:t>
            </w:r>
          </w:p>
        </w:tc>
      </w:tr>
      <w:tr w:rsidR="009D43C3" w:rsidRPr="000C156A" w14:paraId="40F70D76" w14:textId="77777777" w:rsidTr="005D02F0">
        <w:trPr>
          <w:trHeight w:val="255"/>
        </w:trPr>
        <w:tc>
          <w:tcPr>
            <w:tcW w:w="1346" w:type="pct"/>
            <w:tcBorders>
              <w:top w:val="single" w:sz="4" w:space="0" w:color="auto"/>
              <w:left w:val="single" w:sz="4" w:space="0" w:color="auto"/>
              <w:bottom w:val="single" w:sz="4" w:space="0" w:color="auto"/>
              <w:right w:val="nil"/>
            </w:tcBorders>
            <w:shd w:val="clear" w:color="auto" w:fill="auto"/>
            <w:noWrap/>
            <w:hideMark/>
          </w:tcPr>
          <w:p w14:paraId="0EAF9F7D" w14:textId="77777777" w:rsidR="009D43C3" w:rsidRPr="000C156A" w:rsidRDefault="009D43C3" w:rsidP="005D02F0">
            <w:pPr>
              <w:pStyle w:val="Tablehead"/>
              <w:spacing w:after="0"/>
              <w:jc w:val="left"/>
              <w:rPr>
                <w:sz w:val="18"/>
                <w:szCs w:val="18"/>
                <w:lang w:val="en-US"/>
              </w:rPr>
            </w:pPr>
            <w:r w:rsidRPr="000C156A">
              <w:rPr>
                <w:rFonts w:hint="eastAsia"/>
                <w:sz w:val="18"/>
                <w:szCs w:val="18"/>
                <w:lang w:val="en-US"/>
              </w:rPr>
              <w:t>费用</w:t>
            </w:r>
            <w:r w:rsidRPr="000C156A">
              <w:rPr>
                <w:rFonts w:hint="eastAsia"/>
                <w:sz w:val="18"/>
                <w:szCs w:val="18"/>
                <w:lang w:val="en-US" w:eastAsia="zh-CN"/>
              </w:rPr>
              <w:t>合计</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635A3" w14:textId="27F5E218"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167</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478</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71C45CAB"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1523FDA5"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w:t>
            </w: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14:paraId="20C64E2D" w14:textId="2CB733F1"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165</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611</w:t>
            </w:r>
          </w:p>
        </w:tc>
        <w:tc>
          <w:tcPr>
            <w:tcW w:w="677" w:type="pct"/>
            <w:tcBorders>
              <w:top w:val="single" w:sz="4" w:space="0" w:color="auto"/>
              <w:left w:val="nil"/>
              <w:bottom w:val="single" w:sz="4" w:space="0" w:color="auto"/>
              <w:right w:val="single" w:sz="4" w:space="0" w:color="auto"/>
            </w:tcBorders>
            <w:shd w:val="clear" w:color="auto" w:fill="auto"/>
            <w:noWrap/>
            <w:vAlign w:val="bottom"/>
            <w:hideMark/>
          </w:tcPr>
          <w:p w14:paraId="72B1E6C4" w14:textId="2F9AC9D2"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154</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918</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14:paraId="2DEEE5EA" w14:textId="419AFB4D"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10</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693</w:t>
            </w:r>
          </w:p>
        </w:tc>
      </w:tr>
      <w:tr w:rsidR="009D43C3" w:rsidRPr="000C156A" w14:paraId="78B706B6" w14:textId="77777777" w:rsidTr="005D02F0">
        <w:trPr>
          <w:trHeight w:val="255"/>
        </w:trPr>
        <w:tc>
          <w:tcPr>
            <w:tcW w:w="1346" w:type="pct"/>
            <w:tcBorders>
              <w:top w:val="nil"/>
              <w:left w:val="single" w:sz="4" w:space="0" w:color="auto"/>
              <w:bottom w:val="single" w:sz="4" w:space="0" w:color="auto"/>
              <w:right w:val="nil"/>
            </w:tcBorders>
            <w:shd w:val="clear" w:color="auto" w:fill="auto"/>
            <w:hideMark/>
          </w:tcPr>
          <w:p w14:paraId="60CC3E55" w14:textId="77777777" w:rsidR="009D43C3" w:rsidRPr="000C156A" w:rsidRDefault="009D43C3" w:rsidP="005D02F0">
            <w:pPr>
              <w:pStyle w:val="Tabletext"/>
              <w:spacing w:before="80" w:after="0"/>
              <w:rPr>
                <w:b/>
                <w:sz w:val="18"/>
                <w:szCs w:val="18"/>
                <w:lang w:val="en-US" w:eastAsia="fr-FR"/>
              </w:rPr>
            </w:pPr>
            <w:r w:rsidRPr="000C156A">
              <w:rPr>
                <w:rFonts w:hint="eastAsia"/>
                <w:b/>
                <w:sz w:val="18"/>
                <w:szCs w:val="18"/>
                <w:lang w:val="en-US" w:eastAsia="zh-CN"/>
              </w:rPr>
              <w:t>结果</w:t>
            </w:r>
          </w:p>
        </w:tc>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16803440"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single" w:sz="4" w:space="0" w:color="auto"/>
              <w:right w:val="single" w:sz="4" w:space="0" w:color="auto"/>
            </w:tcBorders>
            <w:shd w:val="clear" w:color="auto" w:fill="auto"/>
            <w:noWrap/>
            <w:vAlign w:val="bottom"/>
            <w:hideMark/>
          </w:tcPr>
          <w:p w14:paraId="4F6127E8"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single" w:sz="4" w:space="0" w:color="auto"/>
              <w:right w:val="single" w:sz="4" w:space="0" w:color="auto"/>
            </w:tcBorders>
            <w:shd w:val="clear" w:color="auto" w:fill="auto"/>
            <w:noWrap/>
            <w:vAlign w:val="bottom"/>
            <w:hideMark/>
          </w:tcPr>
          <w:p w14:paraId="5D44D302"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6" w:type="pct"/>
            <w:tcBorders>
              <w:top w:val="nil"/>
              <w:left w:val="nil"/>
              <w:bottom w:val="single" w:sz="4" w:space="0" w:color="auto"/>
              <w:right w:val="single" w:sz="4" w:space="0" w:color="auto"/>
            </w:tcBorders>
            <w:shd w:val="clear" w:color="auto" w:fill="auto"/>
            <w:noWrap/>
            <w:vAlign w:val="bottom"/>
            <w:hideMark/>
          </w:tcPr>
          <w:p w14:paraId="345FEADD"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677" w:type="pct"/>
            <w:tcBorders>
              <w:top w:val="nil"/>
              <w:left w:val="nil"/>
              <w:bottom w:val="single" w:sz="4" w:space="0" w:color="auto"/>
              <w:right w:val="single" w:sz="4" w:space="0" w:color="auto"/>
            </w:tcBorders>
            <w:shd w:val="clear" w:color="auto" w:fill="auto"/>
            <w:noWrap/>
            <w:vAlign w:val="bottom"/>
            <w:hideMark/>
          </w:tcPr>
          <w:p w14:paraId="5EC1F2C8" w14:textId="639AC450"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483</w:t>
            </w:r>
          </w:p>
        </w:tc>
        <w:tc>
          <w:tcPr>
            <w:tcW w:w="809" w:type="pct"/>
            <w:tcBorders>
              <w:top w:val="nil"/>
              <w:left w:val="nil"/>
              <w:bottom w:val="single" w:sz="4" w:space="0" w:color="auto"/>
              <w:right w:val="single" w:sz="4" w:space="0" w:color="auto"/>
            </w:tcBorders>
            <w:shd w:val="clear" w:color="auto" w:fill="auto"/>
            <w:noWrap/>
            <w:vAlign w:val="bottom"/>
            <w:hideMark/>
          </w:tcPr>
          <w:p w14:paraId="518BBBF8"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r>
      <w:tr w:rsidR="009D43C3" w:rsidRPr="000C156A" w14:paraId="356CFFDF" w14:textId="77777777" w:rsidTr="005D02F0">
        <w:trPr>
          <w:trHeight w:val="255"/>
        </w:trPr>
        <w:tc>
          <w:tcPr>
            <w:tcW w:w="1346" w:type="pct"/>
            <w:tcBorders>
              <w:top w:val="nil"/>
              <w:left w:val="single" w:sz="4" w:space="0" w:color="auto"/>
              <w:bottom w:val="nil"/>
              <w:right w:val="nil"/>
            </w:tcBorders>
            <w:shd w:val="clear" w:color="auto" w:fill="auto"/>
            <w:vAlign w:val="bottom"/>
            <w:hideMark/>
          </w:tcPr>
          <w:p w14:paraId="20896A5B" w14:textId="77777777" w:rsidR="009D43C3" w:rsidRPr="000C156A" w:rsidRDefault="009D43C3" w:rsidP="005D02F0">
            <w:pPr>
              <w:pStyle w:val="Tabletext"/>
              <w:spacing w:before="0" w:after="0"/>
              <w:rPr>
                <w:rFonts w:asciiTheme="minorHAnsi" w:eastAsia="STKaiti" w:hAnsiTheme="minorHAnsi" w:cstheme="minorHAnsi"/>
                <w:sz w:val="18"/>
                <w:szCs w:val="18"/>
                <w:lang w:val="en-US" w:eastAsia="zh-CN"/>
              </w:rPr>
            </w:pPr>
            <w:r w:rsidRPr="000C156A">
              <w:rPr>
                <w:rFonts w:asciiTheme="minorHAnsi" w:eastAsia="STKaiti" w:hAnsiTheme="minorHAnsi" w:cstheme="minorHAnsi"/>
                <w:sz w:val="18"/>
                <w:szCs w:val="18"/>
                <w:lang w:val="en-US" w:eastAsia="zh-CN"/>
              </w:rPr>
              <w:t>离职后健康保险（</w:t>
            </w:r>
            <w:r w:rsidRPr="000C156A">
              <w:rPr>
                <w:rFonts w:asciiTheme="minorHAnsi" w:eastAsia="STKaiti" w:hAnsiTheme="minorHAnsi" w:cstheme="minorHAnsi"/>
                <w:sz w:val="18"/>
                <w:szCs w:val="18"/>
                <w:lang w:val="en-US" w:eastAsia="zh-CN"/>
              </w:rPr>
              <w:t>ASHI</w:t>
            </w:r>
            <w:r w:rsidRPr="000C156A">
              <w:rPr>
                <w:rFonts w:asciiTheme="minorHAnsi" w:eastAsia="STKaiti" w:hAnsiTheme="minorHAnsi" w:cstheme="minorHAnsi"/>
                <w:sz w:val="18"/>
                <w:szCs w:val="18"/>
                <w:lang w:val="en-US" w:eastAsia="zh-CN"/>
              </w:rPr>
              <w:t>）</w:t>
            </w:r>
          </w:p>
        </w:tc>
        <w:tc>
          <w:tcPr>
            <w:tcW w:w="540" w:type="pct"/>
            <w:tcBorders>
              <w:top w:val="nil"/>
              <w:left w:val="single" w:sz="4" w:space="0" w:color="auto"/>
              <w:bottom w:val="nil"/>
              <w:right w:val="single" w:sz="4" w:space="0" w:color="auto"/>
            </w:tcBorders>
            <w:shd w:val="clear" w:color="auto" w:fill="auto"/>
            <w:noWrap/>
            <w:vAlign w:val="bottom"/>
            <w:hideMark/>
          </w:tcPr>
          <w:p w14:paraId="52C1F0CF"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75402789"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3939BA04"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vAlign w:val="bottom"/>
            <w:hideMark/>
          </w:tcPr>
          <w:p w14:paraId="76A2000B"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vAlign w:val="bottom"/>
            <w:hideMark/>
          </w:tcPr>
          <w:p w14:paraId="3FE8A8F9" w14:textId="2D6BAE48"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-22</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789</w:t>
            </w:r>
          </w:p>
        </w:tc>
        <w:tc>
          <w:tcPr>
            <w:tcW w:w="809" w:type="pct"/>
            <w:tcBorders>
              <w:top w:val="nil"/>
              <w:left w:val="nil"/>
              <w:bottom w:val="nil"/>
              <w:right w:val="single" w:sz="4" w:space="0" w:color="auto"/>
            </w:tcBorders>
            <w:shd w:val="clear" w:color="auto" w:fill="auto"/>
            <w:noWrap/>
            <w:vAlign w:val="bottom"/>
            <w:hideMark/>
          </w:tcPr>
          <w:p w14:paraId="5BA71F6A"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r>
      <w:tr w:rsidR="009D43C3" w:rsidRPr="000C156A" w14:paraId="3685C772" w14:textId="77777777" w:rsidTr="005D02F0">
        <w:trPr>
          <w:trHeight w:val="255"/>
        </w:trPr>
        <w:tc>
          <w:tcPr>
            <w:tcW w:w="1346" w:type="pct"/>
            <w:tcBorders>
              <w:top w:val="nil"/>
              <w:left w:val="single" w:sz="4" w:space="0" w:color="auto"/>
              <w:bottom w:val="nil"/>
              <w:right w:val="nil"/>
            </w:tcBorders>
            <w:shd w:val="clear" w:color="auto" w:fill="auto"/>
            <w:vAlign w:val="bottom"/>
            <w:hideMark/>
          </w:tcPr>
          <w:p w14:paraId="31A0EA1A" w14:textId="77777777" w:rsidR="009D43C3" w:rsidRPr="000C156A" w:rsidRDefault="009D43C3" w:rsidP="005D02F0">
            <w:pPr>
              <w:pStyle w:val="Tabletext"/>
              <w:spacing w:before="0" w:after="0"/>
              <w:rPr>
                <w:rFonts w:asciiTheme="minorHAnsi" w:eastAsia="STKaiti" w:hAnsiTheme="minorHAnsi" w:cstheme="minorHAnsi"/>
                <w:sz w:val="18"/>
                <w:szCs w:val="18"/>
                <w:lang w:val="en-US"/>
              </w:rPr>
            </w:pPr>
            <w:r w:rsidRPr="000C156A">
              <w:rPr>
                <w:rFonts w:asciiTheme="minorHAnsi" w:eastAsia="STKaiti" w:hAnsiTheme="minorHAnsi" w:cstheme="minorHAnsi"/>
                <w:sz w:val="18"/>
                <w:szCs w:val="18"/>
                <w:lang w:val="en-US"/>
              </w:rPr>
              <w:t>固定资产资本化</w:t>
            </w:r>
          </w:p>
        </w:tc>
        <w:tc>
          <w:tcPr>
            <w:tcW w:w="540" w:type="pct"/>
            <w:tcBorders>
              <w:top w:val="nil"/>
              <w:left w:val="single" w:sz="4" w:space="0" w:color="auto"/>
              <w:bottom w:val="nil"/>
              <w:right w:val="single" w:sz="4" w:space="0" w:color="auto"/>
            </w:tcBorders>
            <w:shd w:val="clear" w:color="auto" w:fill="auto"/>
            <w:noWrap/>
            <w:hideMark/>
          </w:tcPr>
          <w:p w14:paraId="0541A3FE"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423CF1C2"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371378F1"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01138AC0"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hideMark/>
          </w:tcPr>
          <w:p w14:paraId="65BE8904" w14:textId="6C58ABD9"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545</w:t>
            </w:r>
          </w:p>
        </w:tc>
        <w:tc>
          <w:tcPr>
            <w:tcW w:w="809" w:type="pct"/>
            <w:tcBorders>
              <w:top w:val="nil"/>
              <w:left w:val="nil"/>
              <w:bottom w:val="nil"/>
              <w:right w:val="single" w:sz="4" w:space="0" w:color="auto"/>
            </w:tcBorders>
            <w:shd w:val="clear" w:color="auto" w:fill="auto"/>
            <w:noWrap/>
            <w:vAlign w:val="bottom"/>
            <w:hideMark/>
          </w:tcPr>
          <w:p w14:paraId="599B512B"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r>
      <w:tr w:rsidR="009D43C3" w:rsidRPr="000C156A" w14:paraId="5BF091DA" w14:textId="77777777" w:rsidTr="005D02F0">
        <w:trPr>
          <w:trHeight w:val="255"/>
        </w:trPr>
        <w:tc>
          <w:tcPr>
            <w:tcW w:w="1346" w:type="pct"/>
            <w:tcBorders>
              <w:top w:val="nil"/>
              <w:left w:val="single" w:sz="4" w:space="0" w:color="auto"/>
              <w:bottom w:val="nil"/>
              <w:right w:val="nil"/>
            </w:tcBorders>
            <w:shd w:val="clear" w:color="auto" w:fill="auto"/>
            <w:vAlign w:val="bottom"/>
            <w:hideMark/>
          </w:tcPr>
          <w:p w14:paraId="45413EAD" w14:textId="77777777" w:rsidR="009D43C3" w:rsidRPr="000C156A" w:rsidRDefault="009D43C3" w:rsidP="005D02F0">
            <w:pPr>
              <w:pStyle w:val="Tabletext"/>
              <w:spacing w:before="0" w:after="0"/>
              <w:rPr>
                <w:rFonts w:asciiTheme="minorHAnsi" w:eastAsia="STKaiti" w:hAnsiTheme="minorHAnsi" w:cstheme="minorHAnsi"/>
                <w:sz w:val="18"/>
                <w:szCs w:val="18"/>
                <w:lang w:val="en-US"/>
              </w:rPr>
            </w:pPr>
            <w:r w:rsidRPr="000C156A">
              <w:rPr>
                <w:rFonts w:asciiTheme="minorHAnsi" w:eastAsia="STKaiti" w:hAnsiTheme="minorHAnsi" w:cstheme="minorHAnsi"/>
                <w:sz w:val="18"/>
                <w:szCs w:val="18"/>
                <w:lang w:val="en-US"/>
              </w:rPr>
              <w:t>库存列账</w:t>
            </w:r>
          </w:p>
        </w:tc>
        <w:tc>
          <w:tcPr>
            <w:tcW w:w="540" w:type="pct"/>
            <w:tcBorders>
              <w:top w:val="nil"/>
              <w:left w:val="single" w:sz="4" w:space="0" w:color="auto"/>
              <w:bottom w:val="nil"/>
              <w:right w:val="single" w:sz="4" w:space="0" w:color="auto"/>
            </w:tcBorders>
            <w:shd w:val="clear" w:color="auto" w:fill="auto"/>
            <w:noWrap/>
            <w:hideMark/>
          </w:tcPr>
          <w:p w14:paraId="730E39A7"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03C6AE76"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781FA2D4"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70B6A788"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hideMark/>
          </w:tcPr>
          <w:p w14:paraId="2A460AD0" w14:textId="77777777"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-75</w:t>
            </w:r>
          </w:p>
        </w:tc>
        <w:tc>
          <w:tcPr>
            <w:tcW w:w="809" w:type="pct"/>
            <w:tcBorders>
              <w:top w:val="nil"/>
              <w:left w:val="nil"/>
              <w:bottom w:val="nil"/>
              <w:right w:val="single" w:sz="4" w:space="0" w:color="auto"/>
            </w:tcBorders>
            <w:shd w:val="clear" w:color="auto" w:fill="auto"/>
            <w:noWrap/>
            <w:vAlign w:val="bottom"/>
            <w:hideMark/>
          </w:tcPr>
          <w:p w14:paraId="5C199185"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r>
      <w:tr w:rsidR="009D43C3" w:rsidRPr="000C156A" w14:paraId="2901FF27" w14:textId="77777777" w:rsidTr="005D02F0">
        <w:trPr>
          <w:trHeight w:val="255"/>
        </w:trPr>
        <w:tc>
          <w:tcPr>
            <w:tcW w:w="1346" w:type="pct"/>
            <w:tcBorders>
              <w:top w:val="nil"/>
              <w:left w:val="single" w:sz="4" w:space="0" w:color="auto"/>
              <w:bottom w:val="nil"/>
              <w:right w:val="nil"/>
            </w:tcBorders>
            <w:shd w:val="clear" w:color="auto" w:fill="auto"/>
            <w:vAlign w:val="bottom"/>
            <w:hideMark/>
          </w:tcPr>
          <w:p w14:paraId="37183FAC" w14:textId="77777777" w:rsidR="009D43C3" w:rsidRPr="000C156A" w:rsidRDefault="009D43C3" w:rsidP="005D02F0">
            <w:pPr>
              <w:pStyle w:val="Tabletext"/>
              <w:spacing w:before="0" w:after="0"/>
              <w:rPr>
                <w:rFonts w:asciiTheme="minorHAnsi" w:eastAsia="STKaiti" w:hAnsiTheme="minorHAnsi" w:cstheme="minorHAnsi"/>
                <w:sz w:val="18"/>
                <w:szCs w:val="18"/>
                <w:lang w:val="en-US"/>
              </w:rPr>
            </w:pPr>
            <w:r w:rsidRPr="000C156A">
              <w:rPr>
                <w:rFonts w:asciiTheme="minorHAnsi" w:eastAsia="STKaiti" w:hAnsiTheme="minorHAnsi" w:cstheme="minorHAnsi"/>
                <w:sz w:val="18"/>
                <w:szCs w:val="18"/>
                <w:lang w:val="en-US"/>
              </w:rPr>
              <w:t>折旧</w:t>
            </w:r>
          </w:p>
        </w:tc>
        <w:tc>
          <w:tcPr>
            <w:tcW w:w="540" w:type="pct"/>
            <w:tcBorders>
              <w:top w:val="nil"/>
              <w:left w:val="single" w:sz="4" w:space="0" w:color="auto"/>
              <w:bottom w:val="nil"/>
              <w:right w:val="single" w:sz="4" w:space="0" w:color="auto"/>
            </w:tcBorders>
            <w:shd w:val="clear" w:color="auto" w:fill="auto"/>
            <w:noWrap/>
            <w:hideMark/>
          </w:tcPr>
          <w:p w14:paraId="384F7D68"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5C8AC30A"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526942AE"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2B2FE434"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hideMark/>
          </w:tcPr>
          <w:p w14:paraId="6752744F" w14:textId="6ADBB7AE"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-16</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437</w:t>
            </w:r>
          </w:p>
        </w:tc>
        <w:tc>
          <w:tcPr>
            <w:tcW w:w="809" w:type="pct"/>
            <w:tcBorders>
              <w:top w:val="nil"/>
              <w:left w:val="nil"/>
              <w:bottom w:val="nil"/>
              <w:right w:val="single" w:sz="4" w:space="0" w:color="auto"/>
            </w:tcBorders>
            <w:shd w:val="clear" w:color="auto" w:fill="auto"/>
            <w:noWrap/>
            <w:vAlign w:val="bottom"/>
            <w:hideMark/>
          </w:tcPr>
          <w:p w14:paraId="6144D73C"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r>
      <w:tr w:rsidR="009D43C3" w:rsidRPr="000C156A" w14:paraId="5FDB6DA7" w14:textId="77777777" w:rsidTr="005D02F0">
        <w:trPr>
          <w:trHeight w:val="255"/>
        </w:trPr>
        <w:tc>
          <w:tcPr>
            <w:tcW w:w="1346" w:type="pct"/>
            <w:tcBorders>
              <w:top w:val="nil"/>
              <w:left w:val="single" w:sz="4" w:space="0" w:color="auto"/>
              <w:bottom w:val="nil"/>
              <w:right w:val="nil"/>
            </w:tcBorders>
            <w:shd w:val="clear" w:color="auto" w:fill="auto"/>
            <w:vAlign w:val="bottom"/>
            <w:hideMark/>
          </w:tcPr>
          <w:p w14:paraId="4CA6334A" w14:textId="77777777" w:rsidR="009D43C3" w:rsidRPr="000C156A" w:rsidRDefault="009D43C3" w:rsidP="005D02F0">
            <w:pPr>
              <w:pStyle w:val="Tabletext"/>
              <w:spacing w:before="0" w:after="0"/>
              <w:rPr>
                <w:rFonts w:asciiTheme="minorHAnsi" w:eastAsia="STKaiti" w:hAnsiTheme="minorHAnsi" w:cstheme="minorHAnsi"/>
                <w:sz w:val="18"/>
                <w:szCs w:val="18"/>
                <w:lang w:val="en-US"/>
              </w:rPr>
            </w:pPr>
            <w:r w:rsidRPr="000C156A">
              <w:rPr>
                <w:rFonts w:asciiTheme="minorHAnsi" w:eastAsia="STKaiti" w:hAnsiTheme="minorHAnsi" w:cstheme="minorHAnsi"/>
                <w:sz w:val="18"/>
                <w:szCs w:val="18"/>
                <w:lang w:val="en-US"/>
              </w:rPr>
              <w:t>兑换率损</w:t>
            </w:r>
            <w:r w:rsidRPr="000C156A">
              <w:rPr>
                <w:rFonts w:asciiTheme="minorHAnsi" w:eastAsia="STKaiti" w:hAnsiTheme="minorHAnsi" w:cstheme="minorHAnsi"/>
                <w:sz w:val="18"/>
                <w:szCs w:val="18"/>
                <w:lang w:val="en-US" w:eastAsia="zh-CN"/>
              </w:rPr>
              <w:t>/</w:t>
            </w:r>
            <w:r w:rsidRPr="000C156A">
              <w:rPr>
                <w:rFonts w:asciiTheme="minorHAnsi" w:eastAsia="STKaiti" w:hAnsiTheme="minorHAnsi" w:cstheme="minorHAnsi"/>
                <w:sz w:val="18"/>
                <w:szCs w:val="18"/>
                <w:lang w:val="en-US"/>
              </w:rPr>
              <w:t>益</w:t>
            </w:r>
          </w:p>
        </w:tc>
        <w:tc>
          <w:tcPr>
            <w:tcW w:w="540" w:type="pct"/>
            <w:tcBorders>
              <w:top w:val="nil"/>
              <w:left w:val="single" w:sz="4" w:space="0" w:color="auto"/>
              <w:bottom w:val="nil"/>
              <w:right w:val="single" w:sz="4" w:space="0" w:color="auto"/>
            </w:tcBorders>
            <w:shd w:val="clear" w:color="auto" w:fill="auto"/>
            <w:noWrap/>
            <w:hideMark/>
          </w:tcPr>
          <w:p w14:paraId="1F0A7999"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6FE7A2A5"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24577965"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4AD8EF6F"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hideMark/>
          </w:tcPr>
          <w:p w14:paraId="7F6643B2" w14:textId="2C159885"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-16</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363</w:t>
            </w:r>
          </w:p>
        </w:tc>
        <w:tc>
          <w:tcPr>
            <w:tcW w:w="809" w:type="pct"/>
            <w:tcBorders>
              <w:top w:val="nil"/>
              <w:left w:val="nil"/>
              <w:bottom w:val="nil"/>
              <w:right w:val="single" w:sz="4" w:space="0" w:color="auto"/>
            </w:tcBorders>
            <w:shd w:val="clear" w:color="auto" w:fill="auto"/>
            <w:noWrap/>
            <w:vAlign w:val="bottom"/>
            <w:hideMark/>
          </w:tcPr>
          <w:p w14:paraId="114003B8"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r>
      <w:tr w:rsidR="009D43C3" w:rsidRPr="000C156A" w14:paraId="22B47215" w14:textId="77777777" w:rsidTr="005D02F0">
        <w:trPr>
          <w:trHeight w:val="255"/>
        </w:trPr>
        <w:tc>
          <w:tcPr>
            <w:tcW w:w="1346" w:type="pct"/>
            <w:tcBorders>
              <w:top w:val="nil"/>
              <w:left w:val="single" w:sz="4" w:space="0" w:color="auto"/>
              <w:bottom w:val="nil"/>
              <w:right w:val="nil"/>
            </w:tcBorders>
            <w:shd w:val="clear" w:color="auto" w:fill="auto"/>
            <w:hideMark/>
          </w:tcPr>
          <w:p w14:paraId="000A8846" w14:textId="77777777" w:rsidR="009D43C3" w:rsidRPr="000C156A" w:rsidRDefault="009D43C3" w:rsidP="005D02F0">
            <w:pPr>
              <w:pStyle w:val="Tabletext"/>
              <w:spacing w:before="0" w:after="0"/>
              <w:rPr>
                <w:rFonts w:asciiTheme="minorHAnsi" w:eastAsia="STKaiti" w:hAnsiTheme="minorHAnsi" w:cstheme="minorHAnsi"/>
                <w:sz w:val="18"/>
                <w:szCs w:val="18"/>
                <w:lang w:val="en-US" w:eastAsia="zh-CN"/>
              </w:rPr>
            </w:pPr>
            <w:r w:rsidRPr="000C156A">
              <w:rPr>
                <w:rFonts w:asciiTheme="minorHAnsi" w:eastAsia="STKaiti" w:hAnsiTheme="minorHAnsi" w:cstheme="minorHAnsi"/>
                <w:sz w:val="18"/>
                <w:szCs w:val="18"/>
                <w:lang w:val="en-US" w:eastAsia="zh-CN"/>
              </w:rPr>
              <w:t>不视为费用的</w:t>
            </w:r>
            <w:r w:rsidRPr="000C156A">
              <w:rPr>
                <w:rFonts w:asciiTheme="minorHAnsi" w:eastAsia="STKaiti" w:hAnsiTheme="minorHAnsi" w:cstheme="minorHAnsi"/>
                <w:sz w:val="18"/>
                <w:szCs w:val="18"/>
                <w:lang w:val="en-US" w:eastAsia="zh-CN"/>
              </w:rPr>
              <w:t>FIPOI</w:t>
            </w:r>
            <w:r w:rsidRPr="000C156A">
              <w:rPr>
                <w:rFonts w:asciiTheme="minorHAnsi" w:eastAsia="STKaiti" w:hAnsiTheme="minorHAnsi" w:cstheme="minorHAnsi"/>
                <w:sz w:val="18"/>
                <w:szCs w:val="18"/>
                <w:lang w:val="en-US" w:eastAsia="zh-CN"/>
              </w:rPr>
              <w:t>的偿付</w:t>
            </w:r>
          </w:p>
        </w:tc>
        <w:tc>
          <w:tcPr>
            <w:tcW w:w="540" w:type="pct"/>
            <w:tcBorders>
              <w:top w:val="nil"/>
              <w:left w:val="single" w:sz="4" w:space="0" w:color="auto"/>
              <w:bottom w:val="nil"/>
              <w:right w:val="single" w:sz="4" w:space="0" w:color="auto"/>
            </w:tcBorders>
            <w:shd w:val="clear" w:color="auto" w:fill="auto"/>
            <w:noWrap/>
            <w:hideMark/>
          </w:tcPr>
          <w:p w14:paraId="2F1A886C"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27F06A68"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4D2EF0B8"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1CD5B3FD"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hideMark/>
          </w:tcPr>
          <w:p w14:paraId="4D66AF06" w14:textId="19D08752"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493</w:t>
            </w:r>
          </w:p>
        </w:tc>
        <w:tc>
          <w:tcPr>
            <w:tcW w:w="809" w:type="pct"/>
            <w:tcBorders>
              <w:top w:val="nil"/>
              <w:left w:val="nil"/>
              <w:bottom w:val="nil"/>
              <w:right w:val="single" w:sz="4" w:space="0" w:color="auto"/>
            </w:tcBorders>
            <w:shd w:val="clear" w:color="auto" w:fill="auto"/>
            <w:noWrap/>
            <w:vAlign w:val="bottom"/>
            <w:hideMark/>
          </w:tcPr>
          <w:p w14:paraId="77556945"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r>
      <w:tr w:rsidR="009D43C3" w:rsidRPr="000C156A" w14:paraId="03E6420E" w14:textId="77777777" w:rsidTr="005D02F0">
        <w:trPr>
          <w:trHeight w:val="255"/>
        </w:trPr>
        <w:tc>
          <w:tcPr>
            <w:tcW w:w="1346" w:type="pct"/>
            <w:tcBorders>
              <w:top w:val="nil"/>
              <w:left w:val="single" w:sz="4" w:space="0" w:color="auto"/>
              <w:bottom w:val="nil"/>
              <w:right w:val="nil"/>
            </w:tcBorders>
            <w:shd w:val="clear" w:color="auto" w:fill="auto"/>
            <w:hideMark/>
          </w:tcPr>
          <w:p w14:paraId="7F894666" w14:textId="77777777" w:rsidR="009D43C3" w:rsidRPr="000C156A" w:rsidRDefault="009D43C3" w:rsidP="005D02F0">
            <w:pPr>
              <w:pStyle w:val="Tabletext"/>
              <w:spacing w:before="0" w:after="0"/>
              <w:rPr>
                <w:rFonts w:asciiTheme="minorHAnsi" w:hAnsiTheme="minorHAnsi" w:cstheme="minorHAnsi"/>
                <w:i/>
                <w:iCs/>
                <w:sz w:val="18"/>
                <w:szCs w:val="18"/>
                <w:lang w:val="en-US" w:eastAsia="zh-CN"/>
              </w:rPr>
            </w:pPr>
            <w:r w:rsidRPr="000C156A">
              <w:rPr>
                <w:rFonts w:asciiTheme="minorHAnsi" w:eastAsia="STKaiti" w:hAnsiTheme="minorHAnsi" w:cstheme="minorHAnsi"/>
                <w:sz w:val="18"/>
                <w:szCs w:val="18"/>
                <w:lang w:val="en-US" w:eastAsia="zh-CN"/>
              </w:rPr>
              <w:t>可疑债务准备金的变化和使用</w:t>
            </w:r>
          </w:p>
        </w:tc>
        <w:tc>
          <w:tcPr>
            <w:tcW w:w="540" w:type="pct"/>
            <w:tcBorders>
              <w:top w:val="nil"/>
              <w:left w:val="single" w:sz="4" w:space="0" w:color="auto"/>
              <w:bottom w:val="nil"/>
              <w:right w:val="single" w:sz="4" w:space="0" w:color="auto"/>
            </w:tcBorders>
            <w:shd w:val="clear" w:color="auto" w:fill="auto"/>
            <w:noWrap/>
            <w:hideMark/>
          </w:tcPr>
          <w:p w14:paraId="505EAECA"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5B645F69"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34AD2BCB"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7275CCC1"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hideMark/>
          </w:tcPr>
          <w:p w14:paraId="2C3D094B" w14:textId="73C6DA0C"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106</w:t>
            </w:r>
          </w:p>
        </w:tc>
        <w:tc>
          <w:tcPr>
            <w:tcW w:w="809" w:type="pct"/>
            <w:tcBorders>
              <w:top w:val="nil"/>
              <w:left w:val="nil"/>
              <w:bottom w:val="nil"/>
              <w:right w:val="single" w:sz="4" w:space="0" w:color="auto"/>
            </w:tcBorders>
            <w:shd w:val="clear" w:color="auto" w:fill="auto"/>
            <w:noWrap/>
            <w:vAlign w:val="bottom"/>
            <w:hideMark/>
          </w:tcPr>
          <w:p w14:paraId="3C9A3B6B"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r>
      <w:tr w:rsidR="009D43C3" w:rsidRPr="000C156A" w14:paraId="4BE4F382" w14:textId="77777777" w:rsidTr="005D02F0">
        <w:trPr>
          <w:trHeight w:val="255"/>
        </w:trPr>
        <w:tc>
          <w:tcPr>
            <w:tcW w:w="1346" w:type="pct"/>
            <w:tcBorders>
              <w:top w:val="nil"/>
              <w:left w:val="single" w:sz="4" w:space="0" w:color="auto"/>
              <w:bottom w:val="nil"/>
              <w:right w:val="nil"/>
            </w:tcBorders>
            <w:shd w:val="clear" w:color="auto" w:fill="auto"/>
            <w:hideMark/>
          </w:tcPr>
          <w:p w14:paraId="3380BFD2" w14:textId="77777777" w:rsidR="009D43C3" w:rsidRPr="000C156A" w:rsidRDefault="009D43C3" w:rsidP="005D02F0">
            <w:pPr>
              <w:pStyle w:val="Tabletext"/>
              <w:spacing w:before="0" w:after="0"/>
              <w:rPr>
                <w:rFonts w:asciiTheme="minorHAnsi" w:eastAsia="STKaiti" w:hAnsiTheme="minorHAnsi" w:cstheme="minorHAnsi"/>
                <w:sz w:val="18"/>
                <w:szCs w:val="18"/>
                <w:lang w:val="en-US"/>
              </w:rPr>
            </w:pPr>
            <w:r w:rsidRPr="000C156A">
              <w:rPr>
                <w:rFonts w:asciiTheme="minorHAnsi" w:eastAsia="STKaiti" w:hAnsiTheme="minorHAnsi" w:cstheme="minorHAnsi"/>
                <w:sz w:val="18"/>
                <w:szCs w:val="18"/>
                <w:lang w:val="en-US"/>
              </w:rPr>
              <w:t>资产出售</w:t>
            </w:r>
          </w:p>
        </w:tc>
        <w:tc>
          <w:tcPr>
            <w:tcW w:w="540" w:type="pct"/>
            <w:tcBorders>
              <w:top w:val="nil"/>
              <w:left w:val="single" w:sz="4" w:space="0" w:color="auto"/>
              <w:bottom w:val="nil"/>
              <w:right w:val="single" w:sz="4" w:space="0" w:color="auto"/>
            </w:tcBorders>
            <w:shd w:val="clear" w:color="auto" w:fill="auto"/>
            <w:noWrap/>
            <w:hideMark/>
          </w:tcPr>
          <w:p w14:paraId="6D4B9F9F"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093789C8"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32AD6A3D"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41D182EC"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hideMark/>
          </w:tcPr>
          <w:p w14:paraId="1D986CA1" w14:textId="77777777"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9</w:t>
            </w:r>
          </w:p>
        </w:tc>
        <w:tc>
          <w:tcPr>
            <w:tcW w:w="809" w:type="pct"/>
            <w:tcBorders>
              <w:top w:val="nil"/>
              <w:left w:val="nil"/>
              <w:bottom w:val="nil"/>
              <w:right w:val="single" w:sz="4" w:space="0" w:color="auto"/>
            </w:tcBorders>
            <w:shd w:val="clear" w:color="auto" w:fill="auto"/>
            <w:noWrap/>
            <w:vAlign w:val="bottom"/>
            <w:hideMark/>
          </w:tcPr>
          <w:p w14:paraId="7B8C2E9B"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r>
      <w:tr w:rsidR="009D43C3" w:rsidRPr="000C156A" w14:paraId="681323B8" w14:textId="77777777" w:rsidTr="005D02F0">
        <w:trPr>
          <w:trHeight w:val="255"/>
        </w:trPr>
        <w:tc>
          <w:tcPr>
            <w:tcW w:w="1346" w:type="pct"/>
            <w:tcBorders>
              <w:top w:val="nil"/>
              <w:left w:val="single" w:sz="4" w:space="0" w:color="auto"/>
              <w:bottom w:val="nil"/>
              <w:right w:val="nil"/>
            </w:tcBorders>
            <w:shd w:val="clear" w:color="auto" w:fill="auto"/>
            <w:vAlign w:val="bottom"/>
            <w:hideMark/>
          </w:tcPr>
          <w:p w14:paraId="295E9E2A" w14:textId="77777777" w:rsidR="009D43C3" w:rsidRPr="000C156A" w:rsidRDefault="009D43C3" w:rsidP="005D02F0">
            <w:pPr>
              <w:pStyle w:val="Tabletext"/>
              <w:spacing w:before="0" w:after="0"/>
              <w:rPr>
                <w:rFonts w:asciiTheme="minorHAnsi" w:eastAsia="STKaiti" w:hAnsiTheme="minorHAnsi" w:cstheme="minorHAnsi"/>
                <w:sz w:val="18"/>
                <w:szCs w:val="18"/>
                <w:lang w:val="en-US" w:eastAsia="zh-CN"/>
              </w:rPr>
            </w:pPr>
            <w:r w:rsidRPr="000C156A">
              <w:rPr>
                <w:rFonts w:asciiTheme="minorHAnsi" w:eastAsia="STKaiti" w:hAnsiTheme="minorHAnsi" w:cstheme="minorHAnsi"/>
                <w:sz w:val="18"/>
                <w:szCs w:val="18"/>
                <w:lang w:val="en-US" w:eastAsia="zh-CN"/>
              </w:rPr>
              <w:t>其他费用</w:t>
            </w:r>
          </w:p>
        </w:tc>
        <w:tc>
          <w:tcPr>
            <w:tcW w:w="540" w:type="pct"/>
            <w:tcBorders>
              <w:top w:val="nil"/>
              <w:left w:val="single" w:sz="4" w:space="0" w:color="auto"/>
              <w:bottom w:val="nil"/>
              <w:right w:val="single" w:sz="4" w:space="0" w:color="auto"/>
            </w:tcBorders>
            <w:shd w:val="clear" w:color="auto" w:fill="auto"/>
            <w:noWrap/>
            <w:hideMark/>
          </w:tcPr>
          <w:p w14:paraId="2DE6863A"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7FB83828"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594F559C"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53941DE8"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hideMark/>
          </w:tcPr>
          <w:p w14:paraId="744C3E1F" w14:textId="77777777"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40</w:t>
            </w:r>
          </w:p>
        </w:tc>
        <w:tc>
          <w:tcPr>
            <w:tcW w:w="809" w:type="pct"/>
            <w:tcBorders>
              <w:top w:val="nil"/>
              <w:left w:val="nil"/>
              <w:bottom w:val="nil"/>
              <w:right w:val="single" w:sz="4" w:space="0" w:color="auto"/>
            </w:tcBorders>
            <w:shd w:val="clear" w:color="auto" w:fill="auto"/>
            <w:noWrap/>
            <w:vAlign w:val="bottom"/>
            <w:hideMark/>
          </w:tcPr>
          <w:p w14:paraId="2BF81A3B"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r>
      <w:tr w:rsidR="009D43C3" w:rsidRPr="000C156A" w14:paraId="649C14F9" w14:textId="77777777" w:rsidTr="005D02F0">
        <w:trPr>
          <w:trHeight w:val="252"/>
        </w:trPr>
        <w:tc>
          <w:tcPr>
            <w:tcW w:w="1346" w:type="pct"/>
            <w:tcBorders>
              <w:top w:val="nil"/>
              <w:left w:val="single" w:sz="4" w:space="0" w:color="auto"/>
              <w:bottom w:val="nil"/>
              <w:right w:val="nil"/>
            </w:tcBorders>
            <w:shd w:val="clear" w:color="auto" w:fill="auto"/>
            <w:noWrap/>
            <w:vAlign w:val="bottom"/>
            <w:hideMark/>
          </w:tcPr>
          <w:p w14:paraId="414E4553" w14:textId="77777777" w:rsidR="009D43C3" w:rsidRPr="000C156A" w:rsidRDefault="009D43C3" w:rsidP="005D02F0">
            <w:pPr>
              <w:overflowPunct/>
              <w:adjustRightInd/>
              <w:spacing w:before="0"/>
              <w:textAlignment w:val="auto"/>
              <w:rPr>
                <w:rFonts w:ascii="Arial" w:hAnsi="Arial" w:cs="Arial"/>
                <w:color w:val="000000"/>
                <w:sz w:val="18"/>
                <w:szCs w:val="18"/>
                <w:lang w:val="en-US" w:eastAsia="zh-CN"/>
              </w:rPr>
            </w:pPr>
            <w:r w:rsidRPr="000C156A">
              <w:rPr>
                <w:rFonts w:ascii="Arial" w:hAnsi="Arial" w:cs="Arial"/>
                <w:color w:val="000000"/>
                <w:sz w:val="18"/>
                <w:szCs w:val="18"/>
                <w:lang w:val="en-US" w:eastAsia="zh-CN"/>
              </w:rPr>
              <w:t> </w:t>
            </w:r>
          </w:p>
        </w:tc>
        <w:tc>
          <w:tcPr>
            <w:tcW w:w="540" w:type="pct"/>
            <w:tcBorders>
              <w:top w:val="nil"/>
              <w:left w:val="single" w:sz="4" w:space="0" w:color="auto"/>
              <w:bottom w:val="nil"/>
              <w:right w:val="single" w:sz="4" w:space="0" w:color="auto"/>
            </w:tcBorders>
            <w:shd w:val="clear" w:color="auto" w:fill="auto"/>
            <w:noWrap/>
            <w:vAlign w:val="bottom"/>
            <w:hideMark/>
          </w:tcPr>
          <w:p w14:paraId="72C6682D"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40977D2F"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0EAA5137"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vAlign w:val="bottom"/>
            <w:hideMark/>
          </w:tcPr>
          <w:p w14:paraId="36FA55FD"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vAlign w:val="bottom"/>
            <w:hideMark/>
          </w:tcPr>
          <w:p w14:paraId="3CC1AECA" w14:textId="77777777"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p>
        </w:tc>
        <w:tc>
          <w:tcPr>
            <w:tcW w:w="809" w:type="pct"/>
            <w:tcBorders>
              <w:top w:val="nil"/>
              <w:left w:val="nil"/>
              <w:bottom w:val="nil"/>
              <w:right w:val="single" w:sz="4" w:space="0" w:color="auto"/>
            </w:tcBorders>
            <w:shd w:val="clear" w:color="auto" w:fill="auto"/>
            <w:noWrap/>
            <w:vAlign w:val="bottom"/>
            <w:hideMark/>
          </w:tcPr>
          <w:p w14:paraId="6D5B5A17"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r>
      <w:tr w:rsidR="009D43C3" w:rsidRPr="000C156A" w14:paraId="67A8CB39" w14:textId="77777777" w:rsidTr="005D02F0">
        <w:trPr>
          <w:trHeight w:val="270"/>
        </w:trPr>
        <w:tc>
          <w:tcPr>
            <w:tcW w:w="1346" w:type="pct"/>
            <w:tcBorders>
              <w:top w:val="single" w:sz="4" w:space="0" w:color="auto"/>
              <w:left w:val="single" w:sz="4" w:space="0" w:color="auto"/>
              <w:bottom w:val="single" w:sz="4" w:space="0" w:color="auto"/>
              <w:right w:val="nil"/>
            </w:tcBorders>
            <w:shd w:val="clear" w:color="auto" w:fill="auto"/>
            <w:hideMark/>
          </w:tcPr>
          <w:p w14:paraId="52DD6E98" w14:textId="77777777" w:rsidR="009D43C3" w:rsidRPr="000C156A" w:rsidRDefault="009D43C3" w:rsidP="005D02F0">
            <w:pPr>
              <w:pStyle w:val="Tablehead"/>
              <w:spacing w:after="0"/>
              <w:jc w:val="left"/>
              <w:rPr>
                <w:sz w:val="18"/>
                <w:szCs w:val="18"/>
                <w:lang w:val="en-US"/>
              </w:rPr>
            </w:pPr>
            <w:r w:rsidRPr="000C156A">
              <w:rPr>
                <w:rFonts w:hint="eastAsia"/>
                <w:sz w:val="18"/>
                <w:szCs w:val="18"/>
                <w:lang w:val="en-US"/>
              </w:rPr>
              <w:t>IPSAS</w:t>
            </w:r>
            <w:r w:rsidRPr="000C156A">
              <w:rPr>
                <w:rFonts w:hint="eastAsia"/>
                <w:sz w:val="18"/>
                <w:szCs w:val="18"/>
                <w:lang w:val="en-US"/>
              </w:rPr>
              <w:t>差额</w:t>
            </w:r>
            <w:r w:rsidRPr="000C156A">
              <w:rPr>
                <w:rFonts w:hint="eastAsia"/>
                <w:sz w:val="18"/>
                <w:szCs w:val="18"/>
                <w:lang w:val="en-US" w:eastAsia="zh-CN"/>
              </w:rPr>
              <w:t>合计</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8AAC4"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5FEBEA1B"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788103E4"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14:paraId="087F4C39"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677" w:type="pct"/>
            <w:tcBorders>
              <w:top w:val="single" w:sz="4" w:space="0" w:color="auto"/>
              <w:left w:val="nil"/>
              <w:bottom w:val="single" w:sz="4" w:space="0" w:color="auto"/>
              <w:right w:val="single" w:sz="4" w:space="0" w:color="auto"/>
            </w:tcBorders>
            <w:shd w:val="clear" w:color="auto" w:fill="auto"/>
            <w:noWrap/>
            <w:vAlign w:val="bottom"/>
            <w:hideMark/>
          </w:tcPr>
          <w:p w14:paraId="169BED11" w14:textId="62220013"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-53</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684</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14:paraId="76E26E27"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r>
      <w:tr w:rsidR="009D43C3" w:rsidRPr="000C156A" w14:paraId="0774197B" w14:textId="77777777" w:rsidTr="005D02F0">
        <w:trPr>
          <w:trHeight w:val="255"/>
        </w:trPr>
        <w:tc>
          <w:tcPr>
            <w:tcW w:w="1346" w:type="pct"/>
            <w:tcBorders>
              <w:top w:val="nil"/>
              <w:left w:val="single" w:sz="4" w:space="0" w:color="auto"/>
              <w:bottom w:val="nil"/>
              <w:right w:val="nil"/>
            </w:tcBorders>
            <w:shd w:val="clear" w:color="auto" w:fill="auto"/>
            <w:noWrap/>
            <w:hideMark/>
          </w:tcPr>
          <w:p w14:paraId="518929B0" w14:textId="77777777" w:rsidR="009D43C3" w:rsidRPr="000C156A" w:rsidRDefault="009D43C3" w:rsidP="005D02F0">
            <w:pPr>
              <w:pStyle w:val="Tabletext"/>
              <w:spacing w:before="0" w:after="0"/>
              <w:rPr>
                <w:rFonts w:ascii="SimSun" w:hAnsi="SimSun"/>
                <w:sz w:val="18"/>
                <w:szCs w:val="18"/>
                <w:lang w:val="en-US" w:eastAsia="zh-CN"/>
              </w:rPr>
            </w:pPr>
            <w:r w:rsidRPr="000C156A">
              <w:rPr>
                <w:rFonts w:ascii="SimSun" w:hAnsi="SimSun"/>
                <w:sz w:val="18"/>
                <w:szCs w:val="18"/>
                <w:lang w:val="en-US" w:eastAsia="zh-CN"/>
              </w:rPr>
              <w:t>基金</w:t>
            </w:r>
            <w:r w:rsidRPr="000C156A">
              <w:rPr>
                <w:rFonts w:asciiTheme="minorHAnsi" w:hAnsiTheme="minorHAnsi" w:cstheme="minorHAnsi"/>
                <w:sz w:val="18"/>
                <w:szCs w:val="18"/>
                <w:lang w:val="en-US" w:eastAsia="zh-CN"/>
              </w:rPr>
              <w:t>1000</w:t>
            </w:r>
            <w:r w:rsidRPr="000C156A">
              <w:rPr>
                <w:rFonts w:asciiTheme="minorHAnsi" w:hAnsiTheme="minorHAnsi" w:cstheme="minorHAnsi"/>
                <w:sz w:val="18"/>
                <w:szCs w:val="18"/>
                <w:lang w:val="en-US" w:eastAsia="zh-CN"/>
              </w:rPr>
              <w:t>的盈余</w:t>
            </w:r>
            <w:r w:rsidRPr="000C156A">
              <w:rPr>
                <w:rFonts w:ascii="SimSun" w:hAnsi="SimSun" w:hint="eastAsia"/>
                <w:sz w:val="18"/>
                <w:szCs w:val="18"/>
                <w:lang w:val="en-US" w:eastAsia="zh-CN"/>
              </w:rPr>
              <w:t>/亏损</w:t>
            </w:r>
          </w:p>
        </w:tc>
        <w:tc>
          <w:tcPr>
            <w:tcW w:w="540" w:type="pct"/>
            <w:tcBorders>
              <w:top w:val="nil"/>
              <w:left w:val="single" w:sz="4" w:space="0" w:color="auto"/>
              <w:bottom w:val="nil"/>
              <w:right w:val="single" w:sz="4" w:space="0" w:color="auto"/>
            </w:tcBorders>
            <w:shd w:val="clear" w:color="auto" w:fill="auto"/>
            <w:noWrap/>
            <w:vAlign w:val="bottom"/>
            <w:hideMark/>
          </w:tcPr>
          <w:p w14:paraId="161138EE"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2DC1BCD5"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7C75FDF5"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vAlign w:val="bottom"/>
            <w:hideMark/>
          </w:tcPr>
          <w:p w14:paraId="559CA440"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vAlign w:val="bottom"/>
            <w:hideMark/>
          </w:tcPr>
          <w:p w14:paraId="75561C04" w14:textId="6AB80D5B"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483</w:t>
            </w:r>
          </w:p>
        </w:tc>
        <w:tc>
          <w:tcPr>
            <w:tcW w:w="809" w:type="pct"/>
            <w:tcBorders>
              <w:top w:val="nil"/>
              <w:left w:val="nil"/>
              <w:bottom w:val="nil"/>
              <w:right w:val="single" w:sz="4" w:space="0" w:color="auto"/>
            </w:tcBorders>
            <w:shd w:val="clear" w:color="auto" w:fill="auto"/>
            <w:noWrap/>
            <w:vAlign w:val="bottom"/>
            <w:hideMark/>
          </w:tcPr>
          <w:p w14:paraId="037DAD75"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r>
      <w:tr w:rsidR="009D43C3" w:rsidRPr="000C156A" w14:paraId="15056840" w14:textId="77777777" w:rsidTr="005D02F0">
        <w:trPr>
          <w:trHeight w:val="255"/>
        </w:trPr>
        <w:tc>
          <w:tcPr>
            <w:tcW w:w="1346" w:type="pct"/>
            <w:tcBorders>
              <w:top w:val="nil"/>
              <w:left w:val="single" w:sz="4" w:space="0" w:color="auto"/>
              <w:bottom w:val="nil"/>
              <w:right w:val="nil"/>
            </w:tcBorders>
            <w:shd w:val="clear" w:color="auto" w:fill="auto"/>
            <w:noWrap/>
            <w:hideMark/>
          </w:tcPr>
          <w:p w14:paraId="0C022B19" w14:textId="77777777" w:rsidR="009D43C3" w:rsidRPr="000C156A" w:rsidRDefault="009D43C3" w:rsidP="005D02F0">
            <w:pPr>
              <w:pStyle w:val="Tabletext"/>
              <w:spacing w:before="0" w:after="0"/>
              <w:rPr>
                <w:rFonts w:ascii="SimSun" w:hAnsi="SimSun"/>
                <w:sz w:val="18"/>
                <w:szCs w:val="18"/>
                <w:lang w:val="en-US" w:eastAsia="zh-CN"/>
              </w:rPr>
            </w:pPr>
            <w:r w:rsidRPr="000C156A">
              <w:rPr>
                <w:rFonts w:ascii="SimSun" w:hAnsi="SimSun" w:hint="eastAsia"/>
                <w:sz w:val="18"/>
                <w:szCs w:val="18"/>
                <w:lang w:val="en-US"/>
              </w:rPr>
              <w:t>投资</w:t>
            </w:r>
            <w:r w:rsidRPr="000C156A">
              <w:rPr>
                <w:rFonts w:ascii="SimSun" w:hAnsi="SimSun"/>
                <w:sz w:val="18"/>
                <w:szCs w:val="18"/>
                <w:lang w:val="en-US"/>
              </w:rPr>
              <w:t>基金</w:t>
            </w:r>
            <w:r w:rsidRPr="000C156A">
              <w:rPr>
                <w:rFonts w:ascii="SimSun" w:hAnsi="SimSun" w:hint="eastAsia"/>
                <w:sz w:val="18"/>
                <w:szCs w:val="18"/>
                <w:lang w:val="en-US" w:eastAsia="zh-CN"/>
              </w:rPr>
              <w:t>的</w:t>
            </w:r>
            <w:r w:rsidRPr="000C156A">
              <w:rPr>
                <w:rFonts w:ascii="SimSun" w:hAnsi="SimSun"/>
                <w:sz w:val="18"/>
                <w:szCs w:val="18"/>
                <w:lang w:val="en-US" w:eastAsia="zh-CN"/>
              </w:rPr>
              <w:t>增加</w:t>
            </w:r>
          </w:p>
        </w:tc>
        <w:tc>
          <w:tcPr>
            <w:tcW w:w="540" w:type="pct"/>
            <w:tcBorders>
              <w:top w:val="nil"/>
              <w:left w:val="single" w:sz="4" w:space="0" w:color="auto"/>
              <w:bottom w:val="nil"/>
              <w:right w:val="single" w:sz="4" w:space="0" w:color="auto"/>
            </w:tcBorders>
            <w:shd w:val="clear" w:color="auto" w:fill="auto"/>
            <w:noWrap/>
            <w:vAlign w:val="bottom"/>
            <w:hideMark/>
          </w:tcPr>
          <w:p w14:paraId="4A3C2663"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009988AC"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1D1CE6C2"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vAlign w:val="bottom"/>
            <w:hideMark/>
          </w:tcPr>
          <w:p w14:paraId="78CD63C3"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vAlign w:val="bottom"/>
            <w:hideMark/>
          </w:tcPr>
          <w:p w14:paraId="7A791986" w14:textId="62BA1383"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799</w:t>
            </w:r>
          </w:p>
        </w:tc>
        <w:tc>
          <w:tcPr>
            <w:tcW w:w="809" w:type="pct"/>
            <w:tcBorders>
              <w:top w:val="nil"/>
              <w:left w:val="nil"/>
              <w:bottom w:val="nil"/>
              <w:right w:val="single" w:sz="4" w:space="0" w:color="auto"/>
            </w:tcBorders>
            <w:shd w:val="clear" w:color="auto" w:fill="auto"/>
            <w:noWrap/>
            <w:vAlign w:val="bottom"/>
            <w:hideMark/>
          </w:tcPr>
          <w:p w14:paraId="12D51EA5"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r>
      <w:tr w:rsidR="009D43C3" w:rsidRPr="000C156A" w14:paraId="0EDB0E84" w14:textId="77777777" w:rsidTr="005D02F0">
        <w:trPr>
          <w:trHeight w:val="255"/>
        </w:trPr>
        <w:tc>
          <w:tcPr>
            <w:tcW w:w="1346" w:type="pct"/>
            <w:tcBorders>
              <w:top w:val="nil"/>
              <w:left w:val="single" w:sz="4" w:space="0" w:color="auto"/>
              <w:bottom w:val="nil"/>
              <w:right w:val="nil"/>
            </w:tcBorders>
            <w:shd w:val="clear" w:color="auto" w:fill="auto"/>
            <w:noWrap/>
            <w:hideMark/>
          </w:tcPr>
          <w:p w14:paraId="0B7D1D98" w14:textId="77777777" w:rsidR="009D43C3" w:rsidRPr="000C156A" w:rsidRDefault="009D43C3" w:rsidP="005D02F0">
            <w:pPr>
              <w:pStyle w:val="Tabletext"/>
              <w:spacing w:before="0" w:after="0"/>
              <w:rPr>
                <w:rFonts w:ascii="SimSun" w:hAnsi="SimSun"/>
                <w:i/>
                <w:iCs/>
                <w:sz w:val="18"/>
                <w:szCs w:val="18"/>
                <w:lang w:val="en-US" w:eastAsia="zh-CN"/>
              </w:rPr>
            </w:pPr>
            <w:r w:rsidRPr="000C156A">
              <w:rPr>
                <w:rFonts w:ascii="SimSun" w:hAnsi="SimSun" w:hint="eastAsia"/>
                <w:sz w:val="18"/>
                <w:szCs w:val="18"/>
                <w:lang w:val="en-US" w:eastAsia="zh-CN"/>
              </w:rPr>
              <w:t>周边差额</w:t>
            </w:r>
          </w:p>
        </w:tc>
        <w:tc>
          <w:tcPr>
            <w:tcW w:w="540" w:type="pct"/>
            <w:tcBorders>
              <w:top w:val="nil"/>
              <w:left w:val="single" w:sz="4" w:space="0" w:color="auto"/>
              <w:bottom w:val="nil"/>
              <w:right w:val="single" w:sz="4" w:space="0" w:color="auto"/>
            </w:tcBorders>
            <w:shd w:val="clear" w:color="auto" w:fill="auto"/>
            <w:noWrap/>
            <w:vAlign w:val="bottom"/>
            <w:hideMark/>
          </w:tcPr>
          <w:p w14:paraId="59E5087D"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42838D0F"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4BC756A2"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vAlign w:val="bottom"/>
            <w:hideMark/>
          </w:tcPr>
          <w:p w14:paraId="39536B0E"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vAlign w:val="bottom"/>
            <w:hideMark/>
          </w:tcPr>
          <w:p w14:paraId="503EC8A2" w14:textId="3D6D7EAB" w:rsidR="009D43C3" w:rsidRPr="000C156A" w:rsidRDefault="009D43C3" w:rsidP="005D02F0">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6</w:t>
            </w:r>
            <w:r w:rsidR="00CF258E" w:rsidRPr="000C156A">
              <w:rPr>
                <w:rFonts w:cs="Arial"/>
                <w:i/>
                <w:iCs/>
                <w:color w:val="000000"/>
                <w:sz w:val="18"/>
                <w:szCs w:val="18"/>
                <w:lang w:val="en-US" w:eastAsia="zh-CN"/>
              </w:rPr>
              <w:t xml:space="preserve"> </w:t>
            </w:r>
            <w:r w:rsidRPr="000C156A">
              <w:rPr>
                <w:rFonts w:cs="Arial"/>
                <w:i/>
                <w:iCs/>
                <w:color w:val="000000"/>
                <w:sz w:val="18"/>
                <w:szCs w:val="18"/>
                <w:lang w:val="en-US" w:eastAsia="zh-CN"/>
              </w:rPr>
              <w:t>108</w:t>
            </w:r>
          </w:p>
        </w:tc>
        <w:tc>
          <w:tcPr>
            <w:tcW w:w="809" w:type="pct"/>
            <w:tcBorders>
              <w:top w:val="nil"/>
              <w:left w:val="nil"/>
              <w:bottom w:val="nil"/>
              <w:right w:val="single" w:sz="4" w:space="0" w:color="auto"/>
            </w:tcBorders>
            <w:shd w:val="clear" w:color="auto" w:fill="auto"/>
            <w:noWrap/>
            <w:vAlign w:val="bottom"/>
            <w:hideMark/>
          </w:tcPr>
          <w:p w14:paraId="13A3D2CF" w14:textId="77777777" w:rsidR="009D43C3" w:rsidRPr="000C156A" w:rsidRDefault="009D43C3" w:rsidP="005D02F0">
            <w:pPr>
              <w:overflowPunct/>
              <w:autoSpaceDE/>
              <w:autoSpaceDN/>
              <w:adjustRightInd/>
              <w:spacing w:before="0"/>
              <w:jc w:val="right"/>
              <w:textAlignment w:val="auto"/>
              <w:rPr>
                <w:rFonts w:cs="Arial"/>
                <w:color w:val="000000"/>
                <w:sz w:val="18"/>
                <w:szCs w:val="18"/>
                <w:lang w:val="en-US" w:eastAsia="zh-CN"/>
              </w:rPr>
            </w:pPr>
          </w:p>
        </w:tc>
      </w:tr>
      <w:tr w:rsidR="009D43C3" w:rsidRPr="000C156A" w14:paraId="2F4076DE" w14:textId="77777777" w:rsidTr="005D02F0">
        <w:trPr>
          <w:trHeight w:val="510"/>
        </w:trPr>
        <w:tc>
          <w:tcPr>
            <w:tcW w:w="1346" w:type="pct"/>
            <w:tcBorders>
              <w:top w:val="single" w:sz="4" w:space="0" w:color="auto"/>
              <w:left w:val="single" w:sz="4" w:space="0" w:color="auto"/>
              <w:bottom w:val="single" w:sz="4" w:space="0" w:color="auto"/>
              <w:right w:val="nil"/>
            </w:tcBorders>
            <w:shd w:val="clear" w:color="auto" w:fill="auto"/>
            <w:vAlign w:val="center"/>
            <w:hideMark/>
          </w:tcPr>
          <w:p w14:paraId="3E7C8E44" w14:textId="1F0A4004" w:rsidR="009D43C3" w:rsidRPr="000C156A" w:rsidRDefault="009D43C3" w:rsidP="00827653">
            <w:pPr>
              <w:overflowPunct/>
              <w:adjustRightInd/>
              <w:spacing w:before="0"/>
              <w:textAlignment w:val="auto"/>
              <w:rPr>
                <w:rFonts w:ascii="Arial" w:hAnsi="Arial" w:cs="Arial"/>
                <w:b/>
                <w:bCs/>
                <w:color w:val="000000"/>
                <w:sz w:val="18"/>
                <w:szCs w:val="18"/>
                <w:lang w:val="en-US" w:eastAsia="zh-CN"/>
              </w:rPr>
            </w:pPr>
            <w:r w:rsidRPr="000C156A">
              <w:rPr>
                <w:rFonts w:hint="eastAsia"/>
                <w:b/>
                <w:bCs/>
                <w:sz w:val="18"/>
                <w:szCs w:val="18"/>
                <w:lang w:val="en-US" w:eastAsia="zh-CN"/>
              </w:rPr>
              <w:t>财务业绩报表显示的盈余</w:t>
            </w:r>
            <w:r w:rsidRPr="000C156A">
              <w:rPr>
                <w:b/>
                <w:bCs/>
                <w:sz w:val="18"/>
                <w:szCs w:val="18"/>
                <w:lang w:val="en-US" w:eastAsia="zh-CN"/>
              </w:rPr>
              <w:t>/</w:t>
            </w:r>
            <w:r w:rsidRPr="000C156A">
              <w:rPr>
                <w:rFonts w:hint="eastAsia"/>
                <w:b/>
                <w:bCs/>
                <w:sz w:val="18"/>
                <w:szCs w:val="18"/>
                <w:lang w:val="en-US" w:eastAsia="zh-CN"/>
              </w:rPr>
              <w:t>赤字</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6A89C3"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5133ED7B"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502A7A40"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546" w:type="pct"/>
            <w:tcBorders>
              <w:top w:val="single" w:sz="4" w:space="0" w:color="auto"/>
              <w:left w:val="nil"/>
              <w:bottom w:val="single" w:sz="4" w:space="0" w:color="auto"/>
              <w:right w:val="single" w:sz="4" w:space="0" w:color="auto"/>
            </w:tcBorders>
            <w:shd w:val="clear" w:color="auto" w:fill="auto"/>
            <w:vAlign w:val="center"/>
            <w:hideMark/>
          </w:tcPr>
          <w:p w14:paraId="08A0B8AD"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c>
          <w:tcPr>
            <w:tcW w:w="677" w:type="pct"/>
            <w:tcBorders>
              <w:top w:val="single" w:sz="4" w:space="0" w:color="auto"/>
              <w:left w:val="nil"/>
              <w:bottom w:val="single" w:sz="4" w:space="0" w:color="auto"/>
              <w:right w:val="single" w:sz="4" w:space="0" w:color="auto"/>
            </w:tcBorders>
            <w:shd w:val="clear" w:color="auto" w:fill="auto"/>
            <w:noWrap/>
            <w:vAlign w:val="center"/>
            <w:hideMark/>
          </w:tcPr>
          <w:p w14:paraId="18D98D02" w14:textId="4E62F0B2"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-47</w:t>
            </w:r>
            <w:r w:rsidR="00CF258E" w:rsidRPr="000C156A">
              <w:rPr>
                <w:rFonts w:cs="Arial"/>
                <w:b/>
                <w:bCs/>
                <w:color w:val="000000"/>
                <w:sz w:val="18"/>
                <w:szCs w:val="18"/>
                <w:lang w:val="en-US" w:eastAsia="zh-CN"/>
              </w:rPr>
              <w:t xml:space="preserve"> </w:t>
            </w:r>
            <w:r w:rsidRPr="000C156A">
              <w:rPr>
                <w:rFonts w:cs="Arial"/>
                <w:b/>
                <w:bCs/>
                <w:color w:val="000000"/>
                <w:sz w:val="18"/>
                <w:szCs w:val="18"/>
                <w:lang w:val="en-US" w:eastAsia="zh-CN"/>
              </w:rPr>
              <w:t>259</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14:paraId="6D033621" w14:textId="77777777" w:rsidR="009D43C3" w:rsidRPr="000C156A" w:rsidRDefault="009D43C3" w:rsidP="005D02F0">
            <w:pPr>
              <w:overflowPunct/>
              <w:autoSpaceDE/>
              <w:autoSpaceDN/>
              <w:adjustRightInd/>
              <w:spacing w:before="0"/>
              <w:jc w:val="right"/>
              <w:textAlignment w:val="auto"/>
              <w:rPr>
                <w:rFonts w:cs="Arial"/>
                <w:b/>
                <w:bCs/>
                <w:color w:val="000000"/>
                <w:sz w:val="18"/>
                <w:szCs w:val="18"/>
                <w:lang w:val="en-US" w:eastAsia="zh-CN"/>
              </w:rPr>
            </w:pPr>
          </w:p>
        </w:tc>
      </w:tr>
    </w:tbl>
    <w:p w14:paraId="571CE542" w14:textId="77777777" w:rsidR="009D43C3" w:rsidRPr="000C156A" w:rsidRDefault="009D43C3" w:rsidP="009D43C3">
      <w:pPr>
        <w:spacing w:before="240"/>
        <w:ind w:firstLineChars="200" w:firstLine="480"/>
        <w:rPr>
          <w:lang w:eastAsia="zh-CN"/>
        </w:rPr>
      </w:pPr>
      <w:r w:rsidRPr="000C156A">
        <w:rPr>
          <w:rFonts w:hint="eastAsia"/>
          <w:lang w:val="fr-FR" w:eastAsia="zh-CN"/>
        </w:rPr>
        <w:t>欲了解更多信息</w:t>
      </w:r>
      <w:r w:rsidRPr="000C156A">
        <w:rPr>
          <w:rFonts w:hint="eastAsia"/>
          <w:lang w:eastAsia="zh-CN"/>
        </w:rPr>
        <w:t>，请</w:t>
      </w:r>
      <w:r w:rsidRPr="000C156A">
        <w:rPr>
          <w:rFonts w:hint="eastAsia"/>
          <w:lang w:val="fr-FR" w:eastAsia="zh-CN"/>
        </w:rPr>
        <w:t>见说明</w:t>
      </w:r>
      <w:r w:rsidRPr="000C156A">
        <w:rPr>
          <w:lang w:eastAsia="zh-CN"/>
        </w:rPr>
        <w:t>26</w:t>
      </w:r>
      <w:r w:rsidRPr="000C156A">
        <w:rPr>
          <w:rFonts w:hint="eastAsia"/>
          <w:lang w:val="fr-FR" w:eastAsia="zh-CN"/>
        </w:rPr>
        <w:t>。</w:t>
      </w:r>
      <w:bookmarkStart w:id="330" w:name="_Toc329165775"/>
      <w:r w:rsidRPr="000C156A">
        <w:rPr>
          <w:lang w:eastAsia="zh-CN"/>
        </w:rPr>
        <w:br w:type="page"/>
      </w:r>
    </w:p>
    <w:p w14:paraId="0A94012D" w14:textId="77777777" w:rsidR="009D43C3" w:rsidRPr="000C156A" w:rsidRDefault="009D43C3" w:rsidP="009D43C3">
      <w:pPr>
        <w:pStyle w:val="Heading1"/>
        <w:jc w:val="center"/>
        <w:rPr>
          <w:lang w:eastAsia="zh-CN"/>
        </w:rPr>
      </w:pPr>
      <w:bookmarkStart w:id="331" w:name="_Toc482894785"/>
      <w:bookmarkStart w:id="332" w:name="_Toc482892541"/>
      <w:bookmarkStart w:id="333" w:name="_Toc511116012"/>
      <w:bookmarkStart w:id="334" w:name="_Toc41905842"/>
      <w:bookmarkStart w:id="335" w:name="_Toc41906890"/>
      <w:bookmarkStart w:id="336" w:name="_Toc41907971"/>
      <w:bookmarkStart w:id="337" w:name="_Toc41908039"/>
      <w:bookmarkStart w:id="338" w:name="_Toc73518669"/>
      <w:bookmarkStart w:id="339" w:name="_Toc73519216"/>
      <w:bookmarkStart w:id="340" w:name="_Toc73636241"/>
      <w:r w:rsidRPr="000C156A">
        <w:rPr>
          <w:rFonts w:cs="Microsoft YaHei" w:hint="eastAsia"/>
          <w:lang w:val="fr-FR" w:eastAsia="zh-CN"/>
        </w:rPr>
        <w:lastRenderedPageBreak/>
        <w:t>财务报表说明</w:t>
      </w:r>
      <w:bookmarkEnd w:id="330"/>
      <w:bookmarkEnd w:id="331"/>
      <w:bookmarkEnd w:id="332"/>
      <w:bookmarkEnd w:id="333"/>
      <w:bookmarkEnd w:id="334"/>
      <w:bookmarkEnd w:id="335"/>
      <w:bookmarkEnd w:id="336"/>
      <w:bookmarkEnd w:id="337"/>
      <w:bookmarkEnd w:id="338"/>
      <w:bookmarkEnd w:id="339"/>
      <w:bookmarkEnd w:id="340"/>
    </w:p>
    <w:p w14:paraId="6AFDD9E9" w14:textId="77777777" w:rsidR="009D43C3" w:rsidRPr="000C156A" w:rsidRDefault="009D43C3" w:rsidP="009D43C3">
      <w:pPr>
        <w:pStyle w:val="Heading1"/>
        <w:rPr>
          <w:sz w:val="24"/>
          <w:szCs w:val="24"/>
          <w:lang w:eastAsia="zh-CN"/>
        </w:rPr>
      </w:pPr>
      <w:bookmarkStart w:id="341" w:name="_Toc329165776"/>
      <w:bookmarkStart w:id="342" w:name="_Toc305502567"/>
      <w:bookmarkStart w:id="343" w:name="_Toc482892542"/>
      <w:bookmarkStart w:id="344" w:name="_Toc482870825"/>
      <w:bookmarkStart w:id="345" w:name="_Toc511813743"/>
      <w:bookmarkStart w:id="346" w:name="_Toc511817826"/>
      <w:bookmarkStart w:id="347" w:name="_Toc520280726"/>
      <w:bookmarkStart w:id="348" w:name="_Toc10536821"/>
      <w:bookmarkStart w:id="349" w:name="_Toc41905843"/>
      <w:bookmarkStart w:id="350" w:name="_Toc41906891"/>
      <w:bookmarkStart w:id="351" w:name="_Toc41907972"/>
      <w:bookmarkStart w:id="352" w:name="_Toc41908040"/>
      <w:bookmarkStart w:id="353" w:name="_Toc73518670"/>
      <w:bookmarkStart w:id="354" w:name="_Toc73518817"/>
      <w:bookmarkStart w:id="355" w:name="_Toc73519217"/>
      <w:bookmarkStart w:id="356" w:name="_Toc73636242"/>
      <w:r w:rsidRPr="000C156A">
        <w:rPr>
          <w:rFonts w:cs="Microsoft YaHei" w:hint="eastAsia"/>
          <w:sz w:val="24"/>
          <w:szCs w:val="24"/>
          <w:lang w:val="fr-FR" w:eastAsia="zh-CN"/>
        </w:rPr>
        <w:t>说明</w:t>
      </w:r>
      <w:r w:rsidRPr="000C156A">
        <w:rPr>
          <w:sz w:val="24"/>
          <w:szCs w:val="24"/>
          <w:lang w:eastAsia="zh-CN"/>
        </w:rPr>
        <w:t>1</w:t>
      </w:r>
      <w:r w:rsidRPr="000C156A">
        <w:rPr>
          <w:sz w:val="24"/>
          <w:szCs w:val="24"/>
          <w:lang w:eastAsia="zh-CN"/>
        </w:rPr>
        <w:tab/>
      </w:r>
      <w:bookmarkEnd w:id="341"/>
      <w:bookmarkEnd w:id="342"/>
      <w:r w:rsidRPr="000C156A">
        <w:rPr>
          <w:rFonts w:cs="Microsoft YaHei" w:hint="eastAsia"/>
          <w:sz w:val="24"/>
          <w:szCs w:val="24"/>
          <w:lang w:val="fr-FR" w:eastAsia="zh-CN"/>
        </w:rPr>
        <w:t>国际电联的目标</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279DB330" w14:textId="77777777" w:rsidR="009D43C3" w:rsidRPr="000C156A" w:rsidRDefault="009D43C3" w:rsidP="009D43C3">
      <w:pPr>
        <w:ind w:firstLineChars="200" w:firstLine="480"/>
        <w:rPr>
          <w:lang w:eastAsia="zh-CN"/>
        </w:rPr>
      </w:pPr>
      <w:r w:rsidRPr="000C156A">
        <w:rPr>
          <w:rFonts w:hint="eastAsia"/>
          <w:lang w:eastAsia="zh-CN"/>
        </w:rPr>
        <w:t>国际电信联盟（</w:t>
      </w:r>
      <w:r w:rsidRPr="000C156A">
        <w:rPr>
          <w:lang w:eastAsia="zh-CN"/>
        </w:rPr>
        <w:t>ITU</w:t>
      </w:r>
      <w:r w:rsidRPr="000C156A">
        <w:rPr>
          <w:rFonts w:hint="eastAsia"/>
          <w:lang w:eastAsia="zh-CN"/>
        </w:rPr>
        <w:t>）是主管信息通信技术（</w:t>
      </w:r>
      <w:r w:rsidRPr="000C156A">
        <w:rPr>
          <w:lang w:eastAsia="zh-CN"/>
        </w:rPr>
        <w:t>ICT</w:t>
      </w:r>
      <w:r w:rsidRPr="000C156A">
        <w:rPr>
          <w:rFonts w:hint="eastAsia"/>
          <w:lang w:eastAsia="zh-CN"/>
        </w:rPr>
        <w:t>）的</w:t>
      </w:r>
      <w:hyperlink r:id="rId25" w:history="1">
        <w:r w:rsidRPr="000C156A">
          <w:rPr>
            <w:rStyle w:val="Hyperlink"/>
            <w:rFonts w:asciiTheme="minorHAnsi" w:hAnsiTheme="minorHAnsi" w:hint="eastAsia"/>
            <w:lang w:eastAsia="zh-CN"/>
          </w:rPr>
          <w:t>联合国</w:t>
        </w:r>
      </w:hyperlink>
      <w:r w:rsidRPr="000C156A">
        <w:rPr>
          <w:rFonts w:hint="eastAsia"/>
          <w:lang w:eastAsia="zh-CN"/>
        </w:rPr>
        <w:t>专门机构。作为全球连接政府和私营部门的桥梁，国际电联通过其三个主要部门，即，</w:t>
      </w:r>
      <w:hyperlink r:id="rId26" w:history="1">
        <w:r w:rsidRPr="000C156A">
          <w:rPr>
            <w:rStyle w:val="Hyperlink"/>
            <w:rFonts w:asciiTheme="minorHAnsi" w:hAnsiTheme="minorHAnsi" w:hint="eastAsia"/>
            <w:lang w:eastAsia="zh-CN"/>
          </w:rPr>
          <w:t>无线电通信部门</w:t>
        </w:r>
      </w:hyperlink>
      <w:r w:rsidRPr="000C156A">
        <w:rPr>
          <w:rFonts w:hint="eastAsia"/>
          <w:lang w:eastAsia="zh-CN"/>
        </w:rPr>
        <w:t>、</w:t>
      </w:r>
      <w:hyperlink r:id="rId27" w:history="1">
        <w:r w:rsidRPr="000C156A">
          <w:rPr>
            <w:rStyle w:val="Hyperlink"/>
            <w:rFonts w:asciiTheme="minorHAnsi" w:hAnsiTheme="minorHAnsi" w:hint="eastAsia"/>
            <w:lang w:eastAsia="zh-CN"/>
          </w:rPr>
          <w:t>电信标准化部门</w:t>
        </w:r>
      </w:hyperlink>
      <w:r w:rsidRPr="000C156A">
        <w:rPr>
          <w:rFonts w:hint="eastAsia"/>
          <w:lang w:eastAsia="zh-CN"/>
        </w:rPr>
        <w:t>和</w:t>
      </w:r>
      <w:hyperlink r:id="rId28" w:history="1">
        <w:r w:rsidRPr="000C156A">
          <w:rPr>
            <w:rStyle w:val="Hyperlink"/>
            <w:rFonts w:asciiTheme="minorHAnsi" w:hAnsiTheme="minorHAnsi" w:hint="eastAsia"/>
            <w:lang w:eastAsia="zh-CN"/>
          </w:rPr>
          <w:t>电信发展部门</w:t>
        </w:r>
      </w:hyperlink>
      <w:r w:rsidRPr="000C156A">
        <w:rPr>
          <w:rFonts w:hint="eastAsia"/>
          <w:lang w:eastAsia="zh-CN"/>
        </w:rPr>
        <w:t>，推进世界的通信事业。国际电联完全承认各国管理其电信业务的主权。</w:t>
      </w:r>
    </w:p>
    <w:p w14:paraId="67EFEF82" w14:textId="77777777" w:rsidR="009D43C3" w:rsidRPr="000C156A" w:rsidRDefault="009D43C3" w:rsidP="009D43C3">
      <w:pPr>
        <w:ind w:firstLineChars="200" w:firstLine="480"/>
        <w:rPr>
          <w:lang w:eastAsia="zh-CN"/>
        </w:rPr>
      </w:pPr>
      <w:r w:rsidRPr="000C156A">
        <w:rPr>
          <w:rFonts w:hint="eastAsia"/>
          <w:lang w:eastAsia="zh-CN"/>
        </w:rPr>
        <w:t>主办国际电联</w:t>
      </w:r>
      <w:hyperlink r:id="rId29" w:history="1">
        <w:r w:rsidRPr="000C156A">
          <w:rPr>
            <w:rStyle w:val="Hyperlink"/>
            <w:rFonts w:asciiTheme="minorHAnsi" w:hAnsiTheme="minorHAnsi" w:hint="eastAsia"/>
            <w:lang w:eastAsia="zh-CN"/>
          </w:rPr>
          <w:t>电信展</w:t>
        </w:r>
      </w:hyperlink>
      <w:r w:rsidRPr="000C156A">
        <w:rPr>
          <w:rFonts w:hint="eastAsia"/>
          <w:lang w:eastAsia="zh-CN"/>
        </w:rPr>
        <w:t>活动的国际电联还是主要负责组织</w:t>
      </w:r>
      <w:hyperlink r:id="rId30" w:history="1">
        <w:r w:rsidRPr="000C156A">
          <w:rPr>
            <w:rStyle w:val="Hyperlink"/>
            <w:rFonts w:asciiTheme="minorHAnsi" w:hAnsiTheme="minorHAnsi" w:hint="eastAsia"/>
            <w:lang w:eastAsia="zh-CN"/>
          </w:rPr>
          <w:t>信息社会世界高峰会议</w:t>
        </w:r>
      </w:hyperlink>
      <w:r w:rsidRPr="000C156A">
        <w:rPr>
          <w:rFonts w:hint="eastAsia"/>
          <w:lang w:eastAsia="zh-CN"/>
        </w:rPr>
        <w:t>的实体。</w:t>
      </w:r>
    </w:p>
    <w:p w14:paraId="7AC43B78" w14:textId="77777777" w:rsidR="009D43C3" w:rsidRPr="000C156A" w:rsidRDefault="009D43C3" w:rsidP="009D43C3">
      <w:pPr>
        <w:ind w:firstLineChars="200" w:firstLine="480"/>
        <w:rPr>
          <w:lang w:eastAsia="zh-CN"/>
        </w:rPr>
      </w:pPr>
      <w:r w:rsidRPr="000C156A">
        <w:rPr>
          <w:rFonts w:hint="eastAsia"/>
          <w:lang w:eastAsia="zh-CN"/>
        </w:rPr>
        <w:t>国际电联总部设在瑞士日内瓦（</w:t>
      </w:r>
      <w:r w:rsidRPr="000C156A">
        <w:rPr>
          <w:lang w:eastAsia="zh-CN"/>
        </w:rPr>
        <w:t>Place des Nations</w:t>
      </w:r>
      <w:r w:rsidRPr="000C156A">
        <w:rPr>
          <w:rFonts w:hint="eastAsia"/>
          <w:lang w:eastAsia="zh-CN"/>
        </w:rPr>
        <w:t>，</w:t>
      </w:r>
      <w:r w:rsidRPr="000C156A">
        <w:rPr>
          <w:lang w:eastAsia="zh-CN"/>
        </w:rPr>
        <w:t>1211 Geneva 20</w:t>
      </w:r>
      <w:r w:rsidRPr="000C156A">
        <w:rPr>
          <w:rFonts w:hint="eastAsia"/>
          <w:lang w:eastAsia="zh-CN"/>
        </w:rPr>
        <w:t>），拥有</w:t>
      </w:r>
      <w:r w:rsidRPr="000C156A">
        <w:rPr>
          <w:lang w:eastAsia="zh-CN"/>
        </w:rPr>
        <w:t>193</w:t>
      </w:r>
      <w:r w:rsidRPr="000C156A">
        <w:rPr>
          <w:rFonts w:hint="eastAsia"/>
          <w:lang w:eastAsia="zh-CN"/>
        </w:rPr>
        <w:t>个</w:t>
      </w:r>
      <w:hyperlink r:id="rId31" w:history="1">
        <w:r w:rsidRPr="000C156A">
          <w:rPr>
            <w:rStyle w:val="Hyperlink"/>
            <w:rFonts w:asciiTheme="minorHAnsi" w:hAnsiTheme="minorHAnsi" w:hint="eastAsia"/>
            <w:lang w:eastAsia="zh-CN"/>
          </w:rPr>
          <w:t>成员国</w:t>
        </w:r>
      </w:hyperlink>
      <w:r w:rsidRPr="000C156A">
        <w:rPr>
          <w:rFonts w:hint="eastAsia"/>
          <w:lang w:eastAsia="zh-CN"/>
        </w:rPr>
        <w:t>和</w:t>
      </w:r>
      <w:r w:rsidRPr="000C156A">
        <w:rPr>
          <w:lang w:eastAsia="zh-CN"/>
        </w:rPr>
        <w:t>1200</w:t>
      </w:r>
      <w:r w:rsidRPr="000C156A">
        <w:rPr>
          <w:rFonts w:hint="eastAsia"/>
          <w:lang w:eastAsia="zh-CN"/>
        </w:rPr>
        <w:t>多个</w:t>
      </w:r>
      <w:hyperlink r:id="rId32" w:history="1">
        <w:r w:rsidRPr="000C156A">
          <w:rPr>
            <w:rStyle w:val="Hyperlink"/>
            <w:rFonts w:asciiTheme="minorHAnsi" w:hAnsiTheme="minorHAnsi" w:hint="eastAsia"/>
            <w:lang w:eastAsia="zh-CN"/>
          </w:rPr>
          <w:t>部门成员</w:t>
        </w:r>
      </w:hyperlink>
      <w:r w:rsidRPr="000C156A">
        <w:rPr>
          <w:rFonts w:hint="eastAsia"/>
          <w:lang w:eastAsia="zh-CN"/>
        </w:rPr>
        <w:t>、</w:t>
      </w:r>
      <w:hyperlink r:id="rId33" w:history="1">
        <w:r w:rsidRPr="000C156A">
          <w:rPr>
            <w:rStyle w:val="Hyperlink"/>
            <w:rFonts w:asciiTheme="minorHAnsi" w:hAnsiTheme="minorHAnsi" w:hint="eastAsia"/>
            <w:lang w:eastAsia="zh-CN"/>
          </w:rPr>
          <w:t>部门准成员</w:t>
        </w:r>
      </w:hyperlink>
      <w:r w:rsidRPr="000C156A">
        <w:rPr>
          <w:rFonts w:hint="eastAsia"/>
          <w:lang w:eastAsia="zh-CN"/>
        </w:rPr>
        <w:t>和</w:t>
      </w:r>
      <w:hyperlink r:id="rId34" w:history="1">
        <w:r w:rsidRPr="000C156A">
          <w:rPr>
            <w:rStyle w:val="Hyperlink"/>
            <w:rFonts w:hint="eastAsia"/>
            <w:lang w:eastAsia="zh-CN"/>
          </w:rPr>
          <w:t>学术成员</w:t>
        </w:r>
      </w:hyperlink>
      <w:r w:rsidRPr="000C156A">
        <w:rPr>
          <w:rFonts w:hint="eastAsia"/>
          <w:lang w:eastAsia="zh-CN"/>
        </w:rPr>
        <w:t>。国际电联下设四个区域代表处、八个地区办事处，在纽约设有联合国联络办公室并在总部设有欧洲事务协调处。</w:t>
      </w:r>
    </w:p>
    <w:p w14:paraId="552A645A" w14:textId="77777777" w:rsidR="009D43C3" w:rsidRPr="000C156A" w:rsidRDefault="009D43C3" w:rsidP="009D43C3">
      <w:pPr>
        <w:ind w:firstLineChars="200" w:firstLine="480"/>
        <w:rPr>
          <w:lang w:eastAsia="zh-CN"/>
        </w:rPr>
      </w:pPr>
      <w:r w:rsidRPr="000C156A">
        <w:rPr>
          <w:rFonts w:hint="eastAsia"/>
          <w:lang w:eastAsia="zh-CN"/>
        </w:rPr>
        <w:t>国际电联的宗旨是：</w:t>
      </w:r>
    </w:p>
    <w:p w14:paraId="5658B0FA"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保持和扩大所有国际电联成员国之间的国际合作，以改进和合理使用各种电信；</w:t>
      </w:r>
    </w:p>
    <w:p w14:paraId="238A5052"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促进技术设施的发展及其最有效的运营，以提高电信业务的效率，增强其效用并尽量使之为公众普遍利用；</w:t>
      </w:r>
    </w:p>
    <w:p w14:paraId="0C382A0A"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促使世界上所有居民都得益于新的电信技术；</w:t>
      </w:r>
    </w:p>
    <w:p w14:paraId="61B189B6"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推动电信业务的使用，增进和平的关系；</w:t>
      </w:r>
    </w:p>
    <w:p w14:paraId="72FD0147"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协调各成员国的行动，促进在成员国和部门成员之间建立富有成果和建设性的合作和伙伴关系，以达到上述目的；</w:t>
      </w:r>
    </w:p>
    <w:p w14:paraId="6F26EBCA"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通过与其他世界性和区域性政府间组织以及那些与电信有关的非政府组织的合作，在国际层面上促进从更宽的角度对待全球信息经济和社会中的电信问题。</w:t>
      </w:r>
    </w:p>
    <w:p w14:paraId="43308CE8" w14:textId="77777777" w:rsidR="009D43C3" w:rsidRPr="000C156A" w:rsidRDefault="009D43C3" w:rsidP="009D43C3">
      <w:pPr>
        <w:ind w:firstLineChars="200" w:firstLine="480"/>
        <w:rPr>
          <w:lang w:eastAsia="zh-CN"/>
        </w:rPr>
      </w:pPr>
      <w:r w:rsidRPr="000C156A">
        <w:rPr>
          <w:rFonts w:hint="eastAsia"/>
          <w:lang w:eastAsia="zh-CN"/>
        </w:rPr>
        <w:t>为此，国际电联须重点：</w:t>
      </w:r>
    </w:p>
    <w:p w14:paraId="389A891B"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实施无线电频谱的频段划分、无线电频率的分配和无线电频率指配的登记，以及空间业务中对地静止卫星轨道的相关轨道位置及其他轨道中卫星的相关特性的登记，以避免不同国家无线电台之间的有害干扰；</w:t>
      </w:r>
    </w:p>
    <w:p w14:paraId="1B8AAF12"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协调各种努力，消除不同国家无线电台之间的有害干扰，改进无线电通信业务中无线电频谱的利用，改进对地静止卫星轨道及其他卫星轨道的利用；</w:t>
      </w:r>
    </w:p>
    <w:p w14:paraId="326B0C59"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促进全世界的电信标准化，实现令人满意的服务质量；</w:t>
      </w:r>
    </w:p>
    <w:p w14:paraId="4FC57EC2"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借助所掌握的一切手段，包括酌情通过参加联合国的有关方案和利用自身的资源，在向发展中国家提供技术援助和在发展中国家建立、发展和改善电信设备和网络方面促进国际合作和团结；</w:t>
      </w:r>
    </w:p>
    <w:p w14:paraId="669CBCCE"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协调各种努力，使电信设施，尤其是采用空间技术的电信设施得以和谐地发展，并尽可能充分利用它们；</w:t>
      </w:r>
    </w:p>
    <w:p w14:paraId="26040CFE"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促进成员国与部门成员之间的合作，以便制订与有效服务相对称的尽可能低廉的费率，同时考虑到维持良好的独立电信财务管理的必要性；</w:t>
      </w:r>
    </w:p>
    <w:p w14:paraId="0473442B"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通过在电信业务上的合作，促进各种保证生命安全的措施得以采用；</w:t>
      </w:r>
    </w:p>
    <w:p w14:paraId="550ADB92"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对各种电信问题进行研究，制定规则，通过决议，编拟建议和意见，并收集与出版资料；</w:t>
      </w:r>
    </w:p>
    <w:p w14:paraId="1C96417D" w14:textId="77777777" w:rsidR="009D43C3" w:rsidRPr="000C156A" w:rsidRDefault="009D43C3" w:rsidP="009D43C3">
      <w:pPr>
        <w:pStyle w:val="enumlev1"/>
        <w:rPr>
          <w:lang w:eastAsia="zh-CN"/>
        </w:rPr>
      </w:pPr>
      <w:r w:rsidRPr="000C156A">
        <w:rPr>
          <w:lang w:eastAsia="zh-CN"/>
        </w:rPr>
        <w:lastRenderedPageBreak/>
        <w:t>–</w:t>
      </w:r>
      <w:r w:rsidRPr="000C156A">
        <w:rPr>
          <w:lang w:eastAsia="zh-CN"/>
        </w:rPr>
        <w:tab/>
      </w:r>
      <w:r w:rsidRPr="000C156A">
        <w:rPr>
          <w:rFonts w:hint="eastAsia"/>
          <w:lang w:eastAsia="zh-CN"/>
        </w:rPr>
        <w:t>与国际上的金融和开发组织一道，促进优惠和有利的信贷额度的建立，用于发展具有社会效益的项目，特别是那些旨在将电信业务扩展至各国最闭塞的地区的项目；</w:t>
      </w:r>
    </w:p>
    <w:p w14:paraId="4B5B1CE5"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促进有关实体参与国际电联的活动，并加强与区域性组织和其他组织的合作，以实现国际电联的宗旨。</w:t>
      </w:r>
    </w:p>
    <w:p w14:paraId="017057C9" w14:textId="77777777" w:rsidR="009D43C3" w:rsidRPr="000C156A" w:rsidRDefault="009D43C3" w:rsidP="009D43C3">
      <w:pPr>
        <w:ind w:firstLineChars="200" w:firstLine="480"/>
        <w:rPr>
          <w:lang w:eastAsia="zh-CN"/>
        </w:rPr>
      </w:pPr>
      <w:r w:rsidRPr="000C156A">
        <w:rPr>
          <w:rFonts w:hint="eastAsia"/>
          <w:lang w:eastAsia="zh-CN"/>
        </w:rPr>
        <w:t>全权代表大会是国际电信联盟（</w:t>
      </w:r>
      <w:r w:rsidRPr="000C156A">
        <w:rPr>
          <w:lang w:eastAsia="zh-CN"/>
        </w:rPr>
        <w:t>ITU</w:t>
      </w:r>
      <w:r w:rsidRPr="000C156A">
        <w:rPr>
          <w:rFonts w:hint="eastAsia"/>
          <w:lang w:eastAsia="zh-CN"/>
        </w:rPr>
        <w:t>）的最高权力机构。该大会每四年召开一次，旨在：</w:t>
      </w:r>
    </w:p>
    <w:p w14:paraId="4DE45E49"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确定国际电联的总体政策；</w:t>
      </w:r>
    </w:p>
    <w:p w14:paraId="4D01ED10"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通过四年期的战略规划和财务规划；</w:t>
      </w:r>
    </w:p>
    <w:p w14:paraId="5DF05C3F"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选举本组织的高层管理人员、</w:t>
      </w:r>
      <w:hyperlink r:id="rId35" w:history="1">
        <w:r w:rsidRPr="000C156A">
          <w:rPr>
            <w:rStyle w:val="Hyperlink"/>
            <w:rFonts w:asciiTheme="minorHAnsi" w:hAnsiTheme="minorHAnsi" w:hint="eastAsia"/>
            <w:lang w:eastAsia="zh-CN"/>
          </w:rPr>
          <w:t>理事国</w:t>
        </w:r>
      </w:hyperlink>
      <w:r w:rsidRPr="000C156A">
        <w:rPr>
          <w:rFonts w:hint="eastAsia"/>
          <w:lang w:eastAsia="zh-CN"/>
        </w:rPr>
        <w:t>和</w:t>
      </w:r>
      <w:hyperlink r:id="rId36" w:history="1">
        <w:r w:rsidRPr="000C156A">
          <w:rPr>
            <w:rStyle w:val="Hyperlink"/>
            <w:rFonts w:asciiTheme="minorHAnsi" w:hAnsiTheme="minorHAnsi" w:hint="eastAsia"/>
            <w:lang w:eastAsia="zh-CN"/>
          </w:rPr>
          <w:t>无线电规则委员会</w:t>
        </w:r>
      </w:hyperlink>
      <w:r w:rsidRPr="000C156A">
        <w:rPr>
          <w:rFonts w:hint="eastAsia"/>
          <w:lang w:eastAsia="zh-CN"/>
        </w:rPr>
        <w:t>委员。</w:t>
      </w:r>
    </w:p>
    <w:p w14:paraId="690FCA21" w14:textId="77777777" w:rsidR="009D43C3" w:rsidRPr="000C156A" w:rsidRDefault="009D43C3" w:rsidP="009D43C3">
      <w:pPr>
        <w:ind w:firstLineChars="200" w:firstLine="480"/>
        <w:rPr>
          <w:lang w:eastAsia="zh-CN"/>
        </w:rPr>
      </w:pPr>
      <w:r w:rsidRPr="000C156A">
        <w:rPr>
          <w:rFonts w:hint="eastAsia"/>
          <w:lang w:eastAsia="zh-CN"/>
        </w:rPr>
        <w:t>全权代表大会是国际电联成员国决定本组织未来作用的关键性活动，并由此确定本组织在影响全球信息通信技术发展中的能力。</w:t>
      </w:r>
    </w:p>
    <w:p w14:paraId="1DCA4DC0" w14:textId="77777777" w:rsidR="009D43C3" w:rsidRPr="000C156A" w:rsidRDefault="009D43C3" w:rsidP="009D43C3">
      <w:pPr>
        <w:ind w:firstLineChars="200" w:firstLine="480"/>
        <w:rPr>
          <w:b/>
          <w:lang w:eastAsia="zh-CN"/>
        </w:rPr>
      </w:pPr>
      <w:r w:rsidRPr="000C156A">
        <w:rPr>
          <w:rFonts w:hint="eastAsia"/>
          <w:lang w:eastAsia="zh-CN"/>
        </w:rPr>
        <w:t>部门成员、区域电信机构和政府间组织，以及联合国组织及其专门机构，也作为观察员出席了大会。</w:t>
      </w:r>
      <w:bookmarkStart w:id="357" w:name="_Toc329165778"/>
      <w:bookmarkStart w:id="358" w:name="_Toc305426928"/>
    </w:p>
    <w:p w14:paraId="75157897" w14:textId="77777777" w:rsidR="009D43C3" w:rsidRPr="000C156A" w:rsidRDefault="009D43C3" w:rsidP="009D43C3">
      <w:pPr>
        <w:pStyle w:val="Heading1"/>
        <w:rPr>
          <w:rFonts w:cs="Microsoft YaHei"/>
          <w:sz w:val="24"/>
          <w:szCs w:val="24"/>
          <w:lang w:eastAsia="zh-CN"/>
        </w:rPr>
      </w:pPr>
      <w:bookmarkStart w:id="359" w:name="_Toc482892543"/>
      <w:bookmarkStart w:id="360" w:name="_Toc482870826"/>
      <w:bookmarkStart w:id="361" w:name="_Toc511813744"/>
      <w:bookmarkStart w:id="362" w:name="_Toc511817827"/>
      <w:bookmarkStart w:id="363" w:name="_Toc520280727"/>
      <w:bookmarkStart w:id="364" w:name="_Toc10536822"/>
      <w:bookmarkStart w:id="365" w:name="_Toc41905844"/>
      <w:bookmarkStart w:id="366" w:name="_Toc41906892"/>
      <w:bookmarkStart w:id="367" w:name="_Toc41907973"/>
      <w:bookmarkStart w:id="368" w:name="_Toc41908041"/>
      <w:bookmarkStart w:id="369" w:name="_Toc73518671"/>
      <w:bookmarkStart w:id="370" w:name="_Toc73518818"/>
      <w:bookmarkStart w:id="371" w:name="_Toc73519218"/>
      <w:bookmarkStart w:id="372" w:name="_Toc73636243"/>
      <w:r w:rsidRPr="000C156A">
        <w:rPr>
          <w:rFonts w:cs="Microsoft YaHei" w:hint="eastAsia"/>
          <w:sz w:val="24"/>
          <w:szCs w:val="24"/>
          <w:lang w:val="fr-FR" w:eastAsia="zh-CN"/>
        </w:rPr>
        <w:t>说明</w:t>
      </w:r>
      <w:r w:rsidRPr="000C156A">
        <w:rPr>
          <w:rFonts w:cs="Microsoft YaHei"/>
          <w:sz w:val="24"/>
          <w:szCs w:val="24"/>
          <w:lang w:eastAsia="zh-CN"/>
        </w:rPr>
        <w:t>2</w:t>
      </w:r>
      <w:r w:rsidRPr="000C156A">
        <w:rPr>
          <w:rFonts w:cs="Microsoft YaHei"/>
          <w:sz w:val="24"/>
          <w:szCs w:val="24"/>
          <w:lang w:eastAsia="zh-CN"/>
        </w:rPr>
        <w:tab/>
      </w:r>
      <w:r w:rsidRPr="000C156A">
        <w:rPr>
          <w:rFonts w:cs="Microsoft YaHei" w:hint="eastAsia"/>
          <w:sz w:val="24"/>
          <w:szCs w:val="24"/>
          <w:lang w:val="fr-FR" w:eastAsia="zh-CN"/>
        </w:rPr>
        <w:t>主要会计原则</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53C041C0" w14:textId="77777777" w:rsidR="009D43C3" w:rsidRPr="000C156A" w:rsidRDefault="009D43C3" w:rsidP="009D43C3">
      <w:pPr>
        <w:pStyle w:val="Heading5"/>
        <w:rPr>
          <w:b w:val="0"/>
          <w:u w:val="single"/>
          <w:lang w:eastAsia="zh-CN"/>
        </w:rPr>
      </w:pPr>
      <w:bookmarkStart w:id="373" w:name="_Toc482892544"/>
      <w:bookmarkStart w:id="374" w:name="_Toc305426929"/>
      <w:bookmarkStart w:id="375" w:name="_Toc41905845"/>
      <w:bookmarkStart w:id="376" w:name="_Toc73636244"/>
      <w:r w:rsidRPr="000C156A">
        <w:rPr>
          <w:rFonts w:cs="Microsoft YaHei" w:hint="eastAsia"/>
          <w:u w:val="single"/>
          <w:lang w:val="fr-FR" w:eastAsia="zh-CN"/>
        </w:rPr>
        <w:t>外汇</w:t>
      </w:r>
      <w:bookmarkEnd w:id="373"/>
      <w:bookmarkEnd w:id="374"/>
      <w:bookmarkEnd w:id="375"/>
      <w:bookmarkEnd w:id="376"/>
    </w:p>
    <w:p w14:paraId="11A73733" w14:textId="77777777" w:rsidR="009D43C3" w:rsidRPr="000C156A" w:rsidRDefault="009D43C3" w:rsidP="009D43C3">
      <w:pPr>
        <w:ind w:firstLineChars="200" w:firstLine="480"/>
        <w:rPr>
          <w:lang w:eastAsia="zh-CN"/>
        </w:rPr>
      </w:pPr>
      <w:r w:rsidRPr="000C156A">
        <w:rPr>
          <w:rFonts w:hint="eastAsia"/>
          <w:lang w:eastAsia="zh-CN"/>
        </w:rPr>
        <w:t>瑞郎（</w:t>
      </w:r>
      <w:r w:rsidRPr="000C156A">
        <w:rPr>
          <w:lang w:eastAsia="zh-CN"/>
        </w:rPr>
        <w:t>CHF</w:t>
      </w:r>
      <w:r w:rsidRPr="000C156A">
        <w:rPr>
          <w:rFonts w:hint="eastAsia"/>
          <w:lang w:eastAsia="zh-CN"/>
        </w:rPr>
        <w:t>）是国际电联的功能货币，也是财务报表列报中使用的唯一货币。</w:t>
      </w:r>
    </w:p>
    <w:p w14:paraId="56FD47D6" w14:textId="77777777" w:rsidR="009D43C3" w:rsidRPr="000C156A" w:rsidRDefault="009D43C3" w:rsidP="007F6C8A">
      <w:pPr>
        <w:spacing w:after="240"/>
        <w:ind w:firstLineChars="200" w:firstLine="480"/>
        <w:rPr>
          <w:lang w:eastAsia="zh-CN"/>
        </w:rPr>
      </w:pPr>
      <w:r w:rsidRPr="000C156A">
        <w:rPr>
          <w:rFonts w:hint="eastAsia"/>
          <w:lang w:eastAsia="zh-CN"/>
        </w:rPr>
        <w:t>以瑞郎以外其他货币进行的交易按交易日当天联合国业务汇率（</w:t>
      </w:r>
      <w:r w:rsidRPr="000C156A">
        <w:rPr>
          <w:lang w:eastAsia="zh-CN"/>
        </w:rPr>
        <w:t>UNORE</w:t>
      </w:r>
      <w:r w:rsidRPr="000C156A">
        <w:rPr>
          <w:rFonts w:hint="eastAsia"/>
          <w:lang w:eastAsia="zh-CN"/>
        </w:rPr>
        <w:t>）转换为瑞郎。外汇货币资产和承诺在阶段结账日按当日</w:t>
      </w:r>
      <w:r w:rsidRPr="000C156A">
        <w:rPr>
          <w:lang w:eastAsia="zh-CN"/>
        </w:rPr>
        <w:t>UNORE</w:t>
      </w:r>
      <w:r w:rsidRPr="000C156A">
        <w:rPr>
          <w:rFonts w:hint="eastAsia"/>
          <w:lang w:eastAsia="zh-CN"/>
        </w:rPr>
        <w:t>汇率转换为瑞郎。因结账日此类交易结算和外汇资产及承诺兑换造成的汇率损益登记在财务业绩报表中。国际电联采用联合国通报的</w:t>
      </w:r>
      <w:r w:rsidRPr="000C156A">
        <w:rPr>
          <w:lang w:eastAsia="zh-CN"/>
        </w:rPr>
        <w:t>UNORE</w:t>
      </w:r>
      <w:r w:rsidRPr="000C156A">
        <w:rPr>
          <w:rFonts w:hint="eastAsia"/>
          <w:lang w:eastAsia="zh-CN"/>
        </w:rPr>
        <w:t>汇率，如下所示：</w:t>
      </w:r>
    </w:p>
    <w:tbl>
      <w:tblPr>
        <w:tblW w:w="0" w:type="auto"/>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1983"/>
        <w:gridCol w:w="1983"/>
      </w:tblGrid>
      <w:tr w:rsidR="009D43C3" w:rsidRPr="000C156A" w14:paraId="2E8D1F9C" w14:textId="77777777" w:rsidTr="005D02F0">
        <w:tc>
          <w:tcPr>
            <w:tcW w:w="3683" w:type="dxa"/>
            <w:tcBorders>
              <w:top w:val="single" w:sz="4" w:space="0" w:color="auto"/>
              <w:left w:val="single" w:sz="4" w:space="0" w:color="auto"/>
              <w:bottom w:val="single" w:sz="4" w:space="0" w:color="auto"/>
              <w:right w:val="single" w:sz="4" w:space="0" w:color="auto"/>
            </w:tcBorders>
            <w:hideMark/>
          </w:tcPr>
          <w:p w14:paraId="4DB9D24E" w14:textId="77777777" w:rsidR="009D43C3" w:rsidRPr="000C156A" w:rsidRDefault="009D43C3" w:rsidP="005D02F0">
            <w:pPr>
              <w:pStyle w:val="Tablehead"/>
              <w:spacing w:before="20" w:after="20"/>
              <w:jc w:val="left"/>
              <w:rPr>
                <w:rFonts w:cs="Calibri"/>
                <w:b w:val="0"/>
                <w:bCs/>
                <w:szCs w:val="22"/>
              </w:rPr>
            </w:pPr>
            <w:bookmarkStart w:id="377" w:name="_MON_1402493990"/>
            <w:bookmarkStart w:id="378" w:name="_MON_1402493924"/>
            <w:bookmarkStart w:id="379" w:name="_MON_1395735014"/>
            <w:bookmarkStart w:id="380" w:name="_Toc305426930"/>
            <w:bookmarkEnd w:id="377"/>
            <w:bookmarkEnd w:id="378"/>
            <w:bookmarkEnd w:id="379"/>
            <w:r w:rsidRPr="000C156A">
              <w:rPr>
                <w:rFonts w:cs="Calibri" w:hint="eastAsia"/>
                <w:b w:val="0"/>
                <w:bCs/>
                <w:szCs w:val="22"/>
              </w:rPr>
              <w:t>对应的瑞郎</w:t>
            </w:r>
          </w:p>
        </w:tc>
        <w:tc>
          <w:tcPr>
            <w:tcW w:w="1983" w:type="dxa"/>
            <w:tcBorders>
              <w:top w:val="single" w:sz="4" w:space="0" w:color="auto"/>
              <w:left w:val="single" w:sz="4" w:space="0" w:color="auto"/>
              <w:bottom w:val="single" w:sz="4" w:space="0" w:color="auto"/>
              <w:right w:val="single" w:sz="4" w:space="0" w:color="auto"/>
            </w:tcBorders>
            <w:hideMark/>
          </w:tcPr>
          <w:p w14:paraId="6CC5D3F3" w14:textId="77777777" w:rsidR="009D43C3" w:rsidRPr="000C156A" w:rsidRDefault="009D43C3" w:rsidP="00921773">
            <w:pPr>
              <w:pStyle w:val="Tablehead"/>
              <w:spacing w:before="20" w:after="20"/>
              <w:jc w:val="right"/>
              <w:rPr>
                <w:rFonts w:cs="Calibri"/>
                <w:szCs w:val="22"/>
              </w:rPr>
            </w:pPr>
            <w:r w:rsidRPr="000C156A">
              <w:rPr>
                <w:rFonts w:cs="Calibri"/>
                <w:szCs w:val="22"/>
              </w:rPr>
              <w:t>2020</w:t>
            </w:r>
            <w:r w:rsidRPr="000C156A">
              <w:rPr>
                <w:rFonts w:cs="Calibri" w:hint="eastAsia"/>
                <w:szCs w:val="22"/>
              </w:rPr>
              <w:t>年</w:t>
            </w:r>
            <w:r w:rsidRPr="000C156A">
              <w:rPr>
                <w:rFonts w:cs="Calibri"/>
                <w:szCs w:val="22"/>
              </w:rPr>
              <w:t>12</w:t>
            </w:r>
            <w:r w:rsidRPr="000C156A">
              <w:rPr>
                <w:rFonts w:cs="Calibri" w:hint="eastAsia"/>
                <w:szCs w:val="22"/>
              </w:rPr>
              <w:t>月</w:t>
            </w:r>
          </w:p>
        </w:tc>
        <w:tc>
          <w:tcPr>
            <w:tcW w:w="1983" w:type="dxa"/>
            <w:tcBorders>
              <w:top w:val="single" w:sz="4" w:space="0" w:color="auto"/>
              <w:left w:val="single" w:sz="4" w:space="0" w:color="auto"/>
              <w:bottom w:val="single" w:sz="4" w:space="0" w:color="auto"/>
              <w:right w:val="single" w:sz="4" w:space="0" w:color="auto"/>
            </w:tcBorders>
            <w:hideMark/>
          </w:tcPr>
          <w:p w14:paraId="7C60F467" w14:textId="77777777" w:rsidR="009D43C3" w:rsidRPr="000C156A" w:rsidRDefault="009D43C3" w:rsidP="00921773">
            <w:pPr>
              <w:pStyle w:val="Tablehead"/>
              <w:spacing w:before="20" w:after="20"/>
              <w:jc w:val="right"/>
              <w:rPr>
                <w:rFonts w:cs="Calibri"/>
                <w:szCs w:val="22"/>
              </w:rPr>
            </w:pPr>
            <w:r w:rsidRPr="000C156A">
              <w:rPr>
                <w:rFonts w:cs="Calibri"/>
                <w:szCs w:val="22"/>
              </w:rPr>
              <w:t>201</w:t>
            </w:r>
            <w:r w:rsidRPr="000C156A">
              <w:rPr>
                <w:rFonts w:cs="Calibri"/>
                <w:szCs w:val="22"/>
                <w:lang w:eastAsia="zh-CN"/>
              </w:rPr>
              <w:t>9</w:t>
            </w:r>
            <w:r w:rsidRPr="000C156A">
              <w:rPr>
                <w:rFonts w:cs="Calibri" w:hint="eastAsia"/>
                <w:szCs w:val="22"/>
              </w:rPr>
              <w:t>年</w:t>
            </w:r>
            <w:r w:rsidRPr="000C156A">
              <w:rPr>
                <w:rFonts w:cs="Calibri"/>
                <w:szCs w:val="22"/>
              </w:rPr>
              <w:t>12</w:t>
            </w:r>
            <w:r w:rsidRPr="000C156A">
              <w:rPr>
                <w:rFonts w:cs="Calibri" w:hint="eastAsia"/>
                <w:szCs w:val="22"/>
              </w:rPr>
              <w:t>月</w:t>
            </w:r>
          </w:p>
        </w:tc>
      </w:tr>
      <w:tr w:rsidR="009D43C3" w:rsidRPr="000C156A" w14:paraId="379EF77E" w14:textId="77777777" w:rsidTr="005D02F0">
        <w:tc>
          <w:tcPr>
            <w:tcW w:w="3683" w:type="dxa"/>
            <w:tcBorders>
              <w:top w:val="single" w:sz="4" w:space="0" w:color="auto"/>
              <w:left w:val="single" w:sz="4" w:space="0" w:color="auto"/>
              <w:bottom w:val="nil"/>
              <w:right w:val="single" w:sz="4" w:space="0" w:color="auto"/>
            </w:tcBorders>
          </w:tcPr>
          <w:p w14:paraId="770277D0" w14:textId="77777777" w:rsidR="009D43C3" w:rsidRPr="000C156A" w:rsidRDefault="009D43C3" w:rsidP="005D02F0">
            <w:pPr>
              <w:pStyle w:val="Tabletext"/>
              <w:spacing w:before="20" w:after="20"/>
              <w:rPr>
                <w:rFonts w:cs="Calibri"/>
                <w:szCs w:val="22"/>
              </w:rPr>
            </w:pPr>
          </w:p>
        </w:tc>
        <w:tc>
          <w:tcPr>
            <w:tcW w:w="1983" w:type="dxa"/>
            <w:tcBorders>
              <w:top w:val="single" w:sz="4" w:space="0" w:color="auto"/>
              <w:left w:val="single" w:sz="4" w:space="0" w:color="auto"/>
              <w:bottom w:val="nil"/>
              <w:right w:val="single" w:sz="4" w:space="0" w:color="auto"/>
            </w:tcBorders>
            <w:vAlign w:val="bottom"/>
          </w:tcPr>
          <w:p w14:paraId="34BB6617" w14:textId="77777777" w:rsidR="009D43C3" w:rsidRPr="000C156A" w:rsidRDefault="009D43C3" w:rsidP="00921773">
            <w:pPr>
              <w:spacing w:before="20" w:after="20"/>
              <w:jc w:val="right"/>
              <w:rPr>
                <w:rFonts w:asciiTheme="minorHAnsi" w:hAnsiTheme="minorHAnsi" w:cs="Segoe UI Semilight"/>
                <w:color w:val="000000"/>
                <w:sz w:val="22"/>
                <w:szCs w:val="22"/>
              </w:rPr>
            </w:pPr>
          </w:p>
        </w:tc>
        <w:tc>
          <w:tcPr>
            <w:tcW w:w="1983" w:type="dxa"/>
            <w:tcBorders>
              <w:top w:val="single" w:sz="4" w:space="0" w:color="auto"/>
              <w:left w:val="single" w:sz="4" w:space="0" w:color="auto"/>
              <w:bottom w:val="nil"/>
              <w:right w:val="single" w:sz="4" w:space="0" w:color="auto"/>
            </w:tcBorders>
            <w:vAlign w:val="bottom"/>
            <w:hideMark/>
          </w:tcPr>
          <w:p w14:paraId="14486031" w14:textId="77777777" w:rsidR="009D43C3" w:rsidRPr="000C156A" w:rsidRDefault="009D43C3" w:rsidP="00921773">
            <w:pPr>
              <w:spacing w:before="20" w:after="20"/>
              <w:jc w:val="right"/>
              <w:rPr>
                <w:rFonts w:asciiTheme="minorHAnsi" w:hAnsiTheme="minorHAnsi" w:cs="Segoe UI Semilight"/>
                <w:color w:val="000000"/>
                <w:sz w:val="22"/>
                <w:szCs w:val="22"/>
              </w:rPr>
            </w:pPr>
          </w:p>
        </w:tc>
      </w:tr>
      <w:tr w:rsidR="009D43C3" w:rsidRPr="000C156A" w14:paraId="668515E2" w14:textId="77777777" w:rsidTr="005D02F0">
        <w:tc>
          <w:tcPr>
            <w:tcW w:w="3683" w:type="dxa"/>
            <w:tcBorders>
              <w:top w:val="nil"/>
              <w:left w:val="single" w:sz="4" w:space="0" w:color="auto"/>
              <w:bottom w:val="nil"/>
              <w:right w:val="single" w:sz="4" w:space="0" w:color="auto"/>
            </w:tcBorders>
            <w:hideMark/>
          </w:tcPr>
          <w:p w14:paraId="68895F62" w14:textId="77777777" w:rsidR="009D43C3" w:rsidRPr="000C156A" w:rsidRDefault="009D43C3" w:rsidP="005D02F0">
            <w:pPr>
              <w:pStyle w:val="Tabletext"/>
              <w:spacing w:before="20" w:after="20"/>
              <w:rPr>
                <w:rFonts w:cs="Calibri"/>
                <w:szCs w:val="22"/>
              </w:rPr>
            </w:pPr>
            <w:r w:rsidRPr="000C156A">
              <w:rPr>
                <w:rFonts w:cs="Calibri"/>
                <w:szCs w:val="22"/>
              </w:rPr>
              <w:t>1</w:t>
            </w:r>
            <w:r w:rsidRPr="000C156A">
              <w:rPr>
                <w:rFonts w:cs="Calibri" w:hint="eastAsia"/>
                <w:szCs w:val="22"/>
              </w:rPr>
              <w:t>美元</w:t>
            </w:r>
          </w:p>
        </w:tc>
        <w:tc>
          <w:tcPr>
            <w:tcW w:w="1983" w:type="dxa"/>
            <w:tcBorders>
              <w:top w:val="nil"/>
              <w:left w:val="single" w:sz="4" w:space="0" w:color="auto"/>
              <w:bottom w:val="nil"/>
              <w:right w:val="single" w:sz="4" w:space="0" w:color="auto"/>
            </w:tcBorders>
            <w:vAlign w:val="bottom"/>
            <w:hideMark/>
          </w:tcPr>
          <w:p w14:paraId="791D1ECB"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0.90600</w:t>
            </w:r>
          </w:p>
        </w:tc>
        <w:tc>
          <w:tcPr>
            <w:tcW w:w="1983" w:type="dxa"/>
            <w:tcBorders>
              <w:top w:val="nil"/>
              <w:left w:val="single" w:sz="4" w:space="0" w:color="auto"/>
              <w:bottom w:val="nil"/>
              <w:right w:val="single" w:sz="4" w:space="0" w:color="auto"/>
            </w:tcBorders>
            <w:vAlign w:val="bottom"/>
            <w:hideMark/>
          </w:tcPr>
          <w:p w14:paraId="6D335D09"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0.99900</w:t>
            </w:r>
          </w:p>
        </w:tc>
      </w:tr>
      <w:tr w:rsidR="009D43C3" w:rsidRPr="000C156A" w14:paraId="71431CB1" w14:textId="77777777" w:rsidTr="005D02F0">
        <w:tc>
          <w:tcPr>
            <w:tcW w:w="3683" w:type="dxa"/>
            <w:tcBorders>
              <w:top w:val="nil"/>
              <w:left w:val="single" w:sz="4" w:space="0" w:color="auto"/>
              <w:bottom w:val="nil"/>
              <w:right w:val="single" w:sz="4" w:space="0" w:color="auto"/>
            </w:tcBorders>
            <w:vAlign w:val="bottom"/>
            <w:hideMark/>
          </w:tcPr>
          <w:p w14:paraId="1AA5636F" w14:textId="77777777" w:rsidR="009D43C3" w:rsidRPr="000C156A" w:rsidRDefault="009D43C3" w:rsidP="005D02F0">
            <w:pPr>
              <w:pStyle w:val="Tabletext"/>
              <w:spacing w:before="20" w:after="20"/>
              <w:rPr>
                <w:rFonts w:cs="Calibri"/>
                <w:szCs w:val="22"/>
              </w:rPr>
            </w:pPr>
            <w:r w:rsidRPr="000C156A">
              <w:rPr>
                <w:rFonts w:cs="Calibri"/>
                <w:szCs w:val="22"/>
              </w:rPr>
              <w:t>1</w:t>
            </w:r>
            <w:r w:rsidRPr="000C156A">
              <w:rPr>
                <w:rFonts w:cs="Calibri" w:hint="eastAsia"/>
                <w:szCs w:val="22"/>
              </w:rPr>
              <w:t>欧元</w:t>
            </w:r>
          </w:p>
        </w:tc>
        <w:tc>
          <w:tcPr>
            <w:tcW w:w="1983" w:type="dxa"/>
            <w:tcBorders>
              <w:top w:val="nil"/>
              <w:left w:val="single" w:sz="4" w:space="0" w:color="auto"/>
              <w:bottom w:val="nil"/>
              <w:right w:val="single" w:sz="4" w:space="0" w:color="auto"/>
            </w:tcBorders>
            <w:vAlign w:val="bottom"/>
            <w:hideMark/>
          </w:tcPr>
          <w:p w14:paraId="55E4551E"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1.08244</w:t>
            </w:r>
          </w:p>
        </w:tc>
        <w:tc>
          <w:tcPr>
            <w:tcW w:w="1983" w:type="dxa"/>
            <w:tcBorders>
              <w:top w:val="nil"/>
              <w:left w:val="single" w:sz="4" w:space="0" w:color="auto"/>
              <w:bottom w:val="nil"/>
              <w:right w:val="single" w:sz="4" w:space="0" w:color="auto"/>
            </w:tcBorders>
            <w:vAlign w:val="bottom"/>
            <w:hideMark/>
          </w:tcPr>
          <w:p w14:paraId="33A237CA"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1.09901</w:t>
            </w:r>
          </w:p>
        </w:tc>
      </w:tr>
      <w:tr w:rsidR="009D43C3" w:rsidRPr="000C156A" w14:paraId="1C4BD34E" w14:textId="77777777" w:rsidTr="005D02F0">
        <w:tc>
          <w:tcPr>
            <w:tcW w:w="3683" w:type="dxa"/>
            <w:tcBorders>
              <w:top w:val="nil"/>
              <w:left w:val="single" w:sz="4" w:space="0" w:color="auto"/>
              <w:bottom w:val="nil"/>
              <w:right w:val="single" w:sz="4" w:space="0" w:color="auto"/>
            </w:tcBorders>
            <w:vAlign w:val="bottom"/>
            <w:hideMark/>
          </w:tcPr>
          <w:p w14:paraId="36B0AA1D" w14:textId="77777777" w:rsidR="009D43C3" w:rsidRPr="000C156A" w:rsidRDefault="009D43C3" w:rsidP="005D02F0">
            <w:pPr>
              <w:pStyle w:val="Tabletext"/>
              <w:spacing w:before="20" w:after="20"/>
              <w:rPr>
                <w:rFonts w:cs="Calibri"/>
                <w:szCs w:val="22"/>
              </w:rPr>
            </w:pPr>
            <w:r w:rsidRPr="000C156A">
              <w:rPr>
                <w:rFonts w:cs="Calibri"/>
                <w:szCs w:val="22"/>
              </w:rPr>
              <w:t>1</w:t>
            </w:r>
            <w:r w:rsidRPr="000C156A">
              <w:rPr>
                <w:rFonts w:cs="Calibri" w:hint="eastAsia"/>
                <w:szCs w:val="22"/>
              </w:rPr>
              <w:t>巴巴多斯元（巴巴多斯）</w:t>
            </w:r>
          </w:p>
        </w:tc>
        <w:tc>
          <w:tcPr>
            <w:tcW w:w="1983" w:type="dxa"/>
            <w:tcBorders>
              <w:top w:val="nil"/>
              <w:left w:val="single" w:sz="4" w:space="0" w:color="auto"/>
              <w:bottom w:val="nil"/>
              <w:right w:val="single" w:sz="4" w:space="0" w:color="auto"/>
            </w:tcBorders>
            <w:vAlign w:val="bottom"/>
            <w:hideMark/>
          </w:tcPr>
          <w:p w14:paraId="327ADF18"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0.45300</w:t>
            </w:r>
          </w:p>
        </w:tc>
        <w:tc>
          <w:tcPr>
            <w:tcW w:w="1983" w:type="dxa"/>
            <w:tcBorders>
              <w:top w:val="nil"/>
              <w:left w:val="single" w:sz="4" w:space="0" w:color="auto"/>
              <w:bottom w:val="nil"/>
              <w:right w:val="single" w:sz="4" w:space="0" w:color="auto"/>
            </w:tcBorders>
            <w:vAlign w:val="bottom"/>
            <w:hideMark/>
          </w:tcPr>
          <w:p w14:paraId="2ECD7D47"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0.49950</w:t>
            </w:r>
          </w:p>
        </w:tc>
      </w:tr>
      <w:tr w:rsidR="009D43C3" w:rsidRPr="000C156A" w14:paraId="6B3DB9C1" w14:textId="77777777" w:rsidTr="005D02F0">
        <w:tc>
          <w:tcPr>
            <w:tcW w:w="3683" w:type="dxa"/>
            <w:tcBorders>
              <w:top w:val="nil"/>
              <w:left w:val="single" w:sz="4" w:space="0" w:color="auto"/>
              <w:bottom w:val="nil"/>
              <w:right w:val="single" w:sz="4" w:space="0" w:color="auto"/>
            </w:tcBorders>
            <w:vAlign w:val="bottom"/>
            <w:hideMark/>
          </w:tcPr>
          <w:p w14:paraId="23F607E4" w14:textId="77777777" w:rsidR="009D43C3" w:rsidRPr="000C156A" w:rsidRDefault="009D43C3" w:rsidP="005D02F0">
            <w:pPr>
              <w:pStyle w:val="Tabletext"/>
              <w:spacing w:before="20" w:after="20"/>
              <w:rPr>
                <w:rFonts w:cs="Calibri"/>
                <w:szCs w:val="22"/>
              </w:rPr>
            </w:pPr>
            <w:r w:rsidRPr="000C156A">
              <w:rPr>
                <w:rFonts w:cs="Calibri"/>
                <w:szCs w:val="22"/>
              </w:rPr>
              <w:t>1</w:t>
            </w:r>
            <w:r w:rsidRPr="000C156A">
              <w:rPr>
                <w:rFonts w:cs="Calibri" w:hint="eastAsia"/>
                <w:szCs w:val="22"/>
              </w:rPr>
              <w:t>巴西雷亚尔（巴西）</w:t>
            </w:r>
          </w:p>
        </w:tc>
        <w:tc>
          <w:tcPr>
            <w:tcW w:w="1983" w:type="dxa"/>
            <w:tcBorders>
              <w:top w:val="nil"/>
              <w:left w:val="single" w:sz="4" w:space="0" w:color="auto"/>
              <w:bottom w:val="nil"/>
              <w:right w:val="single" w:sz="4" w:space="0" w:color="auto"/>
            </w:tcBorders>
            <w:vAlign w:val="bottom"/>
            <w:hideMark/>
          </w:tcPr>
          <w:p w14:paraId="30998448"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0.16963</w:t>
            </w:r>
          </w:p>
        </w:tc>
        <w:tc>
          <w:tcPr>
            <w:tcW w:w="1983" w:type="dxa"/>
            <w:tcBorders>
              <w:top w:val="nil"/>
              <w:left w:val="single" w:sz="4" w:space="0" w:color="auto"/>
              <w:bottom w:val="nil"/>
              <w:right w:val="single" w:sz="4" w:space="0" w:color="auto"/>
            </w:tcBorders>
            <w:vAlign w:val="bottom"/>
            <w:hideMark/>
          </w:tcPr>
          <w:p w14:paraId="0C747874"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0.23434</w:t>
            </w:r>
          </w:p>
        </w:tc>
      </w:tr>
      <w:tr w:rsidR="009D43C3" w:rsidRPr="000C156A" w14:paraId="0311E89F" w14:textId="77777777" w:rsidTr="005D02F0">
        <w:tc>
          <w:tcPr>
            <w:tcW w:w="3683" w:type="dxa"/>
            <w:tcBorders>
              <w:top w:val="nil"/>
              <w:left w:val="single" w:sz="4" w:space="0" w:color="auto"/>
              <w:bottom w:val="nil"/>
              <w:right w:val="single" w:sz="4" w:space="0" w:color="auto"/>
            </w:tcBorders>
            <w:vAlign w:val="bottom"/>
            <w:hideMark/>
          </w:tcPr>
          <w:p w14:paraId="3A0C031F" w14:textId="77777777" w:rsidR="009D43C3" w:rsidRPr="000C156A" w:rsidRDefault="009D43C3" w:rsidP="005D02F0">
            <w:pPr>
              <w:pStyle w:val="Tabletext"/>
              <w:spacing w:before="20" w:after="20"/>
              <w:rPr>
                <w:rFonts w:cs="Calibri"/>
                <w:szCs w:val="22"/>
              </w:rPr>
            </w:pPr>
            <w:r w:rsidRPr="000C156A">
              <w:rPr>
                <w:rFonts w:cs="Calibri"/>
                <w:szCs w:val="22"/>
              </w:rPr>
              <w:t>1</w:t>
            </w:r>
            <w:r w:rsidRPr="000C156A">
              <w:rPr>
                <w:rFonts w:cs="Calibri" w:hint="eastAsia"/>
                <w:szCs w:val="22"/>
              </w:rPr>
              <w:t>智利比索（智利）</w:t>
            </w:r>
          </w:p>
        </w:tc>
        <w:tc>
          <w:tcPr>
            <w:tcW w:w="1983" w:type="dxa"/>
            <w:tcBorders>
              <w:top w:val="nil"/>
              <w:left w:val="single" w:sz="4" w:space="0" w:color="auto"/>
              <w:bottom w:val="nil"/>
              <w:right w:val="single" w:sz="4" w:space="0" w:color="auto"/>
            </w:tcBorders>
            <w:vAlign w:val="bottom"/>
            <w:hideMark/>
          </w:tcPr>
          <w:p w14:paraId="79E08636"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0.00118</w:t>
            </w:r>
          </w:p>
        </w:tc>
        <w:tc>
          <w:tcPr>
            <w:tcW w:w="1983" w:type="dxa"/>
            <w:tcBorders>
              <w:top w:val="nil"/>
              <w:left w:val="single" w:sz="4" w:space="0" w:color="auto"/>
              <w:bottom w:val="nil"/>
              <w:right w:val="single" w:sz="4" w:space="0" w:color="auto"/>
            </w:tcBorders>
            <w:vAlign w:val="bottom"/>
            <w:hideMark/>
          </w:tcPr>
          <w:p w14:paraId="3589D089"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0.00123</w:t>
            </w:r>
          </w:p>
        </w:tc>
      </w:tr>
      <w:tr w:rsidR="009D43C3" w:rsidRPr="000C156A" w14:paraId="63BDD713" w14:textId="77777777" w:rsidTr="005D02F0">
        <w:tc>
          <w:tcPr>
            <w:tcW w:w="3683" w:type="dxa"/>
            <w:tcBorders>
              <w:top w:val="nil"/>
              <w:left w:val="single" w:sz="4" w:space="0" w:color="auto"/>
              <w:bottom w:val="nil"/>
              <w:right w:val="single" w:sz="4" w:space="0" w:color="auto"/>
            </w:tcBorders>
            <w:vAlign w:val="bottom"/>
            <w:hideMark/>
          </w:tcPr>
          <w:p w14:paraId="6115CEDC" w14:textId="77777777" w:rsidR="009D43C3" w:rsidRPr="000C156A" w:rsidRDefault="009D43C3" w:rsidP="005D02F0">
            <w:pPr>
              <w:pStyle w:val="Tabletext"/>
              <w:spacing w:before="20" w:after="20"/>
              <w:rPr>
                <w:rFonts w:cs="Calibri"/>
                <w:szCs w:val="22"/>
                <w:lang w:eastAsia="zh-CN"/>
              </w:rPr>
            </w:pPr>
            <w:r w:rsidRPr="000C156A">
              <w:rPr>
                <w:rFonts w:cs="Calibri"/>
                <w:szCs w:val="22"/>
                <w:lang w:eastAsia="zh-CN"/>
              </w:rPr>
              <w:t>1</w:t>
            </w:r>
            <w:r w:rsidRPr="000C156A">
              <w:rPr>
                <w:rFonts w:cs="Calibri" w:hint="eastAsia"/>
                <w:szCs w:val="22"/>
                <w:lang w:eastAsia="zh-CN"/>
              </w:rPr>
              <w:t>埃塞尔比亚比尔（埃塞尔比亚）</w:t>
            </w:r>
          </w:p>
        </w:tc>
        <w:tc>
          <w:tcPr>
            <w:tcW w:w="1983" w:type="dxa"/>
            <w:tcBorders>
              <w:top w:val="nil"/>
              <w:left w:val="single" w:sz="4" w:space="0" w:color="auto"/>
              <w:bottom w:val="nil"/>
              <w:right w:val="single" w:sz="4" w:space="0" w:color="auto"/>
            </w:tcBorders>
            <w:vAlign w:val="bottom"/>
            <w:hideMark/>
          </w:tcPr>
          <w:p w14:paraId="1CADC97C"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0.02389</w:t>
            </w:r>
          </w:p>
        </w:tc>
        <w:tc>
          <w:tcPr>
            <w:tcW w:w="1983" w:type="dxa"/>
            <w:tcBorders>
              <w:top w:val="nil"/>
              <w:left w:val="single" w:sz="4" w:space="0" w:color="auto"/>
              <w:bottom w:val="nil"/>
              <w:right w:val="single" w:sz="4" w:space="0" w:color="auto"/>
            </w:tcBorders>
            <w:vAlign w:val="bottom"/>
            <w:hideMark/>
          </w:tcPr>
          <w:p w14:paraId="52175251"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0.03304</w:t>
            </w:r>
          </w:p>
        </w:tc>
      </w:tr>
      <w:tr w:rsidR="009D43C3" w:rsidRPr="000C156A" w14:paraId="4A81DC12" w14:textId="77777777" w:rsidTr="005D02F0">
        <w:tc>
          <w:tcPr>
            <w:tcW w:w="3683" w:type="dxa"/>
            <w:tcBorders>
              <w:top w:val="nil"/>
              <w:left w:val="single" w:sz="4" w:space="0" w:color="auto"/>
              <w:bottom w:val="nil"/>
              <w:right w:val="single" w:sz="4" w:space="0" w:color="auto"/>
            </w:tcBorders>
            <w:vAlign w:val="bottom"/>
            <w:hideMark/>
          </w:tcPr>
          <w:p w14:paraId="04F0D217" w14:textId="77777777" w:rsidR="009D43C3" w:rsidRPr="000C156A" w:rsidRDefault="009D43C3" w:rsidP="005D02F0">
            <w:pPr>
              <w:pStyle w:val="Tabletext"/>
              <w:spacing w:before="20" w:after="20"/>
              <w:rPr>
                <w:rFonts w:cs="Calibri"/>
                <w:szCs w:val="22"/>
              </w:rPr>
            </w:pPr>
            <w:r w:rsidRPr="000C156A">
              <w:rPr>
                <w:rFonts w:cs="Calibri"/>
                <w:szCs w:val="22"/>
              </w:rPr>
              <w:t>1</w:t>
            </w:r>
            <w:r w:rsidRPr="000C156A">
              <w:rPr>
                <w:rFonts w:cs="Calibri" w:hint="eastAsia"/>
                <w:szCs w:val="22"/>
              </w:rPr>
              <w:t>伦皮拉（洪德拉斯）</w:t>
            </w:r>
          </w:p>
        </w:tc>
        <w:tc>
          <w:tcPr>
            <w:tcW w:w="1983" w:type="dxa"/>
            <w:tcBorders>
              <w:top w:val="nil"/>
              <w:left w:val="single" w:sz="4" w:space="0" w:color="auto"/>
              <w:bottom w:val="nil"/>
              <w:right w:val="single" w:sz="4" w:space="0" w:color="auto"/>
            </w:tcBorders>
            <w:vAlign w:val="bottom"/>
            <w:hideMark/>
          </w:tcPr>
          <w:p w14:paraId="25B87C32"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0.03759</w:t>
            </w:r>
          </w:p>
        </w:tc>
        <w:tc>
          <w:tcPr>
            <w:tcW w:w="1983" w:type="dxa"/>
            <w:tcBorders>
              <w:top w:val="nil"/>
              <w:left w:val="single" w:sz="4" w:space="0" w:color="auto"/>
              <w:bottom w:val="nil"/>
              <w:right w:val="single" w:sz="4" w:space="0" w:color="auto"/>
            </w:tcBorders>
            <w:vAlign w:val="bottom"/>
            <w:hideMark/>
          </w:tcPr>
          <w:p w14:paraId="31815AB7"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0.04055</w:t>
            </w:r>
          </w:p>
        </w:tc>
      </w:tr>
      <w:tr w:rsidR="009D43C3" w:rsidRPr="000C156A" w14:paraId="5FBBDD88" w14:textId="77777777" w:rsidTr="005D02F0">
        <w:tc>
          <w:tcPr>
            <w:tcW w:w="3683" w:type="dxa"/>
            <w:tcBorders>
              <w:top w:val="nil"/>
              <w:left w:val="single" w:sz="4" w:space="0" w:color="auto"/>
              <w:bottom w:val="nil"/>
              <w:right w:val="single" w:sz="4" w:space="0" w:color="auto"/>
            </w:tcBorders>
            <w:vAlign w:val="bottom"/>
            <w:hideMark/>
          </w:tcPr>
          <w:p w14:paraId="72E48437" w14:textId="77777777" w:rsidR="009D43C3" w:rsidRPr="000C156A" w:rsidRDefault="009D43C3" w:rsidP="005D02F0">
            <w:pPr>
              <w:pStyle w:val="Tabletext"/>
              <w:spacing w:before="20" w:after="20"/>
              <w:rPr>
                <w:rFonts w:cs="Calibri"/>
                <w:szCs w:val="22"/>
                <w:lang w:eastAsia="zh-CN"/>
              </w:rPr>
            </w:pPr>
            <w:r w:rsidRPr="000C156A">
              <w:rPr>
                <w:rFonts w:cs="Calibri"/>
                <w:szCs w:val="22"/>
                <w:lang w:eastAsia="zh-CN"/>
              </w:rPr>
              <w:t>1</w:t>
            </w:r>
            <w:r w:rsidRPr="000C156A">
              <w:rPr>
                <w:rFonts w:cs="Calibri" w:hint="eastAsia"/>
                <w:szCs w:val="22"/>
                <w:lang w:eastAsia="zh-CN"/>
              </w:rPr>
              <w:t>印尼盾（印度尼西亚）</w:t>
            </w:r>
          </w:p>
        </w:tc>
        <w:tc>
          <w:tcPr>
            <w:tcW w:w="1983" w:type="dxa"/>
            <w:tcBorders>
              <w:top w:val="nil"/>
              <w:left w:val="single" w:sz="4" w:space="0" w:color="auto"/>
              <w:bottom w:val="nil"/>
              <w:right w:val="single" w:sz="4" w:space="0" w:color="auto"/>
            </w:tcBorders>
            <w:vAlign w:val="bottom"/>
            <w:hideMark/>
          </w:tcPr>
          <w:p w14:paraId="43B11E7A"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0.00006</w:t>
            </w:r>
          </w:p>
        </w:tc>
        <w:tc>
          <w:tcPr>
            <w:tcW w:w="1983" w:type="dxa"/>
            <w:tcBorders>
              <w:top w:val="nil"/>
              <w:left w:val="single" w:sz="4" w:space="0" w:color="auto"/>
              <w:bottom w:val="nil"/>
              <w:right w:val="single" w:sz="4" w:space="0" w:color="auto"/>
            </w:tcBorders>
            <w:vAlign w:val="bottom"/>
            <w:hideMark/>
          </w:tcPr>
          <w:p w14:paraId="7CEB08C1"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0.00007</w:t>
            </w:r>
          </w:p>
        </w:tc>
      </w:tr>
      <w:tr w:rsidR="009D43C3" w:rsidRPr="000C156A" w14:paraId="5B99569E" w14:textId="77777777" w:rsidTr="005D02F0">
        <w:tc>
          <w:tcPr>
            <w:tcW w:w="3683" w:type="dxa"/>
            <w:tcBorders>
              <w:top w:val="nil"/>
              <w:left w:val="single" w:sz="4" w:space="0" w:color="auto"/>
              <w:bottom w:val="nil"/>
              <w:right w:val="single" w:sz="4" w:space="0" w:color="auto"/>
            </w:tcBorders>
            <w:vAlign w:val="bottom"/>
            <w:hideMark/>
          </w:tcPr>
          <w:p w14:paraId="452E8957" w14:textId="77777777" w:rsidR="009D43C3" w:rsidRPr="000C156A" w:rsidRDefault="009D43C3" w:rsidP="005D02F0">
            <w:pPr>
              <w:pStyle w:val="Tabletext"/>
              <w:spacing w:before="20" w:after="20"/>
              <w:rPr>
                <w:rFonts w:cs="Calibri"/>
                <w:szCs w:val="22"/>
              </w:rPr>
            </w:pPr>
            <w:r w:rsidRPr="000C156A">
              <w:rPr>
                <w:rFonts w:cs="Calibri"/>
                <w:szCs w:val="22"/>
              </w:rPr>
              <w:t>1</w:t>
            </w:r>
            <w:r w:rsidRPr="000C156A">
              <w:rPr>
                <w:rFonts w:cs="Calibri" w:hint="eastAsia"/>
                <w:szCs w:val="22"/>
              </w:rPr>
              <w:t>埃及镑（埃及）</w:t>
            </w:r>
          </w:p>
        </w:tc>
        <w:tc>
          <w:tcPr>
            <w:tcW w:w="1983" w:type="dxa"/>
            <w:tcBorders>
              <w:top w:val="nil"/>
              <w:left w:val="single" w:sz="4" w:space="0" w:color="auto"/>
              <w:bottom w:val="nil"/>
              <w:right w:val="single" w:sz="4" w:space="0" w:color="auto"/>
            </w:tcBorders>
            <w:vAlign w:val="bottom"/>
            <w:hideMark/>
          </w:tcPr>
          <w:p w14:paraId="2557ADC4"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0.05806</w:t>
            </w:r>
          </w:p>
        </w:tc>
        <w:tc>
          <w:tcPr>
            <w:tcW w:w="1983" w:type="dxa"/>
            <w:tcBorders>
              <w:top w:val="nil"/>
              <w:left w:val="single" w:sz="4" w:space="0" w:color="auto"/>
              <w:bottom w:val="nil"/>
              <w:right w:val="single" w:sz="4" w:space="0" w:color="auto"/>
            </w:tcBorders>
            <w:vAlign w:val="bottom"/>
            <w:hideMark/>
          </w:tcPr>
          <w:p w14:paraId="2FB205E8"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0.06195</w:t>
            </w:r>
          </w:p>
        </w:tc>
      </w:tr>
      <w:tr w:rsidR="009D43C3" w:rsidRPr="000C156A" w14:paraId="083A6659" w14:textId="77777777" w:rsidTr="005D02F0">
        <w:tc>
          <w:tcPr>
            <w:tcW w:w="3683" w:type="dxa"/>
            <w:tcBorders>
              <w:top w:val="nil"/>
              <w:left w:val="single" w:sz="4" w:space="0" w:color="auto"/>
              <w:bottom w:val="nil"/>
              <w:right w:val="single" w:sz="4" w:space="0" w:color="auto"/>
            </w:tcBorders>
            <w:vAlign w:val="bottom"/>
            <w:hideMark/>
          </w:tcPr>
          <w:p w14:paraId="249CD43A" w14:textId="77777777" w:rsidR="009D43C3" w:rsidRPr="000C156A" w:rsidRDefault="009D43C3" w:rsidP="005D02F0">
            <w:pPr>
              <w:pStyle w:val="Tabletext"/>
              <w:spacing w:before="20" w:after="20"/>
              <w:rPr>
                <w:rFonts w:cs="Calibri"/>
                <w:szCs w:val="22"/>
              </w:rPr>
            </w:pPr>
            <w:r w:rsidRPr="000C156A">
              <w:rPr>
                <w:rFonts w:cs="Calibri"/>
                <w:szCs w:val="22"/>
              </w:rPr>
              <w:t>1</w:t>
            </w:r>
            <w:r w:rsidRPr="000C156A">
              <w:rPr>
                <w:rFonts w:cs="Calibri" w:hint="eastAsia"/>
                <w:szCs w:val="22"/>
              </w:rPr>
              <w:t>卢布（俄罗斯）</w:t>
            </w:r>
          </w:p>
        </w:tc>
        <w:tc>
          <w:tcPr>
            <w:tcW w:w="1983" w:type="dxa"/>
            <w:tcBorders>
              <w:top w:val="nil"/>
              <w:left w:val="single" w:sz="4" w:space="0" w:color="auto"/>
              <w:bottom w:val="nil"/>
              <w:right w:val="single" w:sz="4" w:space="0" w:color="auto"/>
            </w:tcBorders>
            <w:vAlign w:val="bottom"/>
            <w:hideMark/>
          </w:tcPr>
          <w:p w14:paraId="2F866CF8"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0.01192</w:t>
            </w:r>
          </w:p>
        </w:tc>
        <w:tc>
          <w:tcPr>
            <w:tcW w:w="1983" w:type="dxa"/>
            <w:tcBorders>
              <w:top w:val="nil"/>
              <w:left w:val="single" w:sz="4" w:space="0" w:color="auto"/>
              <w:bottom w:val="nil"/>
              <w:right w:val="single" w:sz="4" w:space="0" w:color="auto"/>
            </w:tcBorders>
            <w:vAlign w:val="bottom"/>
            <w:hideMark/>
          </w:tcPr>
          <w:p w14:paraId="530F2CE6"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0.01560</w:t>
            </w:r>
          </w:p>
        </w:tc>
      </w:tr>
      <w:tr w:rsidR="009D43C3" w:rsidRPr="000C156A" w14:paraId="4369471B" w14:textId="77777777" w:rsidTr="005D02F0">
        <w:tc>
          <w:tcPr>
            <w:tcW w:w="3683" w:type="dxa"/>
            <w:tcBorders>
              <w:top w:val="nil"/>
              <w:left w:val="single" w:sz="4" w:space="0" w:color="auto"/>
              <w:bottom w:val="nil"/>
              <w:right w:val="single" w:sz="4" w:space="0" w:color="auto"/>
            </w:tcBorders>
            <w:vAlign w:val="bottom"/>
            <w:hideMark/>
          </w:tcPr>
          <w:p w14:paraId="4375224C" w14:textId="77777777" w:rsidR="009D43C3" w:rsidRPr="000C156A" w:rsidRDefault="009D43C3" w:rsidP="005D02F0">
            <w:pPr>
              <w:pStyle w:val="Tabletext"/>
              <w:spacing w:before="20" w:after="20"/>
              <w:rPr>
                <w:rFonts w:cs="Calibri"/>
                <w:szCs w:val="22"/>
              </w:rPr>
            </w:pPr>
            <w:r w:rsidRPr="000C156A">
              <w:rPr>
                <w:rFonts w:cs="Calibri"/>
                <w:szCs w:val="22"/>
              </w:rPr>
              <w:t>1</w:t>
            </w:r>
            <w:r w:rsidRPr="000C156A">
              <w:rPr>
                <w:rFonts w:cs="Calibri" w:hint="eastAsia"/>
                <w:szCs w:val="22"/>
              </w:rPr>
              <w:t>越南盾（越南）</w:t>
            </w:r>
          </w:p>
        </w:tc>
        <w:tc>
          <w:tcPr>
            <w:tcW w:w="1983" w:type="dxa"/>
            <w:tcBorders>
              <w:top w:val="nil"/>
              <w:left w:val="single" w:sz="4" w:space="0" w:color="auto"/>
              <w:bottom w:val="nil"/>
              <w:right w:val="single" w:sz="4" w:space="0" w:color="auto"/>
            </w:tcBorders>
            <w:vAlign w:val="bottom"/>
            <w:hideMark/>
          </w:tcPr>
          <w:p w14:paraId="7FB19FC3"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0.00004</w:t>
            </w:r>
          </w:p>
        </w:tc>
        <w:tc>
          <w:tcPr>
            <w:tcW w:w="1983" w:type="dxa"/>
            <w:tcBorders>
              <w:top w:val="nil"/>
              <w:left w:val="single" w:sz="4" w:space="0" w:color="auto"/>
              <w:bottom w:val="nil"/>
              <w:right w:val="single" w:sz="4" w:space="0" w:color="auto"/>
            </w:tcBorders>
            <w:vAlign w:val="bottom"/>
            <w:hideMark/>
          </w:tcPr>
          <w:p w14:paraId="5C4AFA18"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0.00004</w:t>
            </w:r>
          </w:p>
        </w:tc>
      </w:tr>
      <w:tr w:rsidR="009D43C3" w:rsidRPr="000C156A" w14:paraId="26976AFE" w14:textId="77777777" w:rsidTr="005D02F0">
        <w:tc>
          <w:tcPr>
            <w:tcW w:w="3683" w:type="dxa"/>
            <w:tcBorders>
              <w:top w:val="nil"/>
              <w:left w:val="single" w:sz="4" w:space="0" w:color="auto"/>
              <w:bottom w:val="nil"/>
              <w:right w:val="single" w:sz="4" w:space="0" w:color="auto"/>
            </w:tcBorders>
            <w:vAlign w:val="bottom"/>
            <w:hideMark/>
          </w:tcPr>
          <w:p w14:paraId="38D9AF3A" w14:textId="77777777" w:rsidR="009D43C3" w:rsidRPr="000C156A" w:rsidRDefault="009D43C3" w:rsidP="005D02F0">
            <w:pPr>
              <w:pStyle w:val="Tabletext"/>
              <w:spacing w:before="20" w:after="20"/>
              <w:rPr>
                <w:rFonts w:cs="Calibri"/>
                <w:szCs w:val="22"/>
                <w:lang w:eastAsia="zh-CN"/>
              </w:rPr>
            </w:pPr>
            <w:r w:rsidRPr="000C156A">
              <w:rPr>
                <w:rFonts w:cs="Calibri"/>
                <w:szCs w:val="22"/>
                <w:lang w:eastAsia="zh-CN"/>
              </w:rPr>
              <w:t>1</w:t>
            </w:r>
            <w:r w:rsidRPr="000C156A">
              <w:rPr>
                <w:rFonts w:cs="Calibri" w:hint="eastAsia"/>
                <w:szCs w:val="22"/>
                <w:lang w:eastAsia="zh-CN"/>
              </w:rPr>
              <w:t>非共体法郎（塞内加尔）</w:t>
            </w:r>
          </w:p>
        </w:tc>
        <w:tc>
          <w:tcPr>
            <w:tcW w:w="1983" w:type="dxa"/>
            <w:tcBorders>
              <w:top w:val="nil"/>
              <w:left w:val="single" w:sz="4" w:space="0" w:color="auto"/>
              <w:bottom w:val="nil"/>
              <w:right w:val="single" w:sz="4" w:space="0" w:color="auto"/>
            </w:tcBorders>
            <w:vAlign w:val="bottom"/>
            <w:hideMark/>
          </w:tcPr>
          <w:p w14:paraId="12240470"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0.00165</w:t>
            </w:r>
          </w:p>
        </w:tc>
        <w:tc>
          <w:tcPr>
            <w:tcW w:w="1983" w:type="dxa"/>
            <w:tcBorders>
              <w:top w:val="nil"/>
              <w:left w:val="single" w:sz="4" w:space="0" w:color="auto"/>
              <w:bottom w:val="nil"/>
              <w:right w:val="single" w:sz="4" w:space="0" w:color="auto"/>
            </w:tcBorders>
            <w:vAlign w:val="bottom"/>
            <w:hideMark/>
          </w:tcPr>
          <w:p w14:paraId="0ACAF14A"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0.00168</w:t>
            </w:r>
          </w:p>
        </w:tc>
      </w:tr>
      <w:tr w:rsidR="009D43C3" w:rsidRPr="000C156A" w14:paraId="08250F7D" w14:textId="77777777" w:rsidTr="005D02F0">
        <w:tc>
          <w:tcPr>
            <w:tcW w:w="3683" w:type="dxa"/>
            <w:tcBorders>
              <w:top w:val="nil"/>
              <w:left w:val="single" w:sz="4" w:space="0" w:color="auto"/>
              <w:bottom w:val="nil"/>
              <w:right w:val="single" w:sz="4" w:space="0" w:color="auto"/>
            </w:tcBorders>
            <w:vAlign w:val="bottom"/>
            <w:hideMark/>
          </w:tcPr>
          <w:p w14:paraId="19F05437" w14:textId="77777777" w:rsidR="009D43C3" w:rsidRPr="000C156A" w:rsidRDefault="009D43C3" w:rsidP="005D02F0">
            <w:pPr>
              <w:pStyle w:val="Tabletext"/>
              <w:spacing w:before="20" w:after="20"/>
              <w:rPr>
                <w:rFonts w:cs="Calibri"/>
                <w:szCs w:val="22"/>
                <w:lang w:eastAsia="zh-CN"/>
              </w:rPr>
            </w:pPr>
            <w:r w:rsidRPr="000C156A">
              <w:rPr>
                <w:rFonts w:cs="Calibri"/>
                <w:szCs w:val="22"/>
                <w:lang w:eastAsia="zh-CN"/>
              </w:rPr>
              <w:t>1</w:t>
            </w:r>
            <w:r w:rsidRPr="000C156A">
              <w:rPr>
                <w:rFonts w:cs="Calibri" w:hint="eastAsia"/>
                <w:szCs w:val="22"/>
                <w:lang w:eastAsia="zh-CN"/>
              </w:rPr>
              <w:t>中非金融合作法郎（喀麦隆）</w:t>
            </w:r>
          </w:p>
        </w:tc>
        <w:tc>
          <w:tcPr>
            <w:tcW w:w="1983" w:type="dxa"/>
            <w:tcBorders>
              <w:top w:val="nil"/>
              <w:left w:val="single" w:sz="4" w:space="0" w:color="auto"/>
              <w:bottom w:val="nil"/>
              <w:right w:val="single" w:sz="4" w:space="0" w:color="auto"/>
            </w:tcBorders>
            <w:vAlign w:val="bottom"/>
            <w:hideMark/>
          </w:tcPr>
          <w:p w14:paraId="33DB6F77"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0.00165</w:t>
            </w:r>
          </w:p>
        </w:tc>
        <w:tc>
          <w:tcPr>
            <w:tcW w:w="1983" w:type="dxa"/>
            <w:tcBorders>
              <w:top w:val="nil"/>
              <w:left w:val="single" w:sz="4" w:space="0" w:color="auto"/>
              <w:bottom w:val="nil"/>
              <w:right w:val="single" w:sz="4" w:space="0" w:color="auto"/>
            </w:tcBorders>
            <w:vAlign w:val="bottom"/>
            <w:hideMark/>
          </w:tcPr>
          <w:p w14:paraId="044FE587"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0.00168</w:t>
            </w:r>
          </w:p>
        </w:tc>
      </w:tr>
      <w:tr w:rsidR="009D43C3" w:rsidRPr="000C156A" w14:paraId="56FD8450" w14:textId="77777777" w:rsidTr="005D02F0">
        <w:tc>
          <w:tcPr>
            <w:tcW w:w="3683" w:type="dxa"/>
            <w:tcBorders>
              <w:top w:val="nil"/>
              <w:left w:val="single" w:sz="4" w:space="0" w:color="auto"/>
              <w:bottom w:val="single" w:sz="4" w:space="0" w:color="auto"/>
              <w:right w:val="single" w:sz="4" w:space="0" w:color="auto"/>
            </w:tcBorders>
            <w:vAlign w:val="bottom"/>
            <w:hideMark/>
          </w:tcPr>
          <w:p w14:paraId="10CFDEAB" w14:textId="77777777" w:rsidR="009D43C3" w:rsidRPr="000C156A" w:rsidRDefault="009D43C3" w:rsidP="005D02F0">
            <w:pPr>
              <w:pStyle w:val="Tabletext"/>
              <w:spacing w:before="20" w:after="20"/>
              <w:rPr>
                <w:rFonts w:cs="Calibri"/>
                <w:szCs w:val="22"/>
              </w:rPr>
            </w:pPr>
            <w:r w:rsidRPr="000C156A">
              <w:rPr>
                <w:rFonts w:cs="Calibri"/>
                <w:szCs w:val="22"/>
              </w:rPr>
              <w:t>1</w:t>
            </w:r>
            <w:r w:rsidRPr="000C156A">
              <w:rPr>
                <w:rFonts w:cs="Calibri" w:hint="eastAsia"/>
                <w:szCs w:val="22"/>
              </w:rPr>
              <w:t>泰铢（泰国）</w:t>
            </w:r>
          </w:p>
        </w:tc>
        <w:tc>
          <w:tcPr>
            <w:tcW w:w="1983" w:type="dxa"/>
            <w:tcBorders>
              <w:top w:val="nil"/>
              <w:left w:val="single" w:sz="4" w:space="0" w:color="auto"/>
              <w:bottom w:val="single" w:sz="4" w:space="0" w:color="auto"/>
              <w:right w:val="single" w:sz="4" w:space="0" w:color="auto"/>
            </w:tcBorders>
            <w:vAlign w:val="bottom"/>
            <w:hideMark/>
          </w:tcPr>
          <w:p w14:paraId="119DF8B3"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0.02990</w:t>
            </w:r>
          </w:p>
        </w:tc>
        <w:tc>
          <w:tcPr>
            <w:tcW w:w="1983" w:type="dxa"/>
            <w:tcBorders>
              <w:top w:val="nil"/>
              <w:left w:val="single" w:sz="4" w:space="0" w:color="auto"/>
              <w:bottom w:val="single" w:sz="4" w:space="0" w:color="auto"/>
              <w:right w:val="single" w:sz="4" w:space="0" w:color="auto"/>
            </w:tcBorders>
            <w:vAlign w:val="bottom"/>
            <w:hideMark/>
          </w:tcPr>
          <w:p w14:paraId="745AB5CE" w14:textId="77777777" w:rsidR="009D43C3" w:rsidRPr="000C156A" w:rsidRDefault="009D43C3" w:rsidP="00921773">
            <w:pPr>
              <w:spacing w:before="20" w:after="20"/>
              <w:jc w:val="right"/>
              <w:rPr>
                <w:rFonts w:asciiTheme="minorHAnsi" w:hAnsiTheme="minorHAnsi" w:cs="Segoe UI Semilight"/>
                <w:color w:val="000000"/>
                <w:sz w:val="22"/>
                <w:szCs w:val="22"/>
              </w:rPr>
            </w:pPr>
            <w:r w:rsidRPr="000C156A">
              <w:rPr>
                <w:rFonts w:cs="Calibri"/>
                <w:color w:val="000000"/>
                <w:sz w:val="22"/>
                <w:szCs w:val="22"/>
                <w:lang w:eastAsia="en-GB"/>
              </w:rPr>
              <w:t>0.03305</w:t>
            </w:r>
          </w:p>
        </w:tc>
      </w:tr>
    </w:tbl>
    <w:p w14:paraId="56C9E13B" w14:textId="77777777" w:rsidR="009D43C3" w:rsidRPr="000C156A" w:rsidRDefault="009D43C3" w:rsidP="009D43C3">
      <w:pPr>
        <w:pStyle w:val="Heading5"/>
        <w:rPr>
          <w:rFonts w:cs="Microsoft YaHei"/>
          <w:b w:val="0"/>
          <w:i/>
          <w:u w:val="single"/>
          <w:lang w:val="fr-FR" w:eastAsia="zh-CN"/>
        </w:rPr>
      </w:pPr>
      <w:bookmarkStart w:id="381" w:name="_Toc482892545"/>
      <w:bookmarkStart w:id="382" w:name="_Toc41905846"/>
      <w:bookmarkStart w:id="383" w:name="_Toc73636245"/>
      <w:r w:rsidRPr="000C156A">
        <w:rPr>
          <w:rFonts w:cs="Microsoft YaHei" w:hint="eastAsia"/>
          <w:u w:val="single"/>
          <w:lang w:val="fr-FR" w:eastAsia="zh-CN"/>
        </w:rPr>
        <w:lastRenderedPageBreak/>
        <w:t>金融</w:t>
      </w:r>
      <w:bookmarkEnd w:id="380"/>
      <w:r w:rsidRPr="000C156A">
        <w:rPr>
          <w:rFonts w:cs="Microsoft YaHei" w:hint="eastAsia"/>
          <w:u w:val="single"/>
          <w:lang w:val="fr-FR" w:eastAsia="zh-CN"/>
        </w:rPr>
        <w:t>工具</w:t>
      </w:r>
      <w:bookmarkEnd w:id="381"/>
      <w:bookmarkEnd w:id="382"/>
      <w:bookmarkEnd w:id="383"/>
    </w:p>
    <w:p w14:paraId="19D26B0E" w14:textId="77777777" w:rsidR="009D43C3" w:rsidRPr="000C156A" w:rsidRDefault="009D43C3" w:rsidP="009D43C3">
      <w:pPr>
        <w:ind w:firstLineChars="200" w:firstLine="480"/>
        <w:rPr>
          <w:lang w:val="fr-FR" w:eastAsia="zh-CN"/>
        </w:rPr>
      </w:pPr>
      <w:r w:rsidRPr="000C156A">
        <w:rPr>
          <w:rFonts w:hint="eastAsia"/>
          <w:lang w:eastAsia="zh-CN"/>
        </w:rPr>
        <w:t>国际电联的金融工具包括</w:t>
      </w:r>
      <w:r w:rsidRPr="000C156A">
        <w:rPr>
          <w:rFonts w:hint="eastAsia"/>
          <w:lang w:val="fr-FR" w:eastAsia="zh-CN"/>
        </w:rPr>
        <w:t>：</w:t>
      </w:r>
      <w:r w:rsidRPr="000C156A">
        <w:rPr>
          <w:rFonts w:hint="eastAsia"/>
          <w:lang w:eastAsia="zh-CN"/>
        </w:rPr>
        <w:t>现金和短期存款、投资、兑换和非兑换交易应收款项、贸易应付账款、银行透支、贷款和借款。</w:t>
      </w:r>
    </w:p>
    <w:p w14:paraId="3861AAAA" w14:textId="77777777" w:rsidR="009D43C3" w:rsidRPr="000C156A" w:rsidRDefault="009D43C3" w:rsidP="009D43C3">
      <w:pPr>
        <w:rPr>
          <w:u w:val="single"/>
          <w:lang w:val="fr-FR" w:eastAsia="zh-CN"/>
        </w:rPr>
      </w:pPr>
      <w:r w:rsidRPr="000C156A">
        <w:rPr>
          <w:rFonts w:hint="eastAsia"/>
          <w:u w:val="single"/>
          <w:lang w:eastAsia="zh-CN"/>
        </w:rPr>
        <w:t>现金和现金等价物</w:t>
      </w:r>
    </w:p>
    <w:p w14:paraId="15DD068A" w14:textId="77777777" w:rsidR="009D43C3" w:rsidRPr="000C156A" w:rsidRDefault="009D43C3" w:rsidP="009D43C3">
      <w:pPr>
        <w:ind w:firstLineChars="200" w:firstLine="480"/>
        <w:rPr>
          <w:lang w:val="fr-FR" w:eastAsia="zh-CN"/>
        </w:rPr>
      </w:pPr>
      <w:r w:rsidRPr="000C156A">
        <w:rPr>
          <w:rFonts w:hint="eastAsia"/>
          <w:lang w:eastAsia="zh-CN"/>
        </w:rPr>
        <w:t>现金和现金等价物按票面价值持有</w:t>
      </w:r>
      <w:r w:rsidRPr="000C156A">
        <w:rPr>
          <w:rFonts w:hint="eastAsia"/>
          <w:lang w:val="fr-FR" w:eastAsia="zh-CN"/>
        </w:rPr>
        <w:t>，</w:t>
      </w:r>
      <w:r w:rsidRPr="000C156A">
        <w:rPr>
          <w:rFonts w:hint="eastAsia"/>
          <w:lang w:eastAsia="zh-CN"/>
        </w:rPr>
        <w:t>包括库存现金、邮政账户、银行账户和瑞士联邦财政部定期存款账户。</w:t>
      </w:r>
    </w:p>
    <w:p w14:paraId="5B509A3F" w14:textId="77777777" w:rsidR="009D43C3" w:rsidRPr="000C156A" w:rsidRDefault="009D43C3" w:rsidP="009D43C3">
      <w:pPr>
        <w:rPr>
          <w:u w:val="single"/>
          <w:lang w:val="fr-FR" w:eastAsia="zh-CN"/>
        </w:rPr>
      </w:pPr>
      <w:r w:rsidRPr="000C156A">
        <w:rPr>
          <w:rFonts w:hint="eastAsia"/>
          <w:u w:val="single"/>
          <w:lang w:eastAsia="zh-CN"/>
        </w:rPr>
        <w:t>投资</w:t>
      </w:r>
    </w:p>
    <w:p w14:paraId="3E3A52FB" w14:textId="77777777" w:rsidR="009D43C3" w:rsidRPr="000C156A" w:rsidRDefault="009D43C3" w:rsidP="009D43C3">
      <w:pPr>
        <w:ind w:firstLineChars="200" w:firstLine="480"/>
        <w:rPr>
          <w:lang w:eastAsia="zh-CN"/>
        </w:rPr>
      </w:pPr>
      <w:r w:rsidRPr="000C156A">
        <w:rPr>
          <w:rFonts w:hint="eastAsia"/>
          <w:lang w:eastAsia="zh-CN"/>
        </w:rPr>
        <w:t>投资包括存期为三至九个月</w:t>
      </w:r>
      <w:r w:rsidRPr="000C156A">
        <w:rPr>
          <w:rFonts w:hint="eastAsia"/>
          <w:lang w:val="fr-FR" w:eastAsia="zh-CN"/>
        </w:rPr>
        <w:t>，</w:t>
      </w:r>
      <w:r w:rsidRPr="000C156A">
        <w:rPr>
          <w:rFonts w:hint="eastAsia"/>
          <w:lang w:eastAsia="zh-CN"/>
        </w:rPr>
        <w:t>具有高流动性、可转换成为已知现金金额的定期存款</w:t>
      </w:r>
      <w:r w:rsidRPr="000C156A">
        <w:rPr>
          <w:rFonts w:hint="eastAsia"/>
          <w:lang w:val="fr-FR" w:eastAsia="zh-CN"/>
        </w:rPr>
        <w:t>，</w:t>
      </w:r>
      <w:r w:rsidRPr="000C156A">
        <w:rPr>
          <w:rFonts w:hint="eastAsia"/>
          <w:lang w:eastAsia="zh-CN"/>
        </w:rPr>
        <w:t>其价值变动风险可忽略不计。投资以公允价值最初通过盈余或赤字被确认为金融资产。投资收入每季度按照实际回报予以确认。</w:t>
      </w:r>
    </w:p>
    <w:p w14:paraId="5E8E36D5" w14:textId="77777777" w:rsidR="009D43C3" w:rsidRPr="000C156A" w:rsidRDefault="009D43C3" w:rsidP="009D43C3">
      <w:pPr>
        <w:ind w:firstLineChars="200" w:firstLine="480"/>
        <w:rPr>
          <w:lang w:eastAsia="zh-CN"/>
        </w:rPr>
      </w:pPr>
      <w:r w:rsidRPr="000C156A">
        <w:rPr>
          <w:rFonts w:hint="eastAsia"/>
          <w:lang w:eastAsia="zh-CN"/>
        </w:rPr>
        <w:t>投资最初是在国际电联成为有关工具合约方时确认的。投资的所有买卖按照其交易日期予以确认。投资最初以其公允价值确认，考虑到所有直接可归属交易成本。</w:t>
      </w:r>
    </w:p>
    <w:p w14:paraId="10DA6671" w14:textId="77777777" w:rsidR="009D43C3" w:rsidRPr="000C156A" w:rsidRDefault="009D43C3" w:rsidP="009D43C3">
      <w:pPr>
        <w:ind w:firstLineChars="200" w:firstLine="480"/>
        <w:rPr>
          <w:lang w:eastAsia="zh-CN"/>
        </w:rPr>
      </w:pPr>
      <w:r w:rsidRPr="000C156A">
        <w:rPr>
          <w:rFonts w:hint="eastAsia"/>
          <w:lang w:eastAsia="zh-CN"/>
        </w:rPr>
        <w:t>一旦国际电联转移了其接收金融资产现金流和相关风险的权利，有关金融资产将被终止确认。</w:t>
      </w:r>
    </w:p>
    <w:p w14:paraId="2598C775" w14:textId="77777777" w:rsidR="009D43C3" w:rsidRPr="000C156A" w:rsidRDefault="009D43C3" w:rsidP="009D43C3">
      <w:pPr>
        <w:ind w:firstLineChars="200" w:firstLine="480"/>
        <w:rPr>
          <w:lang w:eastAsia="zh-CN"/>
        </w:rPr>
      </w:pPr>
      <w:r w:rsidRPr="000C156A">
        <w:rPr>
          <w:rFonts w:hint="eastAsia"/>
          <w:lang w:eastAsia="zh-CN"/>
        </w:rPr>
        <w:t>投资根据其到期日在一年之内还是在一年以外在资产负债表中列报为流动或非流动资产和负债。</w:t>
      </w:r>
    </w:p>
    <w:p w14:paraId="71289523" w14:textId="77777777" w:rsidR="009D43C3" w:rsidRPr="000C156A" w:rsidRDefault="009D43C3" w:rsidP="009D43C3">
      <w:pPr>
        <w:ind w:firstLineChars="200" w:firstLine="480"/>
        <w:rPr>
          <w:lang w:eastAsia="zh-CN"/>
        </w:rPr>
      </w:pPr>
      <w:r w:rsidRPr="000C156A">
        <w:rPr>
          <w:rFonts w:hint="eastAsia"/>
          <w:lang w:eastAsia="zh-CN"/>
        </w:rPr>
        <w:t>当国际电联对这些金融资产现金流的合约权利到期或被转让导致与所有权相关的所有风险和回报实际被转让时，金融工具将被终止确认。</w:t>
      </w:r>
    </w:p>
    <w:p w14:paraId="3CEE646A" w14:textId="77777777" w:rsidR="009D43C3" w:rsidRPr="000C156A" w:rsidRDefault="009D43C3" w:rsidP="009D43C3">
      <w:pPr>
        <w:keepNext/>
        <w:rPr>
          <w:u w:val="single"/>
          <w:lang w:eastAsia="zh-CN"/>
        </w:rPr>
      </w:pPr>
      <w:r w:rsidRPr="000C156A">
        <w:rPr>
          <w:rFonts w:hint="eastAsia"/>
          <w:u w:val="single"/>
          <w:lang w:eastAsia="zh-CN"/>
        </w:rPr>
        <w:t>其他负债和</w:t>
      </w:r>
      <w:r w:rsidRPr="000C156A">
        <w:rPr>
          <w:u w:val="single"/>
          <w:lang w:eastAsia="zh-CN"/>
        </w:rPr>
        <w:t>国际组织不动产基金</w:t>
      </w:r>
      <w:r w:rsidRPr="000C156A">
        <w:rPr>
          <w:rFonts w:hint="eastAsia"/>
          <w:u w:val="single"/>
          <w:lang w:eastAsia="zh-CN"/>
        </w:rPr>
        <w:t>会（</w:t>
      </w:r>
      <w:r w:rsidRPr="000C156A">
        <w:rPr>
          <w:u w:val="single"/>
          <w:lang w:eastAsia="zh-CN"/>
        </w:rPr>
        <w:t>FIPOI</w:t>
      </w:r>
      <w:r w:rsidRPr="000C156A">
        <w:rPr>
          <w:u w:val="single"/>
          <w:lang w:eastAsia="zh-CN"/>
        </w:rPr>
        <w:t>）</w:t>
      </w:r>
      <w:r w:rsidRPr="000C156A">
        <w:rPr>
          <w:rFonts w:hint="eastAsia"/>
          <w:u w:val="single"/>
          <w:lang w:eastAsia="zh-CN"/>
        </w:rPr>
        <w:t>贷款</w:t>
      </w:r>
    </w:p>
    <w:p w14:paraId="208F045C" w14:textId="77777777" w:rsidR="009D43C3" w:rsidRPr="000C156A" w:rsidRDefault="009D43C3" w:rsidP="009D43C3">
      <w:pPr>
        <w:ind w:firstLineChars="200" w:firstLine="480"/>
        <w:rPr>
          <w:lang w:eastAsia="zh-CN"/>
        </w:rPr>
      </w:pPr>
      <w:r w:rsidRPr="000C156A">
        <w:rPr>
          <w:rFonts w:hint="eastAsia"/>
          <w:lang w:eastAsia="zh-CN"/>
        </w:rPr>
        <w:t>其他金融负债包括借款、其他融资、银行透支、供货商和贸易应收款项。它们根据其到期日在一年之内还是在一年以外在资产负债表中列报为流动或非流动负债。</w:t>
      </w:r>
    </w:p>
    <w:p w14:paraId="29A70CB3" w14:textId="77777777" w:rsidR="009D43C3" w:rsidRPr="000C156A" w:rsidRDefault="009D43C3" w:rsidP="009D43C3">
      <w:pPr>
        <w:ind w:firstLineChars="200" w:firstLine="480"/>
        <w:rPr>
          <w:lang w:eastAsia="zh-CN"/>
        </w:rPr>
      </w:pPr>
      <w:r w:rsidRPr="000C156A">
        <w:rPr>
          <w:rFonts w:hint="eastAsia"/>
          <w:lang w:eastAsia="zh-CN"/>
        </w:rPr>
        <w:t>附息金融负债之后按照有效利率摊销成本的方法计价，利息确认无关紧要的债务除外。</w:t>
      </w:r>
    </w:p>
    <w:p w14:paraId="089EE940" w14:textId="77777777" w:rsidR="009D43C3" w:rsidRPr="000C156A" w:rsidRDefault="009D43C3" w:rsidP="009D43C3">
      <w:pPr>
        <w:ind w:firstLineChars="200" w:firstLine="480"/>
        <w:rPr>
          <w:lang w:eastAsia="zh-CN"/>
        </w:rPr>
      </w:pPr>
      <w:r w:rsidRPr="000C156A">
        <w:rPr>
          <w:rFonts w:hint="eastAsia"/>
          <w:lang w:eastAsia="zh-CN"/>
        </w:rPr>
        <w:t>国际电联为建设和维修其在日内瓦的所在地从国际组织不动产基金会（</w:t>
      </w:r>
      <w:r w:rsidRPr="000C156A">
        <w:rPr>
          <w:lang w:eastAsia="zh-CN"/>
        </w:rPr>
        <w:t>FIPOI</w:t>
      </w:r>
      <w:r w:rsidRPr="000C156A">
        <w:rPr>
          <w:rFonts w:hint="eastAsia"/>
          <w:lang w:eastAsia="zh-CN"/>
        </w:rPr>
        <w:t>）借贷资金。这些借款原本需要付息。然而，联邦外交部（</w:t>
      </w:r>
      <w:r w:rsidRPr="000C156A">
        <w:rPr>
          <w:lang w:eastAsia="zh-CN"/>
        </w:rPr>
        <w:t>DFAE</w:t>
      </w:r>
      <w:r w:rsidRPr="000C156A">
        <w:rPr>
          <w:rFonts w:hint="eastAsia"/>
          <w:lang w:eastAsia="zh-CN"/>
        </w:rPr>
        <w:t>）自</w:t>
      </w:r>
      <w:r w:rsidRPr="000C156A">
        <w:rPr>
          <w:lang w:eastAsia="zh-CN"/>
        </w:rPr>
        <w:t>1996</w:t>
      </w:r>
      <w:r w:rsidRPr="000C156A">
        <w:rPr>
          <w:rFonts w:hint="eastAsia"/>
          <w:lang w:eastAsia="zh-CN"/>
        </w:rPr>
        <w:t>年起停止收取利息。因此，国际电联仅需偿还本金。</w:t>
      </w:r>
    </w:p>
    <w:p w14:paraId="5366F4E5" w14:textId="77777777" w:rsidR="009D43C3" w:rsidRPr="000C156A" w:rsidRDefault="009D43C3" w:rsidP="009D43C3">
      <w:pPr>
        <w:ind w:firstLineChars="200" w:firstLine="480"/>
        <w:rPr>
          <w:lang w:eastAsia="zh-CN"/>
        </w:rPr>
      </w:pPr>
      <w:r w:rsidRPr="000C156A">
        <w:rPr>
          <w:rFonts w:hint="eastAsia"/>
          <w:lang w:eastAsia="zh-CN"/>
        </w:rPr>
        <w:t>贷款是以</w:t>
      </w:r>
      <w:r w:rsidRPr="000C156A">
        <w:rPr>
          <w:lang w:eastAsia="zh-CN"/>
        </w:rPr>
        <w:t>3.25%</w:t>
      </w:r>
      <w:r w:rsidRPr="000C156A">
        <w:rPr>
          <w:rFonts w:hint="eastAsia"/>
          <w:lang w:eastAsia="zh-CN"/>
        </w:rPr>
        <w:t>的长期利率计算的分销成本衡量的，该利率对当于</w:t>
      </w:r>
      <w:r w:rsidRPr="000C156A">
        <w:rPr>
          <w:lang w:eastAsia="zh-CN"/>
        </w:rPr>
        <w:t>FIPOI</w:t>
      </w:r>
      <w:r w:rsidRPr="000C156A">
        <w:rPr>
          <w:rFonts w:hint="eastAsia"/>
          <w:lang w:eastAsia="zh-CN"/>
        </w:rPr>
        <w:t>提供但未收取的贷款相关利率。名义价值和分销成本之间的差额截至</w:t>
      </w:r>
      <w:r w:rsidRPr="000C156A">
        <w:rPr>
          <w:lang w:eastAsia="zh-CN"/>
        </w:rPr>
        <w:t>2020</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日体现为总计</w:t>
      </w:r>
      <w:r w:rsidRPr="000C156A">
        <w:rPr>
          <w:lang w:eastAsia="zh-CN"/>
        </w:rPr>
        <w:t>1 32</w:t>
      </w:r>
      <w:r w:rsidRPr="000C156A">
        <w:rPr>
          <w:rFonts w:hint="eastAsia"/>
          <w:lang w:eastAsia="zh-CN"/>
        </w:rPr>
        <w:t>0</w:t>
      </w:r>
      <w:r w:rsidRPr="000C156A">
        <w:rPr>
          <w:rFonts w:hint="eastAsia"/>
          <w:lang w:eastAsia="zh-CN"/>
        </w:rPr>
        <w:t>万瑞郎的实物捐赠。国际电联选择不在财务状况报表的“借款和财务负债”下显示这笔金额，但是，国际电联通过相当于过去一年</w:t>
      </w:r>
      <w:r w:rsidRPr="000C156A">
        <w:rPr>
          <w:lang w:eastAsia="zh-CN"/>
        </w:rPr>
        <w:t>1</w:t>
      </w:r>
      <w:r w:rsidRPr="000C156A">
        <w:rPr>
          <w:rFonts w:hint="eastAsia"/>
          <w:lang w:eastAsia="zh-CN"/>
        </w:rPr>
        <w:t>月</w:t>
      </w:r>
      <w:r w:rsidRPr="000C156A">
        <w:rPr>
          <w:lang w:eastAsia="zh-CN"/>
        </w:rPr>
        <w:t>1</w:t>
      </w:r>
      <w:r w:rsidRPr="000C156A">
        <w:rPr>
          <w:rFonts w:hint="eastAsia"/>
          <w:lang w:eastAsia="zh-CN"/>
        </w:rPr>
        <w:t>日至</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日减少的贴现的实物捐赠方式在财务状况报表的“费用与收入”类别中显示该金额。</w:t>
      </w:r>
    </w:p>
    <w:p w14:paraId="2FCDDB52" w14:textId="77777777" w:rsidR="009D43C3" w:rsidRPr="000C156A" w:rsidRDefault="009D43C3" w:rsidP="009D43C3">
      <w:pPr>
        <w:rPr>
          <w:u w:val="single"/>
          <w:lang w:eastAsia="zh-CN"/>
        </w:rPr>
      </w:pPr>
      <w:bookmarkStart w:id="384" w:name="_Toc329166458"/>
      <w:r w:rsidRPr="000C156A">
        <w:rPr>
          <w:rFonts w:hint="eastAsia"/>
          <w:u w:val="single"/>
          <w:lang w:eastAsia="zh-CN"/>
        </w:rPr>
        <w:t>应收款项和贷款</w:t>
      </w:r>
      <w:bookmarkEnd w:id="384"/>
    </w:p>
    <w:p w14:paraId="0763A25F" w14:textId="77777777" w:rsidR="009D43C3" w:rsidRPr="000C156A" w:rsidRDefault="009D43C3" w:rsidP="009D43C3">
      <w:pPr>
        <w:ind w:firstLineChars="200" w:firstLine="480"/>
        <w:rPr>
          <w:lang w:eastAsia="zh-CN"/>
        </w:rPr>
      </w:pPr>
      <w:r w:rsidRPr="000C156A">
        <w:rPr>
          <w:rFonts w:hint="eastAsia"/>
          <w:lang w:eastAsia="zh-CN"/>
        </w:rPr>
        <w:t>国际电联的应收款项和贷款是未在活跃市场上市的具有固定或确定还期的金融资产。这些金融资产是在国际电联与第三方达成合同约定时形成的，在与上述金融资产相关的现金转让执行后且与上述资产相关的风险和利益亦转移给国际电联后终止。有关资产包含在流动资产中，但到期日在结账日之后</w:t>
      </w:r>
      <w:r w:rsidRPr="000C156A">
        <w:rPr>
          <w:rFonts w:hint="eastAsia"/>
          <w:lang w:eastAsia="zh-CN"/>
        </w:rPr>
        <w:t>1</w:t>
      </w:r>
      <w:r w:rsidRPr="000C156A">
        <w:rPr>
          <w:lang w:eastAsia="zh-CN"/>
        </w:rPr>
        <w:t>2</w:t>
      </w:r>
      <w:r w:rsidRPr="000C156A">
        <w:rPr>
          <w:rFonts w:hint="eastAsia"/>
          <w:lang w:eastAsia="zh-CN"/>
        </w:rPr>
        <w:t>个月以上的资产除外，这些资产属于非流动资产类别。</w:t>
      </w:r>
    </w:p>
    <w:p w14:paraId="1458D83A" w14:textId="77777777" w:rsidR="009D43C3" w:rsidRPr="000C156A" w:rsidRDefault="009D43C3" w:rsidP="009D43C3">
      <w:pPr>
        <w:ind w:firstLineChars="200" w:firstLine="480"/>
        <w:rPr>
          <w:lang w:eastAsia="zh-CN"/>
        </w:rPr>
      </w:pPr>
      <w:r w:rsidRPr="000C156A">
        <w:rPr>
          <w:rFonts w:hint="eastAsia"/>
          <w:lang w:eastAsia="zh-CN"/>
        </w:rPr>
        <w:t>应收款项分为两个不同类别，即由交换交易产生的应收款项，如出版物的销售结果，和非交换应收款项，特别是与国际电联会费相关的应收款项。全权代表大会一旦确定了四年期内成员国的会费水平，分摊会费将纳入财务规划。这些会费每年予以确认。</w:t>
      </w:r>
    </w:p>
    <w:p w14:paraId="2F6BE803" w14:textId="77777777" w:rsidR="009D43C3" w:rsidRPr="000C156A" w:rsidRDefault="009D43C3" w:rsidP="009D43C3">
      <w:pPr>
        <w:ind w:firstLineChars="200" w:firstLine="480"/>
        <w:rPr>
          <w:lang w:eastAsia="zh-CN"/>
        </w:rPr>
      </w:pPr>
      <w:r w:rsidRPr="000C156A">
        <w:rPr>
          <w:rFonts w:hint="eastAsia"/>
          <w:lang w:eastAsia="zh-CN"/>
        </w:rPr>
        <w:lastRenderedPageBreak/>
        <w:t>与捐赠方达成书面协议的自愿捐款从一开始就得到确认。</w:t>
      </w:r>
    </w:p>
    <w:p w14:paraId="59B084BE" w14:textId="77777777" w:rsidR="009D43C3" w:rsidRPr="000C156A" w:rsidRDefault="009D43C3" w:rsidP="009D43C3">
      <w:pPr>
        <w:ind w:firstLineChars="200" w:firstLine="480"/>
        <w:rPr>
          <w:b/>
          <w:lang w:eastAsia="zh-CN"/>
        </w:rPr>
      </w:pPr>
      <w:r w:rsidRPr="000C156A">
        <w:rPr>
          <w:rFonts w:hint="eastAsia"/>
          <w:lang w:eastAsia="zh-CN"/>
        </w:rPr>
        <w:t>金融资产最初以公允价值确认。该公允价值在每年结账时进行的可疑债务检查中予以调整。</w:t>
      </w:r>
      <w:bookmarkStart w:id="385" w:name="_Toc305426931"/>
    </w:p>
    <w:p w14:paraId="63E15C11" w14:textId="77777777" w:rsidR="009D43C3" w:rsidRPr="000C156A" w:rsidRDefault="009D43C3" w:rsidP="009D43C3">
      <w:pPr>
        <w:pStyle w:val="Heading5"/>
        <w:rPr>
          <w:rFonts w:cs="Microsoft YaHei"/>
          <w:b w:val="0"/>
          <w:i/>
          <w:u w:val="single"/>
          <w:lang w:eastAsia="zh-CN"/>
        </w:rPr>
      </w:pPr>
      <w:bookmarkStart w:id="386" w:name="_Toc482892546"/>
      <w:bookmarkStart w:id="387" w:name="_Toc41905847"/>
      <w:bookmarkStart w:id="388" w:name="_Toc73636246"/>
      <w:r w:rsidRPr="000C156A">
        <w:rPr>
          <w:rFonts w:cs="Microsoft YaHei" w:hint="eastAsia"/>
          <w:u w:val="single"/>
          <w:lang w:val="fr-FR" w:eastAsia="zh-CN"/>
        </w:rPr>
        <w:t>应收款项减损准备</w:t>
      </w:r>
      <w:bookmarkEnd w:id="385"/>
      <w:r w:rsidRPr="000C156A">
        <w:rPr>
          <w:rFonts w:cs="Microsoft YaHei" w:hint="eastAsia"/>
          <w:u w:val="single"/>
          <w:lang w:val="fr-FR" w:eastAsia="zh-CN"/>
        </w:rPr>
        <w:t>金的确定</w:t>
      </w:r>
      <w:bookmarkEnd w:id="386"/>
      <w:bookmarkEnd w:id="387"/>
      <w:bookmarkEnd w:id="388"/>
    </w:p>
    <w:p w14:paraId="5795D95B" w14:textId="77777777" w:rsidR="009D43C3" w:rsidRPr="000C156A" w:rsidRDefault="009D43C3" w:rsidP="009D43C3">
      <w:pPr>
        <w:ind w:firstLineChars="200" w:firstLine="480"/>
        <w:rPr>
          <w:lang w:eastAsia="zh-CN"/>
        </w:rPr>
      </w:pPr>
      <w:r w:rsidRPr="000C156A">
        <w:rPr>
          <w:rFonts w:hint="eastAsia"/>
          <w:lang w:eastAsia="zh-CN"/>
        </w:rPr>
        <w:t>评估是否需要设立或修改资产减损准备金是按照应收款项的性质，以下列应收款项类别为基础进行的：</w:t>
      </w:r>
    </w:p>
    <w:p w14:paraId="2AC06874" w14:textId="77777777" w:rsidR="009D43C3" w:rsidRPr="000C156A" w:rsidRDefault="009D43C3" w:rsidP="009D43C3">
      <w:pPr>
        <w:rPr>
          <w:lang w:eastAsia="zh-CN"/>
        </w:rPr>
      </w:pPr>
      <w:r w:rsidRPr="000C156A">
        <w:rPr>
          <w:lang w:eastAsia="zh-CN"/>
        </w:rPr>
        <w:t xml:space="preserve">1 – </w:t>
      </w:r>
      <w:r w:rsidRPr="000C156A">
        <w:rPr>
          <w:rFonts w:hint="eastAsia"/>
          <w:lang w:eastAsia="zh-CN"/>
        </w:rPr>
        <w:t>成员国</w:t>
      </w:r>
    </w:p>
    <w:p w14:paraId="3273EF4D" w14:textId="77777777" w:rsidR="009D43C3" w:rsidRPr="000C156A" w:rsidRDefault="009D43C3" w:rsidP="009D43C3">
      <w:pPr>
        <w:ind w:firstLineChars="200" w:firstLine="480"/>
        <w:rPr>
          <w:lang w:eastAsia="zh-CN"/>
        </w:rPr>
      </w:pPr>
      <w:r w:rsidRPr="000C156A">
        <w:rPr>
          <w:rFonts w:hint="eastAsia"/>
          <w:lang w:eastAsia="zh-CN"/>
        </w:rPr>
        <w:t>根据国际电联《组织法》第</w:t>
      </w:r>
      <w:r w:rsidRPr="000C156A">
        <w:rPr>
          <w:lang w:eastAsia="zh-CN"/>
        </w:rPr>
        <w:t>28</w:t>
      </w:r>
      <w:r w:rsidRPr="000C156A">
        <w:rPr>
          <w:rFonts w:hint="eastAsia"/>
          <w:lang w:eastAsia="zh-CN"/>
        </w:rPr>
        <w:t>条第</w:t>
      </w:r>
      <w:r w:rsidRPr="000C156A">
        <w:rPr>
          <w:lang w:eastAsia="zh-CN"/>
        </w:rPr>
        <w:t>169</w:t>
      </w:r>
      <w:r w:rsidRPr="000C156A">
        <w:rPr>
          <w:rFonts w:hint="eastAsia"/>
          <w:lang w:eastAsia="zh-CN"/>
        </w:rPr>
        <w:t>款，对国际电联欠款的成员国在其欠款金额等于或大于前两个年度应付会费的总额时，应丧失其按《组织法》第</w:t>
      </w:r>
      <w:r w:rsidRPr="000C156A">
        <w:rPr>
          <w:lang w:eastAsia="zh-CN"/>
        </w:rPr>
        <w:t>27</w:t>
      </w:r>
      <w:r w:rsidRPr="000C156A">
        <w:rPr>
          <w:rFonts w:hint="eastAsia"/>
          <w:lang w:eastAsia="zh-CN"/>
        </w:rPr>
        <w:t>和</w:t>
      </w:r>
      <w:r w:rsidRPr="000C156A">
        <w:rPr>
          <w:lang w:eastAsia="zh-CN"/>
        </w:rPr>
        <w:t>28</w:t>
      </w:r>
      <w:r w:rsidRPr="000C156A">
        <w:rPr>
          <w:rFonts w:hint="eastAsia"/>
          <w:lang w:eastAsia="zh-CN"/>
        </w:rPr>
        <w:t>款的规定而享有的表决权。</w:t>
      </w:r>
    </w:p>
    <w:p w14:paraId="24B0298D" w14:textId="77777777" w:rsidR="009D43C3" w:rsidRPr="000C156A" w:rsidRDefault="009D43C3" w:rsidP="009D43C3">
      <w:pPr>
        <w:ind w:firstLineChars="200" w:firstLine="480"/>
        <w:rPr>
          <w:lang w:eastAsia="zh-CN"/>
        </w:rPr>
      </w:pPr>
      <w:r w:rsidRPr="000C156A">
        <w:rPr>
          <w:rFonts w:hint="eastAsia"/>
          <w:lang w:eastAsia="zh-CN"/>
        </w:rPr>
        <w:t>根据上述规则，为欠款两年以上的成员国设立准备金，按照每季度产生的财务通知进行评定和跟踪。准备金是按照在次年年初产生的有关年份的最后季度通知计算得出的。</w:t>
      </w:r>
    </w:p>
    <w:p w14:paraId="1536D221" w14:textId="77777777" w:rsidR="009D43C3" w:rsidRPr="000C156A" w:rsidRDefault="009D43C3" w:rsidP="009D43C3">
      <w:pPr>
        <w:ind w:firstLineChars="200" w:firstLine="480"/>
        <w:rPr>
          <w:lang w:eastAsia="zh-CN"/>
        </w:rPr>
      </w:pPr>
      <w:r w:rsidRPr="000C156A">
        <w:rPr>
          <w:rFonts w:hint="eastAsia"/>
          <w:lang w:eastAsia="zh-CN"/>
        </w:rPr>
        <w:t>准备金金额是两年以上</w:t>
      </w:r>
      <w:r w:rsidRPr="000C156A">
        <w:rPr>
          <w:lang w:eastAsia="zh-CN"/>
        </w:rPr>
        <w:t>100%</w:t>
      </w:r>
      <w:r w:rsidRPr="000C156A">
        <w:rPr>
          <w:rFonts w:hint="eastAsia"/>
          <w:lang w:eastAsia="zh-CN"/>
        </w:rPr>
        <w:t>的未付债务加自逾期未付开始的欠款利息。</w:t>
      </w:r>
    </w:p>
    <w:p w14:paraId="7327EF89" w14:textId="77777777" w:rsidR="009D43C3" w:rsidRPr="000C156A" w:rsidRDefault="009D43C3" w:rsidP="009D43C3">
      <w:pPr>
        <w:rPr>
          <w:lang w:eastAsia="zh-CN"/>
        </w:rPr>
      </w:pPr>
      <w:r w:rsidRPr="000C156A">
        <w:rPr>
          <w:lang w:eastAsia="zh-CN"/>
        </w:rPr>
        <w:t xml:space="preserve">2 – </w:t>
      </w:r>
      <w:r w:rsidRPr="000C156A">
        <w:rPr>
          <w:rFonts w:hint="eastAsia"/>
          <w:lang w:eastAsia="zh-CN"/>
        </w:rPr>
        <w:t>部门成员、部门准成员和学术成员</w:t>
      </w:r>
    </w:p>
    <w:p w14:paraId="5E1D59C5" w14:textId="77777777" w:rsidR="009D43C3" w:rsidRPr="000C156A" w:rsidRDefault="009D43C3" w:rsidP="009D43C3">
      <w:pPr>
        <w:ind w:firstLineChars="200" w:firstLine="480"/>
        <w:rPr>
          <w:lang w:eastAsia="zh-CN"/>
        </w:rPr>
      </w:pPr>
      <w:r w:rsidRPr="000C156A">
        <w:rPr>
          <w:rFonts w:hint="eastAsia"/>
          <w:lang w:eastAsia="zh-CN"/>
        </w:rPr>
        <w:t>有关部门成员和部门准成员，全权代表大会第</w:t>
      </w:r>
      <w:r w:rsidRPr="000C156A">
        <w:rPr>
          <w:lang w:eastAsia="zh-CN"/>
        </w:rPr>
        <w:t>152</w:t>
      </w:r>
      <w:r w:rsidRPr="000C156A">
        <w:rPr>
          <w:rFonts w:hint="eastAsia"/>
          <w:lang w:eastAsia="zh-CN"/>
        </w:rPr>
        <w:t>号决议（</w:t>
      </w:r>
      <w:r w:rsidRPr="000C156A">
        <w:rPr>
          <w:lang w:eastAsia="zh-CN"/>
        </w:rPr>
        <w:t>2014</w:t>
      </w:r>
      <w:r w:rsidRPr="000C156A">
        <w:rPr>
          <w:rFonts w:hint="eastAsia"/>
          <w:lang w:eastAsia="zh-CN"/>
        </w:rPr>
        <w:t>年，釜山，修订版）在</w:t>
      </w:r>
      <w:r w:rsidRPr="000C156A">
        <w:rPr>
          <w:rFonts w:eastAsia="STKaiti" w:hint="eastAsia"/>
          <w:lang w:eastAsia="zh-CN"/>
        </w:rPr>
        <w:t>做出决议</w:t>
      </w:r>
      <w:r w:rsidRPr="000C156A">
        <w:rPr>
          <w:lang w:eastAsia="zh-CN"/>
        </w:rPr>
        <w:t>6</w:t>
      </w:r>
      <w:r w:rsidRPr="000C156A">
        <w:rPr>
          <w:rFonts w:hint="eastAsia"/>
          <w:lang w:eastAsia="zh-CN"/>
        </w:rPr>
        <w:t>中规定：如果逾期支付，将会在年度会费缴付到期日的六个月（</w:t>
      </w:r>
      <w:r w:rsidRPr="000C156A">
        <w:rPr>
          <w:lang w:eastAsia="zh-CN"/>
        </w:rPr>
        <w:t>180</w:t>
      </w:r>
      <w:r w:rsidRPr="000C156A">
        <w:rPr>
          <w:rFonts w:hint="eastAsia"/>
          <w:lang w:eastAsia="zh-CN"/>
        </w:rPr>
        <w:t>天）之后暂停其参与国际电联活动；在没有磋商或协议还款时间表的情况下，因为不缴付而将部门成员或部门准成员开除须在暂停通知收到日的三个月（</w:t>
      </w:r>
      <w:r w:rsidRPr="000C156A">
        <w:rPr>
          <w:lang w:eastAsia="zh-CN"/>
        </w:rPr>
        <w:t>90</w:t>
      </w:r>
      <w:r w:rsidRPr="000C156A">
        <w:rPr>
          <w:rFonts w:hint="eastAsia"/>
          <w:lang w:eastAsia="zh-CN"/>
        </w:rPr>
        <w:t>天）之后生效。</w:t>
      </w:r>
    </w:p>
    <w:p w14:paraId="2709D646" w14:textId="77777777" w:rsidR="009D43C3" w:rsidRPr="000C156A" w:rsidRDefault="009D43C3" w:rsidP="009D43C3">
      <w:pPr>
        <w:ind w:firstLineChars="200" w:firstLine="480"/>
        <w:rPr>
          <w:lang w:eastAsia="zh-CN"/>
        </w:rPr>
      </w:pPr>
      <w:r w:rsidRPr="000C156A">
        <w:rPr>
          <w:rFonts w:hint="eastAsia"/>
          <w:lang w:eastAsia="zh-CN"/>
        </w:rPr>
        <w:t>所有两年以上的未缴付债务，包括欠款利息，都得到</w:t>
      </w:r>
      <w:r w:rsidRPr="000C156A">
        <w:rPr>
          <w:lang w:eastAsia="zh-CN"/>
        </w:rPr>
        <w:t>100%</w:t>
      </w:r>
      <w:r w:rsidRPr="000C156A">
        <w:rPr>
          <w:rFonts w:hint="eastAsia"/>
          <w:lang w:eastAsia="zh-CN"/>
        </w:rPr>
        <w:t>的准备。</w:t>
      </w:r>
    </w:p>
    <w:p w14:paraId="3F6E1100" w14:textId="77777777" w:rsidR="009D43C3" w:rsidRPr="000C156A" w:rsidRDefault="009D43C3" w:rsidP="009D43C3">
      <w:pPr>
        <w:rPr>
          <w:lang w:eastAsia="zh-CN"/>
        </w:rPr>
      </w:pPr>
      <w:r w:rsidRPr="000C156A">
        <w:rPr>
          <w:lang w:eastAsia="zh-CN"/>
        </w:rPr>
        <w:t xml:space="preserve">3 – </w:t>
      </w:r>
      <w:r w:rsidRPr="000C156A">
        <w:rPr>
          <w:rFonts w:hint="eastAsia"/>
          <w:lang w:eastAsia="zh-CN"/>
        </w:rPr>
        <w:t>卫星网络申报（</w:t>
      </w:r>
      <w:r w:rsidRPr="000C156A">
        <w:rPr>
          <w:lang w:eastAsia="zh-CN"/>
        </w:rPr>
        <w:t>SNF</w:t>
      </w:r>
      <w:r w:rsidRPr="000C156A">
        <w:rPr>
          <w:rFonts w:hint="eastAsia"/>
          <w:lang w:eastAsia="zh-CN"/>
        </w:rPr>
        <w:t>）收入</w:t>
      </w:r>
    </w:p>
    <w:p w14:paraId="7C8EF11B" w14:textId="77777777" w:rsidR="009D43C3" w:rsidRPr="000C156A" w:rsidRDefault="009D43C3" w:rsidP="009D43C3">
      <w:pPr>
        <w:ind w:firstLineChars="200" w:firstLine="480"/>
        <w:rPr>
          <w:lang w:eastAsia="zh-CN"/>
        </w:rPr>
      </w:pPr>
      <w:r w:rsidRPr="000C156A">
        <w:rPr>
          <w:rFonts w:hint="eastAsia"/>
          <w:lang w:eastAsia="zh-CN"/>
        </w:rPr>
        <w:t>在出现逾期缴付时，国际电联设立</w:t>
      </w:r>
      <w:r w:rsidRPr="000C156A">
        <w:rPr>
          <w:lang w:eastAsia="zh-CN"/>
        </w:rPr>
        <w:t>SNF</w:t>
      </w:r>
      <w:r w:rsidRPr="000C156A">
        <w:rPr>
          <w:rFonts w:hint="eastAsia"/>
          <w:lang w:eastAsia="zh-CN"/>
        </w:rPr>
        <w:t>发票准备，包括自逾期日起</w:t>
      </w:r>
      <w:r w:rsidRPr="000C156A">
        <w:rPr>
          <w:lang w:eastAsia="zh-CN"/>
        </w:rPr>
        <w:t>6%</w:t>
      </w:r>
      <w:r w:rsidRPr="000C156A">
        <w:rPr>
          <w:rFonts w:hint="eastAsia"/>
          <w:lang w:eastAsia="zh-CN"/>
        </w:rPr>
        <w:t>的欠款利息。由于这种发票可在六个月内支付，在列报后当年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日将设立</w:t>
      </w:r>
      <w:r w:rsidRPr="000C156A">
        <w:rPr>
          <w:lang w:eastAsia="zh-CN"/>
        </w:rPr>
        <w:t>100%</w:t>
      </w:r>
      <w:r w:rsidRPr="000C156A">
        <w:rPr>
          <w:rFonts w:hint="eastAsia"/>
          <w:lang w:eastAsia="zh-CN"/>
        </w:rPr>
        <w:t>的准备金。</w:t>
      </w:r>
    </w:p>
    <w:p w14:paraId="12C49D49" w14:textId="77777777" w:rsidR="009D43C3" w:rsidRPr="000C156A" w:rsidRDefault="009D43C3" w:rsidP="009D43C3">
      <w:pPr>
        <w:rPr>
          <w:lang w:eastAsia="zh-CN"/>
        </w:rPr>
      </w:pPr>
      <w:r w:rsidRPr="000C156A">
        <w:rPr>
          <w:lang w:eastAsia="zh-CN"/>
        </w:rPr>
        <w:t xml:space="preserve">4 – </w:t>
      </w:r>
      <w:r w:rsidRPr="000C156A">
        <w:rPr>
          <w:rFonts w:hint="eastAsia"/>
          <w:lang w:eastAsia="zh-CN"/>
        </w:rPr>
        <w:t>出版物</w:t>
      </w:r>
    </w:p>
    <w:p w14:paraId="1BD2B265" w14:textId="77777777" w:rsidR="009D43C3" w:rsidRPr="000C156A" w:rsidRDefault="009D43C3" w:rsidP="009D43C3">
      <w:pPr>
        <w:ind w:firstLineChars="200" w:firstLine="480"/>
        <w:rPr>
          <w:lang w:eastAsia="zh-CN"/>
        </w:rPr>
      </w:pPr>
      <w:r w:rsidRPr="000C156A">
        <w:rPr>
          <w:rFonts w:hint="eastAsia"/>
          <w:lang w:eastAsia="zh-CN"/>
        </w:rPr>
        <w:t>多数出版物是款项预付，但成员国主管部门例外。该准备的设立完全遵循成员国和部门成员会费采用的原则。</w:t>
      </w:r>
    </w:p>
    <w:p w14:paraId="7D127AFE" w14:textId="77777777" w:rsidR="009D43C3" w:rsidRPr="000C156A" w:rsidRDefault="009D43C3" w:rsidP="009D43C3">
      <w:pPr>
        <w:rPr>
          <w:lang w:eastAsia="zh-CN"/>
        </w:rPr>
      </w:pPr>
      <w:r w:rsidRPr="000C156A">
        <w:rPr>
          <w:lang w:eastAsia="zh-CN"/>
        </w:rPr>
        <w:t xml:space="preserve">5 – </w:t>
      </w:r>
      <w:r w:rsidRPr="000C156A">
        <w:rPr>
          <w:rFonts w:hint="eastAsia"/>
          <w:lang w:eastAsia="zh-CN"/>
        </w:rPr>
        <w:t>其它债务方（如自愿捐赠）</w:t>
      </w:r>
    </w:p>
    <w:p w14:paraId="49056C37" w14:textId="77777777" w:rsidR="009D43C3" w:rsidRPr="000C156A" w:rsidRDefault="009D43C3" w:rsidP="009D43C3">
      <w:pPr>
        <w:ind w:firstLineChars="200" w:firstLine="480"/>
        <w:rPr>
          <w:lang w:eastAsia="zh-CN"/>
        </w:rPr>
      </w:pPr>
      <w:r w:rsidRPr="000C156A">
        <w:rPr>
          <w:rFonts w:hint="eastAsia"/>
          <w:lang w:eastAsia="zh-CN"/>
        </w:rPr>
        <w:t>准备金额为出具发票后当年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日未缴付应收款项的</w:t>
      </w:r>
      <w:r w:rsidRPr="000C156A">
        <w:rPr>
          <w:lang w:eastAsia="zh-CN"/>
        </w:rPr>
        <w:t>100%</w:t>
      </w:r>
      <w:r w:rsidRPr="000C156A">
        <w:rPr>
          <w:rFonts w:hint="eastAsia"/>
          <w:lang w:eastAsia="zh-CN"/>
        </w:rPr>
        <w:t>。</w:t>
      </w:r>
    </w:p>
    <w:p w14:paraId="70156341" w14:textId="77777777" w:rsidR="009D43C3" w:rsidRPr="000C156A" w:rsidRDefault="009D43C3" w:rsidP="009D43C3">
      <w:pPr>
        <w:rPr>
          <w:lang w:eastAsia="zh-CN"/>
        </w:rPr>
      </w:pPr>
      <w:r w:rsidRPr="000C156A">
        <w:rPr>
          <w:lang w:eastAsia="zh-CN"/>
        </w:rPr>
        <w:t xml:space="preserve">6 – </w:t>
      </w:r>
      <w:r w:rsidRPr="000C156A">
        <w:rPr>
          <w:rFonts w:hint="eastAsia"/>
          <w:lang w:eastAsia="zh-CN"/>
        </w:rPr>
        <w:t>国际电联电信展</w:t>
      </w:r>
    </w:p>
    <w:p w14:paraId="7F8D9651" w14:textId="77777777" w:rsidR="009D43C3" w:rsidRPr="000C156A" w:rsidRDefault="009D43C3" w:rsidP="009D43C3">
      <w:pPr>
        <w:ind w:firstLineChars="200" w:firstLine="480"/>
        <w:rPr>
          <w:lang w:eastAsia="zh-CN"/>
        </w:rPr>
      </w:pPr>
      <w:r w:rsidRPr="000C156A">
        <w:rPr>
          <w:rFonts w:hint="eastAsia"/>
          <w:lang w:eastAsia="zh-CN"/>
        </w:rPr>
        <w:t>电信展结账时，国际电联电信展活动应收款项的准备金为</w:t>
      </w:r>
      <w:r w:rsidRPr="000C156A">
        <w:rPr>
          <w:lang w:eastAsia="zh-CN"/>
        </w:rPr>
        <w:t>100%</w:t>
      </w:r>
      <w:r w:rsidRPr="000C156A">
        <w:rPr>
          <w:rFonts w:hint="eastAsia"/>
          <w:lang w:eastAsia="zh-CN"/>
        </w:rPr>
        <w:t>。</w:t>
      </w:r>
    </w:p>
    <w:p w14:paraId="75CC9C3B" w14:textId="77777777" w:rsidR="009D43C3" w:rsidRPr="000C156A" w:rsidRDefault="009D43C3" w:rsidP="009D43C3">
      <w:pPr>
        <w:pStyle w:val="Heading5"/>
        <w:rPr>
          <w:rFonts w:cs="Microsoft YaHei"/>
          <w:b w:val="0"/>
          <w:u w:val="single"/>
          <w:lang w:eastAsia="zh-CN"/>
        </w:rPr>
      </w:pPr>
      <w:bookmarkStart w:id="389" w:name="_Toc305426932"/>
      <w:bookmarkStart w:id="390" w:name="_Toc482892547"/>
      <w:bookmarkStart w:id="391" w:name="_Toc41905848"/>
      <w:bookmarkStart w:id="392" w:name="_Toc73636247"/>
      <w:r w:rsidRPr="000C156A">
        <w:rPr>
          <w:rFonts w:cs="Microsoft YaHei" w:hint="eastAsia"/>
          <w:u w:val="single"/>
          <w:lang w:val="fr-FR" w:eastAsia="zh-CN"/>
        </w:rPr>
        <w:t>资产减损准备金的使用和</w:t>
      </w:r>
      <w:bookmarkEnd w:id="389"/>
      <w:r w:rsidRPr="000C156A">
        <w:rPr>
          <w:rFonts w:cs="Microsoft YaHei" w:hint="eastAsia"/>
          <w:u w:val="single"/>
          <w:lang w:val="fr-FR" w:eastAsia="zh-CN"/>
        </w:rPr>
        <w:t>提供</w:t>
      </w:r>
      <w:bookmarkEnd w:id="390"/>
      <w:bookmarkEnd w:id="391"/>
      <w:bookmarkEnd w:id="392"/>
    </w:p>
    <w:p w14:paraId="4592788C" w14:textId="77777777" w:rsidR="009D43C3" w:rsidRPr="000C156A" w:rsidRDefault="009D43C3" w:rsidP="009D43C3">
      <w:pPr>
        <w:ind w:firstLineChars="200" w:firstLine="480"/>
        <w:rPr>
          <w:lang w:eastAsia="zh-CN"/>
        </w:rPr>
      </w:pPr>
      <w:r w:rsidRPr="000C156A">
        <w:rPr>
          <w:rFonts w:hint="eastAsia"/>
          <w:lang w:eastAsia="zh-CN"/>
        </w:rPr>
        <w:t>当债务不可清偿时（如无资产或债务冲销证明书），确认坏账损失。此外，确认准备金的使用。如在之后的时间内，减值损失减少，而且损失的减少在客观上与减值确认之后发生的事项相关（如，偿还债务时间表的签署），必须全部或部分地通过提供准备金转回之前确认的减值损失。</w:t>
      </w:r>
    </w:p>
    <w:p w14:paraId="1F27691B" w14:textId="77777777" w:rsidR="009D43C3" w:rsidRPr="000C156A" w:rsidRDefault="009D43C3" w:rsidP="009D43C3">
      <w:pPr>
        <w:ind w:firstLineChars="200" w:firstLine="480"/>
        <w:rPr>
          <w:lang w:eastAsia="zh-CN"/>
        </w:rPr>
      </w:pPr>
      <w:r w:rsidRPr="000C156A">
        <w:rPr>
          <w:rFonts w:hint="eastAsia"/>
          <w:lang w:eastAsia="zh-CN"/>
        </w:rPr>
        <w:t>成员国或部门成员的准备金随每年按照债务偿还时间表的偿还金额减少。当债务资本金偿清后，经理事会批准，欠款利息注销。该金额包括与出版物相关的应收款项。</w:t>
      </w:r>
    </w:p>
    <w:p w14:paraId="45F7E6E8" w14:textId="77777777" w:rsidR="009D43C3" w:rsidRPr="000C156A" w:rsidRDefault="009D43C3" w:rsidP="009D43C3">
      <w:pPr>
        <w:ind w:firstLineChars="200" w:firstLine="480"/>
        <w:rPr>
          <w:lang w:eastAsia="zh-CN"/>
        </w:rPr>
      </w:pPr>
      <w:r w:rsidRPr="000C156A">
        <w:rPr>
          <w:rFonts w:hint="eastAsia"/>
          <w:lang w:eastAsia="zh-CN"/>
        </w:rPr>
        <w:lastRenderedPageBreak/>
        <w:t>如在之后一段时间内，新的应收款项符合上段确认的减损标准，该年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日必须确认准备金的设立。</w:t>
      </w:r>
    </w:p>
    <w:p w14:paraId="526231AA" w14:textId="77777777" w:rsidR="009D43C3" w:rsidRPr="000C156A" w:rsidRDefault="009D43C3" w:rsidP="009D43C3">
      <w:pPr>
        <w:pStyle w:val="Heading5"/>
        <w:rPr>
          <w:rFonts w:cs="Microsoft YaHei"/>
          <w:b w:val="0"/>
          <w:i/>
          <w:u w:val="single"/>
          <w:lang w:eastAsia="zh-CN"/>
        </w:rPr>
      </w:pPr>
      <w:bookmarkStart w:id="393" w:name="_Toc482892548"/>
      <w:bookmarkStart w:id="394" w:name="_Toc329011617"/>
      <w:bookmarkStart w:id="395" w:name="_Toc305764069"/>
      <w:bookmarkStart w:id="396" w:name="_Toc41905849"/>
      <w:bookmarkStart w:id="397" w:name="_Toc73636248"/>
      <w:r w:rsidRPr="000C156A">
        <w:rPr>
          <w:rFonts w:cs="Microsoft YaHei" w:hint="eastAsia"/>
          <w:u w:val="single"/>
          <w:lang w:val="fr-FR" w:eastAsia="zh-CN"/>
        </w:rPr>
        <w:t>库存</w:t>
      </w:r>
      <w:bookmarkEnd w:id="393"/>
      <w:bookmarkEnd w:id="394"/>
      <w:bookmarkEnd w:id="395"/>
      <w:bookmarkEnd w:id="396"/>
      <w:bookmarkEnd w:id="397"/>
    </w:p>
    <w:p w14:paraId="1C18295E" w14:textId="77777777" w:rsidR="009D43C3" w:rsidRPr="000C156A" w:rsidRDefault="009D43C3" w:rsidP="009D43C3">
      <w:pPr>
        <w:ind w:firstLineChars="200" w:firstLine="480"/>
        <w:rPr>
          <w:lang w:eastAsia="zh-CN"/>
        </w:rPr>
      </w:pPr>
      <w:r w:rsidRPr="000C156A">
        <w:rPr>
          <w:rFonts w:hint="eastAsia"/>
          <w:lang w:eastAsia="zh-CN"/>
        </w:rPr>
        <w:t>库存包括带有国际电联标志的出版物和纪念品以及消耗品、维护原材料和未划拨的用来维护具体资产的零部件备件的储藏。</w:t>
      </w:r>
    </w:p>
    <w:p w14:paraId="65F7B01F" w14:textId="77777777" w:rsidR="009D43C3" w:rsidRPr="000C156A" w:rsidRDefault="009D43C3" w:rsidP="009D43C3">
      <w:pPr>
        <w:ind w:firstLineChars="200" w:firstLine="480"/>
        <w:rPr>
          <w:lang w:eastAsia="zh-CN"/>
        </w:rPr>
      </w:pPr>
      <w:r w:rsidRPr="000C156A">
        <w:rPr>
          <w:rFonts w:hint="eastAsia"/>
          <w:lang w:eastAsia="zh-CN"/>
        </w:rPr>
        <w:t>消耗品的库存采用加权平均成本方法计价。组织内所有性质和用途与此类似的库存采用同样方法计价。</w:t>
      </w:r>
    </w:p>
    <w:p w14:paraId="6A2C7F35" w14:textId="77777777" w:rsidR="009D43C3" w:rsidRPr="000C156A" w:rsidRDefault="009D43C3" w:rsidP="009D43C3">
      <w:pPr>
        <w:ind w:firstLineChars="200" w:firstLine="480"/>
        <w:rPr>
          <w:lang w:eastAsia="zh-CN"/>
        </w:rPr>
      </w:pPr>
      <w:r w:rsidRPr="000C156A">
        <w:rPr>
          <w:rFonts w:hint="eastAsia"/>
          <w:lang w:eastAsia="zh-CN"/>
        </w:rPr>
        <w:t>出版物根据一种每年更新的比率而制定的标准成本计价。标准成本不包括直接人员成本；然而，纸张成本增长了</w:t>
      </w:r>
      <w:r w:rsidRPr="000C156A">
        <w:rPr>
          <w:lang w:eastAsia="zh-CN"/>
        </w:rPr>
        <w:t>253%</w:t>
      </w:r>
      <w:r w:rsidRPr="000C156A">
        <w:rPr>
          <w:rFonts w:hint="eastAsia"/>
          <w:lang w:eastAsia="zh-CN"/>
        </w:rPr>
        <w:t>，代表着与印制相关的直接成本。净可实现价值代表着估计售价减去估计的出版物生产、销售和发行成本。</w:t>
      </w:r>
    </w:p>
    <w:p w14:paraId="48190E50" w14:textId="77777777" w:rsidR="009D43C3" w:rsidRPr="000C156A" w:rsidRDefault="009D43C3" w:rsidP="009D43C3">
      <w:pPr>
        <w:ind w:firstLineChars="200" w:firstLine="480"/>
        <w:rPr>
          <w:lang w:eastAsia="zh-CN"/>
        </w:rPr>
      </w:pPr>
      <w:r w:rsidRPr="000C156A">
        <w:rPr>
          <w:rFonts w:hint="eastAsia"/>
          <w:lang w:eastAsia="zh-CN"/>
        </w:rPr>
        <w:t>尽管出版物库存的发行成本为零或是象征性的，但本组织赋予了出版物一种价值：必须付出，以实现经济效益或为实现组织宗旨而提供的服务。如果在市场上不能实现这种经济效益或服务目的，而库存以其重置价值计价。</w:t>
      </w:r>
    </w:p>
    <w:p w14:paraId="0446E8C9" w14:textId="77777777" w:rsidR="009D43C3" w:rsidRPr="000C156A" w:rsidRDefault="009D43C3" w:rsidP="009D43C3">
      <w:pPr>
        <w:ind w:firstLineChars="200" w:firstLine="480"/>
        <w:rPr>
          <w:lang w:eastAsia="zh-CN"/>
        </w:rPr>
      </w:pPr>
      <w:r w:rsidRPr="000C156A">
        <w:rPr>
          <w:rFonts w:hint="eastAsia"/>
          <w:lang w:eastAsia="zh-CN"/>
        </w:rPr>
        <w:t>每年对所有库存进行一次实物存盘。在每个决算日，如有迹象说明任何库存可能会贬值，则进行折旧。出版物的计价分两步：首先，根据每年实物存盘时的损坏状况，之后在看出版物是否过时。本组织亦确定以往认可的损失亏损是递减还是消失了。如有此类迹象，则对库存的净可实现价值或重置价值进行估值和更新。</w:t>
      </w:r>
    </w:p>
    <w:p w14:paraId="2F5D12B4" w14:textId="77777777" w:rsidR="009D43C3" w:rsidRPr="000C156A" w:rsidRDefault="009D43C3" w:rsidP="009D43C3">
      <w:pPr>
        <w:ind w:firstLineChars="200" w:firstLine="480"/>
        <w:rPr>
          <w:lang w:eastAsia="zh-CN"/>
        </w:rPr>
      </w:pPr>
      <w:r w:rsidRPr="000C156A">
        <w:rPr>
          <w:rFonts w:hint="eastAsia"/>
          <w:lang w:eastAsia="zh-CN"/>
        </w:rPr>
        <w:t>已不再出售或免费发行的出版物和物品的净置存金额将降至零。</w:t>
      </w:r>
    </w:p>
    <w:p w14:paraId="20A35943" w14:textId="77777777" w:rsidR="009D43C3" w:rsidRPr="000C156A" w:rsidRDefault="009D43C3" w:rsidP="009D43C3">
      <w:pPr>
        <w:pStyle w:val="Heading5"/>
        <w:rPr>
          <w:rFonts w:cs="Microsoft YaHei"/>
          <w:b w:val="0"/>
          <w:i/>
          <w:u w:val="single"/>
          <w:lang w:eastAsia="zh-CN"/>
        </w:rPr>
      </w:pPr>
      <w:bookmarkStart w:id="398" w:name="_Toc482892549"/>
      <w:bookmarkStart w:id="399" w:name="_Toc329011618"/>
      <w:bookmarkStart w:id="400" w:name="_Toc305764070"/>
      <w:bookmarkStart w:id="401" w:name="_Toc305426933"/>
      <w:bookmarkStart w:id="402" w:name="_Toc41905850"/>
      <w:bookmarkStart w:id="403" w:name="_Toc73636249"/>
      <w:r w:rsidRPr="000C156A">
        <w:rPr>
          <w:rFonts w:cs="Microsoft YaHei" w:hint="eastAsia"/>
          <w:u w:val="single"/>
          <w:lang w:val="fr-FR" w:eastAsia="zh-CN"/>
        </w:rPr>
        <w:t>物业和设备</w:t>
      </w:r>
      <w:bookmarkEnd w:id="398"/>
      <w:bookmarkEnd w:id="399"/>
      <w:bookmarkEnd w:id="400"/>
      <w:bookmarkEnd w:id="401"/>
      <w:bookmarkEnd w:id="402"/>
      <w:bookmarkEnd w:id="403"/>
    </w:p>
    <w:p w14:paraId="35A418F6" w14:textId="77777777" w:rsidR="009D43C3" w:rsidRPr="000C156A" w:rsidRDefault="009D43C3" w:rsidP="009D43C3">
      <w:pPr>
        <w:ind w:firstLineChars="200" w:firstLine="480"/>
        <w:rPr>
          <w:lang w:eastAsia="zh-CN"/>
        </w:rPr>
      </w:pPr>
      <w:r w:rsidRPr="000C156A">
        <w:rPr>
          <w:rFonts w:hint="eastAsia"/>
          <w:lang w:eastAsia="zh-CN"/>
        </w:rPr>
        <w:t>国际电联拥有的物业和设备的估值方法是历史成本减去累计折旧和累计价值减损。</w:t>
      </w:r>
      <w:r w:rsidRPr="000C156A">
        <w:rPr>
          <w:lang w:eastAsia="zh-CN"/>
        </w:rPr>
        <w:t>2010</w:t>
      </w:r>
      <w:r w:rsidRPr="000C156A">
        <w:rPr>
          <w:rFonts w:hint="eastAsia"/>
          <w:lang w:eastAsia="zh-CN"/>
        </w:rPr>
        <w:t>年</w:t>
      </w:r>
      <w:r w:rsidRPr="000C156A">
        <w:rPr>
          <w:lang w:eastAsia="zh-CN"/>
        </w:rPr>
        <w:t>1</w:t>
      </w:r>
      <w:r w:rsidRPr="000C156A">
        <w:rPr>
          <w:rFonts w:hint="eastAsia"/>
          <w:lang w:eastAsia="zh-CN"/>
        </w:rPr>
        <w:t>月</w:t>
      </w:r>
      <w:r w:rsidRPr="000C156A">
        <w:rPr>
          <w:lang w:eastAsia="zh-CN"/>
        </w:rPr>
        <w:t>1</w:t>
      </w:r>
      <w:r w:rsidRPr="000C156A">
        <w:rPr>
          <w:rFonts w:hint="eastAsia"/>
          <w:lang w:eastAsia="zh-CN"/>
        </w:rPr>
        <w:t>日</w:t>
      </w:r>
      <w:r w:rsidRPr="000C156A">
        <w:rPr>
          <w:lang w:eastAsia="zh-CN"/>
        </w:rPr>
        <w:t>IPSAS</w:t>
      </w:r>
      <w:r w:rsidRPr="000C156A">
        <w:rPr>
          <w:rFonts w:hint="eastAsia"/>
          <w:lang w:eastAsia="zh-CN"/>
        </w:rPr>
        <w:t>起用时，根据外部咨询机构开展的研究，在财务状况报表中，建筑物以其内在价值予以确认。建筑物的确认采用分部构成方式。在计算建筑物的内在价值时，不考虑到土地面积（地上权）。日内瓦州免费向国际电联提供了上述土地的地上权。</w:t>
      </w:r>
    </w:p>
    <w:p w14:paraId="735E62FD" w14:textId="77777777" w:rsidR="009D43C3" w:rsidRPr="000C156A" w:rsidRDefault="009D43C3" w:rsidP="009D43C3">
      <w:pPr>
        <w:ind w:firstLineChars="200" w:firstLine="480"/>
        <w:rPr>
          <w:lang w:eastAsia="zh-CN"/>
        </w:rPr>
      </w:pPr>
      <w:r w:rsidRPr="000C156A">
        <w:rPr>
          <w:rFonts w:hint="eastAsia"/>
          <w:lang w:eastAsia="zh-CN"/>
        </w:rPr>
        <w:t>实物赠予以收到动产之日估计的公允价值计价。与计划创立或购置一具体资产的实物赠予相关的收入记账分散在相等于自所述资产启用日期后折旧期的一段时间内。</w:t>
      </w:r>
    </w:p>
    <w:p w14:paraId="07088B02" w14:textId="77777777" w:rsidR="009D43C3" w:rsidRPr="000C156A" w:rsidRDefault="009D43C3" w:rsidP="009D43C3">
      <w:pPr>
        <w:ind w:firstLineChars="200" w:firstLine="480"/>
        <w:rPr>
          <w:lang w:eastAsia="zh-CN"/>
        </w:rPr>
      </w:pPr>
      <w:r w:rsidRPr="000C156A">
        <w:rPr>
          <w:rFonts w:hint="eastAsia"/>
          <w:lang w:eastAsia="zh-CN"/>
        </w:rPr>
        <w:t>价值等于或高于</w:t>
      </w:r>
      <w:r w:rsidRPr="000C156A">
        <w:rPr>
          <w:lang w:eastAsia="zh-CN"/>
        </w:rPr>
        <w:t>5 000</w:t>
      </w:r>
      <w:r w:rsidRPr="000C156A">
        <w:rPr>
          <w:rFonts w:hint="eastAsia"/>
          <w:lang w:eastAsia="zh-CN"/>
        </w:rPr>
        <w:t>瑞郎的货物在收到时予以资本化，之后直接折旧。</w:t>
      </w:r>
    </w:p>
    <w:p w14:paraId="6DC99262" w14:textId="77777777" w:rsidR="009D43C3" w:rsidRPr="000C156A" w:rsidRDefault="009D43C3" w:rsidP="009D43C3">
      <w:pPr>
        <w:ind w:firstLineChars="200" w:firstLine="480"/>
        <w:rPr>
          <w:lang w:eastAsia="zh-CN"/>
        </w:rPr>
      </w:pPr>
      <w:r w:rsidRPr="000C156A">
        <w:rPr>
          <w:rFonts w:hint="eastAsia"/>
          <w:lang w:eastAsia="zh-CN"/>
        </w:rPr>
        <w:t>成本低于</w:t>
      </w:r>
      <w:r w:rsidRPr="000C156A">
        <w:rPr>
          <w:lang w:eastAsia="zh-CN"/>
        </w:rPr>
        <w:t>5 000</w:t>
      </w:r>
      <w:r w:rsidRPr="000C156A">
        <w:rPr>
          <w:rFonts w:hint="eastAsia"/>
          <w:lang w:eastAsia="zh-CN"/>
        </w:rPr>
        <w:t>瑞郎的货物（低值货物）在获得当月予以资本化并在获得后月结账时在财务业绩报表中全部确认为费用。</w:t>
      </w:r>
    </w:p>
    <w:p w14:paraId="69019E74" w14:textId="77777777" w:rsidR="009D43C3" w:rsidRPr="000C156A" w:rsidRDefault="009D43C3" w:rsidP="009D43C3">
      <w:pPr>
        <w:ind w:firstLineChars="200" w:firstLine="480"/>
        <w:rPr>
          <w:lang w:eastAsia="zh-CN"/>
        </w:rPr>
      </w:pPr>
      <w:r w:rsidRPr="000C156A">
        <w:rPr>
          <w:rFonts w:hint="eastAsia"/>
          <w:lang w:eastAsia="zh-CN"/>
        </w:rPr>
        <w:t>在预算外活动中开展的项目（特别是联合国开发计划署的项目、国家执行项目和自愿捐款）框架内获得的财产和设备在获得后月结账时在财务业绩报表中全部确认为费用。</w:t>
      </w:r>
    </w:p>
    <w:p w14:paraId="7E28B4DC" w14:textId="77777777" w:rsidR="009D43C3" w:rsidRPr="000C156A" w:rsidRDefault="009D43C3" w:rsidP="009D43C3">
      <w:pPr>
        <w:ind w:firstLineChars="200" w:firstLine="480"/>
        <w:rPr>
          <w:lang w:eastAsia="zh-CN"/>
        </w:rPr>
      </w:pPr>
      <w:r w:rsidRPr="000C156A">
        <w:rPr>
          <w:rFonts w:hint="eastAsia"/>
          <w:lang w:eastAsia="zh-CN"/>
        </w:rPr>
        <w:t>之后产生的与固定资产相关的成本在通过资产的使用提高了服务潜力，且不涉及有关固定资产的维护或修理费用时予以资本化和折旧并确认在财务业绩报表中。</w:t>
      </w:r>
    </w:p>
    <w:p w14:paraId="7AAF4B43" w14:textId="77777777" w:rsidR="009D43C3" w:rsidRPr="000C156A" w:rsidRDefault="009D43C3" w:rsidP="009D43C3">
      <w:pPr>
        <w:ind w:firstLineChars="200" w:firstLine="480"/>
        <w:rPr>
          <w:lang w:eastAsia="zh-CN"/>
        </w:rPr>
      </w:pPr>
      <w:r w:rsidRPr="000C156A">
        <w:rPr>
          <w:rFonts w:hint="eastAsia"/>
          <w:lang w:eastAsia="zh-CN"/>
        </w:rPr>
        <w:t>当固定资产包括若干具有不同使用寿命的重要组成部分时，各组成部分单独确认。折旧按照各项目的估计使用寿命直接计算，酌情考虑到最后残值阶段。资产的残值和使用寿命以及折旧方法在每年结账时需审议并在必要时做出调整。</w:t>
      </w:r>
    </w:p>
    <w:p w14:paraId="31E7468C" w14:textId="77777777" w:rsidR="009D43C3" w:rsidRPr="000C156A" w:rsidRDefault="009D43C3" w:rsidP="009D43C3">
      <w:pPr>
        <w:ind w:firstLineChars="200" w:firstLine="480"/>
        <w:rPr>
          <w:lang w:val="en-US" w:eastAsia="zh-CN"/>
        </w:rPr>
      </w:pPr>
      <w:r w:rsidRPr="000C156A">
        <w:rPr>
          <w:rFonts w:hint="eastAsia"/>
          <w:lang w:val="en-US" w:eastAsia="zh-CN"/>
        </w:rPr>
        <w:t>自</w:t>
      </w:r>
      <w:r w:rsidRPr="000C156A">
        <w:rPr>
          <w:rFonts w:hint="eastAsia"/>
          <w:lang w:val="en-US" w:eastAsia="zh-CN"/>
        </w:rPr>
        <w:t>2020</w:t>
      </w:r>
      <w:r w:rsidRPr="000C156A">
        <w:rPr>
          <w:rFonts w:hint="eastAsia"/>
          <w:lang w:val="en-US" w:eastAsia="zh-CN"/>
        </w:rPr>
        <w:t>年</w:t>
      </w:r>
      <w:r w:rsidRPr="000C156A">
        <w:rPr>
          <w:rFonts w:hint="eastAsia"/>
          <w:lang w:val="en-US" w:eastAsia="zh-CN"/>
        </w:rPr>
        <w:t>1</w:t>
      </w:r>
      <w:r w:rsidRPr="000C156A">
        <w:rPr>
          <w:rFonts w:hint="eastAsia"/>
          <w:lang w:val="en-US" w:eastAsia="zh-CN"/>
        </w:rPr>
        <w:t>月</w:t>
      </w:r>
      <w:r w:rsidRPr="000C156A">
        <w:rPr>
          <w:rFonts w:hint="eastAsia"/>
          <w:lang w:val="en-US" w:eastAsia="zh-CN"/>
        </w:rPr>
        <w:t>1</w:t>
      </w:r>
      <w:r w:rsidRPr="000C156A">
        <w:rPr>
          <w:rFonts w:hint="eastAsia"/>
          <w:lang w:val="en-US" w:eastAsia="zh-CN"/>
        </w:rPr>
        <w:t>日起，针对外部审计员</w:t>
      </w:r>
      <w:r w:rsidRPr="000C156A">
        <w:rPr>
          <w:rFonts w:hint="eastAsia"/>
          <w:lang w:val="en-US" w:eastAsia="zh-CN"/>
        </w:rPr>
        <w:t>02/2015</w:t>
      </w:r>
      <w:r w:rsidRPr="000C156A">
        <w:rPr>
          <w:rFonts w:hint="eastAsia"/>
          <w:lang w:val="en-US" w:eastAsia="zh-CN"/>
        </w:rPr>
        <w:t>号建议，已根据联合国的做法，对建筑相关资产开始采用新的使用寿命。已对账面净值进行调整。</w:t>
      </w:r>
    </w:p>
    <w:p w14:paraId="108A306B" w14:textId="77777777" w:rsidR="009D43C3" w:rsidRPr="000C156A" w:rsidRDefault="009D43C3" w:rsidP="009D43C3">
      <w:pPr>
        <w:keepNext/>
        <w:spacing w:after="120"/>
        <w:ind w:firstLineChars="200" w:firstLine="480"/>
        <w:rPr>
          <w:lang w:eastAsia="zh-CN"/>
        </w:rPr>
      </w:pPr>
      <w:r w:rsidRPr="000C156A">
        <w:rPr>
          <w:rFonts w:hint="eastAsia"/>
          <w:lang w:val="en-US" w:eastAsia="zh-CN"/>
        </w:rPr>
        <w:lastRenderedPageBreak/>
        <w:t>下表说明</w:t>
      </w:r>
      <w:r w:rsidRPr="000C156A">
        <w:rPr>
          <w:rFonts w:hint="eastAsia"/>
          <w:lang w:val="en-US" w:eastAsia="zh-CN"/>
        </w:rPr>
        <w:t>2020</w:t>
      </w:r>
      <w:r w:rsidRPr="000C156A">
        <w:rPr>
          <w:rFonts w:hint="eastAsia"/>
          <w:lang w:val="en-US" w:eastAsia="zh-CN"/>
        </w:rPr>
        <w:t>年财政期前后资产的有效使用寿命。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2835"/>
        <w:gridCol w:w="2688"/>
      </w:tblGrid>
      <w:tr w:rsidR="009D43C3" w:rsidRPr="000C156A" w14:paraId="689D81CC" w14:textId="77777777" w:rsidTr="005D02F0">
        <w:trPr>
          <w:trHeight w:val="397"/>
        </w:trPr>
        <w:tc>
          <w:tcPr>
            <w:tcW w:w="3998" w:type="dxa"/>
            <w:tcBorders>
              <w:top w:val="single" w:sz="4" w:space="0" w:color="auto"/>
              <w:left w:val="single" w:sz="4" w:space="0" w:color="auto"/>
              <w:bottom w:val="single" w:sz="4" w:space="0" w:color="auto"/>
              <w:right w:val="single" w:sz="4" w:space="0" w:color="auto"/>
            </w:tcBorders>
            <w:vAlign w:val="center"/>
            <w:hideMark/>
          </w:tcPr>
          <w:p w14:paraId="20703E42" w14:textId="77777777" w:rsidR="009D43C3" w:rsidRPr="000C156A" w:rsidRDefault="009D43C3" w:rsidP="005D02F0">
            <w:pPr>
              <w:pStyle w:val="Tablehead"/>
              <w:spacing w:before="0" w:after="0"/>
              <w:rPr>
                <w:szCs w:val="18"/>
                <w:lang w:val="en-US" w:eastAsia="zh-CN"/>
              </w:rPr>
            </w:pPr>
            <w:r w:rsidRPr="000C156A">
              <w:rPr>
                <w:rFonts w:hint="eastAsia"/>
                <w:bCs/>
                <w:color w:val="000000"/>
                <w:szCs w:val="18"/>
                <w:lang w:val="en-US" w:eastAsia="zh-CN"/>
              </w:rPr>
              <w:t>资产分类和次级分类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112519" w14:textId="77777777" w:rsidR="009D43C3" w:rsidRPr="000C156A" w:rsidRDefault="009D43C3" w:rsidP="005D02F0">
            <w:pPr>
              <w:pStyle w:val="Tablehead"/>
              <w:spacing w:before="0" w:after="0"/>
              <w:rPr>
                <w:szCs w:val="18"/>
                <w:lang w:val="en-US" w:eastAsia="zh-CN"/>
              </w:rPr>
            </w:pPr>
            <w:r w:rsidRPr="000C156A">
              <w:rPr>
                <w:rFonts w:hint="eastAsia"/>
                <w:bCs/>
                <w:color w:val="000000"/>
                <w:szCs w:val="18"/>
                <w:lang w:val="en-US" w:eastAsia="zh-CN"/>
              </w:rPr>
              <w:t>2</w:t>
            </w:r>
            <w:r w:rsidRPr="000C156A">
              <w:rPr>
                <w:bCs/>
                <w:color w:val="000000"/>
                <w:szCs w:val="18"/>
                <w:lang w:val="en-US" w:eastAsia="zh-CN"/>
              </w:rPr>
              <w:t>019</w:t>
            </w:r>
            <w:r w:rsidRPr="000C156A">
              <w:rPr>
                <w:rFonts w:hint="eastAsia"/>
                <w:bCs/>
                <w:color w:val="000000"/>
                <w:szCs w:val="18"/>
                <w:lang w:val="en-US" w:eastAsia="zh-CN"/>
              </w:rPr>
              <w:t>年</w:t>
            </w:r>
            <w:r w:rsidRPr="000C156A">
              <w:rPr>
                <w:bCs/>
                <w:color w:val="000000"/>
                <w:szCs w:val="18"/>
                <w:lang w:val="en-US" w:eastAsia="zh-CN"/>
              </w:rPr>
              <w:t>12</w:t>
            </w:r>
            <w:r w:rsidRPr="000C156A">
              <w:rPr>
                <w:rFonts w:hint="eastAsia"/>
                <w:bCs/>
                <w:color w:val="000000"/>
                <w:szCs w:val="18"/>
                <w:lang w:val="en-US" w:eastAsia="zh-CN"/>
              </w:rPr>
              <w:t>月</w:t>
            </w:r>
            <w:r w:rsidRPr="000C156A">
              <w:rPr>
                <w:rFonts w:hint="eastAsia"/>
                <w:bCs/>
                <w:color w:val="000000"/>
                <w:szCs w:val="18"/>
                <w:lang w:val="en-US" w:eastAsia="zh-CN"/>
              </w:rPr>
              <w:t>3</w:t>
            </w:r>
            <w:r w:rsidRPr="000C156A">
              <w:rPr>
                <w:bCs/>
                <w:color w:val="000000"/>
                <w:szCs w:val="18"/>
                <w:lang w:val="en-US" w:eastAsia="zh-CN"/>
              </w:rPr>
              <w:t>1</w:t>
            </w:r>
            <w:r w:rsidRPr="000C156A">
              <w:rPr>
                <w:rFonts w:hint="eastAsia"/>
                <w:bCs/>
                <w:color w:val="000000"/>
                <w:szCs w:val="18"/>
                <w:lang w:val="en-US" w:eastAsia="zh-CN"/>
              </w:rPr>
              <w:t>日采用的旧的估计使用寿命（年数）</w:t>
            </w:r>
          </w:p>
        </w:tc>
        <w:tc>
          <w:tcPr>
            <w:tcW w:w="2688" w:type="dxa"/>
            <w:tcBorders>
              <w:top w:val="single" w:sz="4" w:space="0" w:color="auto"/>
              <w:left w:val="single" w:sz="4" w:space="0" w:color="auto"/>
              <w:bottom w:val="single" w:sz="4" w:space="0" w:color="auto"/>
              <w:right w:val="single" w:sz="4" w:space="0" w:color="auto"/>
            </w:tcBorders>
          </w:tcPr>
          <w:p w14:paraId="65C8EF9F" w14:textId="21BF790B" w:rsidR="009D43C3" w:rsidRPr="000C156A" w:rsidRDefault="009D43C3" w:rsidP="00000F4E">
            <w:pPr>
              <w:pStyle w:val="Tablehead"/>
              <w:spacing w:before="0" w:after="0"/>
              <w:rPr>
                <w:bCs/>
                <w:color w:val="000000"/>
                <w:szCs w:val="18"/>
                <w:lang w:val="en-US" w:eastAsia="zh-CN"/>
              </w:rPr>
            </w:pPr>
            <w:r w:rsidRPr="000C156A">
              <w:rPr>
                <w:rFonts w:hint="eastAsia"/>
                <w:bCs/>
                <w:color w:val="000000"/>
                <w:szCs w:val="18"/>
                <w:lang w:val="en-US" w:eastAsia="zh-CN"/>
              </w:rPr>
              <w:t>2</w:t>
            </w:r>
            <w:r w:rsidRPr="000C156A">
              <w:rPr>
                <w:bCs/>
                <w:color w:val="000000"/>
                <w:szCs w:val="18"/>
                <w:lang w:val="en-US" w:eastAsia="zh-CN"/>
              </w:rPr>
              <w:t>020</w:t>
            </w:r>
            <w:r w:rsidRPr="000C156A">
              <w:rPr>
                <w:rFonts w:hint="eastAsia"/>
                <w:bCs/>
                <w:color w:val="000000"/>
                <w:szCs w:val="18"/>
                <w:lang w:val="en-US" w:eastAsia="zh-CN"/>
              </w:rPr>
              <w:t>年</w:t>
            </w:r>
            <w:r w:rsidR="00000F4E" w:rsidRPr="000C156A">
              <w:rPr>
                <w:bCs/>
                <w:color w:val="000000"/>
                <w:szCs w:val="18"/>
                <w:lang w:val="en-US" w:eastAsia="zh-CN"/>
              </w:rPr>
              <w:t>1</w:t>
            </w:r>
            <w:r w:rsidRPr="000C156A">
              <w:rPr>
                <w:rFonts w:hint="eastAsia"/>
                <w:bCs/>
                <w:color w:val="000000"/>
                <w:szCs w:val="18"/>
                <w:lang w:val="en-US" w:eastAsia="zh-CN"/>
              </w:rPr>
              <w:t>月</w:t>
            </w:r>
            <w:r w:rsidRPr="000C156A">
              <w:rPr>
                <w:bCs/>
                <w:color w:val="000000"/>
                <w:szCs w:val="18"/>
                <w:lang w:val="en-US" w:eastAsia="zh-CN"/>
              </w:rPr>
              <w:t>1</w:t>
            </w:r>
            <w:r w:rsidRPr="000C156A">
              <w:rPr>
                <w:rFonts w:hint="eastAsia"/>
                <w:bCs/>
                <w:color w:val="000000"/>
                <w:szCs w:val="18"/>
                <w:lang w:val="en-US" w:eastAsia="zh-CN"/>
              </w:rPr>
              <w:t>日采用的新的估计使用寿命（年数）</w:t>
            </w:r>
          </w:p>
        </w:tc>
      </w:tr>
      <w:tr w:rsidR="009D43C3" w:rsidRPr="000C156A" w14:paraId="21F89833" w14:textId="77777777" w:rsidTr="005D02F0">
        <w:tc>
          <w:tcPr>
            <w:tcW w:w="3998" w:type="dxa"/>
            <w:tcBorders>
              <w:top w:val="single" w:sz="4" w:space="0" w:color="auto"/>
              <w:left w:val="single" w:sz="4" w:space="0" w:color="auto"/>
              <w:bottom w:val="nil"/>
              <w:right w:val="single" w:sz="4" w:space="0" w:color="auto"/>
            </w:tcBorders>
            <w:hideMark/>
          </w:tcPr>
          <w:p w14:paraId="7D89638B" w14:textId="77777777" w:rsidR="009D43C3" w:rsidRPr="000C156A" w:rsidRDefault="009D43C3" w:rsidP="005D02F0">
            <w:pPr>
              <w:pStyle w:val="Tabletext"/>
              <w:spacing w:before="20" w:after="20"/>
              <w:rPr>
                <w:szCs w:val="18"/>
                <w:lang w:val="en-US" w:eastAsia="zh-CN"/>
              </w:rPr>
            </w:pPr>
            <w:r w:rsidRPr="000C156A">
              <w:rPr>
                <w:rFonts w:hint="eastAsia"/>
                <w:color w:val="000000"/>
                <w:szCs w:val="18"/>
                <w:lang w:val="en-US" w:eastAsia="zh-CN"/>
              </w:rPr>
              <w:t>建筑物</w:t>
            </w:r>
          </w:p>
        </w:tc>
        <w:tc>
          <w:tcPr>
            <w:tcW w:w="2835" w:type="dxa"/>
            <w:tcBorders>
              <w:top w:val="single" w:sz="4" w:space="0" w:color="auto"/>
              <w:left w:val="single" w:sz="4" w:space="0" w:color="auto"/>
              <w:bottom w:val="nil"/>
              <w:right w:val="single" w:sz="4" w:space="0" w:color="auto"/>
            </w:tcBorders>
          </w:tcPr>
          <w:p w14:paraId="1ABCD60B" w14:textId="77777777" w:rsidR="009D43C3" w:rsidRPr="000C156A" w:rsidRDefault="009D43C3" w:rsidP="005D02F0">
            <w:pPr>
              <w:pStyle w:val="Tabletext"/>
              <w:tabs>
                <w:tab w:val="left" w:pos="2628"/>
              </w:tabs>
              <w:spacing w:before="20" w:after="20"/>
              <w:ind w:right="707"/>
              <w:jc w:val="right"/>
              <w:rPr>
                <w:szCs w:val="18"/>
                <w:lang w:val="en-US" w:eastAsia="fr-FR"/>
              </w:rPr>
            </w:pPr>
          </w:p>
        </w:tc>
        <w:tc>
          <w:tcPr>
            <w:tcW w:w="2688" w:type="dxa"/>
            <w:tcBorders>
              <w:top w:val="single" w:sz="4" w:space="0" w:color="auto"/>
              <w:left w:val="single" w:sz="4" w:space="0" w:color="auto"/>
              <w:bottom w:val="nil"/>
              <w:right w:val="single" w:sz="4" w:space="0" w:color="auto"/>
            </w:tcBorders>
          </w:tcPr>
          <w:p w14:paraId="596C11ED" w14:textId="77777777" w:rsidR="009D43C3" w:rsidRPr="000C156A" w:rsidRDefault="009D43C3" w:rsidP="005D02F0">
            <w:pPr>
              <w:pStyle w:val="Tabletext"/>
              <w:tabs>
                <w:tab w:val="left" w:pos="2628"/>
              </w:tabs>
              <w:spacing w:before="20" w:after="20"/>
              <w:ind w:right="707"/>
              <w:jc w:val="right"/>
              <w:rPr>
                <w:szCs w:val="18"/>
                <w:lang w:val="en-US" w:eastAsia="fr-FR"/>
              </w:rPr>
            </w:pPr>
          </w:p>
        </w:tc>
      </w:tr>
      <w:tr w:rsidR="009D43C3" w:rsidRPr="000C156A" w14:paraId="475934F3" w14:textId="77777777" w:rsidTr="005D02F0">
        <w:tc>
          <w:tcPr>
            <w:tcW w:w="3998" w:type="dxa"/>
            <w:tcBorders>
              <w:top w:val="nil"/>
              <w:left w:val="single" w:sz="4" w:space="0" w:color="auto"/>
              <w:bottom w:val="nil"/>
              <w:right w:val="single" w:sz="4" w:space="0" w:color="auto"/>
            </w:tcBorders>
            <w:hideMark/>
          </w:tcPr>
          <w:p w14:paraId="58F3B3F8" w14:textId="77777777" w:rsidR="009D43C3" w:rsidRPr="000C156A" w:rsidRDefault="009D43C3" w:rsidP="005D02F0">
            <w:pPr>
              <w:tabs>
                <w:tab w:val="left" w:pos="459"/>
              </w:tabs>
              <w:spacing w:before="20"/>
              <w:rPr>
                <w:color w:val="000000"/>
                <w:sz w:val="22"/>
                <w:szCs w:val="18"/>
                <w:lang w:val="en-US" w:eastAsia="zh-CN"/>
              </w:rPr>
            </w:pPr>
            <w:r w:rsidRPr="000C156A">
              <w:rPr>
                <w:color w:val="000000"/>
                <w:sz w:val="22"/>
                <w:szCs w:val="18"/>
                <w:lang w:val="en-US"/>
              </w:rPr>
              <w:tab/>
            </w:r>
            <w:r w:rsidRPr="000C156A">
              <w:rPr>
                <w:rFonts w:hint="eastAsia"/>
                <w:color w:val="000000"/>
                <w:sz w:val="22"/>
                <w:szCs w:val="18"/>
                <w:lang w:val="en-US" w:eastAsia="zh-CN"/>
              </w:rPr>
              <w:t>结构</w:t>
            </w:r>
          </w:p>
        </w:tc>
        <w:tc>
          <w:tcPr>
            <w:tcW w:w="2835" w:type="dxa"/>
            <w:tcBorders>
              <w:top w:val="nil"/>
              <w:left w:val="single" w:sz="4" w:space="0" w:color="auto"/>
              <w:bottom w:val="nil"/>
              <w:right w:val="single" w:sz="4" w:space="0" w:color="auto"/>
            </w:tcBorders>
            <w:hideMark/>
          </w:tcPr>
          <w:p w14:paraId="184C09F6"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100</w:t>
            </w:r>
          </w:p>
        </w:tc>
        <w:tc>
          <w:tcPr>
            <w:tcW w:w="2688" w:type="dxa"/>
            <w:tcBorders>
              <w:top w:val="nil"/>
              <w:left w:val="single" w:sz="4" w:space="0" w:color="auto"/>
              <w:bottom w:val="nil"/>
              <w:right w:val="single" w:sz="4" w:space="0" w:color="auto"/>
            </w:tcBorders>
          </w:tcPr>
          <w:p w14:paraId="3826E62E"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60</w:t>
            </w:r>
          </w:p>
        </w:tc>
      </w:tr>
      <w:tr w:rsidR="009D43C3" w:rsidRPr="000C156A" w14:paraId="363F87A7" w14:textId="77777777" w:rsidTr="005D02F0">
        <w:tc>
          <w:tcPr>
            <w:tcW w:w="3998" w:type="dxa"/>
            <w:tcBorders>
              <w:top w:val="nil"/>
              <w:left w:val="single" w:sz="4" w:space="0" w:color="auto"/>
              <w:bottom w:val="nil"/>
              <w:right w:val="single" w:sz="4" w:space="0" w:color="auto"/>
            </w:tcBorders>
            <w:hideMark/>
          </w:tcPr>
          <w:p w14:paraId="445117A2" w14:textId="77777777" w:rsidR="009D43C3" w:rsidRPr="000C156A" w:rsidRDefault="009D43C3" w:rsidP="005D02F0">
            <w:pPr>
              <w:tabs>
                <w:tab w:val="left" w:pos="459"/>
              </w:tabs>
              <w:spacing w:before="20"/>
              <w:rPr>
                <w:color w:val="000000"/>
                <w:sz w:val="22"/>
                <w:szCs w:val="18"/>
                <w:lang w:val="en-US" w:eastAsia="zh-CN"/>
              </w:rPr>
            </w:pPr>
            <w:r w:rsidRPr="000C156A">
              <w:rPr>
                <w:color w:val="000000"/>
                <w:sz w:val="22"/>
                <w:szCs w:val="18"/>
                <w:lang w:val="en-US" w:eastAsia="zh-CN"/>
              </w:rPr>
              <w:tab/>
            </w:r>
            <w:r w:rsidRPr="000C156A">
              <w:rPr>
                <w:rFonts w:hint="eastAsia"/>
                <w:color w:val="000000"/>
                <w:sz w:val="22"/>
                <w:szCs w:val="18"/>
                <w:lang w:val="en-US" w:eastAsia="zh-CN"/>
              </w:rPr>
              <w:t>围护（屋顶、保温层、密封</w:t>
            </w:r>
            <w:r w:rsidRPr="000C156A">
              <w:rPr>
                <w:color w:val="000000"/>
                <w:sz w:val="22"/>
                <w:szCs w:val="18"/>
                <w:lang w:val="en-US" w:eastAsia="zh-CN"/>
              </w:rPr>
              <w:t>…</w:t>
            </w:r>
            <w:r w:rsidRPr="000C156A">
              <w:rPr>
                <w:rFonts w:hint="eastAsia"/>
                <w:color w:val="000000"/>
                <w:sz w:val="22"/>
                <w:szCs w:val="18"/>
                <w:lang w:val="en-US" w:eastAsia="zh-CN"/>
              </w:rPr>
              <w:t>）</w:t>
            </w:r>
          </w:p>
        </w:tc>
        <w:tc>
          <w:tcPr>
            <w:tcW w:w="2835" w:type="dxa"/>
            <w:tcBorders>
              <w:top w:val="nil"/>
              <w:left w:val="single" w:sz="4" w:space="0" w:color="auto"/>
              <w:bottom w:val="nil"/>
              <w:right w:val="single" w:sz="4" w:space="0" w:color="auto"/>
            </w:tcBorders>
            <w:hideMark/>
          </w:tcPr>
          <w:p w14:paraId="76047505"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60</w:t>
            </w:r>
          </w:p>
        </w:tc>
        <w:tc>
          <w:tcPr>
            <w:tcW w:w="2688" w:type="dxa"/>
            <w:tcBorders>
              <w:top w:val="nil"/>
              <w:left w:val="single" w:sz="4" w:space="0" w:color="auto"/>
              <w:bottom w:val="nil"/>
              <w:right w:val="single" w:sz="4" w:space="0" w:color="auto"/>
            </w:tcBorders>
          </w:tcPr>
          <w:p w14:paraId="240A327C"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40</w:t>
            </w:r>
          </w:p>
        </w:tc>
      </w:tr>
      <w:tr w:rsidR="009D43C3" w:rsidRPr="000C156A" w14:paraId="6221F627" w14:textId="77777777" w:rsidTr="005D02F0">
        <w:tc>
          <w:tcPr>
            <w:tcW w:w="3998" w:type="dxa"/>
            <w:tcBorders>
              <w:top w:val="nil"/>
              <w:left w:val="single" w:sz="4" w:space="0" w:color="auto"/>
              <w:bottom w:val="nil"/>
              <w:right w:val="single" w:sz="4" w:space="0" w:color="auto"/>
            </w:tcBorders>
            <w:hideMark/>
          </w:tcPr>
          <w:p w14:paraId="3E43EBE2" w14:textId="77777777" w:rsidR="009D43C3" w:rsidRPr="000C156A" w:rsidRDefault="009D43C3" w:rsidP="005D02F0">
            <w:pPr>
              <w:tabs>
                <w:tab w:val="left" w:pos="459"/>
              </w:tabs>
              <w:spacing w:before="20"/>
              <w:rPr>
                <w:color w:val="000000"/>
                <w:sz w:val="22"/>
                <w:szCs w:val="18"/>
                <w:lang w:val="en-US" w:eastAsia="zh-CN"/>
              </w:rPr>
            </w:pPr>
            <w:r w:rsidRPr="000C156A">
              <w:rPr>
                <w:color w:val="000000"/>
                <w:sz w:val="22"/>
                <w:szCs w:val="18"/>
                <w:lang w:val="en-US" w:eastAsia="zh-CN"/>
              </w:rPr>
              <w:tab/>
            </w:r>
            <w:r w:rsidRPr="000C156A">
              <w:rPr>
                <w:rFonts w:hint="eastAsia"/>
                <w:color w:val="000000"/>
                <w:sz w:val="22"/>
                <w:szCs w:val="18"/>
                <w:lang w:val="en-US" w:eastAsia="zh-CN"/>
              </w:rPr>
              <w:t>围护（金属外墙、铝合金窗框</w:t>
            </w:r>
            <w:r w:rsidRPr="000C156A">
              <w:rPr>
                <w:color w:val="000000"/>
                <w:sz w:val="22"/>
                <w:szCs w:val="18"/>
                <w:lang w:val="en-US" w:eastAsia="zh-CN"/>
              </w:rPr>
              <w:t>…</w:t>
            </w:r>
            <w:r w:rsidRPr="000C156A">
              <w:rPr>
                <w:rFonts w:hint="eastAsia"/>
                <w:color w:val="000000"/>
                <w:sz w:val="22"/>
                <w:szCs w:val="18"/>
                <w:lang w:val="en-US" w:eastAsia="zh-CN"/>
              </w:rPr>
              <w:t>）</w:t>
            </w:r>
          </w:p>
        </w:tc>
        <w:tc>
          <w:tcPr>
            <w:tcW w:w="2835" w:type="dxa"/>
            <w:tcBorders>
              <w:top w:val="nil"/>
              <w:left w:val="single" w:sz="4" w:space="0" w:color="auto"/>
              <w:bottom w:val="nil"/>
              <w:right w:val="single" w:sz="4" w:space="0" w:color="auto"/>
            </w:tcBorders>
            <w:hideMark/>
          </w:tcPr>
          <w:p w14:paraId="4EBD0B40"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50</w:t>
            </w:r>
          </w:p>
        </w:tc>
        <w:tc>
          <w:tcPr>
            <w:tcW w:w="2688" w:type="dxa"/>
            <w:tcBorders>
              <w:top w:val="nil"/>
              <w:left w:val="single" w:sz="4" w:space="0" w:color="auto"/>
              <w:bottom w:val="nil"/>
              <w:right w:val="single" w:sz="4" w:space="0" w:color="auto"/>
            </w:tcBorders>
          </w:tcPr>
          <w:p w14:paraId="45658166"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40</w:t>
            </w:r>
          </w:p>
        </w:tc>
      </w:tr>
      <w:tr w:rsidR="009D43C3" w:rsidRPr="000C156A" w14:paraId="757DFDAF" w14:textId="77777777" w:rsidTr="005D02F0">
        <w:tc>
          <w:tcPr>
            <w:tcW w:w="3998" w:type="dxa"/>
            <w:tcBorders>
              <w:top w:val="nil"/>
              <w:left w:val="single" w:sz="4" w:space="0" w:color="auto"/>
              <w:bottom w:val="nil"/>
              <w:right w:val="single" w:sz="4" w:space="0" w:color="auto"/>
            </w:tcBorders>
            <w:hideMark/>
          </w:tcPr>
          <w:p w14:paraId="4BED16AD" w14:textId="77777777" w:rsidR="009D43C3" w:rsidRPr="000C156A" w:rsidRDefault="009D43C3" w:rsidP="005D02F0">
            <w:pPr>
              <w:tabs>
                <w:tab w:val="left" w:pos="459"/>
              </w:tabs>
              <w:spacing w:before="20"/>
              <w:rPr>
                <w:color w:val="000000"/>
                <w:sz w:val="22"/>
                <w:szCs w:val="18"/>
                <w:lang w:val="en-US" w:eastAsia="zh-CN"/>
              </w:rPr>
            </w:pPr>
            <w:r w:rsidRPr="000C156A">
              <w:rPr>
                <w:color w:val="000000"/>
                <w:sz w:val="22"/>
                <w:szCs w:val="18"/>
                <w:lang w:val="en-US" w:eastAsia="zh-CN"/>
              </w:rPr>
              <w:tab/>
            </w:r>
            <w:r w:rsidRPr="000C156A">
              <w:rPr>
                <w:rFonts w:hint="eastAsia"/>
                <w:color w:val="000000"/>
                <w:sz w:val="22"/>
                <w:szCs w:val="18"/>
                <w:lang w:val="en-US" w:eastAsia="zh-CN"/>
              </w:rPr>
              <w:t>内部装饰（活动地板、隔离</w:t>
            </w:r>
            <w:r w:rsidRPr="000C156A">
              <w:rPr>
                <w:color w:val="000000"/>
                <w:sz w:val="22"/>
                <w:szCs w:val="18"/>
                <w:lang w:val="en-US" w:eastAsia="zh-CN"/>
              </w:rPr>
              <w:t>…</w:t>
            </w:r>
            <w:r w:rsidRPr="000C156A">
              <w:rPr>
                <w:rFonts w:hint="eastAsia"/>
                <w:color w:val="000000"/>
                <w:sz w:val="22"/>
                <w:szCs w:val="18"/>
                <w:lang w:val="en-US" w:eastAsia="zh-CN"/>
              </w:rPr>
              <w:t>）</w:t>
            </w:r>
          </w:p>
        </w:tc>
        <w:tc>
          <w:tcPr>
            <w:tcW w:w="2835" w:type="dxa"/>
            <w:tcBorders>
              <w:top w:val="nil"/>
              <w:left w:val="single" w:sz="4" w:space="0" w:color="auto"/>
              <w:bottom w:val="nil"/>
              <w:right w:val="single" w:sz="4" w:space="0" w:color="auto"/>
            </w:tcBorders>
            <w:hideMark/>
          </w:tcPr>
          <w:p w14:paraId="618BC2E3"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50</w:t>
            </w:r>
          </w:p>
        </w:tc>
        <w:tc>
          <w:tcPr>
            <w:tcW w:w="2688" w:type="dxa"/>
            <w:tcBorders>
              <w:top w:val="nil"/>
              <w:left w:val="single" w:sz="4" w:space="0" w:color="auto"/>
              <w:bottom w:val="nil"/>
              <w:right w:val="single" w:sz="4" w:space="0" w:color="auto"/>
            </w:tcBorders>
          </w:tcPr>
          <w:p w14:paraId="49C068B6"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25</w:t>
            </w:r>
          </w:p>
        </w:tc>
      </w:tr>
      <w:tr w:rsidR="009D43C3" w:rsidRPr="000C156A" w14:paraId="27C91999" w14:textId="77777777" w:rsidTr="005D02F0">
        <w:tc>
          <w:tcPr>
            <w:tcW w:w="3998" w:type="dxa"/>
            <w:tcBorders>
              <w:top w:val="nil"/>
              <w:left w:val="single" w:sz="4" w:space="0" w:color="auto"/>
              <w:bottom w:val="nil"/>
              <w:right w:val="single" w:sz="4" w:space="0" w:color="auto"/>
            </w:tcBorders>
            <w:hideMark/>
          </w:tcPr>
          <w:p w14:paraId="7D7A0E2B" w14:textId="1418E1F4" w:rsidR="009D43C3" w:rsidRPr="000C156A" w:rsidRDefault="009D43C3" w:rsidP="005D02F0">
            <w:pPr>
              <w:tabs>
                <w:tab w:val="left" w:pos="459"/>
              </w:tabs>
              <w:spacing w:before="20"/>
              <w:rPr>
                <w:color w:val="000000"/>
                <w:sz w:val="22"/>
                <w:szCs w:val="18"/>
                <w:lang w:val="en-US" w:eastAsia="zh-CN"/>
              </w:rPr>
            </w:pPr>
            <w:r w:rsidRPr="000C156A">
              <w:rPr>
                <w:color w:val="000000"/>
                <w:sz w:val="22"/>
                <w:szCs w:val="18"/>
                <w:lang w:val="en-US" w:eastAsia="zh-CN"/>
              </w:rPr>
              <w:tab/>
            </w:r>
            <w:r w:rsidRPr="000C156A">
              <w:rPr>
                <w:rFonts w:hint="eastAsia"/>
                <w:color w:val="000000"/>
                <w:sz w:val="22"/>
                <w:szCs w:val="18"/>
                <w:lang w:val="en-US" w:eastAsia="zh-CN"/>
              </w:rPr>
              <w:t>内部装饰（地板、墙面和屋顶涂</w:t>
            </w:r>
            <w:r w:rsidR="00B22423">
              <w:rPr>
                <w:color w:val="000000"/>
                <w:sz w:val="22"/>
                <w:szCs w:val="18"/>
                <w:lang w:val="en-US" w:eastAsia="zh-CN"/>
              </w:rPr>
              <w:tab/>
            </w:r>
            <w:r w:rsidRPr="000C156A">
              <w:rPr>
                <w:rFonts w:hint="eastAsia"/>
                <w:color w:val="000000"/>
                <w:sz w:val="22"/>
                <w:szCs w:val="18"/>
                <w:lang w:val="en-US" w:eastAsia="zh-CN"/>
              </w:rPr>
              <w:t>层</w:t>
            </w:r>
            <w:r w:rsidRPr="000C156A">
              <w:rPr>
                <w:color w:val="000000"/>
                <w:sz w:val="22"/>
                <w:szCs w:val="18"/>
                <w:lang w:val="en-US" w:eastAsia="zh-CN"/>
              </w:rPr>
              <w:t>…</w:t>
            </w:r>
            <w:r w:rsidRPr="000C156A">
              <w:rPr>
                <w:rFonts w:hint="eastAsia"/>
                <w:color w:val="000000"/>
                <w:sz w:val="22"/>
                <w:szCs w:val="18"/>
                <w:lang w:val="en-US" w:eastAsia="zh-CN"/>
              </w:rPr>
              <w:t>）</w:t>
            </w:r>
          </w:p>
        </w:tc>
        <w:tc>
          <w:tcPr>
            <w:tcW w:w="2835" w:type="dxa"/>
            <w:tcBorders>
              <w:top w:val="nil"/>
              <w:left w:val="single" w:sz="4" w:space="0" w:color="auto"/>
              <w:bottom w:val="nil"/>
              <w:right w:val="single" w:sz="4" w:space="0" w:color="auto"/>
            </w:tcBorders>
            <w:hideMark/>
          </w:tcPr>
          <w:p w14:paraId="4E7E8187"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40</w:t>
            </w:r>
          </w:p>
        </w:tc>
        <w:tc>
          <w:tcPr>
            <w:tcW w:w="2688" w:type="dxa"/>
            <w:tcBorders>
              <w:top w:val="nil"/>
              <w:left w:val="single" w:sz="4" w:space="0" w:color="auto"/>
              <w:bottom w:val="nil"/>
              <w:right w:val="single" w:sz="4" w:space="0" w:color="auto"/>
            </w:tcBorders>
          </w:tcPr>
          <w:p w14:paraId="663C0643"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25</w:t>
            </w:r>
          </w:p>
        </w:tc>
      </w:tr>
      <w:tr w:rsidR="009D43C3" w:rsidRPr="000C156A" w14:paraId="3EBFF1C9" w14:textId="77777777" w:rsidTr="005D02F0">
        <w:tc>
          <w:tcPr>
            <w:tcW w:w="3998" w:type="dxa"/>
            <w:tcBorders>
              <w:top w:val="nil"/>
              <w:left w:val="single" w:sz="4" w:space="0" w:color="auto"/>
              <w:bottom w:val="nil"/>
              <w:right w:val="single" w:sz="4" w:space="0" w:color="auto"/>
            </w:tcBorders>
            <w:hideMark/>
          </w:tcPr>
          <w:p w14:paraId="68E7D394" w14:textId="77777777" w:rsidR="009D43C3" w:rsidRPr="000C156A" w:rsidRDefault="009D43C3" w:rsidP="005D02F0">
            <w:pPr>
              <w:tabs>
                <w:tab w:val="left" w:pos="459"/>
              </w:tabs>
              <w:spacing w:before="20"/>
              <w:rPr>
                <w:color w:val="000000"/>
                <w:sz w:val="22"/>
                <w:szCs w:val="18"/>
                <w:lang w:val="en-US" w:eastAsia="zh-CN"/>
              </w:rPr>
            </w:pPr>
            <w:r w:rsidRPr="000C156A">
              <w:rPr>
                <w:color w:val="000000"/>
                <w:sz w:val="22"/>
                <w:szCs w:val="18"/>
                <w:lang w:val="en-US" w:eastAsia="zh-CN"/>
              </w:rPr>
              <w:tab/>
            </w:r>
            <w:r w:rsidRPr="000C156A">
              <w:rPr>
                <w:rFonts w:hint="eastAsia"/>
                <w:color w:val="000000"/>
                <w:sz w:val="22"/>
                <w:szCs w:val="18"/>
                <w:lang w:val="en-US" w:eastAsia="zh-CN"/>
              </w:rPr>
              <w:t>专门设备</w:t>
            </w:r>
          </w:p>
        </w:tc>
        <w:tc>
          <w:tcPr>
            <w:tcW w:w="2835" w:type="dxa"/>
            <w:tcBorders>
              <w:top w:val="nil"/>
              <w:left w:val="single" w:sz="4" w:space="0" w:color="auto"/>
              <w:bottom w:val="nil"/>
              <w:right w:val="single" w:sz="4" w:space="0" w:color="auto"/>
            </w:tcBorders>
            <w:hideMark/>
          </w:tcPr>
          <w:p w14:paraId="20ACBC2B"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40</w:t>
            </w:r>
          </w:p>
        </w:tc>
        <w:tc>
          <w:tcPr>
            <w:tcW w:w="2688" w:type="dxa"/>
            <w:tcBorders>
              <w:top w:val="nil"/>
              <w:left w:val="single" w:sz="4" w:space="0" w:color="auto"/>
              <w:bottom w:val="nil"/>
              <w:right w:val="single" w:sz="4" w:space="0" w:color="auto"/>
            </w:tcBorders>
          </w:tcPr>
          <w:p w14:paraId="1DBB8A93"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25</w:t>
            </w:r>
          </w:p>
        </w:tc>
      </w:tr>
      <w:tr w:rsidR="009D43C3" w:rsidRPr="000C156A" w14:paraId="6AC0E156" w14:textId="77777777" w:rsidTr="005D02F0">
        <w:tc>
          <w:tcPr>
            <w:tcW w:w="3998" w:type="dxa"/>
            <w:tcBorders>
              <w:top w:val="nil"/>
              <w:left w:val="single" w:sz="4" w:space="0" w:color="auto"/>
              <w:bottom w:val="nil"/>
              <w:right w:val="single" w:sz="4" w:space="0" w:color="auto"/>
            </w:tcBorders>
            <w:hideMark/>
          </w:tcPr>
          <w:p w14:paraId="64AB7154" w14:textId="77777777" w:rsidR="009D43C3" w:rsidRPr="000C156A" w:rsidRDefault="009D43C3" w:rsidP="005D02F0">
            <w:pPr>
              <w:tabs>
                <w:tab w:val="left" w:pos="459"/>
              </w:tabs>
              <w:spacing w:before="20"/>
              <w:rPr>
                <w:color w:val="000000"/>
                <w:sz w:val="22"/>
                <w:szCs w:val="18"/>
                <w:lang w:val="en-US" w:eastAsia="zh-CN"/>
              </w:rPr>
            </w:pPr>
            <w:r w:rsidRPr="000C156A">
              <w:rPr>
                <w:color w:val="000000"/>
                <w:sz w:val="22"/>
                <w:szCs w:val="18"/>
                <w:lang w:val="en-US" w:eastAsia="zh-CN"/>
              </w:rPr>
              <w:tab/>
            </w:r>
            <w:r w:rsidRPr="000C156A">
              <w:rPr>
                <w:rFonts w:hint="eastAsia"/>
                <w:color w:val="000000"/>
                <w:sz w:val="22"/>
                <w:szCs w:val="18"/>
                <w:lang w:val="en-US" w:eastAsia="zh-CN"/>
              </w:rPr>
              <w:t>公共设施（电）</w:t>
            </w:r>
          </w:p>
        </w:tc>
        <w:tc>
          <w:tcPr>
            <w:tcW w:w="2835" w:type="dxa"/>
            <w:tcBorders>
              <w:top w:val="nil"/>
              <w:left w:val="single" w:sz="4" w:space="0" w:color="auto"/>
              <w:bottom w:val="nil"/>
              <w:right w:val="single" w:sz="4" w:space="0" w:color="auto"/>
            </w:tcBorders>
            <w:hideMark/>
          </w:tcPr>
          <w:p w14:paraId="20277E08"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50</w:t>
            </w:r>
          </w:p>
        </w:tc>
        <w:tc>
          <w:tcPr>
            <w:tcW w:w="2688" w:type="dxa"/>
            <w:tcBorders>
              <w:top w:val="nil"/>
              <w:left w:val="single" w:sz="4" w:space="0" w:color="auto"/>
              <w:bottom w:val="nil"/>
              <w:right w:val="single" w:sz="4" w:space="0" w:color="auto"/>
            </w:tcBorders>
          </w:tcPr>
          <w:p w14:paraId="261ABC92"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50</w:t>
            </w:r>
          </w:p>
        </w:tc>
      </w:tr>
      <w:tr w:rsidR="009D43C3" w:rsidRPr="000C156A" w14:paraId="5D89F785" w14:textId="77777777" w:rsidTr="005D02F0">
        <w:tc>
          <w:tcPr>
            <w:tcW w:w="3998" w:type="dxa"/>
            <w:tcBorders>
              <w:top w:val="nil"/>
              <w:left w:val="single" w:sz="4" w:space="0" w:color="auto"/>
              <w:bottom w:val="nil"/>
              <w:right w:val="single" w:sz="4" w:space="0" w:color="auto"/>
            </w:tcBorders>
            <w:hideMark/>
          </w:tcPr>
          <w:p w14:paraId="04919835" w14:textId="77777777" w:rsidR="009D43C3" w:rsidRPr="000C156A" w:rsidRDefault="009D43C3" w:rsidP="005D02F0">
            <w:pPr>
              <w:tabs>
                <w:tab w:val="left" w:pos="459"/>
              </w:tabs>
              <w:spacing w:before="20"/>
              <w:rPr>
                <w:color w:val="000000"/>
                <w:sz w:val="22"/>
                <w:szCs w:val="18"/>
                <w:lang w:val="en-US" w:eastAsia="zh-CN"/>
              </w:rPr>
            </w:pPr>
            <w:r w:rsidRPr="000C156A">
              <w:rPr>
                <w:color w:val="000000"/>
                <w:sz w:val="22"/>
                <w:szCs w:val="18"/>
                <w:lang w:val="en-US" w:eastAsia="zh-CN"/>
              </w:rPr>
              <w:tab/>
            </w:r>
            <w:r w:rsidRPr="000C156A">
              <w:rPr>
                <w:rFonts w:hint="eastAsia"/>
                <w:color w:val="000000"/>
                <w:sz w:val="22"/>
                <w:szCs w:val="18"/>
                <w:lang w:val="en-US" w:eastAsia="zh-CN"/>
              </w:rPr>
              <w:t>公共设施（管道）</w:t>
            </w:r>
          </w:p>
        </w:tc>
        <w:tc>
          <w:tcPr>
            <w:tcW w:w="2835" w:type="dxa"/>
            <w:tcBorders>
              <w:top w:val="nil"/>
              <w:left w:val="single" w:sz="4" w:space="0" w:color="auto"/>
              <w:bottom w:val="nil"/>
              <w:right w:val="single" w:sz="4" w:space="0" w:color="auto"/>
            </w:tcBorders>
            <w:hideMark/>
          </w:tcPr>
          <w:p w14:paraId="6088D54F"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40</w:t>
            </w:r>
          </w:p>
        </w:tc>
        <w:tc>
          <w:tcPr>
            <w:tcW w:w="2688" w:type="dxa"/>
            <w:tcBorders>
              <w:top w:val="nil"/>
              <w:left w:val="single" w:sz="4" w:space="0" w:color="auto"/>
              <w:bottom w:val="nil"/>
              <w:right w:val="single" w:sz="4" w:space="0" w:color="auto"/>
            </w:tcBorders>
          </w:tcPr>
          <w:p w14:paraId="7C6C3068"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40</w:t>
            </w:r>
          </w:p>
        </w:tc>
      </w:tr>
      <w:tr w:rsidR="009D43C3" w:rsidRPr="000C156A" w14:paraId="6B41D7B2" w14:textId="77777777" w:rsidTr="005D02F0">
        <w:tc>
          <w:tcPr>
            <w:tcW w:w="3998" w:type="dxa"/>
            <w:tcBorders>
              <w:top w:val="nil"/>
              <w:left w:val="single" w:sz="4" w:space="0" w:color="auto"/>
              <w:bottom w:val="nil"/>
              <w:right w:val="single" w:sz="4" w:space="0" w:color="auto"/>
            </w:tcBorders>
            <w:hideMark/>
          </w:tcPr>
          <w:p w14:paraId="10E99F55" w14:textId="77777777" w:rsidR="009D43C3" w:rsidRPr="000C156A" w:rsidRDefault="009D43C3" w:rsidP="005D02F0">
            <w:pPr>
              <w:tabs>
                <w:tab w:val="left" w:pos="459"/>
              </w:tabs>
              <w:spacing w:before="20"/>
              <w:rPr>
                <w:color w:val="000000"/>
                <w:sz w:val="22"/>
                <w:szCs w:val="18"/>
                <w:lang w:val="en-US" w:eastAsia="zh-CN"/>
              </w:rPr>
            </w:pPr>
            <w:r w:rsidRPr="000C156A">
              <w:rPr>
                <w:color w:val="000000"/>
                <w:sz w:val="22"/>
                <w:szCs w:val="18"/>
                <w:lang w:val="en-US" w:eastAsia="zh-CN"/>
              </w:rPr>
              <w:tab/>
            </w:r>
            <w:r w:rsidRPr="000C156A">
              <w:rPr>
                <w:rFonts w:hint="eastAsia"/>
                <w:color w:val="000000"/>
                <w:sz w:val="22"/>
                <w:szCs w:val="18"/>
                <w:lang w:val="en-US" w:eastAsia="zh-CN"/>
              </w:rPr>
              <w:t>公共设施（供暖、通风）</w:t>
            </w:r>
          </w:p>
        </w:tc>
        <w:tc>
          <w:tcPr>
            <w:tcW w:w="2835" w:type="dxa"/>
            <w:tcBorders>
              <w:top w:val="nil"/>
              <w:left w:val="single" w:sz="4" w:space="0" w:color="auto"/>
              <w:bottom w:val="nil"/>
              <w:right w:val="single" w:sz="4" w:space="0" w:color="auto"/>
            </w:tcBorders>
            <w:hideMark/>
          </w:tcPr>
          <w:p w14:paraId="6D923693"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30</w:t>
            </w:r>
          </w:p>
        </w:tc>
        <w:tc>
          <w:tcPr>
            <w:tcW w:w="2688" w:type="dxa"/>
            <w:tcBorders>
              <w:top w:val="nil"/>
              <w:left w:val="single" w:sz="4" w:space="0" w:color="auto"/>
              <w:bottom w:val="nil"/>
              <w:right w:val="single" w:sz="4" w:space="0" w:color="auto"/>
            </w:tcBorders>
          </w:tcPr>
          <w:p w14:paraId="1D44962C"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30</w:t>
            </w:r>
          </w:p>
        </w:tc>
      </w:tr>
      <w:tr w:rsidR="009D43C3" w:rsidRPr="000C156A" w14:paraId="0E381A25" w14:textId="77777777" w:rsidTr="005D02F0">
        <w:tc>
          <w:tcPr>
            <w:tcW w:w="3998" w:type="dxa"/>
            <w:tcBorders>
              <w:top w:val="nil"/>
              <w:left w:val="single" w:sz="4" w:space="0" w:color="auto"/>
              <w:bottom w:val="nil"/>
              <w:right w:val="single" w:sz="4" w:space="0" w:color="auto"/>
            </w:tcBorders>
            <w:hideMark/>
          </w:tcPr>
          <w:p w14:paraId="57FCACF7" w14:textId="77777777" w:rsidR="009D43C3" w:rsidRPr="000C156A" w:rsidRDefault="009D43C3" w:rsidP="005D02F0">
            <w:pPr>
              <w:tabs>
                <w:tab w:val="left" w:pos="459"/>
              </w:tabs>
              <w:spacing w:before="20"/>
              <w:rPr>
                <w:color w:val="000000"/>
                <w:sz w:val="22"/>
                <w:szCs w:val="18"/>
                <w:lang w:val="en-US" w:eastAsia="zh-CN"/>
              </w:rPr>
            </w:pPr>
            <w:r w:rsidRPr="000C156A">
              <w:rPr>
                <w:color w:val="000000"/>
                <w:sz w:val="22"/>
                <w:szCs w:val="18"/>
                <w:lang w:val="en-US" w:eastAsia="zh-CN"/>
              </w:rPr>
              <w:tab/>
            </w:r>
            <w:r w:rsidRPr="000C156A">
              <w:rPr>
                <w:rFonts w:hint="eastAsia"/>
                <w:color w:val="000000"/>
                <w:sz w:val="22"/>
                <w:szCs w:val="18"/>
                <w:lang w:val="en-US" w:eastAsia="zh-CN"/>
              </w:rPr>
              <w:t>交通设施</w:t>
            </w:r>
          </w:p>
        </w:tc>
        <w:tc>
          <w:tcPr>
            <w:tcW w:w="2835" w:type="dxa"/>
            <w:tcBorders>
              <w:top w:val="nil"/>
              <w:left w:val="single" w:sz="4" w:space="0" w:color="auto"/>
              <w:bottom w:val="nil"/>
              <w:right w:val="single" w:sz="4" w:space="0" w:color="auto"/>
            </w:tcBorders>
            <w:hideMark/>
          </w:tcPr>
          <w:p w14:paraId="13846FC0"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40</w:t>
            </w:r>
          </w:p>
        </w:tc>
        <w:tc>
          <w:tcPr>
            <w:tcW w:w="2688" w:type="dxa"/>
            <w:tcBorders>
              <w:top w:val="nil"/>
              <w:left w:val="single" w:sz="4" w:space="0" w:color="auto"/>
              <w:bottom w:val="nil"/>
              <w:right w:val="single" w:sz="4" w:space="0" w:color="auto"/>
            </w:tcBorders>
          </w:tcPr>
          <w:p w14:paraId="5ABFE16E"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40</w:t>
            </w:r>
          </w:p>
        </w:tc>
      </w:tr>
      <w:tr w:rsidR="009D43C3" w:rsidRPr="000C156A" w14:paraId="4D5E9539" w14:textId="77777777" w:rsidTr="005D02F0">
        <w:tc>
          <w:tcPr>
            <w:tcW w:w="3998" w:type="dxa"/>
            <w:tcBorders>
              <w:top w:val="nil"/>
              <w:left w:val="single" w:sz="4" w:space="0" w:color="auto"/>
              <w:bottom w:val="nil"/>
              <w:right w:val="single" w:sz="4" w:space="0" w:color="auto"/>
            </w:tcBorders>
          </w:tcPr>
          <w:p w14:paraId="194FC779" w14:textId="77777777" w:rsidR="009D43C3" w:rsidRPr="000C156A" w:rsidRDefault="009D43C3" w:rsidP="005D02F0">
            <w:pPr>
              <w:tabs>
                <w:tab w:val="left" w:pos="459"/>
              </w:tabs>
              <w:spacing w:before="20"/>
              <w:rPr>
                <w:color w:val="000000"/>
                <w:sz w:val="22"/>
                <w:szCs w:val="18"/>
                <w:lang w:val="en-US" w:eastAsia="zh-CN"/>
              </w:rPr>
            </w:pPr>
            <w:r w:rsidRPr="000C156A">
              <w:rPr>
                <w:color w:val="000000"/>
                <w:sz w:val="22"/>
                <w:szCs w:val="18"/>
                <w:lang w:val="en-US" w:eastAsia="zh-CN"/>
              </w:rPr>
              <w:tab/>
            </w:r>
            <w:r w:rsidRPr="000C156A">
              <w:rPr>
                <w:rFonts w:hint="eastAsia"/>
                <w:color w:val="000000"/>
                <w:sz w:val="22"/>
                <w:szCs w:val="18"/>
                <w:lang w:val="en-US" w:eastAsia="zh-CN"/>
              </w:rPr>
              <w:t>其他建筑资产</w:t>
            </w:r>
          </w:p>
        </w:tc>
        <w:tc>
          <w:tcPr>
            <w:tcW w:w="2835" w:type="dxa"/>
            <w:tcBorders>
              <w:top w:val="nil"/>
              <w:left w:val="single" w:sz="4" w:space="0" w:color="auto"/>
              <w:bottom w:val="nil"/>
              <w:right w:val="single" w:sz="4" w:space="0" w:color="auto"/>
            </w:tcBorders>
          </w:tcPr>
          <w:p w14:paraId="24A4321E"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p>
        </w:tc>
        <w:tc>
          <w:tcPr>
            <w:tcW w:w="2688" w:type="dxa"/>
            <w:tcBorders>
              <w:top w:val="nil"/>
              <w:left w:val="single" w:sz="4" w:space="0" w:color="auto"/>
              <w:bottom w:val="nil"/>
              <w:right w:val="single" w:sz="4" w:space="0" w:color="auto"/>
            </w:tcBorders>
          </w:tcPr>
          <w:p w14:paraId="4A23757A"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10</w:t>
            </w:r>
          </w:p>
        </w:tc>
      </w:tr>
      <w:tr w:rsidR="009D43C3" w:rsidRPr="000C156A" w14:paraId="5F008789" w14:textId="77777777" w:rsidTr="005D02F0">
        <w:trPr>
          <w:trHeight w:val="170"/>
        </w:trPr>
        <w:tc>
          <w:tcPr>
            <w:tcW w:w="3998" w:type="dxa"/>
            <w:tcBorders>
              <w:top w:val="nil"/>
              <w:left w:val="single" w:sz="4" w:space="0" w:color="auto"/>
              <w:bottom w:val="nil"/>
              <w:right w:val="single" w:sz="4" w:space="0" w:color="auto"/>
            </w:tcBorders>
          </w:tcPr>
          <w:p w14:paraId="408F859F" w14:textId="77777777" w:rsidR="009D43C3" w:rsidRPr="000C156A" w:rsidRDefault="009D43C3" w:rsidP="005D02F0">
            <w:pPr>
              <w:pStyle w:val="Tabletext"/>
              <w:spacing w:before="20" w:after="20"/>
              <w:rPr>
                <w:sz w:val="12"/>
                <w:szCs w:val="8"/>
                <w:lang w:val="en-US" w:eastAsia="fr-FR"/>
              </w:rPr>
            </w:pPr>
          </w:p>
        </w:tc>
        <w:tc>
          <w:tcPr>
            <w:tcW w:w="2835" w:type="dxa"/>
            <w:tcBorders>
              <w:top w:val="nil"/>
              <w:left w:val="single" w:sz="4" w:space="0" w:color="auto"/>
              <w:bottom w:val="nil"/>
              <w:right w:val="single" w:sz="4" w:space="0" w:color="auto"/>
            </w:tcBorders>
          </w:tcPr>
          <w:p w14:paraId="5D05FD67"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p>
        </w:tc>
        <w:tc>
          <w:tcPr>
            <w:tcW w:w="2688" w:type="dxa"/>
            <w:tcBorders>
              <w:top w:val="nil"/>
              <w:left w:val="single" w:sz="4" w:space="0" w:color="auto"/>
              <w:bottom w:val="nil"/>
              <w:right w:val="single" w:sz="4" w:space="0" w:color="auto"/>
            </w:tcBorders>
          </w:tcPr>
          <w:p w14:paraId="49D72DB0"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p>
        </w:tc>
      </w:tr>
      <w:tr w:rsidR="009D43C3" w:rsidRPr="000C156A" w14:paraId="6CFC02D0" w14:textId="77777777" w:rsidTr="005D02F0">
        <w:tc>
          <w:tcPr>
            <w:tcW w:w="3998" w:type="dxa"/>
            <w:tcBorders>
              <w:top w:val="nil"/>
              <w:left w:val="single" w:sz="4" w:space="0" w:color="auto"/>
              <w:bottom w:val="nil"/>
              <w:right w:val="single" w:sz="4" w:space="0" w:color="auto"/>
            </w:tcBorders>
            <w:hideMark/>
          </w:tcPr>
          <w:p w14:paraId="325C815D" w14:textId="77777777" w:rsidR="009D43C3" w:rsidRPr="000C156A" w:rsidRDefault="009D43C3" w:rsidP="005D02F0">
            <w:pPr>
              <w:pStyle w:val="Tabletext"/>
              <w:spacing w:before="20" w:after="20"/>
              <w:rPr>
                <w:szCs w:val="18"/>
                <w:lang w:val="en-US" w:eastAsia="zh-CN"/>
              </w:rPr>
            </w:pPr>
            <w:r w:rsidRPr="000C156A">
              <w:rPr>
                <w:rFonts w:hint="eastAsia"/>
                <w:color w:val="000000"/>
                <w:szCs w:val="18"/>
                <w:lang w:val="en-US" w:eastAsia="zh-CN"/>
              </w:rPr>
              <w:t>机械和设备</w:t>
            </w:r>
          </w:p>
        </w:tc>
        <w:tc>
          <w:tcPr>
            <w:tcW w:w="2835" w:type="dxa"/>
            <w:tcBorders>
              <w:top w:val="nil"/>
              <w:left w:val="single" w:sz="4" w:space="0" w:color="auto"/>
              <w:bottom w:val="nil"/>
              <w:right w:val="single" w:sz="4" w:space="0" w:color="auto"/>
            </w:tcBorders>
            <w:hideMark/>
          </w:tcPr>
          <w:p w14:paraId="21DBAA86"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5</w:t>
            </w:r>
          </w:p>
        </w:tc>
        <w:tc>
          <w:tcPr>
            <w:tcW w:w="2688" w:type="dxa"/>
            <w:tcBorders>
              <w:top w:val="nil"/>
              <w:left w:val="single" w:sz="4" w:space="0" w:color="auto"/>
              <w:bottom w:val="nil"/>
              <w:right w:val="single" w:sz="4" w:space="0" w:color="auto"/>
            </w:tcBorders>
          </w:tcPr>
          <w:p w14:paraId="03299313"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5</w:t>
            </w:r>
          </w:p>
        </w:tc>
      </w:tr>
      <w:tr w:rsidR="009D43C3" w:rsidRPr="000C156A" w14:paraId="2FB6BC3A" w14:textId="77777777" w:rsidTr="005D02F0">
        <w:tc>
          <w:tcPr>
            <w:tcW w:w="3998" w:type="dxa"/>
            <w:tcBorders>
              <w:top w:val="nil"/>
              <w:left w:val="single" w:sz="4" w:space="0" w:color="auto"/>
              <w:bottom w:val="nil"/>
              <w:right w:val="single" w:sz="4" w:space="0" w:color="auto"/>
            </w:tcBorders>
            <w:hideMark/>
          </w:tcPr>
          <w:p w14:paraId="1B04C746" w14:textId="77777777" w:rsidR="009D43C3" w:rsidRPr="000C156A" w:rsidRDefault="009D43C3" w:rsidP="005D02F0">
            <w:pPr>
              <w:pStyle w:val="Tabletext"/>
              <w:spacing w:before="20" w:after="20"/>
              <w:rPr>
                <w:szCs w:val="18"/>
                <w:lang w:val="en-US" w:eastAsia="zh-CN"/>
              </w:rPr>
            </w:pPr>
            <w:r w:rsidRPr="000C156A">
              <w:rPr>
                <w:rFonts w:hint="eastAsia"/>
                <w:color w:val="000000"/>
                <w:szCs w:val="18"/>
                <w:lang w:val="en-US" w:eastAsia="zh-CN"/>
              </w:rPr>
              <w:t>家具和装置</w:t>
            </w:r>
          </w:p>
        </w:tc>
        <w:tc>
          <w:tcPr>
            <w:tcW w:w="2835" w:type="dxa"/>
            <w:tcBorders>
              <w:top w:val="nil"/>
              <w:left w:val="single" w:sz="4" w:space="0" w:color="auto"/>
              <w:bottom w:val="nil"/>
              <w:right w:val="single" w:sz="4" w:space="0" w:color="auto"/>
            </w:tcBorders>
            <w:hideMark/>
          </w:tcPr>
          <w:p w14:paraId="215D8D97"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5</w:t>
            </w:r>
          </w:p>
        </w:tc>
        <w:tc>
          <w:tcPr>
            <w:tcW w:w="2688" w:type="dxa"/>
            <w:tcBorders>
              <w:top w:val="nil"/>
              <w:left w:val="single" w:sz="4" w:space="0" w:color="auto"/>
              <w:bottom w:val="nil"/>
              <w:right w:val="single" w:sz="4" w:space="0" w:color="auto"/>
            </w:tcBorders>
          </w:tcPr>
          <w:p w14:paraId="1D0DA66F"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5</w:t>
            </w:r>
          </w:p>
        </w:tc>
      </w:tr>
      <w:tr w:rsidR="009D43C3" w:rsidRPr="000C156A" w14:paraId="1949C65B" w14:textId="77777777" w:rsidTr="005D02F0">
        <w:tc>
          <w:tcPr>
            <w:tcW w:w="3998" w:type="dxa"/>
            <w:tcBorders>
              <w:top w:val="nil"/>
              <w:left w:val="single" w:sz="4" w:space="0" w:color="auto"/>
              <w:bottom w:val="nil"/>
              <w:right w:val="single" w:sz="4" w:space="0" w:color="auto"/>
            </w:tcBorders>
            <w:hideMark/>
          </w:tcPr>
          <w:p w14:paraId="105FD6FD" w14:textId="77777777" w:rsidR="009D43C3" w:rsidRPr="000C156A" w:rsidRDefault="009D43C3" w:rsidP="005D02F0">
            <w:pPr>
              <w:pStyle w:val="Tabletext"/>
              <w:spacing w:before="20" w:after="20"/>
              <w:rPr>
                <w:szCs w:val="18"/>
                <w:lang w:val="en-US" w:eastAsia="zh-CN"/>
              </w:rPr>
            </w:pPr>
            <w:r w:rsidRPr="000C156A">
              <w:rPr>
                <w:rFonts w:hint="eastAsia"/>
                <w:color w:val="000000"/>
                <w:szCs w:val="18"/>
                <w:lang w:val="en-US" w:eastAsia="zh-CN"/>
              </w:rPr>
              <w:t>车辆</w:t>
            </w:r>
          </w:p>
        </w:tc>
        <w:tc>
          <w:tcPr>
            <w:tcW w:w="2835" w:type="dxa"/>
            <w:tcBorders>
              <w:top w:val="nil"/>
              <w:left w:val="single" w:sz="4" w:space="0" w:color="auto"/>
              <w:bottom w:val="nil"/>
              <w:right w:val="single" w:sz="4" w:space="0" w:color="auto"/>
            </w:tcBorders>
            <w:hideMark/>
          </w:tcPr>
          <w:p w14:paraId="47C75A30"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5</w:t>
            </w:r>
          </w:p>
        </w:tc>
        <w:tc>
          <w:tcPr>
            <w:tcW w:w="2688" w:type="dxa"/>
            <w:tcBorders>
              <w:top w:val="nil"/>
              <w:left w:val="single" w:sz="4" w:space="0" w:color="auto"/>
              <w:bottom w:val="nil"/>
              <w:right w:val="single" w:sz="4" w:space="0" w:color="auto"/>
            </w:tcBorders>
          </w:tcPr>
          <w:p w14:paraId="45DBB8B5"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5</w:t>
            </w:r>
          </w:p>
        </w:tc>
      </w:tr>
      <w:tr w:rsidR="009D43C3" w:rsidRPr="000C156A" w14:paraId="55AE6297" w14:textId="77777777" w:rsidTr="005D02F0">
        <w:tc>
          <w:tcPr>
            <w:tcW w:w="3998" w:type="dxa"/>
            <w:tcBorders>
              <w:top w:val="nil"/>
              <w:left w:val="single" w:sz="4" w:space="0" w:color="auto"/>
              <w:bottom w:val="nil"/>
              <w:right w:val="single" w:sz="4" w:space="0" w:color="auto"/>
            </w:tcBorders>
            <w:hideMark/>
          </w:tcPr>
          <w:p w14:paraId="3E4B594A" w14:textId="77777777" w:rsidR="009D43C3" w:rsidRPr="000C156A" w:rsidRDefault="009D43C3" w:rsidP="005D02F0">
            <w:pPr>
              <w:pStyle w:val="Tabletext"/>
              <w:spacing w:before="20" w:after="20"/>
              <w:rPr>
                <w:szCs w:val="18"/>
                <w:lang w:val="en-US" w:eastAsia="zh-CN"/>
              </w:rPr>
            </w:pPr>
            <w:r w:rsidRPr="000C156A">
              <w:rPr>
                <w:rFonts w:hint="eastAsia"/>
                <w:color w:val="000000"/>
                <w:szCs w:val="18"/>
                <w:lang w:val="en-US" w:eastAsia="zh-CN"/>
              </w:rPr>
              <w:t>计算机硬件</w:t>
            </w:r>
          </w:p>
        </w:tc>
        <w:tc>
          <w:tcPr>
            <w:tcW w:w="2835" w:type="dxa"/>
            <w:tcBorders>
              <w:top w:val="nil"/>
              <w:left w:val="single" w:sz="4" w:space="0" w:color="auto"/>
              <w:bottom w:val="nil"/>
              <w:right w:val="single" w:sz="4" w:space="0" w:color="auto"/>
            </w:tcBorders>
            <w:hideMark/>
          </w:tcPr>
          <w:p w14:paraId="6BAD499E"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3</w:t>
            </w:r>
          </w:p>
        </w:tc>
        <w:tc>
          <w:tcPr>
            <w:tcW w:w="2688" w:type="dxa"/>
            <w:tcBorders>
              <w:top w:val="nil"/>
              <w:left w:val="single" w:sz="4" w:space="0" w:color="auto"/>
              <w:bottom w:val="nil"/>
              <w:right w:val="single" w:sz="4" w:space="0" w:color="auto"/>
            </w:tcBorders>
          </w:tcPr>
          <w:p w14:paraId="71EE1527"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3</w:t>
            </w:r>
          </w:p>
        </w:tc>
      </w:tr>
      <w:tr w:rsidR="009D43C3" w:rsidRPr="000C156A" w14:paraId="2E472E49" w14:textId="77777777" w:rsidTr="005D02F0">
        <w:tc>
          <w:tcPr>
            <w:tcW w:w="3998" w:type="dxa"/>
            <w:tcBorders>
              <w:top w:val="nil"/>
              <w:left w:val="single" w:sz="4" w:space="0" w:color="auto"/>
              <w:bottom w:val="nil"/>
              <w:right w:val="single" w:sz="4" w:space="0" w:color="auto"/>
            </w:tcBorders>
          </w:tcPr>
          <w:p w14:paraId="1E092A93" w14:textId="77777777" w:rsidR="009D43C3" w:rsidRPr="000C156A" w:rsidRDefault="009D43C3" w:rsidP="00AA38B7">
            <w:pPr>
              <w:pStyle w:val="TableText0"/>
              <w:spacing w:before="0" w:after="0"/>
              <w:rPr>
                <w:sz w:val="12"/>
                <w:szCs w:val="8"/>
                <w:lang w:val="en-US" w:eastAsia="fr-FR"/>
              </w:rPr>
            </w:pPr>
          </w:p>
        </w:tc>
        <w:tc>
          <w:tcPr>
            <w:tcW w:w="2835" w:type="dxa"/>
            <w:tcBorders>
              <w:top w:val="nil"/>
              <w:left w:val="single" w:sz="4" w:space="0" w:color="auto"/>
              <w:bottom w:val="nil"/>
              <w:right w:val="single" w:sz="4" w:space="0" w:color="auto"/>
            </w:tcBorders>
          </w:tcPr>
          <w:p w14:paraId="60B31C92"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p>
        </w:tc>
        <w:tc>
          <w:tcPr>
            <w:tcW w:w="2688" w:type="dxa"/>
            <w:tcBorders>
              <w:top w:val="nil"/>
              <w:left w:val="single" w:sz="4" w:space="0" w:color="auto"/>
              <w:bottom w:val="nil"/>
              <w:right w:val="single" w:sz="4" w:space="0" w:color="auto"/>
            </w:tcBorders>
          </w:tcPr>
          <w:p w14:paraId="525BFEB4"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p>
        </w:tc>
      </w:tr>
      <w:tr w:rsidR="009D43C3" w:rsidRPr="000C156A" w14:paraId="16F8CB4C" w14:textId="77777777" w:rsidTr="005D02F0">
        <w:tc>
          <w:tcPr>
            <w:tcW w:w="3998" w:type="dxa"/>
            <w:tcBorders>
              <w:top w:val="nil"/>
              <w:left w:val="single" w:sz="4" w:space="0" w:color="auto"/>
              <w:bottom w:val="single" w:sz="4" w:space="0" w:color="auto"/>
              <w:right w:val="single" w:sz="4" w:space="0" w:color="auto"/>
            </w:tcBorders>
            <w:hideMark/>
          </w:tcPr>
          <w:p w14:paraId="7BC779C3" w14:textId="77777777" w:rsidR="009D43C3" w:rsidRPr="000C156A" w:rsidRDefault="009D43C3" w:rsidP="005D02F0">
            <w:pPr>
              <w:pStyle w:val="Tabletext"/>
              <w:spacing w:before="20" w:after="20"/>
              <w:rPr>
                <w:szCs w:val="18"/>
                <w:lang w:val="en-US" w:eastAsia="zh-CN"/>
              </w:rPr>
            </w:pPr>
            <w:r w:rsidRPr="000C156A">
              <w:rPr>
                <w:rFonts w:hint="eastAsia"/>
                <w:color w:val="000000"/>
                <w:szCs w:val="18"/>
                <w:lang w:val="en-US" w:eastAsia="zh-CN"/>
              </w:rPr>
              <w:t>许可和软件包</w:t>
            </w:r>
          </w:p>
        </w:tc>
        <w:tc>
          <w:tcPr>
            <w:tcW w:w="2835" w:type="dxa"/>
            <w:tcBorders>
              <w:top w:val="nil"/>
              <w:left w:val="single" w:sz="4" w:space="0" w:color="auto"/>
              <w:bottom w:val="single" w:sz="4" w:space="0" w:color="auto"/>
              <w:right w:val="single" w:sz="4" w:space="0" w:color="auto"/>
            </w:tcBorders>
            <w:hideMark/>
          </w:tcPr>
          <w:p w14:paraId="2E97267A"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3</w:t>
            </w:r>
          </w:p>
        </w:tc>
        <w:tc>
          <w:tcPr>
            <w:tcW w:w="2688" w:type="dxa"/>
            <w:tcBorders>
              <w:top w:val="nil"/>
              <w:left w:val="single" w:sz="4" w:space="0" w:color="auto"/>
              <w:bottom w:val="single" w:sz="4" w:space="0" w:color="auto"/>
              <w:right w:val="single" w:sz="4" w:space="0" w:color="auto"/>
            </w:tcBorders>
          </w:tcPr>
          <w:p w14:paraId="77ABDAE0" w14:textId="77777777" w:rsidR="009D43C3" w:rsidRPr="000C156A" w:rsidRDefault="009D43C3" w:rsidP="00B22423">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3</w:t>
            </w:r>
          </w:p>
        </w:tc>
      </w:tr>
    </w:tbl>
    <w:p w14:paraId="619BE944" w14:textId="77777777" w:rsidR="009D43C3" w:rsidRPr="000C156A" w:rsidRDefault="009D43C3" w:rsidP="009D43C3">
      <w:pPr>
        <w:ind w:firstLineChars="200" w:firstLine="480"/>
        <w:rPr>
          <w:lang w:eastAsia="zh-CN"/>
        </w:rPr>
      </w:pPr>
      <w:r w:rsidRPr="000C156A">
        <w:rPr>
          <w:rFonts w:hint="eastAsia"/>
          <w:lang w:eastAsia="zh-CN"/>
        </w:rPr>
        <w:t>在每年的结账日，国际电联评估资产是否具有减值迹象。如存在这种情况，估计资产的可收回金额。当账面金额大于可收回金额时，将减值损失记录在财务业绩报表中。</w:t>
      </w:r>
    </w:p>
    <w:p w14:paraId="3550BA8F" w14:textId="77777777" w:rsidR="009D43C3" w:rsidRPr="000C156A" w:rsidRDefault="009D43C3" w:rsidP="009D43C3">
      <w:pPr>
        <w:ind w:firstLineChars="200" w:firstLine="480"/>
        <w:rPr>
          <w:lang w:eastAsia="zh-CN"/>
        </w:rPr>
      </w:pPr>
      <w:r w:rsidRPr="000C156A">
        <w:rPr>
          <w:rFonts w:hint="eastAsia"/>
          <w:lang w:eastAsia="zh-CN"/>
        </w:rPr>
        <w:t>可收回金额是公允价值减处置费用和使用价值中的较高值。资产的可收回金额单独计算。非商业用途的固定资产的使用价值对应于使用该资产预期得到的服务潜力现值。</w:t>
      </w:r>
    </w:p>
    <w:p w14:paraId="7511C627" w14:textId="77777777" w:rsidR="009D43C3" w:rsidRPr="000C156A" w:rsidRDefault="009D43C3" w:rsidP="009D43C3">
      <w:pPr>
        <w:ind w:firstLineChars="200" w:firstLine="480"/>
        <w:rPr>
          <w:lang w:eastAsia="zh-CN"/>
        </w:rPr>
      </w:pPr>
      <w:r w:rsidRPr="000C156A">
        <w:rPr>
          <w:rFonts w:hint="eastAsia"/>
          <w:lang w:eastAsia="zh-CN"/>
        </w:rPr>
        <w:t>如自上一次估算以来对可收回金额的估算发生变化，以前阶段确认的减值损失转回。资产的净账面金额提升，但不得超过如最初未确认减值损失资产采用的净账面金额。转回记录在财务业绩报表中。</w:t>
      </w:r>
    </w:p>
    <w:p w14:paraId="45EBCDF0" w14:textId="77777777" w:rsidR="009D43C3" w:rsidRPr="000C156A" w:rsidRDefault="009D43C3" w:rsidP="009D43C3">
      <w:pPr>
        <w:pStyle w:val="Heading5"/>
        <w:rPr>
          <w:rFonts w:cs="Microsoft YaHei"/>
          <w:b w:val="0"/>
          <w:u w:val="single"/>
          <w:lang w:val="fr-FR" w:eastAsia="zh-CN"/>
        </w:rPr>
      </w:pPr>
      <w:bookmarkStart w:id="404" w:name="_Toc482892550"/>
      <w:bookmarkStart w:id="405" w:name="_Toc329011619"/>
      <w:bookmarkStart w:id="406" w:name="_Toc41905851"/>
      <w:bookmarkStart w:id="407" w:name="_Toc73636250"/>
      <w:r w:rsidRPr="000C156A">
        <w:rPr>
          <w:rFonts w:cs="Microsoft YaHei" w:hint="eastAsia"/>
          <w:u w:val="single"/>
          <w:lang w:val="fr-FR" w:eastAsia="zh-CN"/>
        </w:rPr>
        <w:t>租赁的固定资产</w:t>
      </w:r>
      <w:bookmarkEnd w:id="404"/>
      <w:bookmarkEnd w:id="405"/>
      <w:bookmarkEnd w:id="406"/>
      <w:bookmarkEnd w:id="407"/>
    </w:p>
    <w:p w14:paraId="02484F20" w14:textId="77777777" w:rsidR="009D43C3" w:rsidRPr="000C156A" w:rsidRDefault="009D43C3" w:rsidP="009D43C3">
      <w:pPr>
        <w:ind w:firstLineChars="200" w:firstLine="480"/>
        <w:rPr>
          <w:lang w:eastAsia="zh-CN"/>
        </w:rPr>
      </w:pPr>
      <w:r w:rsidRPr="000C156A">
        <w:rPr>
          <w:rFonts w:hint="eastAsia"/>
          <w:lang w:eastAsia="zh-CN"/>
        </w:rPr>
        <w:t>国际电联在其活动框架内可能使用租赁资产。这些租赁资产按照</w:t>
      </w:r>
      <w:r w:rsidRPr="000C156A">
        <w:rPr>
          <w:lang w:eastAsia="zh-CN"/>
        </w:rPr>
        <w:t>IPSAS</w:t>
      </w:r>
      <w:r w:rsidRPr="000C156A">
        <w:rPr>
          <w:rFonts w:hint="eastAsia"/>
          <w:lang w:eastAsia="zh-CN"/>
        </w:rPr>
        <w:t>第</w:t>
      </w:r>
      <w:r w:rsidRPr="000C156A">
        <w:rPr>
          <w:lang w:eastAsia="zh-CN"/>
        </w:rPr>
        <w:t>13</w:t>
      </w:r>
      <w:r w:rsidRPr="000C156A">
        <w:rPr>
          <w:rFonts w:hint="eastAsia"/>
          <w:lang w:eastAsia="zh-CN"/>
        </w:rPr>
        <w:t>号所述情况和指标予以分析，从而确定其属于经营性租赁，还是融资租赁。截至</w:t>
      </w:r>
      <w:r w:rsidRPr="000C156A">
        <w:rPr>
          <w:lang w:eastAsia="zh-CN"/>
        </w:rPr>
        <w:t>201</w:t>
      </w:r>
      <w:r w:rsidRPr="000C156A">
        <w:rPr>
          <w:rFonts w:hint="eastAsia"/>
          <w:lang w:eastAsia="zh-CN"/>
        </w:rPr>
        <w:t>9</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日，国际电联进行的租赁符合经营性租赁，因此被确认为经营性租赁。有关这些租赁的缴付在财务业绩报表中直接确认为租赁期内的费用。</w:t>
      </w:r>
    </w:p>
    <w:p w14:paraId="2B10376C" w14:textId="77777777" w:rsidR="009D43C3" w:rsidRPr="000C156A" w:rsidRDefault="009D43C3" w:rsidP="009D43C3">
      <w:pPr>
        <w:pStyle w:val="Heading5"/>
        <w:rPr>
          <w:rFonts w:cs="Microsoft YaHei"/>
          <w:b w:val="0"/>
          <w:u w:val="single"/>
          <w:lang w:eastAsia="zh-CN"/>
        </w:rPr>
      </w:pPr>
      <w:bookmarkStart w:id="408" w:name="_Toc482892551"/>
      <w:bookmarkStart w:id="409" w:name="_Toc329011620"/>
      <w:bookmarkStart w:id="410" w:name="_Toc305764071"/>
      <w:bookmarkStart w:id="411" w:name="_Toc41905852"/>
      <w:bookmarkStart w:id="412" w:name="_Toc73636251"/>
      <w:r w:rsidRPr="000C156A">
        <w:rPr>
          <w:rFonts w:cs="Microsoft YaHei" w:hint="eastAsia"/>
          <w:u w:val="single"/>
          <w:lang w:val="fr-FR" w:eastAsia="zh-CN"/>
        </w:rPr>
        <w:t>无形资产</w:t>
      </w:r>
      <w:bookmarkEnd w:id="408"/>
      <w:bookmarkEnd w:id="409"/>
      <w:bookmarkEnd w:id="410"/>
      <w:bookmarkEnd w:id="411"/>
      <w:bookmarkEnd w:id="412"/>
    </w:p>
    <w:p w14:paraId="282AF7F0" w14:textId="77777777" w:rsidR="009D43C3" w:rsidRPr="000C156A" w:rsidRDefault="009D43C3" w:rsidP="009D43C3">
      <w:pPr>
        <w:ind w:firstLineChars="200" w:firstLine="480"/>
        <w:rPr>
          <w:lang w:eastAsia="zh-CN"/>
        </w:rPr>
      </w:pPr>
      <w:r w:rsidRPr="000C156A">
        <w:rPr>
          <w:rFonts w:hint="eastAsia"/>
          <w:lang w:eastAsia="zh-CN"/>
        </w:rPr>
        <w:t>由信息技术（</w:t>
      </w:r>
      <w:r w:rsidRPr="000C156A">
        <w:rPr>
          <w:lang w:eastAsia="zh-CN"/>
        </w:rPr>
        <w:t>IT</w:t>
      </w:r>
      <w:r w:rsidRPr="000C156A">
        <w:rPr>
          <w:lang w:eastAsia="zh-CN"/>
        </w:rPr>
        <w:t>）</w:t>
      </w:r>
      <w:r w:rsidRPr="000C156A">
        <w:rPr>
          <w:rFonts w:hint="eastAsia"/>
          <w:lang w:eastAsia="zh-CN"/>
        </w:rPr>
        <w:t>许可和软件组成、价值超过</w:t>
      </w:r>
      <w:r w:rsidRPr="000C156A">
        <w:rPr>
          <w:lang w:eastAsia="zh-CN"/>
        </w:rPr>
        <w:t>50 000</w:t>
      </w:r>
      <w:r w:rsidRPr="000C156A">
        <w:rPr>
          <w:rFonts w:hint="eastAsia"/>
          <w:lang w:eastAsia="zh-CN"/>
        </w:rPr>
        <w:t>瑞郎的无形资产按照其历史成本减累积折旧和减值损失确认，使用净值的开账余额除外。许可、软件包、专利和权利在三年时间内直接摊消。</w:t>
      </w:r>
    </w:p>
    <w:p w14:paraId="13768A88" w14:textId="77777777" w:rsidR="009D43C3" w:rsidRPr="000C156A" w:rsidRDefault="009D43C3" w:rsidP="009D43C3">
      <w:pPr>
        <w:ind w:firstLineChars="200" w:firstLine="480"/>
        <w:rPr>
          <w:lang w:eastAsia="zh-CN"/>
        </w:rPr>
      </w:pPr>
      <w:r w:rsidRPr="000C156A">
        <w:rPr>
          <w:rFonts w:hint="eastAsia"/>
          <w:lang w:eastAsia="zh-CN"/>
        </w:rPr>
        <w:t>所有成本等于或小于</w:t>
      </w:r>
      <w:r w:rsidRPr="000C156A">
        <w:rPr>
          <w:lang w:eastAsia="zh-CN"/>
        </w:rPr>
        <w:t>50 000</w:t>
      </w:r>
      <w:r w:rsidRPr="000C156A">
        <w:rPr>
          <w:rFonts w:hint="eastAsia"/>
          <w:lang w:eastAsia="zh-CN"/>
        </w:rPr>
        <w:t>瑞郎的货物在收到时予以资本化并在购买后月结账时在财务业绩报表中全部确认为费用。</w:t>
      </w:r>
    </w:p>
    <w:p w14:paraId="45AD3CCD" w14:textId="77777777" w:rsidR="009D43C3" w:rsidRPr="000C156A" w:rsidRDefault="009D43C3" w:rsidP="009D43C3">
      <w:pPr>
        <w:ind w:firstLineChars="200" w:firstLine="480"/>
        <w:rPr>
          <w:lang w:eastAsia="zh-CN"/>
        </w:rPr>
      </w:pPr>
      <w:r w:rsidRPr="000C156A">
        <w:rPr>
          <w:rFonts w:hint="eastAsia"/>
          <w:lang w:eastAsia="zh-CN"/>
        </w:rPr>
        <w:lastRenderedPageBreak/>
        <w:t>如国际电联可能得益于未来的经济效益或其所归属的服务潜力，内部开发的许可、软件包和专利目前则被资本化。直接分配到国际电联控制的可确定和独一无二的软件产品的设计和测试的开发成本在结账之日满足以下条件时被确认为无形资产：</w:t>
      </w:r>
    </w:p>
    <w:p w14:paraId="2202638F"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软件产品的完成在技术上是可行的，因此，可供使用；</w:t>
      </w:r>
    </w:p>
    <w:p w14:paraId="50B22BAE"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管理层打算完成该软件产品并使用或销售该产品；</w:t>
      </w:r>
    </w:p>
    <w:p w14:paraId="5E429E08"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有能力使用或销售该软件产品；</w:t>
      </w:r>
    </w:p>
    <w:p w14:paraId="3CB5815B"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该软件产品未来如何产生经济效益显而易见；</w:t>
      </w:r>
    </w:p>
    <w:p w14:paraId="1A3061D8"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完成该软件产品的开放、使用或销售具有充足的技术、财务和其他资源，分配到属于该软件产品的开发支出可得到可靠衡量。</w:t>
      </w:r>
    </w:p>
    <w:p w14:paraId="4D265084" w14:textId="77777777" w:rsidR="009D43C3" w:rsidRPr="000C156A" w:rsidRDefault="009D43C3" w:rsidP="009D43C3">
      <w:pPr>
        <w:ind w:firstLineChars="200" w:firstLine="480"/>
        <w:rPr>
          <w:lang w:eastAsia="zh-CN"/>
        </w:rPr>
      </w:pPr>
      <w:r w:rsidRPr="000C156A">
        <w:rPr>
          <w:rFonts w:hint="eastAsia"/>
          <w:lang w:eastAsia="zh-CN"/>
        </w:rPr>
        <w:t>作为软件产品资本化组成部分的直接可归属成本包括软件开发人员成本和一定比例的相关开销。</w:t>
      </w:r>
    </w:p>
    <w:p w14:paraId="51EBC8DF" w14:textId="77777777" w:rsidR="009D43C3" w:rsidRPr="000C156A" w:rsidRDefault="009D43C3" w:rsidP="009D43C3">
      <w:pPr>
        <w:ind w:firstLineChars="200" w:firstLine="480"/>
        <w:rPr>
          <w:lang w:eastAsia="zh-CN"/>
        </w:rPr>
      </w:pPr>
      <w:r w:rsidRPr="000C156A">
        <w:rPr>
          <w:rFonts w:hint="eastAsia"/>
          <w:lang w:eastAsia="zh-CN"/>
        </w:rPr>
        <w:t>其他不满足这些标准的开发支出被视为已发生费用。之前被视为费用的开发成本在以后阶段不被视为资产。</w:t>
      </w:r>
    </w:p>
    <w:p w14:paraId="5D85E296" w14:textId="77777777" w:rsidR="009D43C3" w:rsidRPr="000C156A" w:rsidRDefault="009D43C3" w:rsidP="009D43C3">
      <w:pPr>
        <w:ind w:firstLineChars="200" w:firstLine="480"/>
        <w:rPr>
          <w:lang w:eastAsia="zh-CN"/>
        </w:rPr>
      </w:pPr>
      <w:r w:rsidRPr="000C156A">
        <w:rPr>
          <w:rFonts w:hint="eastAsia"/>
          <w:lang w:eastAsia="zh-CN"/>
        </w:rPr>
        <w:t>被视为资产的计算机软件开发成本在所估计的不超过三年的有用寿命内摊销。</w:t>
      </w:r>
    </w:p>
    <w:p w14:paraId="74526A95" w14:textId="77777777" w:rsidR="009D43C3" w:rsidRPr="000C156A" w:rsidRDefault="009D43C3" w:rsidP="009D43C3">
      <w:pPr>
        <w:ind w:firstLineChars="200" w:firstLine="480"/>
        <w:rPr>
          <w:lang w:eastAsia="zh-CN"/>
        </w:rPr>
      </w:pPr>
      <w:r w:rsidRPr="000C156A">
        <w:rPr>
          <w:rFonts w:hint="eastAsia"/>
          <w:lang w:eastAsia="zh-CN"/>
        </w:rPr>
        <w:t>计算机软件程序维护相关成本被视为已发生的费用。</w:t>
      </w:r>
    </w:p>
    <w:p w14:paraId="18CFCB05" w14:textId="77777777" w:rsidR="009D43C3" w:rsidRPr="000C156A" w:rsidRDefault="009D43C3" w:rsidP="009D43C3">
      <w:pPr>
        <w:pStyle w:val="Heading5"/>
        <w:rPr>
          <w:rFonts w:cs="Microsoft YaHei"/>
          <w:b w:val="0"/>
          <w:i/>
          <w:u w:val="single"/>
          <w:lang w:eastAsia="zh-CN"/>
        </w:rPr>
      </w:pPr>
      <w:bookmarkStart w:id="413" w:name="_Toc482892552"/>
      <w:bookmarkStart w:id="414" w:name="_Toc329011621"/>
      <w:bookmarkStart w:id="415" w:name="_Toc305764072"/>
      <w:bookmarkStart w:id="416" w:name="_Toc41905853"/>
      <w:bookmarkStart w:id="417" w:name="_Toc73636252"/>
      <w:r w:rsidRPr="000C156A">
        <w:rPr>
          <w:rFonts w:cs="Microsoft YaHei" w:hint="eastAsia"/>
          <w:u w:val="single"/>
          <w:lang w:val="fr-FR" w:eastAsia="zh-CN"/>
        </w:rPr>
        <w:t>准备金</w:t>
      </w:r>
      <w:bookmarkEnd w:id="413"/>
      <w:bookmarkEnd w:id="414"/>
      <w:bookmarkEnd w:id="415"/>
      <w:bookmarkEnd w:id="416"/>
      <w:bookmarkEnd w:id="417"/>
    </w:p>
    <w:p w14:paraId="76AC4013" w14:textId="77777777" w:rsidR="009D43C3" w:rsidRPr="000C156A" w:rsidRDefault="009D43C3" w:rsidP="009D43C3">
      <w:pPr>
        <w:ind w:firstLineChars="200" w:firstLine="480"/>
        <w:rPr>
          <w:lang w:eastAsia="zh-CN"/>
        </w:rPr>
      </w:pPr>
      <w:r w:rsidRPr="000C156A">
        <w:rPr>
          <w:rFonts w:hint="eastAsia"/>
          <w:lang w:eastAsia="zh-CN"/>
        </w:rPr>
        <w:t>准备金涉及结果、到期日或金额不确定的承付款项。当国际电联因以往事项产生法律或建设性承付款项，为履行该承付款项可能需要资金流出，而且可以可靠地估算该承付款项金额时，将准备金输入财务状况报表。</w:t>
      </w:r>
    </w:p>
    <w:p w14:paraId="4923211F" w14:textId="77777777" w:rsidR="009D43C3" w:rsidRPr="000C156A" w:rsidRDefault="009D43C3" w:rsidP="009D43C3">
      <w:pPr>
        <w:ind w:firstLineChars="200" w:firstLine="480"/>
        <w:rPr>
          <w:lang w:eastAsia="zh-CN"/>
        </w:rPr>
      </w:pPr>
      <w:r w:rsidRPr="000C156A">
        <w:rPr>
          <w:rFonts w:hint="eastAsia"/>
          <w:lang w:eastAsia="zh-CN"/>
        </w:rPr>
        <w:t>当不可能产生资源流出，或无法可靠估算时，不将承付款项记录在财务状况报表中，但披露在说明中。</w:t>
      </w:r>
    </w:p>
    <w:p w14:paraId="63BA84CA" w14:textId="77777777" w:rsidR="009D43C3" w:rsidRPr="000C156A" w:rsidRDefault="009D43C3" w:rsidP="009D43C3">
      <w:pPr>
        <w:pStyle w:val="Heading5"/>
        <w:rPr>
          <w:rFonts w:cs="Microsoft YaHei"/>
          <w:b w:val="0"/>
          <w:i/>
          <w:u w:val="single"/>
          <w:lang w:eastAsia="zh-CN"/>
        </w:rPr>
      </w:pPr>
      <w:bookmarkStart w:id="418" w:name="_Toc482892553"/>
      <w:bookmarkStart w:id="419" w:name="_Toc329011622"/>
      <w:bookmarkStart w:id="420" w:name="_Toc305764073"/>
      <w:bookmarkStart w:id="421" w:name="_Toc41905854"/>
      <w:bookmarkStart w:id="422" w:name="_Toc73636253"/>
      <w:r w:rsidRPr="000C156A">
        <w:rPr>
          <w:rFonts w:cs="Microsoft YaHei" w:hint="eastAsia"/>
          <w:u w:val="single"/>
          <w:lang w:val="fr-FR" w:eastAsia="zh-CN"/>
        </w:rPr>
        <w:t>备用资产和负债</w:t>
      </w:r>
      <w:bookmarkEnd w:id="418"/>
      <w:bookmarkEnd w:id="419"/>
      <w:bookmarkEnd w:id="420"/>
      <w:bookmarkEnd w:id="421"/>
      <w:bookmarkEnd w:id="422"/>
    </w:p>
    <w:p w14:paraId="0585341F" w14:textId="77777777" w:rsidR="009D43C3" w:rsidRPr="000C156A" w:rsidRDefault="009D43C3" w:rsidP="009D43C3">
      <w:pPr>
        <w:ind w:firstLineChars="200" w:firstLine="480"/>
        <w:rPr>
          <w:lang w:eastAsia="zh-CN"/>
        </w:rPr>
      </w:pPr>
      <w:r w:rsidRPr="000C156A">
        <w:rPr>
          <w:rFonts w:hint="eastAsia"/>
          <w:lang w:eastAsia="zh-CN"/>
        </w:rPr>
        <w:t>备用资产和负债是由以往事项产生的潜在权利和承付款项，其存在仅能通过不完全由国际电联控制的一个或多个不确定未来事项的发生或不发生予以证实。这些项目披露在说明中。</w:t>
      </w:r>
    </w:p>
    <w:p w14:paraId="622D2A9A" w14:textId="77777777" w:rsidR="009D43C3" w:rsidRPr="000C156A" w:rsidRDefault="009D43C3" w:rsidP="009D43C3">
      <w:pPr>
        <w:pStyle w:val="Heading5"/>
        <w:rPr>
          <w:rFonts w:cs="Microsoft YaHei"/>
          <w:b w:val="0"/>
          <w:i/>
          <w:u w:val="single"/>
          <w:lang w:val="fr-FR" w:eastAsia="zh-CN"/>
        </w:rPr>
      </w:pPr>
      <w:bookmarkStart w:id="423" w:name="_Toc482892554"/>
      <w:bookmarkStart w:id="424" w:name="_Toc41905855"/>
      <w:bookmarkStart w:id="425" w:name="_Toc73636254"/>
      <w:r w:rsidRPr="000C156A">
        <w:rPr>
          <w:rFonts w:cs="Microsoft YaHei" w:hint="eastAsia"/>
          <w:u w:val="single"/>
          <w:lang w:val="fr-FR" w:eastAsia="zh-CN"/>
        </w:rPr>
        <w:t>职员福利</w:t>
      </w:r>
      <w:bookmarkEnd w:id="423"/>
      <w:bookmarkEnd w:id="424"/>
      <w:bookmarkEnd w:id="425"/>
    </w:p>
    <w:p w14:paraId="79C84FA0" w14:textId="77777777" w:rsidR="009D43C3" w:rsidRPr="000C156A" w:rsidRDefault="009D43C3" w:rsidP="009D43C3">
      <w:pPr>
        <w:ind w:firstLineChars="200" w:firstLine="480"/>
        <w:rPr>
          <w:lang w:eastAsia="zh-CN"/>
        </w:rPr>
      </w:pPr>
      <w:r w:rsidRPr="000C156A">
        <w:rPr>
          <w:rFonts w:hint="eastAsia"/>
          <w:lang w:eastAsia="zh-CN"/>
        </w:rPr>
        <w:t>以下职员福利得到确认：</w:t>
      </w:r>
    </w:p>
    <w:p w14:paraId="14A3ACBB"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在职员提供有关服务的阶段结账后十二个月内完全支付的短期福利；</w:t>
      </w:r>
    </w:p>
    <w:p w14:paraId="6626424C"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因前一阶段或若干阶段可能的福利延期产生的长期福利；</w:t>
      </w:r>
    </w:p>
    <w:p w14:paraId="64CA3892"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离职后的长期福利。</w:t>
      </w:r>
    </w:p>
    <w:p w14:paraId="3CE92683" w14:textId="77777777" w:rsidR="009D43C3" w:rsidRPr="000C156A" w:rsidRDefault="009D43C3" w:rsidP="009D43C3">
      <w:pPr>
        <w:ind w:firstLineChars="200" w:firstLine="480"/>
        <w:rPr>
          <w:lang w:eastAsia="zh-CN"/>
        </w:rPr>
      </w:pPr>
      <w:r w:rsidRPr="000C156A">
        <w:rPr>
          <w:rFonts w:hint="eastAsia"/>
          <w:lang w:eastAsia="zh-CN"/>
        </w:rPr>
        <w:t>长期福利涉及：</w:t>
      </w:r>
    </w:p>
    <w:p w14:paraId="57773187"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与应计未使用休假的可能性相关的承付款项，在确定退休日时将此考虑在内；</w:t>
      </w:r>
    </w:p>
    <w:p w14:paraId="12B3DBE4"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与归国承付款项相关的承付款项；</w:t>
      </w:r>
    </w:p>
    <w:p w14:paraId="1907771F"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与联合国合办职员养恤基金相关的承付款项；</w:t>
      </w:r>
    </w:p>
    <w:p w14:paraId="4E71AA11"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联合国离职后健康保险（</w:t>
      </w:r>
      <w:r w:rsidRPr="000C156A">
        <w:rPr>
          <w:lang w:eastAsia="zh-CN"/>
        </w:rPr>
        <w:t>ASHI</w:t>
      </w:r>
      <w:r w:rsidRPr="000C156A">
        <w:rPr>
          <w:rFonts w:hint="eastAsia"/>
          <w:lang w:eastAsia="zh-CN"/>
        </w:rPr>
        <w:t>）计划规定的有关离职后健康保险的承付款项；</w:t>
      </w:r>
    </w:p>
    <w:p w14:paraId="799624CA" w14:textId="77777777" w:rsidR="009D43C3" w:rsidRPr="000C156A" w:rsidRDefault="009D43C3" w:rsidP="009D43C3">
      <w:pPr>
        <w:pStyle w:val="enumlev1"/>
        <w:rPr>
          <w:lang w:eastAsia="zh-CN"/>
        </w:rPr>
      </w:pPr>
      <w:r w:rsidRPr="000C156A">
        <w:rPr>
          <w:lang w:eastAsia="zh-CN"/>
        </w:rPr>
        <w:lastRenderedPageBreak/>
        <w:t>–</w:t>
      </w:r>
      <w:r w:rsidRPr="000C156A">
        <w:rPr>
          <w:lang w:eastAsia="zh-CN"/>
        </w:rPr>
        <w:tab/>
      </w:r>
      <w:r w:rsidRPr="000C156A">
        <w:rPr>
          <w:rFonts w:hint="eastAsia"/>
          <w:lang w:eastAsia="zh-CN"/>
        </w:rPr>
        <w:t>与原养恤金计划相关的承付款项，以便确定国际电联在该阶段结束日的承付款项。</w:t>
      </w:r>
    </w:p>
    <w:p w14:paraId="100E58B0" w14:textId="77777777" w:rsidR="009D43C3" w:rsidRPr="000C156A" w:rsidRDefault="009D43C3" w:rsidP="009D43C3">
      <w:pPr>
        <w:ind w:firstLineChars="200" w:firstLine="480"/>
        <w:rPr>
          <w:lang w:eastAsia="zh-CN"/>
        </w:rPr>
      </w:pPr>
      <w:r w:rsidRPr="000C156A">
        <w:rPr>
          <w:rFonts w:hint="eastAsia"/>
          <w:lang w:eastAsia="zh-CN"/>
        </w:rPr>
        <w:t>最后两项福利放在设定受益计划标题下，归国承付款项亦如此，这两项均为精算研究的主题。</w:t>
      </w:r>
    </w:p>
    <w:p w14:paraId="116D22CB" w14:textId="77777777" w:rsidR="009D43C3" w:rsidRPr="000C156A" w:rsidRDefault="009D43C3" w:rsidP="009D43C3">
      <w:pPr>
        <w:ind w:firstLineChars="200" w:firstLine="480"/>
        <w:rPr>
          <w:lang w:eastAsia="zh-CN"/>
        </w:rPr>
      </w:pPr>
      <w:r w:rsidRPr="000C156A">
        <w:rPr>
          <w:rFonts w:hint="eastAsia"/>
          <w:lang w:eastAsia="zh-CN"/>
        </w:rPr>
        <w:t>国际电联是联合国大会成立的联合国合办职员养恤基金（</w:t>
      </w:r>
      <w:r w:rsidRPr="000C156A">
        <w:rPr>
          <w:lang w:eastAsia="zh-CN"/>
        </w:rPr>
        <w:t>UNJSPF</w:t>
      </w:r>
      <w:r w:rsidRPr="000C156A">
        <w:rPr>
          <w:rFonts w:hint="eastAsia"/>
          <w:lang w:eastAsia="zh-CN"/>
        </w:rPr>
        <w:t>）的成员组织。该基金旨在为职员提供退休、死亡、残疾和相关福利。养恤基金是资金源于多家雇主的</w:t>
      </w:r>
      <w:r w:rsidRPr="000C156A">
        <w:rPr>
          <w:lang w:eastAsia="zh-CN"/>
        </w:rPr>
        <w:t>固定收益计</w:t>
      </w:r>
      <w:r w:rsidRPr="000C156A">
        <w:rPr>
          <w:rFonts w:hint="eastAsia"/>
          <w:lang w:eastAsia="zh-CN"/>
        </w:rPr>
        <w:t>划。依据基金规则第</w:t>
      </w:r>
      <w:r w:rsidRPr="000C156A">
        <w:rPr>
          <w:lang w:eastAsia="zh-CN"/>
        </w:rPr>
        <w:t>3</w:t>
      </w:r>
      <w:r w:rsidRPr="000C156A">
        <w:rPr>
          <w:rFonts w:hint="eastAsia"/>
          <w:lang w:eastAsia="zh-CN"/>
        </w:rPr>
        <w:t>条</w:t>
      </w:r>
      <w:r w:rsidRPr="000C156A">
        <w:rPr>
          <w:lang w:eastAsia="zh-CN"/>
        </w:rPr>
        <w:t>(b)</w:t>
      </w:r>
      <w:r w:rsidRPr="000C156A">
        <w:rPr>
          <w:rFonts w:hint="eastAsia"/>
          <w:lang w:eastAsia="zh-CN"/>
        </w:rPr>
        <w:t>段，基金须向加入了联合国和专门机构薪酬、补贴和其他服务条件共同制度的专门机构和所有其他国际、政府间组织开放。</w:t>
      </w:r>
    </w:p>
    <w:p w14:paraId="22DC8AD5" w14:textId="77777777" w:rsidR="009D43C3" w:rsidRPr="000C156A" w:rsidRDefault="009D43C3" w:rsidP="009D43C3">
      <w:pPr>
        <w:ind w:firstLineChars="200" w:firstLine="480"/>
        <w:rPr>
          <w:lang w:eastAsia="zh-CN"/>
        </w:rPr>
      </w:pPr>
      <w:r w:rsidRPr="000C156A">
        <w:rPr>
          <w:rFonts w:hint="eastAsia"/>
          <w:lang w:eastAsia="zh-CN"/>
        </w:rPr>
        <w:t>计划使成员组织面临与参加基金的其他组织现有和原有职员相关的精算风险，因此，向参加计划的各组织分配承付款项、计划资产和成本缺乏统一和可靠的基础。国际电联和</w:t>
      </w:r>
      <w:r w:rsidRPr="000C156A">
        <w:rPr>
          <w:lang w:eastAsia="zh-CN"/>
        </w:rPr>
        <w:t>UNJSPF</w:t>
      </w:r>
      <w:r w:rsidRPr="000C156A">
        <w:rPr>
          <w:rFonts w:hint="eastAsia"/>
          <w:lang w:eastAsia="zh-CN"/>
        </w:rPr>
        <w:t>与其他参加基金的组织一样，无法确定本机构在充分保证会计可靠性的情况的固定收益承付款项、计划资产和计划相关成本中的相应份额。因此，本机构按照</w:t>
      </w:r>
      <w:r w:rsidRPr="000C156A">
        <w:rPr>
          <w:lang w:eastAsia="zh-CN"/>
        </w:rPr>
        <w:t>IPSAS</w:t>
      </w:r>
      <w:r w:rsidRPr="000C156A">
        <w:rPr>
          <w:rFonts w:hint="eastAsia"/>
          <w:lang w:eastAsia="zh-CN"/>
        </w:rPr>
        <w:t xml:space="preserve"> 39</w:t>
      </w:r>
      <w:r w:rsidRPr="000C156A">
        <w:rPr>
          <w:rFonts w:hint="eastAsia"/>
          <w:lang w:eastAsia="zh-CN"/>
        </w:rPr>
        <w:t>的职员福利要求，把此计划当作固定供款计划予以处理。本机构在相关财务期内为该基金缴款在财务业绩报表中被确定为费用。</w:t>
      </w:r>
    </w:p>
    <w:p w14:paraId="01C6D2FE" w14:textId="77777777" w:rsidR="009D43C3" w:rsidRPr="000C156A" w:rsidRDefault="009D43C3" w:rsidP="009D43C3">
      <w:pPr>
        <w:ind w:firstLineChars="200" w:firstLine="480"/>
        <w:rPr>
          <w:lang w:eastAsia="zh-CN"/>
        </w:rPr>
      </w:pPr>
      <w:r w:rsidRPr="000C156A">
        <w:rPr>
          <w:rFonts w:hint="eastAsia"/>
          <w:iCs/>
          <w:lang w:eastAsia="zh-CN"/>
        </w:rPr>
        <w:t>自</w:t>
      </w:r>
      <w:r w:rsidRPr="000C156A">
        <w:rPr>
          <w:rFonts w:hint="eastAsia"/>
          <w:iCs/>
          <w:lang w:eastAsia="zh-CN"/>
        </w:rPr>
        <w:t>2020</w:t>
      </w:r>
      <w:r w:rsidRPr="000C156A">
        <w:rPr>
          <w:rFonts w:hint="eastAsia"/>
          <w:iCs/>
          <w:lang w:eastAsia="zh-CN"/>
        </w:rPr>
        <w:t>年</w:t>
      </w:r>
      <w:r w:rsidRPr="000C156A">
        <w:rPr>
          <w:rFonts w:hint="eastAsia"/>
          <w:iCs/>
          <w:lang w:eastAsia="zh-CN"/>
        </w:rPr>
        <w:t>1</w:t>
      </w:r>
      <w:r w:rsidRPr="000C156A">
        <w:rPr>
          <w:rFonts w:hint="eastAsia"/>
          <w:iCs/>
          <w:lang w:eastAsia="zh-CN"/>
        </w:rPr>
        <w:t>月</w:t>
      </w:r>
      <w:r w:rsidRPr="000C156A">
        <w:rPr>
          <w:rFonts w:hint="eastAsia"/>
          <w:iCs/>
          <w:lang w:eastAsia="zh-CN"/>
        </w:rPr>
        <w:t>1</w:t>
      </w:r>
      <w:r w:rsidRPr="000C156A">
        <w:rPr>
          <w:rFonts w:hint="eastAsia"/>
          <w:iCs/>
          <w:lang w:eastAsia="zh-CN"/>
        </w:rPr>
        <w:t>日起，国际电联加入了</w:t>
      </w:r>
      <w:r w:rsidRPr="000C156A">
        <w:rPr>
          <w:lang w:eastAsia="zh-CN"/>
        </w:rPr>
        <w:t>联合国工作人员互助保险协</w:t>
      </w:r>
      <w:r w:rsidRPr="000C156A">
        <w:rPr>
          <w:rFonts w:hint="eastAsia"/>
          <w:lang w:eastAsia="zh-CN"/>
        </w:rPr>
        <w:t>会（</w:t>
      </w:r>
      <w:r w:rsidRPr="000C156A">
        <w:rPr>
          <w:iCs/>
          <w:lang w:eastAsia="zh-CN"/>
        </w:rPr>
        <w:t>UNSMIS</w:t>
      </w:r>
      <w:r w:rsidRPr="000C156A">
        <w:rPr>
          <w:rFonts w:hint="eastAsia"/>
          <w:iCs/>
          <w:lang w:eastAsia="zh-CN"/>
        </w:rPr>
        <w:t>）。该计划汇集了总部设在日内瓦的若干联合国组织和专门机构，包括联合国日内瓦办事处、难民署和气象组织。</w:t>
      </w:r>
      <w:r w:rsidRPr="000C156A">
        <w:rPr>
          <w:lang w:eastAsia="zh-CN"/>
        </w:rPr>
        <w:t>ASHI</w:t>
      </w:r>
      <w:r w:rsidRPr="000C156A">
        <w:rPr>
          <w:rFonts w:hint="eastAsia"/>
          <w:lang w:eastAsia="zh-CN"/>
        </w:rPr>
        <w:t>承付款项是按照</w:t>
      </w:r>
      <w:r w:rsidRPr="000C156A">
        <w:rPr>
          <w:lang w:eastAsia="zh-CN"/>
        </w:rPr>
        <w:t>IPSAS</w:t>
      </w:r>
      <w:r w:rsidRPr="000C156A">
        <w:rPr>
          <w:rFonts w:hint="eastAsia"/>
          <w:lang w:eastAsia="zh-CN"/>
        </w:rPr>
        <w:t>第</w:t>
      </w:r>
      <w:r w:rsidRPr="000C156A">
        <w:rPr>
          <w:rFonts w:hint="eastAsia"/>
          <w:lang w:eastAsia="zh-CN"/>
        </w:rPr>
        <w:t>39</w:t>
      </w:r>
      <w:r w:rsidRPr="000C156A">
        <w:rPr>
          <w:rFonts w:hint="eastAsia"/>
          <w:lang w:eastAsia="zh-CN"/>
        </w:rPr>
        <w:t>号要求开展的精算研究的主题，从而确定并确认国际电联针对各项福利的未来负债金额。此项独立的精算估值是由国际电联委托进行的以便估算截至</w:t>
      </w:r>
      <w:r w:rsidRPr="000C156A">
        <w:rPr>
          <w:lang w:eastAsia="zh-CN"/>
        </w:rPr>
        <w:t>12</w:t>
      </w:r>
      <w:r w:rsidRPr="000C156A">
        <w:rPr>
          <w:rFonts w:hint="eastAsia"/>
          <w:lang w:eastAsia="zh-CN"/>
        </w:rPr>
        <w:t>月底的</w:t>
      </w:r>
      <w:r w:rsidRPr="000C156A">
        <w:rPr>
          <w:lang w:eastAsia="zh-CN"/>
        </w:rPr>
        <w:t>ASHI</w:t>
      </w:r>
      <w:r w:rsidRPr="000C156A">
        <w:rPr>
          <w:rFonts w:hint="eastAsia"/>
          <w:lang w:eastAsia="zh-CN"/>
        </w:rPr>
        <w:t>承付款项。该计划采用其他全面收益（</w:t>
      </w:r>
      <w:r w:rsidRPr="000C156A">
        <w:rPr>
          <w:lang w:eastAsia="zh-CN"/>
        </w:rPr>
        <w:t>OCI</w:t>
      </w:r>
      <w:r w:rsidRPr="000C156A">
        <w:rPr>
          <w:rFonts w:hint="eastAsia"/>
          <w:lang w:eastAsia="zh-CN"/>
        </w:rPr>
        <w:t>）方法确认精算损益，</w:t>
      </w:r>
      <w:r w:rsidRPr="000C156A">
        <w:rPr>
          <w:lang w:val="en-US" w:eastAsia="zh-CN"/>
        </w:rPr>
        <w:t>OCI</w:t>
      </w:r>
      <w:r w:rsidRPr="000C156A">
        <w:rPr>
          <w:rFonts w:hint="eastAsia"/>
          <w:lang w:eastAsia="zh-CN"/>
        </w:rPr>
        <w:t>要求将有关阶段的精算损益在财务状况报表中确认为净资产。</w:t>
      </w:r>
    </w:p>
    <w:p w14:paraId="439903EF" w14:textId="77777777" w:rsidR="009D43C3" w:rsidRPr="000C156A" w:rsidRDefault="009D43C3" w:rsidP="009D43C3">
      <w:pPr>
        <w:ind w:firstLineChars="200" w:firstLine="480"/>
        <w:rPr>
          <w:lang w:eastAsia="zh-CN"/>
        </w:rPr>
      </w:pPr>
      <w:r w:rsidRPr="000C156A">
        <w:rPr>
          <w:rFonts w:hint="eastAsia"/>
          <w:lang w:eastAsia="zh-CN"/>
        </w:rPr>
        <w:t>有关国际电联的假设见有关职员福利的说明。</w:t>
      </w:r>
    </w:p>
    <w:p w14:paraId="6038C15D" w14:textId="77777777" w:rsidR="009D43C3" w:rsidRPr="000C156A" w:rsidRDefault="009D43C3" w:rsidP="009D43C3">
      <w:pPr>
        <w:pStyle w:val="Heading5"/>
        <w:rPr>
          <w:rFonts w:cs="Microsoft YaHei"/>
          <w:b w:val="0"/>
          <w:i/>
          <w:u w:val="single"/>
          <w:lang w:eastAsia="zh-CN"/>
        </w:rPr>
      </w:pPr>
      <w:bookmarkStart w:id="426" w:name="_Toc482892555"/>
      <w:bookmarkStart w:id="427" w:name="_Toc329011624"/>
      <w:bookmarkStart w:id="428" w:name="_Toc41905856"/>
      <w:bookmarkStart w:id="429" w:name="_Toc73636255"/>
      <w:r w:rsidRPr="000C156A">
        <w:rPr>
          <w:rFonts w:cs="Microsoft YaHei" w:hint="eastAsia"/>
          <w:u w:val="single"/>
          <w:lang w:val="fr-FR" w:eastAsia="zh-CN"/>
        </w:rPr>
        <w:t>资金的确认</w:t>
      </w:r>
      <w:bookmarkEnd w:id="426"/>
      <w:bookmarkEnd w:id="427"/>
      <w:bookmarkEnd w:id="428"/>
      <w:bookmarkEnd w:id="429"/>
    </w:p>
    <w:p w14:paraId="7C5EFFF2" w14:textId="77777777" w:rsidR="009D43C3" w:rsidRPr="000C156A" w:rsidRDefault="009D43C3" w:rsidP="00F1607A">
      <w:pPr>
        <w:pStyle w:val="headingb1"/>
        <w:outlineLvl w:val="0"/>
      </w:pPr>
      <w:bookmarkStart w:id="430" w:name="_Toc73518672"/>
      <w:bookmarkStart w:id="431" w:name="_Toc73518819"/>
      <w:bookmarkStart w:id="432" w:name="_Toc73519219"/>
      <w:bookmarkStart w:id="433" w:name="_Toc73636256"/>
      <w:r w:rsidRPr="000C156A">
        <w:rPr>
          <w:rFonts w:hint="eastAsia"/>
        </w:rPr>
        <w:t>已划拨第三方资金</w:t>
      </w:r>
      <w:bookmarkEnd w:id="430"/>
      <w:bookmarkEnd w:id="431"/>
      <w:bookmarkEnd w:id="432"/>
      <w:bookmarkEnd w:id="433"/>
    </w:p>
    <w:p w14:paraId="638DEE15" w14:textId="77777777" w:rsidR="009D43C3" w:rsidRPr="000C156A" w:rsidRDefault="009D43C3" w:rsidP="009D43C3">
      <w:pPr>
        <w:ind w:firstLineChars="200" w:firstLine="480"/>
        <w:rPr>
          <w:lang w:eastAsia="zh-CN"/>
        </w:rPr>
      </w:pPr>
      <w:r w:rsidRPr="000C156A">
        <w:rPr>
          <w:rFonts w:hint="eastAsia"/>
          <w:lang w:eastAsia="zh-CN"/>
        </w:rPr>
        <w:t>划拨的第三方资金指第三方为支持国际电联实施第三世界国家发展项目提供的资金。这些供款受契约条件限制。这种资金只有在捐赠方以书面形式做出承诺在费用发生时确认为收入。所资助的项目只有在资金已支付给国际电联的情况下方能开始。在财务期结账时，未用余额在财务状况报表中确认为划拨资金余额。在一些具体情况下，该资金作为已发生费用的补偿支付给国际电联。</w:t>
      </w:r>
    </w:p>
    <w:p w14:paraId="56F38F8B" w14:textId="77777777" w:rsidR="009D43C3" w:rsidRPr="000C156A" w:rsidRDefault="009D43C3" w:rsidP="009D43C3">
      <w:pPr>
        <w:ind w:firstLineChars="200" w:firstLine="480"/>
        <w:rPr>
          <w:lang w:eastAsia="zh-CN"/>
        </w:rPr>
      </w:pPr>
      <w:r w:rsidRPr="000C156A">
        <w:rPr>
          <w:rFonts w:hint="eastAsia"/>
          <w:lang w:eastAsia="zh-CN"/>
        </w:rPr>
        <w:t>这种划拨的第三方资金分配如下：</w:t>
      </w:r>
    </w:p>
    <w:p w14:paraId="58D6A142" w14:textId="77777777" w:rsidR="009D43C3" w:rsidRPr="000C156A" w:rsidRDefault="009D43C3" w:rsidP="009D43C3">
      <w:pPr>
        <w:pStyle w:val="enumlev1"/>
        <w:rPr>
          <w:b/>
          <w:bCs/>
          <w:lang w:eastAsia="zh-CN"/>
        </w:rPr>
      </w:pPr>
      <w:r w:rsidRPr="000C156A">
        <w:rPr>
          <w:b/>
          <w:bCs/>
          <w:lang w:eastAsia="zh-CN"/>
        </w:rPr>
        <w:t>–</w:t>
      </w:r>
      <w:r w:rsidRPr="000C156A">
        <w:rPr>
          <w:b/>
          <w:bCs/>
          <w:lang w:eastAsia="zh-CN"/>
        </w:rPr>
        <w:tab/>
      </w:r>
      <w:r w:rsidRPr="000C156A">
        <w:rPr>
          <w:rFonts w:hint="eastAsia"/>
          <w:b/>
          <w:bCs/>
          <w:lang w:eastAsia="zh-CN"/>
        </w:rPr>
        <w:t>联合国开发计划署</w:t>
      </w:r>
    </w:p>
    <w:p w14:paraId="3CF5520B" w14:textId="77777777" w:rsidR="009D43C3" w:rsidRPr="000C156A" w:rsidRDefault="009D43C3" w:rsidP="009D43C3">
      <w:pPr>
        <w:ind w:firstLineChars="200" w:firstLine="480"/>
        <w:rPr>
          <w:lang w:eastAsia="zh-CN"/>
        </w:rPr>
      </w:pPr>
      <w:r w:rsidRPr="000C156A">
        <w:rPr>
          <w:rFonts w:hint="eastAsia"/>
          <w:lang w:eastAsia="zh-CN"/>
        </w:rPr>
        <w:t>国际电联与联合国开发计划署（</w:t>
      </w:r>
      <w:r w:rsidRPr="000C156A">
        <w:rPr>
          <w:lang w:eastAsia="zh-CN"/>
        </w:rPr>
        <w:t>UNDP</w:t>
      </w:r>
      <w:r w:rsidRPr="000C156A">
        <w:rPr>
          <w:rFonts w:hint="eastAsia"/>
          <w:lang w:eastAsia="zh-CN"/>
        </w:rPr>
        <w:t>）已达成协议。国际电联可能是不同项目的唯一执行机构，或与</w:t>
      </w:r>
      <w:r w:rsidRPr="000C156A">
        <w:rPr>
          <w:lang w:eastAsia="zh-CN"/>
        </w:rPr>
        <w:t>UNDP</w:t>
      </w:r>
      <w:r w:rsidRPr="000C156A">
        <w:rPr>
          <w:rFonts w:hint="eastAsia"/>
          <w:lang w:eastAsia="zh-CN"/>
        </w:rPr>
        <w:t>共同担任的联合执行机构。对于部分或全部由国际电联执行的项目，国际电联从</w:t>
      </w:r>
      <w:r w:rsidRPr="000C156A">
        <w:rPr>
          <w:lang w:eastAsia="zh-CN"/>
        </w:rPr>
        <w:t>UNDP</w:t>
      </w:r>
      <w:r w:rsidRPr="000C156A">
        <w:rPr>
          <w:rFonts w:hint="eastAsia"/>
          <w:lang w:eastAsia="zh-CN"/>
        </w:rPr>
        <w:t>获得预算拨款。</w:t>
      </w:r>
      <w:r w:rsidRPr="000C156A">
        <w:rPr>
          <w:lang w:eastAsia="zh-CN"/>
        </w:rPr>
        <w:t>UNDP</w:t>
      </w:r>
      <w:r w:rsidRPr="000C156A">
        <w:rPr>
          <w:rFonts w:hint="eastAsia"/>
          <w:lang w:eastAsia="zh-CN"/>
        </w:rPr>
        <w:t>项目通常分为两类：国际电联执行的项目和各国政府执行的项目。</w:t>
      </w:r>
    </w:p>
    <w:p w14:paraId="2A594D82" w14:textId="77777777" w:rsidR="009D43C3" w:rsidRPr="000C156A" w:rsidRDefault="009D43C3" w:rsidP="009D43C3">
      <w:pPr>
        <w:ind w:firstLineChars="200" w:firstLine="480"/>
        <w:rPr>
          <w:lang w:eastAsia="zh-CN"/>
        </w:rPr>
      </w:pPr>
      <w:r w:rsidRPr="000C156A">
        <w:rPr>
          <w:rFonts w:hint="eastAsia"/>
          <w:lang w:eastAsia="zh-CN"/>
        </w:rPr>
        <w:t>每年底，根据项目交付报告（</w:t>
      </w:r>
      <w:r w:rsidRPr="000C156A">
        <w:rPr>
          <w:lang w:eastAsia="zh-CN"/>
        </w:rPr>
        <w:t>PDR</w:t>
      </w:r>
      <w:r w:rsidRPr="000C156A">
        <w:rPr>
          <w:rFonts w:hint="eastAsia"/>
          <w:lang w:eastAsia="zh-CN"/>
        </w:rPr>
        <w:t>），</w:t>
      </w:r>
      <w:r w:rsidRPr="000C156A">
        <w:rPr>
          <w:lang w:eastAsia="zh-CN"/>
        </w:rPr>
        <w:t>UNDP</w:t>
      </w:r>
      <w:r w:rsidRPr="000C156A">
        <w:rPr>
          <w:rFonts w:hint="eastAsia"/>
          <w:lang w:eastAsia="zh-CN"/>
        </w:rPr>
        <w:t>为国际电联补偿所有在划拨款内发生的费用。对于国际电联为项目提供的支持，国际电联根据记录在</w:t>
      </w:r>
      <w:r w:rsidRPr="000C156A">
        <w:rPr>
          <w:lang w:eastAsia="zh-CN"/>
        </w:rPr>
        <w:t>PDR</w:t>
      </w:r>
      <w:r w:rsidRPr="000C156A">
        <w:rPr>
          <w:rFonts w:hint="eastAsia"/>
          <w:lang w:eastAsia="zh-CN"/>
        </w:rPr>
        <w:t>中的费用按比例获得划拨。</w:t>
      </w:r>
    </w:p>
    <w:p w14:paraId="3EFF4214" w14:textId="77777777" w:rsidR="009D43C3" w:rsidRPr="000C156A" w:rsidRDefault="009D43C3" w:rsidP="009D43C3">
      <w:pPr>
        <w:pStyle w:val="enumlev1"/>
        <w:keepNext/>
        <w:keepLines/>
        <w:rPr>
          <w:b/>
          <w:bCs/>
          <w:lang w:eastAsia="zh-CN"/>
        </w:rPr>
      </w:pPr>
      <w:r w:rsidRPr="000C156A">
        <w:rPr>
          <w:b/>
          <w:bCs/>
          <w:lang w:eastAsia="zh-CN"/>
        </w:rPr>
        <w:t>–</w:t>
      </w:r>
      <w:r w:rsidRPr="000C156A">
        <w:rPr>
          <w:b/>
          <w:bCs/>
          <w:lang w:eastAsia="zh-CN"/>
        </w:rPr>
        <w:tab/>
      </w:r>
      <w:r w:rsidRPr="000C156A">
        <w:rPr>
          <w:rFonts w:hint="eastAsia"/>
          <w:b/>
          <w:bCs/>
          <w:lang w:eastAsia="zh-CN"/>
        </w:rPr>
        <w:t>信托基金</w:t>
      </w:r>
    </w:p>
    <w:p w14:paraId="6196C88A" w14:textId="77777777" w:rsidR="009D43C3" w:rsidRPr="000C156A" w:rsidRDefault="009D43C3" w:rsidP="009D43C3">
      <w:pPr>
        <w:ind w:firstLineChars="200" w:firstLine="480"/>
        <w:rPr>
          <w:lang w:eastAsia="zh-CN"/>
        </w:rPr>
      </w:pPr>
      <w:r w:rsidRPr="000C156A">
        <w:rPr>
          <w:rFonts w:hint="eastAsia"/>
          <w:lang w:eastAsia="zh-CN"/>
        </w:rPr>
        <w:t>信托基金用来执行通过</w:t>
      </w:r>
      <w:r w:rsidRPr="000C156A">
        <w:rPr>
          <w:lang w:eastAsia="zh-CN"/>
        </w:rPr>
        <w:t>ICT</w:t>
      </w:r>
      <w:r w:rsidRPr="000C156A">
        <w:rPr>
          <w:rFonts w:hint="eastAsia"/>
          <w:lang w:eastAsia="zh-CN"/>
        </w:rPr>
        <w:t>发展基金（</w:t>
      </w:r>
      <w:r w:rsidRPr="000C156A">
        <w:rPr>
          <w:lang w:eastAsia="zh-CN"/>
        </w:rPr>
        <w:t>ICTDF</w:t>
      </w:r>
      <w:r w:rsidRPr="000C156A">
        <w:rPr>
          <w:rFonts w:hint="eastAsia"/>
          <w:lang w:eastAsia="zh-CN"/>
        </w:rPr>
        <w:t>）或政府提供的专项捐款运作的项目。在所有情况下，在承诺费用之前资金均须先转入项目。信托基金属专款专用的自愿捐款。这些捐款在项目执行和实施中产生支持成本。</w:t>
      </w:r>
    </w:p>
    <w:p w14:paraId="709836B6" w14:textId="77777777" w:rsidR="009D43C3" w:rsidRPr="000C156A" w:rsidRDefault="009D43C3" w:rsidP="009D43C3">
      <w:pPr>
        <w:pStyle w:val="enumlev1"/>
        <w:keepNext/>
        <w:keepLines/>
        <w:rPr>
          <w:b/>
          <w:bCs/>
          <w:lang w:eastAsia="zh-CN"/>
        </w:rPr>
      </w:pPr>
      <w:r w:rsidRPr="000C156A">
        <w:rPr>
          <w:b/>
          <w:bCs/>
          <w:lang w:eastAsia="zh-CN"/>
        </w:rPr>
        <w:lastRenderedPageBreak/>
        <w:t>–</w:t>
      </w:r>
      <w:r w:rsidRPr="000C156A">
        <w:rPr>
          <w:b/>
          <w:bCs/>
          <w:lang w:eastAsia="zh-CN"/>
        </w:rPr>
        <w:tab/>
      </w:r>
      <w:r w:rsidRPr="000C156A">
        <w:rPr>
          <w:rFonts w:hint="eastAsia"/>
          <w:b/>
          <w:bCs/>
          <w:lang w:eastAsia="zh-CN"/>
        </w:rPr>
        <w:t>自愿捐款</w:t>
      </w:r>
    </w:p>
    <w:p w14:paraId="1A77E97E" w14:textId="77777777" w:rsidR="009D43C3" w:rsidRPr="000C156A" w:rsidRDefault="009D43C3" w:rsidP="009D43C3">
      <w:pPr>
        <w:ind w:firstLineChars="200" w:firstLine="480"/>
        <w:rPr>
          <w:lang w:eastAsia="zh-CN"/>
        </w:rPr>
      </w:pPr>
      <w:r w:rsidRPr="000C156A">
        <w:rPr>
          <w:rFonts w:hint="eastAsia"/>
          <w:lang w:eastAsia="zh-CN"/>
        </w:rPr>
        <w:t>从捐助方收到的自愿捐款用于辅助研讨会、工作组、研究组、培训和与会补贴等具体的正常预算活动。自愿捐款可用于长期活动。自愿捐款不产生任何支持成本。</w:t>
      </w:r>
    </w:p>
    <w:p w14:paraId="0545468B" w14:textId="77777777" w:rsidR="009D43C3" w:rsidRPr="000C156A" w:rsidRDefault="009D43C3" w:rsidP="009D43C3">
      <w:pPr>
        <w:ind w:firstLineChars="200" w:firstLine="480"/>
        <w:rPr>
          <w:lang w:eastAsia="zh-CN"/>
        </w:rPr>
      </w:pPr>
      <w:r w:rsidRPr="000C156A">
        <w:rPr>
          <w:rFonts w:hint="eastAsia"/>
          <w:lang w:eastAsia="zh-CN"/>
        </w:rPr>
        <w:t>国际电联使用会费货币为自愿捐款记账并基于使用捐赠货币划拨的预算管理项目，除非另有规定。</w:t>
      </w:r>
    </w:p>
    <w:p w14:paraId="4DAFE5B6" w14:textId="77777777" w:rsidR="009D43C3" w:rsidRPr="000C156A" w:rsidRDefault="009D43C3" w:rsidP="009D43C3">
      <w:pPr>
        <w:pStyle w:val="Headingi"/>
        <w:keepNext w:val="0"/>
        <w:keepLines w:val="0"/>
        <w:spacing w:before="120"/>
        <w:outlineLvl w:val="9"/>
        <w:rPr>
          <w:rFonts w:eastAsia="STKaiti"/>
          <w:b/>
          <w:bCs/>
          <w:i w:val="0"/>
          <w:lang w:eastAsia="zh-CN"/>
        </w:rPr>
      </w:pPr>
      <w:r w:rsidRPr="000C156A">
        <w:rPr>
          <w:rFonts w:eastAsia="STKaiti" w:hAnsi="Microsoft YaHei" w:cs="Microsoft YaHei" w:hint="eastAsia"/>
          <w:b/>
          <w:bCs/>
          <w:i w:val="0"/>
          <w:lang w:val="fr-FR" w:eastAsia="zh-CN"/>
        </w:rPr>
        <w:t>划拨中的第三方资金</w:t>
      </w:r>
    </w:p>
    <w:p w14:paraId="700C5F31" w14:textId="77777777" w:rsidR="009D43C3" w:rsidRPr="000C156A" w:rsidRDefault="009D43C3" w:rsidP="009D43C3">
      <w:pPr>
        <w:ind w:firstLineChars="200" w:firstLine="480"/>
        <w:rPr>
          <w:lang w:eastAsia="zh-CN"/>
        </w:rPr>
      </w:pPr>
      <w:r w:rsidRPr="000C156A">
        <w:rPr>
          <w:rFonts w:hint="eastAsia"/>
          <w:lang w:eastAsia="zh-CN"/>
        </w:rPr>
        <w:t>这些是从第三方收到的资金，但尚未全部划拨，因此也尚未使用。</w:t>
      </w:r>
    </w:p>
    <w:p w14:paraId="25ACC01B" w14:textId="77777777" w:rsidR="009D43C3" w:rsidRPr="000C156A" w:rsidRDefault="009D43C3" w:rsidP="00141BAA">
      <w:pPr>
        <w:pStyle w:val="Heading5"/>
        <w:rPr>
          <w:b w:val="0"/>
          <w:i/>
          <w:u w:val="single"/>
          <w:lang w:eastAsia="zh-CN"/>
        </w:rPr>
      </w:pPr>
      <w:bookmarkStart w:id="434" w:name="_Toc482892556"/>
      <w:bookmarkStart w:id="435" w:name="_Toc41905857"/>
      <w:bookmarkStart w:id="436" w:name="_Toc73518673"/>
      <w:bookmarkStart w:id="437" w:name="_Toc73518820"/>
      <w:bookmarkStart w:id="438" w:name="_Toc73519220"/>
      <w:bookmarkStart w:id="439" w:name="_Toc73636257"/>
      <w:r w:rsidRPr="000C156A">
        <w:rPr>
          <w:rFonts w:cs="Microsoft YaHei" w:hint="eastAsia"/>
          <w:u w:val="single"/>
          <w:lang w:val="fr-FR" w:eastAsia="zh-CN"/>
        </w:rPr>
        <w:t>储备金账目</w:t>
      </w:r>
      <w:bookmarkEnd w:id="434"/>
      <w:bookmarkEnd w:id="435"/>
      <w:bookmarkEnd w:id="436"/>
      <w:bookmarkEnd w:id="437"/>
      <w:bookmarkEnd w:id="438"/>
      <w:bookmarkEnd w:id="439"/>
    </w:p>
    <w:p w14:paraId="6F529576" w14:textId="77777777" w:rsidR="009D43C3" w:rsidRPr="000C156A" w:rsidRDefault="009D43C3" w:rsidP="009D43C3">
      <w:pPr>
        <w:ind w:firstLineChars="200" w:firstLine="480"/>
        <w:rPr>
          <w:lang w:eastAsia="zh-CN"/>
        </w:rPr>
      </w:pPr>
      <w:r w:rsidRPr="000C156A">
        <w:rPr>
          <w:rFonts w:hint="eastAsia"/>
          <w:lang w:eastAsia="zh-CN"/>
        </w:rPr>
        <w:t>按照《公约》第</w:t>
      </w:r>
      <w:r w:rsidRPr="000C156A">
        <w:rPr>
          <w:lang w:eastAsia="zh-CN"/>
        </w:rPr>
        <w:t>485</w:t>
      </w:r>
      <w:r w:rsidRPr="000C156A">
        <w:rPr>
          <w:rFonts w:hint="eastAsia"/>
          <w:lang w:eastAsia="zh-CN"/>
        </w:rPr>
        <w:t>款和《财务规则》第</w:t>
      </w:r>
      <w:r w:rsidRPr="000C156A">
        <w:rPr>
          <w:lang w:eastAsia="zh-CN"/>
        </w:rPr>
        <w:t>27</w:t>
      </w:r>
      <w:r w:rsidRPr="000C156A">
        <w:rPr>
          <w:rFonts w:hint="eastAsia"/>
          <w:lang w:eastAsia="zh-CN"/>
        </w:rPr>
        <w:t>条的规定，储备金账目资金主要源自未使用的预算拨款。储备金账目的变动详情见国际电联净资产变动表。储备金账目包含：</w:t>
      </w:r>
    </w:p>
    <w:p w14:paraId="4E3CBEE9" w14:textId="77777777" w:rsidR="009D43C3" w:rsidRPr="000C156A" w:rsidRDefault="009D43C3" w:rsidP="009D43C3">
      <w:pPr>
        <w:pStyle w:val="enumlev1"/>
        <w:rPr>
          <w:lang w:eastAsia="zh-CN"/>
        </w:rPr>
      </w:pPr>
      <w:r w:rsidRPr="000C156A">
        <w:rPr>
          <w:lang w:eastAsia="zh-CN"/>
        </w:rPr>
        <w:t>a)</w:t>
      </w:r>
      <w:r w:rsidRPr="000C156A">
        <w:rPr>
          <w:lang w:eastAsia="zh-CN"/>
        </w:rPr>
        <w:tab/>
      </w:r>
      <w:r w:rsidRPr="000C156A">
        <w:rPr>
          <w:rFonts w:hint="eastAsia"/>
          <w:lang w:eastAsia="zh-CN"/>
        </w:rPr>
        <w:t>每财年正常预算执行的正负净余额；</w:t>
      </w:r>
    </w:p>
    <w:p w14:paraId="0B74D1FB" w14:textId="77777777" w:rsidR="009D43C3" w:rsidRPr="000C156A" w:rsidRDefault="009D43C3" w:rsidP="009D43C3">
      <w:pPr>
        <w:pStyle w:val="enumlev1"/>
        <w:rPr>
          <w:lang w:eastAsia="zh-CN"/>
        </w:rPr>
      </w:pPr>
      <w:r w:rsidRPr="000C156A">
        <w:rPr>
          <w:lang w:eastAsia="zh-CN"/>
        </w:rPr>
        <w:t>b)</w:t>
      </w:r>
      <w:r w:rsidRPr="000C156A">
        <w:rPr>
          <w:lang w:eastAsia="zh-CN"/>
        </w:rPr>
        <w:tab/>
      </w:r>
      <w:r w:rsidRPr="000C156A">
        <w:rPr>
          <w:rFonts w:hint="eastAsia"/>
          <w:lang w:eastAsia="zh-CN"/>
        </w:rPr>
        <w:t>按照理事会决定从其它储备金</w:t>
      </w:r>
      <w:r w:rsidRPr="000C156A">
        <w:rPr>
          <w:lang w:eastAsia="zh-CN"/>
        </w:rPr>
        <w:t>/</w:t>
      </w:r>
      <w:r w:rsidRPr="000C156A">
        <w:rPr>
          <w:rFonts w:hint="eastAsia"/>
          <w:lang w:eastAsia="zh-CN"/>
        </w:rPr>
        <w:t>基金的转账；</w:t>
      </w:r>
    </w:p>
    <w:p w14:paraId="1BA83BCA" w14:textId="77777777" w:rsidR="009D43C3" w:rsidRPr="000C156A" w:rsidRDefault="009D43C3" w:rsidP="009D43C3">
      <w:pPr>
        <w:pStyle w:val="enumlev1"/>
        <w:rPr>
          <w:lang w:eastAsia="zh-CN"/>
        </w:rPr>
      </w:pPr>
      <w:r w:rsidRPr="000C156A">
        <w:rPr>
          <w:lang w:eastAsia="zh-CN"/>
        </w:rPr>
        <w:t>c)</w:t>
      </w:r>
      <w:r w:rsidRPr="000C156A">
        <w:rPr>
          <w:lang w:eastAsia="zh-CN"/>
        </w:rPr>
        <w:tab/>
      </w:r>
      <w:r w:rsidRPr="000C156A">
        <w:rPr>
          <w:rFonts w:hint="eastAsia"/>
          <w:lang w:eastAsia="zh-CN"/>
        </w:rPr>
        <w:t>按照联合国系统各组织共用会计准则规定贷记至储备金账目的金额。</w:t>
      </w:r>
    </w:p>
    <w:p w14:paraId="200A714D" w14:textId="77777777" w:rsidR="009D43C3" w:rsidRPr="000C156A" w:rsidRDefault="009D43C3" w:rsidP="009D43C3">
      <w:pPr>
        <w:ind w:firstLineChars="200" w:firstLine="480"/>
        <w:rPr>
          <w:lang w:eastAsia="zh-CN"/>
        </w:rPr>
      </w:pPr>
      <w:r w:rsidRPr="000C156A">
        <w:rPr>
          <w:rFonts w:hint="eastAsia"/>
          <w:lang w:eastAsia="zh-CN"/>
        </w:rPr>
        <w:t>储备金账目还包括国际电联根据理事会第</w:t>
      </w:r>
      <w:r w:rsidRPr="000C156A">
        <w:rPr>
          <w:lang w:eastAsia="zh-CN"/>
        </w:rPr>
        <w:t>1113</w:t>
      </w:r>
      <w:r w:rsidRPr="000C156A">
        <w:rPr>
          <w:rFonts w:hint="eastAsia"/>
          <w:lang w:eastAsia="zh-CN"/>
        </w:rPr>
        <w:t>号决议（</w:t>
      </w:r>
      <w:r w:rsidRPr="000C156A">
        <w:rPr>
          <w:lang w:eastAsia="zh-CN"/>
        </w:rPr>
        <w:t>C97/133</w:t>
      </w:r>
      <w:r w:rsidRPr="000C156A">
        <w:rPr>
          <w:rFonts w:hint="eastAsia"/>
          <w:lang w:eastAsia="zh-CN"/>
        </w:rPr>
        <w:t>号文件）执行成本回收原则开展的活动所获得的资金。目前，国际电联实行成本回收的产品和服务涉及：</w:t>
      </w:r>
    </w:p>
    <w:p w14:paraId="4BA9644C"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国际通用免费电话号码（</w:t>
      </w:r>
      <w:r w:rsidRPr="000C156A">
        <w:rPr>
          <w:lang w:eastAsia="zh-CN"/>
        </w:rPr>
        <w:t>UIFN</w:t>
      </w:r>
      <w:r w:rsidRPr="000C156A">
        <w:rPr>
          <w:rFonts w:hint="eastAsia"/>
          <w:lang w:eastAsia="zh-CN"/>
        </w:rPr>
        <w:t>）的注册；</w:t>
      </w:r>
    </w:p>
    <w:p w14:paraId="3C79A2D5" w14:textId="311373BF"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全球个人移动通信系统谅解备忘录（</w:t>
      </w:r>
      <w:r w:rsidRPr="000C156A">
        <w:rPr>
          <w:lang w:eastAsia="zh-CN"/>
        </w:rPr>
        <w:t>GMPCS</w:t>
      </w:r>
      <w:r w:rsidR="00453AD3" w:rsidRPr="000C156A">
        <w:rPr>
          <w:lang w:eastAsia="zh-CN"/>
        </w:rPr>
        <w:t>-</w:t>
      </w:r>
      <w:r w:rsidRPr="000C156A">
        <w:rPr>
          <w:lang w:eastAsia="zh-CN"/>
        </w:rPr>
        <w:t>MoU</w:t>
      </w:r>
      <w:r w:rsidRPr="000C156A">
        <w:rPr>
          <w:rFonts w:hint="eastAsia"/>
          <w:lang w:eastAsia="zh-CN"/>
        </w:rPr>
        <w:t>）；</w:t>
      </w:r>
    </w:p>
    <w:p w14:paraId="21689C73"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卫星网络申报的处理；</w:t>
      </w:r>
    </w:p>
    <w:p w14:paraId="45469DCD"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国际通用加价特种服务号码（</w:t>
      </w:r>
      <w:r w:rsidRPr="000C156A">
        <w:rPr>
          <w:lang w:eastAsia="zh-CN"/>
        </w:rPr>
        <w:t>UIPRN</w:t>
      </w:r>
      <w:r w:rsidRPr="000C156A">
        <w:rPr>
          <w:rFonts w:hint="eastAsia"/>
          <w:lang w:eastAsia="zh-CN"/>
        </w:rPr>
        <w:t>）和国际通用成本分摊号码（</w:t>
      </w:r>
      <w:r w:rsidRPr="000C156A">
        <w:rPr>
          <w:lang w:eastAsia="zh-CN"/>
        </w:rPr>
        <w:t>UISCN</w:t>
      </w:r>
      <w:r w:rsidRPr="000C156A">
        <w:rPr>
          <w:rFonts w:hint="eastAsia"/>
          <w:lang w:eastAsia="zh-CN"/>
        </w:rPr>
        <w:t>）的注册；</w:t>
      </w:r>
    </w:p>
    <w:p w14:paraId="412099E3"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电信展览部；</w:t>
      </w:r>
    </w:p>
    <w:p w14:paraId="1ABC8032"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出版物销售；</w:t>
      </w:r>
    </w:p>
    <w:p w14:paraId="4C8EB2C3" w14:textId="77777777" w:rsidR="009D43C3" w:rsidRPr="000C156A" w:rsidRDefault="009D43C3" w:rsidP="009D43C3">
      <w:pPr>
        <w:pStyle w:val="enumlev1"/>
        <w:rPr>
          <w:lang w:val="en-US" w:eastAsia="zh-CN"/>
        </w:rPr>
      </w:pPr>
      <w:r w:rsidRPr="000C156A">
        <w:rPr>
          <w:lang w:eastAsia="zh-CN"/>
        </w:rPr>
        <w:t>–</w:t>
      </w:r>
      <w:r w:rsidRPr="000C156A">
        <w:rPr>
          <w:lang w:eastAsia="zh-CN"/>
        </w:rPr>
        <w:tab/>
      </w:r>
      <w:r w:rsidRPr="000C156A">
        <w:rPr>
          <w:rFonts w:hint="eastAsia"/>
          <w:lang w:eastAsia="zh-CN"/>
        </w:rPr>
        <w:t>项目支持收入。</w:t>
      </w:r>
    </w:p>
    <w:p w14:paraId="196CD050" w14:textId="77777777" w:rsidR="009D43C3" w:rsidRPr="000C156A" w:rsidRDefault="009D43C3" w:rsidP="009D43C3">
      <w:pPr>
        <w:ind w:firstLineChars="200" w:firstLine="480"/>
        <w:rPr>
          <w:lang w:eastAsia="zh-CN"/>
        </w:rPr>
      </w:pPr>
      <w:r w:rsidRPr="000C156A">
        <w:rPr>
          <w:rFonts w:hint="eastAsia"/>
          <w:lang w:eastAsia="zh-CN"/>
        </w:rPr>
        <w:t>尽管国际电联《财务规则》第</w:t>
      </w:r>
      <w:r w:rsidRPr="000C156A">
        <w:rPr>
          <w:lang w:eastAsia="zh-CN"/>
        </w:rPr>
        <w:t>13</w:t>
      </w:r>
      <w:r w:rsidRPr="000C156A">
        <w:rPr>
          <w:rFonts w:hint="eastAsia"/>
          <w:lang w:eastAsia="zh-CN"/>
        </w:rPr>
        <w:t>条</w:t>
      </w:r>
      <w:r w:rsidRPr="000C156A">
        <w:rPr>
          <w:lang w:eastAsia="zh-CN"/>
        </w:rPr>
        <w:t>4 b)</w:t>
      </w:r>
      <w:r w:rsidRPr="000C156A">
        <w:rPr>
          <w:rFonts w:hint="eastAsia"/>
          <w:lang w:eastAsia="zh-CN"/>
        </w:rPr>
        <w:t>段有所规定，铭记有必要保持全权代表大会确定的储备金账目最低水平，但是，根据理事会的特别决定，可以</w:t>
      </w:r>
      <w:r w:rsidRPr="000C156A">
        <w:rPr>
          <w:rFonts w:eastAsia="STKaiti" w:hint="eastAsia"/>
          <w:lang w:eastAsia="zh-CN"/>
        </w:rPr>
        <w:t>特别</w:t>
      </w:r>
      <w:r w:rsidRPr="000C156A">
        <w:rPr>
          <w:rFonts w:hint="eastAsia"/>
          <w:lang w:eastAsia="zh-CN"/>
        </w:rPr>
        <w:t>因以下原因从储备金账目中提款：</w:t>
      </w:r>
    </w:p>
    <w:p w14:paraId="7E804EFF" w14:textId="77777777" w:rsidR="009D43C3" w:rsidRPr="000C156A" w:rsidRDefault="009D43C3" w:rsidP="009D43C3">
      <w:pPr>
        <w:pStyle w:val="enumlev1"/>
        <w:rPr>
          <w:lang w:eastAsia="zh-CN"/>
        </w:rPr>
      </w:pPr>
      <w:r w:rsidRPr="000C156A">
        <w:rPr>
          <w:lang w:eastAsia="zh-CN"/>
        </w:rPr>
        <w:t>a)</w:t>
      </w:r>
      <w:r w:rsidRPr="000C156A">
        <w:rPr>
          <w:lang w:eastAsia="zh-CN"/>
        </w:rPr>
        <w:tab/>
      </w:r>
      <w:r w:rsidRPr="000C156A">
        <w:rPr>
          <w:rFonts w:hint="eastAsia"/>
          <w:lang w:eastAsia="zh-CN"/>
        </w:rPr>
        <w:t>降低会费单位金额；</w:t>
      </w:r>
    </w:p>
    <w:p w14:paraId="1B6386D9" w14:textId="77777777" w:rsidR="009D43C3" w:rsidRPr="000C156A" w:rsidRDefault="009D43C3" w:rsidP="009D43C3">
      <w:pPr>
        <w:pStyle w:val="enumlev1"/>
        <w:rPr>
          <w:lang w:eastAsia="zh-CN"/>
        </w:rPr>
      </w:pPr>
      <w:r w:rsidRPr="000C156A">
        <w:rPr>
          <w:lang w:eastAsia="zh-CN"/>
        </w:rPr>
        <w:t>b)</w:t>
      </w:r>
      <w:r w:rsidRPr="000C156A">
        <w:rPr>
          <w:lang w:eastAsia="zh-CN"/>
        </w:rPr>
        <w:tab/>
      </w:r>
      <w:r w:rsidRPr="000C156A">
        <w:rPr>
          <w:rFonts w:hint="eastAsia"/>
          <w:lang w:eastAsia="zh-CN"/>
        </w:rPr>
        <w:t>平衡国际电联的预算；</w:t>
      </w:r>
    </w:p>
    <w:p w14:paraId="5438F033" w14:textId="77777777" w:rsidR="009D43C3" w:rsidRPr="000C156A" w:rsidRDefault="009D43C3" w:rsidP="009D43C3">
      <w:pPr>
        <w:pStyle w:val="enumlev1"/>
        <w:rPr>
          <w:lang w:eastAsia="zh-CN"/>
        </w:rPr>
      </w:pPr>
      <w:r w:rsidRPr="000C156A">
        <w:rPr>
          <w:lang w:eastAsia="zh-CN"/>
        </w:rPr>
        <w:t>c)</w:t>
      </w:r>
      <w:r w:rsidRPr="000C156A">
        <w:rPr>
          <w:lang w:eastAsia="zh-CN"/>
        </w:rPr>
        <w:tab/>
      </w:r>
      <w:r w:rsidRPr="000C156A">
        <w:rPr>
          <w:rFonts w:hint="eastAsia"/>
          <w:lang w:eastAsia="zh-CN"/>
        </w:rPr>
        <w:t>向其它储备金</w:t>
      </w:r>
      <w:r w:rsidRPr="000C156A">
        <w:rPr>
          <w:lang w:eastAsia="zh-CN"/>
        </w:rPr>
        <w:t>/</w:t>
      </w:r>
      <w:r w:rsidRPr="000C156A">
        <w:rPr>
          <w:rFonts w:hint="eastAsia"/>
          <w:lang w:eastAsia="zh-CN"/>
        </w:rPr>
        <w:t>基金转账；</w:t>
      </w:r>
    </w:p>
    <w:p w14:paraId="2763A54D" w14:textId="77777777" w:rsidR="009D43C3" w:rsidRPr="000C156A" w:rsidRDefault="009D43C3" w:rsidP="009D43C3">
      <w:pPr>
        <w:pStyle w:val="enumlev1"/>
        <w:rPr>
          <w:lang w:val="en-US" w:eastAsia="zh-CN"/>
        </w:rPr>
      </w:pPr>
      <w:r w:rsidRPr="000C156A">
        <w:rPr>
          <w:lang w:eastAsia="zh-CN"/>
        </w:rPr>
        <w:t>d)</w:t>
      </w:r>
      <w:r w:rsidRPr="000C156A">
        <w:rPr>
          <w:lang w:eastAsia="zh-CN"/>
        </w:rPr>
        <w:tab/>
      </w:r>
      <w:r w:rsidRPr="000C156A">
        <w:rPr>
          <w:rFonts w:hint="eastAsia"/>
          <w:lang w:eastAsia="zh-CN"/>
        </w:rPr>
        <w:t>按照联合国系统各组织共用会计准则的规定借记至储备金账目的金额。</w:t>
      </w:r>
    </w:p>
    <w:p w14:paraId="34C94D78" w14:textId="77777777" w:rsidR="009D43C3" w:rsidRPr="000C156A" w:rsidRDefault="009D43C3" w:rsidP="00141BAA">
      <w:pPr>
        <w:pStyle w:val="Heading5"/>
        <w:rPr>
          <w:rFonts w:cs="Microsoft YaHei"/>
          <w:b w:val="0"/>
          <w:i/>
          <w:u w:val="single"/>
          <w:lang w:val="en-US" w:eastAsia="zh-CN"/>
        </w:rPr>
      </w:pPr>
      <w:bookmarkStart w:id="440" w:name="_Toc482892557"/>
      <w:bookmarkStart w:id="441" w:name="_Toc41905858"/>
      <w:bookmarkStart w:id="442" w:name="_Toc73518674"/>
      <w:bookmarkStart w:id="443" w:name="_Toc73518821"/>
      <w:bookmarkStart w:id="444" w:name="_Toc73519221"/>
      <w:bookmarkStart w:id="445" w:name="_Toc73636258"/>
      <w:bookmarkStart w:id="446" w:name="_Toc329011626"/>
      <w:bookmarkStart w:id="447" w:name="_Toc305764075"/>
      <w:r w:rsidRPr="000C156A">
        <w:rPr>
          <w:rFonts w:cs="Microsoft YaHei" w:hint="eastAsia"/>
          <w:u w:val="single"/>
          <w:lang w:val="fr-FR" w:eastAsia="zh-CN"/>
        </w:rPr>
        <w:t>其他资金</w:t>
      </w:r>
      <w:bookmarkEnd w:id="440"/>
      <w:bookmarkEnd w:id="441"/>
      <w:bookmarkEnd w:id="442"/>
      <w:bookmarkEnd w:id="443"/>
      <w:bookmarkEnd w:id="444"/>
      <w:bookmarkEnd w:id="445"/>
    </w:p>
    <w:p w14:paraId="29ADCDE9" w14:textId="77777777" w:rsidR="009D43C3" w:rsidRPr="000C156A" w:rsidRDefault="009D43C3" w:rsidP="009D43C3">
      <w:pPr>
        <w:ind w:firstLineChars="200" w:firstLine="480"/>
        <w:rPr>
          <w:lang w:val="en-US" w:eastAsia="zh-CN"/>
        </w:rPr>
      </w:pPr>
      <w:r w:rsidRPr="000C156A">
        <w:rPr>
          <w:rFonts w:hint="eastAsia"/>
          <w:lang w:val="en-US" w:eastAsia="zh-CN"/>
        </w:rPr>
        <w:t>其他资金包括</w:t>
      </w:r>
      <w:r w:rsidRPr="000C156A">
        <w:rPr>
          <w:rFonts w:hint="eastAsia"/>
          <w:lang w:eastAsia="zh-CN"/>
        </w:rPr>
        <w:t>国际电联职员退休和福利基金、退休和干预基金以及离职后健康保险（</w:t>
      </w:r>
      <w:r w:rsidRPr="000C156A">
        <w:rPr>
          <w:lang w:val="en-US" w:eastAsia="zh-CN"/>
        </w:rPr>
        <w:t>ASHI</w:t>
      </w:r>
      <w:r w:rsidRPr="000C156A">
        <w:rPr>
          <w:rFonts w:hint="eastAsia"/>
          <w:lang w:val="en-US" w:eastAsia="zh-CN"/>
        </w:rPr>
        <w:t>）</w:t>
      </w:r>
      <w:r w:rsidRPr="000C156A">
        <w:rPr>
          <w:rFonts w:hint="eastAsia"/>
          <w:lang w:eastAsia="zh-CN"/>
        </w:rPr>
        <w:t>基金。</w:t>
      </w:r>
    </w:p>
    <w:p w14:paraId="0BC12AE8" w14:textId="77777777" w:rsidR="009D43C3" w:rsidRPr="000C156A" w:rsidRDefault="009D43C3" w:rsidP="009D43C3">
      <w:pPr>
        <w:ind w:firstLineChars="200" w:firstLine="480"/>
        <w:rPr>
          <w:lang w:eastAsia="zh-CN"/>
        </w:rPr>
      </w:pPr>
      <w:r w:rsidRPr="000C156A">
        <w:rPr>
          <w:rFonts w:hint="eastAsia"/>
          <w:lang w:eastAsia="zh-CN"/>
        </w:rPr>
        <w:t>国际电联职员退休和福利基金包括两个基金：</w:t>
      </w:r>
    </w:p>
    <w:p w14:paraId="0C97AFCC"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公积金；</w:t>
      </w:r>
    </w:p>
    <w:p w14:paraId="323FCA5A" w14:textId="77777777" w:rsidR="009D43C3" w:rsidRPr="000C156A" w:rsidRDefault="009D43C3" w:rsidP="009D43C3">
      <w:pPr>
        <w:pStyle w:val="enumlev1"/>
        <w:rPr>
          <w:lang w:val="en-US" w:eastAsia="zh-CN"/>
        </w:rPr>
      </w:pPr>
      <w:r w:rsidRPr="000C156A">
        <w:rPr>
          <w:lang w:eastAsia="zh-CN"/>
        </w:rPr>
        <w:t>–</w:t>
      </w:r>
      <w:r w:rsidRPr="000C156A">
        <w:rPr>
          <w:lang w:eastAsia="zh-CN"/>
        </w:rPr>
        <w:tab/>
      </w:r>
      <w:r w:rsidRPr="000C156A">
        <w:rPr>
          <w:rFonts w:hint="eastAsia"/>
          <w:lang w:eastAsia="zh-CN"/>
        </w:rPr>
        <w:t>援助基金。</w:t>
      </w:r>
    </w:p>
    <w:p w14:paraId="54429CBC" w14:textId="77777777" w:rsidR="009D43C3" w:rsidRPr="000C156A" w:rsidRDefault="009D43C3" w:rsidP="009D43C3">
      <w:pPr>
        <w:ind w:firstLineChars="200" w:firstLine="480"/>
        <w:rPr>
          <w:lang w:eastAsia="zh-CN"/>
        </w:rPr>
      </w:pPr>
      <w:r w:rsidRPr="000C156A">
        <w:rPr>
          <w:rFonts w:hint="eastAsia"/>
          <w:lang w:eastAsia="zh-CN"/>
        </w:rPr>
        <w:lastRenderedPageBreak/>
        <w:t>国际电联职员退休和福利基金是由保障</w:t>
      </w:r>
      <w:r w:rsidRPr="000C156A">
        <w:rPr>
          <w:lang w:eastAsia="zh-CN"/>
        </w:rPr>
        <w:t>1960</w:t>
      </w:r>
      <w:r w:rsidRPr="000C156A">
        <w:rPr>
          <w:rFonts w:hint="eastAsia"/>
          <w:lang w:eastAsia="zh-CN"/>
        </w:rPr>
        <w:t>年</w:t>
      </w:r>
      <w:r w:rsidRPr="000C156A">
        <w:rPr>
          <w:lang w:eastAsia="zh-CN"/>
        </w:rPr>
        <w:t>1</w:t>
      </w:r>
      <w:r w:rsidRPr="000C156A">
        <w:rPr>
          <w:rFonts w:hint="eastAsia"/>
          <w:lang w:eastAsia="zh-CN"/>
        </w:rPr>
        <w:t>月</w:t>
      </w:r>
      <w:r w:rsidRPr="000C156A">
        <w:rPr>
          <w:lang w:eastAsia="zh-CN"/>
        </w:rPr>
        <w:t>1</w:t>
      </w:r>
      <w:r w:rsidRPr="000C156A">
        <w:rPr>
          <w:rFonts w:hint="eastAsia"/>
          <w:lang w:eastAsia="zh-CN"/>
        </w:rPr>
        <w:t>日（即国际电联参加联合国合办职员养恤基金之日）前任职职员退休金的一系列基金组成。</w:t>
      </w:r>
      <w:r w:rsidRPr="000C156A">
        <w:rPr>
          <w:lang w:eastAsia="zh-CN"/>
        </w:rPr>
        <w:t>2020</w:t>
      </w:r>
      <w:r w:rsidRPr="000C156A">
        <w:rPr>
          <w:rFonts w:hint="eastAsia"/>
          <w:lang w:eastAsia="zh-CN"/>
        </w:rPr>
        <w:t>年，储备与补充基金负担了</w:t>
      </w:r>
      <w:r w:rsidRPr="000C156A">
        <w:rPr>
          <w:lang w:eastAsia="zh-CN"/>
        </w:rPr>
        <w:t>16</w:t>
      </w:r>
      <w:r w:rsidRPr="000C156A">
        <w:rPr>
          <w:rFonts w:hint="eastAsia"/>
          <w:lang w:eastAsia="zh-CN"/>
        </w:rPr>
        <w:t>份退休金和</w:t>
      </w:r>
      <w:r w:rsidRPr="000C156A">
        <w:rPr>
          <w:lang w:eastAsia="zh-CN"/>
        </w:rPr>
        <w:t>16</w:t>
      </w:r>
      <w:r w:rsidRPr="000C156A">
        <w:rPr>
          <w:rFonts w:hint="eastAsia"/>
          <w:lang w:eastAsia="zh-CN"/>
        </w:rPr>
        <w:t>位遗属养恤金，援助基金用于帮助处于财务困境的职员或养恤金领取人员。针对国际电联退休和福利基金受益人的承付款项的最后一次计算是在</w:t>
      </w:r>
      <w:r w:rsidRPr="000C156A">
        <w:rPr>
          <w:lang w:eastAsia="zh-CN"/>
        </w:rPr>
        <w:t>2011</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日进行的。</w:t>
      </w:r>
    </w:p>
    <w:p w14:paraId="1A83C16D" w14:textId="77777777" w:rsidR="009D43C3" w:rsidRPr="000C156A" w:rsidRDefault="009D43C3" w:rsidP="009D43C3">
      <w:pPr>
        <w:ind w:firstLineChars="200" w:firstLine="480"/>
        <w:rPr>
          <w:lang w:eastAsia="zh-CN"/>
        </w:rPr>
      </w:pPr>
      <w:r w:rsidRPr="000C156A">
        <w:rPr>
          <w:rFonts w:hint="eastAsia"/>
          <w:lang w:eastAsia="zh-CN"/>
        </w:rPr>
        <w:t>根据全权代表大会第</w:t>
      </w:r>
      <w:r w:rsidRPr="000C156A">
        <w:rPr>
          <w:lang w:eastAsia="zh-CN"/>
        </w:rPr>
        <w:t>7</w:t>
      </w:r>
      <w:r w:rsidRPr="000C156A">
        <w:rPr>
          <w:rFonts w:hint="eastAsia"/>
          <w:lang w:eastAsia="zh-CN"/>
        </w:rPr>
        <w:t>号决议（</w:t>
      </w:r>
      <w:r w:rsidRPr="000C156A">
        <w:rPr>
          <w:lang w:eastAsia="zh-CN"/>
        </w:rPr>
        <w:t>1959</w:t>
      </w:r>
      <w:r w:rsidRPr="000C156A">
        <w:rPr>
          <w:rFonts w:hint="eastAsia"/>
          <w:lang w:eastAsia="zh-CN"/>
        </w:rPr>
        <w:t>年，日内瓦），国际电联职员从</w:t>
      </w:r>
      <w:r w:rsidRPr="000C156A">
        <w:rPr>
          <w:lang w:eastAsia="zh-CN"/>
        </w:rPr>
        <w:t>1960</w:t>
      </w:r>
      <w:r w:rsidRPr="000C156A">
        <w:rPr>
          <w:rFonts w:hint="eastAsia"/>
          <w:lang w:eastAsia="zh-CN"/>
        </w:rPr>
        <w:t>年</w:t>
      </w:r>
      <w:r w:rsidRPr="000C156A">
        <w:rPr>
          <w:lang w:eastAsia="zh-CN"/>
        </w:rPr>
        <w:t>1</w:t>
      </w:r>
      <w:r w:rsidRPr="000C156A">
        <w:rPr>
          <w:rFonts w:hint="eastAsia"/>
          <w:lang w:eastAsia="zh-CN"/>
        </w:rPr>
        <w:t>月</w:t>
      </w:r>
      <w:r w:rsidRPr="000C156A">
        <w:rPr>
          <w:lang w:eastAsia="zh-CN"/>
        </w:rPr>
        <w:t>1</w:t>
      </w:r>
      <w:r w:rsidRPr="000C156A">
        <w:rPr>
          <w:rFonts w:hint="eastAsia"/>
          <w:lang w:eastAsia="zh-CN"/>
        </w:rPr>
        <w:t>日起参加联合国合办职员养恤基金。根据“国际电联职员退休和福利基金规则”第</w:t>
      </w:r>
      <w:r w:rsidRPr="000C156A">
        <w:rPr>
          <w:lang w:eastAsia="zh-CN"/>
        </w:rPr>
        <w:t>86</w:t>
      </w:r>
      <w:r w:rsidRPr="000C156A">
        <w:rPr>
          <w:rFonts w:hint="eastAsia"/>
          <w:lang w:eastAsia="zh-CN"/>
        </w:rPr>
        <w:t>条，这些基金由国际电联管理。基金资产必须投资于信托证券。该基金的账目由外部审计员在定期审计国际电联账目时进行审查。</w:t>
      </w:r>
    </w:p>
    <w:p w14:paraId="4BA02001" w14:textId="77777777" w:rsidR="009D43C3" w:rsidRPr="000C156A" w:rsidRDefault="009D43C3" w:rsidP="009D43C3">
      <w:pPr>
        <w:ind w:firstLineChars="200" w:firstLine="480"/>
        <w:rPr>
          <w:lang w:eastAsia="zh-CN"/>
        </w:rPr>
      </w:pPr>
      <w:r w:rsidRPr="000C156A">
        <w:rPr>
          <w:rFonts w:hint="eastAsia"/>
          <w:lang w:eastAsia="zh-CN"/>
        </w:rPr>
        <w:t>其他基金还包括自</w:t>
      </w:r>
      <w:r w:rsidRPr="000C156A">
        <w:rPr>
          <w:lang w:eastAsia="zh-CN"/>
        </w:rPr>
        <w:t>2013</w:t>
      </w:r>
      <w:r w:rsidRPr="000C156A">
        <w:rPr>
          <w:rFonts w:hint="eastAsia"/>
          <w:lang w:eastAsia="zh-CN"/>
        </w:rPr>
        <w:t>年启用的长期针对</w:t>
      </w:r>
      <w:r w:rsidRPr="000C156A">
        <w:rPr>
          <w:lang w:eastAsia="zh-CN"/>
        </w:rPr>
        <w:t>ASHI</w:t>
      </w:r>
      <w:r w:rsidRPr="000C156A">
        <w:rPr>
          <w:rFonts w:hint="eastAsia"/>
          <w:lang w:eastAsia="zh-CN"/>
        </w:rPr>
        <w:t>未偿债务的基金和新的健康保险基金，构成自</w:t>
      </w:r>
      <w:r w:rsidRPr="000C156A">
        <w:rPr>
          <w:lang w:eastAsia="zh-CN"/>
        </w:rPr>
        <w:t>2014</w:t>
      </w:r>
      <w:r w:rsidRPr="000C156A">
        <w:rPr>
          <w:rFonts w:hint="eastAsia"/>
          <w:lang w:eastAsia="zh-CN"/>
        </w:rPr>
        <w:t>年启用的新的健康保险方案的保障基金。</w:t>
      </w:r>
    </w:p>
    <w:p w14:paraId="58F8A30C" w14:textId="77777777" w:rsidR="009D43C3" w:rsidRPr="000C156A" w:rsidRDefault="009D43C3" w:rsidP="00141BAA">
      <w:pPr>
        <w:pStyle w:val="Heading5"/>
        <w:rPr>
          <w:rFonts w:cs="Microsoft YaHei"/>
          <w:b w:val="0"/>
          <w:i/>
          <w:u w:val="single"/>
          <w:lang w:eastAsia="zh-CN"/>
        </w:rPr>
      </w:pPr>
      <w:bookmarkStart w:id="448" w:name="_Toc41905859"/>
      <w:bookmarkStart w:id="449" w:name="_Toc73518675"/>
      <w:bookmarkStart w:id="450" w:name="_Toc73518822"/>
      <w:bookmarkStart w:id="451" w:name="_Toc73519222"/>
      <w:bookmarkStart w:id="452" w:name="_Toc73636259"/>
      <w:bookmarkStart w:id="453" w:name="_Toc482892558"/>
      <w:r w:rsidRPr="000C156A">
        <w:rPr>
          <w:rFonts w:cs="Microsoft YaHei" w:hint="eastAsia"/>
          <w:u w:val="single"/>
          <w:lang w:val="fr-FR" w:eastAsia="zh-CN"/>
        </w:rPr>
        <w:t>新办公楼基金</w:t>
      </w:r>
      <w:bookmarkEnd w:id="448"/>
      <w:bookmarkEnd w:id="449"/>
      <w:bookmarkEnd w:id="450"/>
      <w:bookmarkEnd w:id="451"/>
      <w:bookmarkEnd w:id="452"/>
    </w:p>
    <w:p w14:paraId="5593F7A6" w14:textId="77777777" w:rsidR="009D43C3" w:rsidRPr="000C156A" w:rsidRDefault="009D43C3" w:rsidP="009D43C3">
      <w:pPr>
        <w:ind w:firstLineChars="200" w:firstLine="480"/>
        <w:jc w:val="both"/>
        <w:rPr>
          <w:b/>
          <w:sz w:val="22"/>
          <w:szCs w:val="24"/>
          <w:lang w:eastAsia="zh-CN"/>
        </w:rPr>
      </w:pPr>
      <w:r w:rsidRPr="000C156A">
        <w:rPr>
          <w:rFonts w:asciiTheme="minorHAnsi" w:hAnsiTheme="minorHAnsi" w:hint="eastAsia"/>
          <w:lang w:eastAsia="zh-CN"/>
        </w:rPr>
        <w:t>理事会</w:t>
      </w:r>
      <w:r w:rsidRPr="000C156A">
        <w:rPr>
          <w:rFonts w:asciiTheme="minorHAnsi" w:hAnsiTheme="minorHAnsi" w:hint="eastAsia"/>
          <w:lang w:eastAsia="zh-CN"/>
        </w:rPr>
        <w:t>2016</w:t>
      </w:r>
      <w:r w:rsidRPr="000C156A">
        <w:rPr>
          <w:rFonts w:asciiTheme="minorHAnsi" w:hAnsiTheme="minorHAnsi" w:hint="eastAsia"/>
          <w:lang w:eastAsia="zh-CN"/>
        </w:rPr>
        <w:t>年会议通过</w:t>
      </w:r>
      <w:hyperlink r:id="rId37" w:history="1">
        <w:r w:rsidRPr="000C156A">
          <w:rPr>
            <w:rStyle w:val="Hyperlink"/>
            <w:rFonts w:asciiTheme="minorHAnsi" w:hAnsiTheme="minorHAnsi" w:hint="eastAsia"/>
            <w:lang w:eastAsia="zh-CN"/>
          </w:rPr>
          <w:t>第</w:t>
        </w:r>
        <w:r w:rsidRPr="000C156A">
          <w:rPr>
            <w:rStyle w:val="Hyperlink"/>
            <w:rFonts w:asciiTheme="minorHAnsi" w:hAnsiTheme="minorHAnsi" w:hint="eastAsia"/>
            <w:lang w:eastAsia="zh-CN"/>
          </w:rPr>
          <w:t>588</w:t>
        </w:r>
        <w:r w:rsidRPr="000C156A">
          <w:rPr>
            <w:rStyle w:val="Hyperlink"/>
            <w:rFonts w:asciiTheme="minorHAnsi" w:hAnsiTheme="minorHAnsi" w:hint="eastAsia"/>
            <w:lang w:eastAsia="zh-CN"/>
          </w:rPr>
          <w:t>号决定</w:t>
        </w:r>
      </w:hyperlink>
      <w:r w:rsidRPr="000C156A">
        <w:rPr>
          <w:rFonts w:asciiTheme="minorHAnsi" w:hAnsiTheme="minorHAnsi" w:hint="eastAsia"/>
          <w:lang w:eastAsia="zh-CN"/>
        </w:rPr>
        <w:t>，决定建造一座可容纳塔楼办公室及设施的新楼以替代</w:t>
      </w:r>
      <w:r w:rsidRPr="000C156A">
        <w:rPr>
          <w:rFonts w:asciiTheme="minorHAnsi" w:hAnsiTheme="minorHAnsi"/>
          <w:lang w:eastAsia="zh-CN"/>
        </w:rPr>
        <w:t>Varembé</w:t>
      </w:r>
      <w:r w:rsidRPr="000C156A">
        <w:rPr>
          <w:rFonts w:asciiTheme="minorHAnsi" w:hAnsiTheme="minorHAnsi" w:hint="eastAsia"/>
          <w:lang w:eastAsia="zh-CN"/>
        </w:rPr>
        <w:t>办公楼（在此称作</w:t>
      </w:r>
      <w:r w:rsidRPr="000C156A">
        <w:rPr>
          <w:rFonts w:asciiTheme="minorHAnsi" w:hAnsiTheme="minorHAnsi" w:hint="eastAsia"/>
          <w:lang w:eastAsia="zh-CN"/>
        </w:rPr>
        <w:t>VAREMBÉ 2</w:t>
      </w:r>
      <w:r w:rsidRPr="000C156A">
        <w:rPr>
          <w:rFonts w:asciiTheme="minorHAnsi" w:hAnsiTheme="minorHAnsi" w:hint="eastAsia"/>
          <w:lang w:eastAsia="zh-CN"/>
        </w:rPr>
        <w:t>代办公楼（“</w:t>
      </w:r>
      <w:r w:rsidRPr="000C156A">
        <w:rPr>
          <w:rFonts w:asciiTheme="minorHAnsi" w:hAnsiTheme="minorHAnsi"/>
          <w:lang w:eastAsia="zh-CN"/>
        </w:rPr>
        <w:t>Varembé-2</w:t>
      </w:r>
      <w:r w:rsidRPr="000C156A">
        <w:rPr>
          <w:rFonts w:asciiTheme="minorHAnsi" w:hAnsiTheme="minorHAnsi" w:hint="eastAsia"/>
          <w:lang w:eastAsia="zh-CN"/>
        </w:rPr>
        <w:t>”）），以便成为对将予以保留并进行翻修的</w:t>
      </w:r>
      <w:r w:rsidRPr="000C156A">
        <w:rPr>
          <w:rFonts w:asciiTheme="minorHAnsi" w:hAnsiTheme="minorHAnsi" w:hint="eastAsia"/>
          <w:lang w:eastAsia="zh-CN"/>
        </w:rPr>
        <w:t>Montbrillant</w:t>
      </w:r>
      <w:r w:rsidRPr="000C156A">
        <w:rPr>
          <w:rFonts w:asciiTheme="minorHAnsi" w:hAnsiTheme="minorHAnsi" w:hint="eastAsia"/>
          <w:lang w:eastAsia="zh-CN"/>
        </w:rPr>
        <w:t>楼的补充。</w:t>
      </w:r>
    </w:p>
    <w:p w14:paraId="2890718D" w14:textId="77777777" w:rsidR="009D43C3" w:rsidRPr="000C156A" w:rsidRDefault="009D43C3" w:rsidP="009D43C3">
      <w:pPr>
        <w:pStyle w:val="Normalaftertitle"/>
        <w:snapToGrid w:val="0"/>
        <w:spacing w:before="120" w:after="120"/>
        <w:ind w:firstLineChars="200" w:firstLine="480"/>
        <w:rPr>
          <w:b/>
          <w:color w:val="800000"/>
          <w:sz w:val="22"/>
          <w:szCs w:val="24"/>
          <w:lang w:eastAsia="zh-CN"/>
        </w:rPr>
      </w:pPr>
      <w:r w:rsidRPr="000C156A">
        <w:rPr>
          <w:rFonts w:asciiTheme="minorHAnsi" w:hAnsiTheme="minorHAnsi" w:hint="eastAsia"/>
          <w:szCs w:val="24"/>
          <w:lang w:eastAsia="zh-CN"/>
        </w:rPr>
        <w:t>瑞士联邦提供了资助该项目所需的不超过</w:t>
      </w:r>
      <w:r w:rsidRPr="000C156A">
        <w:rPr>
          <w:rFonts w:asciiTheme="minorHAnsi" w:hAnsiTheme="minorHAnsi" w:hint="eastAsia"/>
          <w:szCs w:val="24"/>
          <w:lang w:eastAsia="zh-CN"/>
        </w:rPr>
        <w:t>1.5</w:t>
      </w:r>
      <w:r w:rsidRPr="000C156A">
        <w:rPr>
          <w:rFonts w:asciiTheme="minorHAnsi" w:hAnsiTheme="minorHAnsi" w:hint="eastAsia"/>
          <w:szCs w:val="24"/>
          <w:lang w:eastAsia="zh-CN"/>
        </w:rPr>
        <w:t>亿瑞郎的无息贷款。</w:t>
      </w:r>
      <w:r w:rsidRPr="000C156A">
        <w:rPr>
          <w:rFonts w:asciiTheme="minorHAnsi" w:hAnsiTheme="minorHAnsi"/>
          <w:szCs w:val="24"/>
          <w:lang w:eastAsia="zh-CN"/>
        </w:rPr>
        <w:t>在理事会</w:t>
      </w:r>
      <w:r w:rsidRPr="000C156A">
        <w:rPr>
          <w:rFonts w:asciiTheme="minorHAnsi" w:hAnsiTheme="minorHAnsi"/>
          <w:szCs w:val="24"/>
          <w:lang w:eastAsia="zh-CN"/>
        </w:rPr>
        <w:t>2019</w:t>
      </w:r>
      <w:r w:rsidRPr="000C156A">
        <w:rPr>
          <w:rFonts w:asciiTheme="minorHAnsi" w:hAnsiTheme="minorHAnsi"/>
          <w:szCs w:val="24"/>
          <w:lang w:eastAsia="zh-CN"/>
        </w:rPr>
        <w:t>年特别会议之后，第</w:t>
      </w:r>
      <w:r w:rsidRPr="000C156A">
        <w:rPr>
          <w:rFonts w:asciiTheme="minorHAnsi" w:hAnsiTheme="minorHAnsi"/>
          <w:szCs w:val="24"/>
          <w:lang w:eastAsia="zh-CN"/>
        </w:rPr>
        <w:t>619</w:t>
      </w:r>
      <w:r w:rsidRPr="000C156A">
        <w:rPr>
          <w:rFonts w:asciiTheme="minorHAnsi" w:hAnsiTheme="minorHAnsi"/>
          <w:szCs w:val="24"/>
          <w:lang w:eastAsia="zh-CN"/>
        </w:rPr>
        <w:t>号决定将新</w:t>
      </w:r>
      <w:r w:rsidRPr="000C156A">
        <w:rPr>
          <w:rFonts w:asciiTheme="minorHAnsi" w:hAnsiTheme="minorHAnsi" w:hint="eastAsia"/>
          <w:szCs w:val="24"/>
          <w:lang w:eastAsia="zh-CN"/>
        </w:rPr>
        <w:t>办公楼</w:t>
      </w:r>
      <w:r w:rsidRPr="000C156A">
        <w:rPr>
          <w:rFonts w:asciiTheme="minorHAnsi" w:hAnsiTheme="minorHAnsi"/>
          <w:szCs w:val="24"/>
          <w:lang w:eastAsia="zh-CN"/>
        </w:rPr>
        <w:t>的预算定为</w:t>
      </w:r>
      <w:r w:rsidRPr="000C156A">
        <w:rPr>
          <w:rFonts w:asciiTheme="minorHAnsi" w:hAnsiTheme="minorHAnsi"/>
          <w:szCs w:val="24"/>
          <w:lang w:eastAsia="zh-CN"/>
        </w:rPr>
        <w:t>170 139 000</w:t>
      </w:r>
      <w:r w:rsidRPr="000C156A">
        <w:rPr>
          <w:rFonts w:asciiTheme="minorHAnsi" w:hAnsiTheme="minorHAnsi"/>
          <w:szCs w:val="24"/>
          <w:lang w:eastAsia="zh-CN"/>
        </w:rPr>
        <w:t>瑞郎。</w:t>
      </w:r>
      <w:r w:rsidRPr="000C156A">
        <w:rPr>
          <w:rFonts w:asciiTheme="minorHAnsi" w:hAnsiTheme="minorHAnsi"/>
          <w:szCs w:val="24"/>
          <w:lang w:eastAsia="zh-CN"/>
        </w:rPr>
        <w:t>1.5</w:t>
      </w:r>
      <w:r w:rsidRPr="000C156A">
        <w:rPr>
          <w:rFonts w:asciiTheme="minorHAnsi" w:hAnsiTheme="minorHAnsi"/>
          <w:szCs w:val="24"/>
          <w:lang w:eastAsia="zh-CN"/>
        </w:rPr>
        <w:t>亿瑞郎来自东道国提供的贷款，</w:t>
      </w:r>
      <w:r w:rsidRPr="000C156A">
        <w:rPr>
          <w:rFonts w:asciiTheme="minorHAnsi" w:hAnsiTheme="minorHAnsi"/>
          <w:szCs w:val="24"/>
          <w:lang w:eastAsia="zh-CN"/>
        </w:rPr>
        <w:t>2 014</w:t>
      </w:r>
      <w:r w:rsidRPr="000C156A">
        <w:rPr>
          <w:rFonts w:asciiTheme="minorHAnsi" w:hAnsiTheme="minorHAnsi"/>
          <w:szCs w:val="24"/>
          <w:lang w:eastAsia="zh-CN"/>
        </w:rPr>
        <w:t>万瑞郎来自赞助者、捐款和</w:t>
      </w:r>
      <w:r w:rsidRPr="000C156A">
        <w:rPr>
          <w:rFonts w:asciiTheme="minorHAnsi" w:hAnsiTheme="minorHAnsi"/>
          <w:szCs w:val="24"/>
          <w:lang w:eastAsia="zh-CN"/>
        </w:rPr>
        <w:t>2018</w:t>
      </w:r>
      <w:r w:rsidRPr="000C156A">
        <w:rPr>
          <w:rFonts w:asciiTheme="minorHAnsi" w:hAnsiTheme="minorHAnsi"/>
          <w:szCs w:val="24"/>
          <w:lang w:eastAsia="zh-CN"/>
        </w:rPr>
        <w:t>年</w:t>
      </w:r>
      <w:r w:rsidRPr="000C156A">
        <w:rPr>
          <w:rFonts w:asciiTheme="minorHAnsi" w:hAnsiTheme="minorHAnsi" w:hint="eastAsia"/>
          <w:szCs w:val="24"/>
          <w:lang w:eastAsia="zh-CN"/>
        </w:rPr>
        <w:t>实现</w:t>
      </w:r>
      <w:r w:rsidRPr="000C156A">
        <w:rPr>
          <w:rFonts w:asciiTheme="minorHAnsi" w:hAnsiTheme="minorHAnsi"/>
          <w:szCs w:val="24"/>
          <w:lang w:eastAsia="zh-CN"/>
        </w:rPr>
        <w:t>盈余</w:t>
      </w:r>
      <w:r w:rsidRPr="000C156A">
        <w:rPr>
          <w:rFonts w:asciiTheme="minorHAnsi" w:hAnsiTheme="minorHAnsi" w:hint="eastAsia"/>
          <w:szCs w:val="24"/>
          <w:lang w:eastAsia="zh-CN"/>
        </w:rPr>
        <w:t>后</w:t>
      </w:r>
      <w:r w:rsidRPr="000C156A">
        <w:rPr>
          <w:rFonts w:asciiTheme="minorHAnsi" w:hAnsiTheme="minorHAnsi"/>
          <w:szCs w:val="24"/>
          <w:lang w:eastAsia="zh-CN"/>
        </w:rPr>
        <w:t>进一步</w:t>
      </w:r>
      <w:r w:rsidRPr="000C156A">
        <w:rPr>
          <w:rFonts w:asciiTheme="minorHAnsi" w:hAnsiTheme="minorHAnsi" w:hint="eastAsia"/>
          <w:szCs w:val="24"/>
          <w:lang w:eastAsia="zh-CN"/>
        </w:rPr>
        <w:t>划拨的节余款</w:t>
      </w:r>
      <w:r w:rsidRPr="000C156A">
        <w:rPr>
          <w:rFonts w:asciiTheme="minorHAnsi" w:hAnsiTheme="minorHAnsi"/>
          <w:szCs w:val="24"/>
          <w:lang w:eastAsia="zh-CN"/>
        </w:rPr>
        <w:t>，并要求追加</w:t>
      </w:r>
      <w:r w:rsidRPr="000C156A">
        <w:rPr>
          <w:rFonts w:asciiTheme="minorHAnsi" w:hAnsiTheme="minorHAnsi"/>
          <w:szCs w:val="24"/>
          <w:lang w:eastAsia="zh-CN"/>
        </w:rPr>
        <w:t>1 260</w:t>
      </w:r>
      <w:r w:rsidRPr="000C156A">
        <w:rPr>
          <w:rFonts w:asciiTheme="minorHAnsi" w:hAnsiTheme="minorHAnsi"/>
          <w:szCs w:val="24"/>
          <w:lang w:eastAsia="zh-CN"/>
        </w:rPr>
        <w:t>万瑞郎的应急基金，必要时用于意外费用超支。</w:t>
      </w:r>
      <w:r w:rsidRPr="000C156A">
        <w:rPr>
          <w:rFonts w:asciiTheme="minorHAnsi" w:hAnsiTheme="minorHAnsi" w:hint="eastAsia"/>
          <w:szCs w:val="24"/>
          <w:lang w:eastAsia="zh-CN"/>
        </w:rPr>
        <w:t>为此设立了</w:t>
      </w:r>
      <w:r w:rsidRPr="000C156A">
        <w:rPr>
          <w:rFonts w:asciiTheme="minorHAnsi" w:hAnsiTheme="minorHAnsi"/>
          <w:szCs w:val="24"/>
          <w:lang w:eastAsia="zh-CN"/>
        </w:rPr>
        <w:t>风险</w:t>
      </w:r>
      <w:r w:rsidRPr="000C156A">
        <w:rPr>
          <w:rFonts w:asciiTheme="minorHAnsi" w:hAnsiTheme="minorHAnsi" w:hint="eastAsia"/>
          <w:szCs w:val="24"/>
          <w:lang w:eastAsia="zh-CN"/>
        </w:rPr>
        <w:t>管控</w:t>
      </w:r>
      <w:r w:rsidRPr="000C156A">
        <w:rPr>
          <w:rFonts w:asciiTheme="minorHAnsi" w:hAnsiTheme="minorHAnsi"/>
          <w:szCs w:val="24"/>
          <w:lang w:eastAsia="zh-CN"/>
        </w:rPr>
        <w:t>基金</w:t>
      </w:r>
      <w:r w:rsidRPr="000C156A">
        <w:rPr>
          <w:rFonts w:asciiTheme="minorHAnsi" w:hAnsiTheme="minorHAnsi" w:hint="eastAsia"/>
          <w:szCs w:val="24"/>
          <w:lang w:eastAsia="zh-CN"/>
        </w:rPr>
        <w:t>。截至</w:t>
      </w:r>
      <w:r w:rsidRPr="000C156A">
        <w:rPr>
          <w:rFonts w:asciiTheme="minorHAnsi" w:hAnsiTheme="minorHAnsi" w:hint="eastAsia"/>
          <w:szCs w:val="24"/>
          <w:lang w:eastAsia="zh-CN"/>
        </w:rPr>
        <w:t>2020</w:t>
      </w:r>
      <w:r w:rsidRPr="000C156A">
        <w:rPr>
          <w:rFonts w:asciiTheme="minorHAnsi" w:hAnsiTheme="minorHAnsi" w:hint="eastAsia"/>
          <w:szCs w:val="24"/>
          <w:lang w:eastAsia="zh-CN"/>
        </w:rPr>
        <w:t>年</w:t>
      </w:r>
      <w:r w:rsidRPr="000C156A">
        <w:rPr>
          <w:rFonts w:asciiTheme="minorHAnsi" w:hAnsiTheme="minorHAnsi" w:hint="eastAsia"/>
          <w:szCs w:val="24"/>
          <w:lang w:eastAsia="zh-CN"/>
        </w:rPr>
        <w:t>12</w:t>
      </w:r>
      <w:r w:rsidRPr="000C156A">
        <w:rPr>
          <w:rFonts w:asciiTheme="minorHAnsi" w:hAnsiTheme="minorHAnsi" w:hint="eastAsia"/>
          <w:szCs w:val="24"/>
          <w:lang w:eastAsia="zh-CN"/>
        </w:rPr>
        <w:t>月</w:t>
      </w:r>
      <w:r w:rsidRPr="000C156A">
        <w:rPr>
          <w:rFonts w:asciiTheme="minorHAnsi" w:hAnsiTheme="minorHAnsi" w:hint="eastAsia"/>
          <w:szCs w:val="24"/>
          <w:lang w:eastAsia="zh-CN"/>
        </w:rPr>
        <w:t>31</w:t>
      </w:r>
      <w:r w:rsidRPr="000C156A">
        <w:rPr>
          <w:rFonts w:asciiTheme="minorHAnsi" w:hAnsiTheme="minorHAnsi" w:hint="eastAsia"/>
          <w:szCs w:val="24"/>
          <w:lang w:eastAsia="zh-CN"/>
        </w:rPr>
        <w:t>日，风险管控基金总额为</w:t>
      </w:r>
      <w:r w:rsidRPr="000C156A">
        <w:rPr>
          <w:rFonts w:asciiTheme="minorHAnsi" w:hAnsiTheme="minorHAnsi" w:hint="eastAsia"/>
          <w:szCs w:val="24"/>
          <w:lang w:eastAsia="zh-CN"/>
        </w:rPr>
        <w:t>343</w:t>
      </w:r>
      <w:r w:rsidRPr="000C156A">
        <w:rPr>
          <w:rFonts w:asciiTheme="minorHAnsi" w:hAnsiTheme="minorHAnsi" w:hint="eastAsia"/>
          <w:szCs w:val="24"/>
          <w:lang w:eastAsia="zh-CN"/>
        </w:rPr>
        <w:t>万瑞郎。</w:t>
      </w:r>
    </w:p>
    <w:p w14:paraId="4860E452" w14:textId="77777777" w:rsidR="009D43C3" w:rsidRPr="000C156A" w:rsidRDefault="009D43C3" w:rsidP="009D43C3">
      <w:pPr>
        <w:ind w:firstLineChars="200" w:firstLine="480"/>
        <w:rPr>
          <w:rFonts w:ascii="SimSun" w:hAnsi="SimSun" w:cs="SimSun"/>
          <w:color w:val="000000"/>
          <w:lang w:eastAsia="zh-CN"/>
        </w:rPr>
      </w:pPr>
      <w:r w:rsidRPr="000C156A">
        <w:rPr>
          <w:rFonts w:asciiTheme="minorHAnsi" w:hAnsiTheme="minorHAnsi" w:hint="eastAsia"/>
          <w:szCs w:val="24"/>
          <w:lang w:eastAsia="zh-CN"/>
        </w:rPr>
        <w:t>秘书长向瑞士申请了用于项目第一阶段的首期贷款：</w:t>
      </w:r>
      <w:r w:rsidRPr="000C156A">
        <w:rPr>
          <w:rFonts w:asciiTheme="minorHAnsi" w:hAnsiTheme="minorHAnsi" w:hint="eastAsia"/>
          <w:szCs w:val="24"/>
          <w:lang w:eastAsia="zh-CN"/>
        </w:rPr>
        <w:t>2021</w:t>
      </w:r>
      <w:r w:rsidRPr="000C156A">
        <w:rPr>
          <w:rFonts w:asciiTheme="minorHAnsi" w:hAnsiTheme="minorHAnsi" w:hint="eastAsia"/>
          <w:szCs w:val="24"/>
          <w:lang w:eastAsia="zh-CN"/>
        </w:rPr>
        <w:t>年</w:t>
      </w:r>
      <w:r w:rsidRPr="000C156A">
        <w:rPr>
          <w:rFonts w:asciiTheme="minorHAnsi" w:hAnsiTheme="minorHAnsi" w:hint="eastAsia"/>
          <w:szCs w:val="24"/>
          <w:lang w:eastAsia="zh-CN"/>
        </w:rPr>
        <w:t>6</w:t>
      </w:r>
      <w:r w:rsidRPr="000C156A">
        <w:rPr>
          <w:rFonts w:asciiTheme="minorHAnsi" w:hAnsiTheme="minorHAnsi" w:hint="eastAsia"/>
          <w:szCs w:val="24"/>
          <w:lang w:eastAsia="zh-CN"/>
        </w:rPr>
        <w:t>月</w:t>
      </w:r>
      <w:r w:rsidRPr="000C156A">
        <w:rPr>
          <w:rFonts w:asciiTheme="minorHAnsi" w:hAnsiTheme="minorHAnsi" w:hint="eastAsia"/>
          <w:szCs w:val="24"/>
          <w:lang w:eastAsia="zh-CN"/>
        </w:rPr>
        <w:t>30</w:t>
      </w:r>
      <w:r w:rsidRPr="000C156A">
        <w:rPr>
          <w:rFonts w:asciiTheme="minorHAnsi" w:hAnsiTheme="minorHAnsi" w:hint="eastAsia"/>
          <w:szCs w:val="24"/>
          <w:lang w:eastAsia="zh-CN"/>
        </w:rPr>
        <w:t>日之前的建筑设计竞标、建筑设计研究和相关费用。申请的贷款金额为</w:t>
      </w:r>
      <w:r w:rsidRPr="000C156A">
        <w:rPr>
          <w:rFonts w:asciiTheme="minorHAnsi" w:hAnsiTheme="minorHAnsi" w:hint="eastAsia"/>
          <w:szCs w:val="24"/>
          <w:lang w:eastAsia="zh-CN"/>
        </w:rPr>
        <w:t>1</w:t>
      </w:r>
      <w:r w:rsidRPr="000C156A">
        <w:rPr>
          <w:rFonts w:asciiTheme="minorHAnsi" w:hAnsiTheme="minorHAnsi"/>
          <w:szCs w:val="24"/>
          <w:lang w:eastAsia="zh-CN"/>
        </w:rPr>
        <w:t xml:space="preserve"> </w:t>
      </w:r>
      <w:r w:rsidRPr="000C156A">
        <w:rPr>
          <w:rFonts w:asciiTheme="minorHAnsi" w:hAnsiTheme="minorHAnsi" w:hint="eastAsia"/>
          <w:szCs w:val="24"/>
          <w:lang w:eastAsia="zh-CN"/>
        </w:rPr>
        <w:t>200</w:t>
      </w:r>
      <w:r w:rsidRPr="000C156A">
        <w:rPr>
          <w:rFonts w:asciiTheme="minorHAnsi" w:hAnsiTheme="minorHAnsi" w:hint="eastAsia"/>
          <w:szCs w:val="24"/>
          <w:lang w:eastAsia="zh-CN"/>
        </w:rPr>
        <w:t>万瑞郎，</w:t>
      </w:r>
      <w:r w:rsidRPr="000C156A">
        <w:rPr>
          <w:color w:val="000000"/>
          <w:lang w:eastAsia="zh-CN"/>
        </w:rPr>
        <w:t>仅在成功验收办公楼后（最早为</w:t>
      </w:r>
      <w:r w:rsidRPr="000C156A">
        <w:rPr>
          <w:color w:val="000000"/>
          <w:lang w:eastAsia="zh-CN"/>
        </w:rPr>
        <w:t>2026</w:t>
      </w:r>
      <w:r w:rsidRPr="000C156A">
        <w:rPr>
          <w:color w:val="000000"/>
          <w:lang w:eastAsia="zh-CN"/>
        </w:rPr>
        <w:t>年）后才进行首次年度还款</w:t>
      </w:r>
      <w:r w:rsidRPr="000C156A">
        <w:rPr>
          <w:rFonts w:ascii="SimSun" w:hAnsi="SimSun" w:cs="SimSun" w:hint="eastAsia"/>
          <w:color w:val="000000"/>
          <w:lang w:eastAsia="zh-CN"/>
        </w:rPr>
        <w:t>。</w:t>
      </w:r>
      <w:r w:rsidRPr="000C156A">
        <w:rPr>
          <w:color w:val="000000"/>
          <w:lang w:eastAsia="zh-CN"/>
        </w:rPr>
        <w:t>瑞士议会已于</w:t>
      </w:r>
      <w:r w:rsidRPr="000C156A">
        <w:rPr>
          <w:color w:val="000000"/>
          <w:lang w:eastAsia="zh-CN"/>
        </w:rPr>
        <w:t>2016</w:t>
      </w:r>
      <w:r w:rsidRPr="000C156A">
        <w:rPr>
          <w:color w:val="000000"/>
          <w:lang w:eastAsia="zh-CN"/>
        </w:rPr>
        <w:t>年</w:t>
      </w:r>
      <w:r w:rsidRPr="000C156A">
        <w:rPr>
          <w:color w:val="000000"/>
          <w:lang w:eastAsia="zh-CN"/>
        </w:rPr>
        <w:t>12</w:t>
      </w:r>
      <w:r w:rsidRPr="000C156A">
        <w:rPr>
          <w:color w:val="000000"/>
          <w:lang w:eastAsia="zh-CN"/>
        </w:rPr>
        <w:t>月批准了该笔贷款，且国际电联已与国际组织不动产基金会（</w:t>
      </w:r>
      <w:r w:rsidRPr="000C156A">
        <w:rPr>
          <w:color w:val="000000"/>
          <w:lang w:eastAsia="zh-CN"/>
        </w:rPr>
        <w:t>FIPOI</w:t>
      </w:r>
      <w:r w:rsidRPr="000C156A">
        <w:rPr>
          <w:color w:val="000000"/>
          <w:lang w:eastAsia="zh-CN"/>
        </w:rPr>
        <w:t>）签署了管理这笔贷款的合同</w:t>
      </w:r>
      <w:r w:rsidRPr="000C156A">
        <w:rPr>
          <w:rFonts w:ascii="SimSun" w:hAnsi="SimSun" w:cs="SimSun" w:hint="eastAsia"/>
          <w:color w:val="000000"/>
          <w:lang w:eastAsia="zh-CN"/>
        </w:rPr>
        <w:t>。</w:t>
      </w:r>
      <w:r w:rsidRPr="000C156A">
        <w:rPr>
          <w:color w:val="000000"/>
          <w:lang w:eastAsia="zh-CN"/>
        </w:rPr>
        <w:t>这笔资金已于</w:t>
      </w:r>
      <w:r w:rsidRPr="000C156A">
        <w:rPr>
          <w:color w:val="000000"/>
          <w:lang w:eastAsia="zh-CN"/>
        </w:rPr>
        <w:t>2017</w:t>
      </w:r>
      <w:r w:rsidRPr="000C156A">
        <w:rPr>
          <w:color w:val="000000"/>
          <w:lang w:eastAsia="zh-CN"/>
        </w:rPr>
        <w:t>年初提供</w:t>
      </w:r>
      <w:r w:rsidRPr="000C156A">
        <w:rPr>
          <w:rFonts w:ascii="SimSun" w:hAnsi="SimSun" w:cs="SimSun" w:hint="eastAsia"/>
          <w:color w:val="000000"/>
          <w:lang w:eastAsia="zh-CN"/>
        </w:rPr>
        <w:t>。</w:t>
      </w:r>
    </w:p>
    <w:p w14:paraId="4823FD2C" w14:textId="77777777" w:rsidR="009D43C3" w:rsidRPr="000C156A" w:rsidRDefault="009D43C3" w:rsidP="009D43C3">
      <w:pPr>
        <w:ind w:firstLineChars="200" w:firstLine="480"/>
        <w:rPr>
          <w:rFonts w:cs="Calibri"/>
          <w:color w:val="000000"/>
          <w:lang w:eastAsia="zh-CN"/>
        </w:rPr>
      </w:pPr>
      <w:r w:rsidRPr="000C156A">
        <w:rPr>
          <w:rFonts w:cs="Calibri" w:hint="eastAsia"/>
          <w:color w:val="000000"/>
          <w:lang w:eastAsia="zh-CN"/>
        </w:rPr>
        <w:t>第二批贷款总额为</w:t>
      </w:r>
      <w:r w:rsidRPr="000C156A">
        <w:rPr>
          <w:rFonts w:cs="Calibri" w:hint="eastAsia"/>
          <w:color w:val="000000"/>
          <w:lang w:eastAsia="zh-CN"/>
        </w:rPr>
        <w:t>1.38</w:t>
      </w:r>
      <w:r w:rsidRPr="000C156A">
        <w:rPr>
          <w:rFonts w:cs="Calibri" w:hint="eastAsia"/>
          <w:color w:val="000000"/>
          <w:lang w:eastAsia="zh-CN"/>
        </w:rPr>
        <w:t>亿瑞郎，于</w:t>
      </w:r>
      <w:r w:rsidRPr="000C156A">
        <w:rPr>
          <w:rFonts w:cs="Calibri" w:hint="eastAsia"/>
          <w:color w:val="000000"/>
          <w:lang w:eastAsia="zh-CN"/>
        </w:rPr>
        <w:t>2021</w:t>
      </w:r>
      <w:r w:rsidRPr="000C156A">
        <w:rPr>
          <w:rFonts w:cs="Calibri" w:hint="eastAsia"/>
          <w:color w:val="000000"/>
          <w:lang w:eastAsia="zh-CN"/>
        </w:rPr>
        <w:t>年初获得批准。</w:t>
      </w:r>
    </w:p>
    <w:p w14:paraId="27B46398" w14:textId="77777777" w:rsidR="009D43C3" w:rsidRPr="000C156A" w:rsidRDefault="009D43C3" w:rsidP="009D43C3">
      <w:pPr>
        <w:ind w:firstLineChars="200" w:firstLine="480"/>
        <w:jc w:val="both"/>
        <w:rPr>
          <w:rFonts w:asciiTheme="minorHAnsi" w:hAnsiTheme="minorHAnsi"/>
          <w:szCs w:val="24"/>
          <w:lang w:eastAsia="zh-CN"/>
        </w:rPr>
      </w:pPr>
      <w:r w:rsidRPr="000C156A">
        <w:rPr>
          <w:rFonts w:asciiTheme="minorHAnsi" w:hAnsiTheme="minorHAnsi" w:hint="eastAsia"/>
          <w:szCs w:val="24"/>
          <w:lang w:eastAsia="zh-CN"/>
        </w:rPr>
        <w:t>为跟踪项目和会计政策的实施情况，新成立了两个为新办公楼项目确定融资渠道的基金。这两个基金的情况在“分部门报告”部分及附件</w:t>
      </w:r>
      <w:r w:rsidRPr="000C156A">
        <w:rPr>
          <w:rFonts w:asciiTheme="minorHAnsi" w:hAnsiTheme="minorHAnsi" w:hint="eastAsia"/>
          <w:szCs w:val="24"/>
          <w:lang w:eastAsia="zh-CN"/>
        </w:rPr>
        <w:t>B2</w:t>
      </w:r>
      <w:r w:rsidRPr="000C156A">
        <w:rPr>
          <w:rFonts w:asciiTheme="minorHAnsi" w:hAnsiTheme="minorHAnsi" w:hint="eastAsia"/>
          <w:szCs w:val="24"/>
          <w:lang w:eastAsia="zh-CN"/>
        </w:rPr>
        <w:t>中披露。</w:t>
      </w:r>
    </w:p>
    <w:p w14:paraId="4E5D7331" w14:textId="77777777" w:rsidR="009D43C3" w:rsidRPr="000C156A" w:rsidRDefault="009D43C3" w:rsidP="00141BAA">
      <w:pPr>
        <w:pStyle w:val="Heading5"/>
        <w:rPr>
          <w:rFonts w:cs="Microsoft YaHei"/>
          <w:b w:val="0"/>
          <w:i/>
          <w:u w:val="single"/>
          <w:lang w:eastAsia="zh-CN"/>
        </w:rPr>
      </w:pPr>
      <w:bookmarkStart w:id="454" w:name="_Toc41905860"/>
      <w:bookmarkStart w:id="455" w:name="_Toc73518676"/>
      <w:bookmarkStart w:id="456" w:name="_Toc73518823"/>
      <w:bookmarkStart w:id="457" w:name="_Toc73519223"/>
      <w:bookmarkStart w:id="458" w:name="_Toc73636260"/>
      <w:r w:rsidRPr="000C156A">
        <w:rPr>
          <w:rFonts w:cs="Microsoft YaHei" w:hint="eastAsia"/>
          <w:u w:val="single"/>
          <w:lang w:val="fr-FR" w:eastAsia="zh-CN"/>
        </w:rPr>
        <w:t>预算外活动相关基金</w:t>
      </w:r>
      <w:bookmarkEnd w:id="453"/>
      <w:bookmarkEnd w:id="454"/>
      <w:bookmarkEnd w:id="455"/>
      <w:bookmarkEnd w:id="456"/>
      <w:bookmarkEnd w:id="457"/>
      <w:bookmarkEnd w:id="458"/>
    </w:p>
    <w:p w14:paraId="721908BF" w14:textId="77777777" w:rsidR="009D43C3" w:rsidRPr="000C156A" w:rsidRDefault="009D43C3" w:rsidP="009D43C3">
      <w:pPr>
        <w:pStyle w:val="enumlev1"/>
        <w:keepNext/>
        <w:keepLines/>
        <w:rPr>
          <w:b/>
          <w:bCs/>
          <w:lang w:eastAsia="zh-CN"/>
        </w:rPr>
      </w:pPr>
      <w:r w:rsidRPr="000C156A">
        <w:rPr>
          <w:b/>
          <w:bCs/>
          <w:lang w:eastAsia="zh-CN"/>
        </w:rPr>
        <w:t>–</w:t>
      </w:r>
      <w:r w:rsidRPr="000C156A">
        <w:rPr>
          <w:b/>
          <w:bCs/>
          <w:lang w:eastAsia="zh-CN"/>
        </w:rPr>
        <w:tab/>
        <w:t>ICT</w:t>
      </w:r>
      <w:r w:rsidRPr="000C156A">
        <w:rPr>
          <w:rFonts w:hint="eastAsia"/>
          <w:b/>
          <w:bCs/>
          <w:lang w:eastAsia="zh-CN"/>
        </w:rPr>
        <w:t>发展基金</w:t>
      </w:r>
    </w:p>
    <w:p w14:paraId="45718172" w14:textId="77777777" w:rsidR="009D43C3" w:rsidRPr="000C156A" w:rsidRDefault="009D43C3" w:rsidP="009D43C3">
      <w:pPr>
        <w:ind w:firstLineChars="200" w:firstLine="480"/>
        <w:rPr>
          <w:lang w:eastAsia="zh-CN"/>
        </w:rPr>
      </w:pPr>
      <w:r w:rsidRPr="000C156A">
        <w:rPr>
          <w:rFonts w:hint="eastAsia"/>
          <w:lang w:eastAsia="zh-CN"/>
        </w:rPr>
        <w:t>为实现国际电联促进在全球范围内扩大现代通信服务的使命，理事会将国际电联电信展活动的一部分盈余收入分配给</w:t>
      </w:r>
      <w:r w:rsidRPr="000C156A">
        <w:rPr>
          <w:lang w:eastAsia="zh-CN"/>
        </w:rPr>
        <w:t>ICT</w:t>
      </w:r>
      <w:r w:rsidRPr="000C156A">
        <w:rPr>
          <w:rFonts w:hint="eastAsia"/>
          <w:lang w:eastAsia="zh-CN"/>
        </w:rPr>
        <w:t>发展基金（</w:t>
      </w:r>
      <w:r w:rsidRPr="000C156A">
        <w:rPr>
          <w:lang w:eastAsia="zh-CN"/>
        </w:rPr>
        <w:t>ICTDF</w:t>
      </w:r>
      <w:r w:rsidRPr="000C156A">
        <w:rPr>
          <w:rFonts w:hint="eastAsia"/>
          <w:lang w:eastAsia="zh-CN"/>
        </w:rPr>
        <w:t>），为不同国家和区域的发展项目提供资金。通过</w:t>
      </w:r>
      <w:r w:rsidRPr="000C156A">
        <w:rPr>
          <w:lang w:eastAsia="zh-CN"/>
        </w:rPr>
        <w:t>ICTDF</w:t>
      </w:r>
      <w:r w:rsidRPr="000C156A">
        <w:rPr>
          <w:rFonts w:hint="eastAsia"/>
          <w:lang w:eastAsia="zh-CN"/>
        </w:rPr>
        <w:t>融资的项目只在财务业绩报表中确认费用。在各阶段结账时，资产负债表上划拨的自有资金减去在此阶段内发生的费用总额。这一原则同样适用于按照发展行动计划融资的项目。用于这些项目的资金已在以往阶段确认为收入。</w:t>
      </w:r>
    </w:p>
    <w:p w14:paraId="2E7FC835" w14:textId="77777777" w:rsidR="009D43C3" w:rsidRPr="000C156A" w:rsidRDefault="009D43C3" w:rsidP="009D43C3">
      <w:pPr>
        <w:ind w:firstLineChars="200" w:firstLine="480"/>
        <w:rPr>
          <w:lang w:eastAsia="zh-CN"/>
        </w:rPr>
      </w:pPr>
      <w:r w:rsidRPr="000C156A">
        <w:rPr>
          <w:lang w:eastAsia="zh-CN"/>
        </w:rPr>
        <w:t>ICTDF</w:t>
      </w:r>
      <w:r w:rsidRPr="000C156A">
        <w:rPr>
          <w:rFonts w:hint="eastAsia"/>
          <w:lang w:eastAsia="zh-CN"/>
        </w:rPr>
        <w:t>还记录成员国或第三方为向</w:t>
      </w:r>
      <w:r w:rsidRPr="000C156A">
        <w:rPr>
          <w:lang w:eastAsia="zh-CN"/>
        </w:rPr>
        <w:t>ICT</w:t>
      </w:r>
      <w:r w:rsidRPr="000C156A">
        <w:rPr>
          <w:rFonts w:hint="eastAsia"/>
          <w:lang w:eastAsia="zh-CN"/>
        </w:rPr>
        <w:t>发展项目提供资金而做出的贡献。</w:t>
      </w:r>
    </w:p>
    <w:p w14:paraId="77307244" w14:textId="77777777" w:rsidR="009D43C3" w:rsidRPr="000C156A" w:rsidRDefault="009D43C3" w:rsidP="009D43C3">
      <w:pPr>
        <w:pStyle w:val="enumlev1"/>
        <w:keepNext/>
        <w:rPr>
          <w:b/>
          <w:bCs/>
          <w:lang w:eastAsia="zh-CN"/>
        </w:rPr>
      </w:pPr>
      <w:r w:rsidRPr="000C156A">
        <w:rPr>
          <w:b/>
          <w:bCs/>
          <w:lang w:eastAsia="zh-CN"/>
        </w:rPr>
        <w:t>–</w:t>
      </w:r>
      <w:r w:rsidRPr="000C156A">
        <w:rPr>
          <w:b/>
          <w:bCs/>
          <w:lang w:eastAsia="zh-CN"/>
        </w:rPr>
        <w:tab/>
      </w:r>
      <w:r w:rsidRPr="000C156A">
        <w:rPr>
          <w:rFonts w:hint="eastAsia"/>
          <w:b/>
          <w:bCs/>
          <w:lang w:eastAsia="zh-CN"/>
        </w:rPr>
        <w:t>国际电联电信展周转资本基金</w:t>
      </w:r>
    </w:p>
    <w:p w14:paraId="189C92D1" w14:textId="77777777" w:rsidR="009D43C3" w:rsidRPr="000C156A" w:rsidRDefault="009D43C3" w:rsidP="009D43C3">
      <w:pPr>
        <w:ind w:firstLineChars="200" w:firstLine="480"/>
        <w:jc w:val="both"/>
        <w:rPr>
          <w:lang w:val="en-US" w:eastAsia="zh-CN"/>
        </w:rPr>
      </w:pPr>
      <w:r w:rsidRPr="000C156A">
        <w:rPr>
          <w:rFonts w:hint="eastAsia"/>
          <w:lang w:val="en-US" w:eastAsia="zh-CN"/>
        </w:rPr>
        <w:t>国际电联电信展活动为政府、公司及中小企业（</w:t>
      </w:r>
      <w:r w:rsidRPr="000C156A">
        <w:rPr>
          <w:lang w:val="en-US" w:eastAsia="zh-CN"/>
        </w:rPr>
        <w:t>SME</w:t>
      </w:r>
      <w:r w:rsidRPr="000C156A">
        <w:rPr>
          <w:rFonts w:hint="eastAsia"/>
          <w:lang w:val="en-US" w:eastAsia="zh-CN"/>
        </w:rPr>
        <w:t>）提供了全球性平台，以加快促进社会和经济发展的</w:t>
      </w:r>
      <w:r w:rsidRPr="000C156A">
        <w:rPr>
          <w:lang w:val="en-US" w:eastAsia="zh-CN"/>
        </w:rPr>
        <w:t>ICT</w:t>
      </w:r>
      <w:r w:rsidRPr="000C156A">
        <w:rPr>
          <w:rFonts w:hint="eastAsia"/>
          <w:lang w:val="en-US" w:eastAsia="zh-CN"/>
        </w:rPr>
        <w:t>创新。展会包括创新服务、应用和解决方案的展示以及世界各地的投资和合作机会；就</w:t>
      </w:r>
      <w:r w:rsidRPr="000C156A">
        <w:rPr>
          <w:lang w:val="en-US" w:eastAsia="zh-CN"/>
        </w:rPr>
        <w:t>ICT</w:t>
      </w:r>
      <w:r w:rsidRPr="000C156A">
        <w:rPr>
          <w:rFonts w:hint="eastAsia"/>
          <w:lang w:val="en-US" w:eastAsia="zh-CN"/>
        </w:rPr>
        <w:t>行业的最新问题开展最高层对话的世界级领袖峰会和论坛，同时深入</w:t>
      </w:r>
      <w:r w:rsidRPr="000C156A">
        <w:rPr>
          <w:rFonts w:hint="eastAsia"/>
          <w:lang w:val="en-US" w:eastAsia="zh-CN"/>
        </w:rPr>
        <w:lastRenderedPageBreak/>
        <w:t>探讨数字经济的技术、政策和监管问题、战略和商业模式的动向。国际电联电信展活动还汇集了最高级别的与会者，包括国家首脑、部长、监管机构、公司高管及其他有影响的领袖。</w:t>
      </w:r>
    </w:p>
    <w:p w14:paraId="49B915FF" w14:textId="77777777" w:rsidR="009D43C3" w:rsidRPr="000C156A" w:rsidRDefault="009D43C3" w:rsidP="009D43C3">
      <w:pPr>
        <w:ind w:firstLineChars="200" w:firstLine="480"/>
        <w:jc w:val="both"/>
        <w:rPr>
          <w:lang w:val="en-US" w:eastAsia="zh-CN"/>
        </w:rPr>
      </w:pPr>
      <w:r w:rsidRPr="000C156A">
        <w:rPr>
          <w:rFonts w:hint="eastAsia"/>
          <w:lang w:val="en-US" w:eastAsia="zh-CN"/>
        </w:rPr>
        <w:t>每次国际电联电信展活动结账后，所有结余收入或额外支出都会转入电信展周转资本基金，余额计入国际电联财务报表。经理事会批准后，可能将基金从电信展周转资本基金转入</w:t>
      </w:r>
      <w:r w:rsidRPr="000C156A">
        <w:rPr>
          <w:lang w:val="en-US" w:eastAsia="zh-CN"/>
        </w:rPr>
        <w:t>ICT</w:t>
      </w:r>
      <w:r w:rsidRPr="000C156A">
        <w:rPr>
          <w:rFonts w:hint="eastAsia"/>
          <w:lang w:val="en-US" w:eastAsia="zh-CN"/>
        </w:rPr>
        <w:t>发展基金。</w:t>
      </w:r>
    </w:p>
    <w:p w14:paraId="5C8DA8B5" w14:textId="77777777" w:rsidR="009D43C3" w:rsidRPr="000C156A" w:rsidRDefault="009D43C3" w:rsidP="009D43C3">
      <w:pPr>
        <w:pStyle w:val="enumlev1"/>
        <w:keepNext/>
        <w:rPr>
          <w:b/>
          <w:bCs/>
          <w:lang w:eastAsia="zh-CN"/>
        </w:rPr>
      </w:pPr>
      <w:r w:rsidRPr="000C156A">
        <w:rPr>
          <w:b/>
          <w:bCs/>
          <w:lang w:eastAsia="zh-CN"/>
        </w:rPr>
        <w:t>–</w:t>
      </w:r>
      <w:r w:rsidRPr="000C156A">
        <w:rPr>
          <w:b/>
          <w:bCs/>
          <w:lang w:eastAsia="zh-CN"/>
        </w:rPr>
        <w:tab/>
      </w:r>
      <w:r w:rsidRPr="000C156A">
        <w:rPr>
          <w:rFonts w:hint="eastAsia"/>
          <w:b/>
          <w:bCs/>
          <w:lang w:val="en-US" w:eastAsia="zh-CN"/>
        </w:rPr>
        <w:t>预算外项目储备金</w:t>
      </w:r>
    </w:p>
    <w:p w14:paraId="418E1620" w14:textId="77777777" w:rsidR="009D43C3" w:rsidRPr="000C156A" w:rsidRDefault="009D43C3" w:rsidP="009D43C3">
      <w:pPr>
        <w:ind w:firstLineChars="200" w:firstLine="480"/>
        <w:rPr>
          <w:lang w:eastAsia="zh-CN"/>
        </w:rPr>
      </w:pPr>
      <w:r w:rsidRPr="000C156A">
        <w:rPr>
          <w:rFonts w:hint="eastAsia"/>
          <w:lang w:eastAsia="zh-CN"/>
        </w:rPr>
        <w:t>国际电联设立了储备金账目，接收完成项目的余额。该储备金用来为新的项目或区域性举措提供资金，同时弥补某些亏损项目。</w:t>
      </w:r>
    </w:p>
    <w:p w14:paraId="02F39276" w14:textId="77777777" w:rsidR="009D43C3" w:rsidRPr="000C156A" w:rsidRDefault="009D43C3" w:rsidP="00141BAA">
      <w:pPr>
        <w:pStyle w:val="Heading5"/>
        <w:rPr>
          <w:rFonts w:cs="Microsoft YaHei"/>
          <w:b w:val="0"/>
          <w:i/>
          <w:u w:val="single"/>
          <w:lang w:eastAsia="zh-CN"/>
        </w:rPr>
      </w:pPr>
      <w:bookmarkStart w:id="459" w:name="_Toc305426934"/>
      <w:bookmarkStart w:id="460" w:name="_Toc482892559"/>
      <w:bookmarkStart w:id="461" w:name="_Toc41905861"/>
      <w:bookmarkStart w:id="462" w:name="_Toc73518677"/>
      <w:bookmarkStart w:id="463" w:name="_Toc73518824"/>
      <w:bookmarkStart w:id="464" w:name="_Toc73519224"/>
      <w:bookmarkStart w:id="465" w:name="_Toc73636261"/>
      <w:bookmarkEnd w:id="446"/>
      <w:bookmarkEnd w:id="447"/>
      <w:r w:rsidRPr="000C156A">
        <w:rPr>
          <w:rFonts w:cs="Microsoft YaHei" w:hint="eastAsia"/>
          <w:u w:val="single"/>
          <w:lang w:val="fr-FR" w:eastAsia="zh-CN"/>
        </w:rPr>
        <w:t>收入的确</w:t>
      </w:r>
      <w:bookmarkEnd w:id="459"/>
      <w:r w:rsidRPr="000C156A">
        <w:rPr>
          <w:rFonts w:cs="Microsoft YaHei" w:hint="eastAsia"/>
          <w:u w:val="single"/>
          <w:lang w:val="fr-FR" w:eastAsia="zh-CN"/>
        </w:rPr>
        <w:t>认</w:t>
      </w:r>
      <w:bookmarkEnd w:id="460"/>
      <w:bookmarkEnd w:id="461"/>
      <w:bookmarkEnd w:id="462"/>
      <w:bookmarkEnd w:id="463"/>
      <w:bookmarkEnd w:id="464"/>
      <w:bookmarkEnd w:id="465"/>
    </w:p>
    <w:p w14:paraId="55465B42" w14:textId="77777777" w:rsidR="009D43C3" w:rsidRPr="000C156A" w:rsidRDefault="009D43C3" w:rsidP="009D43C3">
      <w:pPr>
        <w:ind w:firstLineChars="200" w:firstLine="480"/>
        <w:rPr>
          <w:lang w:eastAsia="zh-CN"/>
        </w:rPr>
      </w:pPr>
      <w:r w:rsidRPr="000C156A">
        <w:rPr>
          <w:rFonts w:hint="eastAsia"/>
          <w:lang w:eastAsia="zh-CN"/>
        </w:rPr>
        <w:t>财务报表是在应计合算的基础上制定的，其收入在每个成员会费缴纳期之初（正常预算）或缴费得到书面确认（自愿捐款）后得到认可。</w:t>
      </w:r>
    </w:p>
    <w:p w14:paraId="0727DB22" w14:textId="77777777" w:rsidR="009D43C3" w:rsidRPr="000C156A" w:rsidRDefault="009D43C3" w:rsidP="009D43C3">
      <w:pPr>
        <w:ind w:firstLineChars="200" w:firstLine="480"/>
        <w:rPr>
          <w:lang w:eastAsia="zh-CN"/>
        </w:rPr>
      </w:pPr>
      <w:r w:rsidRPr="000C156A">
        <w:rPr>
          <w:rFonts w:hint="eastAsia"/>
          <w:lang w:eastAsia="zh-CN"/>
        </w:rPr>
        <w:t>收入包括分摊会费、自愿捐赠和其它收回的收入。</w:t>
      </w:r>
    </w:p>
    <w:p w14:paraId="1F0E5DE7" w14:textId="77777777" w:rsidR="009D43C3" w:rsidRPr="000C156A" w:rsidRDefault="009D43C3" w:rsidP="009D43C3">
      <w:pPr>
        <w:ind w:firstLineChars="200" w:firstLine="480"/>
        <w:rPr>
          <w:lang w:eastAsia="zh-CN"/>
        </w:rPr>
      </w:pPr>
      <w:r w:rsidRPr="000C156A">
        <w:rPr>
          <w:rFonts w:hint="eastAsia"/>
          <w:u w:val="single"/>
          <w:lang w:eastAsia="zh-CN"/>
        </w:rPr>
        <w:t>分摊会费</w:t>
      </w:r>
      <w:r w:rsidRPr="000C156A">
        <w:rPr>
          <w:rFonts w:hint="eastAsia"/>
          <w:lang w:eastAsia="zh-CN"/>
        </w:rPr>
        <w:t>：主要指各成员国、部门成员和部门准成员缴纳的会费。全权代表大会规定将会费单位上限，作为计算国际电联在大会后四年内双年度预算收入的基础。按照国际电联《组织法》相关规定，成员国和部门成员自由选择为摊付国际电联费用而缴纳的会费等级，同时根据加入或被接纳的年份，自加入或被接纳之月份的第一日缴纳计算得出的会费。该收入用来实施国际电联按照全权代表大会确定的各项活动。</w:t>
      </w:r>
    </w:p>
    <w:p w14:paraId="05352364" w14:textId="77777777" w:rsidR="009D43C3" w:rsidRPr="000C156A" w:rsidRDefault="009D43C3" w:rsidP="009D43C3">
      <w:pPr>
        <w:ind w:firstLineChars="200" w:firstLine="480"/>
        <w:rPr>
          <w:lang w:eastAsia="zh-CN"/>
        </w:rPr>
      </w:pPr>
      <w:r w:rsidRPr="000C156A">
        <w:rPr>
          <w:rFonts w:hint="eastAsia"/>
          <w:u w:val="single"/>
          <w:lang w:eastAsia="zh-CN"/>
        </w:rPr>
        <w:t>其它收回的收入</w:t>
      </w:r>
      <w:r w:rsidRPr="000C156A">
        <w:rPr>
          <w:rFonts w:hint="eastAsia"/>
          <w:lang w:eastAsia="zh-CN"/>
        </w:rPr>
        <w:t>包括国际电联采用成本回收原则的产品和服务，即：</w:t>
      </w:r>
    </w:p>
    <w:p w14:paraId="629B56D8"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国际通用免费电话号码（</w:t>
      </w:r>
      <w:r w:rsidRPr="000C156A">
        <w:rPr>
          <w:lang w:eastAsia="zh-CN"/>
        </w:rPr>
        <w:t>UIFN</w:t>
      </w:r>
      <w:r w:rsidRPr="000C156A">
        <w:rPr>
          <w:rFonts w:hint="eastAsia"/>
          <w:lang w:eastAsia="zh-CN"/>
        </w:rPr>
        <w:t>）的注册；</w:t>
      </w:r>
    </w:p>
    <w:p w14:paraId="7C5F7A0D"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全球卫星个人移动通信系统谅解备忘录（</w:t>
      </w:r>
      <w:r w:rsidRPr="000C156A">
        <w:rPr>
          <w:lang w:eastAsia="zh-CN"/>
        </w:rPr>
        <w:t>GMPCS-MoU</w:t>
      </w:r>
      <w:r w:rsidRPr="000C156A">
        <w:rPr>
          <w:rFonts w:hint="eastAsia"/>
          <w:lang w:eastAsia="zh-CN"/>
        </w:rPr>
        <w:t>）；</w:t>
      </w:r>
    </w:p>
    <w:p w14:paraId="75DA3FE7"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卫星网络申报处理；</w:t>
      </w:r>
    </w:p>
    <w:p w14:paraId="50D2726F"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出版物销售；</w:t>
      </w:r>
    </w:p>
    <w:p w14:paraId="347CED5B"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项目支持收入。</w:t>
      </w:r>
    </w:p>
    <w:p w14:paraId="37AA9E84" w14:textId="77777777" w:rsidR="009D43C3" w:rsidRPr="000C156A" w:rsidRDefault="009D43C3" w:rsidP="009D43C3">
      <w:pPr>
        <w:ind w:firstLineChars="200" w:firstLine="480"/>
        <w:rPr>
          <w:lang w:eastAsia="zh-CN"/>
        </w:rPr>
      </w:pPr>
      <w:r w:rsidRPr="000C156A">
        <w:rPr>
          <w:rFonts w:hint="eastAsia"/>
          <w:lang w:eastAsia="zh-CN"/>
        </w:rPr>
        <w:t>国际电联首先收到用来提供国际通用免费电话号码（</w:t>
      </w:r>
      <w:r w:rsidRPr="000C156A">
        <w:rPr>
          <w:lang w:eastAsia="zh-CN"/>
        </w:rPr>
        <w:t>UIFN</w:t>
      </w:r>
      <w:r w:rsidRPr="000C156A">
        <w:rPr>
          <w:rFonts w:hint="eastAsia"/>
          <w:lang w:eastAsia="zh-CN"/>
        </w:rPr>
        <w:t>）、国际通用加价特种服务号码（</w:t>
      </w:r>
      <w:r w:rsidRPr="000C156A">
        <w:rPr>
          <w:lang w:eastAsia="zh-CN"/>
        </w:rPr>
        <w:t>UIPRN</w:t>
      </w:r>
      <w:r w:rsidRPr="000C156A">
        <w:rPr>
          <w:rFonts w:hint="eastAsia"/>
          <w:lang w:eastAsia="zh-CN"/>
        </w:rPr>
        <w:t>）和国际通用成本分摊号码（</w:t>
      </w:r>
      <w:r w:rsidRPr="000C156A">
        <w:rPr>
          <w:lang w:eastAsia="zh-CN"/>
        </w:rPr>
        <w:t>UISCN</w:t>
      </w:r>
      <w:r w:rsidRPr="000C156A">
        <w:rPr>
          <w:rFonts w:hint="eastAsia"/>
          <w:lang w:eastAsia="zh-CN"/>
        </w:rPr>
        <w:t>）注册服务的前期会费。</w:t>
      </w:r>
    </w:p>
    <w:p w14:paraId="278FFB5B" w14:textId="77777777" w:rsidR="009D43C3" w:rsidRPr="000C156A" w:rsidRDefault="009D43C3" w:rsidP="009D43C3">
      <w:pPr>
        <w:ind w:firstLineChars="200" w:firstLine="480"/>
        <w:rPr>
          <w:lang w:eastAsia="zh-CN"/>
        </w:rPr>
      </w:pPr>
      <w:r w:rsidRPr="000C156A">
        <w:rPr>
          <w:rFonts w:hint="eastAsia"/>
          <w:lang w:eastAsia="zh-CN"/>
        </w:rPr>
        <w:t>要求提供这些服务的各方必须为每个号码向国际电联账户先期缴纳</w:t>
      </w:r>
      <w:r w:rsidRPr="000C156A">
        <w:rPr>
          <w:rFonts w:hint="eastAsia"/>
          <w:lang w:eastAsia="zh-CN"/>
        </w:rPr>
        <w:t>3</w:t>
      </w:r>
      <w:r w:rsidRPr="000C156A">
        <w:rPr>
          <w:lang w:eastAsia="zh-CN"/>
        </w:rPr>
        <w:t>00</w:t>
      </w:r>
      <w:r w:rsidRPr="000C156A">
        <w:rPr>
          <w:rFonts w:hint="eastAsia"/>
          <w:lang w:eastAsia="zh-CN"/>
        </w:rPr>
        <w:t>瑞郎的订金。</w:t>
      </w:r>
      <w:r w:rsidRPr="000C156A">
        <w:rPr>
          <w:color w:val="000000"/>
          <w:lang w:eastAsia="zh-CN"/>
        </w:rPr>
        <w:t>向非</w:t>
      </w:r>
      <w:r w:rsidRPr="000C156A">
        <w:rPr>
          <w:color w:val="000000"/>
          <w:lang w:eastAsia="zh-CN"/>
        </w:rPr>
        <w:t>ITU-T</w:t>
      </w:r>
      <w:r w:rsidRPr="000C156A">
        <w:rPr>
          <w:color w:val="000000"/>
          <w:lang w:eastAsia="zh-CN"/>
        </w:rPr>
        <w:t>和</w:t>
      </w:r>
      <w:r w:rsidRPr="000C156A">
        <w:rPr>
          <w:rFonts w:hint="eastAsia"/>
          <w:color w:val="000000"/>
          <w:lang w:eastAsia="zh-CN"/>
        </w:rPr>
        <w:t>非</w:t>
      </w:r>
      <w:r w:rsidRPr="000C156A">
        <w:rPr>
          <w:color w:val="000000"/>
          <w:lang w:eastAsia="zh-CN"/>
        </w:rPr>
        <w:t>ITU-R</w:t>
      </w:r>
      <w:r w:rsidRPr="000C156A">
        <w:rPr>
          <w:color w:val="000000"/>
          <w:lang w:eastAsia="zh-CN"/>
        </w:rPr>
        <w:t>成员征收</w:t>
      </w:r>
      <w:r w:rsidRPr="000C156A">
        <w:rPr>
          <w:rFonts w:hint="eastAsia"/>
          <w:color w:val="000000"/>
          <w:lang w:eastAsia="zh-CN"/>
        </w:rPr>
        <w:t>每个号码</w:t>
      </w:r>
      <w:r w:rsidRPr="000C156A">
        <w:rPr>
          <w:color w:val="000000"/>
          <w:lang w:eastAsia="zh-CN"/>
        </w:rPr>
        <w:t>100</w:t>
      </w:r>
      <w:r w:rsidRPr="000C156A">
        <w:rPr>
          <w:color w:val="000000"/>
          <w:lang w:eastAsia="zh-CN"/>
        </w:rPr>
        <w:t>瑞</w:t>
      </w:r>
      <w:r w:rsidRPr="000C156A">
        <w:rPr>
          <w:rFonts w:ascii="SimSun" w:hAnsi="SimSun" w:cs="SimSun" w:hint="eastAsia"/>
          <w:color w:val="000000"/>
          <w:lang w:eastAsia="zh-CN"/>
        </w:rPr>
        <w:t>郎的</w:t>
      </w:r>
      <w:r w:rsidRPr="000C156A">
        <w:rPr>
          <w:color w:val="000000"/>
          <w:lang w:eastAsia="zh-CN"/>
        </w:rPr>
        <w:t>维护年费，</w:t>
      </w:r>
      <w:r w:rsidRPr="000C156A">
        <w:rPr>
          <w:rFonts w:hint="eastAsia"/>
          <w:color w:val="000000"/>
          <w:lang w:eastAsia="zh-CN"/>
        </w:rPr>
        <w:t>缴入国际电联账户。</w:t>
      </w:r>
      <w:r w:rsidRPr="000C156A">
        <w:rPr>
          <w:rFonts w:hint="eastAsia"/>
          <w:lang w:eastAsia="zh-CN"/>
        </w:rPr>
        <w:t>在号码使用后，国际电联出具服务发票。在号码使用时，国际电联在账目中确认收入。相应的发票通过客户订金账户结付。每年向所有</w:t>
      </w:r>
      <w:r w:rsidRPr="000C156A">
        <w:rPr>
          <w:color w:val="000000"/>
          <w:lang w:eastAsia="zh-CN"/>
        </w:rPr>
        <w:t>非</w:t>
      </w:r>
      <w:r w:rsidRPr="000C156A">
        <w:rPr>
          <w:color w:val="000000"/>
          <w:lang w:eastAsia="zh-CN"/>
        </w:rPr>
        <w:t>ITU-T</w:t>
      </w:r>
      <w:r w:rsidRPr="000C156A">
        <w:rPr>
          <w:color w:val="000000"/>
          <w:lang w:eastAsia="zh-CN"/>
        </w:rPr>
        <w:t>和</w:t>
      </w:r>
      <w:r w:rsidRPr="000C156A">
        <w:rPr>
          <w:rFonts w:hint="eastAsia"/>
          <w:color w:val="000000"/>
          <w:lang w:eastAsia="zh-CN"/>
        </w:rPr>
        <w:t>非</w:t>
      </w:r>
      <w:r w:rsidRPr="000C156A">
        <w:rPr>
          <w:color w:val="000000"/>
          <w:lang w:eastAsia="zh-CN"/>
        </w:rPr>
        <w:t>ITU-R</w:t>
      </w:r>
      <w:r w:rsidRPr="000C156A">
        <w:rPr>
          <w:color w:val="000000"/>
          <w:lang w:eastAsia="zh-CN"/>
        </w:rPr>
        <w:t>成员</w:t>
      </w:r>
      <w:r w:rsidRPr="000C156A">
        <w:rPr>
          <w:rFonts w:hint="eastAsia"/>
          <w:color w:val="000000"/>
          <w:lang w:eastAsia="zh-CN"/>
        </w:rPr>
        <w:t>寄发所有在用号码的维护年费发票。</w:t>
      </w:r>
    </w:p>
    <w:p w14:paraId="59AA9DE3" w14:textId="77777777" w:rsidR="009D43C3" w:rsidRPr="000C156A" w:rsidRDefault="009D43C3" w:rsidP="009D43C3">
      <w:pPr>
        <w:ind w:firstLineChars="200" w:firstLine="480"/>
        <w:rPr>
          <w:lang w:eastAsia="zh-CN"/>
        </w:rPr>
      </w:pPr>
      <w:r w:rsidRPr="000C156A">
        <w:rPr>
          <w:rFonts w:hint="eastAsia"/>
          <w:lang w:eastAsia="zh-CN"/>
        </w:rPr>
        <w:t>自愿捐赠在与捐赠方达成协议后得到确认。收到的有关未来财务期的捐赠确认为递延收入。在结账日尚未使用的自愿捐赠余额确认在第三方资金下。其它有关未来财务期的收入确认在递延收入下。</w:t>
      </w:r>
    </w:p>
    <w:p w14:paraId="0177E06A" w14:textId="77777777" w:rsidR="009D43C3" w:rsidRPr="000C156A" w:rsidRDefault="009D43C3" w:rsidP="009D43C3">
      <w:pPr>
        <w:ind w:firstLineChars="200" w:firstLine="480"/>
        <w:rPr>
          <w:lang w:eastAsia="zh-CN"/>
        </w:rPr>
      </w:pPr>
      <w:r w:rsidRPr="000C156A">
        <w:rPr>
          <w:rFonts w:hint="eastAsia"/>
          <w:lang w:eastAsia="zh-CN"/>
        </w:rPr>
        <w:t>出版物销售收入在出版物发货时确认，涉及获取国际电联统计数据和电子数据的服务销售收入在数据可获取时确认。</w:t>
      </w:r>
    </w:p>
    <w:p w14:paraId="6EE8F8E7" w14:textId="77777777" w:rsidR="009D43C3" w:rsidRPr="000C156A" w:rsidRDefault="009D43C3" w:rsidP="009D43C3">
      <w:pPr>
        <w:pStyle w:val="Heading5"/>
        <w:rPr>
          <w:rFonts w:cs="Microsoft YaHei"/>
          <w:b w:val="0"/>
          <w:i/>
          <w:u w:val="single"/>
          <w:lang w:eastAsia="zh-CN"/>
        </w:rPr>
      </w:pPr>
      <w:bookmarkStart w:id="466" w:name="_Toc482892560"/>
      <w:bookmarkStart w:id="467" w:name="_Toc41905862"/>
      <w:bookmarkStart w:id="468" w:name="_Toc73636262"/>
      <w:r w:rsidRPr="000C156A">
        <w:rPr>
          <w:rFonts w:cs="Microsoft YaHei" w:hint="eastAsia"/>
          <w:u w:val="single"/>
          <w:lang w:val="fr-FR" w:eastAsia="zh-CN"/>
        </w:rPr>
        <w:t>分部门报告</w:t>
      </w:r>
      <w:bookmarkEnd w:id="466"/>
      <w:bookmarkEnd w:id="467"/>
      <w:bookmarkEnd w:id="468"/>
    </w:p>
    <w:p w14:paraId="7AA1B12C" w14:textId="77777777" w:rsidR="009D43C3" w:rsidRPr="000C156A" w:rsidRDefault="009D43C3" w:rsidP="009D43C3">
      <w:pPr>
        <w:ind w:firstLineChars="200" w:firstLine="480"/>
        <w:rPr>
          <w:lang w:eastAsia="zh-CN"/>
        </w:rPr>
      </w:pPr>
      <w:r w:rsidRPr="000C156A">
        <w:rPr>
          <w:rFonts w:hint="eastAsia"/>
          <w:lang w:eastAsia="zh-CN"/>
        </w:rPr>
        <w:t>分部门报告以国际电联的主要活动和资金来源为基础，采用向财务主任报告财务信息的结构。有关部分反映出国际电联</w:t>
      </w:r>
      <w:r w:rsidRPr="000C156A">
        <w:rPr>
          <w:lang w:eastAsia="zh-CN"/>
        </w:rPr>
        <w:t>2019</w:t>
      </w:r>
      <w:r w:rsidRPr="000C156A">
        <w:rPr>
          <w:rFonts w:hint="eastAsia"/>
          <w:lang w:eastAsia="zh-CN"/>
        </w:rPr>
        <w:t>-2020</w:t>
      </w:r>
      <w:r w:rsidRPr="000C156A">
        <w:rPr>
          <w:rFonts w:hint="eastAsia"/>
          <w:lang w:eastAsia="zh-CN"/>
        </w:rPr>
        <w:t>年的工作计划：</w:t>
      </w:r>
    </w:p>
    <w:p w14:paraId="2816E916" w14:textId="77777777" w:rsidR="009D43C3" w:rsidRPr="000C156A" w:rsidRDefault="009D43C3" w:rsidP="009D43C3">
      <w:pPr>
        <w:pStyle w:val="enumlev1"/>
        <w:rPr>
          <w:lang w:eastAsia="zh-CN"/>
        </w:rPr>
      </w:pPr>
      <w:r w:rsidRPr="000C156A">
        <w:rPr>
          <w:lang w:eastAsia="zh-CN"/>
        </w:rPr>
        <w:lastRenderedPageBreak/>
        <w:t>–</w:t>
      </w:r>
      <w:r w:rsidRPr="000C156A">
        <w:rPr>
          <w:lang w:eastAsia="zh-CN"/>
        </w:rPr>
        <w:tab/>
      </w:r>
      <w:r w:rsidRPr="000C156A">
        <w:rPr>
          <w:rFonts w:hint="eastAsia"/>
          <w:lang w:eastAsia="zh-CN"/>
        </w:rPr>
        <w:t>总秘书处；</w:t>
      </w:r>
    </w:p>
    <w:p w14:paraId="11F8AD76"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无线电通信部门（</w:t>
      </w:r>
      <w:r w:rsidRPr="000C156A">
        <w:rPr>
          <w:lang w:eastAsia="zh-CN"/>
        </w:rPr>
        <w:t>ITU-R</w:t>
      </w:r>
      <w:r w:rsidRPr="000C156A">
        <w:rPr>
          <w:rFonts w:hint="eastAsia"/>
          <w:lang w:eastAsia="zh-CN"/>
        </w:rPr>
        <w:t>）：国际资源（即，无线电频谱和卫星轨道）的管理；</w:t>
      </w:r>
    </w:p>
    <w:p w14:paraId="0C2351C0"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电信标准化部门（</w:t>
      </w:r>
      <w:r w:rsidRPr="000C156A">
        <w:rPr>
          <w:lang w:eastAsia="zh-CN"/>
        </w:rPr>
        <w:t>ITU-T</w:t>
      </w:r>
      <w:r w:rsidRPr="000C156A">
        <w:rPr>
          <w:rFonts w:hint="eastAsia"/>
          <w:lang w:eastAsia="zh-CN"/>
        </w:rPr>
        <w:t>）：制定统一的工作方法并确定满足市场需求的灵活的合作机制；</w:t>
      </w:r>
    </w:p>
    <w:p w14:paraId="4203E9F9"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电信发展部门（</w:t>
      </w:r>
      <w:r w:rsidRPr="000C156A">
        <w:rPr>
          <w:lang w:eastAsia="zh-CN"/>
        </w:rPr>
        <w:t>ITU-D</w:t>
      </w:r>
      <w:r w:rsidRPr="000C156A">
        <w:rPr>
          <w:rFonts w:hint="eastAsia"/>
          <w:lang w:eastAsia="zh-CN"/>
        </w:rPr>
        <w:t>）：在价格可承受的条件下，提供对信息通信技术公平和可持续的获取；</w:t>
      </w:r>
    </w:p>
    <w:p w14:paraId="2B33CA47"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代表</w:t>
      </w:r>
      <w:r w:rsidRPr="000C156A">
        <w:rPr>
          <w:rFonts w:hint="eastAsia"/>
          <w:color w:val="000000"/>
          <w:lang w:eastAsia="zh-CN"/>
        </w:rPr>
        <w:t>新</w:t>
      </w:r>
      <w:r w:rsidRPr="000C156A">
        <w:rPr>
          <w:color w:val="000000"/>
          <w:lang w:eastAsia="zh-CN"/>
        </w:rPr>
        <w:t>总部办公场</w:t>
      </w:r>
      <w:r w:rsidRPr="000C156A">
        <w:rPr>
          <w:rFonts w:ascii="SimSun" w:hAnsi="SimSun" w:cs="SimSun" w:hint="eastAsia"/>
          <w:color w:val="000000"/>
          <w:lang w:eastAsia="zh-CN"/>
        </w:rPr>
        <w:t>所建设</w:t>
      </w:r>
      <w:r w:rsidRPr="000C156A">
        <w:rPr>
          <w:rFonts w:hint="eastAsia"/>
          <w:color w:val="000000"/>
          <w:lang w:eastAsia="zh-CN"/>
        </w:rPr>
        <w:t>项目的</w:t>
      </w:r>
      <w:r w:rsidRPr="000C156A">
        <w:rPr>
          <w:rFonts w:hint="eastAsia"/>
          <w:lang w:eastAsia="zh-CN"/>
        </w:rPr>
        <w:t>新办公楼基金；</w:t>
      </w:r>
    </w:p>
    <w:p w14:paraId="7CE3D0F1"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综合了公积金和援助基金的</w:t>
      </w:r>
      <w:r w:rsidRPr="000C156A">
        <w:rPr>
          <w:color w:val="000000"/>
          <w:lang w:eastAsia="zh-CN"/>
        </w:rPr>
        <w:t>旧养恤基</w:t>
      </w:r>
      <w:r w:rsidRPr="000C156A">
        <w:rPr>
          <w:rFonts w:ascii="SimSun" w:hAnsi="SimSun" w:cs="SimSun" w:hint="eastAsia"/>
          <w:color w:val="000000"/>
          <w:lang w:eastAsia="zh-CN"/>
        </w:rPr>
        <w:t>金；</w:t>
      </w:r>
    </w:p>
    <w:p w14:paraId="4AD3B4DF"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项目：</w:t>
      </w:r>
      <w:r w:rsidRPr="000C156A">
        <w:rPr>
          <w:lang w:eastAsia="zh-CN"/>
        </w:rPr>
        <w:t>UNDP</w:t>
      </w:r>
      <w:r w:rsidRPr="000C156A">
        <w:rPr>
          <w:rFonts w:hint="eastAsia"/>
          <w:lang w:eastAsia="zh-CN"/>
        </w:rPr>
        <w:t>基金、信托基金、</w:t>
      </w:r>
      <w:r w:rsidRPr="000C156A">
        <w:rPr>
          <w:lang w:eastAsia="zh-CN"/>
        </w:rPr>
        <w:t>ICT</w:t>
      </w:r>
      <w:r w:rsidRPr="000C156A">
        <w:rPr>
          <w:rFonts w:hint="eastAsia"/>
          <w:lang w:eastAsia="zh-CN"/>
        </w:rPr>
        <w:t>发展基金和自愿捐赠；</w:t>
      </w:r>
    </w:p>
    <w:p w14:paraId="36CEAAA6"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国际电联电信展览部。</w:t>
      </w:r>
    </w:p>
    <w:p w14:paraId="317581C4" w14:textId="77777777" w:rsidR="009D43C3" w:rsidRPr="000C156A" w:rsidRDefault="009D43C3" w:rsidP="009D43C3">
      <w:pPr>
        <w:ind w:firstLineChars="200" w:firstLine="480"/>
        <w:rPr>
          <w:lang w:eastAsia="zh-CN"/>
        </w:rPr>
      </w:pPr>
      <w:r w:rsidRPr="000C156A">
        <w:rPr>
          <w:rFonts w:hint="eastAsia"/>
          <w:lang w:eastAsia="zh-CN"/>
        </w:rPr>
        <w:t>根据国际电联活动的性质，国际电联的有形和无形固定资产由各部门联合使用，但不由各部门单独管理。代表国际电联净资产以外的资产和负债属该组织所有或负责，不构成各组成部分的资产和负债。预算外资金没有任何固定资产。资产和负债代表国际电联各组成部分大量共同参与的活动。资产和负债在不同部门之间的分配不可避免地具任意性和不一致性。因此，这种做法违背</w:t>
      </w:r>
      <w:r w:rsidRPr="000C156A">
        <w:rPr>
          <w:lang w:eastAsia="zh-CN"/>
        </w:rPr>
        <w:t>IPSAS</w:t>
      </w:r>
      <w:r w:rsidRPr="000C156A">
        <w:rPr>
          <w:rFonts w:hint="eastAsia"/>
          <w:lang w:eastAsia="zh-CN"/>
        </w:rPr>
        <w:t>第</w:t>
      </w:r>
      <w:r w:rsidRPr="000C156A">
        <w:rPr>
          <w:lang w:eastAsia="zh-CN"/>
        </w:rPr>
        <w:t>18</w:t>
      </w:r>
      <w:r w:rsidRPr="000C156A">
        <w:rPr>
          <w:rFonts w:hint="eastAsia"/>
          <w:lang w:eastAsia="zh-CN"/>
        </w:rPr>
        <w:t>号要求的原则。基于该原因，将不对单独的资产和债务进行分部处理。</w:t>
      </w:r>
    </w:p>
    <w:p w14:paraId="03FFFF6B" w14:textId="77777777" w:rsidR="009D43C3" w:rsidRPr="000C156A" w:rsidRDefault="009D43C3" w:rsidP="009D43C3">
      <w:pPr>
        <w:pStyle w:val="Heading5"/>
        <w:rPr>
          <w:i/>
          <w:u w:val="single"/>
          <w:lang w:eastAsia="zh-CN"/>
        </w:rPr>
      </w:pPr>
      <w:bookmarkStart w:id="469" w:name="_Toc482892561"/>
      <w:bookmarkStart w:id="470" w:name="_Toc305426935"/>
      <w:bookmarkStart w:id="471" w:name="_Toc41905863"/>
      <w:bookmarkStart w:id="472" w:name="_Toc73636263"/>
      <w:r w:rsidRPr="000C156A">
        <w:rPr>
          <w:rFonts w:cs="Microsoft YaHei" w:hint="eastAsia"/>
          <w:u w:val="single"/>
          <w:lang w:val="fr-FR" w:eastAsia="zh-CN"/>
        </w:rPr>
        <w:t>预算比较</w:t>
      </w:r>
      <w:bookmarkEnd w:id="469"/>
      <w:bookmarkEnd w:id="470"/>
      <w:bookmarkEnd w:id="471"/>
      <w:bookmarkEnd w:id="472"/>
    </w:p>
    <w:p w14:paraId="0EF65CBA" w14:textId="77777777" w:rsidR="009D43C3" w:rsidRPr="000C156A" w:rsidRDefault="009D43C3" w:rsidP="009D43C3">
      <w:pPr>
        <w:ind w:firstLineChars="200" w:firstLine="480"/>
        <w:rPr>
          <w:lang w:eastAsia="zh-CN"/>
        </w:rPr>
      </w:pPr>
      <w:r w:rsidRPr="000C156A">
        <w:rPr>
          <w:rFonts w:hint="eastAsia"/>
          <w:lang w:eastAsia="zh-CN"/>
        </w:rPr>
        <w:t>国际电联</w:t>
      </w:r>
      <w:r w:rsidRPr="000C156A">
        <w:rPr>
          <w:rFonts w:hint="eastAsia"/>
          <w:lang w:eastAsia="zh-CN"/>
        </w:rPr>
        <w:t>2020-2021</w:t>
      </w:r>
      <w:r w:rsidRPr="000C156A">
        <w:rPr>
          <w:rFonts w:hint="eastAsia"/>
          <w:lang w:eastAsia="zh-CN"/>
        </w:rPr>
        <w:t>年预算以题为“国际电联</w:t>
      </w:r>
      <w:r w:rsidRPr="000C156A">
        <w:rPr>
          <w:rFonts w:hint="eastAsia"/>
          <w:lang w:eastAsia="zh-CN"/>
        </w:rPr>
        <w:t>2020-2023</w:t>
      </w:r>
      <w:r w:rsidRPr="000C156A">
        <w:rPr>
          <w:rFonts w:hint="eastAsia"/>
          <w:lang w:eastAsia="zh-CN"/>
        </w:rPr>
        <w:t>年阶段的收入和支出”的第</w:t>
      </w:r>
      <w:r w:rsidRPr="000C156A">
        <w:rPr>
          <w:lang w:eastAsia="zh-CN"/>
        </w:rPr>
        <w:t>5</w:t>
      </w:r>
      <w:r w:rsidRPr="000C156A">
        <w:rPr>
          <w:rFonts w:hint="eastAsia"/>
          <w:lang w:eastAsia="zh-CN"/>
        </w:rPr>
        <w:t>号决定（</w:t>
      </w:r>
      <w:r w:rsidRPr="000C156A">
        <w:rPr>
          <w:lang w:eastAsia="zh-CN"/>
        </w:rPr>
        <w:t>2018</w:t>
      </w:r>
      <w:r w:rsidRPr="000C156A">
        <w:rPr>
          <w:rFonts w:hint="eastAsia"/>
          <w:lang w:eastAsia="zh-CN"/>
        </w:rPr>
        <w:t>年，迪拜，修订版）和全权代表大会第</w:t>
      </w:r>
      <w:r w:rsidRPr="000C156A">
        <w:rPr>
          <w:lang w:eastAsia="zh-CN"/>
        </w:rPr>
        <w:t>71</w:t>
      </w:r>
      <w:r w:rsidRPr="000C156A">
        <w:rPr>
          <w:rFonts w:hint="eastAsia"/>
          <w:lang w:eastAsia="zh-CN"/>
        </w:rPr>
        <w:t>号决议（</w:t>
      </w:r>
      <w:r w:rsidRPr="000C156A">
        <w:rPr>
          <w:lang w:eastAsia="zh-CN"/>
        </w:rPr>
        <w:t>2018</w:t>
      </w:r>
      <w:r w:rsidRPr="000C156A">
        <w:rPr>
          <w:rFonts w:hint="eastAsia"/>
          <w:lang w:eastAsia="zh-CN"/>
        </w:rPr>
        <w:t>年，迪拜，修订版）确定的国际电联</w:t>
      </w:r>
      <w:r w:rsidRPr="000C156A">
        <w:rPr>
          <w:rFonts w:hint="eastAsia"/>
          <w:lang w:eastAsia="zh-CN"/>
        </w:rPr>
        <w:t>2020-2023</w:t>
      </w:r>
      <w:r w:rsidRPr="000C156A">
        <w:rPr>
          <w:rFonts w:hint="eastAsia"/>
          <w:lang w:eastAsia="zh-CN"/>
        </w:rPr>
        <w:t>年战略规划为基础。</w:t>
      </w:r>
    </w:p>
    <w:p w14:paraId="1C500F88" w14:textId="77777777" w:rsidR="009D43C3" w:rsidRPr="000C156A" w:rsidRDefault="009D43C3" w:rsidP="009D43C3">
      <w:pPr>
        <w:ind w:firstLineChars="200" w:firstLine="480"/>
        <w:rPr>
          <w:lang w:eastAsia="zh-CN"/>
        </w:rPr>
      </w:pPr>
      <w:r w:rsidRPr="000C156A">
        <w:rPr>
          <w:rFonts w:hint="eastAsia"/>
          <w:lang w:eastAsia="zh-CN"/>
        </w:rPr>
        <w:t>此外，项目预算已经过与各部门和总秘书处的运作规划的协调。</w:t>
      </w:r>
    </w:p>
    <w:p w14:paraId="4670A494" w14:textId="77777777" w:rsidR="009D43C3" w:rsidRPr="000C156A" w:rsidRDefault="009D43C3" w:rsidP="009D43C3">
      <w:pPr>
        <w:ind w:firstLineChars="200" w:firstLine="480"/>
        <w:rPr>
          <w:lang w:eastAsia="zh-CN"/>
        </w:rPr>
      </w:pPr>
      <w:r w:rsidRPr="000C156A">
        <w:rPr>
          <w:rFonts w:hint="eastAsia"/>
          <w:lang w:eastAsia="zh-CN"/>
        </w:rPr>
        <w:t>根据</w:t>
      </w:r>
      <w:r w:rsidRPr="000C156A">
        <w:rPr>
          <w:lang w:eastAsia="zh-CN"/>
        </w:rPr>
        <w:t>IPSAS</w:t>
      </w:r>
      <w:r w:rsidRPr="000C156A">
        <w:rPr>
          <w:rFonts w:hint="eastAsia"/>
          <w:lang w:eastAsia="zh-CN"/>
        </w:rPr>
        <w:t>第</w:t>
      </w:r>
      <w:r w:rsidRPr="000C156A">
        <w:rPr>
          <w:lang w:eastAsia="zh-CN"/>
        </w:rPr>
        <w:t>24</w:t>
      </w:r>
      <w:r w:rsidRPr="000C156A">
        <w:rPr>
          <w:rFonts w:hint="eastAsia"/>
          <w:lang w:eastAsia="zh-CN"/>
        </w:rPr>
        <w:t>号要求，年度财务报表中必须包括预算金额与实际发生金额的比较。国际电联</w:t>
      </w:r>
      <w:r w:rsidRPr="000C156A">
        <w:rPr>
          <w:rFonts w:hint="eastAsia"/>
          <w:lang w:eastAsia="zh-CN"/>
        </w:rPr>
        <w:t>2020-2021</w:t>
      </w:r>
      <w:r w:rsidRPr="000C156A">
        <w:rPr>
          <w:rFonts w:hint="eastAsia"/>
          <w:lang w:eastAsia="zh-CN"/>
        </w:rPr>
        <w:t>年预算草案包括两个年度预算。各财年均有预算估算。</w:t>
      </w:r>
    </w:p>
    <w:p w14:paraId="6A66A93D" w14:textId="77777777" w:rsidR="009D43C3" w:rsidRPr="000C156A" w:rsidRDefault="009D43C3" w:rsidP="009D43C3">
      <w:pPr>
        <w:ind w:firstLineChars="200" w:firstLine="480"/>
        <w:rPr>
          <w:lang w:eastAsia="zh-CN"/>
        </w:rPr>
      </w:pPr>
      <w:r w:rsidRPr="000C156A">
        <w:rPr>
          <w:rFonts w:hint="eastAsia"/>
          <w:lang w:eastAsia="zh-CN"/>
        </w:rPr>
        <w:t>2020</w:t>
      </w:r>
      <w:r w:rsidRPr="000C156A">
        <w:rPr>
          <w:rFonts w:hint="eastAsia"/>
          <w:lang w:eastAsia="zh-CN"/>
        </w:rPr>
        <w:t>年最终预算得到理事会</w:t>
      </w:r>
      <w:r w:rsidRPr="000C156A">
        <w:rPr>
          <w:rFonts w:hint="eastAsia"/>
          <w:lang w:eastAsia="zh-CN"/>
        </w:rPr>
        <w:t>2019</w:t>
      </w:r>
      <w:r w:rsidRPr="000C156A">
        <w:rPr>
          <w:rFonts w:hint="eastAsia"/>
          <w:lang w:eastAsia="zh-CN"/>
        </w:rPr>
        <w:t>年会议第</w:t>
      </w:r>
      <w:r w:rsidRPr="000C156A">
        <w:rPr>
          <w:rFonts w:hint="eastAsia"/>
          <w:lang w:eastAsia="zh-CN"/>
        </w:rPr>
        <w:t>1396</w:t>
      </w:r>
      <w:r w:rsidRPr="000C156A">
        <w:rPr>
          <w:rFonts w:hint="eastAsia"/>
          <w:lang w:eastAsia="zh-CN"/>
        </w:rPr>
        <w:t>号决议的批准。报表五包含最终预算和实际金额的比较。由于预算和财务报表不是在相同基础上编制的，报表五包含预算金额和报表二（财务业绩报表）金额的调节。周边差额体现出在国际电联财务报表中加入的预算外资金。</w:t>
      </w:r>
    </w:p>
    <w:p w14:paraId="7F778371" w14:textId="77777777" w:rsidR="009D43C3" w:rsidRPr="000C156A" w:rsidRDefault="009D43C3" w:rsidP="009D43C3">
      <w:pPr>
        <w:pStyle w:val="Heading1"/>
        <w:spacing w:before="240"/>
        <w:rPr>
          <w:sz w:val="24"/>
          <w:szCs w:val="24"/>
          <w:lang w:eastAsia="zh-CN"/>
        </w:rPr>
      </w:pPr>
      <w:bookmarkStart w:id="473" w:name="_Toc482892562"/>
      <w:bookmarkStart w:id="474" w:name="_Toc482870827"/>
      <w:bookmarkStart w:id="475" w:name="_Toc329165779"/>
      <w:bookmarkStart w:id="476" w:name="_Toc305426936"/>
      <w:bookmarkStart w:id="477" w:name="_Toc511813745"/>
      <w:bookmarkStart w:id="478" w:name="_Toc511817828"/>
      <w:bookmarkStart w:id="479" w:name="_Toc520280728"/>
      <w:bookmarkStart w:id="480" w:name="_Toc10536823"/>
      <w:bookmarkStart w:id="481" w:name="_Toc41905864"/>
      <w:bookmarkStart w:id="482" w:name="_Toc41906893"/>
      <w:bookmarkStart w:id="483" w:name="_Toc41907974"/>
      <w:bookmarkStart w:id="484" w:name="_Toc41908042"/>
      <w:bookmarkStart w:id="485" w:name="_Toc73518678"/>
      <w:bookmarkStart w:id="486" w:name="_Toc73518825"/>
      <w:bookmarkStart w:id="487" w:name="_Toc73519225"/>
      <w:bookmarkStart w:id="488" w:name="_Toc73636264"/>
      <w:r w:rsidRPr="000C156A">
        <w:rPr>
          <w:rFonts w:cs="Microsoft YaHei" w:hint="eastAsia"/>
          <w:sz w:val="24"/>
          <w:szCs w:val="24"/>
          <w:lang w:val="fr-FR" w:eastAsia="zh-CN"/>
        </w:rPr>
        <w:t>说明</w:t>
      </w:r>
      <w:r w:rsidRPr="000C156A">
        <w:rPr>
          <w:sz w:val="24"/>
          <w:szCs w:val="24"/>
          <w:lang w:eastAsia="zh-CN"/>
        </w:rPr>
        <w:t>3</w:t>
      </w:r>
      <w:r w:rsidRPr="000C156A">
        <w:rPr>
          <w:sz w:val="24"/>
          <w:szCs w:val="24"/>
          <w:lang w:eastAsia="zh-CN"/>
        </w:rPr>
        <w:tab/>
      </w:r>
      <w:r w:rsidRPr="000C156A">
        <w:rPr>
          <w:rFonts w:cs="Microsoft YaHei" w:hint="eastAsia"/>
          <w:sz w:val="24"/>
          <w:szCs w:val="24"/>
          <w:lang w:val="fr-FR" w:eastAsia="zh-CN"/>
        </w:rPr>
        <w:t>净资产的管理</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26FA70AD" w14:textId="77777777" w:rsidR="009D43C3" w:rsidRPr="000C156A" w:rsidRDefault="009D43C3" w:rsidP="009D43C3">
      <w:pPr>
        <w:ind w:firstLineChars="200" w:firstLine="480"/>
        <w:rPr>
          <w:lang w:eastAsia="zh-CN"/>
        </w:rPr>
      </w:pPr>
      <w:r w:rsidRPr="000C156A">
        <w:rPr>
          <w:rFonts w:hint="eastAsia"/>
          <w:lang w:eastAsia="zh-CN"/>
        </w:rPr>
        <w:t>国际电联的净资产包括划拨给该组织或为项目预留的自有资金以及为项目预留的未划拨的自有资金。</w:t>
      </w:r>
    </w:p>
    <w:p w14:paraId="70C1629A" w14:textId="206E6F01" w:rsidR="009D43C3" w:rsidRPr="000C156A" w:rsidRDefault="009D43C3" w:rsidP="009D43C3">
      <w:pPr>
        <w:ind w:firstLineChars="200" w:firstLine="480"/>
        <w:rPr>
          <w:lang w:eastAsia="zh-CN"/>
        </w:rPr>
      </w:pPr>
      <w:bookmarkStart w:id="489" w:name="_Toc305594746"/>
      <w:bookmarkStart w:id="490" w:name="_Toc329165787"/>
      <w:r w:rsidRPr="000C156A">
        <w:rPr>
          <w:rFonts w:hint="eastAsia"/>
          <w:lang w:eastAsia="zh-CN"/>
        </w:rPr>
        <w:t>截至</w:t>
      </w:r>
      <w:r w:rsidRPr="000C156A">
        <w:rPr>
          <w:rFonts w:hint="eastAsia"/>
          <w:lang w:eastAsia="zh-CN"/>
        </w:rPr>
        <w:t>2020</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日，储备金账目的资产为</w:t>
      </w:r>
      <w:r w:rsidRPr="000C156A">
        <w:rPr>
          <w:rFonts w:hint="eastAsia"/>
          <w:lang w:val="en-US" w:eastAsia="zh-CN"/>
        </w:rPr>
        <w:t>2</w:t>
      </w:r>
      <w:r w:rsidRPr="000C156A">
        <w:rPr>
          <w:lang w:val="en-US" w:eastAsia="zh-CN"/>
        </w:rPr>
        <w:t xml:space="preserve"> </w:t>
      </w:r>
      <w:r w:rsidRPr="000C156A">
        <w:rPr>
          <w:rFonts w:hint="eastAsia"/>
          <w:lang w:val="en-US" w:eastAsia="zh-CN"/>
        </w:rPr>
        <w:t>580</w:t>
      </w:r>
      <w:r w:rsidRPr="000C156A">
        <w:rPr>
          <w:rFonts w:hint="eastAsia"/>
          <w:lang w:val="en-US" w:eastAsia="zh-CN"/>
        </w:rPr>
        <w:t>万瑞郎</w:t>
      </w:r>
      <w:r w:rsidRPr="000C156A">
        <w:rPr>
          <w:rFonts w:hint="eastAsia"/>
          <w:lang w:eastAsia="zh-CN"/>
        </w:rPr>
        <w:t>。储备金账目资产相当于</w:t>
      </w:r>
      <w:r w:rsidRPr="000C156A">
        <w:rPr>
          <w:rFonts w:hint="eastAsia"/>
          <w:lang w:eastAsia="zh-CN"/>
        </w:rPr>
        <w:t>2020</w:t>
      </w:r>
      <w:r w:rsidRPr="000C156A">
        <w:rPr>
          <w:rFonts w:hint="eastAsia"/>
          <w:lang w:eastAsia="zh-CN"/>
        </w:rPr>
        <w:t>年预算的</w:t>
      </w:r>
      <w:r w:rsidRPr="000C156A">
        <w:rPr>
          <w:lang w:val="en-US" w:eastAsia="zh-CN"/>
        </w:rPr>
        <w:t>1</w:t>
      </w:r>
      <w:r w:rsidRPr="000C156A">
        <w:rPr>
          <w:rFonts w:hint="eastAsia"/>
          <w:lang w:val="en-US" w:eastAsia="zh-CN"/>
        </w:rPr>
        <w:t>5</w:t>
      </w:r>
      <w:r w:rsidRPr="000C156A">
        <w:rPr>
          <w:lang w:val="en-US" w:eastAsia="zh-CN"/>
        </w:rPr>
        <w:t>.</w:t>
      </w:r>
      <w:r w:rsidRPr="000C156A">
        <w:rPr>
          <w:rFonts w:hint="eastAsia"/>
          <w:lang w:val="en-US" w:eastAsia="zh-CN"/>
        </w:rPr>
        <w:t>5</w:t>
      </w:r>
      <w:r w:rsidRPr="000C156A">
        <w:rPr>
          <w:lang w:val="en-US" w:eastAsia="zh-CN"/>
        </w:rPr>
        <w:t>%</w:t>
      </w:r>
      <w:r w:rsidRPr="000C156A">
        <w:rPr>
          <w:rFonts w:hint="eastAsia"/>
          <w:lang w:val="en-US" w:eastAsia="zh-CN"/>
        </w:rPr>
        <w:t>，</w:t>
      </w:r>
      <w:r w:rsidRPr="000C156A">
        <w:rPr>
          <w:rFonts w:hint="eastAsia"/>
          <w:lang w:eastAsia="zh-CN"/>
        </w:rPr>
        <w:t>远高于全权代表大会第</w:t>
      </w:r>
      <w:r w:rsidRPr="000C156A">
        <w:rPr>
          <w:lang w:eastAsia="zh-CN"/>
        </w:rPr>
        <w:t>5</w:t>
      </w:r>
      <w:r w:rsidRPr="000C156A">
        <w:rPr>
          <w:rFonts w:hint="eastAsia"/>
          <w:lang w:eastAsia="zh-CN"/>
        </w:rPr>
        <w:t>号决定（</w:t>
      </w:r>
      <w:r w:rsidRPr="000C156A">
        <w:rPr>
          <w:lang w:eastAsia="zh-CN"/>
        </w:rPr>
        <w:t>2018</w:t>
      </w:r>
      <w:r w:rsidRPr="000C156A">
        <w:rPr>
          <w:rFonts w:hint="eastAsia"/>
          <w:lang w:eastAsia="zh-CN"/>
        </w:rPr>
        <w:t>年，迪拜，修订版）规定的</w:t>
      </w:r>
      <w:r w:rsidRPr="000C156A">
        <w:rPr>
          <w:lang w:eastAsia="zh-CN"/>
        </w:rPr>
        <w:t>6%</w:t>
      </w:r>
      <w:r w:rsidRPr="000C156A">
        <w:rPr>
          <w:rFonts w:hint="eastAsia"/>
          <w:lang w:eastAsia="zh-CN"/>
        </w:rPr>
        <w:t>的限额。</w:t>
      </w:r>
    </w:p>
    <w:p w14:paraId="45F0B245" w14:textId="77777777" w:rsidR="009D43C3" w:rsidRPr="000C156A" w:rsidRDefault="009D43C3" w:rsidP="009D43C3">
      <w:pPr>
        <w:pStyle w:val="Heading1"/>
        <w:spacing w:before="240"/>
        <w:rPr>
          <w:rFonts w:cs="Microsoft YaHei"/>
          <w:sz w:val="24"/>
          <w:szCs w:val="24"/>
          <w:lang w:eastAsia="zh-CN"/>
        </w:rPr>
      </w:pPr>
      <w:bookmarkStart w:id="491" w:name="_Toc482892563"/>
      <w:bookmarkStart w:id="492" w:name="_Toc482870828"/>
      <w:bookmarkStart w:id="493" w:name="_Toc511813746"/>
      <w:bookmarkStart w:id="494" w:name="_Toc511817829"/>
      <w:bookmarkStart w:id="495" w:name="_Toc520280729"/>
      <w:bookmarkStart w:id="496" w:name="_Toc10536824"/>
      <w:bookmarkStart w:id="497" w:name="_Toc41905865"/>
      <w:bookmarkStart w:id="498" w:name="_Toc41906894"/>
      <w:bookmarkStart w:id="499" w:name="_Toc41907975"/>
      <w:bookmarkStart w:id="500" w:name="_Toc41908043"/>
      <w:bookmarkStart w:id="501" w:name="_Toc73518679"/>
      <w:bookmarkStart w:id="502" w:name="_Toc73518826"/>
      <w:bookmarkStart w:id="503" w:name="_Toc73519226"/>
      <w:bookmarkStart w:id="504" w:name="_Toc73636265"/>
      <w:r w:rsidRPr="000C156A">
        <w:rPr>
          <w:rFonts w:cs="Microsoft YaHei" w:hint="eastAsia"/>
          <w:sz w:val="24"/>
          <w:szCs w:val="24"/>
          <w:lang w:val="fr-FR" w:eastAsia="zh-CN"/>
        </w:rPr>
        <w:t>说明</w:t>
      </w:r>
      <w:r w:rsidRPr="000C156A">
        <w:rPr>
          <w:rFonts w:cs="Microsoft YaHei"/>
          <w:sz w:val="24"/>
          <w:szCs w:val="24"/>
          <w:lang w:eastAsia="zh-CN"/>
        </w:rPr>
        <w:t>4</w:t>
      </w:r>
      <w:r w:rsidRPr="000C156A">
        <w:rPr>
          <w:rFonts w:cs="Microsoft YaHei"/>
          <w:sz w:val="24"/>
          <w:szCs w:val="24"/>
          <w:lang w:eastAsia="zh-CN"/>
        </w:rPr>
        <w:tab/>
      </w:r>
      <w:r w:rsidRPr="000C156A">
        <w:rPr>
          <w:rFonts w:cs="Microsoft YaHei" w:hint="eastAsia"/>
          <w:sz w:val="24"/>
          <w:szCs w:val="24"/>
          <w:lang w:val="fr-FR" w:eastAsia="zh-CN"/>
        </w:rPr>
        <w:t>财务风险的管理</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3DF3D284" w14:textId="77777777" w:rsidR="009D43C3" w:rsidRPr="000C156A" w:rsidRDefault="009D43C3" w:rsidP="009D43C3">
      <w:pPr>
        <w:ind w:firstLineChars="200" w:firstLine="480"/>
        <w:rPr>
          <w:lang w:val="en-US" w:eastAsia="zh-CN"/>
        </w:rPr>
      </w:pPr>
      <w:r w:rsidRPr="000C156A">
        <w:rPr>
          <w:rFonts w:hint="eastAsia"/>
          <w:lang w:eastAsia="zh-CN"/>
        </w:rPr>
        <w:t>国际电联在工作中面临多种财务风险，其中包括信用风险、市场风险（外汇货币风险）、利率风险和流动性风险。该说明列出了国际电联面临上述风险的情况以及为应对财务风险和保护其资本采取的原则。财务风险管理集中掌握在秘书长手中。</w:t>
      </w:r>
    </w:p>
    <w:p w14:paraId="4DDFD670" w14:textId="77777777" w:rsidR="009D43C3" w:rsidRPr="000C156A" w:rsidRDefault="009D43C3" w:rsidP="009D43C3">
      <w:pPr>
        <w:pStyle w:val="Headingb"/>
        <w:rPr>
          <w:lang w:val="en-US" w:eastAsia="zh-CN"/>
        </w:rPr>
      </w:pPr>
      <w:bookmarkStart w:id="505" w:name="_Toc73518680"/>
      <w:bookmarkStart w:id="506" w:name="_Toc73518827"/>
      <w:bookmarkStart w:id="507" w:name="_Toc73519227"/>
      <w:bookmarkStart w:id="508" w:name="_Toc73636266"/>
      <w:r w:rsidRPr="000C156A">
        <w:rPr>
          <w:rFonts w:hint="eastAsia"/>
          <w:lang w:val="en-US" w:eastAsia="zh-CN"/>
        </w:rPr>
        <w:lastRenderedPageBreak/>
        <w:t>公允价值</w:t>
      </w:r>
      <w:bookmarkEnd w:id="505"/>
      <w:bookmarkEnd w:id="506"/>
      <w:bookmarkEnd w:id="507"/>
      <w:bookmarkEnd w:id="508"/>
    </w:p>
    <w:p w14:paraId="1F326147" w14:textId="77777777" w:rsidR="009D43C3" w:rsidRPr="000C156A" w:rsidRDefault="009D43C3" w:rsidP="00403EA7">
      <w:pPr>
        <w:spacing w:after="240"/>
        <w:ind w:firstLineChars="200" w:firstLine="480"/>
        <w:rPr>
          <w:b/>
          <w:bCs/>
          <w:lang w:val="en-US" w:eastAsia="zh-CN"/>
        </w:rPr>
      </w:pPr>
      <w:r w:rsidRPr="000C156A">
        <w:rPr>
          <w:rFonts w:hint="eastAsia"/>
          <w:lang w:val="en-US" w:eastAsia="zh-CN"/>
        </w:rPr>
        <w:t>以下是国际电联各种金融工具</w:t>
      </w:r>
      <w:r w:rsidRPr="000C156A">
        <w:rPr>
          <w:rFonts w:hint="eastAsia"/>
          <w:lang w:eastAsia="zh-CN"/>
        </w:rPr>
        <w:t>账面</w:t>
      </w:r>
      <w:r w:rsidRPr="000C156A">
        <w:rPr>
          <w:rFonts w:hint="eastAsia"/>
          <w:lang w:val="en-US" w:eastAsia="zh-CN"/>
        </w:rPr>
        <w:t>金额和公允价值的比较：</w:t>
      </w:r>
    </w:p>
    <w:tbl>
      <w:tblPr>
        <w:tblStyle w:val="TableGrid"/>
        <w:tblW w:w="0" w:type="auto"/>
        <w:tblLook w:val="04A0" w:firstRow="1" w:lastRow="0" w:firstColumn="1" w:lastColumn="0" w:noHBand="0" w:noVBand="1"/>
      </w:tblPr>
      <w:tblGrid>
        <w:gridCol w:w="5264"/>
        <w:gridCol w:w="1032"/>
        <w:gridCol w:w="1032"/>
        <w:gridCol w:w="1150"/>
        <w:gridCol w:w="1151"/>
      </w:tblGrid>
      <w:tr w:rsidR="009D43C3" w:rsidRPr="000C156A" w14:paraId="1BF6B78D" w14:textId="77777777" w:rsidTr="00261BAD">
        <w:trPr>
          <w:trHeight w:val="394"/>
        </w:trPr>
        <w:tc>
          <w:tcPr>
            <w:tcW w:w="5264" w:type="dxa"/>
            <w:tcBorders>
              <w:top w:val="single" w:sz="4" w:space="0" w:color="auto"/>
              <w:left w:val="single" w:sz="4" w:space="0" w:color="auto"/>
              <w:bottom w:val="single" w:sz="4" w:space="0" w:color="auto"/>
              <w:right w:val="single" w:sz="4" w:space="0" w:color="auto"/>
            </w:tcBorders>
            <w:hideMark/>
          </w:tcPr>
          <w:p w14:paraId="6ACAAB6B" w14:textId="77777777" w:rsidR="009D43C3" w:rsidRPr="000C156A" w:rsidRDefault="009D43C3" w:rsidP="00261BAD">
            <w:pPr>
              <w:pStyle w:val="Tablehead"/>
              <w:keepNext/>
              <w:rPr>
                <w:rFonts w:eastAsiaTheme="minorEastAsia" w:cstheme="minorBidi"/>
                <w:lang w:val="fr-FR"/>
              </w:rPr>
            </w:pPr>
            <w:r w:rsidRPr="000C156A">
              <w:rPr>
                <w:rFonts w:eastAsiaTheme="minorEastAsia" w:cstheme="minorBidi" w:hint="eastAsia"/>
                <w:lang w:val="fr-FR"/>
              </w:rPr>
              <w:t>单位：千瑞郎</w:t>
            </w:r>
          </w:p>
        </w:tc>
        <w:tc>
          <w:tcPr>
            <w:tcW w:w="2064" w:type="dxa"/>
            <w:gridSpan w:val="2"/>
            <w:tcBorders>
              <w:top w:val="single" w:sz="4" w:space="0" w:color="auto"/>
              <w:left w:val="single" w:sz="4" w:space="0" w:color="auto"/>
              <w:bottom w:val="single" w:sz="4" w:space="0" w:color="auto"/>
              <w:right w:val="single" w:sz="4" w:space="0" w:color="auto"/>
            </w:tcBorders>
            <w:hideMark/>
          </w:tcPr>
          <w:p w14:paraId="7C1F24C6" w14:textId="77777777" w:rsidR="009D43C3" w:rsidRPr="000C156A" w:rsidRDefault="009D43C3" w:rsidP="00261BAD">
            <w:pPr>
              <w:pStyle w:val="Tablehead"/>
              <w:keepNext/>
              <w:rPr>
                <w:rFonts w:eastAsiaTheme="minorEastAsia" w:cstheme="minorBidi"/>
                <w:lang w:val="fr-FR"/>
              </w:rPr>
            </w:pPr>
            <w:r w:rsidRPr="000C156A">
              <w:rPr>
                <w:rFonts w:eastAsiaTheme="minorEastAsia" w:cstheme="minorBidi" w:hint="eastAsia"/>
                <w:lang w:val="fr-FR"/>
              </w:rPr>
              <w:t>账面金额</w:t>
            </w:r>
          </w:p>
        </w:tc>
        <w:tc>
          <w:tcPr>
            <w:tcW w:w="2301" w:type="dxa"/>
            <w:gridSpan w:val="2"/>
            <w:tcBorders>
              <w:top w:val="single" w:sz="4" w:space="0" w:color="auto"/>
              <w:left w:val="single" w:sz="4" w:space="0" w:color="auto"/>
              <w:bottom w:val="single" w:sz="4" w:space="0" w:color="auto"/>
              <w:right w:val="single" w:sz="4" w:space="0" w:color="auto"/>
            </w:tcBorders>
            <w:hideMark/>
          </w:tcPr>
          <w:p w14:paraId="51D2B857" w14:textId="77777777" w:rsidR="009D43C3" w:rsidRPr="000C156A" w:rsidRDefault="009D43C3" w:rsidP="00261BAD">
            <w:pPr>
              <w:pStyle w:val="Tablehead"/>
              <w:keepNext/>
              <w:rPr>
                <w:rFonts w:eastAsiaTheme="minorEastAsia" w:cstheme="minorBidi"/>
                <w:lang w:val="fr-FR"/>
              </w:rPr>
            </w:pPr>
            <w:r w:rsidRPr="000C156A">
              <w:rPr>
                <w:rFonts w:eastAsiaTheme="minorEastAsia" w:cstheme="minorBidi" w:hint="eastAsia"/>
                <w:lang w:val="fr-FR"/>
              </w:rPr>
              <w:t>公允价值</w:t>
            </w:r>
          </w:p>
        </w:tc>
      </w:tr>
      <w:tr w:rsidR="009D43C3" w:rsidRPr="000C156A" w14:paraId="193AEE59" w14:textId="77777777" w:rsidTr="005D02F0">
        <w:tc>
          <w:tcPr>
            <w:tcW w:w="5264" w:type="dxa"/>
            <w:tcBorders>
              <w:top w:val="single" w:sz="4" w:space="0" w:color="auto"/>
              <w:left w:val="single" w:sz="4" w:space="0" w:color="auto"/>
              <w:bottom w:val="single" w:sz="4" w:space="0" w:color="auto"/>
              <w:right w:val="single" w:sz="4" w:space="0" w:color="auto"/>
            </w:tcBorders>
            <w:hideMark/>
          </w:tcPr>
          <w:p w14:paraId="62EC5CCF" w14:textId="77777777" w:rsidR="009D43C3" w:rsidRPr="000C156A" w:rsidRDefault="009D43C3" w:rsidP="005D02F0">
            <w:pPr>
              <w:pStyle w:val="Tabletext"/>
              <w:rPr>
                <w:lang w:eastAsia="zh-CN"/>
              </w:rPr>
            </w:pPr>
            <w:r w:rsidRPr="000C156A">
              <w:rPr>
                <w:rFonts w:hint="eastAsia"/>
                <w:lang w:eastAsia="zh-CN"/>
              </w:rPr>
              <w:t>金融资产</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0B16112" w14:textId="77777777" w:rsidR="009D43C3" w:rsidRPr="000C156A" w:rsidRDefault="009D43C3" w:rsidP="005D02F0">
            <w:pPr>
              <w:overflowPunct/>
              <w:autoSpaceDE/>
              <w:autoSpaceDN/>
              <w:adjustRightInd/>
              <w:spacing w:before="0"/>
              <w:jc w:val="center"/>
              <w:textAlignment w:val="auto"/>
              <w:rPr>
                <w:rFonts w:cs="Calibri"/>
                <w:b/>
                <w:bCs/>
                <w:sz w:val="22"/>
                <w:lang w:val="en-US" w:eastAsia="zh-CN"/>
              </w:rPr>
            </w:pPr>
            <w:r w:rsidRPr="000C156A">
              <w:rPr>
                <w:rFonts w:cs="Calibri"/>
                <w:b/>
                <w:bCs/>
                <w:sz w:val="22"/>
                <w:lang w:val="en-US" w:eastAsia="zh-CN"/>
              </w:rPr>
              <w:t>20</w:t>
            </w:r>
            <w:r w:rsidRPr="000C156A">
              <w:rPr>
                <w:rFonts w:eastAsiaTheme="minorEastAsia" w:cs="Calibri"/>
                <w:b/>
                <w:bCs/>
                <w:sz w:val="22"/>
                <w:lang w:val="en-US" w:eastAsia="zh-CN"/>
              </w:rPr>
              <w:t>20</w:t>
            </w:r>
            <w:r w:rsidRPr="000C156A">
              <w:rPr>
                <w:rFonts w:eastAsiaTheme="majorEastAsia" w:cs="Calibri"/>
                <w:b/>
                <w:bCs/>
                <w:sz w:val="22"/>
                <w:lang w:val="en-US" w:eastAsia="zh-CN"/>
              </w:rPr>
              <w:t>年</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FE5AA48" w14:textId="77777777" w:rsidR="009D43C3" w:rsidRPr="000C156A" w:rsidRDefault="009D43C3" w:rsidP="005D02F0">
            <w:pPr>
              <w:overflowPunct/>
              <w:autoSpaceDE/>
              <w:autoSpaceDN/>
              <w:adjustRightInd/>
              <w:spacing w:before="0"/>
              <w:jc w:val="center"/>
              <w:textAlignment w:val="auto"/>
              <w:rPr>
                <w:rFonts w:cs="Calibri"/>
                <w:b/>
                <w:bCs/>
                <w:sz w:val="22"/>
                <w:lang w:val="en-US" w:eastAsia="zh-CN"/>
              </w:rPr>
            </w:pPr>
            <w:r w:rsidRPr="000C156A">
              <w:rPr>
                <w:rFonts w:cs="Calibri"/>
                <w:b/>
                <w:sz w:val="22"/>
                <w:lang w:val="en-US"/>
              </w:rPr>
              <w:t>201</w:t>
            </w:r>
            <w:r w:rsidRPr="000C156A">
              <w:rPr>
                <w:rFonts w:eastAsiaTheme="minorEastAsia" w:cs="Calibri"/>
                <w:b/>
                <w:sz w:val="22"/>
                <w:lang w:val="en-US" w:eastAsia="zh-CN"/>
              </w:rPr>
              <w:t>9</w:t>
            </w:r>
            <w:r w:rsidRPr="000C156A">
              <w:rPr>
                <w:rFonts w:eastAsiaTheme="majorEastAsia" w:cs="Calibri"/>
                <w:b/>
                <w:bCs/>
                <w:sz w:val="22"/>
                <w:lang w:val="en-US" w:eastAsia="zh-CN"/>
              </w:rPr>
              <w:t>年</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8C27595" w14:textId="77777777" w:rsidR="009D43C3" w:rsidRPr="000C156A" w:rsidRDefault="009D43C3" w:rsidP="005D02F0">
            <w:pPr>
              <w:overflowPunct/>
              <w:autoSpaceDE/>
              <w:autoSpaceDN/>
              <w:adjustRightInd/>
              <w:spacing w:before="0"/>
              <w:jc w:val="center"/>
              <w:textAlignment w:val="auto"/>
              <w:rPr>
                <w:rFonts w:cs="Calibri"/>
                <w:b/>
                <w:bCs/>
                <w:sz w:val="22"/>
                <w:lang w:val="en-US" w:eastAsia="zh-CN"/>
              </w:rPr>
            </w:pPr>
            <w:r w:rsidRPr="000C156A">
              <w:rPr>
                <w:rFonts w:cs="Calibri"/>
                <w:b/>
                <w:bCs/>
                <w:sz w:val="22"/>
                <w:lang w:val="en-US" w:eastAsia="zh-CN"/>
              </w:rPr>
              <w:t>20</w:t>
            </w:r>
            <w:r w:rsidRPr="000C156A">
              <w:rPr>
                <w:rFonts w:eastAsiaTheme="minorEastAsia" w:cs="Calibri"/>
                <w:b/>
                <w:bCs/>
                <w:sz w:val="22"/>
                <w:lang w:val="en-US" w:eastAsia="zh-CN"/>
              </w:rPr>
              <w:t>20</w:t>
            </w:r>
            <w:r w:rsidRPr="000C156A">
              <w:rPr>
                <w:rFonts w:eastAsiaTheme="majorEastAsia" w:cs="Calibri"/>
                <w:b/>
                <w:bCs/>
                <w:sz w:val="22"/>
                <w:lang w:val="en-US" w:eastAsia="zh-CN"/>
              </w:rPr>
              <w:t>年</w:t>
            </w:r>
          </w:p>
        </w:tc>
        <w:tc>
          <w:tcPr>
            <w:tcW w:w="1151" w:type="dxa"/>
            <w:tcBorders>
              <w:top w:val="single" w:sz="4" w:space="0" w:color="auto"/>
              <w:left w:val="single" w:sz="4" w:space="0" w:color="auto"/>
              <w:bottom w:val="single" w:sz="4" w:space="0" w:color="auto"/>
              <w:right w:val="single" w:sz="4" w:space="0" w:color="auto"/>
            </w:tcBorders>
            <w:vAlign w:val="center"/>
            <w:hideMark/>
          </w:tcPr>
          <w:p w14:paraId="17259E69" w14:textId="77777777" w:rsidR="009D43C3" w:rsidRPr="000C156A" w:rsidRDefault="009D43C3" w:rsidP="005D02F0">
            <w:pPr>
              <w:overflowPunct/>
              <w:autoSpaceDE/>
              <w:autoSpaceDN/>
              <w:adjustRightInd/>
              <w:spacing w:before="0"/>
              <w:jc w:val="center"/>
              <w:textAlignment w:val="auto"/>
              <w:rPr>
                <w:rFonts w:cs="Calibri"/>
                <w:b/>
                <w:sz w:val="22"/>
                <w:lang w:val="en-US"/>
              </w:rPr>
            </w:pPr>
            <w:r w:rsidRPr="000C156A">
              <w:rPr>
                <w:rFonts w:cs="Calibri"/>
                <w:b/>
                <w:sz w:val="22"/>
                <w:lang w:val="en-US"/>
              </w:rPr>
              <w:t>2</w:t>
            </w:r>
            <w:r w:rsidRPr="000C156A">
              <w:rPr>
                <w:rFonts w:cs="Calibri"/>
                <w:b/>
                <w:bCs/>
                <w:sz w:val="22"/>
                <w:lang w:val="en-US" w:eastAsia="zh-CN"/>
              </w:rPr>
              <w:t>01</w:t>
            </w:r>
            <w:r w:rsidRPr="000C156A">
              <w:rPr>
                <w:rFonts w:eastAsiaTheme="minorEastAsia" w:cs="Calibri"/>
                <w:b/>
                <w:bCs/>
                <w:sz w:val="22"/>
                <w:lang w:val="en-US" w:eastAsia="zh-CN"/>
              </w:rPr>
              <w:t>9</w:t>
            </w:r>
            <w:r w:rsidRPr="000C156A">
              <w:rPr>
                <w:rFonts w:eastAsiaTheme="majorEastAsia" w:cs="Calibri"/>
                <w:b/>
                <w:bCs/>
                <w:sz w:val="22"/>
                <w:lang w:val="en-US" w:eastAsia="zh-CN"/>
              </w:rPr>
              <w:t>年</w:t>
            </w:r>
          </w:p>
        </w:tc>
      </w:tr>
      <w:tr w:rsidR="009D43C3" w:rsidRPr="000C156A" w14:paraId="487DC7BE" w14:textId="77777777" w:rsidTr="005D02F0">
        <w:tc>
          <w:tcPr>
            <w:tcW w:w="5264" w:type="dxa"/>
            <w:tcBorders>
              <w:top w:val="single" w:sz="4" w:space="0" w:color="auto"/>
              <w:left w:val="single" w:sz="4" w:space="0" w:color="auto"/>
              <w:bottom w:val="single" w:sz="4" w:space="0" w:color="auto"/>
              <w:right w:val="single" w:sz="4" w:space="0" w:color="auto"/>
            </w:tcBorders>
            <w:hideMark/>
          </w:tcPr>
          <w:p w14:paraId="04D69BC3" w14:textId="77777777" w:rsidR="009D43C3" w:rsidRPr="000C156A" w:rsidRDefault="009D43C3" w:rsidP="005D02F0">
            <w:pPr>
              <w:pStyle w:val="Tabletext"/>
              <w:rPr>
                <w:lang w:eastAsia="zh-CN"/>
              </w:rPr>
            </w:pPr>
            <w:r w:rsidRPr="000C156A">
              <w:rPr>
                <w:rFonts w:hint="eastAsia"/>
                <w:lang w:eastAsia="zh-CN"/>
              </w:rPr>
              <w:t>现金和现金等价物</w:t>
            </w:r>
          </w:p>
        </w:tc>
        <w:tc>
          <w:tcPr>
            <w:tcW w:w="1032" w:type="dxa"/>
            <w:tcBorders>
              <w:top w:val="single" w:sz="4" w:space="0" w:color="auto"/>
              <w:left w:val="single" w:sz="4" w:space="0" w:color="auto"/>
              <w:bottom w:val="single" w:sz="4" w:space="0" w:color="auto"/>
              <w:right w:val="single" w:sz="4" w:space="0" w:color="auto"/>
            </w:tcBorders>
            <w:vAlign w:val="center"/>
            <w:hideMark/>
          </w:tcPr>
          <w:p w14:paraId="382229A2" w14:textId="66F484A6"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99</w:t>
            </w:r>
            <w:r w:rsidR="00261BAD" w:rsidRPr="000C156A">
              <w:rPr>
                <w:color w:val="000000"/>
                <w:sz w:val="22"/>
                <w:lang w:val="en-US" w:eastAsia="zh-CN"/>
              </w:rPr>
              <w:t xml:space="preserve"> </w:t>
            </w:r>
            <w:r w:rsidRPr="000C156A">
              <w:rPr>
                <w:color w:val="000000"/>
                <w:sz w:val="22"/>
                <w:lang w:val="en-US" w:eastAsia="zh-CN"/>
              </w:rPr>
              <w:t>406</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1A4029F" w14:textId="766A9A8B"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178</w:t>
            </w:r>
            <w:r w:rsidR="00261BAD" w:rsidRPr="000C156A">
              <w:rPr>
                <w:color w:val="000000"/>
                <w:sz w:val="22"/>
                <w:lang w:val="en-US" w:eastAsia="zh-CN"/>
              </w:rPr>
              <w:t xml:space="preserve"> </w:t>
            </w:r>
            <w:r w:rsidRPr="000C156A">
              <w:rPr>
                <w:color w:val="000000"/>
                <w:sz w:val="22"/>
                <w:lang w:val="en-US" w:eastAsia="zh-CN"/>
              </w:rPr>
              <w:t>852</w:t>
            </w:r>
          </w:p>
        </w:tc>
        <w:tc>
          <w:tcPr>
            <w:tcW w:w="1150" w:type="dxa"/>
            <w:tcBorders>
              <w:top w:val="single" w:sz="4" w:space="0" w:color="auto"/>
              <w:left w:val="single" w:sz="4" w:space="0" w:color="auto"/>
              <w:bottom w:val="single" w:sz="4" w:space="0" w:color="auto"/>
              <w:right w:val="single" w:sz="4" w:space="0" w:color="auto"/>
            </w:tcBorders>
            <w:vAlign w:val="center"/>
            <w:hideMark/>
          </w:tcPr>
          <w:p w14:paraId="5C054E46" w14:textId="0E50350E"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99</w:t>
            </w:r>
            <w:r w:rsidR="00261BAD" w:rsidRPr="000C156A">
              <w:rPr>
                <w:color w:val="000000"/>
                <w:sz w:val="22"/>
                <w:lang w:val="en-US" w:eastAsia="zh-CN"/>
              </w:rPr>
              <w:t xml:space="preserve"> </w:t>
            </w:r>
            <w:r w:rsidRPr="000C156A">
              <w:rPr>
                <w:color w:val="000000"/>
                <w:sz w:val="22"/>
                <w:lang w:val="en-US" w:eastAsia="zh-CN"/>
              </w:rPr>
              <w:t>406</w:t>
            </w:r>
          </w:p>
        </w:tc>
        <w:tc>
          <w:tcPr>
            <w:tcW w:w="1151" w:type="dxa"/>
            <w:tcBorders>
              <w:top w:val="single" w:sz="4" w:space="0" w:color="auto"/>
              <w:left w:val="single" w:sz="4" w:space="0" w:color="auto"/>
              <w:bottom w:val="single" w:sz="4" w:space="0" w:color="auto"/>
              <w:right w:val="single" w:sz="4" w:space="0" w:color="auto"/>
            </w:tcBorders>
            <w:vAlign w:val="center"/>
            <w:hideMark/>
          </w:tcPr>
          <w:p w14:paraId="5298BC54" w14:textId="0705DA25"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178</w:t>
            </w:r>
            <w:r w:rsidR="00261BAD" w:rsidRPr="000C156A">
              <w:rPr>
                <w:color w:val="000000"/>
                <w:sz w:val="22"/>
                <w:lang w:val="en-US" w:eastAsia="zh-CN"/>
              </w:rPr>
              <w:t xml:space="preserve"> </w:t>
            </w:r>
            <w:r w:rsidRPr="000C156A">
              <w:rPr>
                <w:color w:val="000000"/>
                <w:sz w:val="22"/>
                <w:lang w:val="en-US" w:eastAsia="zh-CN"/>
              </w:rPr>
              <w:t>852</w:t>
            </w:r>
          </w:p>
        </w:tc>
      </w:tr>
      <w:tr w:rsidR="009D43C3" w:rsidRPr="000C156A" w14:paraId="5CC0547B" w14:textId="77777777" w:rsidTr="005D02F0">
        <w:tc>
          <w:tcPr>
            <w:tcW w:w="5264" w:type="dxa"/>
            <w:tcBorders>
              <w:top w:val="single" w:sz="4" w:space="0" w:color="auto"/>
              <w:left w:val="single" w:sz="4" w:space="0" w:color="auto"/>
              <w:bottom w:val="single" w:sz="4" w:space="0" w:color="auto"/>
              <w:right w:val="single" w:sz="4" w:space="0" w:color="auto"/>
            </w:tcBorders>
            <w:hideMark/>
          </w:tcPr>
          <w:p w14:paraId="1C64AD13" w14:textId="77777777" w:rsidR="009D43C3" w:rsidRPr="000C156A" w:rsidRDefault="009D43C3" w:rsidP="005D02F0">
            <w:pPr>
              <w:pStyle w:val="Tabletext"/>
              <w:rPr>
                <w:lang w:eastAsia="zh-CN"/>
              </w:rPr>
            </w:pPr>
            <w:r w:rsidRPr="000C156A">
              <w:rPr>
                <w:rFonts w:hint="eastAsia"/>
                <w:lang w:eastAsia="zh-CN"/>
              </w:rPr>
              <w:t>按公允价值通过盈余</w:t>
            </w:r>
            <w:r w:rsidRPr="000C156A">
              <w:rPr>
                <w:lang w:eastAsia="zh-CN"/>
              </w:rPr>
              <w:t>/</w:t>
            </w:r>
            <w:r w:rsidRPr="000C156A">
              <w:rPr>
                <w:rFonts w:hint="eastAsia"/>
                <w:lang w:eastAsia="zh-CN"/>
              </w:rPr>
              <w:t>赤字记账的金融工具</w:t>
            </w:r>
          </w:p>
        </w:tc>
        <w:tc>
          <w:tcPr>
            <w:tcW w:w="1032" w:type="dxa"/>
            <w:tcBorders>
              <w:top w:val="single" w:sz="4" w:space="0" w:color="auto"/>
              <w:left w:val="single" w:sz="4" w:space="0" w:color="auto"/>
              <w:bottom w:val="single" w:sz="4" w:space="0" w:color="auto"/>
              <w:right w:val="single" w:sz="4" w:space="0" w:color="auto"/>
            </w:tcBorders>
            <w:vAlign w:val="center"/>
            <w:hideMark/>
          </w:tcPr>
          <w:p w14:paraId="5D507EB4" w14:textId="75D92A37"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95</w:t>
            </w:r>
            <w:r w:rsidR="00261BAD" w:rsidRPr="000C156A">
              <w:rPr>
                <w:color w:val="000000"/>
                <w:sz w:val="22"/>
                <w:lang w:val="en-US" w:eastAsia="zh-CN"/>
              </w:rPr>
              <w:t xml:space="preserve"> </w:t>
            </w:r>
            <w:r w:rsidRPr="000C156A">
              <w:rPr>
                <w:color w:val="000000"/>
                <w:sz w:val="22"/>
                <w:lang w:val="en-US" w:eastAsia="zh-CN"/>
              </w:rPr>
              <w:t>516</w:t>
            </w:r>
          </w:p>
        </w:tc>
        <w:tc>
          <w:tcPr>
            <w:tcW w:w="1032" w:type="dxa"/>
            <w:tcBorders>
              <w:top w:val="single" w:sz="4" w:space="0" w:color="auto"/>
              <w:left w:val="single" w:sz="4" w:space="0" w:color="auto"/>
              <w:bottom w:val="single" w:sz="4" w:space="0" w:color="auto"/>
              <w:right w:val="single" w:sz="4" w:space="0" w:color="auto"/>
            </w:tcBorders>
            <w:vAlign w:val="center"/>
            <w:hideMark/>
          </w:tcPr>
          <w:p w14:paraId="7419A032" w14:textId="4DDB20CE"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33</w:t>
            </w:r>
            <w:r w:rsidR="00261BAD" w:rsidRPr="000C156A">
              <w:rPr>
                <w:color w:val="000000"/>
                <w:sz w:val="22"/>
                <w:lang w:val="en-US" w:eastAsia="zh-CN"/>
              </w:rPr>
              <w:t xml:space="preserve"> </w:t>
            </w:r>
            <w:r w:rsidRPr="000C156A">
              <w:rPr>
                <w:color w:val="000000"/>
                <w:sz w:val="22"/>
                <w:lang w:val="en-US" w:eastAsia="zh-CN"/>
              </w:rPr>
              <w:t>329</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6239215" w14:textId="5E8653A4"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95</w:t>
            </w:r>
            <w:r w:rsidR="00261BAD" w:rsidRPr="000C156A">
              <w:rPr>
                <w:color w:val="000000"/>
                <w:sz w:val="22"/>
                <w:lang w:val="en-US" w:eastAsia="zh-CN"/>
              </w:rPr>
              <w:t xml:space="preserve"> </w:t>
            </w:r>
            <w:r w:rsidRPr="000C156A">
              <w:rPr>
                <w:color w:val="000000"/>
                <w:sz w:val="22"/>
                <w:lang w:val="en-US" w:eastAsia="zh-CN"/>
              </w:rPr>
              <w:t>516</w:t>
            </w:r>
          </w:p>
        </w:tc>
        <w:tc>
          <w:tcPr>
            <w:tcW w:w="1151" w:type="dxa"/>
            <w:tcBorders>
              <w:top w:val="single" w:sz="4" w:space="0" w:color="auto"/>
              <w:left w:val="single" w:sz="4" w:space="0" w:color="auto"/>
              <w:bottom w:val="single" w:sz="4" w:space="0" w:color="auto"/>
              <w:right w:val="single" w:sz="4" w:space="0" w:color="auto"/>
            </w:tcBorders>
            <w:vAlign w:val="center"/>
            <w:hideMark/>
          </w:tcPr>
          <w:p w14:paraId="6DA7E31A" w14:textId="563B5FD4"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33</w:t>
            </w:r>
            <w:r w:rsidR="00261BAD" w:rsidRPr="000C156A">
              <w:rPr>
                <w:color w:val="000000"/>
                <w:sz w:val="22"/>
                <w:lang w:val="en-US" w:eastAsia="zh-CN"/>
              </w:rPr>
              <w:t xml:space="preserve"> </w:t>
            </w:r>
            <w:r w:rsidRPr="000C156A">
              <w:rPr>
                <w:color w:val="000000"/>
                <w:sz w:val="22"/>
                <w:lang w:val="en-US" w:eastAsia="zh-CN"/>
              </w:rPr>
              <w:t>329</w:t>
            </w:r>
          </w:p>
        </w:tc>
      </w:tr>
      <w:tr w:rsidR="009D43C3" w:rsidRPr="000C156A" w14:paraId="1917A970" w14:textId="77777777" w:rsidTr="005D02F0">
        <w:tc>
          <w:tcPr>
            <w:tcW w:w="5264" w:type="dxa"/>
            <w:tcBorders>
              <w:top w:val="single" w:sz="4" w:space="0" w:color="auto"/>
              <w:left w:val="single" w:sz="4" w:space="0" w:color="auto"/>
              <w:bottom w:val="single" w:sz="4" w:space="0" w:color="auto"/>
              <w:right w:val="single" w:sz="4" w:space="0" w:color="auto"/>
            </w:tcBorders>
            <w:hideMark/>
          </w:tcPr>
          <w:p w14:paraId="5975CC39" w14:textId="77777777" w:rsidR="009D43C3" w:rsidRPr="000C156A" w:rsidRDefault="009D43C3" w:rsidP="005D02F0">
            <w:pPr>
              <w:pStyle w:val="Tabletext"/>
              <w:rPr>
                <w:lang w:eastAsia="zh-CN"/>
              </w:rPr>
            </w:pPr>
            <w:r w:rsidRPr="000C156A">
              <w:rPr>
                <w:rFonts w:hint="eastAsia"/>
                <w:lang w:eastAsia="zh-CN"/>
              </w:rPr>
              <w:t>兑换交易应收款项</w:t>
            </w:r>
            <w:r w:rsidRPr="000C156A">
              <w:rPr>
                <w:lang w:eastAsia="zh-CN"/>
              </w:rPr>
              <w:t xml:space="preserve"> – </w:t>
            </w:r>
            <w:r w:rsidRPr="000C156A">
              <w:rPr>
                <w:rFonts w:hint="eastAsia"/>
                <w:lang w:eastAsia="zh-CN"/>
              </w:rPr>
              <w:t>活期</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72882DF" w14:textId="6621B9A6"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8</w:t>
            </w:r>
            <w:r w:rsidR="00261BAD" w:rsidRPr="000C156A">
              <w:rPr>
                <w:color w:val="000000"/>
                <w:sz w:val="22"/>
                <w:lang w:val="en-US" w:eastAsia="zh-CN"/>
              </w:rPr>
              <w:t xml:space="preserve"> </w:t>
            </w:r>
            <w:r w:rsidRPr="000C156A">
              <w:rPr>
                <w:color w:val="000000"/>
                <w:sz w:val="22"/>
                <w:lang w:val="en-US" w:eastAsia="zh-CN"/>
              </w:rPr>
              <w:t>481</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8316887" w14:textId="30C567BB"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6</w:t>
            </w:r>
            <w:r w:rsidR="00261BAD" w:rsidRPr="000C156A">
              <w:rPr>
                <w:color w:val="000000"/>
                <w:sz w:val="22"/>
                <w:lang w:val="en-US" w:eastAsia="zh-CN"/>
              </w:rPr>
              <w:t xml:space="preserve"> </w:t>
            </w:r>
            <w:r w:rsidRPr="000C156A">
              <w:rPr>
                <w:color w:val="000000"/>
                <w:sz w:val="22"/>
                <w:lang w:val="en-US" w:eastAsia="zh-CN"/>
              </w:rPr>
              <w:t>471</w:t>
            </w:r>
          </w:p>
        </w:tc>
        <w:tc>
          <w:tcPr>
            <w:tcW w:w="1150" w:type="dxa"/>
            <w:tcBorders>
              <w:top w:val="single" w:sz="4" w:space="0" w:color="auto"/>
              <w:left w:val="single" w:sz="4" w:space="0" w:color="auto"/>
              <w:bottom w:val="single" w:sz="4" w:space="0" w:color="auto"/>
              <w:right w:val="single" w:sz="4" w:space="0" w:color="auto"/>
            </w:tcBorders>
            <w:vAlign w:val="center"/>
            <w:hideMark/>
          </w:tcPr>
          <w:p w14:paraId="6A83A967" w14:textId="0EF9B8EB"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8</w:t>
            </w:r>
            <w:r w:rsidR="00261BAD" w:rsidRPr="000C156A">
              <w:rPr>
                <w:color w:val="000000"/>
                <w:sz w:val="22"/>
                <w:lang w:val="en-US" w:eastAsia="zh-CN"/>
              </w:rPr>
              <w:t xml:space="preserve"> </w:t>
            </w:r>
            <w:r w:rsidRPr="000C156A">
              <w:rPr>
                <w:color w:val="000000"/>
                <w:sz w:val="22"/>
                <w:lang w:val="en-US" w:eastAsia="zh-CN"/>
              </w:rPr>
              <w:t>481</w:t>
            </w:r>
          </w:p>
        </w:tc>
        <w:tc>
          <w:tcPr>
            <w:tcW w:w="1151" w:type="dxa"/>
            <w:tcBorders>
              <w:top w:val="single" w:sz="4" w:space="0" w:color="auto"/>
              <w:left w:val="single" w:sz="4" w:space="0" w:color="auto"/>
              <w:bottom w:val="single" w:sz="4" w:space="0" w:color="auto"/>
              <w:right w:val="single" w:sz="4" w:space="0" w:color="auto"/>
            </w:tcBorders>
            <w:vAlign w:val="center"/>
            <w:hideMark/>
          </w:tcPr>
          <w:p w14:paraId="5806D49E" w14:textId="3027511B"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6</w:t>
            </w:r>
            <w:r w:rsidR="00261BAD" w:rsidRPr="000C156A">
              <w:rPr>
                <w:color w:val="000000"/>
                <w:sz w:val="22"/>
                <w:lang w:val="en-US" w:eastAsia="zh-CN"/>
              </w:rPr>
              <w:t xml:space="preserve"> </w:t>
            </w:r>
            <w:r w:rsidRPr="000C156A">
              <w:rPr>
                <w:color w:val="000000"/>
                <w:sz w:val="22"/>
                <w:lang w:val="en-US" w:eastAsia="zh-CN"/>
              </w:rPr>
              <w:t>471</w:t>
            </w:r>
          </w:p>
        </w:tc>
      </w:tr>
      <w:tr w:rsidR="009D43C3" w:rsidRPr="000C156A" w14:paraId="749CAF72" w14:textId="77777777" w:rsidTr="005D02F0">
        <w:tc>
          <w:tcPr>
            <w:tcW w:w="5264" w:type="dxa"/>
            <w:tcBorders>
              <w:top w:val="single" w:sz="4" w:space="0" w:color="auto"/>
              <w:left w:val="single" w:sz="4" w:space="0" w:color="auto"/>
              <w:bottom w:val="single" w:sz="4" w:space="0" w:color="auto"/>
              <w:right w:val="single" w:sz="4" w:space="0" w:color="auto"/>
            </w:tcBorders>
            <w:hideMark/>
          </w:tcPr>
          <w:p w14:paraId="3BCBE0B7" w14:textId="77777777" w:rsidR="009D43C3" w:rsidRPr="000C156A" w:rsidRDefault="009D43C3" w:rsidP="005D02F0">
            <w:pPr>
              <w:pStyle w:val="Tabletext"/>
              <w:rPr>
                <w:lang w:eastAsia="zh-CN"/>
              </w:rPr>
            </w:pPr>
            <w:r w:rsidRPr="000C156A">
              <w:rPr>
                <w:rFonts w:hint="eastAsia"/>
                <w:lang w:eastAsia="zh-CN"/>
              </w:rPr>
              <w:t>非兑换交易应收款项</w:t>
            </w:r>
            <w:r w:rsidRPr="000C156A">
              <w:rPr>
                <w:lang w:eastAsia="zh-CN"/>
              </w:rPr>
              <w:t xml:space="preserve"> – </w:t>
            </w:r>
            <w:r w:rsidRPr="000C156A">
              <w:rPr>
                <w:rFonts w:hint="eastAsia"/>
                <w:lang w:eastAsia="zh-CN"/>
              </w:rPr>
              <w:t>活期</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7789AB5" w14:textId="7C8923C0"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89</w:t>
            </w:r>
            <w:r w:rsidR="00261BAD" w:rsidRPr="000C156A">
              <w:rPr>
                <w:color w:val="000000"/>
                <w:sz w:val="22"/>
                <w:lang w:val="en-US" w:eastAsia="zh-CN"/>
              </w:rPr>
              <w:t xml:space="preserve"> </w:t>
            </w:r>
            <w:r w:rsidRPr="000C156A">
              <w:rPr>
                <w:color w:val="000000"/>
                <w:sz w:val="22"/>
                <w:lang w:val="en-US" w:eastAsia="zh-CN"/>
              </w:rPr>
              <w:t>306</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8D3DD83" w14:textId="2C47D50B"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88</w:t>
            </w:r>
            <w:r w:rsidR="00261BAD" w:rsidRPr="000C156A">
              <w:rPr>
                <w:color w:val="000000"/>
                <w:sz w:val="22"/>
                <w:lang w:val="en-US" w:eastAsia="zh-CN"/>
              </w:rPr>
              <w:t xml:space="preserve"> </w:t>
            </w:r>
            <w:r w:rsidRPr="000C156A">
              <w:rPr>
                <w:color w:val="000000"/>
                <w:sz w:val="22"/>
                <w:lang w:val="en-US" w:eastAsia="zh-CN"/>
              </w:rPr>
              <w:t>315</w:t>
            </w:r>
          </w:p>
        </w:tc>
        <w:tc>
          <w:tcPr>
            <w:tcW w:w="1150" w:type="dxa"/>
            <w:tcBorders>
              <w:top w:val="single" w:sz="4" w:space="0" w:color="auto"/>
              <w:left w:val="single" w:sz="4" w:space="0" w:color="auto"/>
              <w:bottom w:val="single" w:sz="4" w:space="0" w:color="auto"/>
              <w:right w:val="single" w:sz="4" w:space="0" w:color="auto"/>
            </w:tcBorders>
            <w:vAlign w:val="center"/>
            <w:hideMark/>
          </w:tcPr>
          <w:p w14:paraId="42E59034" w14:textId="71F16C09"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89</w:t>
            </w:r>
            <w:r w:rsidR="00261BAD" w:rsidRPr="000C156A">
              <w:rPr>
                <w:color w:val="000000"/>
                <w:sz w:val="22"/>
                <w:lang w:val="en-US" w:eastAsia="zh-CN"/>
              </w:rPr>
              <w:t xml:space="preserve"> </w:t>
            </w:r>
            <w:r w:rsidRPr="000C156A">
              <w:rPr>
                <w:color w:val="000000"/>
                <w:sz w:val="22"/>
                <w:lang w:val="en-US" w:eastAsia="zh-CN"/>
              </w:rPr>
              <w:t>306</w:t>
            </w:r>
          </w:p>
        </w:tc>
        <w:tc>
          <w:tcPr>
            <w:tcW w:w="1151" w:type="dxa"/>
            <w:tcBorders>
              <w:top w:val="single" w:sz="4" w:space="0" w:color="auto"/>
              <w:left w:val="single" w:sz="4" w:space="0" w:color="auto"/>
              <w:bottom w:val="single" w:sz="4" w:space="0" w:color="auto"/>
              <w:right w:val="single" w:sz="4" w:space="0" w:color="auto"/>
            </w:tcBorders>
            <w:vAlign w:val="center"/>
            <w:hideMark/>
          </w:tcPr>
          <w:p w14:paraId="7BD9FBC5" w14:textId="17C169D1"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88</w:t>
            </w:r>
            <w:r w:rsidR="00261BAD" w:rsidRPr="000C156A">
              <w:rPr>
                <w:color w:val="000000"/>
                <w:sz w:val="22"/>
                <w:lang w:val="en-US" w:eastAsia="zh-CN"/>
              </w:rPr>
              <w:t xml:space="preserve"> </w:t>
            </w:r>
            <w:r w:rsidRPr="000C156A">
              <w:rPr>
                <w:color w:val="000000"/>
                <w:sz w:val="22"/>
                <w:lang w:val="en-US" w:eastAsia="zh-CN"/>
              </w:rPr>
              <w:t>315</w:t>
            </w:r>
          </w:p>
        </w:tc>
      </w:tr>
    </w:tbl>
    <w:p w14:paraId="3A03A46C" w14:textId="77777777" w:rsidR="009D43C3" w:rsidRPr="000C156A" w:rsidRDefault="009D43C3" w:rsidP="00141BAA"/>
    <w:tbl>
      <w:tblPr>
        <w:tblStyle w:val="TableGrid"/>
        <w:tblW w:w="0" w:type="auto"/>
        <w:tblLook w:val="04A0" w:firstRow="1" w:lastRow="0" w:firstColumn="1" w:lastColumn="0" w:noHBand="0" w:noVBand="1"/>
      </w:tblPr>
      <w:tblGrid>
        <w:gridCol w:w="5264"/>
        <w:gridCol w:w="1032"/>
        <w:gridCol w:w="1032"/>
        <w:gridCol w:w="1150"/>
        <w:gridCol w:w="1151"/>
      </w:tblGrid>
      <w:tr w:rsidR="009D43C3" w:rsidRPr="000C156A" w14:paraId="3905BD3B" w14:textId="77777777" w:rsidTr="005D02F0">
        <w:tc>
          <w:tcPr>
            <w:tcW w:w="5264" w:type="dxa"/>
            <w:tcBorders>
              <w:top w:val="single" w:sz="4" w:space="0" w:color="auto"/>
              <w:left w:val="single" w:sz="4" w:space="0" w:color="auto"/>
              <w:bottom w:val="single" w:sz="4" w:space="0" w:color="auto"/>
              <w:right w:val="single" w:sz="4" w:space="0" w:color="auto"/>
            </w:tcBorders>
            <w:hideMark/>
          </w:tcPr>
          <w:p w14:paraId="38C78E63" w14:textId="77777777" w:rsidR="009D43C3" w:rsidRPr="000C156A" w:rsidRDefault="009D43C3" w:rsidP="005D02F0">
            <w:pPr>
              <w:pStyle w:val="Tablehead"/>
            </w:pPr>
            <w:r w:rsidRPr="000C156A">
              <w:rPr>
                <w:rFonts w:hint="eastAsia"/>
              </w:rPr>
              <w:t>单位：千瑞郎</w:t>
            </w:r>
          </w:p>
        </w:tc>
        <w:tc>
          <w:tcPr>
            <w:tcW w:w="2064" w:type="dxa"/>
            <w:gridSpan w:val="2"/>
            <w:tcBorders>
              <w:top w:val="single" w:sz="4" w:space="0" w:color="auto"/>
              <w:left w:val="single" w:sz="4" w:space="0" w:color="auto"/>
              <w:bottom w:val="single" w:sz="4" w:space="0" w:color="auto"/>
              <w:right w:val="single" w:sz="4" w:space="0" w:color="auto"/>
            </w:tcBorders>
            <w:hideMark/>
          </w:tcPr>
          <w:p w14:paraId="5AAE4CEC" w14:textId="77777777" w:rsidR="009D43C3" w:rsidRPr="000C156A" w:rsidRDefault="009D43C3" w:rsidP="005D02F0">
            <w:pPr>
              <w:pStyle w:val="Tablehead"/>
            </w:pPr>
            <w:r w:rsidRPr="000C156A">
              <w:rPr>
                <w:rFonts w:hint="eastAsia"/>
              </w:rPr>
              <w:t>账面金额</w:t>
            </w:r>
          </w:p>
        </w:tc>
        <w:tc>
          <w:tcPr>
            <w:tcW w:w="2301" w:type="dxa"/>
            <w:gridSpan w:val="2"/>
            <w:tcBorders>
              <w:top w:val="single" w:sz="4" w:space="0" w:color="auto"/>
              <w:left w:val="single" w:sz="4" w:space="0" w:color="auto"/>
              <w:bottom w:val="single" w:sz="4" w:space="0" w:color="auto"/>
              <w:right w:val="single" w:sz="4" w:space="0" w:color="auto"/>
            </w:tcBorders>
            <w:hideMark/>
          </w:tcPr>
          <w:p w14:paraId="6BC9D538" w14:textId="77777777" w:rsidR="009D43C3" w:rsidRPr="000C156A" w:rsidRDefault="009D43C3" w:rsidP="005D02F0">
            <w:pPr>
              <w:pStyle w:val="Tablehead"/>
            </w:pPr>
            <w:r w:rsidRPr="000C156A">
              <w:rPr>
                <w:rFonts w:hint="eastAsia"/>
              </w:rPr>
              <w:t>公允价值</w:t>
            </w:r>
          </w:p>
        </w:tc>
      </w:tr>
      <w:tr w:rsidR="009D43C3" w:rsidRPr="000C156A" w14:paraId="41A1C1C6" w14:textId="77777777" w:rsidTr="005D02F0">
        <w:tc>
          <w:tcPr>
            <w:tcW w:w="5264" w:type="dxa"/>
            <w:tcBorders>
              <w:top w:val="single" w:sz="4" w:space="0" w:color="auto"/>
              <w:left w:val="single" w:sz="4" w:space="0" w:color="auto"/>
              <w:bottom w:val="single" w:sz="4" w:space="0" w:color="auto"/>
              <w:right w:val="single" w:sz="4" w:space="0" w:color="auto"/>
            </w:tcBorders>
            <w:hideMark/>
          </w:tcPr>
          <w:p w14:paraId="2C394BE3" w14:textId="77777777" w:rsidR="009D43C3" w:rsidRPr="000C156A" w:rsidRDefault="009D43C3" w:rsidP="005D02F0">
            <w:pPr>
              <w:pStyle w:val="Tabletext"/>
            </w:pPr>
            <w:r w:rsidRPr="000C156A">
              <w:rPr>
                <w:rFonts w:cs="Microsoft YaHei" w:hint="eastAsia"/>
              </w:rPr>
              <w:t>金融负债</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D2119EF" w14:textId="77777777" w:rsidR="009D43C3" w:rsidRPr="000C156A" w:rsidRDefault="009D43C3" w:rsidP="005D02F0">
            <w:pPr>
              <w:overflowPunct/>
              <w:autoSpaceDE/>
              <w:autoSpaceDN/>
              <w:adjustRightInd/>
              <w:spacing w:before="0"/>
              <w:jc w:val="center"/>
              <w:textAlignment w:val="auto"/>
              <w:rPr>
                <w:rFonts w:cs="Calibri"/>
                <w:b/>
                <w:bCs/>
                <w:sz w:val="22"/>
                <w:lang w:val="en-US" w:eastAsia="zh-CN"/>
              </w:rPr>
            </w:pPr>
            <w:r w:rsidRPr="000C156A">
              <w:rPr>
                <w:rFonts w:cs="Calibri"/>
                <w:b/>
                <w:bCs/>
                <w:sz w:val="22"/>
                <w:lang w:val="en-US" w:eastAsia="zh-CN"/>
              </w:rPr>
              <w:t>20</w:t>
            </w:r>
            <w:r w:rsidRPr="000C156A">
              <w:rPr>
                <w:rFonts w:eastAsiaTheme="minorEastAsia" w:cs="Calibri"/>
                <w:b/>
                <w:bCs/>
                <w:sz w:val="22"/>
                <w:lang w:val="en-US" w:eastAsia="zh-CN"/>
              </w:rPr>
              <w:t>20</w:t>
            </w:r>
            <w:r w:rsidRPr="000C156A">
              <w:rPr>
                <w:rFonts w:eastAsiaTheme="majorEastAsia" w:cs="Calibri"/>
                <w:b/>
                <w:bCs/>
                <w:sz w:val="22"/>
                <w:lang w:val="en-US" w:eastAsia="zh-CN"/>
              </w:rPr>
              <w:t>年</w:t>
            </w:r>
          </w:p>
        </w:tc>
        <w:tc>
          <w:tcPr>
            <w:tcW w:w="1032" w:type="dxa"/>
            <w:tcBorders>
              <w:top w:val="single" w:sz="4" w:space="0" w:color="auto"/>
              <w:left w:val="single" w:sz="4" w:space="0" w:color="auto"/>
              <w:bottom w:val="single" w:sz="4" w:space="0" w:color="auto"/>
              <w:right w:val="single" w:sz="4" w:space="0" w:color="auto"/>
            </w:tcBorders>
            <w:vAlign w:val="center"/>
            <w:hideMark/>
          </w:tcPr>
          <w:p w14:paraId="69ECB0D3" w14:textId="77777777" w:rsidR="009D43C3" w:rsidRPr="000C156A" w:rsidRDefault="009D43C3" w:rsidP="005D02F0">
            <w:pPr>
              <w:overflowPunct/>
              <w:autoSpaceDE/>
              <w:autoSpaceDN/>
              <w:adjustRightInd/>
              <w:spacing w:before="0"/>
              <w:jc w:val="center"/>
              <w:textAlignment w:val="auto"/>
              <w:rPr>
                <w:rFonts w:cs="Calibri"/>
                <w:b/>
                <w:bCs/>
                <w:sz w:val="22"/>
                <w:lang w:val="en-US" w:eastAsia="zh-CN"/>
              </w:rPr>
            </w:pPr>
            <w:r w:rsidRPr="000C156A">
              <w:rPr>
                <w:rFonts w:cs="Calibri"/>
                <w:b/>
                <w:sz w:val="22"/>
                <w:lang w:val="en-US"/>
              </w:rPr>
              <w:t>201</w:t>
            </w:r>
            <w:r w:rsidRPr="000C156A">
              <w:rPr>
                <w:rFonts w:eastAsiaTheme="minorEastAsia" w:cs="Calibri"/>
                <w:b/>
                <w:sz w:val="22"/>
                <w:lang w:val="en-US" w:eastAsia="zh-CN"/>
              </w:rPr>
              <w:t>9</w:t>
            </w:r>
            <w:r w:rsidRPr="000C156A">
              <w:rPr>
                <w:rFonts w:eastAsiaTheme="majorEastAsia" w:cs="Calibri"/>
                <w:b/>
                <w:bCs/>
                <w:sz w:val="22"/>
                <w:lang w:val="en-US" w:eastAsia="zh-CN"/>
              </w:rPr>
              <w:t>年</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8488809" w14:textId="77777777" w:rsidR="009D43C3" w:rsidRPr="000C156A" w:rsidRDefault="009D43C3" w:rsidP="005D02F0">
            <w:pPr>
              <w:overflowPunct/>
              <w:autoSpaceDE/>
              <w:autoSpaceDN/>
              <w:adjustRightInd/>
              <w:spacing w:before="0"/>
              <w:jc w:val="center"/>
              <w:textAlignment w:val="auto"/>
              <w:rPr>
                <w:rFonts w:cs="Calibri"/>
                <w:b/>
                <w:bCs/>
                <w:sz w:val="22"/>
                <w:lang w:val="en-US" w:eastAsia="zh-CN"/>
              </w:rPr>
            </w:pPr>
            <w:r w:rsidRPr="000C156A">
              <w:rPr>
                <w:rFonts w:cs="Calibri"/>
                <w:b/>
                <w:bCs/>
                <w:sz w:val="22"/>
                <w:lang w:val="en-US" w:eastAsia="zh-CN"/>
              </w:rPr>
              <w:t>20</w:t>
            </w:r>
            <w:r w:rsidRPr="000C156A">
              <w:rPr>
                <w:rFonts w:eastAsiaTheme="minorEastAsia" w:cs="Calibri"/>
                <w:b/>
                <w:bCs/>
                <w:sz w:val="22"/>
                <w:lang w:val="en-US" w:eastAsia="zh-CN"/>
              </w:rPr>
              <w:t>20</w:t>
            </w:r>
            <w:r w:rsidRPr="000C156A">
              <w:rPr>
                <w:rFonts w:eastAsiaTheme="majorEastAsia" w:cs="Calibri"/>
                <w:b/>
                <w:bCs/>
                <w:sz w:val="22"/>
                <w:lang w:val="en-US" w:eastAsia="zh-CN"/>
              </w:rPr>
              <w:t>年</w:t>
            </w:r>
          </w:p>
        </w:tc>
        <w:tc>
          <w:tcPr>
            <w:tcW w:w="1151" w:type="dxa"/>
            <w:tcBorders>
              <w:top w:val="single" w:sz="4" w:space="0" w:color="auto"/>
              <w:left w:val="single" w:sz="4" w:space="0" w:color="auto"/>
              <w:bottom w:val="single" w:sz="4" w:space="0" w:color="auto"/>
              <w:right w:val="single" w:sz="4" w:space="0" w:color="auto"/>
            </w:tcBorders>
            <w:vAlign w:val="center"/>
            <w:hideMark/>
          </w:tcPr>
          <w:p w14:paraId="5197A500" w14:textId="77777777" w:rsidR="009D43C3" w:rsidRPr="000C156A" w:rsidRDefault="009D43C3" w:rsidP="005D02F0">
            <w:pPr>
              <w:overflowPunct/>
              <w:autoSpaceDE/>
              <w:autoSpaceDN/>
              <w:adjustRightInd/>
              <w:spacing w:before="0"/>
              <w:jc w:val="center"/>
              <w:textAlignment w:val="auto"/>
              <w:rPr>
                <w:rFonts w:cs="Calibri"/>
                <w:b/>
                <w:sz w:val="22"/>
                <w:lang w:val="en-US"/>
              </w:rPr>
            </w:pPr>
            <w:r w:rsidRPr="000C156A">
              <w:rPr>
                <w:rFonts w:cs="Calibri"/>
                <w:b/>
                <w:sz w:val="22"/>
                <w:lang w:val="en-US"/>
              </w:rPr>
              <w:t>2</w:t>
            </w:r>
            <w:r w:rsidRPr="000C156A">
              <w:rPr>
                <w:rFonts w:cs="Calibri"/>
                <w:b/>
                <w:bCs/>
                <w:sz w:val="22"/>
                <w:lang w:val="en-US" w:eastAsia="zh-CN"/>
              </w:rPr>
              <w:t>01</w:t>
            </w:r>
            <w:r w:rsidRPr="000C156A">
              <w:rPr>
                <w:rFonts w:eastAsiaTheme="minorEastAsia" w:cs="Calibri"/>
                <w:b/>
                <w:bCs/>
                <w:sz w:val="22"/>
                <w:lang w:val="en-US" w:eastAsia="zh-CN"/>
              </w:rPr>
              <w:t>9</w:t>
            </w:r>
            <w:r w:rsidRPr="000C156A">
              <w:rPr>
                <w:rFonts w:eastAsiaTheme="majorEastAsia" w:cs="Calibri"/>
                <w:b/>
                <w:bCs/>
                <w:sz w:val="22"/>
                <w:lang w:val="en-US" w:eastAsia="zh-CN"/>
              </w:rPr>
              <w:t>年</w:t>
            </w:r>
          </w:p>
        </w:tc>
      </w:tr>
      <w:tr w:rsidR="009D43C3" w:rsidRPr="000C156A" w14:paraId="1252B48E" w14:textId="77777777" w:rsidTr="005D02F0">
        <w:tc>
          <w:tcPr>
            <w:tcW w:w="5264" w:type="dxa"/>
            <w:tcBorders>
              <w:top w:val="single" w:sz="4" w:space="0" w:color="auto"/>
              <w:left w:val="single" w:sz="4" w:space="0" w:color="auto"/>
              <w:bottom w:val="single" w:sz="4" w:space="0" w:color="auto"/>
              <w:right w:val="single" w:sz="4" w:space="0" w:color="auto"/>
            </w:tcBorders>
            <w:hideMark/>
          </w:tcPr>
          <w:p w14:paraId="75939B6C" w14:textId="77777777" w:rsidR="009D43C3" w:rsidRPr="000C156A" w:rsidRDefault="009D43C3" w:rsidP="005D02F0">
            <w:pPr>
              <w:pStyle w:val="Tabletext"/>
            </w:pPr>
            <w:r w:rsidRPr="000C156A">
              <w:rPr>
                <w:rFonts w:cs="Microsoft YaHei" w:hint="eastAsia"/>
              </w:rPr>
              <w:t>借款</w:t>
            </w:r>
          </w:p>
        </w:tc>
        <w:tc>
          <w:tcPr>
            <w:tcW w:w="1032" w:type="dxa"/>
            <w:tcBorders>
              <w:top w:val="single" w:sz="4" w:space="0" w:color="auto"/>
              <w:left w:val="single" w:sz="4" w:space="0" w:color="auto"/>
              <w:bottom w:val="single" w:sz="4" w:space="0" w:color="auto"/>
              <w:right w:val="single" w:sz="4" w:space="0" w:color="auto"/>
            </w:tcBorders>
            <w:vAlign w:val="center"/>
            <w:hideMark/>
          </w:tcPr>
          <w:p w14:paraId="3ABE7DEA" w14:textId="7A11B132"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47</w:t>
            </w:r>
            <w:r w:rsidR="00261BAD" w:rsidRPr="000C156A">
              <w:rPr>
                <w:color w:val="000000"/>
                <w:sz w:val="22"/>
                <w:lang w:val="en-US" w:eastAsia="zh-CN"/>
              </w:rPr>
              <w:t xml:space="preserve"> </w:t>
            </w:r>
            <w:r w:rsidRPr="000C156A">
              <w:rPr>
                <w:color w:val="000000"/>
                <w:sz w:val="22"/>
                <w:lang w:val="en-US" w:eastAsia="zh-CN"/>
              </w:rPr>
              <w:t>110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38F14144" w14:textId="2551CD98"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44</w:t>
            </w:r>
            <w:r w:rsidR="00261BAD" w:rsidRPr="000C156A">
              <w:rPr>
                <w:color w:val="000000"/>
                <w:sz w:val="22"/>
                <w:lang w:val="en-US" w:eastAsia="zh-CN"/>
              </w:rPr>
              <w:t xml:space="preserve"> </w:t>
            </w:r>
            <w:r w:rsidRPr="000C156A">
              <w:rPr>
                <w:color w:val="000000"/>
                <w:sz w:val="22"/>
                <w:lang w:val="en-US" w:eastAsia="zh-CN"/>
              </w:rPr>
              <w:t>949</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A619D94" w14:textId="12D4259F"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47</w:t>
            </w:r>
            <w:r w:rsidR="00261BAD" w:rsidRPr="000C156A">
              <w:rPr>
                <w:color w:val="000000"/>
                <w:sz w:val="22"/>
                <w:lang w:val="en-US" w:eastAsia="zh-CN"/>
              </w:rPr>
              <w:t xml:space="preserve"> </w:t>
            </w:r>
            <w:r w:rsidRPr="000C156A">
              <w:rPr>
                <w:color w:val="000000"/>
                <w:sz w:val="22"/>
                <w:lang w:val="en-US" w:eastAsia="zh-CN"/>
              </w:rPr>
              <w:t>110</w:t>
            </w:r>
          </w:p>
        </w:tc>
        <w:tc>
          <w:tcPr>
            <w:tcW w:w="1151" w:type="dxa"/>
            <w:tcBorders>
              <w:top w:val="single" w:sz="4" w:space="0" w:color="auto"/>
              <w:left w:val="single" w:sz="4" w:space="0" w:color="auto"/>
              <w:bottom w:val="single" w:sz="4" w:space="0" w:color="auto"/>
              <w:right w:val="single" w:sz="4" w:space="0" w:color="auto"/>
            </w:tcBorders>
            <w:vAlign w:val="center"/>
            <w:hideMark/>
          </w:tcPr>
          <w:p w14:paraId="2DE7025F" w14:textId="5462E0F5"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44</w:t>
            </w:r>
            <w:r w:rsidR="00261BAD" w:rsidRPr="000C156A">
              <w:rPr>
                <w:color w:val="000000"/>
                <w:sz w:val="22"/>
                <w:lang w:val="en-US" w:eastAsia="zh-CN"/>
              </w:rPr>
              <w:t xml:space="preserve"> </w:t>
            </w:r>
            <w:r w:rsidRPr="000C156A">
              <w:rPr>
                <w:color w:val="000000"/>
                <w:sz w:val="22"/>
                <w:lang w:val="en-US" w:eastAsia="zh-CN"/>
              </w:rPr>
              <w:t>949</w:t>
            </w:r>
          </w:p>
        </w:tc>
      </w:tr>
      <w:tr w:rsidR="009D43C3" w:rsidRPr="000C156A" w14:paraId="56E207CE" w14:textId="77777777" w:rsidTr="005D02F0">
        <w:tc>
          <w:tcPr>
            <w:tcW w:w="5264" w:type="dxa"/>
            <w:tcBorders>
              <w:top w:val="single" w:sz="4" w:space="0" w:color="auto"/>
              <w:left w:val="single" w:sz="4" w:space="0" w:color="auto"/>
              <w:bottom w:val="single" w:sz="4" w:space="0" w:color="auto"/>
              <w:right w:val="single" w:sz="4" w:space="0" w:color="auto"/>
            </w:tcBorders>
            <w:hideMark/>
          </w:tcPr>
          <w:p w14:paraId="09E56E5A" w14:textId="77777777" w:rsidR="009D43C3" w:rsidRPr="000C156A" w:rsidRDefault="009D43C3" w:rsidP="005D02F0">
            <w:pPr>
              <w:pStyle w:val="Tabletext"/>
            </w:pPr>
            <w:r w:rsidRPr="000C156A">
              <w:rPr>
                <w:rFonts w:cs="Microsoft YaHei" w:hint="eastAsia"/>
              </w:rPr>
              <w:t>兑换交易应付账款</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1C7201A" w14:textId="214705AF"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2</w:t>
            </w:r>
            <w:r w:rsidR="00261BAD" w:rsidRPr="000C156A">
              <w:rPr>
                <w:color w:val="000000"/>
                <w:sz w:val="22"/>
                <w:lang w:val="en-US" w:eastAsia="zh-CN"/>
              </w:rPr>
              <w:t xml:space="preserve"> </w:t>
            </w:r>
            <w:r w:rsidRPr="000C156A">
              <w:rPr>
                <w:color w:val="000000"/>
                <w:sz w:val="22"/>
                <w:lang w:val="en-US" w:eastAsia="zh-CN"/>
              </w:rPr>
              <w:t>768</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F276223" w14:textId="1AD2D0F9"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4</w:t>
            </w:r>
            <w:r w:rsidR="00261BAD" w:rsidRPr="000C156A">
              <w:rPr>
                <w:color w:val="000000"/>
                <w:sz w:val="22"/>
                <w:lang w:val="en-US" w:eastAsia="zh-CN"/>
              </w:rPr>
              <w:t xml:space="preserve"> </w:t>
            </w:r>
            <w:r w:rsidRPr="000C156A">
              <w:rPr>
                <w:color w:val="000000"/>
                <w:sz w:val="22"/>
                <w:lang w:val="en-US" w:eastAsia="zh-CN"/>
              </w:rPr>
              <w:t>772</w:t>
            </w:r>
          </w:p>
        </w:tc>
        <w:tc>
          <w:tcPr>
            <w:tcW w:w="1150" w:type="dxa"/>
            <w:tcBorders>
              <w:top w:val="single" w:sz="4" w:space="0" w:color="auto"/>
              <w:left w:val="single" w:sz="4" w:space="0" w:color="auto"/>
              <w:bottom w:val="single" w:sz="4" w:space="0" w:color="auto"/>
              <w:right w:val="single" w:sz="4" w:space="0" w:color="auto"/>
            </w:tcBorders>
            <w:vAlign w:val="center"/>
            <w:hideMark/>
          </w:tcPr>
          <w:p w14:paraId="74EC8046" w14:textId="36A5C8B5"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2</w:t>
            </w:r>
            <w:r w:rsidR="00261BAD" w:rsidRPr="000C156A">
              <w:rPr>
                <w:color w:val="000000"/>
                <w:sz w:val="22"/>
                <w:lang w:val="en-US" w:eastAsia="zh-CN"/>
              </w:rPr>
              <w:t xml:space="preserve"> </w:t>
            </w:r>
            <w:r w:rsidRPr="000C156A">
              <w:rPr>
                <w:color w:val="000000"/>
                <w:sz w:val="22"/>
                <w:lang w:val="en-US" w:eastAsia="zh-CN"/>
              </w:rPr>
              <w:t>768</w:t>
            </w:r>
          </w:p>
        </w:tc>
        <w:tc>
          <w:tcPr>
            <w:tcW w:w="1151" w:type="dxa"/>
            <w:tcBorders>
              <w:top w:val="single" w:sz="4" w:space="0" w:color="auto"/>
              <w:left w:val="single" w:sz="4" w:space="0" w:color="auto"/>
              <w:bottom w:val="single" w:sz="4" w:space="0" w:color="auto"/>
              <w:right w:val="single" w:sz="4" w:space="0" w:color="auto"/>
            </w:tcBorders>
            <w:vAlign w:val="center"/>
            <w:hideMark/>
          </w:tcPr>
          <w:p w14:paraId="3001FA09" w14:textId="0EB2C8E2" w:rsidR="009D43C3" w:rsidRPr="000C156A" w:rsidRDefault="009D43C3" w:rsidP="005D02F0">
            <w:pPr>
              <w:overflowPunct/>
              <w:autoSpaceDE/>
              <w:autoSpaceDN/>
              <w:adjustRightInd/>
              <w:spacing w:before="0"/>
              <w:jc w:val="right"/>
              <w:textAlignment w:val="auto"/>
              <w:rPr>
                <w:color w:val="000000"/>
                <w:sz w:val="22"/>
                <w:lang w:val="en-US" w:eastAsia="zh-CN"/>
              </w:rPr>
            </w:pPr>
            <w:r w:rsidRPr="000C156A">
              <w:rPr>
                <w:color w:val="000000"/>
                <w:sz w:val="22"/>
                <w:lang w:val="en-US" w:eastAsia="zh-CN"/>
              </w:rPr>
              <w:t>4</w:t>
            </w:r>
            <w:r w:rsidR="00261BAD" w:rsidRPr="000C156A">
              <w:rPr>
                <w:color w:val="000000"/>
                <w:sz w:val="22"/>
                <w:lang w:val="en-US" w:eastAsia="zh-CN"/>
              </w:rPr>
              <w:t xml:space="preserve"> </w:t>
            </w:r>
            <w:r w:rsidRPr="000C156A">
              <w:rPr>
                <w:color w:val="000000"/>
                <w:sz w:val="22"/>
                <w:lang w:val="en-US" w:eastAsia="zh-CN"/>
              </w:rPr>
              <w:t>772</w:t>
            </w:r>
          </w:p>
        </w:tc>
      </w:tr>
    </w:tbl>
    <w:p w14:paraId="38525030" w14:textId="77777777" w:rsidR="009D43C3" w:rsidRPr="000C156A" w:rsidRDefault="009D43C3" w:rsidP="009D43C3">
      <w:pPr>
        <w:spacing w:before="240"/>
        <w:ind w:firstLineChars="200" w:firstLine="480"/>
        <w:rPr>
          <w:lang w:val="en-US" w:eastAsia="zh-CN"/>
        </w:rPr>
      </w:pPr>
      <w:r w:rsidRPr="000C156A">
        <w:rPr>
          <w:rFonts w:hint="eastAsia"/>
          <w:lang w:val="en-US" w:eastAsia="zh-CN"/>
        </w:rPr>
        <w:t>金融资产和债务的公允价值包含在各方之间愿意达成的可交换工具的当前交易金额中，而非强制销售或清算金额内。</w:t>
      </w:r>
    </w:p>
    <w:p w14:paraId="48DB1FEC" w14:textId="77777777" w:rsidR="009D43C3" w:rsidRPr="000C156A" w:rsidRDefault="009D43C3" w:rsidP="009D43C3">
      <w:pPr>
        <w:ind w:firstLineChars="200" w:firstLine="480"/>
        <w:rPr>
          <w:lang w:val="en-US" w:eastAsia="zh-CN"/>
        </w:rPr>
      </w:pPr>
      <w:r w:rsidRPr="000C156A">
        <w:rPr>
          <w:rFonts w:hint="eastAsia"/>
          <w:lang w:val="en-US" w:eastAsia="zh-CN"/>
        </w:rPr>
        <w:t>用来估计公允价值的</w:t>
      </w:r>
      <w:r w:rsidRPr="000C156A">
        <w:rPr>
          <w:rFonts w:hint="eastAsia"/>
          <w:lang w:eastAsia="zh-CN"/>
        </w:rPr>
        <w:t>方法</w:t>
      </w:r>
      <w:r w:rsidRPr="000C156A">
        <w:rPr>
          <w:rFonts w:hint="eastAsia"/>
          <w:lang w:val="en-US" w:eastAsia="zh-CN"/>
        </w:rPr>
        <w:t>和假设如下：</w:t>
      </w:r>
    </w:p>
    <w:p w14:paraId="19647C73" w14:textId="77777777" w:rsidR="009D43C3" w:rsidRPr="000C156A" w:rsidRDefault="009D43C3" w:rsidP="009D43C3">
      <w:pPr>
        <w:pStyle w:val="enumlev1"/>
        <w:rPr>
          <w:lang w:val="en-US" w:eastAsia="zh-CN"/>
        </w:rPr>
      </w:pPr>
      <w:r w:rsidRPr="000C156A">
        <w:rPr>
          <w:lang w:val="en-US" w:eastAsia="zh-CN"/>
        </w:rPr>
        <w:t>–</w:t>
      </w:r>
      <w:r w:rsidRPr="000C156A">
        <w:rPr>
          <w:lang w:val="en-US" w:eastAsia="zh-CN"/>
        </w:rPr>
        <w:tab/>
      </w:r>
      <w:r w:rsidRPr="000C156A">
        <w:rPr>
          <w:rFonts w:hint="eastAsia"/>
          <w:lang w:val="en-US" w:eastAsia="zh-CN"/>
        </w:rPr>
        <w:t>现金和现金等价物、短期存款、兑换交易的应收款项、其他应收款项、兑换交易的应付账款和其他主要因为上述投资期限短造成的接近账面金额的应付款；</w:t>
      </w:r>
    </w:p>
    <w:p w14:paraId="3F0707D7" w14:textId="77777777" w:rsidR="009D43C3" w:rsidRPr="000C156A" w:rsidRDefault="009D43C3" w:rsidP="009D43C3">
      <w:pPr>
        <w:pStyle w:val="enumlev1"/>
        <w:rPr>
          <w:lang w:val="en-US" w:eastAsia="zh-CN"/>
        </w:rPr>
      </w:pPr>
      <w:r w:rsidRPr="000C156A">
        <w:rPr>
          <w:lang w:val="en-US" w:eastAsia="zh-CN"/>
        </w:rPr>
        <w:t>–</w:t>
      </w:r>
      <w:r w:rsidRPr="000C156A">
        <w:rPr>
          <w:lang w:val="en-US" w:eastAsia="zh-CN"/>
        </w:rPr>
        <w:tab/>
      </w:r>
      <w:r w:rsidRPr="000C156A">
        <w:rPr>
          <w:rFonts w:hint="eastAsia"/>
          <w:lang w:val="en-US" w:eastAsia="zh-CN"/>
        </w:rPr>
        <w:t>按照说明</w:t>
      </w:r>
      <w:r w:rsidRPr="000C156A">
        <w:rPr>
          <w:lang w:val="en-US" w:eastAsia="zh-CN"/>
        </w:rPr>
        <w:t>2</w:t>
      </w:r>
      <w:r w:rsidRPr="000C156A">
        <w:rPr>
          <w:rFonts w:hint="eastAsia"/>
          <w:lang w:val="en-US" w:eastAsia="zh-CN"/>
        </w:rPr>
        <w:t>计价的短期和长期应收款项；</w:t>
      </w:r>
    </w:p>
    <w:p w14:paraId="0BC4A890" w14:textId="77777777" w:rsidR="009D43C3" w:rsidRPr="000C156A" w:rsidRDefault="009D43C3" w:rsidP="009D43C3">
      <w:pPr>
        <w:pStyle w:val="enumlev1"/>
        <w:rPr>
          <w:b/>
          <w:bCs/>
          <w:lang w:val="en-US" w:eastAsia="zh-CN"/>
        </w:rPr>
      </w:pPr>
      <w:r w:rsidRPr="000C156A">
        <w:rPr>
          <w:lang w:val="en-US" w:eastAsia="zh-CN"/>
        </w:rPr>
        <w:t>–</w:t>
      </w:r>
      <w:r w:rsidRPr="000C156A">
        <w:rPr>
          <w:lang w:val="en-US" w:eastAsia="zh-CN"/>
        </w:rPr>
        <w:tab/>
      </w:r>
      <w:r w:rsidRPr="000C156A">
        <w:rPr>
          <w:rFonts w:hint="eastAsia"/>
          <w:lang w:val="en-US" w:eastAsia="zh-CN"/>
        </w:rPr>
        <w:t>按照说明</w:t>
      </w:r>
      <w:r w:rsidRPr="000C156A">
        <w:rPr>
          <w:lang w:val="en-US" w:eastAsia="zh-CN"/>
        </w:rPr>
        <w:t>2</w:t>
      </w:r>
      <w:r w:rsidRPr="000C156A">
        <w:rPr>
          <w:rFonts w:hint="eastAsia"/>
          <w:lang w:val="en-US" w:eastAsia="zh-CN"/>
        </w:rPr>
        <w:t>计价的借款；</w:t>
      </w:r>
    </w:p>
    <w:p w14:paraId="12834D8B" w14:textId="77777777" w:rsidR="009D43C3" w:rsidRPr="000C156A" w:rsidRDefault="009D43C3" w:rsidP="009D43C3">
      <w:pPr>
        <w:pStyle w:val="Headingb"/>
        <w:rPr>
          <w:lang w:val="en-US" w:eastAsia="zh-CN"/>
        </w:rPr>
      </w:pPr>
      <w:bookmarkStart w:id="509" w:name="_Toc73518681"/>
      <w:bookmarkStart w:id="510" w:name="_Toc73518828"/>
      <w:bookmarkStart w:id="511" w:name="_Toc73519228"/>
      <w:bookmarkStart w:id="512" w:name="_Toc73636267"/>
      <w:r w:rsidRPr="000C156A">
        <w:rPr>
          <w:rFonts w:hint="eastAsia"/>
          <w:lang w:val="en-US" w:eastAsia="zh-CN"/>
        </w:rPr>
        <w:t>公允价值的分层结构</w:t>
      </w:r>
      <w:bookmarkEnd w:id="509"/>
      <w:bookmarkEnd w:id="510"/>
      <w:bookmarkEnd w:id="511"/>
      <w:bookmarkEnd w:id="512"/>
    </w:p>
    <w:p w14:paraId="52428DEF" w14:textId="77777777" w:rsidR="009D43C3" w:rsidRPr="000C156A" w:rsidRDefault="009D43C3" w:rsidP="009D43C3">
      <w:pPr>
        <w:ind w:firstLineChars="200" w:firstLine="480"/>
        <w:rPr>
          <w:lang w:val="en-US" w:eastAsia="zh-CN"/>
        </w:rPr>
      </w:pPr>
      <w:r w:rsidRPr="000C156A">
        <w:rPr>
          <w:rFonts w:hint="eastAsia"/>
          <w:lang w:val="en-US" w:eastAsia="zh-CN"/>
        </w:rPr>
        <w:t>国际电联采用以下分层结构</w:t>
      </w:r>
      <w:r w:rsidRPr="000C156A">
        <w:rPr>
          <w:rFonts w:hint="eastAsia"/>
          <w:lang w:eastAsia="zh-CN"/>
        </w:rPr>
        <w:t>决定</w:t>
      </w:r>
      <w:r w:rsidRPr="000C156A">
        <w:rPr>
          <w:rFonts w:hint="eastAsia"/>
          <w:lang w:val="en-US" w:eastAsia="zh-CN"/>
        </w:rPr>
        <w:t>并披露采用估值技巧确定的金融工具的公允价值：</w:t>
      </w:r>
    </w:p>
    <w:p w14:paraId="5E4BEBC1" w14:textId="37CCC959" w:rsidR="009D43C3" w:rsidRPr="000C156A" w:rsidRDefault="009D43C3" w:rsidP="00261BAD">
      <w:pPr>
        <w:spacing w:before="100"/>
        <w:ind w:firstLineChars="200" w:firstLine="480"/>
        <w:rPr>
          <w:lang w:val="en-US" w:eastAsia="zh-CN"/>
        </w:rPr>
      </w:pPr>
      <w:r w:rsidRPr="000C156A">
        <w:rPr>
          <w:rFonts w:hint="eastAsia"/>
          <w:lang w:val="en-US" w:eastAsia="zh-CN"/>
        </w:rPr>
        <w:t>第</w:t>
      </w:r>
      <w:r w:rsidRPr="000C156A">
        <w:rPr>
          <w:lang w:val="en-US" w:eastAsia="zh-CN"/>
        </w:rPr>
        <w:t>1</w:t>
      </w:r>
      <w:r w:rsidRPr="000C156A">
        <w:rPr>
          <w:rFonts w:hint="eastAsia"/>
          <w:lang w:val="en-US" w:eastAsia="zh-CN"/>
        </w:rPr>
        <w:t>级：相同资产和负债的实际市场报价；</w:t>
      </w:r>
    </w:p>
    <w:p w14:paraId="21A03477" w14:textId="51260451" w:rsidR="009D43C3" w:rsidRPr="000C156A" w:rsidRDefault="009D43C3" w:rsidP="00261BAD">
      <w:pPr>
        <w:spacing w:before="100"/>
        <w:ind w:firstLineChars="200" w:firstLine="480"/>
        <w:rPr>
          <w:lang w:val="en-US" w:eastAsia="zh-CN"/>
        </w:rPr>
      </w:pPr>
      <w:r w:rsidRPr="000C156A">
        <w:rPr>
          <w:rFonts w:hint="eastAsia"/>
          <w:lang w:val="en-US" w:eastAsia="zh-CN"/>
        </w:rPr>
        <w:t>第</w:t>
      </w:r>
      <w:r w:rsidRPr="000C156A">
        <w:rPr>
          <w:lang w:val="en-US" w:eastAsia="zh-CN"/>
        </w:rPr>
        <w:t>2</w:t>
      </w:r>
      <w:r w:rsidRPr="000C156A">
        <w:rPr>
          <w:rFonts w:hint="eastAsia"/>
          <w:lang w:val="en-US" w:eastAsia="zh-CN"/>
        </w:rPr>
        <w:t>级：可直接或间接从资产或负债中看到的包含在第</w:t>
      </w:r>
      <w:r w:rsidRPr="000C156A">
        <w:rPr>
          <w:lang w:val="en-US" w:eastAsia="zh-CN"/>
        </w:rPr>
        <w:t>1</w:t>
      </w:r>
      <w:r w:rsidRPr="000C156A">
        <w:rPr>
          <w:rFonts w:hint="eastAsia"/>
          <w:lang w:val="en-US" w:eastAsia="zh-CN"/>
        </w:rPr>
        <w:t>级报价以外的输入；</w:t>
      </w:r>
    </w:p>
    <w:p w14:paraId="1A097B8B" w14:textId="3E316707" w:rsidR="009D43C3" w:rsidRPr="000C156A" w:rsidRDefault="009D43C3" w:rsidP="00261BAD">
      <w:pPr>
        <w:spacing w:before="100"/>
        <w:ind w:firstLineChars="200" w:firstLine="480"/>
        <w:rPr>
          <w:lang w:val="en-US" w:eastAsia="zh-CN"/>
        </w:rPr>
      </w:pPr>
      <w:r w:rsidRPr="000C156A">
        <w:rPr>
          <w:rFonts w:hint="eastAsia"/>
          <w:lang w:val="en-US" w:eastAsia="zh-CN"/>
        </w:rPr>
        <w:t>第</w:t>
      </w:r>
      <w:r w:rsidRPr="000C156A">
        <w:rPr>
          <w:lang w:val="en-US" w:eastAsia="zh-CN"/>
        </w:rPr>
        <w:t>3</w:t>
      </w:r>
      <w:r w:rsidRPr="000C156A">
        <w:rPr>
          <w:rFonts w:hint="eastAsia"/>
          <w:lang w:val="en-US" w:eastAsia="zh-CN"/>
        </w:rPr>
        <w:t>级：使用输入的技巧，对记录的公允价值具有重大影响，不以观察到的市场数据为依据；</w:t>
      </w:r>
      <w:bookmarkEnd w:id="489"/>
      <w:bookmarkEnd w:id="490"/>
    </w:p>
    <w:p w14:paraId="78D553D1" w14:textId="77777777" w:rsidR="009D43C3" w:rsidRPr="000C156A" w:rsidRDefault="009D43C3" w:rsidP="009D43C3">
      <w:pPr>
        <w:ind w:firstLineChars="200" w:firstLine="480"/>
        <w:rPr>
          <w:lang w:val="en-US" w:eastAsia="zh-CN"/>
        </w:rPr>
      </w:pPr>
      <w:r w:rsidRPr="000C156A">
        <w:rPr>
          <w:rFonts w:hint="eastAsia"/>
          <w:lang w:val="en-US" w:eastAsia="zh-CN"/>
        </w:rPr>
        <w:t>截至</w:t>
      </w:r>
      <w:r w:rsidRPr="000C156A">
        <w:rPr>
          <w:lang w:val="en-US" w:eastAsia="zh-CN"/>
        </w:rPr>
        <w:t>20</w:t>
      </w:r>
      <w:r w:rsidRPr="000C156A">
        <w:rPr>
          <w:rFonts w:hint="eastAsia"/>
          <w:lang w:val="en-US" w:eastAsia="zh-CN"/>
        </w:rPr>
        <w:t>20</w:t>
      </w:r>
      <w:r w:rsidRPr="000C156A">
        <w:rPr>
          <w:rFonts w:hint="eastAsia"/>
          <w:lang w:val="en-US" w:eastAsia="zh-CN"/>
        </w:rPr>
        <w:t>年</w:t>
      </w:r>
      <w:r w:rsidRPr="000C156A">
        <w:rPr>
          <w:lang w:val="en-US" w:eastAsia="zh-CN"/>
        </w:rPr>
        <w:t>12</w:t>
      </w:r>
      <w:r w:rsidRPr="000C156A">
        <w:rPr>
          <w:rFonts w:hint="eastAsia"/>
          <w:lang w:val="en-US" w:eastAsia="zh-CN"/>
        </w:rPr>
        <w:t>月</w:t>
      </w:r>
      <w:r w:rsidRPr="000C156A">
        <w:rPr>
          <w:lang w:val="en-US" w:eastAsia="zh-CN"/>
        </w:rPr>
        <w:t>31</w:t>
      </w:r>
      <w:r w:rsidRPr="000C156A">
        <w:rPr>
          <w:rFonts w:hint="eastAsia"/>
          <w:lang w:val="en-US" w:eastAsia="zh-CN"/>
        </w:rPr>
        <w:t>日，财务</w:t>
      </w:r>
      <w:r w:rsidRPr="000C156A">
        <w:rPr>
          <w:rFonts w:hint="eastAsia"/>
          <w:lang w:eastAsia="zh-CN"/>
        </w:rPr>
        <w:t>状况</w:t>
      </w:r>
      <w:r w:rsidRPr="000C156A">
        <w:rPr>
          <w:rFonts w:hint="eastAsia"/>
          <w:lang w:val="en-US" w:eastAsia="zh-CN"/>
        </w:rPr>
        <w:t>报表中的所有投资都是银行存款和短期银行投资，均以其公允价值计价。</w:t>
      </w:r>
    </w:p>
    <w:p w14:paraId="2AFD6E57" w14:textId="77777777" w:rsidR="009D43C3" w:rsidRPr="000C156A" w:rsidRDefault="009D43C3" w:rsidP="009D43C3">
      <w:pPr>
        <w:pStyle w:val="enumlev1"/>
        <w:rPr>
          <w:lang w:val="en-US" w:eastAsia="zh-CN"/>
        </w:rPr>
      </w:pPr>
      <w:r w:rsidRPr="000C156A">
        <w:rPr>
          <w:lang w:val="en-US" w:eastAsia="zh-CN"/>
        </w:rPr>
        <w:t>a)</w:t>
      </w:r>
      <w:r w:rsidRPr="000C156A">
        <w:rPr>
          <w:lang w:val="en-US" w:eastAsia="zh-CN"/>
        </w:rPr>
        <w:tab/>
      </w:r>
      <w:r w:rsidRPr="000C156A">
        <w:rPr>
          <w:rFonts w:hint="eastAsia"/>
          <w:lang w:val="en-US" w:eastAsia="zh-CN"/>
        </w:rPr>
        <w:t>信用风险</w:t>
      </w:r>
    </w:p>
    <w:p w14:paraId="577ECB5B" w14:textId="77777777" w:rsidR="009D43C3" w:rsidRPr="000C156A" w:rsidRDefault="009D43C3" w:rsidP="009D43C3">
      <w:pPr>
        <w:pStyle w:val="enumlev1"/>
        <w:spacing w:after="120"/>
        <w:rPr>
          <w:lang w:val="en-US" w:eastAsia="zh-CN"/>
        </w:rPr>
      </w:pPr>
      <w:r w:rsidRPr="000C156A">
        <w:rPr>
          <w:lang w:val="en-US" w:eastAsia="zh-CN"/>
        </w:rPr>
        <w:tab/>
      </w:r>
      <w:r w:rsidRPr="000C156A">
        <w:rPr>
          <w:rFonts w:hint="eastAsia"/>
          <w:lang w:val="en-US" w:eastAsia="zh-CN"/>
        </w:rPr>
        <w:t>信用风险是当国际电联客户或金融工具合作方未履行其合同义务时对国际电联造成的财务损失风险，它主要源于投资、应收款项以及现金和现金等价物。金融资产的账面金额代表最大信用风险。截至</w:t>
      </w:r>
      <w:r w:rsidRPr="000C156A">
        <w:rPr>
          <w:lang w:val="en-US" w:eastAsia="zh-CN"/>
        </w:rPr>
        <w:t>12</w:t>
      </w:r>
      <w:r w:rsidRPr="000C156A">
        <w:rPr>
          <w:rFonts w:hint="eastAsia"/>
          <w:lang w:val="en-US" w:eastAsia="zh-CN"/>
        </w:rPr>
        <w:t>月</w:t>
      </w:r>
      <w:r w:rsidRPr="000C156A">
        <w:rPr>
          <w:lang w:val="en-US" w:eastAsia="zh-CN"/>
        </w:rPr>
        <w:t>31</w:t>
      </w:r>
      <w:r w:rsidRPr="000C156A">
        <w:rPr>
          <w:rFonts w:hint="eastAsia"/>
          <w:lang w:val="en-US" w:eastAsia="zh-CN"/>
        </w:rPr>
        <w:t>日的最大信用风险包括：</w:t>
      </w:r>
    </w:p>
    <w:tbl>
      <w:tblPr>
        <w:tblStyle w:val="TableGrid"/>
        <w:tblW w:w="0" w:type="auto"/>
        <w:jc w:val="center"/>
        <w:tblLook w:val="04A0" w:firstRow="1" w:lastRow="0" w:firstColumn="1" w:lastColumn="0" w:noHBand="0" w:noVBand="1"/>
      </w:tblPr>
      <w:tblGrid>
        <w:gridCol w:w="4287"/>
        <w:gridCol w:w="2197"/>
        <w:gridCol w:w="2299"/>
      </w:tblGrid>
      <w:tr w:rsidR="009D43C3" w:rsidRPr="000C156A" w14:paraId="51828965" w14:textId="77777777" w:rsidTr="005D02F0">
        <w:trPr>
          <w:jc w:val="center"/>
        </w:trPr>
        <w:tc>
          <w:tcPr>
            <w:tcW w:w="4287" w:type="dxa"/>
            <w:tcBorders>
              <w:top w:val="single" w:sz="4" w:space="0" w:color="auto"/>
              <w:left w:val="single" w:sz="4" w:space="0" w:color="auto"/>
              <w:bottom w:val="single" w:sz="4" w:space="0" w:color="auto"/>
              <w:right w:val="single" w:sz="4" w:space="0" w:color="auto"/>
            </w:tcBorders>
            <w:hideMark/>
          </w:tcPr>
          <w:p w14:paraId="364C5466" w14:textId="77777777" w:rsidR="009D43C3" w:rsidRPr="000C156A" w:rsidRDefault="009D43C3" w:rsidP="00261BAD">
            <w:pPr>
              <w:pStyle w:val="Tablehead"/>
              <w:keepNext/>
              <w:rPr>
                <w:lang w:val="en-US" w:eastAsia="zh-CN"/>
              </w:rPr>
            </w:pPr>
            <w:r w:rsidRPr="000C156A">
              <w:rPr>
                <w:rFonts w:hint="eastAsia"/>
                <w:lang w:val="en-US" w:eastAsia="zh-CN"/>
              </w:rPr>
              <w:lastRenderedPageBreak/>
              <w:t>单位：千瑞郎</w:t>
            </w:r>
          </w:p>
        </w:tc>
        <w:tc>
          <w:tcPr>
            <w:tcW w:w="2197" w:type="dxa"/>
            <w:tcBorders>
              <w:top w:val="single" w:sz="4" w:space="0" w:color="auto"/>
              <w:left w:val="single" w:sz="4" w:space="0" w:color="auto"/>
              <w:bottom w:val="single" w:sz="4" w:space="0" w:color="auto"/>
              <w:right w:val="single" w:sz="4" w:space="0" w:color="auto"/>
            </w:tcBorders>
            <w:vAlign w:val="center"/>
            <w:hideMark/>
          </w:tcPr>
          <w:p w14:paraId="294EADF0" w14:textId="77777777" w:rsidR="009D43C3" w:rsidRPr="000C156A" w:rsidRDefault="009D43C3" w:rsidP="005D02F0">
            <w:pPr>
              <w:pStyle w:val="Tablehead"/>
              <w:jc w:val="right"/>
              <w:rPr>
                <w:lang w:val="en-US" w:eastAsia="zh-CN"/>
              </w:rPr>
            </w:pPr>
            <w:r w:rsidRPr="000C156A">
              <w:rPr>
                <w:lang w:val="en-US" w:eastAsia="zh-CN"/>
              </w:rPr>
              <w:t>20</w:t>
            </w:r>
            <w:r w:rsidRPr="000C156A">
              <w:rPr>
                <w:rFonts w:hint="eastAsia"/>
                <w:lang w:val="en-US" w:eastAsia="zh-CN"/>
              </w:rPr>
              <w:t>20</w:t>
            </w:r>
            <w:r w:rsidRPr="000C156A">
              <w:rPr>
                <w:rFonts w:hint="eastAsia"/>
                <w:lang w:val="en-US" w:eastAsia="zh-CN"/>
              </w:rPr>
              <w:t>年</w:t>
            </w:r>
            <w:r w:rsidRPr="000C156A">
              <w:rPr>
                <w:lang w:val="en-US" w:eastAsia="zh-CN"/>
              </w:rPr>
              <w:t>12</w:t>
            </w:r>
            <w:r w:rsidRPr="000C156A">
              <w:rPr>
                <w:rFonts w:hint="eastAsia"/>
                <w:lang w:val="en-US" w:eastAsia="zh-CN"/>
              </w:rPr>
              <w:t>月</w:t>
            </w:r>
            <w:r w:rsidRPr="000C156A">
              <w:rPr>
                <w:lang w:val="en-US" w:eastAsia="zh-CN"/>
              </w:rPr>
              <w:t>31</w:t>
            </w:r>
            <w:r w:rsidRPr="000C156A">
              <w:rPr>
                <w:rFonts w:hint="eastAsia"/>
                <w:lang w:val="en-US" w:eastAsia="zh-CN"/>
              </w:rPr>
              <w:t>日</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A73A4B5" w14:textId="77777777" w:rsidR="009D43C3" w:rsidRPr="000C156A" w:rsidRDefault="009D43C3" w:rsidP="005D02F0">
            <w:pPr>
              <w:pStyle w:val="Tablehead"/>
              <w:jc w:val="right"/>
              <w:rPr>
                <w:lang w:val="en-US" w:eastAsia="zh-CN"/>
              </w:rPr>
            </w:pPr>
            <w:r w:rsidRPr="000C156A">
              <w:rPr>
                <w:lang w:val="en-US" w:eastAsia="zh-CN"/>
              </w:rPr>
              <w:t>201</w:t>
            </w:r>
            <w:r w:rsidRPr="000C156A">
              <w:rPr>
                <w:rFonts w:hint="eastAsia"/>
                <w:lang w:val="en-US" w:eastAsia="zh-CN"/>
              </w:rPr>
              <w:t>9</w:t>
            </w:r>
            <w:r w:rsidRPr="000C156A">
              <w:rPr>
                <w:rFonts w:hint="eastAsia"/>
                <w:lang w:val="en-US" w:eastAsia="zh-CN"/>
              </w:rPr>
              <w:t>年</w:t>
            </w:r>
            <w:r w:rsidRPr="000C156A">
              <w:rPr>
                <w:lang w:val="en-US" w:eastAsia="zh-CN"/>
              </w:rPr>
              <w:t>12</w:t>
            </w:r>
            <w:r w:rsidRPr="000C156A">
              <w:rPr>
                <w:rFonts w:hint="eastAsia"/>
                <w:lang w:val="en-US" w:eastAsia="zh-CN"/>
              </w:rPr>
              <w:t>月</w:t>
            </w:r>
            <w:r w:rsidRPr="000C156A">
              <w:rPr>
                <w:lang w:val="en-US" w:eastAsia="zh-CN"/>
              </w:rPr>
              <w:t>31</w:t>
            </w:r>
            <w:r w:rsidRPr="000C156A">
              <w:rPr>
                <w:rFonts w:hint="eastAsia"/>
                <w:lang w:val="en-US" w:eastAsia="zh-CN"/>
              </w:rPr>
              <w:t>日</w:t>
            </w:r>
          </w:p>
        </w:tc>
      </w:tr>
      <w:tr w:rsidR="009D43C3" w:rsidRPr="000C156A" w14:paraId="7EB2F320" w14:textId="77777777" w:rsidTr="005D02F0">
        <w:trPr>
          <w:jc w:val="center"/>
        </w:trPr>
        <w:tc>
          <w:tcPr>
            <w:tcW w:w="4287" w:type="dxa"/>
            <w:tcBorders>
              <w:top w:val="single" w:sz="4" w:space="0" w:color="auto"/>
              <w:left w:val="single" w:sz="4" w:space="0" w:color="auto"/>
              <w:bottom w:val="single" w:sz="4" w:space="0" w:color="auto"/>
              <w:right w:val="single" w:sz="4" w:space="0" w:color="auto"/>
            </w:tcBorders>
            <w:hideMark/>
          </w:tcPr>
          <w:p w14:paraId="17DDD923" w14:textId="77777777" w:rsidR="009D43C3" w:rsidRPr="000C156A" w:rsidRDefault="009D43C3" w:rsidP="005D02F0">
            <w:pPr>
              <w:pStyle w:val="Tabletext"/>
              <w:keepNext/>
              <w:keepLines/>
              <w:spacing w:before="20" w:after="20"/>
              <w:rPr>
                <w:rFonts w:asciiTheme="minorEastAsia" w:eastAsiaTheme="minorEastAsia" w:hAnsiTheme="minorEastAsia"/>
              </w:rPr>
            </w:pPr>
            <w:r w:rsidRPr="000C156A">
              <w:rPr>
                <w:rFonts w:asciiTheme="minorEastAsia" w:eastAsiaTheme="minorEastAsia" w:hAnsiTheme="minorEastAsia" w:cs="Microsoft YaHei" w:hint="eastAsia"/>
              </w:rPr>
              <w:t>投资</w:t>
            </w:r>
          </w:p>
        </w:tc>
        <w:tc>
          <w:tcPr>
            <w:tcW w:w="2197" w:type="dxa"/>
            <w:tcBorders>
              <w:top w:val="single" w:sz="4" w:space="0" w:color="auto"/>
              <w:left w:val="single" w:sz="4" w:space="0" w:color="auto"/>
              <w:bottom w:val="single" w:sz="4" w:space="0" w:color="auto"/>
              <w:right w:val="single" w:sz="4" w:space="0" w:color="auto"/>
            </w:tcBorders>
            <w:hideMark/>
          </w:tcPr>
          <w:p w14:paraId="34DFC757" w14:textId="36998D37" w:rsidR="009D43C3" w:rsidRPr="000C156A" w:rsidRDefault="009D43C3" w:rsidP="005D02F0">
            <w:pPr>
              <w:pStyle w:val="enumlev1"/>
              <w:keepNext/>
              <w:keepLines/>
              <w:ind w:left="0" w:firstLine="0"/>
              <w:jc w:val="right"/>
              <w:rPr>
                <w:sz w:val="22"/>
                <w:lang w:val="en-US"/>
              </w:rPr>
            </w:pPr>
            <w:r w:rsidRPr="000C156A">
              <w:rPr>
                <w:sz w:val="22"/>
                <w:lang w:val="en-US"/>
              </w:rPr>
              <w:t>95</w:t>
            </w:r>
            <w:r w:rsidR="00261BAD" w:rsidRPr="000C156A">
              <w:rPr>
                <w:sz w:val="22"/>
                <w:lang w:val="en-US"/>
              </w:rPr>
              <w:t xml:space="preserve"> </w:t>
            </w:r>
            <w:r w:rsidRPr="000C156A">
              <w:rPr>
                <w:sz w:val="22"/>
                <w:lang w:val="en-US"/>
              </w:rPr>
              <w:t>516</w:t>
            </w:r>
          </w:p>
        </w:tc>
        <w:tc>
          <w:tcPr>
            <w:tcW w:w="2299" w:type="dxa"/>
            <w:tcBorders>
              <w:top w:val="single" w:sz="4" w:space="0" w:color="auto"/>
              <w:left w:val="single" w:sz="4" w:space="0" w:color="auto"/>
              <w:bottom w:val="single" w:sz="4" w:space="0" w:color="auto"/>
              <w:right w:val="single" w:sz="4" w:space="0" w:color="auto"/>
            </w:tcBorders>
            <w:hideMark/>
          </w:tcPr>
          <w:p w14:paraId="07EF3438" w14:textId="2B1CB6CA" w:rsidR="009D43C3" w:rsidRPr="000C156A" w:rsidRDefault="009D43C3" w:rsidP="005D02F0">
            <w:pPr>
              <w:pStyle w:val="enumlev1"/>
              <w:keepNext/>
              <w:keepLines/>
              <w:ind w:left="0" w:firstLine="0"/>
              <w:jc w:val="right"/>
              <w:rPr>
                <w:sz w:val="22"/>
                <w:lang w:val="en-US"/>
              </w:rPr>
            </w:pPr>
            <w:r w:rsidRPr="000C156A">
              <w:rPr>
                <w:sz w:val="22"/>
                <w:lang w:val="en-US"/>
              </w:rPr>
              <w:t>33</w:t>
            </w:r>
            <w:r w:rsidR="00261BAD" w:rsidRPr="000C156A">
              <w:rPr>
                <w:sz w:val="22"/>
                <w:lang w:val="en-US"/>
              </w:rPr>
              <w:t xml:space="preserve"> </w:t>
            </w:r>
            <w:r w:rsidRPr="000C156A">
              <w:rPr>
                <w:sz w:val="22"/>
                <w:lang w:val="en-US"/>
              </w:rPr>
              <w:t>329</w:t>
            </w:r>
          </w:p>
        </w:tc>
      </w:tr>
      <w:tr w:rsidR="009D43C3" w:rsidRPr="000C156A" w14:paraId="02B0A046" w14:textId="77777777" w:rsidTr="005D02F0">
        <w:trPr>
          <w:jc w:val="center"/>
        </w:trPr>
        <w:tc>
          <w:tcPr>
            <w:tcW w:w="4287" w:type="dxa"/>
            <w:tcBorders>
              <w:top w:val="single" w:sz="4" w:space="0" w:color="auto"/>
              <w:left w:val="single" w:sz="4" w:space="0" w:color="auto"/>
              <w:bottom w:val="single" w:sz="4" w:space="0" w:color="auto"/>
              <w:right w:val="single" w:sz="4" w:space="0" w:color="auto"/>
            </w:tcBorders>
            <w:hideMark/>
          </w:tcPr>
          <w:p w14:paraId="322607F7" w14:textId="77777777" w:rsidR="009D43C3" w:rsidRPr="000C156A" w:rsidRDefault="009D43C3" w:rsidP="005D02F0">
            <w:pPr>
              <w:pStyle w:val="Tabletext"/>
              <w:spacing w:before="20" w:after="20"/>
              <w:rPr>
                <w:rFonts w:asciiTheme="minorEastAsia" w:eastAsiaTheme="minorEastAsia" w:hAnsiTheme="minorEastAsia"/>
              </w:rPr>
            </w:pPr>
            <w:r w:rsidRPr="000C156A">
              <w:rPr>
                <w:rFonts w:asciiTheme="minorEastAsia" w:eastAsiaTheme="minorEastAsia" w:hAnsiTheme="minorEastAsia" w:cs="Microsoft YaHei" w:hint="eastAsia"/>
              </w:rPr>
              <w:t>应收款项</w:t>
            </w:r>
          </w:p>
        </w:tc>
        <w:tc>
          <w:tcPr>
            <w:tcW w:w="2197" w:type="dxa"/>
            <w:tcBorders>
              <w:top w:val="single" w:sz="4" w:space="0" w:color="auto"/>
              <w:left w:val="single" w:sz="4" w:space="0" w:color="auto"/>
              <w:bottom w:val="single" w:sz="4" w:space="0" w:color="auto"/>
              <w:right w:val="single" w:sz="4" w:space="0" w:color="auto"/>
            </w:tcBorders>
            <w:hideMark/>
          </w:tcPr>
          <w:p w14:paraId="780C5396" w14:textId="47022AF6" w:rsidR="009D43C3" w:rsidRPr="000C156A" w:rsidRDefault="009D43C3" w:rsidP="005D02F0">
            <w:pPr>
              <w:pStyle w:val="enumlev1"/>
              <w:ind w:left="0" w:firstLine="0"/>
              <w:jc w:val="right"/>
              <w:rPr>
                <w:sz w:val="22"/>
                <w:lang w:val="en-US"/>
              </w:rPr>
            </w:pPr>
            <w:r w:rsidRPr="000C156A">
              <w:rPr>
                <w:sz w:val="22"/>
                <w:lang w:val="en-US"/>
              </w:rPr>
              <w:t>107</w:t>
            </w:r>
            <w:r w:rsidR="00261BAD" w:rsidRPr="000C156A">
              <w:rPr>
                <w:sz w:val="22"/>
                <w:lang w:val="en-US"/>
              </w:rPr>
              <w:t xml:space="preserve"> </w:t>
            </w:r>
            <w:r w:rsidRPr="000C156A">
              <w:rPr>
                <w:sz w:val="22"/>
                <w:lang w:val="en-US"/>
              </w:rPr>
              <w:t>226</w:t>
            </w:r>
          </w:p>
        </w:tc>
        <w:tc>
          <w:tcPr>
            <w:tcW w:w="2299" w:type="dxa"/>
            <w:tcBorders>
              <w:top w:val="single" w:sz="4" w:space="0" w:color="auto"/>
              <w:left w:val="single" w:sz="4" w:space="0" w:color="auto"/>
              <w:bottom w:val="single" w:sz="4" w:space="0" w:color="auto"/>
              <w:right w:val="single" w:sz="4" w:space="0" w:color="auto"/>
            </w:tcBorders>
            <w:hideMark/>
          </w:tcPr>
          <w:p w14:paraId="0BEF9EED" w14:textId="79976CF2" w:rsidR="009D43C3" w:rsidRPr="000C156A" w:rsidRDefault="009D43C3" w:rsidP="005D02F0">
            <w:pPr>
              <w:pStyle w:val="enumlev1"/>
              <w:ind w:left="0" w:firstLine="0"/>
              <w:jc w:val="right"/>
              <w:rPr>
                <w:sz w:val="22"/>
                <w:lang w:val="en-US"/>
              </w:rPr>
            </w:pPr>
            <w:r w:rsidRPr="000C156A">
              <w:rPr>
                <w:sz w:val="22"/>
                <w:lang w:val="en-US"/>
              </w:rPr>
              <w:t>103</w:t>
            </w:r>
            <w:r w:rsidR="00261BAD" w:rsidRPr="000C156A">
              <w:rPr>
                <w:sz w:val="22"/>
                <w:lang w:val="en-US"/>
              </w:rPr>
              <w:t xml:space="preserve"> </w:t>
            </w:r>
            <w:r w:rsidRPr="000C156A">
              <w:rPr>
                <w:sz w:val="22"/>
                <w:lang w:val="en-US"/>
              </w:rPr>
              <w:t>000</w:t>
            </w:r>
          </w:p>
        </w:tc>
      </w:tr>
      <w:tr w:rsidR="009D43C3" w:rsidRPr="000C156A" w14:paraId="17DBDA4B" w14:textId="77777777" w:rsidTr="005D02F0">
        <w:trPr>
          <w:jc w:val="center"/>
        </w:trPr>
        <w:tc>
          <w:tcPr>
            <w:tcW w:w="4287" w:type="dxa"/>
            <w:tcBorders>
              <w:top w:val="single" w:sz="4" w:space="0" w:color="auto"/>
              <w:left w:val="single" w:sz="4" w:space="0" w:color="auto"/>
              <w:bottom w:val="single" w:sz="4" w:space="0" w:color="auto"/>
              <w:right w:val="single" w:sz="4" w:space="0" w:color="auto"/>
            </w:tcBorders>
            <w:hideMark/>
          </w:tcPr>
          <w:p w14:paraId="4D015D6B" w14:textId="77777777" w:rsidR="009D43C3" w:rsidRPr="000C156A" w:rsidRDefault="009D43C3" w:rsidP="005D02F0">
            <w:pPr>
              <w:pStyle w:val="Tabletext"/>
              <w:spacing w:before="20" w:after="20"/>
              <w:rPr>
                <w:rFonts w:asciiTheme="minorEastAsia" w:eastAsiaTheme="minorEastAsia" w:hAnsiTheme="minorEastAsia"/>
              </w:rPr>
            </w:pPr>
            <w:r w:rsidRPr="000C156A">
              <w:rPr>
                <w:rFonts w:asciiTheme="minorEastAsia" w:eastAsiaTheme="minorEastAsia" w:hAnsiTheme="minorEastAsia" w:cs="Microsoft YaHei" w:hint="eastAsia"/>
              </w:rPr>
              <w:t>现金和现金等价物</w:t>
            </w:r>
          </w:p>
        </w:tc>
        <w:tc>
          <w:tcPr>
            <w:tcW w:w="2197" w:type="dxa"/>
            <w:tcBorders>
              <w:top w:val="single" w:sz="4" w:space="0" w:color="auto"/>
              <w:left w:val="single" w:sz="4" w:space="0" w:color="auto"/>
              <w:bottom w:val="single" w:sz="4" w:space="0" w:color="auto"/>
              <w:right w:val="single" w:sz="4" w:space="0" w:color="auto"/>
            </w:tcBorders>
            <w:hideMark/>
          </w:tcPr>
          <w:p w14:paraId="4869B05C" w14:textId="7EADE591" w:rsidR="009D43C3" w:rsidRPr="000C156A" w:rsidRDefault="009D43C3" w:rsidP="005D02F0">
            <w:pPr>
              <w:pStyle w:val="enumlev1"/>
              <w:ind w:left="0" w:firstLine="0"/>
              <w:jc w:val="right"/>
              <w:rPr>
                <w:sz w:val="22"/>
                <w:lang w:val="en-US"/>
              </w:rPr>
            </w:pPr>
            <w:r w:rsidRPr="000C156A">
              <w:rPr>
                <w:sz w:val="22"/>
                <w:lang w:val="en-US"/>
              </w:rPr>
              <w:t>99</w:t>
            </w:r>
            <w:r w:rsidR="00261BAD" w:rsidRPr="000C156A">
              <w:rPr>
                <w:sz w:val="22"/>
                <w:lang w:val="en-US"/>
              </w:rPr>
              <w:t xml:space="preserve"> </w:t>
            </w:r>
            <w:r w:rsidRPr="000C156A">
              <w:rPr>
                <w:sz w:val="22"/>
                <w:lang w:val="en-US"/>
              </w:rPr>
              <w:t>406</w:t>
            </w:r>
          </w:p>
        </w:tc>
        <w:tc>
          <w:tcPr>
            <w:tcW w:w="2299" w:type="dxa"/>
            <w:tcBorders>
              <w:top w:val="single" w:sz="4" w:space="0" w:color="auto"/>
              <w:left w:val="single" w:sz="4" w:space="0" w:color="auto"/>
              <w:bottom w:val="single" w:sz="4" w:space="0" w:color="auto"/>
              <w:right w:val="single" w:sz="4" w:space="0" w:color="auto"/>
            </w:tcBorders>
            <w:hideMark/>
          </w:tcPr>
          <w:p w14:paraId="199F85C7" w14:textId="194A6E19" w:rsidR="009D43C3" w:rsidRPr="000C156A" w:rsidRDefault="009D43C3" w:rsidP="005D02F0">
            <w:pPr>
              <w:pStyle w:val="enumlev1"/>
              <w:ind w:left="0" w:firstLine="0"/>
              <w:jc w:val="right"/>
              <w:rPr>
                <w:sz w:val="22"/>
                <w:lang w:val="en-US"/>
              </w:rPr>
            </w:pPr>
            <w:r w:rsidRPr="000C156A">
              <w:rPr>
                <w:sz w:val="22"/>
                <w:lang w:val="en-US"/>
              </w:rPr>
              <w:t>178</w:t>
            </w:r>
            <w:r w:rsidR="00261BAD" w:rsidRPr="000C156A">
              <w:rPr>
                <w:sz w:val="22"/>
                <w:lang w:val="en-US"/>
              </w:rPr>
              <w:t xml:space="preserve"> </w:t>
            </w:r>
            <w:r w:rsidRPr="000C156A">
              <w:rPr>
                <w:sz w:val="22"/>
                <w:lang w:val="en-US"/>
              </w:rPr>
              <w:t>852</w:t>
            </w:r>
          </w:p>
        </w:tc>
      </w:tr>
      <w:tr w:rsidR="009D43C3" w:rsidRPr="000C156A" w14:paraId="78DF72DF" w14:textId="77777777" w:rsidTr="005D02F0">
        <w:trPr>
          <w:jc w:val="center"/>
        </w:trPr>
        <w:tc>
          <w:tcPr>
            <w:tcW w:w="4287" w:type="dxa"/>
            <w:tcBorders>
              <w:top w:val="single" w:sz="4" w:space="0" w:color="auto"/>
              <w:left w:val="single" w:sz="4" w:space="0" w:color="auto"/>
              <w:bottom w:val="single" w:sz="4" w:space="0" w:color="auto"/>
              <w:right w:val="single" w:sz="4" w:space="0" w:color="auto"/>
            </w:tcBorders>
            <w:hideMark/>
          </w:tcPr>
          <w:p w14:paraId="68522F28" w14:textId="77777777" w:rsidR="009D43C3" w:rsidRPr="000C156A" w:rsidRDefault="009D43C3" w:rsidP="005D02F0">
            <w:pPr>
              <w:pStyle w:val="Tabletext"/>
              <w:spacing w:before="20" w:after="20"/>
              <w:rPr>
                <w:rFonts w:asciiTheme="minorEastAsia" w:eastAsiaTheme="minorEastAsia" w:hAnsiTheme="minorEastAsia"/>
              </w:rPr>
            </w:pPr>
            <w:r w:rsidRPr="000C156A">
              <w:rPr>
                <w:rFonts w:asciiTheme="minorEastAsia" w:eastAsiaTheme="minorEastAsia" w:hAnsiTheme="minorEastAsia" w:cs="Microsoft YaHei" w:hint="eastAsia"/>
              </w:rPr>
              <w:t>最大信用风险</w:t>
            </w:r>
          </w:p>
        </w:tc>
        <w:tc>
          <w:tcPr>
            <w:tcW w:w="2197" w:type="dxa"/>
            <w:tcBorders>
              <w:top w:val="single" w:sz="4" w:space="0" w:color="auto"/>
              <w:left w:val="single" w:sz="4" w:space="0" w:color="auto"/>
              <w:bottom w:val="single" w:sz="4" w:space="0" w:color="auto"/>
              <w:right w:val="single" w:sz="4" w:space="0" w:color="auto"/>
            </w:tcBorders>
            <w:hideMark/>
          </w:tcPr>
          <w:p w14:paraId="33E80F69" w14:textId="345A92B7" w:rsidR="009D43C3" w:rsidRPr="000C156A" w:rsidRDefault="009D43C3" w:rsidP="005D02F0">
            <w:pPr>
              <w:pStyle w:val="enumlev1"/>
              <w:ind w:left="0" w:firstLine="0"/>
              <w:jc w:val="right"/>
              <w:rPr>
                <w:sz w:val="22"/>
                <w:lang w:val="en-US"/>
              </w:rPr>
            </w:pPr>
            <w:r w:rsidRPr="000C156A">
              <w:rPr>
                <w:sz w:val="22"/>
                <w:lang w:val="en-US"/>
              </w:rPr>
              <w:t>302</w:t>
            </w:r>
            <w:r w:rsidR="00261BAD" w:rsidRPr="000C156A">
              <w:rPr>
                <w:sz w:val="22"/>
                <w:lang w:val="en-US"/>
              </w:rPr>
              <w:t xml:space="preserve"> </w:t>
            </w:r>
            <w:r w:rsidRPr="000C156A">
              <w:rPr>
                <w:sz w:val="22"/>
                <w:lang w:val="en-US"/>
              </w:rPr>
              <w:t>148</w:t>
            </w:r>
          </w:p>
        </w:tc>
        <w:tc>
          <w:tcPr>
            <w:tcW w:w="2299" w:type="dxa"/>
            <w:tcBorders>
              <w:top w:val="single" w:sz="4" w:space="0" w:color="auto"/>
              <w:left w:val="single" w:sz="4" w:space="0" w:color="auto"/>
              <w:bottom w:val="single" w:sz="4" w:space="0" w:color="auto"/>
              <w:right w:val="single" w:sz="4" w:space="0" w:color="auto"/>
            </w:tcBorders>
            <w:hideMark/>
          </w:tcPr>
          <w:p w14:paraId="68A40EFA" w14:textId="1BFAE98E" w:rsidR="009D43C3" w:rsidRPr="000C156A" w:rsidRDefault="009D43C3" w:rsidP="005D02F0">
            <w:pPr>
              <w:pStyle w:val="enumlev1"/>
              <w:ind w:left="0" w:firstLine="0"/>
              <w:jc w:val="right"/>
              <w:rPr>
                <w:sz w:val="22"/>
                <w:lang w:val="en-US"/>
              </w:rPr>
            </w:pPr>
            <w:r w:rsidRPr="000C156A">
              <w:rPr>
                <w:sz w:val="22"/>
                <w:lang w:val="en-US"/>
              </w:rPr>
              <w:t>315</w:t>
            </w:r>
            <w:r w:rsidR="00261BAD" w:rsidRPr="000C156A">
              <w:rPr>
                <w:sz w:val="22"/>
                <w:lang w:val="en-US"/>
              </w:rPr>
              <w:t xml:space="preserve"> </w:t>
            </w:r>
            <w:r w:rsidRPr="000C156A">
              <w:rPr>
                <w:sz w:val="22"/>
                <w:lang w:val="en-US"/>
              </w:rPr>
              <w:t>181</w:t>
            </w:r>
          </w:p>
        </w:tc>
      </w:tr>
    </w:tbl>
    <w:p w14:paraId="2F46BDFD" w14:textId="77777777" w:rsidR="009D43C3" w:rsidRPr="000C156A" w:rsidRDefault="009D43C3" w:rsidP="009D43C3">
      <w:pPr>
        <w:pStyle w:val="enumlev1"/>
        <w:spacing w:before="120"/>
        <w:rPr>
          <w:lang w:val="en-US" w:eastAsia="zh-CN"/>
        </w:rPr>
      </w:pPr>
      <w:r w:rsidRPr="000C156A">
        <w:rPr>
          <w:lang w:val="en-US"/>
        </w:rPr>
        <w:t>b)</w:t>
      </w:r>
      <w:r w:rsidRPr="000C156A">
        <w:rPr>
          <w:lang w:val="en-US"/>
        </w:rPr>
        <w:tab/>
      </w:r>
      <w:r w:rsidRPr="000C156A">
        <w:rPr>
          <w:rFonts w:hint="eastAsia"/>
          <w:lang w:val="en-US" w:eastAsia="zh-CN"/>
        </w:rPr>
        <w:t>信用质量</w:t>
      </w:r>
    </w:p>
    <w:p w14:paraId="47F358D1" w14:textId="77777777" w:rsidR="009D43C3" w:rsidRPr="000C156A" w:rsidRDefault="009D43C3" w:rsidP="009D43C3">
      <w:pPr>
        <w:pStyle w:val="enumlev1"/>
        <w:rPr>
          <w:lang w:val="en-US" w:eastAsia="zh-CN"/>
        </w:rPr>
      </w:pPr>
      <w:r w:rsidRPr="000C156A">
        <w:rPr>
          <w:lang w:val="en-US" w:eastAsia="zh-CN"/>
        </w:rPr>
        <w:tab/>
      </w:r>
      <w:r w:rsidRPr="000C156A">
        <w:rPr>
          <w:rFonts w:hint="eastAsia"/>
          <w:lang w:val="en-US" w:eastAsia="zh-CN"/>
        </w:rPr>
        <w:t>信用质量指国际电联信用延伸到的和所投资的各方被评定的违约风险。</w:t>
      </w:r>
    </w:p>
    <w:p w14:paraId="5DA335D2" w14:textId="77777777" w:rsidR="009D43C3" w:rsidRPr="000C156A" w:rsidRDefault="009D43C3" w:rsidP="009D43C3">
      <w:pPr>
        <w:pStyle w:val="enumlev1"/>
        <w:rPr>
          <w:lang w:val="en-US" w:eastAsia="zh-CN"/>
        </w:rPr>
      </w:pPr>
      <w:r w:rsidRPr="000C156A">
        <w:rPr>
          <w:lang w:val="en-US" w:eastAsia="zh-CN"/>
        </w:rPr>
        <w:tab/>
      </w:r>
      <w:r w:rsidRPr="000C156A">
        <w:rPr>
          <w:rFonts w:hint="eastAsia"/>
          <w:lang w:eastAsia="zh-CN"/>
        </w:rPr>
        <w:t>发送季度报表和暂停对国际电联工作的参与等措施的采用旨在确保成员国、部门成员和部门准成员付清欠款。此外，为鼓励成员国及时付清欠款，对其采取了丧失表决权的措施。</w:t>
      </w:r>
    </w:p>
    <w:p w14:paraId="5954A8B5" w14:textId="77777777" w:rsidR="009D43C3" w:rsidRPr="000C156A" w:rsidRDefault="009D43C3" w:rsidP="009D43C3">
      <w:pPr>
        <w:pStyle w:val="enumlev1"/>
        <w:rPr>
          <w:lang w:val="en-US" w:eastAsia="zh-CN"/>
        </w:rPr>
      </w:pPr>
      <w:r w:rsidRPr="000C156A">
        <w:rPr>
          <w:lang w:val="en-US" w:eastAsia="zh-CN"/>
        </w:rPr>
        <w:tab/>
      </w:r>
      <w:r w:rsidRPr="000C156A">
        <w:rPr>
          <w:rFonts w:hint="eastAsia"/>
          <w:lang w:val="en-US" w:eastAsia="zh-CN"/>
        </w:rPr>
        <w:t>国际电联通过将现金和现金等价物以及投资分散在若干信用评级较高的金融机构缓解信用风险。根据《财务规则和财务细则》第</w:t>
      </w:r>
      <w:r w:rsidRPr="000C156A">
        <w:rPr>
          <w:lang w:val="en-US" w:eastAsia="zh-CN"/>
        </w:rPr>
        <w:t>16</w:t>
      </w:r>
      <w:r w:rsidRPr="000C156A">
        <w:rPr>
          <w:rFonts w:hint="eastAsia"/>
          <w:lang w:val="en-US" w:eastAsia="zh-CN"/>
        </w:rPr>
        <w:t>条，由</w:t>
      </w:r>
      <w:r w:rsidRPr="000C156A">
        <w:rPr>
          <w:rFonts w:hint="eastAsia"/>
          <w:lang w:eastAsia="zh-CN"/>
        </w:rPr>
        <w:t>秘书长选择国际电联存放资金的银行或其它机构。为此，秘书长须确保所做投资首先侧重最大限度地降低本金的风险，同时为满足国际电联对现金流的需求，保障资金的流动性。国际电联不在信用评级低于</w:t>
      </w:r>
      <w:r w:rsidRPr="000C156A">
        <w:rPr>
          <w:lang w:val="en-US" w:eastAsia="zh-CN"/>
        </w:rPr>
        <w:t>A3</w:t>
      </w:r>
      <w:r w:rsidRPr="000C156A">
        <w:rPr>
          <w:rFonts w:hint="eastAsia"/>
          <w:lang w:val="en-US" w:eastAsia="zh-CN"/>
        </w:rPr>
        <w:t>的银行存放资金。</w:t>
      </w:r>
    </w:p>
    <w:p w14:paraId="1FD9056B" w14:textId="77777777" w:rsidR="009D43C3" w:rsidRPr="000C156A" w:rsidRDefault="009D43C3" w:rsidP="009D43C3">
      <w:pPr>
        <w:pStyle w:val="enumlev1"/>
        <w:rPr>
          <w:lang w:val="en-US" w:eastAsia="zh-CN"/>
        </w:rPr>
      </w:pPr>
      <w:r w:rsidRPr="000C156A">
        <w:rPr>
          <w:lang w:val="en-US" w:eastAsia="zh-CN"/>
        </w:rPr>
        <w:tab/>
      </w:r>
      <w:r w:rsidRPr="000C156A">
        <w:rPr>
          <w:rFonts w:hint="eastAsia"/>
          <w:lang w:eastAsia="zh-CN"/>
        </w:rPr>
        <w:t>除这些标准外，所进行的投资须实现合理的最高回报率，并符合联合国的相关原则。</w:t>
      </w:r>
    </w:p>
    <w:p w14:paraId="63B18F4B" w14:textId="77777777" w:rsidR="009D43C3" w:rsidRPr="000C156A" w:rsidRDefault="009D43C3" w:rsidP="009D43C3">
      <w:pPr>
        <w:pStyle w:val="enumlev1"/>
        <w:rPr>
          <w:lang w:val="en-US" w:eastAsia="zh-CN"/>
        </w:rPr>
      </w:pPr>
      <w:r w:rsidRPr="000C156A">
        <w:rPr>
          <w:lang w:val="en-US" w:eastAsia="zh-CN"/>
        </w:rPr>
        <w:tab/>
      </w:r>
      <w:r w:rsidRPr="000C156A">
        <w:rPr>
          <w:rFonts w:hint="eastAsia"/>
          <w:lang w:eastAsia="zh-CN"/>
        </w:rPr>
        <w:t>秘书长须指定保管国际电联资金的银行，设立国际电联所需的所有银行账户，并指定相应官员，授予其操作这些账户的签字权。秘书长还须授权进行所有银行账户的结帐。</w:t>
      </w:r>
    </w:p>
    <w:p w14:paraId="2DD31DA5" w14:textId="77777777" w:rsidR="009D43C3" w:rsidRPr="000C156A" w:rsidRDefault="009D43C3" w:rsidP="009D43C3">
      <w:pPr>
        <w:pStyle w:val="enumlev1"/>
        <w:rPr>
          <w:lang w:val="en-US" w:eastAsia="zh-CN"/>
        </w:rPr>
      </w:pPr>
      <w:r w:rsidRPr="000C156A">
        <w:rPr>
          <w:lang w:val="en-US" w:eastAsia="zh-CN"/>
        </w:rPr>
        <w:t>c)</w:t>
      </w:r>
      <w:r w:rsidRPr="000C156A">
        <w:rPr>
          <w:lang w:val="en-US" w:eastAsia="zh-CN"/>
        </w:rPr>
        <w:tab/>
      </w:r>
      <w:r w:rsidRPr="000C156A">
        <w:rPr>
          <w:rFonts w:hint="eastAsia"/>
          <w:lang w:val="en-US" w:eastAsia="zh-CN"/>
        </w:rPr>
        <w:t>利率风险</w:t>
      </w:r>
    </w:p>
    <w:p w14:paraId="1724FDEA" w14:textId="77777777" w:rsidR="009D43C3" w:rsidRPr="000C156A" w:rsidRDefault="009D43C3" w:rsidP="009D43C3">
      <w:pPr>
        <w:pStyle w:val="enumlev1"/>
        <w:keepNext/>
        <w:keepLines/>
        <w:jc w:val="both"/>
        <w:rPr>
          <w:lang w:val="en-US" w:eastAsia="zh-CN"/>
        </w:rPr>
      </w:pPr>
      <w:r w:rsidRPr="000C156A">
        <w:rPr>
          <w:lang w:val="en-US" w:eastAsia="zh-CN"/>
        </w:rPr>
        <w:tab/>
      </w:r>
      <w:r w:rsidRPr="000C156A">
        <w:rPr>
          <w:rFonts w:hint="eastAsia"/>
          <w:lang w:val="en-US" w:eastAsia="zh-CN"/>
        </w:rPr>
        <w:t>国际电联的短期投资面临利率风险。继</w:t>
      </w:r>
      <w:r w:rsidRPr="000C156A">
        <w:rPr>
          <w:rFonts w:hint="eastAsia"/>
          <w:lang w:val="en-US" w:eastAsia="zh-CN"/>
        </w:rPr>
        <w:t>2015</w:t>
      </w:r>
      <w:r w:rsidRPr="000C156A">
        <w:rPr>
          <w:rFonts w:hint="eastAsia"/>
          <w:lang w:val="en-US" w:eastAsia="zh-CN"/>
        </w:rPr>
        <w:t>年金融机构对库存现金采用负利率后，国际电联认真审议了其政策，以避免对现金及现金等价物造成影响。</w:t>
      </w:r>
      <w:r w:rsidRPr="000C156A">
        <w:rPr>
          <w:rFonts w:hint="eastAsia"/>
          <w:lang w:val="en-US" w:eastAsia="zh-CN"/>
        </w:rPr>
        <w:t>2020</w:t>
      </w:r>
      <w:r w:rsidRPr="000C156A">
        <w:rPr>
          <w:rFonts w:hint="eastAsia"/>
          <w:lang w:val="en-US" w:eastAsia="zh-CN"/>
        </w:rPr>
        <w:t>年，情况变得更加困难，尽管与国际电联的银行合作伙伴进行了谈判，但国际电联的所有瑞郎银行账户现在都呈负利息。然而，</w:t>
      </w:r>
      <w:r w:rsidRPr="000C156A">
        <w:rPr>
          <w:lang w:val="en-US" w:eastAsia="zh-CN"/>
        </w:rPr>
        <w:t>国际电联对经常</w:t>
      </w:r>
      <w:r w:rsidRPr="000C156A">
        <w:rPr>
          <w:rFonts w:hint="eastAsia"/>
          <w:lang w:val="en-US" w:eastAsia="zh-CN"/>
        </w:rPr>
        <w:t>账户</w:t>
      </w:r>
      <w:r w:rsidRPr="000C156A">
        <w:rPr>
          <w:lang w:val="en-US" w:eastAsia="zh-CN"/>
        </w:rPr>
        <w:t>保留了豁免门</w:t>
      </w:r>
      <w:r w:rsidRPr="000C156A">
        <w:rPr>
          <w:rFonts w:hint="eastAsia"/>
          <w:lang w:val="en-US" w:eastAsia="zh-CN"/>
        </w:rPr>
        <w:t>槛，</w:t>
      </w:r>
      <w:r w:rsidRPr="000C156A">
        <w:rPr>
          <w:lang w:val="en-US" w:eastAsia="zh-CN"/>
        </w:rPr>
        <w:t>使其能够在没有负利率的情况下管理日常现金活</w:t>
      </w:r>
      <w:r w:rsidRPr="000C156A">
        <w:rPr>
          <w:rFonts w:hint="eastAsia"/>
          <w:lang w:val="en-US" w:eastAsia="zh-CN"/>
        </w:rPr>
        <w:t>动。</w:t>
      </w:r>
    </w:p>
    <w:p w14:paraId="012DAB9D" w14:textId="77777777" w:rsidR="009D43C3" w:rsidRPr="000C156A" w:rsidRDefault="009D43C3" w:rsidP="009D43C3">
      <w:pPr>
        <w:pStyle w:val="enumlev1"/>
        <w:rPr>
          <w:lang w:val="en-US" w:eastAsia="zh-CN"/>
        </w:rPr>
      </w:pPr>
      <w:r w:rsidRPr="000C156A">
        <w:rPr>
          <w:lang w:val="en-US" w:eastAsia="zh-CN"/>
        </w:rPr>
        <w:tab/>
      </w:r>
      <w:r w:rsidRPr="000C156A">
        <w:rPr>
          <w:rFonts w:hint="eastAsia"/>
          <w:lang w:val="en-US" w:eastAsia="zh-CN"/>
        </w:rPr>
        <w:t>为了抵消负利率，已决定将</w:t>
      </w:r>
      <w:r w:rsidRPr="000C156A">
        <w:rPr>
          <w:lang w:val="en-US" w:eastAsia="zh-CN"/>
        </w:rPr>
        <w:t>闲置的美元换成短期存款，投资到金融市场产生正利息</w:t>
      </w:r>
      <w:r w:rsidRPr="000C156A">
        <w:rPr>
          <w:rFonts w:hint="eastAsia"/>
          <w:lang w:val="en-US" w:eastAsia="zh-CN"/>
        </w:rPr>
        <w:t>。为了避免任何外汇风险，只投资了盈余现金。</w:t>
      </w:r>
    </w:p>
    <w:p w14:paraId="501D62F4" w14:textId="77777777" w:rsidR="009D43C3" w:rsidRPr="000C156A" w:rsidRDefault="009D43C3" w:rsidP="009D43C3">
      <w:pPr>
        <w:pStyle w:val="enumlev1"/>
        <w:rPr>
          <w:lang w:val="en-US" w:eastAsia="zh-CN"/>
        </w:rPr>
      </w:pPr>
      <w:r w:rsidRPr="000C156A">
        <w:rPr>
          <w:lang w:val="en-US" w:eastAsia="zh-CN"/>
        </w:rPr>
        <w:t>d)</w:t>
      </w:r>
      <w:r w:rsidRPr="000C156A">
        <w:rPr>
          <w:lang w:val="en-US" w:eastAsia="zh-CN"/>
        </w:rPr>
        <w:tab/>
      </w:r>
      <w:r w:rsidRPr="000C156A">
        <w:rPr>
          <w:rFonts w:hint="eastAsia"/>
          <w:lang w:val="en-US" w:eastAsia="zh-CN"/>
        </w:rPr>
        <w:t>流动性风险</w:t>
      </w:r>
    </w:p>
    <w:p w14:paraId="1269F7F9" w14:textId="77777777" w:rsidR="009D43C3" w:rsidRPr="000C156A" w:rsidRDefault="009D43C3" w:rsidP="009D43C3">
      <w:pPr>
        <w:pStyle w:val="enumlev1"/>
        <w:rPr>
          <w:lang w:val="en-US" w:eastAsia="zh-CN"/>
        </w:rPr>
      </w:pPr>
      <w:r w:rsidRPr="000C156A">
        <w:rPr>
          <w:lang w:val="en-US" w:eastAsia="zh-CN"/>
        </w:rPr>
        <w:tab/>
      </w:r>
      <w:r w:rsidRPr="000C156A">
        <w:rPr>
          <w:rFonts w:hint="eastAsia"/>
          <w:lang w:val="en-US" w:eastAsia="zh-CN"/>
        </w:rPr>
        <w:t>流动性风险指国际电联无法按期履行承付款项的风险。国际电联管理流动性风险的方式是确保为偿还到期债务提供充足的流动性。国际电联采用现金流预测手段，确保现金充足，能够满足预期运行费用的需求。</w:t>
      </w:r>
    </w:p>
    <w:p w14:paraId="065AB56C" w14:textId="77777777" w:rsidR="009D43C3" w:rsidRPr="000C156A" w:rsidRDefault="009D43C3" w:rsidP="009D43C3">
      <w:pPr>
        <w:pStyle w:val="enumlev1"/>
        <w:rPr>
          <w:lang w:val="en-US" w:eastAsia="zh-CN"/>
        </w:rPr>
      </w:pPr>
      <w:r w:rsidRPr="000C156A">
        <w:rPr>
          <w:lang w:val="en-US" w:eastAsia="zh-CN"/>
        </w:rPr>
        <w:tab/>
      </w:r>
      <w:r w:rsidRPr="000C156A">
        <w:rPr>
          <w:rFonts w:hint="eastAsia"/>
          <w:lang w:val="en-US" w:eastAsia="zh-CN"/>
        </w:rPr>
        <w:t>流动性风险可忽略不计，因为，根据《财务规则》第</w:t>
      </w:r>
      <w:r w:rsidRPr="000C156A">
        <w:rPr>
          <w:lang w:val="en-US" w:eastAsia="zh-CN"/>
        </w:rPr>
        <w:t>17</w:t>
      </w:r>
      <w:r w:rsidRPr="000C156A">
        <w:rPr>
          <w:rFonts w:hint="eastAsia"/>
          <w:lang w:val="en-US" w:eastAsia="zh-CN"/>
        </w:rPr>
        <w:t>条，在所规定的条件下，为满足国际电联暂时的现金需求，可从瑞士联邦政府预支资金。</w:t>
      </w:r>
    </w:p>
    <w:p w14:paraId="60EE98EB" w14:textId="77777777" w:rsidR="009D43C3" w:rsidRPr="000C156A" w:rsidRDefault="009D43C3" w:rsidP="009D43C3">
      <w:pPr>
        <w:pStyle w:val="enumlev1"/>
        <w:rPr>
          <w:lang w:val="en-US" w:eastAsia="zh-CN"/>
        </w:rPr>
      </w:pPr>
      <w:r w:rsidRPr="000C156A">
        <w:rPr>
          <w:lang w:val="en-US" w:eastAsia="zh-CN"/>
        </w:rPr>
        <w:tab/>
      </w:r>
      <w:r w:rsidRPr="000C156A">
        <w:rPr>
          <w:rFonts w:hint="eastAsia"/>
          <w:lang w:val="en-US" w:eastAsia="zh-CN"/>
        </w:rPr>
        <w:t>管理国际电联资本的主要目的是确保以充足的现金满足国际电联的资金需求，包括资本支出，从而保证国际电联保持良好的财政状况。</w:t>
      </w:r>
    </w:p>
    <w:p w14:paraId="3C6D616A" w14:textId="77777777" w:rsidR="009D43C3" w:rsidRPr="000C156A" w:rsidRDefault="009D43C3" w:rsidP="009D43C3">
      <w:pPr>
        <w:pStyle w:val="enumlev1"/>
        <w:rPr>
          <w:lang w:val="en-US" w:eastAsia="zh-CN"/>
        </w:rPr>
      </w:pPr>
      <w:r w:rsidRPr="000C156A">
        <w:rPr>
          <w:lang w:val="en-US" w:eastAsia="zh-CN"/>
        </w:rPr>
        <w:t>e)</w:t>
      </w:r>
      <w:r w:rsidRPr="000C156A">
        <w:rPr>
          <w:lang w:val="en-US" w:eastAsia="zh-CN"/>
        </w:rPr>
        <w:tab/>
      </w:r>
      <w:r w:rsidRPr="000C156A">
        <w:rPr>
          <w:rFonts w:hint="eastAsia"/>
          <w:lang w:val="en-US" w:eastAsia="zh-CN"/>
        </w:rPr>
        <w:t>货币风险</w:t>
      </w:r>
    </w:p>
    <w:p w14:paraId="4B3EE484" w14:textId="77777777" w:rsidR="009D43C3" w:rsidRPr="000C156A" w:rsidRDefault="009D43C3" w:rsidP="009D43C3">
      <w:pPr>
        <w:pStyle w:val="enumlev1"/>
        <w:ind w:firstLine="0"/>
        <w:rPr>
          <w:lang w:val="en-US" w:eastAsia="zh-CN"/>
        </w:rPr>
      </w:pPr>
      <w:r w:rsidRPr="000C156A">
        <w:rPr>
          <w:rFonts w:hint="eastAsia"/>
          <w:lang w:val="en-US" w:eastAsia="zh-CN"/>
        </w:rPr>
        <w:t>国际电联收到的部分成员和正常预算会费按照瑞郎计算，预算外捐款则以瑞郎以外的其它货币计算。国际电联不依赖定期兑换合同、远期、掉期或现金方案对冲以实现或</w:t>
      </w:r>
      <w:r w:rsidRPr="000C156A">
        <w:rPr>
          <w:rFonts w:hint="eastAsia"/>
          <w:lang w:val="en-US" w:eastAsia="zh-CN"/>
        </w:rPr>
        <w:lastRenderedPageBreak/>
        <w:t>未实现的外汇损益。可能时，通过直接向相关银行账目分配必要的货币进行自然对冲。</w:t>
      </w:r>
    </w:p>
    <w:p w14:paraId="46D180F5" w14:textId="77777777" w:rsidR="009D43C3" w:rsidRPr="000C156A" w:rsidRDefault="009D43C3" w:rsidP="009D43C3">
      <w:pPr>
        <w:pStyle w:val="enumlev1"/>
        <w:ind w:firstLine="0"/>
        <w:rPr>
          <w:lang w:val="en-US" w:eastAsia="zh-CN"/>
        </w:rPr>
      </w:pPr>
      <w:r w:rsidRPr="000C156A">
        <w:rPr>
          <w:rFonts w:hint="eastAsia"/>
          <w:lang w:val="en-US" w:eastAsia="zh-CN"/>
        </w:rPr>
        <w:t>应注意的是，新的健康保险方案是用瑞郎管理的，因而大大降低了汇率浮动风险。然而，国际电联仍因使用美元向</w:t>
      </w:r>
      <w:r w:rsidRPr="000C156A">
        <w:rPr>
          <w:lang w:val="en-US" w:eastAsia="zh-CN"/>
        </w:rPr>
        <w:t>UNJSPF</w:t>
      </w:r>
      <w:r w:rsidRPr="000C156A">
        <w:rPr>
          <w:rFonts w:hint="eastAsia"/>
          <w:lang w:val="en-US" w:eastAsia="zh-CN"/>
        </w:rPr>
        <w:t>缴费而面临外汇损益风险。但是，专业类职员的缴费是以美元计算的，而一般事务类职员是用瑞郎计算的。两类职员数量相当，兑换率浮动风险自行抵销。</w:t>
      </w:r>
    </w:p>
    <w:p w14:paraId="6E4D0B25" w14:textId="77777777" w:rsidR="009D43C3" w:rsidRPr="000C156A" w:rsidRDefault="009D43C3" w:rsidP="009D43C3">
      <w:pPr>
        <w:pStyle w:val="enumlev1"/>
        <w:ind w:firstLine="0"/>
        <w:rPr>
          <w:lang w:val="en-US" w:eastAsia="zh-CN"/>
        </w:rPr>
      </w:pPr>
      <w:r w:rsidRPr="000C156A">
        <w:rPr>
          <w:rFonts w:hint="eastAsia"/>
          <w:lang w:val="en-US" w:eastAsia="zh-CN"/>
        </w:rPr>
        <w:t>预算外缴费采用会费货币管理并为方便列报转换为瑞郎。</w:t>
      </w:r>
    </w:p>
    <w:p w14:paraId="1CB189F9" w14:textId="77777777" w:rsidR="009D43C3" w:rsidRPr="000C156A" w:rsidRDefault="009D43C3" w:rsidP="009D43C3">
      <w:pPr>
        <w:pStyle w:val="enumlev1"/>
        <w:ind w:firstLine="0"/>
        <w:rPr>
          <w:lang w:eastAsia="zh-CN"/>
        </w:rPr>
      </w:pPr>
      <w:r w:rsidRPr="000C156A">
        <w:rPr>
          <w:rFonts w:hint="eastAsia"/>
          <w:lang w:val="en-US" w:eastAsia="zh-CN"/>
        </w:rPr>
        <w:t>2020</w:t>
      </w:r>
      <w:r w:rsidRPr="000C156A">
        <w:rPr>
          <w:rFonts w:hint="eastAsia"/>
          <w:lang w:val="en-US" w:eastAsia="zh-CN"/>
        </w:rPr>
        <w:t>年</w:t>
      </w:r>
      <w:r w:rsidRPr="000C156A">
        <w:rPr>
          <w:rFonts w:hint="eastAsia"/>
          <w:lang w:val="en-US" w:eastAsia="zh-CN"/>
        </w:rPr>
        <w:t>1</w:t>
      </w:r>
      <w:r w:rsidRPr="000C156A">
        <w:rPr>
          <w:rFonts w:hint="eastAsia"/>
          <w:lang w:val="en-US" w:eastAsia="zh-CN"/>
        </w:rPr>
        <w:t>月</w:t>
      </w:r>
      <w:r w:rsidRPr="000C156A">
        <w:rPr>
          <w:rFonts w:hint="eastAsia"/>
          <w:lang w:val="en-US" w:eastAsia="zh-CN"/>
        </w:rPr>
        <w:t>1</w:t>
      </w:r>
      <w:r w:rsidRPr="000C156A">
        <w:rPr>
          <w:rFonts w:hint="eastAsia"/>
          <w:lang w:val="en-US" w:eastAsia="zh-CN"/>
        </w:rPr>
        <w:t>日，国际电联加入了联合国工作人员保险互助会（</w:t>
      </w:r>
      <w:r w:rsidRPr="000C156A">
        <w:rPr>
          <w:lang w:val="en-US" w:eastAsia="zh-CN"/>
        </w:rPr>
        <w:t>UNSMIS</w:t>
      </w:r>
      <w:r w:rsidRPr="000C156A">
        <w:rPr>
          <w:rFonts w:hint="eastAsia"/>
          <w:lang w:val="en-US" w:eastAsia="zh-CN"/>
        </w:rPr>
        <w:t>）。尽管每月缴纳的会费是瑞士法郎，这使国际电联免受任何货币风险的影响，但国际电联仍必须向担保基金和行政费用缴费（见说明</w:t>
      </w:r>
      <w:r w:rsidRPr="000C156A">
        <w:rPr>
          <w:rFonts w:hint="eastAsia"/>
          <w:lang w:val="en-US" w:eastAsia="zh-CN"/>
        </w:rPr>
        <w:t>17</w:t>
      </w:r>
      <w:r w:rsidRPr="000C156A">
        <w:rPr>
          <w:rFonts w:hint="eastAsia"/>
          <w:lang w:val="en-US" w:eastAsia="zh-CN"/>
        </w:rPr>
        <w:t>）。此项加入缴费分为</w:t>
      </w:r>
      <w:r w:rsidRPr="000C156A">
        <w:rPr>
          <w:rFonts w:hint="eastAsia"/>
          <w:lang w:val="en-US" w:eastAsia="zh-CN"/>
        </w:rPr>
        <w:t>2020</w:t>
      </w:r>
      <w:r w:rsidRPr="000C156A">
        <w:rPr>
          <w:rFonts w:hint="eastAsia"/>
          <w:lang w:val="en-US" w:eastAsia="zh-CN"/>
        </w:rPr>
        <w:t>年的第一笔付款和直至</w:t>
      </w:r>
      <w:r w:rsidRPr="000C156A">
        <w:rPr>
          <w:rFonts w:hint="eastAsia"/>
          <w:lang w:val="en-US" w:eastAsia="zh-CN"/>
        </w:rPr>
        <w:t>2032</w:t>
      </w:r>
      <w:r w:rsidRPr="000C156A">
        <w:rPr>
          <w:rFonts w:hint="eastAsia"/>
          <w:lang w:val="en-US" w:eastAsia="zh-CN"/>
        </w:rPr>
        <w:t>年的</w:t>
      </w:r>
      <w:r w:rsidRPr="000C156A">
        <w:rPr>
          <w:rFonts w:hint="eastAsia"/>
          <w:lang w:val="en-US" w:eastAsia="zh-CN"/>
        </w:rPr>
        <w:t>13</w:t>
      </w:r>
      <w:r w:rsidRPr="000C156A">
        <w:rPr>
          <w:rFonts w:hint="eastAsia"/>
          <w:lang w:val="en-US" w:eastAsia="zh-CN"/>
        </w:rPr>
        <w:t>笔分期付款，行政费用按合同规定，以美元为单位。因此，在年度美元付款方面，国际电联面临外汇收益和损失。应当指出的是，国际电联成员的一些会费以美元收取，这可以减轻汇率风险，特别是美元支出的风险。</w:t>
      </w:r>
    </w:p>
    <w:p w14:paraId="6206CEED" w14:textId="77777777" w:rsidR="009D43C3" w:rsidRPr="000C156A" w:rsidRDefault="009D43C3" w:rsidP="009D43C3">
      <w:pPr>
        <w:pStyle w:val="enumlev1"/>
        <w:tabs>
          <w:tab w:val="left" w:pos="0"/>
        </w:tabs>
        <w:spacing w:before="120" w:after="120"/>
        <w:ind w:left="0" w:firstLine="0"/>
        <w:rPr>
          <w:lang w:val="en-US" w:eastAsia="zh-CN"/>
        </w:rPr>
      </w:pPr>
      <w:r w:rsidRPr="000C156A">
        <w:rPr>
          <w:lang w:val="en-US" w:eastAsia="zh-CN"/>
        </w:rPr>
        <w:t>f)</w:t>
      </w:r>
      <w:r w:rsidRPr="000C156A">
        <w:rPr>
          <w:lang w:val="en-US" w:eastAsia="zh-CN"/>
        </w:rPr>
        <w:tab/>
      </w:r>
      <w:r w:rsidRPr="000C156A">
        <w:rPr>
          <w:rFonts w:hint="eastAsia"/>
          <w:lang w:val="en-US" w:eastAsia="zh-CN"/>
        </w:rPr>
        <w:t>市场风险</w:t>
      </w:r>
    </w:p>
    <w:p w14:paraId="3A3D4027" w14:textId="77777777" w:rsidR="009D43C3" w:rsidRPr="000C156A" w:rsidRDefault="009D43C3" w:rsidP="009D43C3">
      <w:pPr>
        <w:pStyle w:val="enumlev1"/>
        <w:snapToGrid w:val="0"/>
        <w:spacing w:before="0"/>
        <w:ind w:firstLine="0"/>
        <w:rPr>
          <w:lang w:val="en-US" w:eastAsia="zh-CN"/>
        </w:rPr>
      </w:pPr>
      <w:r w:rsidRPr="000C156A">
        <w:rPr>
          <w:rFonts w:hint="eastAsia"/>
          <w:lang w:val="en-US" w:eastAsia="zh-CN"/>
        </w:rPr>
        <w:t>市场风险指市场价格变化风险，如影响国际电联收益或所持金融工具价值的兑换率和利率。市场风险管理的目的是在可接受的范畴内管理和控制市场风险，同时优化风险回报。</w:t>
      </w:r>
    </w:p>
    <w:p w14:paraId="5AD2DAC7" w14:textId="77777777" w:rsidR="009D43C3" w:rsidRPr="000C156A" w:rsidRDefault="009D43C3" w:rsidP="00403EA7">
      <w:pPr>
        <w:keepNext/>
        <w:keepLines/>
        <w:spacing w:after="240"/>
        <w:ind w:firstLineChars="200" w:firstLine="480"/>
        <w:rPr>
          <w:lang w:val="en-US" w:eastAsia="zh-CN"/>
        </w:rPr>
      </w:pPr>
      <w:r w:rsidRPr="000C156A">
        <w:rPr>
          <w:rFonts w:hint="eastAsia"/>
          <w:lang w:val="en-US" w:eastAsia="zh-CN"/>
        </w:rPr>
        <w:t>截至</w:t>
      </w:r>
      <w:r w:rsidRPr="000C156A">
        <w:rPr>
          <w:lang w:val="en-US" w:eastAsia="zh-CN"/>
        </w:rPr>
        <w:t>20</w:t>
      </w:r>
      <w:r w:rsidRPr="000C156A">
        <w:rPr>
          <w:rFonts w:hint="eastAsia"/>
          <w:lang w:val="en-US" w:eastAsia="zh-CN"/>
        </w:rPr>
        <w:t>20</w:t>
      </w:r>
      <w:r w:rsidRPr="000C156A">
        <w:rPr>
          <w:rFonts w:hint="eastAsia"/>
          <w:lang w:val="en-US" w:eastAsia="zh-CN"/>
        </w:rPr>
        <w:t>年</w:t>
      </w:r>
      <w:r w:rsidRPr="000C156A">
        <w:rPr>
          <w:lang w:val="en-US" w:eastAsia="zh-CN"/>
        </w:rPr>
        <w:t>12</w:t>
      </w:r>
      <w:r w:rsidRPr="000C156A">
        <w:rPr>
          <w:rFonts w:hint="eastAsia"/>
          <w:lang w:val="en-US" w:eastAsia="zh-CN"/>
        </w:rPr>
        <w:t>月</w:t>
      </w:r>
      <w:r w:rsidRPr="000C156A">
        <w:rPr>
          <w:lang w:val="en-US" w:eastAsia="zh-CN"/>
        </w:rPr>
        <w:t>31</w:t>
      </w:r>
      <w:r w:rsidRPr="000C156A">
        <w:rPr>
          <w:rFonts w:hint="eastAsia"/>
          <w:lang w:val="en-US" w:eastAsia="zh-CN"/>
        </w:rPr>
        <w:t>日各</w:t>
      </w:r>
      <w:r w:rsidRPr="000C156A">
        <w:rPr>
          <w:rFonts w:hint="eastAsia"/>
          <w:lang w:eastAsia="zh-CN"/>
        </w:rPr>
        <w:t>金融工具</w:t>
      </w:r>
      <w:r w:rsidRPr="000C156A">
        <w:rPr>
          <w:rFonts w:hint="eastAsia"/>
          <w:lang w:val="en-US" w:eastAsia="zh-CN"/>
        </w:rPr>
        <w:t>的到期状况如下：</w:t>
      </w:r>
    </w:p>
    <w:tbl>
      <w:tblPr>
        <w:tblStyle w:val="TableGrid"/>
        <w:tblW w:w="0" w:type="auto"/>
        <w:jc w:val="center"/>
        <w:tblLook w:val="04A0" w:firstRow="1" w:lastRow="0" w:firstColumn="1" w:lastColumn="0" w:noHBand="0" w:noVBand="1"/>
      </w:tblPr>
      <w:tblGrid>
        <w:gridCol w:w="2113"/>
        <w:gridCol w:w="1397"/>
        <w:gridCol w:w="1525"/>
        <w:gridCol w:w="1391"/>
        <w:gridCol w:w="1253"/>
        <w:gridCol w:w="1275"/>
      </w:tblGrid>
      <w:tr w:rsidR="009D43C3" w:rsidRPr="000C156A" w14:paraId="48D049B4" w14:textId="77777777" w:rsidTr="005D02F0">
        <w:trPr>
          <w:jc w:val="center"/>
        </w:trPr>
        <w:tc>
          <w:tcPr>
            <w:tcW w:w="2113" w:type="dxa"/>
            <w:tcBorders>
              <w:top w:val="single" w:sz="4" w:space="0" w:color="auto"/>
              <w:left w:val="single" w:sz="4" w:space="0" w:color="auto"/>
              <w:bottom w:val="single" w:sz="4" w:space="0" w:color="auto"/>
              <w:right w:val="single" w:sz="4" w:space="0" w:color="auto"/>
            </w:tcBorders>
            <w:hideMark/>
          </w:tcPr>
          <w:p w14:paraId="661FF07D" w14:textId="77777777" w:rsidR="009D43C3" w:rsidRPr="000C156A" w:rsidRDefault="009D43C3" w:rsidP="005D02F0">
            <w:pPr>
              <w:pStyle w:val="Tablehead"/>
            </w:pPr>
            <w:r w:rsidRPr="000C156A">
              <w:rPr>
                <w:rFonts w:hint="eastAsia"/>
              </w:rPr>
              <w:t>单位：千瑞郎</w:t>
            </w:r>
          </w:p>
        </w:tc>
        <w:tc>
          <w:tcPr>
            <w:tcW w:w="1397" w:type="dxa"/>
            <w:tcBorders>
              <w:top w:val="single" w:sz="4" w:space="0" w:color="auto"/>
              <w:left w:val="single" w:sz="4" w:space="0" w:color="auto"/>
              <w:bottom w:val="single" w:sz="4" w:space="0" w:color="auto"/>
              <w:right w:val="single" w:sz="4" w:space="0" w:color="auto"/>
            </w:tcBorders>
            <w:hideMark/>
          </w:tcPr>
          <w:p w14:paraId="7259D056" w14:textId="77777777" w:rsidR="009D43C3" w:rsidRPr="000C156A" w:rsidRDefault="009D43C3" w:rsidP="005D02F0">
            <w:pPr>
              <w:pStyle w:val="Tablehead"/>
            </w:pPr>
            <w:r w:rsidRPr="000C156A">
              <w:rPr>
                <w:rFonts w:hint="eastAsia"/>
              </w:rPr>
              <w:t>加权平均</w:t>
            </w:r>
            <w:r w:rsidRPr="000C156A">
              <w:br/>
            </w:r>
            <w:r w:rsidRPr="000C156A">
              <w:rPr>
                <w:rFonts w:hint="eastAsia"/>
              </w:rPr>
              <w:t>利率</w:t>
            </w:r>
          </w:p>
        </w:tc>
        <w:tc>
          <w:tcPr>
            <w:tcW w:w="1525" w:type="dxa"/>
            <w:tcBorders>
              <w:top w:val="single" w:sz="4" w:space="0" w:color="auto"/>
              <w:left w:val="single" w:sz="4" w:space="0" w:color="auto"/>
              <w:bottom w:val="single" w:sz="4" w:space="0" w:color="auto"/>
              <w:right w:val="single" w:sz="4" w:space="0" w:color="auto"/>
            </w:tcBorders>
            <w:hideMark/>
          </w:tcPr>
          <w:p w14:paraId="7A9A66C7" w14:textId="77777777" w:rsidR="009D43C3" w:rsidRPr="000C156A" w:rsidRDefault="009D43C3" w:rsidP="005D02F0">
            <w:pPr>
              <w:pStyle w:val="Tablehead"/>
            </w:pPr>
            <w:r w:rsidRPr="000C156A">
              <w:rPr>
                <w:rFonts w:hint="eastAsia"/>
              </w:rPr>
              <w:t>一年或</w:t>
            </w:r>
            <w:r w:rsidRPr="000C156A">
              <w:br/>
            </w:r>
            <w:r w:rsidRPr="000C156A">
              <w:rPr>
                <w:rFonts w:hint="eastAsia"/>
              </w:rPr>
              <w:t>一年以内</w:t>
            </w:r>
          </w:p>
        </w:tc>
        <w:tc>
          <w:tcPr>
            <w:tcW w:w="1391" w:type="dxa"/>
            <w:tcBorders>
              <w:top w:val="single" w:sz="4" w:space="0" w:color="auto"/>
              <w:left w:val="single" w:sz="4" w:space="0" w:color="auto"/>
              <w:bottom w:val="single" w:sz="4" w:space="0" w:color="auto"/>
              <w:right w:val="single" w:sz="4" w:space="0" w:color="auto"/>
            </w:tcBorders>
            <w:hideMark/>
          </w:tcPr>
          <w:p w14:paraId="1065E418" w14:textId="77777777" w:rsidR="009D43C3" w:rsidRPr="000C156A" w:rsidRDefault="009D43C3" w:rsidP="005D02F0">
            <w:pPr>
              <w:pStyle w:val="Tablehead"/>
            </w:pPr>
            <w:r w:rsidRPr="000C156A">
              <w:t>&lt;10</w:t>
            </w:r>
            <w:r w:rsidRPr="000C156A">
              <w:rPr>
                <w:rFonts w:hint="eastAsia"/>
              </w:rPr>
              <w:t>年</w:t>
            </w:r>
          </w:p>
        </w:tc>
        <w:tc>
          <w:tcPr>
            <w:tcW w:w="1253" w:type="dxa"/>
            <w:tcBorders>
              <w:top w:val="single" w:sz="4" w:space="0" w:color="auto"/>
              <w:left w:val="single" w:sz="4" w:space="0" w:color="auto"/>
              <w:bottom w:val="single" w:sz="4" w:space="0" w:color="auto"/>
              <w:right w:val="single" w:sz="4" w:space="0" w:color="auto"/>
            </w:tcBorders>
            <w:hideMark/>
          </w:tcPr>
          <w:p w14:paraId="2FEC33AD" w14:textId="77777777" w:rsidR="009D43C3" w:rsidRPr="000C156A" w:rsidRDefault="009D43C3" w:rsidP="005D02F0">
            <w:pPr>
              <w:pStyle w:val="Tablehead"/>
            </w:pPr>
            <w:r w:rsidRPr="000C156A">
              <w:t>&gt;10</w:t>
            </w:r>
            <w:r w:rsidRPr="000C156A">
              <w:rPr>
                <w:rFonts w:hint="eastAsia"/>
              </w:rPr>
              <w:t>年</w:t>
            </w:r>
          </w:p>
        </w:tc>
        <w:tc>
          <w:tcPr>
            <w:tcW w:w="1275" w:type="dxa"/>
            <w:tcBorders>
              <w:top w:val="single" w:sz="4" w:space="0" w:color="auto"/>
              <w:left w:val="single" w:sz="4" w:space="0" w:color="auto"/>
              <w:bottom w:val="single" w:sz="4" w:space="0" w:color="auto"/>
              <w:right w:val="single" w:sz="4" w:space="0" w:color="auto"/>
            </w:tcBorders>
            <w:hideMark/>
          </w:tcPr>
          <w:p w14:paraId="13874E37" w14:textId="77777777" w:rsidR="009D43C3" w:rsidRPr="000C156A" w:rsidRDefault="009D43C3" w:rsidP="005D02F0">
            <w:pPr>
              <w:pStyle w:val="Tablehead"/>
            </w:pPr>
            <w:r w:rsidRPr="000C156A">
              <w:rPr>
                <w:rFonts w:hint="eastAsia"/>
              </w:rPr>
              <w:t>合计</w:t>
            </w:r>
          </w:p>
        </w:tc>
      </w:tr>
      <w:tr w:rsidR="009D43C3" w:rsidRPr="000C156A" w14:paraId="630A4010" w14:textId="77777777" w:rsidTr="005D02F0">
        <w:trPr>
          <w:jc w:val="center"/>
        </w:trPr>
        <w:tc>
          <w:tcPr>
            <w:tcW w:w="2113" w:type="dxa"/>
            <w:tcBorders>
              <w:top w:val="single" w:sz="4" w:space="0" w:color="auto"/>
              <w:left w:val="single" w:sz="4" w:space="0" w:color="auto"/>
              <w:bottom w:val="single" w:sz="4" w:space="0" w:color="auto"/>
              <w:right w:val="single" w:sz="4" w:space="0" w:color="auto"/>
            </w:tcBorders>
            <w:hideMark/>
          </w:tcPr>
          <w:p w14:paraId="79A8614B" w14:textId="77777777" w:rsidR="009D43C3" w:rsidRPr="000C156A" w:rsidRDefault="009D43C3" w:rsidP="005D02F0">
            <w:pPr>
              <w:pStyle w:val="Tabletext"/>
              <w:rPr>
                <w:b/>
                <w:bCs/>
                <w:lang w:val="en-US" w:eastAsia="zh-CN"/>
              </w:rPr>
            </w:pPr>
            <w:r w:rsidRPr="000C156A">
              <w:rPr>
                <w:rFonts w:hint="eastAsia"/>
                <w:b/>
                <w:bCs/>
                <w:lang w:val="en-US" w:eastAsia="zh-CN"/>
              </w:rPr>
              <w:t>金融资产</w:t>
            </w:r>
          </w:p>
        </w:tc>
        <w:tc>
          <w:tcPr>
            <w:tcW w:w="1397" w:type="dxa"/>
            <w:tcBorders>
              <w:top w:val="single" w:sz="4" w:space="0" w:color="auto"/>
              <w:left w:val="single" w:sz="4" w:space="0" w:color="auto"/>
              <w:bottom w:val="single" w:sz="4" w:space="0" w:color="auto"/>
              <w:right w:val="single" w:sz="4" w:space="0" w:color="auto"/>
            </w:tcBorders>
          </w:tcPr>
          <w:p w14:paraId="4BA97175" w14:textId="77777777" w:rsidR="009D43C3" w:rsidRPr="000C156A" w:rsidRDefault="009D43C3" w:rsidP="005D02F0">
            <w:pPr>
              <w:pStyle w:val="enumlev1"/>
              <w:tabs>
                <w:tab w:val="left" w:pos="0"/>
              </w:tabs>
              <w:ind w:left="0" w:firstLine="0"/>
              <w:jc w:val="right"/>
              <w:rPr>
                <w:sz w:val="22"/>
                <w:lang w:val="en-US"/>
              </w:rPr>
            </w:pPr>
          </w:p>
        </w:tc>
        <w:tc>
          <w:tcPr>
            <w:tcW w:w="1525" w:type="dxa"/>
            <w:tcBorders>
              <w:top w:val="single" w:sz="4" w:space="0" w:color="auto"/>
              <w:left w:val="single" w:sz="4" w:space="0" w:color="auto"/>
              <w:bottom w:val="single" w:sz="4" w:space="0" w:color="auto"/>
              <w:right w:val="single" w:sz="4" w:space="0" w:color="auto"/>
            </w:tcBorders>
          </w:tcPr>
          <w:p w14:paraId="3E726F0B" w14:textId="77777777" w:rsidR="009D43C3" w:rsidRPr="000C156A" w:rsidRDefault="009D43C3" w:rsidP="005D02F0">
            <w:pPr>
              <w:pStyle w:val="enumlev1"/>
              <w:tabs>
                <w:tab w:val="left" w:pos="0"/>
              </w:tabs>
              <w:ind w:left="0" w:firstLine="0"/>
              <w:jc w:val="right"/>
              <w:rPr>
                <w:sz w:val="22"/>
                <w:lang w:val="en-US"/>
              </w:rPr>
            </w:pPr>
          </w:p>
        </w:tc>
        <w:tc>
          <w:tcPr>
            <w:tcW w:w="1391" w:type="dxa"/>
            <w:tcBorders>
              <w:top w:val="single" w:sz="4" w:space="0" w:color="auto"/>
              <w:left w:val="single" w:sz="4" w:space="0" w:color="auto"/>
              <w:bottom w:val="single" w:sz="4" w:space="0" w:color="auto"/>
              <w:right w:val="single" w:sz="4" w:space="0" w:color="auto"/>
            </w:tcBorders>
          </w:tcPr>
          <w:p w14:paraId="471AD528" w14:textId="77777777" w:rsidR="009D43C3" w:rsidRPr="000C156A" w:rsidRDefault="009D43C3" w:rsidP="005D02F0">
            <w:pPr>
              <w:pStyle w:val="enumlev1"/>
              <w:tabs>
                <w:tab w:val="left" w:pos="0"/>
              </w:tabs>
              <w:ind w:left="0" w:firstLine="0"/>
              <w:jc w:val="right"/>
              <w:rPr>
                <w:sz w:val="22"/>
                <w:lang w:val="en-US"/>
              </w:rPr>
            </w:pPr>
          </w:p>
        </w:tc>
        <w:tc>
          <w:tcPr>
            <w:tcW w:w="1253" w:type="dxa"/>
            <w:tcBorders>
              <w:top w:val="single" w:sz="4" w:space="0" w:color="auto"/>
              <w:left w:val="single" w:sz="4" w:space="0" w:color="auto"/>
              <w:bottom w:val="single" w:sz="4" w:space="0" w:color="auto"/>
              <w:right w:val="single" w:sz="4" w:space="0" w:color="auto"/>
            </w:tcBorders>
          </w:tcPr>
          <w:p w14:paraId="6B704967" w14:textId="77777777" w:rsidR="009D43C3" w:rsidRPr="000C156A" w:rsidRDefault="009D43C3" w:rsidP="005D02F0">
            <w:pPr>
              <w:pStyle w:val="enumlev1"/>
              <w:tabs>
                <w:tab w:val="left" w:pos="0"/>
              </w:tabs>
              <w:ind w:left="0" w:firstLine="0"/>
              <w:jc w:val="right"/>
              <w:rPr>
                <w:sz w:val="22"/>
                <w:lang w:val="en-US"/>
              </w:rPr>
            </w:pPr>
          </w:p>
        </w:tc>
        <w:tc>
          <w:tcPr>
            <w:tcW w:w="1275" w:type="dxa"/>
            <w:tcBorders>
              <w:top w:val="single" w:sz="4" w:space="0" w:color="auto"/>
              <w:left w:val="single" w:sz="4" w:space="0" w:color="auto"/>
              <w:bottom w:val="single" w:sz="4" w:space="0" w:color="auto"/>
              <w:right w:val="single" w:sz="4" w:space="0" w:color="auto"/>
            </w:tcBorders>
          </w:tcPr>
          <w:p w14:paraId="4DBCE782" w14:textId="77777777" w:rsidR="009D43C3" w:rsidRPr="000C156A" w:rsidRDefault="009D43C3" w:rsidP="005D02F0">
            <w:pPr>
              <w:pStyle w:val="enumlev1"/>
              <w:tabs>
                <w:tab w:val="left" w:pos="0"/>
              </w:tabs>
              <w:ind w:left="0" w:firstLine="0"/>
              <w:jc w:val="right"/>
              <w:rPr>
                <w:sz w:val="22"/>
                <w:lang w:val="en-US"/>
              </w:rPr>
            </w:pPr>
          </w:p>
        </w:tc>
      </w:tr>
      <w:tr w:rsidR="009D43C3" w:rsidRPr="000C156A" w14:paraId="650CADE0" w14:textId="77777777" w:rsidTr="005D02F0">
        <w:trPr>
          <w:jc w:val="center"/>
        </w:trPr>
        <w:tc>
          <w:tcPr>
            <w:tcW w:w="2113" w:type="dxa"/>
            <w:tcBorders>
              <w:top w:val="single" w:sz="4" w:space="0" w:color="auto"/>
              <w:left w:val="single" w:sz="4" w:space="0" w:color="auto"/>
              <w:bottom w:val="single" w:sz="4" w:space="0" w:color="auto"/>
              <w:right w:val="single" w:sz="4" w:space="0" w:color="auto"/>
            </w:tcBorders>
            <w:hideMark/>
          </w:tcPr>
          <w:p w14:paraId="1B489DDA" w14:textId="77777777" w:rsidR="009D43C3" w:rsidRPr="000C156A" w:rsidRDefault="009D43C3" w:rsidP="005D02F0">
            <w:pPr>
              <w:pStyle w:val="Tabletext"/>
              <w:rPr>
                <w:lang w:val="en-US" w:eastAsia="zh-CN"/>
              </w:rPr>
            </w:pPr>
            <w:r w:rsidRPr="000C156A">
              <w:rPr>
                <w:rFonts w:hint="eastAsia"/>
                <w:lang w:val="en-US" w:eastAsia="zh-CN"/>
              </w:rPr>
              <w:t>投资</w:t>
            </w:r>
          </w:p>
        </w:tc>
        <w:tc>
          <w:tcPr>
            <w:tcW w:w="1397" w:type="dxa"/>
            <w:tcBorders>
              <w:top w:val="single" w:sz="4" w:space="0" w:color="auto"/>
              <w:left w:val="single" w:sz="4" w:space="0" w:color="auto"/>
              <w:bottom w:val="single" w:sz="4" w:space="0" w:color="auto"/>
              <w:right w:val="single" w:sz="4" w:space="0" w:color="auto"/>
            </w:tcBorders>
          </w:tcPr>
          <w:p w14:paraId="4BDC6739" w14:textId="77777777" w:rsidR="009D43C3" w:rsidRPr="000C156A" w:rsidRDefault="009D43C3" w:rsidP="005D02F0">
            <w:pPr>
              <w:pStyle w:val="enumlev1"/>
              <w:tabs>
                <w:tab w:val="left" w:pos="0"/>
              </w:tabs>
              <w:ind w:left="0" w:firstLine="0"/>
              <w:jc w:val="right"/>
              <w:rPr>
                <w:sz w:val="22"/>
                <w:highlight w:val="yellow"/>
                <w:lang w:val="en-US"/>
              </w:rPr>
            </w:pPr>
          </w:p>
        </w:tc>
        <w:tc>
          <w:tcPr>
            <w:tcW w:w="1525" w:type="dxa"/>
            <w:tcBorders>
              <w:top w:val="single" w:sz="4" w:space="0" w:color="auto"/>
              <w:left w:val="single" w:sz="4" w:space="0" w:color="auto"/>
              <w:bottom w:val="single" w:sz="4" w:space="0" w:color="auto"/>
              <w:right w:val="single" w:sz="4" w:space="0" w:color="auto"/>
            </w:tcBorders>
            <w:hideMark/>
          </w:tcPr>
          <w:p w14:paraId="6170C3EE" w14:textId="7AEBF9E2" w:rsidR="009D43C3" w:rsidRPr="000C156A" w:rsidRDefault="009D43C3" w:rsidP="005D02F0">
            <w:pPr>
              <w:pStyle w:val="enumlev1"/>
              <w:tabs>
                <w:tab w:val="left" w:pos="0"/>
              </w:tabs>
              <w:ind w:left="0" w:firstLine="0"/>
              <w:jc w:val="right"/>
              <w:rPr>
                <w:sz w:val="22"/>
                <w:lang w:val="en-US"/>
              </w:rPr>
            </w:pPr>
            <w:r w:rsidRPr="000C156A">
              <w:rPr>
                <w:rFonts w:cs="Calibri"/>
                <w:sz w:val="22"/>
                <w:lang w:val="en-US"/>
              </w:rPr>
              <w:t>95</w:t>
            </w:r>
            <w:r w:rsidR="00261BAD" w:rsidRPr="000C156A">
              <w:rPr>
                <w:rFonts w:cs="Calibri"/>
                <w:sz w:val="22"/>
                <w:lang w:val="en-US"/>
              </w:rPr>
              <w:t xml:space="preserve"> </w:t>
            </w:r>
            <w:r w:rsidRPr="000C156A">
              <w:rPr>
                <w:rFonts w:cs="Calibri"/>
                <w:sz w:val="22"/>
                <w:lang w:val="en-US"/>
              </w:rPr>
              <w:t>516</w:t>
            </w:r>
          </w:p>
        </w:tc>
        <w:tc>
          <w:tcPr>
            <w:tcW w:w="1391" w:type="dxa"/>
            <w:tcBorders>
              <w:top w:val="single" w:sz="4" w:space="0" w:color="auto"/>
              <w:left w:val="single" w:sz="4" w:space="0" w:color="auto"/>
              <w:bottom w:val="single" w:sz="4" w:space="0" w:color="auto"/>
              <w:right w:val="single" w:sz="4" w:space="0" w:color="auto"/>
            </w:tcBorders>
            <w:hideMark/>
          </w:tcPr>
          <w:p w14:paraId="3E197394" w14:textId="77777777" w:rsidR="009D43C3" w:rsidRPr="000C156A" w:rsidRDefault="009D43C3" w:rsidP="005D02F0">
            <w:pPr>
              <w:pStyle w:val="enumlev1"/>
              <w:tabs>
                <w:tab w:val="left" w:pos="0"/>
              </w:tabs>
              <w:ind w:left="0" w:firstLine="0"/>
              <w:jc w:val="right"/>
              <w:rPr>
                <w:sz w:val="22"/>
                <w:lang w:val="en-US"/>
              </w:rPr>
            </w:pPr>
            <w:r w:rsidRPr="000C156A">
              <w:rPr>
                <w:rFonts w:cs="Calibri"/>
                <w:sz w:val="22"/>
                <w:lang w:val="en-US"/>
              </w:rPr>
              <w:t>0</w:t>
            </w:r>
          </w:p>
        </w:tc>
        <w:tc>
          <w:tcPr>
            <w:tcW w:w="1253" w:type="dxa"/>
            <w:tcBorders>
              <w:top w:val="single" w:sz="4" w:space="0" w:color="auto"/>
              <w:left w:val="single" w:sz="4" w:space="0" w:color="auto"/>
              <w:bottom w:val="single" w:sz="4" w:space="0" w:color="auto"/>
              <w:right w:val="single" w:sz="4" w:space="0" w:color="auto"/>
            </w:tcBorders>
            <w:hideMark/>
          </w:tcPr>
          <w:p w14:paraId="7173C0BD" w14:textId="77777777" w:rsidR="009D43C3" w:rsidRPr="000C156A" w:rsidRDefault="009D43C3" w:rsidP="005D02F0">
            <w:pPr>
              <w:pStyle w:val="enumlev1"/>
              <w:tabs>
                <w:tab w:val="left" w:pos="0"/>
              </w:tabs>
              <w:ind w:left="0" w:firstLine="0"/>
              <w:jc w:val="right"/>
              <w:rPr>
                <w:sz w:val="22"/>
                <w:lang w:val="en-US"/>
              </w:rPr>
            </w:pPr>
            <w:r w:rsidRPr="000C156A">
              <w:rPr>
                <w:rFonts w:cs="Calibri"/>
                <w:sz w:val="22"/>
                <w:lang w:val="en-US"/>
              </w:rPr>
              <w:t>0</w:t>
            </w:r>
          </w:p>
        </w:tc>
        <w:tc>
          <w:tcPr>
            <w:tcW w:w="1275" w:type="dxa"/>
            <w:tcBorders>
              <w:top w:val="single" w:sz="4" w:space="0" w:color="auto"/>
              <w:left w:val="single" w:sz="4" w:space="0" w:color="auto"/>
              <w:bottom w:val="single" w:sz="4" w:space="0" w:color="auto"/>
              <w:right w:val="single" w:sz="4" w:space="0" w:color="auto"/>
            </w:tcBorders>
            <w:hideMark/>
          </w:tcPr>
          <w:p w14:paraId="00B619E9" w14:textId="0751BB09" w:rsidR="009D43C3" w:rsidRPr="000C156A" w:rsidRDefault="009D43C3" w:rsidP="005D02F0">
            <w:pPr>
              <w:pStyle w:val="enumlev1"/>
              <w:tabs>
                <w:tab w:val="left" w:pos="0"/>
              </w:tabs>
              <w:ind w:left="0" w:firstLine="0"/>
              <w:jc w:val="right"/>
              <w:rPr>
                <w:sz w:val="22"/>
                <w:lang w:val="en-US"/>
              </w:rPr>
            </w:pPr>
            <w:r w:rsidRPr="000C156A">
              <w:rPr>
                <w:rFonts w:cs="Calibri"/>
                <w:sz w:val="22"/>
                <w:lang w:val="en-US"/>
              </w:rPr>
              <w:t>95</w:t>
            </w:r>
            <w:r w:rsidR="00261BAD" w:rsidRPr="000C156A">
              <w:rPr>
                <w:rFonts w:cs="Calibri"/>
                <w:sz w:val="22"/>
                <w:lang w:val="en-US"/>
              </w:rPr>
              <w:t xml:space="preserve"> </w:t>
            </w:r>
            <w:r w:rsidRPr="000C156A">
              <w:rPr>
                <w:rFonts w:cs="Calibri"/>
                <w:sz w:val="22"/>
                <w:lang w:val="en-US"/>
              </w:rPr>
              <w:t>516</w:t>
            </w:r>
          </w:p>
        </w:tc>
      </w:tr>
      <w:tr w:rsidR="009D43C3" w:rsidRPr="000C156A" w14:paraId="3122F7CD" w14:textId="77777777" w:rsidTr="005D02F0">
        <w:trPr>
          <w:jc w:val="center"/>
        </w:trPr>
        <w:tc>
          <w:tcPr>
            <w:tcW w:w="2113" w:type="dxa"/>
            <w:tcBorders>
              <w:top w:val="single" w:sz="4" w:space="0" w:color="auto"/>
              <w:left w:val="single" w:sz="4" w:space="0" w:color="auto"/>
              <w:bottom w:val="single" w:sz="4" w:space="0" w:color="auto"/>
              <w:right w:val="single" w:sz="4" w:space="0" w:color="auto"/>
            </w:tcBorders>
            <w:hideMark/>
          </w:tcPr>
          <w:p w14:paraId="327746FD" w14:textId="77777777" w:rsidR="009D43C3" w:rsidRPr="000C156A" w:rsidRDefault="009D43C3" w:rsidP="005D02F0">
            <w:pPr>
              <w:pStyle w:val="Tabletext"/>
              <w:rPr>
                <w:lang w:val="en-US" w:eastAsia="zh-CN"/>
              </w:rPr>
            </w:pPr>
            <w:r w:rsidRPr="000C156A">
              <w:rPr>
                <w:rFonts w:hint="eastAsia"/>
                <w:lang w:val="en-US" w:eastAsia="zh-CN"/>
              </w:rPr>
              <w:t>现金和现金等价物</w:t>
            </w:r>
          </w:p>
        </w:tc>
        <w:tc>
          <w:tcPr>
            <w:tcW w:w="1397" w:type="dxa"/>
            <w:tcBorders>
              <w:top w:val="single" w:sz="4" w:space="0" w:color="auto"/>
              <w:left w:val="single" w:sz="4" w:space="0" w:color="auto"/>
              <w:bottom w:val="single" w:sz="4" w:space="0" w:color="auto"/>
              <w:right w:val="single" w:sz="4" w:space="0" w:color="auto"/>
            </w:tcBorders>
          </w:tcPr>
          <w:p w14:paraId="24EB2A55" w14:textId="77777777" w:rsidR="009D43C3" w:rsidRPr="000C156A" w:rsidRDefault="009D43C3" w:rsidP="005D02F0">
            <w:pPr>
              <w:pStyle w:val="enumlev1"/>
              <w:tabs>
                <w:tab w:val="left" w:pos="0"/>
              </w:tabs>
              <w:ind w:left="0" w:firstLine="0"/>
              <w:jc w:val="right"/>
              <w:rPr>
                <w:sz w:val="22"/>
                <w:highlight w:val="yellow"/>
                <w:lang w:val="en-US"/>
              </w:rPr>
            </w:pPr>
          </w:p>
        </w:tc>
        <w:tc>
          <w:tcPr>
            <w:tcW w:w="1525" w:type="dxa"/>
            <w:tcBorders>
              <w:top w:val="single" w:sz="4" w:space="0" w:color="auto"/>
              <w:left w:val="single" w:sz="4" w:space="0" w:color="auto"/>
              <w:bottom w:val="single" w:sz="4" w:space="0" w:color="auto"/>
              <w:right w:val="single" w:sz="4" w:space="0" w:color="auto"/>
            </w:tcBorders>
            <w:hideMark/>
          </w:tcPr>
          <w:p w14:paraId="6CC3D139" w14:textId="3EFD0A0E" w:rsidR="009D43C3" w:rsidRPr="000C156A" w:rsidRDefault="009D43C3" w:rsidP="005D02F0">
            <w:pPr>
              <w:pStyle w:val="enumlev1"/>
              <w:tabs>
                <w:tab w:val="left" w:pos="0"/>
              </w:tabs>
              <w:ind w:left="0" w:firstLine="0"/>
              <w:jc w:val="right"/>
              <w:rPr>
                <w:sz w:val="22"/>
                <w:lang w:val="en-US"/>
              </w:rPr>
            </w:pPr>
            <w:r w:rsidRPr="000C156A">
              <w:rPr>
                <w:rFonts w:cs="Calibri"/>
                <w:sz w:val="22"/>
                <w:lang w:val="en-US"/>
              </w:rPr>
              <w:t>99</w:t>
            </w:r>
            <w:r w:rsidR="00261BAD" w:rsidRPr="000C156A">
              <w:rPr>
                <w:rFonts w:cs="Calibri"/>
                <w:sz w:val="22"/>
                <w:lang w:val="en-US"/>
              </w:rPr>
              <w:t xml:space="preserve"> </w:t>
            </w:r>
            <w:r w:rsidRPr="000C156A">
              <w:rPr>
                <w:rFonts w:cs="Calibri"/>
                <w:sz w:val="22"/>
                <w:lang w:val="en-US"/>
              </w:rPr>
              <w:t>406</w:t>
            </w:r>
          </w:p>
        </w:tc>
        <w:tc>
          <w:tcPr>
            <w:tcW w:w="1391" w:type="dxa"/>
            <w:tcBorders>
              <w:top w:val="single" w:sz="4" w:space="0" w:color="auto"/>
              <w:left w:val="single" w:sz="4" w:space="0" w:color="auto"/>
              <w:bottom w:val="single" w:sz="4" w:space="0" w:color="auto"/>
              <w:right w:val="single" w:sz="4" w:space="0" w:color="auto"/>
            </w:tcBorders>
            <w:hideMark/>
          </w:tcPr>
          <w:p w14:paraId="2F3E6973" w14:textId="77777777" w:rsidR="009D43C3" w:rsidRPr="000C156A" w:rsidRDefault="009D43C3" w:rsidP="005D02F0">
            <w:pPr>
              <w:pStyle w:val="enumlev1"/>
              <w:tabs>
                <w:tab w:val="left" w:pos="0"/>
              </w:tabs>
              <w:ind w:left="0" w:firstLine="0"/>
              <w:jc w:val="right"/>
              <w:rPr>
                <w:sz w:val="22"/>
                <w:lang w:val="en-US"/>
              </w:rPr>
            </w:pPr>
            <w:r w:rsidRPr="000C156A">
              <w:rPr>
                <w:rFonts w:cs="Calibri"/>
                <w:sz w:val="22"/>
                <w:lang w:val="en-US"/>
              </w:rPr>
              <w:t>0</w:t>
            </w:r>
          </w:p>
        </w:tc>
        <w:tc>
          <w:tcPr>
            <w:tcW w:w="1253" w:type="dxa"/>
            <w:tcBorders>
              <w:top w:val="single" w:sz="4" w:space="0" w:color="auto"/>
              <w:left w:val="single" w:sz="4" w:space="0" w:color="auto"/>
              <w:bottom w:val="single" w:sz="4" w:space="0" w:color="auto"/>
              <w:right w:val="single" w:sz="4" w:space="0" w:color="auto"/>
            </w:tcBorders>
            <w:hideMark/>
          </w:tcPr>
          <w:p w14:paraId="0860306E" w14:textId="77777777" w:rsidR="009D43C3" w:rsidRPr="000C156A" w:rsidRDefault="009D43C3" w:rsidP="005D02F0">
            <w:pPr>
              <w:pStyle w:val="enumlev1"/>
              <w:tabs>
                <w:tab w:val="left" w:pos="0"/>
              </w:tabs>
              <w:ind w:left="0" w:firstLine="0"/>
              <w:jc w:val="right"/>
              <w:rPr>
                <w:sz w:val="22"/>
                <w:lang w:val="en-US"/>
              </w:rPr>
            </w:pPr>
            <w:r w:rsidRPr="000C156A">
              <w:rPr>
                <w:rFonts w:cs="Calibri"/>
                <w:sz w:val="22"/>
                <w:lang w:val="en-US"/>
              </w:rPr>
              <w:t>0</w:t>
            </w:r>
          </w:p>
        </w:tc>
        <w:tc>
          <w:tcPr>
            <w:tcW w:w="1275" w:type="dxa"/>
            <w:tcBorders>
              <w:top w:val="single" w:sz="4" w:space="0" w:color="auto"/>
              <w:left w:val="single" w:sz="4" w:space="0" w:color="auto"/>
              <w:bottom w:val="single" w:sz="4" w:space="0" w:color="auto"/>
              <w:right w:val="single" w:sz="4" w:space="0" w:color="auto"/>
            </w:tcBorders>
            <w:hideMark/>
          </w:tcPr>
          <w:p w14:paraId="6D2EA2A8" w14:textId="1F9538C4" w:rsidR="009D43C3" w:rsidRPr="000C156A" w:rsidRDefault="009D43C3" w:rsidP="005D02F0">
            <w:pPr>
              <w:pStyle w:val="enumlev1"/>
              <w:tabs>
                <w:tab w:val="left" w:pos="0"/>
              </w:tabs>
              <w:ind w:left="0" w:firstLine="0"/>
              <w:jc w:val="right"/>
              <w:rPr>
                <w:sz w:val="22"/>
                <w:lang w:val="en-US"/>
              </w:rPr>
            </w:pPr>
            <w:r w:rsidRPr="000C156A">
              <w:rPr>
                <w:rFonts w:cs="Calibri"/>
                <w:sz w:val="22"/>
                <w:lang w:val="en-US"/>
              </w:rPr>
              <w:t>99</w:t>
            </w:r>
            <w:r w:rsidR="00261BAD" w:rsidRPr="000C156A">
              <w:rPr>
                <w:rFonts w:cs="Calibri"/>
                <w:sz w:val="22"/>
                <w:lang w:val="en-US"/>
              </w:rPr>
              <w:t xml:space="preserve"> </w:t>
            </w:r>
            <w:r w:rsidRPr="000C156A">
              <w:rPr>
                <w:rFonts w:cs="Calibri"/>
                <w:sz w:val="22"/>
                <w:lang w:val="en-US"/>
              </w:rPr>
              <w:t>406</w:t>
            </w:r>
          </w:p>
        </w:tc>
      </w:tr>
      <w:tr w:rsidR="009D43C3" w:rsidRPr="000C156A" w14:paraId="7F82E352" w14:textId="77777777" w:rsidTr="005D02F0">
        <w:trPr>
          <w:jc w:val="center"/>
        </w:trPr>
        <w:tc>
          <w:tcPr>
            <w:tcW w:w="2113" w:type="dxa"/>
            <w:tcBorders>
              <w:top w:val="single" w:sz="4" w:space="0" w:color="auto"/>
              <w:left w:val="single" w:sz="4" w:space="0" w:color="auto"/>
              <w:bottom w:val="single" w:sz="4" w:space="0" w:color="auto"/>
              <w:right w:val="single" w:sz="4" w:space="0" w:color="auto"/>
            </w:tcBorders>
            <w:hideMark/>
          </w:tcPr>
          <w:p w14:paraId="25893530" w14:textId="77777777" w:rsidR="009D43C3" w:rsidRPr="000C156A" w:rsidRDefault="009D43C3" w:rsidP="005D02F0">
            <w:pPr>
              <w:pStyle w:val="Tabletext"/>
              <w:rPr>
                <w:b/>
                <w:bCs/>
                <w:lang w:val="en-US" w:eastAsia="zh-CN"/>
              </w:rPr>
            </w:pPr>
            <w:r w:rsidRPr="000C156A">
              <w:rPr>
                <w:rFonts w:hint="eastAsia"/>
                <w:b/>
                <w:bCs/>
                <w:lang w:val="en-US" w:eastAsia="zh-CN"/>
              </w:rPr>
              <w:t>金融资产合计</w:t>
            </w:r>
          </w:p>
        </w:tc>
        <w:tc>
          <w:tcPr>
            <w:tcW w:w="1397" w:type="dxa"/>
            <w:tcBorders>
              <w:top w:val="single" w:sz="4" w:space="0" w:color="auto"/>
              <w:left w:val="single" w:sz="4" w:space="0" w:color="auto"/>
              <w:bottom w:val="single" w:sz="4" w:space="0" w:color="auto"/>
              <w:right w:val="single" w:sz="4" w:space="0" w:color="auto"/>
            </w:tcBorders>
          </w:tcPr>
          <w:p w14:paraId="1BCA3161" w14:textId="77777777" w:rsidR="009D43C3" w:rsidRPr="000C156A" w:rsidRDefault="009D43C3" w:rsidP="005D02F0">
            <w:pPr>
              <w:pStyle w:val="enumlev1"/>
              <w:tabs>
                <w:tab w:val="left" w:pos="0"/>
              </w:tabs>
              <w:ind w:left="0" w:firstLine="0"/>
              <w:jc w:val="right"/>
              <w:rPr>
                <w:sz w:val="22"/>
                <w:highlight w:val="yellow"/>
                <w:lang w:val="en-US"/>
              </w:rPr>
            </w:pPr>
          </w:p>
        </w:tc>
        <w:tc>
          <w:tcPr>
            <w:tcW w:w="1525" w:type="dxa"/>
            <w:tcBorders>
              <w:top w:val="single" w:sz="4" w:space="0" w:color="auto"/>
              <w:left w:val="single" w:sz="4" w:space="0" w:color="auto"/>
              <w:bottom w:val="single" w:sz="4" w:space="0" w:color="auto"/>
              <w:right w:val="single" w:sz="4" w:space="0" w:color="auto"/>
            </w:tcBorders>
            <w:hideMark/>
          </w:tcPr>
          <w:p w14:paraId="36D51FE5" w14:textId="0C53AF4F" w:rsidR="009D43C3" w:rsidRPr="000C156A" w:rsidRDefault="009D43C3" w:rsidP="005D02F0">
            <w:pPr>
              <w:pStyle w:val="enumlev1"/>
              <w:tabs>
                <w:tab w:val="left" w:pos="0"/>
              </w:tabs>
              <w:ind w:left="0" w:firstLine="0"/>
              <w:jc w:val="right"/>
              <w:rPr>
                <w:sz w:val="22"/>
                <w:lang w:val="en-US"/>
              </w:rPr>
            </w:pPr>
            <w:r w:rsidRPr="000C156A">
              <w:rPr>
                <w:rFonts w:cs="Calibri"/>
                <w:sz w:val="22"/>
                <w:lang w:val="en-US"/>
              </w:rPr>
              <w:t>194</w:t>
            </w:r>
            <w:r w:rsidR="00261BAD" w:rsidRPr="000C156A">
              <w:rPr>
                <w:rFonts w:cs="Calibri"/>
                <w:sz w:val="22"/>
                <w:lang w:val="en-US"/>
              </w:rPr>
              <w:t xml:space="preserve"> </w:t>
            </w:r>
            <w:r w:rsidRPr="000C156A">
              <w:rPr>
                <w:rFonts w:cs="Calibri"/>
                <w:sz w:val="22"/>
                <w:lang w:val="en-US"/>
              </w:rPr>
              <w:t>922</w:t>
            </w:r>
          </w:p>
        </w:tc>
        <w:tc>
          <w:tcPr>
            <w:tcW w:w="1391" w:type="dxa"/>
            <w:tcBorders>
              <w:top w:val="single" w:sz="4" w:space="0" w:color="auto"/>
              <w:left w:val="single" w:sz="4" w:space="0" w:color="auto"/>
              <w:bottom w:val="single" w:sz="4" w:space="0" w:color="auto"/>
              <w:right w:val="single" w:sz="4" w:space="0" w:color="auto"/>
            </w:tcBorders>
            <w:hideMark/>
          </w:tcPr>
          <w:p w14:paraId="29355CE0" w14:textId="77777777" w:rsidR="009D43C3" w:rsidRPr="000C156A" w:rsidRDefault="009D43C3" w:rsidP="005D02F0">
            <w:pPr>
              <w:pStyle w:val="enumlev1"/>
              <w:tabs>
                <w:tab w:val="left" w:pos="0"/>
              </w:tabs>
              <w:ind w:left="0" w:firstLine="0"/>
              <w:jc w:val="right"/>
              <w:rPr>
                <w:sz w:val="22"/>
                <w:lang w:val="en-US"/>
              </w:rPr>
            </w:pPr>
            <w:r w:rsidRPr="000C156A">
              <w:rPr>
                <w:rFonts w:cs="Calibri"/>
                <w:sz w:val="22"/>
                <w:lang w:val="en-US"/>
              </w:rPr>
              <w:t>0</w:t>
            </w:r>
          </w:p>
        </w:tc>
        <w:tc>
          <w:tcPr>
            <w:tcW w:w="1253" w:type="dxa"/>
            <w:tcBorders>
              <w:top w:val="single" w:sz="4" w:space="0" w:color="auto"/>
              <w:left w:val="single" w:sz="4" w:space="0" w:color="auto"/>
              <w:bottom w:val="single" w:sz="4" w:space="0" w:color="auto"/>
              <w:right w:val="single" w:sz="4" w:space="0" w:color="auto"/>
            </w:tcBorders>
            <w:hideMark/>
          </w:tcPr>
          <w:p w14:paraId="7F38B831" w14:textId="77777777" w:rsidR="009D43C3" w:rsidRPr="000C156A" w:rsidRDefault="009D43C3" w:rsidP="005D02F0">
            <w:pPr>
              <w:pStyle w:val="enumlev1"/>
              <w:tabs>
                <w:tab w:val="left" w:pos="0"/>
              </w:tabs>
              <w:ind w:left="0" w:firstLine="0"/>
              <w:jc w:val="right"/>
              <w:rPr>
                <w:sz w:val="22"/>
                <w:lang w:val="en-US"/>
              </w:rPr>
            </w:pPr>
            <w:r w:rsidRPr="000C156A">
              <w:rPr>
                <w:rFonts w:cs="Calibri"/>
                <w:sz w:val="22"/>
                <w:lang w:val="en-US"/>
              </w:rPr>
              <w:t>0</w:t>
            </w:r>
          </w:p>
        </w:tc>
        <w:tc>
          <w:tcPr>
            <w:tcW w:w="1275" w:type="dxa"/>
            <w:tcBorders>
              <w:top w:val="single" w:sz="4" w:space="0" w:color="auto"/>
              <w:left w:val="single" w:sz="4" w:space="0" w:color="auto"/>
              <w:bottom w:val="single" w:sz="4" w:space="0" w:color="auto"/>
              <w:right w:val="single" w:sz="4" w:space="0" w:color="auto"/>
            </w:tcBorders>
            <w:hideMark/>
          </w:tcPr>
          <w:p w14:paraId="3DFF2032" w14:textId="61D68504" w:rsidR="009D43C3" w:rsidRPr="000C156A" w:rsidRDefault="009D43C3" w:rsidP="005D02F0">
            <w:pPr>
              <w:pStyle w:val="enumlev1"/>
              <w:tabs>
                <w:tab w:val="left" w:pos="0"/>
              </w:tabs>
              <w:ind w:left="0" w:firstLine="0"/>
              <w:jc w:val="right"/>
              <w:rPr>
                <w:sz w:val="22"/>
                <w:lang w:val="en-US"/>
              </w:rPr>
            </w:pPr>
            <w:r w:rsidRPr="000C156A">
              <w:rPr>
                <w:rFonts w:cs="Calibri"/>
                <w:sz w:val="22"/>
                <w:lang w:val="en-US"/>
              </w:rPr>
              <w:t>194</w:t>
            </w:r>
            <w:r w:rsidR="00261BAD" w:rsidRPr="000C156A">
              <w:rPr>
                <w:rFonts w:cs="Calibri"/>
                <w:sz w:val="22"/>
                <w:lang w:val="en-US"/>
              </w:rPr>
              <w:t xml:space="preserve"> </w:t>
            </w:r>
            <w:r w:rsidRPr="000C156A">
              <w:rPr>
                <w:rFonts w:cs="Calibri"/>
                <w:sz w:val="22"/>
                <w:lang w:val="en-US"/>
              </w:rPr>
              <w:t>922</w:t>
            </w:r>
          </w:p>
        </w:tc>
      </w:tr>
      <w:tr w:rsidR="009D43C3" w:rsidRPr="000C156A" w14:paraId="079CEB87" w14:textId="77777777" w:rsidTr="005D02F0">
        <w:trPr>
          <w:jc w:val="center"/>
        </w:trPr>
        <w:tc>
          <w:tcPr>
            <w:tcW w:w="2113" w:type="dxa"/>
            <w:tcBorders>
              <w:top w:val="single" w:sz="4" w:space="0" w:color="auto"/>
              <w:left w:val="single" w:sz="4" w:space="0" w:color="auto"/>
              <w:bottom w:val="single" w:sz="4" w:space="0" w:color="auto"/>
              <w:right w:val="single" w:sz="4" w:space="0" w:color="auto"/>
            </w:tcBorders>
            <w:hideMark/>
          </w:tcPr>
          <w:p w14:paraId="5B57B3BA" w14:textId="77777777" w:rsidR="009D43C3" w:rsidRPr="000C156A" w:rsidRDefault="009D43C3" w:rsidP="005D02F0">
            <w:pPr>
              <w:pStyle w:val="Tabletext"/>
              <w:rPr>
                <w:b/>
                <w:bCs/>
                <w:lang w:val="en-US" w:eastAsia="zh-CN"/>
              </w:rPr>
            </w:pPr>
            <w:r w:rsidRPr="000C156A">
              <w:rPr>
                <w:rFonts w:hint="eastAsia"/>
                <w:b/>
                <w:bCs/>
                <w:lang w:val="en-US" w:eastAsia="zh-CN"/>
              </w:rPr>
              <w:t>金融负债</w:t>
            </w:r>
          </w:p>
        </w:tc>
        <w:tc>
          <w:tcPr>
            <w:tcW w:w="1397" w:type="dxa"/>
            <w:tcBorders>
              <w:top w:val="single" w:sz="4" w:space="0" w:color="auto"/>
              <w:left w:val="single" w:sz="4" w:space="0" w:color="auto"/>
              <w:bottom w:val="single" w:sz="4" w:space="0" w:color="auto"/>
              <w:right w:val="single" w:sz="4" w:space="0" w:color="auto"/>
            </w:tcBorders>
          </w:tcPr>
          <w:p w14:paraId="4E96D8FC" w14:textId="77777777" w:rsidR="009D43C3" w:rsidRPr="000C156A" w:rsidRDefault="009D43C3" w:rsidP="005D02F0">
            <w:pPr>
              <w:pStyle w:val="enumlev1"/>
              <w:tabs>
                <w:tab w:val="left" w:pos="0"/>
              </w:tabs>
              <w:ind w:left="0" w:firstLine="0"/>
              <w:jc w:val="right"/>
              <w:rPr>
                <w:sz w:val="22"/>
                <w:highlight w:val="yellow"/>
                <w:lang w:val="en-US"/>
              </w:rPr>
            </w:pPr>
          </w:p>
        </w:tc>
        <w:tc>
          <w:tcPr>
            <w:tcW w:w="1525" w:type="dxa"/>
            <w:tcBorders>
              <w:top w:val="single" w:sz="4" w:space="0" w:color="auto"/>
              <w:left w:val="single" w:sz="4" w:space="0" w:color="auto"/>
              <w:bottom w:val="single" w:sz="4" w:space="0" w:color="auto"/>
              <w:right w:val="single" w:sz="4" w:space="0" w:color="auto"/>
            </w:tcBorders>
          </w:tcPr>
          <w:p w14:paraId="0C0F2367" w14:textId="77777777" w:rsidR="009D43C3" w:rsidRPr="000C156A" w:rsidRDefault="009D43C3" w:rsidP="005D02F0">
            <w:pPr>
              <w:pStyle w:val="enumlev1"/>
              <w:tabs>
                <w:tab w:val="left" w:pos="0"/>
              </w:tabs>
              <w:ind w:left="0" w:firstLine="0"/>
              <w:jc w:val="right"/>
              <w:rPr>
                <w:sz w:val="22"/>
                <w:lang w:val="en-US"/>
              </w:rPr>
            </w:pPr>
          </w:p>
        </w:tc>
        <w:tc>
          <w:tcPr>
            <w:tcW w:w="1391" w:type="dxa"/>
            <w:tcBorders>
              <w:top w:val="single" w:sz="4" w:space="0" w:color="auto"/>
              <w:left w:val="single" w:sz="4" w:space="0" w:color="auto"/>
              <w:bottom w:val="single" w:sz="4" w:space="0" w:color="auto"/>
              <w:right w:val="single" w:sz="4" w:space="0" w:color="auto"/>
            </w:tcBorders>
          </w:tcPr>
          <w:p w14:paraId="3BCDD074" w14:textId="77777777" w:rsidR="009D43C3" w:rsidRPr="000C156A" w:rsidRDefault="009D43C3" w:rsidP="005D02F0">
            <w:pPr>
              <w:pStyle w:val="enumlev1"/>
              <w:tabs>
                <w:tab w:val="left" w:pos="0"/>
              </w:tabs>
              <w:ind w:left="0" w:firstLine="0"/>
              <w:jc w:val="right"/>
              <w:rPr>
                <w:sz w:val="22"/>
                <w:lang w:val="en-US"/>
              </w:rPr>
            </w:pPr>
          </w:p>
        </w:tc>
        <w:tc>
          <w:tcPr>
            <w:tcW w:w="1253" w:type="dxa"/>
            <w:tcBorders>
              <w:top w:val="single" w:sz="4" w:space="0" w:color="auto"/>
              <w:left w:val="single" w:sz="4" w:space="0" w:color="auto"/>
              <w:bottom w:val="single" w:sz="4" w:space="0" w:color="auto"/>
              <w:right w:val="single" w:sz="4" w:space="0" w:color="auto"/>
            </w:tcBorders>
          </w:tcPr>
          <w:p w14:paraId="61C2C828" w14:textId="77777777" w:rsidR="009D43C3" w:rsidRPr="000C156A" w:rsidRDefault="009D43C3" w:rsidP="005D02F0">
            <w:pPr>
              <w:pStyle w:val="enumlev1"/>
              <w:tabs>
                <w:tab w:val="left" w:pos="0"/>
              </w:tabs>
              <w:ind w:left="0" w:firstLine="0"/>
              <w:jc w:val="right"/>
              <w:rPr>
                <w:sz w:val="22"/>
                <w:lang w:val="en-US"/>
              </w:rPr>
            </w:pPr>
          </w:p>
        </w:tc>
        <w:tc>
          <w:tcPr>
            <w:tcW w:w="1275" w:type="dxa"/>
            <w:tcBorders>
              <w:top w:val="single" w:sz="4" w:space="0" w:color="auto"/>
              <w:left w:val="single" w:sz="4" w:space="0" w:color="auto"/>
              <w:bottom w:val="single" w:sz="4" w:space="0" w:color="auto"/>
              <w:right w:val="single" w:sz="4" w:space="0" w:color="auto"/>
            </w:tcBorders>
          </w:tcPr>
          <w:p w14:paraId="08859474" w14:textId="77777777" w:rsidR="009D43C3" w:rsidRPr="000C156A" w:rsidRDefault="009D43C3" w:rsidP="005D02F0">
            <w:pPr>
              <w:pStyle w:val="enumlev1"/>
              <w:tabs>
                <w:tab w:val="left" w:pos="0"/>
              </w:tabs>
              <w:ind w:left="0" w:firstLine="0"/>
              <w:jc w:val="right"/>
              <w:rPr>
                <w:sz w:val="22"/>
                <w:lang w:val="en-US"/>
              </w:rPr>
            </w:pPr>
          </w:p>
        </w:tc>
      </w:tr>
      <w:tr w:rsidR="009D43C3" w:rsidRPr="000C156A" w14:paraId="5009366C" w14:textId="77777777" w:rsidTr="005D02F0">
        <w:trPr>
          <w:jc w:val="center"/>
        </w:trPr>
        <w:tc>
          <w:tcPr>
            <w:tcW w:w="2113" w:type="dxa"/>
            <w:tcBorders>
              <w:top w:val="single" w:sz="4" w:space="0" w:color="auto"/>
              <w:left w:val="single" w:sz="4" w:space="0" w:color="auto"/>
              <w:bottom w:val="single" w:sz="4" w:space="0" w:color="auto"/>
              <w:right w:val="single" w:sz="4" w:space="0" w:color="auto"/>
            </w:tcBorders>
            <w:hideMark/>
          </w:tcPr>
          <w:p w14:paraId="2A04552A" w14:textId="77777777" w:rsidR="009D43C3" w:rsidRPr="000C156A" w:rsidRDefault="009D43C3" w:rsidP="005D02F0">
            <w:pPr>
              <w:pStyle w:val="Tabletext"/>
              <w:rPr>
                <w:lang w:val="en-US" w:eastAsia="zh-CN"/>
              </w:rPr>
            </w:pPr>
            <w:r w:rsidRPr="000C156A">
              <w:rPr>
                <w:rFonts w:hint="eastAsia"/>
                <w:lang w:val="en-US" w:eastAsia="zh-CN"/>
              </w:rPr>
              <w:t>借款</w:t>
            </w:r>
          </w:p>
        </w:tc>
        <w:tc>
          <w:tcPr>
            <w:tcW w:w="1397" w:type="dxa"/>
            <w:tcBorders>
              <w:top w:val="single" w:sz="4" w:space="0" w:color="auto"/>
              <w:left w:val="single" w:sz="4" w:space="0" w:color="auto"/>
              <w:bottom w:val="single" w:sz="4" w:space="0" w:color="auto"/>
              <w:right w:val="single" w:sz="4" w:space="0" w:color="auto"/>
            </w:tcBorders>
            <w:hideMark/>
          </w:tcPr>
          <w:p w14:paraId="0343EBCD" w14:textId="77777777" w:rsidR="009D43C3" w:rsidRPr="000C156A" w:rsidRDefault="009D43C3" w:rsidP="005D02F0">
            <w:pPr>
              <w:pStyle w:val="enumlev1"/>
              <w:tabs>
                <w:tab w:val="left" w:pos="0"/>
              </w:tabs>
              <w:ind w:left="0" w:firstLine="0"/>
              <w:jc w:val="right"/>
              <w:rPr>
                <w:sz w:val="22"/>
                <w:lang w:val="en-US"/>
              </w:rPr>
            </w:pPr>
            <w:r w:rsidRPr="000C156A">
              <w:rPr>
                <w:sz w:val="22"/>
                <w:lang w:val="en-US"/>
              </w:rPr>
              <w:t>0%</w:t>
            </w:r>
          </w:p>
        </w:tc>
        <w:tc>
          <w:tcPr>
            <w:tcW w:w="1525" w:type="dxa"/>
            <w:tcBorders>
              <w:top w:val="single" w:sz="4" w:space="0" w:color="auto"/>
              <w:left w:val="single" w:sz="4" w:space="0" w:color="auto"/>
              <w:bottom w:val="single" w:sz="4" w:space="0" w:color="auto"/>
              <w:right w:val="single" w:sz="4" w:space="0" w:color="auto"/>
            </w:tcBorders>
            <w:hideMark/>
          </w:tcPr>
          <w:p w14:paraId="5FB9CC25" w14:textId="1A1188D5" w:rsidR="009D43C3" w:rsidRPr="000C156A" w:rsidRDefault="009D43C3" w:rsidP="005D02F0">
            <w:pPr>
              <w:pStyle w:val="enumlev1"/>
              <w:tabs>
                <w:tab w:val="left" w:pos="0"/>
              </w:tabs>
              <w:ind w:left="0" w:firstLine="0"/>
              <w:jc w:val="right"/>
              <w:rPr>
                <w:sz w:val="22"/>
                <w:lang w:val="en-US"/>
              </w:rPr>
            </w:pPr>
            <w:r w:rsidRPr="000C156A">
              <w:rPr>
                <w:rFonts w:cs="Calibri"/>
                <w:sz w:val="22"/>
                <w:lang w:val="en-US"/>
              </w:rPr>
              <w:t>1</w:t>
            </w:r>
            <w:r w:rsidR="00261BAD" w:rsidRPr="000C156A">
              <w:rPr>
                <w:rFonts w:cs="Calibri"/>
                <w:sz w:val="22"/>
                <w:lang w:val="en-US"/>
              </w:rPr>
              <w:t xml:space="preserve"> </w:t>
            </w:r>
            <w:r w:rsidRPr="000C156A">
              <w:rPr>
                <w:rFonts w:cs="Calibri"/>
                <w:sz w:val="22"/>
                <w:lang w:val="en-US"/>
              </w:rPr>
              <w:t>391</w:t>
            </w:r>
          </w:p>
        </w:tc>
        <w:tc>
          <w:tcPr>
            <w:tcW w:w="1391" w:type="dxa"/>
            <w:tcBorders>
              <w:top w:val="single" w:sz="4" w:space="0" w:color="auto"/>
              <w:left w:val="single" w:sz="4" w:space="0" w:color="auto"/>
              <w:bottom w:val="single" w:sz="4" w:space="0" w:color="auto"/>
              <w:right w:val="single" w:sz="4" w:space="0" w:color="auto"/>
            </w:tcBorders>
            <w:hideMark/>
          </w:tcPr>
          <w:p w14:paraId="75D99BE1" w14:textId="4FB67E19" w:rsidR="009D43C3" w:rsidRPr="000C156A" w:rsidRDefault="009D43C3" w:rsidP="005D02F0">
            <w:pPr>
              <w:pStyle w:val="enumlev1"/>
              <w:tabs>
                <w:tab w:val="left" w:pos="0"/>
              </w:tabs>
              <w:ind w:left="0" w:firstLine="0"/>
              <w:jc w:val="right"/>
              <w:rPr>
                <w:sz w:val="22"/>
                <w:lang w:val="en-US"/>
              </w:rPr>
            </w:pPr>
            <w:r w:rsidRPr="000C156A">
              <w:rPr>
                <w:rFonts w:cs="Calibri"/>
                <w:sz w:val="22"/>
                <w:lang w:val="en-US"/>
              </w:rPr>
              <w:t>13</w:t>
            </w:r>
            <w:r w:rsidR="00261BAD" w:rsidRPr="000C156A">
              <w:rPr>
                <w:rFonts w:cs="Calibri"/>
                <w:sz w:val="22"/>
                <w:lang w:val="en-US"/>
              </w:rPr>
              <w:t xml:space="preserve"> </w:t>
            </w:r>
            <w:r w:rsidRPr="000C156A">
              <w:rPr>
                <w:rFonts w:cs="Calibri"/>
                <w:sz w:val="22"/>
                <w:lang w:val="en-US"/>
              </w:rPr>
              <w:t>910</w:t>
            </w:r>
          </w:p>
        </w:tc>
        <w:tc>
          <w:tcPr>
            <w:tcW w:w="1253" w:type="dxa"/>
            <w:tcBorders>
              <w:top w:val="single" w:sz="4" w:space="0" w:color="auto"/>
              <w:left w:val="single" w:sz="4" w:space="0" w:color="auto"/>
              <w:bottom w:val="single" w:sz="4" w:space="0" w:color="auto"/>
              <w:right w:val="single" w:sz="4" w:space="0" w:color="auto"/>
            </w:tcBorders>
            <w:hideMark/>
          </w:tcPr>
          <w:p w14:paraId="383E01EC" w14:textId="4EBB31C9" w:rsidR="009D43C3" w:rsidRPr="000C156A" w:rsidRDefault="009D43C3" w:rsidP="005D02F0">
            <w:pPr>
              <w:pStyle w:val="enumlev1"/>
              <w:tabs>
                <w:tab w:val="left" w:pos="0"/>
              </w:tabs>
              <w:ind w:left="0" w:firstLine="0"/>
              <w:jc w:val="right"/>
              <w:rPr>
                <w:sz w:val="22"/>
                <w:lang w:val="en-US"/>
              </w:rPr>
            </w:pPr>
            <w:r w:rsidRPr="000C156A">
              <w:rPr>
                <w:rFonts w:cs="Calibri"/>
                <w:sz w:val="22"/>
                <w:lang w:val="en-US"/>
              </w:rPr>
              <w:t>31</w:t>
            </w:r>
            <w:r w:rsidR="00261BAD" w:rsidRPr="000C156A">
              <w:rPr>
                <w:rFonts w:cs="Calibri"/>
                <w:sz w:val="22"/>
                <w:lang w:val="en-US"/>
              </w:rPr>
              <w:t xml:space="preserve"> </w:t>
            </w:r>
            <w:r w:rsidRPr="000C156A">
              <w:rPr>
                <w:rFonts w:cs="Calibri"/>
                <w:sz w:val="22"/>
                <w:lang w:val="en-US"/>
              </w:rPr>
              <w:t>809</w:t>
            </w:r>
          </w:p>
        </w:tc>
        <w:tc>
          <w:tcPr>
            <w:tcW w:w="1275" w:type="dxa"/>
            <w:tcBorders>
              <w:top w:val="single" w:sz="4" w:space="0" w:color="auto"/>
              <w:left w:val="single" w:sz="4" w:space="0" w:color="auto"/>
              <w:bottom w:val="single" w:sz="4" w:space="0" w:color="auto"/>
              <w:right w:val="single" w:sz="4" w:space="0" w:color="auto"/>
            </w:tcBorders>
            <w:hideMark/>
          </w:tcPr>
          <w:p w14:paraId="3DDC85E3" w14:textId="4E054411" w:rsidR="009D43C3" w:rsidRPr="000C156A" w:rsidRDefault="009D43C3" w:rsidP="005D02F0">
            <w:pPr>
              <w:pStyle w:val="enumlev1"/>
              <w:tabs>
                <w:tab w:val="left" w:pos="0"/>
              </w:tabs>
              <w:ind w:left="0" w:firstLine="0"/>
              <w:jc w:val="right"/>
              <w:rPr>
                <w:sz w:val="22"/>
                <w:lang w:val="en-US"/>
              </w:rPr>
            </w:pPr>
            <w:r w:rsidRPr="000C156A">
              <w:rPr>
                <w:rFonts w:cs="Calibri"/>
                <w:sz w:val="22"/>
                <w:lang w:val="en-US"/>
              </w:rPr>
              <w:t>47</w:t>
            </w:r>
            <w:r w:rsidR="00261BAD" w:rsidRPr="000C156A">
              <w:rPr>
                <w:rFonts w:cs="Calibri"/>
                <w:sz w:val="22"/>
                <w:lang w:val="en-US"/>
              </w:rPr>
              <w:t xml:space="preserve"> </w:t>
            </w:r>
            <w:r w:rsidRPr="000C156A">
              <w:rPr>
                <w:rFonts w:cs="Calibri"/>
                <w:sz w:val="22"/>
                <w:lang w:val="en-US"/>
              </w:rPr>
              <w:t>110</w:t>
            </w:r>
          </w:p>
        </w:tc>
      </w:tr>
      <w:tr w:rsidR="009D43C3" w:rsidRPr="000C156A" w14:paraId="1CA82EA9" w14:textId="77777777" w:rsidTr="005D02F0">
        <w:trPr>
          <w:jc w:val="center"/>
        </w:trPr>
        <w:tc>
          <w:tcPr>
            <w:tcW w:w="2113" w:type="dxa"/>
            <w:tcBorders>
              <w:top w:val="single" w:sz="4" w:space="0" w:color="auto"/>
              <w:left w:val="single" w:sz="4" w:space="0" w:color="auto"/>
              <w:bottom w:val="single" w:sz="4" w:space="0" w:color="auto"/>
              <w:right w:val="single" w:sz="4" w:space="0" w:color="auto"/>
            </w:tcBorders>
            <w:hideMark/>
          </w:tcPr>
          <w:p w14:paraId="0C79A8BA" w14:textId="77777777" w:rsidR="009D43C3" w:rsidRPr="000C156A" w:rsidRDefault="009D43C3" w:rsidP="005D02F0">
            <w:pPr>
              <w:pStyle w:val="Tabletext"/>
              <w:rPr>
                <w:b/>
                <w:bCs/>
                <w:lang w:val="en-US" w:eastAsia="zh-CN"/>
              </w:rPr>
            </w:pPr>
            <w:r w:rsidRPr="000C156A">
              <w:rPr>
                <w:rFonts w:hint="eastAsia"/>
                <w:b/>
                <w:bCs/>
                <w:lang w:val="en-US" w:eastAsia="zh-CN"/>
              </w:rPr>
              <w:t>负债合计</w:t>
            </w:r>
          </w:p>
        </w:tc>
        <w:tc>
          <w:tcPr>
            <w:tcW w:w="1397" w:type="dxa"/>
            <w:tcBorders>
              <w:top w:val="single" w:sz="4" w:space="0" w:color="auto"/>
              <w:left w:val="single" w:sz="4" w:space="0" w:color="auto"/>
              <w:bottom w:val="single" w:sz="4" w:space="0" w:color="auto"/>
              <w:right w:val="single" w:sz="4" w:space="0" w:color="auto"/>
            </w:tcBorders>
          </w:tcPr>
          <w:p w14:paraId="324A92BB" w14:textId="77777777" w:rsidR="009D43C3" w:rsidRPr="000C156A" w:rsidRDefault="009D43C3" w:rsidP="005D02F0">
            <w:pPr>
              <w:pStyle w:val="enumlev1"/>
              <w:tabs>
                <w:tab w:val="left" w:pos="0"/>
              </w:tabs>
              <w:ind w:left="0" w:firstLine="0"/>
              <w:jc w:val="right"/>
              <w:rPr>
                <w:sz w:val="22"/>
                <w:highlight w:val="yellow"/>
                <w:lang w:val="en-US"/>
              </w:rPr>
            </w:pPr>
          </w:p>
        </w:tc>
        <w:tc>
          <w:tcPr>
            <w:tcW w:w="1525" w:type="dxa"/>
            <w:tcBorders>
              <w:top w:val="single" w:sz="4" w:space="0" w:color="auto"/>
              <w:left w:val="single" w:sz="4" w:space="0" w:color="auto"/>
              <w:bottom w:val="single" w:sz="4" w:space="0" w:color="auto"/>
              <w:right w:val="single" w:sz="4" w:space="0" w:color="auto"/>
            </w:tcBorders>
            <w:hideMark/>
          </w:tcPr>
          <w:p w14:paraId="71EBDB62" w14:textId="022F7D55" w:rsidR="009D43C3" w:rsidRPr="000C156A" w:rsidRDefault="009D43C3" w:rsidP="005D02F0">
            <w:pPr>
              <w:pStyle w:val="enumlev1"/>
              <w:tabs>
                <w:tab w:val="left" w:pos="0"/>
              </w:tabs>
              <w:ind w:left="0" w:firstLine="0"/>
              <w:jc w:val="right"/>
              <w:rPr>
                <w:sz w:val="22"/>
                <w:lang w:val="en-US"/>
              </w:rPr>
            </w:pPr>
            <w:r w:rsidRPr="000C156A">
              <w:rPr>
                <w:rFonts w:cs="Calibri"/>
                <w:sz w:val="22"/>
                <w:lang w:val="en-US"/>
              </w:rPr>
              <w:t>1</w:t>
            </w:r>
            <w:r w:rsidR="00261BAD" w:rsidRPr="000C156A">
              <w:rPr>
                <w:rFonts w:cs="Calibri"/>
                <w:sz w:val="22"/>
                <w:lang w:val="en-US"/>
              </w:rPr>
              <w:t xml:space="preserve"> </w:t>
            </w:r>
            <w:r w:rsidRPr="000C156A">
              <w:rPr>
                <w:rFonts w:cs="Calibri"/>
                <w:sz w:val="22"/>
                <w:lang w:val="en-US"/>
              </w:rPr>
              <w:t>391</w:t>
            </w:r>
          </w:p>
        </w:tc>
        <w:tc>
          <w:tcPr>
            <w:tcW w:w="1391" w:type="dxa"/>
            <w:tcBorders>
              <w:top w:val="single" w:sz="4" w:space="0" w:color="auto"/>
              <w:left w:val="single" w:sz="4" w:space="0" w:color="auto"/>
              <w:bottom w:val="single" w:sz="4" w:space="0" w:color="auto"/>
              <w:right w:val="single" w:sz="4" w:space="0" w:color="auto"/>
            </w:tcBorders>
            <w:hideMark/>
          </w:tcPr>
          <w:p w14:paraId="004C3B70" w14:textId="0A34C0F7" w:rsidR="009D43C3" w:rsidRPr="000C156A" w:rsidRDefault="009D43C3" w:rsidP="005D02F0">
            <w:pPr>
              <w:pStyle w:val="enumlev1"/>
              <w:tabs>
                <w:tab w:val="left" w:pos="0"/>
              </w:tabs>
              <w:ind w:left="0" w:firstLine="0"/>
              <w:jc w:val="right"/>
              <w:rPr>
                <w:sz w:val="22"/>
                <w:lang w:val="en-US"/>
              </w:rPr>
            </w:pPr>
            <w:r w:rsidRPr="000C156A">
              <w:rPr>
                <w:rFonts w:cs="Calibri"/>
                <w:sz w:val="22"/>
                <w:lang w:val="en-US"/>
              </w:rPr>
              <w:t>13</w:t>
            </w:r>
            <w:r w:rsidR="00261BAD" w:rsidRPr="000C156A">
              <w:rPr>
                <w:rFonts w:cs="Calibri"/>
                <w:sz w:val="22"/>
                <w:lang w:val="en-US"/>
              </w:rPr>
              <w:t xml:space="preserve"> </w:t>
            </w:r>
            <w:r w:rsidRPr="000C156A">
              <w:rPr>
                <w:rFonts w:cs="Calibri"/>
                <w:sz w:val="22"/>
                <w:lang w:val="en-US"/>
              </w:rPr>
              <w:t>910</w:t>
            </w:r>
          </w:p>
        </w:tc>
        <w:tc>
          <w:tcPr>
            <w:tcW w:w="1253" w:type="dxa"/>
            <w:tcBorders>
              <w:top w:val="single" w:sz="4" w:space="0" w:color="auto"/>
              <w:left w:val="single" w:sz="4" w:space="0" w:color="auto"/>
              <w:bottom w:val="single" w:sz="4" w:space="0" w:color="auto"/>
              <w:right w:val="single" w:sz="4" w:space="0" w:color="auto"/>
            </w:tcBorders>
            <w:hideMark/>
          </w:tcPr>
          <w:p w14:paraId="0790DC7B" w14:textId="7D1043C3" w:rsidR="009D43C3" w:rsidRPr="000C156A" w:rsidRDefault="009D43C3" w:rsidP="005D02F0">
            <w:pPr>
              <w:pStyle w:val="enumlev1"/>
              <w:tabs>
                <w:tab w:val="left" w:pos="0"/>
              </w:tabs>
              <w:ind w:left="0" w:firstLine="0"/>
              <w:jc w:val="right"/>
              <w:rPr>
                <w:sz w:val="22"/>
                <w:lang w:val="en-US"/>
              </w:rPr>
            </w:pPr>
            <w:r w:rsidRPr="000C156A">
              <w:rPr>
                <w:rFonts w:cs="Calibri"/>
                <w:sz w:val="22"/>
                <w:lang w:val="en-US"/>
              </w:rPr>
              <w:t>31</w:t>
            </w:r>
            <w:r w:rsidR="00261BAD" w:rsidRPr="000C156A">
              <w:rPr>
                <w:rFonts w:cs="Calibri"/>
                <w:sz w:val="22"/>
                <w:lang w:val="en-US"/>
              </w:rPr>
              <w:t xml:space="preserve"> </w:t>
            </w:r>
            <w:r w:rsidRPr="000C156A">
              <w:rPr>
                <w:rFonts w:cs="Calibri"/>
                <w:sz w:val="22"/>
                <w:lang w:val="en-US"/>
              </w:rPr>
              <w:t>809</w:t>
            </w:r>
          </w:p>
        </w:tc>
        <w:tc>
          <w:tcPr>
            <w:tcW w:w="1275" w:type="dxa"/>
            <w:tcBorders>
              <w:top w:val="single" w:sz="4" w:space="0" w:color="auto"/>
              <w:left w:val="single" w:sz="4" w:space="0" w:color="auto"/>
              <w:bottom w:val="single" w:sz="4" w:space="0" w:color="auto"/>
              <w:right w:val="single" w:sz="4" w:space="0" w:color="auto"/>
            </w:tcBorders>
            <w:hideMark/>
          </w:tcPr>
          <w:p w14:paraId="5B671547" w14:textId="63836720" w:rsidR="009D43C3" w:rsidRPr="000C156A" w:rsidRDefault="009D43C3" w:rsidP="005D02F0">
            <w:pPr>
              <w:pStyle w:val="enumlev1"/>
              <w:tabs>
                <w:tab w:val="left" w:pos="0"/>
              </w:tabs>
              <w:ind w:left="0" w:firstLine="0"/>
              <w:jc w:val="right"/>
              <w:rPr>
                <w:sz w:val="22"/>
                <w:lang w:val="en-US"/>
              </w:rPr>
            </w:pPr>
            <w:r w:rsidRPr="000C156A">
              <w:rPr>
                <w:rFonts w:cs="Calibri"/>
                <w:sz w:val="22"/>
                <w:lang w:val="en-US"/>
              </w:rPr>
              <w:t>47</w:t>
            </w:r>
            <w:r w:rsidR="00261BAD" w:rsidRPr="000C156A">
              <w:rPr>
                <w:rFonts w:cs="Calibri"/>
                <w:sz w:val="22"/>
                <w:lang w:val="en-US"/>
              </w:rPr>
              <w:t xml:space="preserve"> </w:t>
            </w:r>
            <w:r w:rsidRPr="000C156A">
              <w:rPr>
                <w:rFonts w:cs="Calibri"/>
                <w:sz w:val="22"/>
                <w:lang w:val="en-US"/>
              </w:rPr>
              <w:t>110</w:t>
            </w:r>
          </w:p>
        </w:tc>
      </w:tr>
    </w:tbl>
    <w:p w14:paraId="7B12C6D5" w14:textId="77777777" w:rsidR="009D43C3" w:rsidRPr="000C156A" w:rsidRDefault="009D43C3" w:rsidP="009D43C3">
      <w:pPr>
        <w:pStyle w:val="Heading1"/>
        <w:rPr>
          <w:sz w:val="24"/>
          <w:szCs w:val="24"/>
          <w:lang w:val="fr-FR"/>
        </w:rPr>
      </w:pPr>
      <w:bookmarkStart w:id="513" w:name="_Toc482892564"/>
      <w:bookmarkStart w:id="514" w:name="_Toc482870829"/>
      <w:bookmarkStart w:id="515" w:name="_Toc329165780"/>
      <w:bookmarkStart w:id="516" w:name="_Toc305594738"/>
      <w:bookmarkStart w:id="517" w:name="_Toc511813747"/>
      <w:bookmarkStart w:id="518" w:name="_Toc511817830"/>
      <w:bookmarkStart w:id="519" w:name="_Toc520280730"/>
      <w:bookmarkStart w:id="520" w:name="_Toc10536825"/>
      <w:bookmarkStart w:id="521" w:name="_Toc41905866"/>
      <w:bookmarkStart w:id="522" w:name="_Toc41906895"/>
      <w:bookmarkStart w:id="523" w:name="_Toc41907976"/>
      <w:bookmarkStart w:id="524" w:name="_Toc41908044"/>
      <w:bookmarkStart w:id="525" w:name="_Toc73518682"/>
      <w:bookmarkStart w:id="526" w:name="_Toc73518829"/>
      <w:bookmarkStart w:id="527" w:name="_Toc73519229"/>
      <w:bookmarkStart w:id="528" w:name="_Toc73636268"/>
      <w:r w:rsidRPr="000C156A">
        <w:rPr>
          <w:rFonts w:cs="Microsoft YaHei" w:hint="eastAsia"/>
          <w:sz w:val="24"/>
          <w:szCs w:val="24"/>
          <w:lang w:val="fr-FR"/>
        </w:rPr>
        <w:t>说明</w:t>
      </w:r>
      <w:r w:rsidRPr="000C156A">
        <w:rPr>
          <w:sz w:val="24"/>
          <w:szCs w:val="24"/>
          <w:lang w:val="fr-FR"/>
        </w:rPr>
        <w:t>5</w:t>
      </w:r>
      <w:r w:rsidRPr="000C156A">
        <w:rPr>
          <w:sz w:val="24"/>
          <w:szCs w:val="24"/>
          <w:lang w:val="fr-FR"/>
        </w:rPr>
        <w:tab/>
      </w:r>
      <w:r w:rsidRPr="000C156A">
        <w:rPr>
          <w:rFonts w:cs="Microsoft YaHei" w:hint="eastAsia"/>
          <w:sz w:val="24"/>
          <w:szCs w:val="24"/>
          <w:lang w:val="fr-FR"/>
        </w:rPr>
        <w:t>判定和会计估算</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1A62D77C" w14:textId="77777777" w:rsidR="009D43C3" w:rsidRPr="000C156A" w:rsidRDefault="009D43C3" w:rsidP="009D43C3">
      <w:pPr>
        <w:ind w:firstLineChars="200" w:firstLine="480"/>
        <w:rPr>
          <w:lang w:eastAsia="zh-CN"/>
        </w:rPr>
      </w:pPr>
      <w:r w:rsidRPr="000C156A">
        <w:rPr>
          <w:rFonts w:hint="eastAsia"/>
          <w:lang w:eastAsia="zh-CN"/>
        </w:rPr>
        <w:t>按照</w:t>
      </w:r>
      <w:r w:rsidRPr="000C156A">
        <w:rPr>
          <w:lang w:val="fr-FR" w:eastAsia="zh-CN"/>
        </w:rPr>
        <w:t>IPSAS</w:t>
      </w:r>
      <w:r w:rsidRPr="000C156A">
        <w:rPr>
          <w:rFonts w:hint="eastAsia"/>
          <w:lang w:eastAsia="zh-CN"/>
        </w:rPr>
        <w:t>制定财务报表要求使用一方面对在资产负债表制定当天时所披露的资产和负债数额及或有资产和承付款项披露具有影响、另一方面又对会计期间收入和费用数额具有影响的估算和</w:t>
      </w:r>
      <w:r w:rsidRPr="000C156A">
        <w:rPr>
          <w:lang w:val="fr-FR" w:eastAsia="zh-CN"/>
        </w:rPr>
        <w:t>/</w:t>
      </w:r>
      <w:r w:rsidRPr="000C156A">
        <w:rPr>
          <w:rFonts w:hint="eastAsia"/>
          <w:lang w:eastAsia="zh-CN"/>
        </w:rPr>
        <w:t>或假设。虽然估算以此前经验和在现行情况下被认为合理的各种因素为基础，但实际得到的结果可能与在做出估算时预测的结果不尽相同。</w:t>
      </w:r>
    </w:p>
    <w:p w14:paraId="5CF17E7F" w14:textId="77777777" w:rsidR="009D43C3" w:rsidRPr="000C156A" w:rsidRDefault="009D43C3" w:rsidP="009D43C3">
      <w:pPr>
        <w:ind w:firstLineChars="200" w:firstLine="480"/>
        <w:rPr>
          <w:lang w:eastAsia="zh-CN"/>
        </w:rPr>
      </w:pPr>
      <w:r w:rsidRPr="000C156A">
        <w:rPr>
          <w:rFonts w:hint="eastAsia"/>
          <w:lang w:eastAsia="zh-CN"/>
        </w:rPr>
        <w:t>下列方面是需要在很大程度上予以判定和十分复杂的方面，亦或在这些方面做出的假设和估算对财务报表的制定带来了负面影响：</w:t>
      </w:r>
    </w:p>
    <w:p w14:paraId="378EAECC"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离职后福利，主要涉及离职后健康保险计划；</w:t>
      </w:r>
    </w:p>
    <w:p w14:paraId="77D487B8"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固定资产使用寿命及其可能的价值减损；</w:t>
      </w:r>
    </w:p>
    <w:p w14:paraId="2F67A637" w14:textId="77777777" w:rsidR="009D43C3" w:rsidRPr="000C156A" w:rsidRDefault="009D43C3" w:rsidP="009D43C3">
      <w:pPr>
        <w:pStyle w:val="enumlev1"/>
        <w:rPr>
          <w:lang w:eastAsia="zh-CN"/>
        </w:rPr>
      </w:pPr>
      <w:r w:rsidRPr="000C156A">
        <w:rPr>
          <w:lang w:eastAsia="zh-CN"/>
        </w:rPr>
        <w:lastRenderedPageBreak/>
        <w:t>•</w:t>
      </w:r>
      <w:r w:rsidRPr="000C156A">
        <w:rPr>
          <w:lang w:eastAsia="zh-CN"/>
        </w:rPr>
        <w:tab/>
      </w:r>
      <w:r w:rsidRPr="000C156A">
        <w:rPr>
          <w:rFonts w:hint="eastAsia"/>
          <w:lang w:eastAsia="zh-CN"/>
        </w:rPr>
        <w:t>应收款项准备金；</w:t>
      </w:r>
    </w:p>
    <w:p w14:paraId="366055F0"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库存出版物的销售概率；</w:t>
      </w:r>
    </w:p>
    <w:p w14:paraId="28CD9661" w14:textId="77777777" w:rsidR="009D43C3" w:rsidRPr="000C156A" w:rsidRDefault="009D43C3" w:rsidP="009D43C3">
      <w:pPr>
        <w:pStyle w:val="enumlev1"/>
        <w:rPr>
          <w:lang w:eastAsia="zh-CN"/>
        </w:rPr>
      </w:pPr>
      <w:r w:rsidRPr="000C156A">
        <w:rPr>
          <w:lang w:eastAsia="zh-CN"/>
        </w:rPr>
        <w:t>•</w:t>
      </w:r>
      <w:r w:rsidRPr="000C156A">
        <w:rPr>
          <w:lang w:eastAsia="zh-CN"/>
        </w:rPr>
        <w:tab/>
      </w:r>
      <w:r w:rsidRPr="000C156A">
        <w:rPr>
          <w:rFonts w:hint="eastAsia"/>
          <w:lang w:eastAsia="zh-CN"/>
        </w:rPr>
        <w:t>卫星网络申报的递延收入。</w:t>
      </w:r>
    </w:p>
    <w:p w14:paraId="720ED7EF" w14:textId="77777777" w:rsidR="009D43C3" w:rsidRPr="000C156A" w:rsidRDefault="009D43C3" w:rsidP="0031493D">
      <w:pPr>
        <w:pStyle w:val="Heading1"/>
        <w:spacing w:before="240" w:after="120"/>
        <w:rPr>
          <w:rFonts w:cs="Microsoft YaHei"/>
          <w:sz w:val="24"/>
          <w:szCs w:val="24"/>
          <w:lang w:val="fr-FR"/>
        </w:rPr>
      </w:pPr>
      <w:bookmarkStart w:id="529" w:name="_Toc305594740"/>
      <w:bookmarkStart w:id="530" w:name="_Toc482892565"/>
      <w:bookmarkStart w:id="531" w:name="_Toc482870830"/>
      <w:bookmarkStart w:id="532" w:name="_Toc329165781"/>
      <w:bookmarkStart w:id="533" w:name="_Toc511813748"/>
      <w:bookmarkStart w:id="534" w:name="_Toc511817831"/>
      <w:bookmarkStart w:id="535" w:name="_Toc520280731"/>
      <w:bookmarkStart w:id="536" w:name="_Toc10536826"/>
      <w:bookmarkStart w:id="537" w:name="_Toc41905867"/>
      <w:bookmarkStart w:id="538" w:name="_Toc41906896"/>
      <w:bookmarkStart w:id="539" w:name="_Toc41907977"/>
      <w:bookmarkStart w:id="540" w:name="_Toc41908045"/>
      <w:bookmarkStart w:id="541" w:name="_Toc73518683"/>
      <w:bookmarkStart w:id="542" w:name="_Toc73518830"/>
      <w:bookmarkStart w:id="543" w:name="_Toc73519230"/>
      <w:bookmarkStart w:id="544" w:name="_Toc73636269"/>
      <w:r w:rsidRPr="000C156A">
        <w:rPr>
          <w:rFonts w:cs="Microsoft YaHei" w:hint="eastAsia"/>
          <w:sz w:val="24"/>
          <w:szCs w:val="24"/>
          <w:lang w:val="fr-FR"/>
        </w:rPr>
        <w:t>说明</w:t>
      </w:r>
      <w:r w:rsidRPr="000C156A">
        <w:rPr>
          <w:rFonts w:cs="Microsoft YaHei"/>
          <w:sz w:val="24"/>
          <w:szCs w:val="24"/>
          <w:lang w:val="fr-FR"/>
        </w:rPr>
        <w:t>6</w:t>
      </w:r>
      <w:r w:rsidRPr="000C156A">
        <w:rPr>
          <w:rFonts w:cs="Microsoft YaHei"/>
          <w:sz w:val="24"/>
          <w:szCs w:val="24"/>
          <w:lang w:val="fr-FR"/>
        </w:rPr>
        <w:tab/>
      </w:r>
      <w:r w:rsidRPr="000C156A">
        <w:rPr>
          <w:rFonts w:cs="Microsoft YaHei" w:hint="eastAsia"/>
          <w:sz w:val="24"/>
          <w:szCs w:val="24"/>
          <w:lang w:val="fr-FR"/>
        </w:rPr>
        <w:t>现金和现金</w:t>
      </w:r>
      <w:bookmarkEnd w:id="529"/>
      <w:r w:rsidRPr="000C156A">
        <w:rPr>
          <w:rFonts w:cs="Microsoft YaHei" w:hint="eastAsia"/>
          <w:sz w:val="24"/>
          <w:szCs w:val="24"/>
          <w:lang w:val="fr-FR"/>
        </w:rPr>
        <w:t>等价物</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tbl>
      <w:tblPr>
        <w:tblW w:w="5000" w:type="pct"/>
        <w:tblLook w:val="04A0" w:firstRow="1" w:lastRow="0" w:firstColumn="1" w:lastColumn="0" w:noHBand="0" w:noVBand="1"/>
      </w:tblPr>
      <w:tblGrid>
        <w:gridCol w:w="4489"/>
        <w:gridCol w:w="2519"/>
        <w:gridCol w:w="2621"/>
      </w:tblGrid>
      <w:tr w:rsidR="009D43C3" w:rsidRPr="000C156A" w14:paraId="1EE27903" w14:textId="77777777" w:rsidTr="005D02F0">
        <w:trPr>
          <w:trHeight w:val="499"/>
        </w:trPr>
        <w:tc>
          <w:tcPr>
            <w:tcW w:w="2331" w:type="pct"/>
            <w:tcBorders>
              <w:top w:val="single" w:sz="4" w:space="0" w:color="auto"/>
              <w:left w:val="single" w:sz="4" w:space="0" w:color="auto"/>
              <w:bottom w:val="single" w:sz="4" w:space="0" w:color="auto"/>
              <w:right w:val="single" w:sz="4" w:space="0" w:color="auto"/>
            </w:tcBorders>
            <w:vAlign w:val="center"/>
          </w:tcPr>
          <w:p w14:paraId="3E7EDDB7" w14:textId="77777777" w:rsidR="009D43C3" w:rsidRPr="000C156A" w:rsidRDefault="009D43C3" w:rsidP="005D02F0">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hint="eastAsia"/>
                <w:sz w:val="22"/>
                <w:szCs w:val="22"/>
                <w:lang w:val="en-US"/>
              </w:rPr>
              <w:t>单位：千瑞郎</w:t>
            </w:r>
          </w:p>
        </w:tc>
        <w:tc>
          <w:tcPr>
            <w:tcW w:w="1308" w:type="pct"/>
            <w:tcBorders>
              <w:top w:val="single" w:sz="4" w:space="0" w:color="auto"/>
              <w:left w:val="nil"/>
              <w:bottom w:val="single" w:sz="4" w:space="0" w:color="auto"/>
              <w:right w:val="single" w:sz="4" w:space="0" w:color="auto"/>
            </w:tcBorders>
            <w:shd w:val="clear" w:color="auto" w:fill="auto"/>
            <w:noWrap/>
            <w:vAlign w:val="center"/>
            <w:hideMark/>
          </w:tcPr>
          <w:p w14:paraId="240C92EB" w14:textId="77777777" w:rsidR="009D43C3" w:rsidRPr="000C156A" w:rsidRDefault="009D43C3" w:rsidP="005D02F0">
            <w:pPr>
              <w:pStyle w:val="Tablehead"/>
              <w:jc w:val="right"/>
              <w:rPr>
                <w:rFonts w:asciiTheme="minorHAnsi" w:hAnsiTheme="minorHAnsi" w:cs="Arial"/>
                <w:b w:val="0"/>
                <w:bCs/>
                <w:color w:val="000000"/>
                <w:szCs w:val="22"/>
                <w:lang w:val="en-US" w:eastAsia="zh-CN"/>
              </w:rPr>
            </w:pPr>
            <w:r w:rsidRPr="000C156A">
              <w:rPr>
                <w:szCs w:val="22"/>
                <w:lang w:val="en-US"/>
              </w:rPr>
              <w:t>20</w:t>
            </w:r>
            <w:r w:rsidRPr="000C156A">
              <w:rPr>
                <w:rFonts w:hint="eastAsia"/>
                <w:szCs w:val="22"/>
                <w:lang w:val="en-US"/>
              </w:rPr>
              <w:t>20</w:t>
            </w:r>
            <w:r w:rsidRPr="000C156A">
              <w:rPr>
                <w:rFonts w:hint="eastAsia"/>
                <w:szCs w:val="22"/>
                <w:lang w:val="en-US"/>
              </w:rPr>
              <w:t>年</w:t>
            </w:r>
            <w:r w:rsidRPr="000C156A">
              <w:rPr>
                <w:szCs w:val="22"/>
                <w:lang w:val="en-US"/>
              </w:rPr>
              <w:t>12</w:t>
            </w:r>
            <w:r w:rsidRPr="000C156A">
              <w:rPr>
                <w:rFonts w:hint="eastAsia"/>
                <w:szCs w:val="22"/>
                <w:lang w:val="en-US"/>
              </w:rPr>
              <w:t>月</w:t>
            </w:r>
            <w:r w:rsidRPr="000C156A">
              <w:rPr>
                <w:szCs w:val="22"/>
                <w:lang w:val="en-US"/>
              </w:rPr>
              <w:t>31</w:t>
            </w:r>
            <w:r w:rsidRPr="000C156A">
              <w:rPr>
                <w:rFonts w:hint="eastAsia"/>
                <w:szCs w:val="22"/>
                <w:lang w:val="en-US"/>
              </w:rPr>
              <w:t>日</w:t>
            </w:r>
          </w:p>
        </w:tc>
        <w:tc>
          <w:tcPr>
            <w:tcW w:w="1361" w:type="pct"/>
            <w:tcBorders>
              <w:top w:val="single" w:sz="4" w:space="0" w:color="auto"/>
              <w:left w:val="nil"/>
              <w:bottom w:val="single" w:sz="4" w:space="0" w:color="auto"/>
              <w:right w:val="single" w:sz="4" w:space="0" w:color="auto"/>
            </w:tcBorders>
            <w:shd w:val="clear" w:color="auto" w:fill="auto"/>
            <w:noWrap/>
            <w:vAlign w:val="center"/>
            <w:hideMark/>
          </w:tcPr>
          <w:p w14:paraId="116D0842" w14:textId="77777777" w:rsidR="009D43C3" w:rsidRPr="000C156A" w:rsidRDefault="009D43C3" w:rsidP="005D02F0">
            <w:pPr>
              <w:pStyle w:val="Tablehead"/>
              <w:jc w:val="right"/>
              <w:rPr>
                <w:rFonts w:asciiTheme="minorHAnsi" w:hAnsiTheme="minorHAnsi" w:cs="Arial"/>
                <w:b w:val="0"/>
                <w:bCs/>
                <w:color w:val="000000"/>
                <w:szCs w:val="22"/>
                <w:lang w:val="en-US" w:eastAsia="zh-CN"/>
              </w:rPr>
            </w:pPr>
            <w:r w:rsidRPr="000C156A">
              <w:rPr>
                <w:szCs w:val="22"/>
                <w:lang w:val="en-US"/>
              </w:rPr>
              <w:t>201</w:t>
            </w:r>
            <w:r w:rsidRPr="000C156A">
              <w:rPr>
                <w:rFonts w:hint="eastAsia"/>
                <w:szCs w:val="22"/>
                <w:lang w:val="en-US"/>
              </w:rPr>
              <w:t>9</w:t>
            </w:r>
            <w:r w:rsidRPr="000C156A">
              <w:rPr>
                <w:rFonts w:hint="eastAsia"/>
                <w:szCs w:val="22"/>
                <w:lang w:val="en-US"/>
              </w:rPr>
              <w:t>年</w:t>
            </w:r>
            <w:r w:rsidRPr="000C156A">
              <w:rPr>
                <w:szCs w:val="22"/>
                <w:lang w:val="en-US"/>
              </w:rPr>
              <w:t>12</w:t>
            </w:r>
            <w:r w:rsidRPr="000C156A">
              <w:rPr>
                <w:rFonts w:hint="eastAsia"/>
                <w:szCs w:val="22"/>
                <w:lang w:val="en-US"/>
              </w:rPr>
              <w:t>月</w:t>
            </w:r>
            <w:r w:rsidRPr="000C156A">
              <w:rPr>
                <w:szCs w:val="22"/>
                <w:lang w:val="en-US"/>
              </w:rPr>
              <w:t>31</w:t>
            </w:r>
            <w:r w:rsidRPr="000C156A">
              <w:rPr>
                <w:rFonts w:hint="eastAsia"/>
                <w:szCs w:val="22"/>
                <w:lang w:val="en-US"/>
              </w:rPr>
              <w:t>日</w:t>
            </w:r>
          </w:p>
        </w:tc>
      </w:tr>
      <w:tr w:rsidR="009D43C3" w:rsidRPr="000C156A" w14:paraId="47008E8A" w14:textId="77777777" w:rsidTr="005D02F0">
        <w:trPr>
          <w:trHeight w:val="255"/>
        </w:trPr>
        <w:tc>
          <w:tcPr>
            <w:tcW w:w="2331" w:type="pct"/>
            <w:tcBorders>
              <w:top w:val="nil"/>
              <w:left w:val="single" w:sz="4" w:space="0" w:color="auto"/>
              <w:bottom w:val="nil"/>
              <w:right w:val="single" w:sz="4" w:space="0" w:color="auto"/>
            </w:tcBorders>
            <w:vAlign w:val="bottom"/>
          </w:tcPr>
          <w:p w14:paraId="714921EF" w14:textId="77777777" w:rsidR="009D43C3" w:rsidRPr="000C156A" w:rsidRDefault="009D43C3" w:rsidP="005D02F0">
            <w:pPr>
              <w:overflowPunct/>
              <w:autoSpaceDE/>
              <w:autoSpaceDN/>
              <w:adjustRightInd/>
              <w:spacing w:before="0"/>
              <w:textAlignment w:val="auto"/>
              <w:rPr>
                <w:rFonts w:asciiTheme="minorHAnsi" w:hAnsiTheme="minorHAnsi" w:cs="Arial"/>
                <w:color w:val="000000"/>
                <w:sz w:val="22"/>
                <w:szCs w:val="22"/>
                <w:lang w:val="en-US" w:eastAsia="zh-CN"/>
              </w:rPr>
            </w:pPr>
          </w:p>
        </w:tc>
        <w:tc>
          <w:tcPr>
            <w:tcW w:w="1308" w:type="pct"/>
            <w:tcBorders>
              <w:top w:val="nil"/>
              <w:left w:val="nil"/>
              <w:bottom w:val="nil"/>
              <w:right w:val="single" w:sz="4" w:space="0" w:color="auto"/>
            </w:tcBorders>
            <w:shd w:val="clear" w:color="auto" w:fill="auto"/>
            <w:noWrap/>
            <w:vAlign w:val="bottom"/>
            <w:hideMark/>
          </w:tcPr>
          <w:p w14:paraId="1DA7B05B" w14:textId="77777777" w:rsidR="009D43C3" w:rsidRPr="000C156A" w:rsidRDefault="009D43C3" w:rsidP="005D02F0">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 </w:t>
            </w:r>
          </w:p>
        </w:tc>
        <w:tc>
          <w:tcPr>
            <w:tcW w:w="1361" w:type="pct"/>
            <w:tcBorders>
              <w:top w:val="single" w:sz="4" w:space="0" w:color="auto"/>
              <w:left w:val="nil"/>
              <w:bottom w:val="nil"/>
              <w:right w:val="single" w:sz="4" w:space="0" w:color="auto"/>
            </w:tcBorders>
            <w:shd w:val="clear" w:color="auto" w:fill="auto"/>
            <w:noWrap/>
            <w:vAlign w:val="bottom"/>
            <w:hideMark/>
          </w:tcPr>
          <w:p w14:paraId="45256781" w14:textId="77777777" w:rsidR="009D43C3" w:rsidRPr="000C156A" w:rsidRDefault="009D43C3" w:rsidP="005D02F0">
            <w:pPr>
              <w:overflowPunct/>
              <w:autoSpaceDE/>
              <w:autoSpaceDN/>
              <w:adjustRightInd/>
              <w:spacing w:before="0"/>
              <w:jc w:val="center"/>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 </w:t>
            </w:r>
          </w:p>
        </w:tc>
      </w:tr>
      <w:tr w:rsidR="009D43C3" w:rsidRPr="000C156A" w14:paraId="6A8BDCAB" w14:textId="77777777" w:rsidTr="005D02F0">
        <w:trPr>
          <w:trHeight w:val="255"/>
        </w:trPr>
        <w:tc>
          <w:tcPr>
            <w:tcW w:w="2331" w:type="pct"/>
            <w:tcBorders>
              <w:top w:val="nil"/>
              <w:left w:val="single" w:sz="4" w:space="0" w:color="auto"/>
              <w:bottom w:val="nil"/>
              <w:right w:val="single" w:sz="4" w:space="0" w:color="auto"/>
            </w:tcBorders>
            <w:vAlign w:val="bottom"/>
          </w:tcPr>
          <w:p w14:paraId="7B691354" w14:textId="77777777" w:rsidR="009D43C3" w:rsidRPr="000C156A" w:rsidRDefault="009D43C3" w:rsidP="005D02F0">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asciiTheme="minorHAnsi" w:hAnsiTheme="minorHAnsi" w:cs="SimSun"/>
                <w:sz w:val="22"/>
                <w:szCs w:val="22"/>
              </w:rPr>
              <w:t>现金（瑞郎）</w:t>
            </w:r>
          </w:p>
        </w:tc>
        <w:tc>
          <w:tcPr>
            <w:tcW w:w="1308" w:type="pct"/>
            <w:tcBorders>
              <w:top w:val="nil"/>
              <w:left w:val="nil"/>
              <w:bottom w:val="nil"/>
              <w:right w:val="single" w:sz="4" w:space="0" w:color="auto"/>
            </w:tcBorders>
            <w:shd w:val="clear" w:color="auto" w:fill="auto"/>
            <w:noWrap/>
            <w:vAlign w:val="bottom"/>
            <w:hideMark/>
          </w:tcPr>
          <w:p w14:paraId="09177D7F" w14:textId="11374EEE" w:rsidR="009D43C3" w:rsidRPr="000C156A" w:rsidRDefault="009D43C3" w:rsidP="008C6382">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16</w:t>
            </w:r>
          </w:p>
        </w:tc>
        <w:tc>
          <w:tcPr>
            <w:tcW w:w="1361" w:type="pct"/>
            <w:tcBorders>
              <w:top w:val="nil"/>
              <w:left w:val="nil"/>
              <w:bottom w:val="nil"/>
              <w:right w:val="single" w:sz="4" w:space="0" w:color="auto"/>
            </w:tcBorders>
            <w:shd w:val="clear" w:color="auto" w:fill="auto"/>
            <w:noWrap/>
            <w:vAlign w:val="bottom"/>
            <w:hideMark/>
          </w:tcPr>
          <w:p w14:paraId="65362DE7" w14:textId="11DBCE04" w:rsidR="009D43C3" w:rsidRPr="000C156A" w:rsidRDefault="009D43C3" w:rsidP="008C6382">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14</w:t>
            </w:r>
          </w:p>
        </w:tc>
      </w:tr>
      <w:tr w:rsidR="009D43C3" w:rsidRPr="000C156A" w14:paraId="249D8EC1" w14:textId="77777777" w:rsidTr="005D02F0">
        <w:trPr>
          <w:trHeight w:val="255"/>
        </w:trPr>
        <w:tc>
          <w:tcPr>
            <w:tcW w:w="2331" w:type="pct"/>
            <w:tcBorders>
              <w:top w:val="nil"/>
              <w:left w:val="single" w:sz="4" w:space="0" w:color="auto"/>
              <w:bottom w:val="nil"/>
              <w:right w:val="single" w:sz="4" w:space="0" w:color="auto"/>
            </w:tcBorders>
          </w:tcPr>
          <w:p w14:paraId="129D7F97" w14:textId="77777777" w:rsidR="009D43C3" w:rsidRPr="000C156A" w:rsidRDefault="009D43C3" w:rsidP="005D02F0">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asciiTheme="minorHAnsi" w:hAnsiTheme="minorHAnsi" w:cs="SimSun"/>
                <w:sz w:val="22"/>
                <w:szCs w:val="22"/>
              </w:rPr>
              <w:t>现金（外币）</w:t>
            </w:r>
          </w:p>
        </w:tc>
        <w:tc>
          <w:tcPr>
            <w:tcW w:w="1308" w:type="pct"/>
            <w:tcBorders>
              <w:top w:val="nil"/>
              <w:left w:val="nil"/>
              <w:bottom w:val="nil"/>
              <w:right w:val="single" w:sz="4" w:space="0" w:color="auto"/>
            </w:tcBorders>
            <w:shd w:val="clear" w:color="auto" w:fill="auto"/>
            <w:noWrap/>
            <w:vAlign w:val="bottom"/>
            <w:hideMark/>
          </w:tcPr>
          <w:p w14:paraId="3F3473CF" w14:textId="77777777" w:rsidR="009D43C3" w:rsidRPr="000C156A" w:rsidRDefault="009D43C3" w:rsidP="008C6382">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85</w:t>
            </w:r>
          </w:p>
        </w:tc>
        <w:tc>
          <w:tcPr>
            <w:tcW w:w="1361" w:type="pct"/>
            <w:tcBorders>
              <w:top w:val="nil"/>
              <w:left w:val="nil"/>
              <w:bottom w:val="nil"/>
              <w:right w:val="single" w:sz="4" w:space="0" w:color="auto"/>
            </w:tcBorders>
            <w:shd w:val="clear" w:color="auto" w:fill="auto"/>
            <w:noWrap/>
            <w:vAlign w:val="bottom"/>
            <w:hideMark/>
          </w:tcPr>
          <w:p w14:paraId="5A4BAFA1" w14:textId="77777777" w:rsidR="009D43C3" w:rsidRPr="000C156A" w:rsidRDefault="009D43C3" w:rsidP="008C6382">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107</w:t>
            </w:r>
          </w:p>
        </w:tc>
      </w:tr>
      <w:tr w:rsidR="009D43C3" w:rsidRPr="000C156A" w14:paraId="1B41784A" w14:textId="77777777" w:rsidTr="005D02F0">
        <w:trPr>
          <w:trHeight w:val="255"/>
        </w:trPr>
        <w:tc>
          <w:tcPr>
            <w:tcW w:w="2331" w:type="pct"/>
            <w:tcBorders>
              <w:top w:val="nil"/>
              <w:left w:val="single" w:sz="4" w:space="0" w:color="auto"/>
              <w:bottom w:val="nil"/>
              <w:right w:val="single" w:sz="4" w:space="0" w:color="auto"/>
            </w:tcBorders>
          </w:tcPr>
          <w:p w14:paraId="4B7A3EBB" w14:textId="77777777" w:rsidR="009D43C3" w:rsidRPr="000C156A" w:rsidRDefault="009D43C3" w:rsidP="005D02F0">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asciiTheme="minorHAnsi" w:hAnsiTheme="minorHAnsi" w:cs="SimSun"/>
                <w:sz w:val="22"/>
                <w:szCs w:val="22"/>
              </w:rPr>
              <w:t>邮政账户（瑞郎）</w:t>
            </w:r>
          </w:p>
        </w:tc>
        <w:tc>
          <w:tcPr>
            <w:tcW w:w="1308" w:type="pct"/>
            <w:tcBorders>
              <w:top w:val="nil"/>
              <w:left w:val="nil"/>
              <w:bottom w:val="nil"/>
              <w:right w:val="single" w:sz="4" w:space="0" w:color="auto"/>
            </w:tcBorders>
            <w:shd w:val="clear" w:color="auto" w:fill="auto"/>
            <w:noWrap/>
            <w:vAlign w:val="bottom"/>
            <w:hideMark/>
          </w:tcPr>
          <w:p w14:paraId="2BC563C0" w14:textId="387B22DB" w:rsidR="009D43C3" w:rsidRPr="000C156A" w:rsidRDefault="009D43C3" w:rsidP="008C6382">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842</w:t>
            </w:r>
          </w:p>
        </w:tc>
        <w:tc>
          <w:tcPr>
            <w:tcW w:w="1361" w:type="pct"/>
            <w:tcBorders>
              <w:top w:val="nil"/>
              <w:left w:val="nil"/>
              <w:bottom w:val="nil"/>
              <w:right w:val="single" w:sz="4" w:space="0" w:color="auto"/>
            </w:tcBorders>
            <w:shd w:val="clear" w:color="auto" w:fill="auto"/>
            <w:noWrap/>
            <w:vAlign w:val="bottom"/>
            <w:hideMark/>
          </w:tcPr>
          <w:p w14:paraId="4E909218" w14:textId="66F4F643" w:rsidR="009D43C3" w:rsidRPr="000C156A" w:rsidRDefault="009D43C3" w:rsidP="008C6382">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842</w:t>
            </w:r>
          </w:p>
        </w:tc>
      </w:tr>
      <w:tr w:rsidR="009D43C3" w:rsidRPr="000C156A" w14:paraId="0178946A" w14:textId="77777777" w:rsidTr="005D02F0">
        <w:trPr>
          <w:trHeight w:val="255"/>
        </w:trPr>
        <w:tc>
          <w:tcPr>
            <w:tcW w:w="2331" w:type="pct"/>
            <w:tcBorders>
              <w:top w:val="nil"/>
              <w:left w:val="single" w:sz="4" w:space="0" w:color="auto"/>
              <w:bottom w:val="nil"/>
              <w:right w:val="single" w:sz="4" w:space="0" w:color="auto"/>
            </w:tcBorders>
          </w:tcPr>
          <w:p w14:paraId="39B072FE" w14:textId="77777777" w:rsidR="009D43C3" w:rsidRPr="000C156A" w:rsidRDefault="009D43C3" w:rsidP="005D02F0">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asciiTheme="minorHAnsi" w:hAnsiTheme="minorHAnsi" w:cs="SimSun"/>
                <w:sz w:val="22"/>
                <w:szCs w:val="22"/>
                <w:lang w:eastAsia="zh-CN"/>
              </w:rPr>
              <w:t>银行活期存款账户（瑞郎）</w:t>
            </w:r>
          </w:p>
        </w:tc>
        <w:tc>
          <w:tcPr>
            <w:tcW w:w="1308" w:type="pct"/>
            <w:tcBorders>
              <w:top w:val="nil"/>
              <w:left w:val="nil"/>
              <w:bottom w:val="nil"/>
              <w:right w:val="single" w:sz="4" w:space="0" w:color="auto"/>
            </w:tcBorders>
            <w:shd w:val="clear" w:color="auto" w:fill="auto"/>
            <w:noWrap/>
            <w:vAlign w:val="bottom"/>
            <w:hideMark/>
          </w:tcPr>
          <w:p w14:paraId="41385862" w14:textId="61888A90" w:rsidR="009D43C3" w:rsidRPr="000C156A" w:rsidRDefault="009D43C3" w:rsidP="008C6382">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32</w:t>
            </w:r>
            <w:r w:rsidR="008C6382"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760</w:t>
            </w:r>
          </w:p>
        </w:tc>
        <w:tc>
          <w:tcPr>
            <w:tcW w:w="1361" w:type="pct"/>
            <w:tcBorders>
              <w:top w:val="nil"/>
              <w:left w:val="nil"/>
              <w:bottom w:val="nil"/>
              <w:right w:val="single" w:sz="4" w:space="0" w:color="auto"/>
            </w:tcBorders>
            <w:shd w:val="clear" w:color="auto" w:fill="auto"/>
            <w:noWrap/>
            <w:vAlign w:val="bottom"/>
            <w:hideMark/>
          </w:tcPr>
          <w:p w14:paraId="29A386D6" w14:textId="05FD3BF1" w:rsidR="009D43C3" w:rsidRPr="000C156A" w:rsidRDefault="009D43C3" w:rsidP="008C6382">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27</w:t>
            </w:r>
            <w:r w:rsidR="008C6382"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607</w:t>
            </w:r>
          </w:p>
        </w:tc>
      </w:tr>
      <w:tr w:rsidR="009D43C3" w:rsidRPr="000C156A" w14:paraId="0713D412" w14:textId="77777777" w:rsidTr="005D02F0">
        <w:trPr>
          <w:trHeight w:val="255"/>
        </w:trPr>
        <w:tc>
          <w:tcPr>
            <w:tcW w:w="2331" w:type="pct"/>
            <w:tcBorders>
              <w:top w:val="nil"/>
              <w:left w:val="single" w:sz="4" w:space="0" w:color="auto"/>
              <w:bottom w:val="nil"/>
              <w:right w:val="single" w:sz="4" w:space="0" w:color="auto"/>
            </w:tcBorders>
          </w:tcPr>
          <w:p w14:paraId="09E263BA" w14:textId="77777777" w:rsidR="009D43C3" w:rsidRPr="000C156A" w:rsidRDefault="009D43C3" w:rsidP="005D02F0">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asciiTheme="minorHAnsi" w:hAnsiTheme="minorHAnsi" w:cs="SimSun"/>
                <w:sz w:val="22"/>
                <w:szCs w:val="22"/>
                <w:lang w:eastAsia="zh-CN"/>
              </w:rPr>
              <w:t>银行活期存款账户（外币）</w:t>
            </w:r>
          </w:p>
        </w:tc>
        <w:tc>
          <w:tcPr>
            <w:tcW w:w="1308" w:type="pct"/>
            <w:tcBorders>
              <w:top w:val="nil"/>
              <w:left w:val="nil"/>
              <w:bottom w:val="nil"/>
              <w:right w:val="single" w:sz="4" w:space="0" w:color="auto"/>
            </w:tcBorders>
            <w:shd w:val="clear" w:color="auto" w:fill="auto"/>
            <w:noWrap/>
            <w:vAlign w:val="bottom"/>
            <w:hideMark/>
          </w:tcPr>
          <w:p w14:paraId="4D189968" w14:textId="442B7945" w:rsidR="009D43C3" w:rsidRPr="000C156A" w:rsidRDefault="009D43C3" w:rsidP="008C6382">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9</w:t>
            </w:r>
            <w:r w:rsidR="008C6382"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731</w:t>
            </w:r>
          </w:p>
        </w:tc>
        <w:tc>
          <w:tcPr>
            <w:tcW w:w="1361" w:type="pct"/>
            <w:tcBorders>
              <w:top w:val="nil"/>
              <w:left w:val="nil"/>
              <w:bottom w:val="nil"/>
              <w:right w:val="single" w:sz="4" w:space="0" w:color="auto"/>
            </w:tcBorders>
            <w:shd w:val="clear" w:color="auto" w:fill="auto"/>
            <w:noWrap/>
            <w:vAlign w:val="bottom"/>
            <w:hideMark/>
          </w:tcPr>
          <w:p w14:paraId="43C21105" w14:textId="2877C53E" w:rsidR="009D43C3" w:rsidRPr="000C156A" w:rsidRDefault="009D43C3" w:rsidP="008C6382">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23</w:t>
            </w:r>
            <w:r w:rsidR="008C6382"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211</w:t>
            </w:r>
          </w:p>
        </w:tc>
      </w:tr>
      <w:tr w:rsidR="009D43C3" w:rsidRPr="000C156A" w14:paraId="67DDACE7" w14:textId="77777777" w:rsidTr="005D02F0">
        <w:trPr>
          <w:trHeight w:val="255"/>
        </w:trPr>
        <w:tc>
          <w:tcPr>
            <w:tcW w:w="2331" w:type="pct"/>
            <w:tcBorders>
              <w:top w:val="nil"/>
              <w:left w:val="single" w:sz="4" w:space="0" w:color="auto"/>
              <w:bottom w:val="nil"/>
              <w:right w:val="single" w:sz="4" w:space="0" w:color="auto"/>
            </w:tcBorders>
          </w:tcPr>
          <w:p w14:paraId="1EBB758E" w14:textId="77777777" w:rsidR="009D43C3" w:rsidRPr="000C156A" w:rsidRDefault="009D43C3" w:rsidP="005D02F0">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asciiTheme="minorHAnsi" w:hAnsiTheme="minorHAnsi" w:cs="SimSun"/>
                <w:sz w:val="22"/>
                <w:szCs w:val="22"/>
              </w:rPr>
              <w:t>即付存款账户（</w:t>
            </w:r>
            <w:r w:rsidRPr="000C156A">
              <w:rPr>
                <w:rFonts w:asciiTheme="minorHAnsi" w:hAnsiTheme="minorHAnsi"/>
                <w:sz w:val="22"/>
                <w:szCs w:val="22"/>
              </w:rPr>
              <w:t>Sight account</w:t>
            </w:r>
            <w:r w:rsidRPr="000C156A">
              <w:rPr>
                <w:rFonts w:asciiTheme="minorHAnsi" w:hAnsiTheme="minorHAnsi" w:cs="SimSun"/>
                <w:sz w:val="22"/>
                <w:szCs w:val="22"/>
              </w:rPr>
              <w:t>）（瑞郎）</w:t>
            </w:r>
          </w:p>
        </w:tc>
        <w:tc>
          <w:tcPr>
            <w:tcW w:w="1308" w:type="pct"/>
            <w:tcBorders>
              <w:top w:val="nil"/>
              <w:left w:val="nil"/>
              <w:bottom w:val="nil"/>
              <w:right w:val="single" w:sz="4" w:space="0" w:color="auto"/>
            </w:tcBorders>
            <w:shd w:val="clear" w:color="auto" w:fill="auto"/>
            <w:noWrap/>
            <w:vAlign w:val="bottom"/>
            <w:hideMark/>
          </w:tcPr>
          <w:p w14:paraId="18999936" w14:textId="0F87520D" w:rsidR="009D43C3" w:rsidRPr="000C156A" w:rsidRDefault="009D43C3" w:rsidP="008C6382">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55</w:t>
            </w:r>
            <w:r w:rsidR="008C6382"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972</w:t>
            </w:r>
          </w:p>
        </w:tc>
        <w:tc>
          <w:tcPr>
            <w:tcW w:w="1361" w:type="pct"/>
            <w:tcBorders>
              <w:top w:val="nil"/>
              <w:left w:val="nil"/>
              <w:bottom w:val="nil"/>
              <w:right w:val="single" w:sz="4" w:space="0" w:color="auto"/>
            </w:tcBorders>
            <w:shd w:val="clear" w:color="auto" w:fill="auto"/>
            <w:noWrap/>
            <w:vAlign w:val="bottom"/>
            <w:hideMark/>
          </w:tcPr>
          <w:p w14:paraId="5797712D" w14:textId="17488CBA" w:rsidR="009D43C3" w:rsidRPr="000C156A" w:rsidRDefault="009D43C3" w:rsidP="008C6382">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127</w:t>
            </w:r>
            <w:r w:rsidR="008C6382"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070</w:t>
            </w:r>
          </w:p>
        </w:tc>
      </w:tr>
      <w:tr w:rsidR="009D43C3" w:rsidRPr="000C156A" w14:paraId="027521E5" w14:textId="77777777" w:rsidTr="005D02F0">
        <w:trPr>
          <w:trHeight w:val="255"/>
        </w:trPr>
        <w:tc>
          <w:tcPr>
            <w:tcW w:w="2331" w:type="pct"/>
            <w:tcBorders>
              <w:top w:val="nil"/>
              <w:left w:val="single" w:sz="4" w:space="0" w:color="auto"/>
              <w:bottom w:val="nil"/>
              <w:right w:val="single" w:sz="4" w:space="0" w:color="auto"/>
            </w:tcBorders>
            <w:vAlign w:val="bottom"/>
          </w:tcPr>
          <w:p w14:paraId="3E3F06CA" w14:textId="77777777" w:rsidR="009D43C3" w:rsidRPr="000C156A" w:rsidRDefault="009D43C3" w:rsidP="005D02F0">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 </w:t>
            </w:r>
          </w:p>
        </w:tc>
        <w:tc>
          <w:tcPr>
            <w:tcW w:w="1308" w:type="pct"/>
            <w:tcBorders>
              <w:top w:val="nil"/>
              <w:left w:val="nil"/>
              <w:bottom w:val="nil"/>
              <w:right w:val="single" w:sz="4" w:space="0" w:color="auto"/>
            </w:tcBorders>
            <w:shd w:val="clear" w:color="auto" w:fill="auto"/>
            <w:noWrap/>
            <w:vAlign w:val="bottom"/>
            <w:hideMark/>
          </w:tcPr>
          <w:p w14:paraId="12F44A4D" w14:textId="77777777" w:rsidR="009D43C3" w:rsidRPr="000C156A" w:rsidRDefault="009D43C3" w:rsidP="005D02F0">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 </w:t>
            </w:r>
          </w:p>
        </w:tc>
        <w:tc>
          <w:tcPr>
            <w:tcW w:w="1361" w:type="pct"/>
            <w:tcBorders>
              <w:top w:val="nil"/>
              <w:left w:val="nil"/>
              <w:bottom w:val="nil"/>
              <w:right w:val="single" w:sz="4" w:space="0" w:color="auto"/>
            </w:tcBorders>
            <w:shd w:val="clear" w:color="auto" w:fill="auto"/>
            <w:noWrap/>
            <w:vAlign w:val="bottom"/>
            <w:hideMark/>
          </w:tcPr>
          <w:p w14:paraId="40D33A6C" w14:textId="77777777" w:rsidR="009D43C3" w:rsidRPr="000C156A" w:rsidRDefault="009D43C3" w:rsidP="005D02F0">
            <w:pPr>
              <w:overflowPunct/>
              <w:autoSpaceDE/>
              <w:autoSpaceDN/>
              <w:adjustRightInd/>
              <w:spacing w:before="0"/>
              <w:textAlignment w:val="auto"/>
              <w:rPr>
                <w:rFonts w:asciiTheme="minorHAnsi" w:hAnsiTheme="minorHAnsi" w:cs="Arial"/>
                <w:color w:val="000000"/>
                <w:sz w:val="22"/>
                <w:szCs w:val="22"/>
                <w:lang w:val="en-US" w:eastAsia="zh-CN"/>
              </w:rPr>
            </w:pPr>
          </w:p>
        </w:tc>
      </w:tr>
      <w:tr w:rsidR="009D43C3" w:rsidRPr="000C156A" w14:paraId="5253153C" w14:textId="77777777" w:rsidTr="005D02F0">
        <w:trPr>
          <w:trHeight w:val="499"/>
        </w:trPr>
        <w:tc>
          <w:tcPr>
            <w:tcW w:w="2331" w:type="pct"/>
            <w:tcBorders>
              <w:top w:val="single" w:sz="4" w:space="0" w:color="auto"/>
              <w:left w:val="single" w:sz="4" w:space="0" w:color="auto"/>
              <w:bottom w:val="single" w:sz="4" w:space="0" w:color="auto"/>
              <w:right w:val="single" w:sz="4" w:space="0" w:color="auto"/>
            </w:tcBorders>
            <w:vAlign w:val="center"/>
          </w:tcPr>
          <w:p w14:paraId="62A20DCE" w14:textId="77777777" w:rsidR="009D43C3" w:rsidRPr="000C156A" w:rsidRDefault="009D43C3" w:rsidP="005D02F0">
            <w:pPr>
              <w:overflowPunct/>
              <w:autoSpaceDE/>
              <w:autoSpaceDN/>
              <w:adjustRightInd/>
              <w:spacing w:before="0"/>
              <w:textAlignment w:val="auto"/>
              <w:rPr>
                <w:rFonts w:asciiTheme="minorHAnsi" w:hAnsiTheme="minorHAnsi" w:cs="Arial"/>
                <w:b/>
                <w:bCs/>
                <w:color w:val="000000"/>
                <w:sz w:val="22"/>
                <w:szCs w:val="22"/>
                <w:lang w:val="en-US" w:eastAsia="zh-CN"/>
              </w:rPr>
            </w:pPr>
            <w:r w:rsidRPr="000C156A">
              <w:rPr>
                <w:rFonts w:asciiTheme="minorHAnsi" w:hAnsiTheme="minorHAnsi" w:cs="SimSun"/>
                <w:b/>
                <w:sz w:val="22"/>
                <w:szCs w:val="22"/>
              </w:rPr>
              <w:t>现金和现金等价物</w:t>
            </w:r>
          </w:p>
        </w:tc>
        <w:tc>
          <w:tcPr>
            <w:tcW w:w="1308" w:type="pct"/>
            <w:tcBorders>
              <w:top w:val="single" w:sz="4" w:space="0" w:color="auto"/>
              <w:left w:val="nil"/>
              <w:bottom w:val="single" w:sz="4" w:space="0" w:color="auto"/>
              <w:right w:val="single" w:sz="4" w:space="0" w:color="auto"/>
            </w:tcBorders>
            <w:shd w:val="clear" w:color="auto" w:fill="auto"/>
            <w:noWrap/>
            <w:vAlign w:val="center"/>
            <w:hideMark/>
          </w:tcPr>
          <w:p w14:paraId="7DF879D7" w14:textId="33818071" w:rsidR="009D43C3" w:rsidRPr="000C156A" w:rsidRDefault="009D43C3" w:rsidP="005D02F0">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99</w:t>
            </w:r>
            <w:r w:rsidR="008C6382" w:rsidRPr="000C156A">
              <w:rPr>
                <w:rFonts w:asciiTheme="minorHAnsi" w:hAnsiTheme="minorHAnsi" w:cs="Arial"/>
                <w:b/>
                <w:bCs/>
                <w:color w:val="000000"/>
                <w:sz w:val="22"/>
                <w:szCs w:val="22"/>
                <w:lang w:val="en-US" w:eastAsia="zh-CN"/>
              </w:rPr>
              <w:t xml:space="preserve"> </w:t>
            </w:r>
            <w:r w:rsidRPr="000C156A">
              <w:rPr>
                <w:rFonts w:asciiTheme="minorHAnsi" w:hAnsiTheme="minorHAnsi" w:cs="Arial"/>
                <w:b/>
                <w:bCs/>
                <w:color w:val="000000"/>
                <w:sz w:val="22"/>
                <w:szCs w:val="22"/>
                <w:lang w:val="en-US" w:eastAsia="zh-CN"/>
              </w:rPr>
              <w:t>406</w:t>
            </w:r>
          </w:p>
        </w:tc>
        <w:tc>
          <w:tcPr>
            <w:tcW w:w="1361" w:type="pct"/>
            <w:tcBorders>
              <w:top w:val="single" w:sz="4" w:space="0" w:color="auto"/>
              <w:left w:val="nil"/>
              <w:bottom w:val="single" w:sz="4" w:space="0" w:color="auto"/>
              <w:right w:val="single" w:sz="4" w:space="0" w:color="auto"/>
            </w:tcBorders>
            <w:shd w:val="clear" w:color="auto" w:fill="auto"/>
            <w:noWrap/>
            <w:vAlign w:val="center"/>
            <w:hideMark/>
          </w:tcPr>
          <w:p w14:paraId="4067346D" w14:textId="04EB80AF" w:rsidR="009D43C3" w:rsidRPr="000C156A" w:rsidRDefault="009D43C3" w:rsidP="005D02F0">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178</w:t>
            </w:r>
            <w:r w:rsidR="008C6382" w:rsidRPr="000C156A">
              <w:rPr>
                <w:rFonts w:asciiTheme="minorHAnsi" w:hAnsiTheme="minorHAnsi" w:cs="Arial"/>
                <w:b/>
                <w:bCs/>
                <w:color w:val="000000"/>
                <w:sz w:val="22"/>
                <w:szCs w:val="22"/>
                <w:lang w:val="en-US" w:eastAsia="zh-CN"/>
              </w:rPr>
              <w:t xml:space="preserve"> </w:t>
            </w:r>
            <w:r w:rsidRPr="000C156A">
              <w:rPr>
                <w:rFonts w:asciiTheme="minorHAnsi" w:hAnsiTheme="minorHAnsi" w:cs="Arial"/>
                <w:b/>
                <w:bCs/>
                <w:color w:val="000000"/>
                <w:sz w:val="22"/>
                <w:szCs w:val="22"/>
                <w:lang w:val="en-US" w:eastAsia="zh-CN"/>
              </w:rPr>
              <w:t>852</w:t>
            </w:r>
          </w:p>
        </w:tc>
      </w:tr>
    </w:tbl>
    <w:p w14:paraId="58627E41" w14:textId="77777777" w:rsidR="009D43C3" w:rsidRPr="000C156A" w:rsidRDefault="009D43C3" w:rsidP="009D43C3">
      <w:pPr>
        <w:ind w:firstLineChars="200" w:firstLine="480"/>
        <w:rPr>
          <w:lang w:eastAsia="zh-CN"/>
        </w:rPr>
      </w:pPr>
      <w:r w:rsidRPr="000C156A">
        <w:rPr>
          <w:rFonts w:hint="eastAsia"/>
          <w:lang w:eastAsia="zh-CN"/>
        </w:rPr>
        <w:t>现金存款存放于银行和邮政账户，按市场价获利。现金存款的公允价值等同于面值。</w:t>
      </w:r>
    </w:p>
    <w:p w14:paraId="55926D30" w14:textId="77777777" w:rsidR="009D43C3" w:rsidRPr="000C156A" w:rsidRDefault="009D43C3" w:rsidP="009D43C3">
      <w:pPr>
        <w:ind w:firstLineChars="200" w:firstLine="480"/>
        <w:rPr>
          <w:lang w:eastAsia="zh-CN"/>
        </w:rPr>
      </w:pPr>
      <w:r w:rsidRPr="000C156A">
        <w:rPr>
          <w:rFonts w:hint="eastAsia"/>
          <w:lang w:eastAsia="zh-CN"/>
        </w:rPr>
        <w:t>截至</w:t>
      </w:r>
      <w:r w:rsidRPr="000C156A">
        <w:rPr>
          <w:lang w:eastAsia="zh-CN"/>
        </w:rPr>
        <w:t>2020</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日，国际电联没有任何信贷限额（</w:t>
      </w:r>
      <w:r w:rsidRPr="000C156A">
        <w:rPr>
          <w:lang w:eastAsia="zh-CN"/>
        </w:rPr>
        <w:t>credit line</w:t>
      </w:r>
      <w:r w:rsidRPr="000C156A">
        <w:rPr>
          <w:rFonts w:hint="eastAsia"/>
          <w:lang w:eastAsia="zh-CN"/>
        </w:rPr>
        <w:t>），现金的使用须受到下列限制：</w:t>
      </w:r>
    </w:p>
    <w:p w14:paraId="6D73A1A7" w14:textId="77777777" w:rsidR="009D43C3" w:rsidRPr="000C156A" w:rsidRDefault="009D43C3" w:rsidP="009D43C3">
      <w:pPr>
        <w:pStyle w:val="enumlev1"/>
        <w:rPr>
          <w:rFonts w:cs="Courier New"/>
          <w:szCs w:val="24"/>
          <w:lang w:val="en" w:eastAsia="zh-CN"/>
        </w:rPr>
      </w:pPr>
      <w:r w:rsidRPr="000C156A">
        <w:rPr>
          <w:lang w:eastAsia="zh-CN"/>
        </w:rPr>
        <w:t>–</w:t>
      </w:r>
      <w:r w:rsidRPr="000C156A">
        <w:rPr>
          <w:lang w:eastAsia="zh-CN"/>
        </w:rPr>
        <w:tab/>
      </w:r>
      <w:r w:rsidRPr="000C156A">
        <w:rPr>
          <w:rFonts w:hint="eastAsia"/>
          <w:lang w:eastAsia="zh-CN"/>
        </w:rPr>
        <w:t>自加入联合国合办职员养恤基金（</w:t>
      </w:r>
      <w:r w:rsidRPr="000C156A">
        <w:rPr>
          <w:lang w:eastAsia="zh-CN"/>
        </w:rPr>
        <w:t>UNJSPF</w:t>
      </w:r>
      <w:r w:rsidRPr="000C156A">
        <w:rPr>
          <w:rFonts w:hint="eastAsia"/>
          <w:lang w:eastAsia="zh-CN"/>
        </w:rPr>
        <w:t>）和职员健康保险基金以来一直作为封闭基金运作的国际电联养恤基金受益人的即付存款账户（</w:t>
      </w:r>
      <w:r w:rsidRPr="000C156A">
        <w:rPr>
          <w:lang w:eastAsia="zh-CN"/>
        </w:rPr>
        <w:t>sight account</w:t>
      </w:r>
      <w:r w:rsidRPr="000C156A">
        <w:rPr>
          <w:rFonts w:hint="eastAsia"/>
          <w:lang w:eastAsia="zh-CN"/>
        </w:rPr>
        <w:t>）。</w:t>
      </w:r>
      <w:r w:rsidRPr="000C156A">
        <w:rPr>
          <w:rFonts w:cs="Courier New" w:hint="eastAsia"/>
          <w:szCs w:val="24"/>
          <w:lang w:val="en" w:eastAsia="zh-CN"/>
        </w:rPr>
        <w:t>考虑到金融市场上采用的负</w:t>
      </w:r>
      <w:r w:rsidRPr="000C156A">
        <w:rPr>
          <w:rFonts w:cs="Courier New"/>
          <w:szCs w:val="24"/>
          <w:lang w:val="en" w:eastAsia="zh-CN"/>
        </w:rPr>
        <w:t>利率政策，</w:t>
      </w:r>
      <w:r w:rsidRPr="000C156A">
        <w:rPr>
          <w:rFonts w:cs="Courier New" w:hint="eastAsia"/>
          <w:szCs w:val="24"/>
          <w:lang w:val="en" w:eastAsia="zh-CN"/>
        </w:rPr>
        <w:t>此金额不能投资于短期存款。</w:t>
      </w:r>
    </w:p>
    <w:p w14:paraId="080D6DFF" w14:textId="77777777" w:rsidR="009D43C3" w:rsidRPr="000C156A" w:rsidRDefault="009D43C3" w:rsidP="004160EB">
      <w:pPr>
        <w:pStyle w:val="Heading1"/>
        <w:spacing w:before="240"/>
        <w:rPr>
          <w:rFonts w:cs="Microsoft YaHei"/>
          <w:sz w:val="24"/>
          <w:szCs w:val="24"/>
          <w:lang w:val="en" w:eastAsia="zh-CN"/>
        </w:rPr>
      </w:pPr>
      <w:bookmarkStart w:id="545" w:name="_Toc482892566"/>
      <w:bookmarkStart w:id="546" w:name="_Toc482870831"/>
      <w:bookmarkStart w:id="547" w:name="_Toc329011632"/>
      <w:bookmarkStart w:id="548" w:name="_Toc305764082"/>
      <w:bookmarkStart w:id="549" w:name="_Toc511813749"/>
      <w:bookmarkStart w:id="550" w:name="_Toc511817832"/>
      <w:bookmarkStart w:id="551" w:name="_Toc520280732"/>
      <w:bookmarkStart w:id="552" w:name="_Toc10536827"/>
      <w:bookmarkStart w:id="553" w:name="_Toc41905868"/>
      <w:bookmarkStart w:id="554" w:name="_Toc41906897"/>
      <w:bookmarkStart w:id="555" w:name="_Toc41907978"/>
      <w:bookmarkStart w:id="556" w:name="_Toc41908046"/>
      <w:bookmarkStart w:id="557" w:name="_Toc73518684"/>
      <w:bookmarkStart w:id="558" w:name="_Toc73518831"/>
      <w:bookmarkStart w:id="559" w:name="_Toc73519231"/>
      <w:bookmarkStart w:id="560" w:name="_Toc73636270"/>
      <w:r w:rsidRPr="000C156A">
        <w:rPr>
          <w:rFonts w:cs="Microsoft YaHei" w:hint="eastAsia"/>
          <w:sz w:val="24"/>
          <w:szCs w:val="24"/>
          <w:lang w:val="fr-FR" w:eastAsia="zh-CN"/>
        </w:rPr>
        <w:t>说明</w:t>
      </w:r>
      <w:r w:rsidRPr="000C156A">
        <w:rPr>
          <w:rFonts w:cs="Microsoft YaHei"/>
          <w:sz w:val="24"/>
          <w:szCs w:val="24"/>
          <w:lang w:val="en" w:eastAsia="zh-CN"/>
        </w:rPr>
        <w:t>7</w:t>
      </w:r>
      <w:r w:rsidRPr="000C156A">
        <w:rPr>
          <w:rFonts w:cs="Microsoft YaHei"/>
          <w:sz w:val="24"/>
          <w:szCs w:val="24"/>
          <w:lang w:val="en" w:eastAsia="zh-CN"/>
        </w:rPr>
        <w:tab/>
      </w:r>
      <w:r w:rsidRPr="000C156A">
        <w:rPr>
          <w:rFonts w:cs="Microsoft YaHei" w:hint="eastAsia"/>
          <w:sz w:val="24"/>
          <w:szCs w:val="24"/>
          <w:lang w:val="fr-FR" w:eastAsia="zh-CN"/>
        </w:rPr>
        <w:t>投资</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06417987" w14:textId="77777777" w:rsidR="009D43C3" w:rsidRPr="000C156A" w:rsidRDefault="009D43C3" w:rsidP="004160EB">
      <w:pPr>
        <w:keepNext/>
        <w:keepLines/>
        <w:spacing w:after="240"/>
        <w:ind w:firstLineChars="200" w:firstLine="480"/>
        <w:rPr>
          <w:lang w:val="en-US" w:eastAsia="zh-CN"/>
        </w:rPr>
      </w:pPr>
      <w:r w:rsidRPr="000C156A">
        <w:rPr>
          <w:rFonts w:hint="eastAsia"/>
          <w:lang w:val="en-US" w:eastAsia="zh-CN"/>
        </w:rPr>
        <w:t>定期投资按市价获利并按公允价值通过盈余</w:t>
      </w:r>
      <w:r w:rsidRPr="000C156A">
        <w:rPr>
          <w:lang w:val="en-US" w:eastAsia="zh-CN"/>
        </w:rPr>
        <w:t>/</w:t>
      </w:r>
      <w:r w:rsidRPr="000C156A">
        <w:rPr>
          <w:rFonts w:hint="eastAsia"/>
          <w:lang w:val="en-US" w:eastAsia="zh-CN"/>
        </w:rPr>
        <w:t>赤字划分为不同金融工具。现金存款的公允价值等同于其账面金额。</w:t>
      </w:r>
    </w:p>
    <w:tbl>
      <w:tblPr>
        <w:tblW w:w="9455" w:type="dxa"/>
        <w:jc w:val="center"/>
        <w:tblLook w:val="04A0" w:firstRow="1" w:lastRow="0" w:firstColumn="1" w:lastColumn="0" w:noHBand="0" w:noVBand="1"/>
      </w:tblPr>
      <w:tblGrid>
        <w:gridCol w:w="5791"/>
        <w:gridCol w:w="1843"/>
        <w:gridCol w:w="1821"/>
      </w:tblGrid>
      <w:tr w:rsidR="009D43C3" w:rsidRPr="000C156A" w14:paraId="71455524" w14:textId="77777777" w:rsidTr="005D02F0">
        <w:trPr>
          <w:trHeight w:val="499"/>
          <w:jc w:val="center"/>
        </w:trPr>
        <w:tc>
          <w:tcPr>
            <w:tcW w:w="5791" w:type="dxa"/>
            <w:tcBorders>
              <w:top w:val="single" w:sz="4" w:space="0" w:color="auto"/>
              <w:left w:val="single" w:sz="4" w:space="0" w:color="auto"/>
              <w:bottom w:val="single" w:sz="4" w:space="0" w:color="auto"/>
              <w:right w:val="single" w:sz="4" w:space="0" w:color="auto"/>
            </w:tcBorders>
            <w:noWrap/>
            <w:vAlign w:val="center"/>
            <w:hideMark/>
          </w:tcPr>
          <w:p w14:paraId="18DFD1C3" w14:textId="77777777" w:rsidR="009D43C3" w:rsidRPr="000C156A" w:rsidRDefault="009D43C3" w:rsidP="005D02F0">
            <w:pPr>
              <w:pStyle w:val="Tablehead"/>
              <w:jc w:val="left"/>
              <w:rPr>
                <w:b w:val="0"/>
                <w:szCs w:val="22"/>
                <w:lang w:val="en-US"/>
              </w:rPr>
            </w:pPr>
            <w:r w:rsidRPr="000C156A">
              <w:rPr>
                <w:rFonts w:hint="eastAsia"/>
                <w:b w:val="0"/>
                <w:szCs w:val="22"/>
                <w:lang w:val="en-US"/>
              </w:rPr>
              <w:t>单位：千瑞郎</w:t>
            </w:r>
          </w:p>
        </w:tc>
        <w:tc>
          <w:tcPr>
            <w:tcW w:w="1843" w:type="dxa"/>
            <w:tcBorders>
              <w:top w:val="single" w:sz="4" w:space="0" w:color="auto"/>
              <w:left w:val="nil"/>
              <w:bottom w:val="single" w:sz="4" w:space="0" w:color="auto"/>
              <w:right w:val="single" w:sz="4" w:space="0" w:color="auto"/>
            </w:tcBorders>
            <w:vAlign w:val="center"/>
            <w:hideMark/>
          </w:tcPr>
          <w:p w14:paraId="5D7EF5A3" w14:textId="77777777" w:rsidR="009D43C3" w:rsidRPr="000C156A" w:rsidRDefault="009D43C3" w:rsidP="005D02F0">
            <w:pPr>
              <w:pStyle w:val="Tablehead"/>
              <w:rPr>
                <w:szCs w:val="22"/>
                <w:lang w:val="en-US"/>
              </w:rPr>
            </w:pPr>
            <w:r w:rsidRPr="000C156A">
              <w:rPr>
                <w:szCs w:val="22"/>
                <w:lang w:val="en-US"/>
              </w:rPr>
              <w:t>2020</w:t>
            </w:r>
            <w:r w:rsidRPr="000C156A">
              <w:rPr>
                <w:rFonts w:hint="eastAsia"/>
                <w:szCs w:val="22"/>
                <w:lang w:val="en-US"/>
              </w:rPr>
              <w:t>年</w:t>
            </w:r>
            <w:r w:rsidRPr="000C156A">
              <w:rPr>
                <w:szCs w:val="22"/>
                <w:lang w:val="en-US"/>
              </w:rPr>
              <w:t>12</w:t>
            </w:r>
            <w:r w:rsidRPr="000C156A">
              <w:rPr>
                <w:rFonts w:hint="eastAsia"/>
                <w:szCs w:val="22"/>
                <w:lang w:val="en-US"/>
              </w:rPr>
              <w:t>月</w:t>
            </w:r>
            <w:r w:rsidRPr="000C156A">
              <w:rPr>
                <w:szCs w:val="22"/>
                <w:lang w:val="en-US"/>
              </w:rPr>
              <w:t>31</w:t>
            </w:r>
            <w:r w:rsidRPr="000C156A">
              <w:rPr>
                <w:rFonts w:hint="eastAsia"/>
                <w:szCs w:val="22"/>
                <w:lang w:val="en-US"/>
              </w:rPr>
              <w:t>日</w:t>
            </w:r>
          </w:p>
        </w:tc>
        <w:tc>
          <w:tcPr>
            <w:tcW w:w="1821" w:type="dxa"/>
            <w:tcBorders>
              <w:top w:val="single" w:sz="4" w:space="0" w:color="auto"/>
              <w:left w:val="single" w:sz="4" w:space="0" w:color="auto"/>
              <w:bottom w:val="single" w:sz="4" w:space="0" w:color="auto"/>
              <w:right w:val="single" w:sz="4" w:space="0" w:color="auto"/>
            </w:tcBorders>
            <w:noWrap/>
            <w:vAlign w:val="center"/>
            <w:hideMark/>
          </w:tcPr>
          <w:p w14:paraId="6AA25936" w14:textId="77777777" w:rsidR="009D43C3" w:rsidRPr="000C156A" w:rsidRDefault="009D43C3" w:rsidP="005D02F0">
            <w:pPr>
              <w:pStyle w:val="Tablehead"/>
              <w:rPr>
                <w:szCs w:val="22"/>
                <w:lang w:val="en-US"/>
              </w:rPr>
            </w:pPr>
            <w:r w:rsidRPr="000C156A">
              <w:rPr>
                <w:szCs w:val="22"/>
                <w:lang w:val="en-US"/>
              </w:rPr>
              <w:t>201</w:t>
            </w:r>
            <w:r w:rsidRPr="000C156A">
              <w:rPr>
                <w:szCs w:val="22"/>
                <w:lang w:val="en-US" w:eastAsia="zh-CN"/>
              </w:rPr>
              <w:t>9</w:t>
            </w:r>
            <w:r w:rsidRPr="000C156A">
              <w:rPr>
                <w:rFonts w:hint="eastAsia"/>
                <w:szCs w:val="22"/>
                <w:lang w:val="en-US"/>
              </w:rPr>
              <w:t>年</w:t>
            </w:r>
            <w:r w:rsidRPr="000C156A">
              <w:rPr>
                <w:szCs w:val="22"/>
                <w:lang w:val="en-US"/>
              </w:rPr>
              <w:t>12</w:t>
            </w:r>
            <w:r w:rsidRPr="000C156A">
              <w:rPr>
                <w:rFonts w:hint="eastAsia"/>
                <w:szCs w:val="22"/>
                <w:lang w:val="en-US"/>
              </w:rPr>
              <w:t>月</w:t>
            </w:r>
            <w:r w:rsidRPr="000C156A">
              <w:rPr>
                <w:szCs w:val="22"/>
                <w:lang w:val="en-US"/>
              </w:rPr>
              <w:t>31</w:t>
            </w:r>
            <w:r w:rsidRPr="000C156A">
              <w:rPr>
                <w:rFonts w:hint="eastAsia"/>
                <w:szCs w:val="22"/>
                <w:lang w:val="en-US"/>
              </w:rPr>
              <w:t>日</w:t>
            </w:r>
          </w:p>
        </w:tc>
      </w:tr>
      <w:tr w:rsidR="009D43C3" w:rsidRPr="000C156A" w14:paraId="6A0D9F52" w14:textId="77777777" w:rsidTr="005D02F0">
        <w:trPr>
          <w:trHeight w:val="255"/>
          <w:jc w:val="center"/>
        </w:trPr>
        <w:tc>
          <w:tcPr>
            <w:tcW w:w="5791" w:type="dxa"/>
            <w:tcBorders>
              <w:top w:val="single" w:sz="4" w:space="0" w:color="auto"/>
              <w:left w:val="single" w:sz="4" w:space="0" w:color="auto"/>
              <w:right w:val="single" w:sz="4" w:space="0" w:color="auto"/>
            </w:tcBorders>
            <w:noWrap/>
            <w:vAlign w:val="bottom"/>
          </w:tcPr>
          <w:p w14:paraId="0BE02ED5" w14:textId="77777777" w:rsidR="009D43C3" w:rsidRPr="000C156A" w:rsidRDefault="009D43C3" w:rsidP="005D02F0">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 </w:t>
            </w:r>
          </w:p>
        </w:tc>
        <w:tc>
          <w:tcPr>
            <w:tcW w:w="1843" w:type="dxa"/>
            <w:tcBorders>
              <w:top w:val="single" w:sz="4" w:space="0" w:color="auto"/>
              <w:left w:val="nil"/>
              <w:right w:val="single" w:sz="4" w:space="0" w:color="auto"/>
            </w:tcBorders>
            <w:vAlign w:val="bottom"/>
          </w:tcPr>
          <w:p w14:paraId="32715275"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 </w:t>
            </w:r>
          </w:p>
        </w:tc>
        <w:tc>
          <w:tcPr>
            <w:tcW w:w="1821" w:type="dxa"/>
            <w:tcBorders>
              <w:top w:val="single" w:sz="4" w:space="0" w:color="auto"/>
              <w:left w:val="single" w:sz="4" w:space="0" w:color="auto"/>
              <w:right w:val="single" w:sz="4" w:space="0" w:color="auto"/>
            </w:tcBorders>
            <w:noWrap/>
            <w:vAlign w:val="bottom"/>
          </w:tcPr>
          <w:p w14:paraId="40752B5F"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 </w:t>
            </w:r>
          </w:p>
        </w:tc>
      </w:tr>
      <w:tr w:rsidR="009D43C3" w:rsidRPr="000C156A" w14:paraId="65053CB0" w14:textId="77777777" w:rsidTr="005D02F0">
        <w:trPr>
          <w:trHeight w:val="255"/>
          <w:jc w:val="center"/>
        </w:trPr>
        <w:tc>
          <w:tcPr>
            <w:tcW w:w="5791" w:type="dxa"/>
            <w:tcBorders>
              <w:left w:val="single" w:sz="4" w:space="0" w:color="auto"/>
              <w:right w:val="single" w:sz="4" w:space="0" w:color="auto"/>
            </w:tcBorders>
            <w:noWrap/>
            <w:vAlign w:val="bottom"/>
            <w:hideMark/>
          </w:tcPr>
          <w:p w14:paraId="27A5F564" w14:textId="77777777" w:rsidR="009D43C3" w:rsidRPr="000C156A" w:rsidRDefault="009D43C3" w:rsidP="005D02F0">
            <w:pPr>
              <w:pStyle w:val="Tabletext"/>
              <w:rPr>
                <w:bCs/>
                <w:szCs w:val="22"/>
                <w:lang w:val="en-US"/>
              </w:rPr>
            </w:pPr>
            <w:r w:rsidRPr="000C156A">
              <w:rPr>
                <w:rFonts w:cs="Arial" w:hint="eastAsia"/>
                <w:color w:val="000000"/>
                <w:szCs w:val="22"/>
                <w:lang w:val="en-US"/>
              </w:rPr>
              <w:t>定期投资</w:t>
            </w:r>
          </w:p>
        </w:tc>
        <w:tc>
          <w:tcPr>
            <w:tcW w:w="1843" w:type="dxa"/>
            <w:tcBorders>
              <w:top w:val="nil"/>
              <w:left w:val="nil"/>
              <w:bottom w:val="nil"/>
              <w:right w:val="single" w:sz="4" w:space="0" w:color="auto"/>
            </w:tcBorders>
            <w:shd w:val="clear" w:color="auto" w:fill="auto"/>
            <w:vAlign w:val="bottom"/>
            <w:hideMark/>
          </w:tcPr>
          <w:p w14:paraId="24C3C6AF" w14:textId="408CC680"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95</w:t>
            </w:r>
            <w:r w:rsidR="0041187F"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516</w:t>
            </w:r>
          </w:p>
        </w:tc>
        <w:tc>
          <w:tcPr>
            <w:tcW w:w="1821" w:type="dxa"/>
            <w:tcBorders>
              <w:top w:val="nil"/>
              <w:left w:val="nil"/>
              <w:bottom w:val="nil"/>
              <w:right w:val="single" w:sz="4" w:space="0" w:color="auto"/>
            </w:tcBorders>
            <w:shd w:val="clear" w:color="auto" w:fill="auto"/>
            <w:noWrap/>
            <w:vAlign w:val="bottom"/>
            <w:hideMark/>
          </w:tcPr>
          <w:p w14:paraId="05A9FAC0" w14:textId="7DDE045D"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33</w:t>
            </w:r>
            <w:r w:rsidR="0041187F"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329</w:t>
            </w:r>
          </w:p>
        </w:tc>
      </w:tr>
      <w:tr w:rsidR="009D43C3" w:rsidRPr="000C156A" w14:paraId="2947D977" w14:textId="77777777" w:rsidTr="005D02F0">
        <w:trPr>
          <w:trHeight w:val="255"/>
          <w:jc w:val="center"/>
        </w:trPr>
        <w:tc>
          <w:tcPr>
            <w:tcW w:w="5791" w:type="dxa"/>
            <w:tcBorders>
              <w:left w:val="single" w:sz="4" w:space="0" w:color="auto"/>
              <w:bottom w:val="nil"/>
              <w:right w:val="single" w:sz="4" w:space="0" w:color="auto"/>
            </w:tcBorders>
            <w:noWrap/>
            <w:vAlign w:val="bottom"/>
          </w:tcPr>
          <w:p w14:paraId="14F61AD6" w14:textId="77777777" w:rsidR="009D43C3" w:rsidRPr="000C156A" w:rsidRDefault="009D43C3" w:rsidP="005D02F0">
            <w:pPr>
              <w:pStyle w:val="Tabletext"/>
              <w:spacing w:before="0" w:after="0"/>
              <w:rPr>
                <w:rFonts w:cs="Arial"/>
                <w:color w:val="000000"/>
                <w:szCs w:val="22"/>
                <w:lang w:val="en-US"/>
              </w:rPr>
            </w:pPr>
          </w:p>
        </w:tc>
        <w:tc>
          <w:tcPr>
            <w:tcW w:w="1843" w:type="dxa"/>
            <w:tcBorders>
              <w:top w:val="nil"/>
              <w:left w:val="nil"/>
              <w:bottom w:val="nil"/>
              <w:right w:val="single" w:sz="4" w:space="0" w:color="auto"/>
            </w:tcBorders>
            <w:shd w:val="clear" w:color="auto" w:fill="auto"/>
            <w:vAlign w:val="bottom"/>
          </w:tcPr>
          <w:p w14:paraId="407030A0"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p>
        </w:tc>
        <w:tc>
          <w:tcPr>
            <w:tcW w:w="1821" w:type="dxa"/>
            <w:tcBorders>
              <w:top w:val="nil"/>
              <w:left w:val="nil"/>
              <w:bottom w:val="nil"/>
              <w:right w:val="single" w:sz="4" w:space="0" w:color="auto"/>
            </w:tcBorders>
            <w:shd w:val="clear" w:color="auto" w:fill="auto"/>
            <w:noWrap/>
            <w:vAlign w:val="bottom"/>
          </w:tcPr>
          <w:p w14:paraId="2B063C66"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p>
        </w:tc>
      </w:tr>
      <w:tr w:rsidR="009D43C3" w:rsidRPr="000C156A" w14:paraId="249BDF20" w14:textId="77777777" w:rsidTr="005D02F0">
        <w:trPr>
          <w:trHeight w:val="20"/>
          <w:jc w:val="center"/>
        </w:trPr>
        <w:tc>
          <w:tcPr>
            <w:tcW w:w="5791" w:type="dxa"/>
            <w:tcBorders>
              <w:top w:val="nil"/>
              <w:left w:val="single" w:sz="4" w:space="0" w:color="auto"/>
              <w:bottom w:val="single" w:sz="4" w:space="0" w:color="auto"/>
              <w:right w:val="single" w:sz="4" w:space="0" w:color="auto"/>
            </w:tcBorders>
            <w:noWrap/>
            <w:vAlign w:val="center"/>
            <w:hideMark/>
          </w:tcPr>
          <w:p w14:paraId="446E7DDA" w14:textId="77777777" w:rsidR="009D43C3" w:rsidRPr="000C156A" w:rsidRDefault="009D43C3" w:rsidP="005D02F0">
            <w:pPr>
              <w:pStyle w:val="Tabletext"/>
              <w:rPr>
                <w:b/>
                <w:szCs w:val="22"/>
                <w:lang w:val="en-US"/>
              </w:rPr>
            </w:pPr>
            <w:r w:rsidRPr="000C156A">
              <w:rPr>
                <w:rFonts w:cs="Arial" w:hint="eastAsia"/>
                <w:b/>
                <w:bCs/>
                <w:color w:val="000000"/>
                <w:szCs w:val="22"/>
                <w:lang w:val="en-US"/>
              </w:rPr>
              <w:t>投资</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DDEE2F2" w14:textId="157098F5" w:rsidR="009D43C3" w:rsidRPr="000C156A" w:rsidRDefault="009D43C3" w:rsidP="005D02F0">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95</w:t>
            </w:r>
            <w:r w:rsidR="0041187F" w:rsidRPr="000C156A">
              <w:rPr>
                <w:rFonts w:asciiTheme="minorHAnsi" w:hAnsiTheme="minorHAnsi" w:cs="Arial"/>
                <w:b/>
                <w:bCs/>
                <w:color w:val="000000"/>
                <w:sz w:val="22"/>
                <w:szCs w:val="22"/>
                <w:lang w:val="en-US" w:eastAsia="zh-CN"/>
              </w:rPr>
              <w:t xml:space="preserve"> </w:t>
            </w:r>
            <w:r w:rsidRPr="000C156A">
              <w:rPr>
                <w:rFonts w:asciiTheme="minorHAnsi" w:hAnsiTheme="minorHAnsi" w:cs="Arial"/>
                <w:b/>
                <w:bCs/>
                <w:color w:val="000000"/>
                <w:sz w:val="22"/>
                <w:szCs w:val="22"/>
                <w:lang w:val="en-US" w:eastAsia="zh-CN"/>
              </w:rPr>
              <w:t>516</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14:paraId="4AB53415" w14:textId="44E48F65" w:rsidR="009D43C3" w:rsidRPr="000C156A" w:rsidRDefault="009D43C3" w:rsidP="005D02F0">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33</w:t>
            </w:r>
            <w:r w:rsidR="0041187F" w:rsidRPr="000C156A">
              <w:rPr>
                <w:rFonts w:asciiTheme="minorHAnsi" w:hAnsiTheme="minorHAnsi" w:cs="Arial"/>
                <w:b/>
                <w:bCs/>
                <w:color w:val="000000"/>
                <w:sz w:val="22"/>
                <w:szCs w:val="22"/>
                <w:lang w:val="en-US" w:eastAsia="zh-CN"/>
              </w:rPr>
              <w:t xml:space="preserve"> </w:t>
            </w:r>
            <w:r w:rsidRPr="000C156A">
              <w:rPr>
                <w:rFonts w:asciiTheme="minorHAnsi" w:hAnsiTheme="minorHAnsi" w:cs="Arial"/>
                <w:b/>
                <w:bCs/>
                <w:color w:val="000000"/>
                <w:sz w:val="22"/>
                <w:szCs w:val="22"/>
                <w:lang w:val="en-US" w:eastAsia="zh-CN"/>
              </w:rPr>
              <w:t>329</w:t>
            </w:r>
          </w:p>
        </w:tc>
      </w:tr>
    </w:tbl>
    <w:p w14:paraId="0ACB8BC5" w14:textId="77777777" w:rsidR="009D43C3" w:rsidRPr="000C156A" w:rsidRDefault="009D43C3" w:rsidP="00403EA7">
      <w:pPr>
        <w:keepNext/>
        <w:spacing w:after="240"/>
        <w:ind w:firstLineChars="200" w:firstLine="480"/>
        <w:rPr>
          <w:lang w:eastAsia="zh-CN"/>
        </w:rPr>
      </w:pPr>
      <w:r w:rsidRPr="000C156A">
        <w:rPr>
          <w:rFonts w:hint="eastAsia"/>
          <w:lang w:eastAsia="zh-CN"/>
        </w:rPr>
        <w:lastRenderedPageBreak/>
        <w:t>以下按到期日（剩余期限）和币种分列各不同定期投资：</w:t>
      </w:r>
    </w:p>
    <w:tbl>
      <w:tblPr>
        <w:tblW w:w="9461" w:type="dxa"/>
        <w:jc w:val="center"/>
        <w:tblLook w:val="04A0" w:firstRow="1" w:lastRow="0" w:firstColumn="1" w:lastColumn="0" w:noHBand="0" w:noVBand="1"/>
      </w:tblPr>
      <w:tblGrid>
        <w:gridCol w:w="3225"/>
        <w:gridCol w:w="1039"/>
        <w:gridCol w:w="1039"/>
        <w:gridCol w:w="1040"/>
        <w:gridCol w:w="1039"/>
        <w:gridCol w:w="1039"/>
        <w:gridCol w:w="1040"/>
      </w:tblGrid>
      <w:tr w:rsidR="009D43C3" w:rsidRPr="000C156A" w14:paraId="691E8286" w14:textId="77777777" w:rsidTr="005D02F0">
        <w:trPr>
          <w:trHeight w:val="499"/>
          <w:jc w:val="center"/>
        </w:trPr>
        <w:tc>
          <w:tcPr>
            <w:tcW w:w="3225" w:type="dxa"/>
            <w:tcBorders>
              <w:top w:val="single" w:sz="4" w:space="0" w:color="auto"/>
              <w:left w:val="single" w:sz="4" w:space="0" w:color="auto"/>
              <w:bottom w:val="single" w:sz="4" w:space="0" w:color="auto"/>
              <w:right w:val="single" w:sz="4" w:space="0" w:color="auto"/>
            </w:tcBorders>
            <w:noWrap/>
            <w:vAlign w:val="center"/>
            <w:hideMark/>
          </w:tcPr>
          <w:p w14:paraId="3DBDC06F" w14:textId="77777777" w:rsidR="009D43C3" w:rsidRPr="000C156A" w:rsidRDefault="009D43C3" w:rsidP="00EC39DF">
            <w:pPr>
              <w:pStyle w:val="Tablehead"/>
              <w:keepNext/>
              <w:keepLines/>
              <w:spacing w:before="40" w:after="40"/>
              <w:rPr>
                <w:szCs w:val="22"/>
                <w:lang w:val="fr-FR" w:eastAsia="zh-CN"/>
              </w:rPr>
            </w:pPr>
            <w:r w:rsidRPr="000C156A">
              <w:rPr>
                <w:rFonts w:cs="Microsoft YaHei" w:hint="eastAsia"/>
                <w:szCs w:val="22"/>
                <w:lang w:val="fr-FR" w:eastAsia="zh-CN"/>
              </w:rPr>
              <w:t>单位：千（不同币种）</w:t>
            </w:r>
          </w:p>
        </w:tc>
        <w:tc>
          <w:tcPr>
            <w:tcW w:w="3118" w:type="dxa"/>
            <w:gridSpan w:val="3"/>
            <w:tcBorders>
              <w:top w:val="single" w:sz="4" w:space="0" w:color="auto"/>
              <w:left w:val="nil"/>
              <w:bottom w:val="single" w:sz="4" w:space="0" w:color="auto"/>
              <w:right w:val="single" w:sz="4" w:space="0" w:color="auto"/>
            </w:tcBorders>
            <w:noWrap/>
            <w:vAlign w:val="center"/>
            <w:hideMark/>
          </w:tcPr>
          <w:p w14:paraId="338C412F" w14:textId="77777777" w:rsidR="009D43C3" w:rsidRPr="000C156A" w:rsidRDefault="009D43C3" w:rsidP="00EC39DF">
            <w:pPr>
              <w:pStyle w:val="Tablehead"/>
              <w:keepNext/>
              <w:keepLines/>
              <w:spacing w:before="40" w:after="40"/>
              <w:rPr>
                <w:szCs w:val="22"/>
                <w:lang w:val="fr-FR" w:eastAsia="zh-CN"/>
              </w:rPr>
            </w:pPr>
            <w:r w:rsidRPr="000C156A">
              <w:rPr>
                <w:szCs w:val="22"/>
                <w:lang w:val="fr-FR" w:eastAsia="zh-CN"/>
              </w:rPr>
              <w:t>20</w:t>
            </w:r>
            <w:r w:rsidRPr="000C156A">
              <w:rPr>
                <w:rFonts w:hint="eastAsia"/>
                <w:szCs w:val="22"/>
                <w:lang w:val="fr-FR" w:eastAsia="zh-CN"/>
              </w:rPr>
              <w:t>20</w:t>
            </w:r>
            <w:r w:rsidRPr="000C156A">
              <w:rPr>
                <w:rFonts w:cs="Microsoft YaHei" w:hint="eastAsia"/>
                <w:szCs w:val="22"/>
                <w:lang w:val="fr-FR" w:eastAsia="zh-CN"/>
              </w:rPr>
              <w:t>年</w:t>
            </w:r>
            <w:r w:rsidRPr="000C156A">
              <w:rPr>
                <w:szCs w:val="22"/>
                <w:lang w:val="fr-FR" w:eastAsia="zh-CN"/>
              </w:rPr>
              <w:t>12</w:t>
            </w:r>
            <w:r w:rsidRPr="000C156A">
              <w:rPr>
                <w:rFonts w:cs="Microsoft YaHei" w:hint="eastAsia"/>
                <w:szCs w:val="22"/>
                <w:lang w:val="fr-FR" w:eastAsia="zh-CN"/>
              </w:rPr>
              <w:t>月</w:t>
            </w:r>
            <w:r w:rsidRPr="000C156A">
              <w:rPr>
                <w:szCs w:val="22"/>
                <w:lang w:val="fr-FR" w:eastAsia="zh-CN"/>
              </w:rPr>
              <w:t>31</w:t>
            </w:r>
            <w:r w:rsidRPr="000C156A">
              <w:rPr>
                <w:rFonts w:cs="Microsoft YaHei" w:hint="eastAsia"/>
                <w:szCs w:val="22"/>
                <w:lang w:val="fr-FR" w:eastAsia="zh-CN"/>
              </w:rPr>
              <w:t>日</w:t>
            </w:r>
          </w:p>
        </w:tc>
        <w:tc>
          <w:tcPr>
            <w:tcW w:w="3118" w:type="dxa"/>
            <w:gridSpan w:val="3"/>
            <w:tcBorders>
              <w:top w:val="single" w:sz="4" w:space="0" w:color="auto"/>
              <w:left w:val="nil"/>
              <w:bottom w:val="single" w:sz="4" w:space="0" w:color="auto"/>
              <w:right w:val="single" w:sz="4" w:space="0" w:color="auto"/>
            </w:tcBorders>
            <w:vAlign w:val="center"/>
            <w:hideMark/>
          </w:tcPr>
          <w:p w14:paraId="26AD8044" w14:textId="77777777" w:rsidR="009D43C3" w:rsidRPr="000C156A" w:rsidRDefault="009D43C3" w:rsidP="00EC39DF">
            <w:pPr>
              <w:pStyle w:val="Tablehead"/>
              <w:keepNext/>
              <w:keepLines/>
              <w:spacing w:before="40" w:after="40"/>
              <w:rPr>
                <w:szCs w:val="22"/>
                <w:lang w:val="fr-FR" w:eastAsia="zh-CN"/>
              </w:rPr>
            </w:pPr>
            <w:r w:rsidRPr="000C156A">
              <w:rPr>
                <w:szCs w:val="22"/>
                <w:lang w:val="fr-FR" w:eastAsia="zh-CN"/>
              </w:rPr>
              <w:t>201</w:t>
            </w:r>
            <w:r w:rsidRPr="000C156A">
              <w:rPr>
                <w:rFonts w:hint="eastAsia"/>
                <w:szCs w:val="22"/>
                <w:lang w:val="fr-FR" w:eastAsia="zh-CN"/>
              </w:rPr>
              <w:t>9</w:t>
            </w:r>
            <w:r w:rsidRPr="000C156A">
              <w:rPr>
                <w:rFonts w:cs="Microsoft YaHei" w:hint="eastAsia"/>
                <w:szCs w:val="22"/>
                <w:lang w:val="fr-FR" w:eastAsia="zh-CN"/>
              </w:rPr>
              <w:t>年</w:t>
            </w:r>
            <w:r w:rsidRPr="000C156A">
              <w:rPr>
                <w:szCs w:val="22"/>
                <w:lang w:val="fr-FR" w:eastAsia="zh-CN"/>
              </w:rPr>
              <w:t>12</w:t>
            </w:r>
            <w:r w:rsidRPr="000C156A">
              <w:rPr>
                <w:rFonts w:cs="Microsoft YaHei" w:hint="eastAsia"/>
                <w:szCs w:val="22"/>
                <w:lang w:val="fr-FR" w:eastAsia="zh-CN"/>
              </w:rPr>
              <w:t>月</w:t>
            </w:r>
            <w:r w:rsidRPr="000C156A">
              <w:rPr>
                <w:szCs w:val="22"/>
                <w:lang w:val="fr-FR" w:eastAsia="zh-CN"/>
              </w:rPr>
              <w:t>31</w:t>
            </w:r>
            <w:r w:rsidRPr="000C156A">
              <w:rPr>
                <w:rFonts w:cs="Microsoft YaHei" w:hint="eastAsia"/>
                <w:szCs w:val="22"/>
                <w:lang w:val="fr-FR" w:eastAsia="zh-CN"/>
              </w:rPr>
              <w:t>日</w:t>
            </w:r>
          </w:p>
        </w:tc>
      </w:tr>
      <w:tr w:rsidR="009D43C3" w:rsidRPr="000C156A" w14:paraId="1FA4217A" w14:textId="77777777" w:rsidTr="005D02F0">
        <w:trPr>
          <w:trHeight w:val="255"/>
          <w:jc w:val="center"/>
        </w:trPr>
        <w:tc>
          <w:tcPr>
            <w:tcW w:w="3225" w:type="dxa"/>
            <w:tcBorders>
              <w:top w:val="single" w:sz="4" w:space="0" w:color="auto"/>
              <w:left w:val="single" w:sz="4" w:space="0" w:color="auto"/>
              <w:bottom w:val="nil"/>
              <w:right w:val="single" w:sz="4" w:space="0" w:color="auto"/>
            </w:tcBorders>
            <w:noWrap/>
            <w:vAlign w:val="bottom"/>
          </w:tcPr>
          <w:p w14:paraId="52823601" w14:textId="77777777" w:rsidR="009D43C3" w:rsidRPr="000C156A" w:rsidRDefault="009D43C3" w:rsidP="007D48A7">
            <w:pPr>
              <w:keepNext/>
              <w:keepLines/>
              <w:tabs>
                <w:tab w:val="clear" w:pos="567"/>
                <w:tab w:val="clear" w:pos="1134"/>
                <w:tab w:val="clear" w:pos="1701"/>
                <w:tab w:val="clear" w:pos="2268"/>
                <w:tab w:val="clear" w:pos="2835"/>
              </w:tabs>
              <w:overflowPunct/>
              <w:autoSpaceDE/>
              <w:autoSpaceDN/>
              <w:adjustRightInd/>
              <w:spacing w:before="0"/>
              <w:textAlignment w:val="auto"/>
              <w:rPr>
                <w:bCs/>
                <w:sz w:val="22"/>
                <w:szCs w:val="22"/>
                <w:lang w:val="en-US"/>
              </w:rPr>
            </w:pPr>
          </w:p>
        </w:tc>
        <w:tc>
          <w:tcPr>
            <w:tcW w:w="1039" w:type="dxa"/>
            <w:tcBorders>
              <w:top w:val="nil"/>
              <w:left w:val="nil"/>
              <w:bottom w:val="nil"/>
              <w:right w:val="single" w:sz="4" w:space="0" w:color="auto"/>
            </w:tcBorders>
            <w:noWrap/>
            <w:vAlign w:val="bottom"/>
            <w:hideMark/>
          </w:tcPr>
          <w:p w14:paraId="685EB0B5" w14:textId="77777777" w:rsidR="009D43C3" w:rsidRPr="000C156A" w:rsidRDefault="009D43C3" w:rsidP="00EC39DF">
            <w:pPr>
              <w:pStyle w:val="Tabletext"/>
              <w:keepNext/>
              <w:keepLines/>
              <w:spacing w:before="40" w:after="40"/>
              <w:jc w:val="center"/>
              <w:rPr>
                <w:szCs w:val="22"/>
                <w:lang w:val="fr-FR" w:eastAsia="zh-CN"/>
              </w:rPr>
            </w:pPr>
            <w:r w:rsidRPr="000C156A">
              <w:rPr>
                <w:rFonts w:cs="Microsoft YaHei" w:hint="eastAsia"/>
                <w:szCs w:val="22"/>
                <w:lang w:val="fr-FR" w:eastAsia="zh-CN"/>
              </w:rPr>
              <w:t>瑞郎</w:t>
            </w:r>
          </w:p>
        </w:tc>
        <w:tc>
          <w:tcPr>
            <w:tcW w:w="1039" w:type="dxa"/>
            <w:tcBorders>
              <w:top w:val="nil"/>
              <w:left w:val="nil"/>
              <w:bottom w:val="nil"/>
              <w:right w:val="single" w:sz="4" w:space="0" w:color="auto"/>
            </w:tcBorders>
            <w:vAlign w:val="bottom"/>
            <w:hideMark/>
          </w:tcPr>
          <w:p w14:paraId="13AE029F" w14:textId="77777777" w:rsidR="009D43C3" w:rsidRPr="000C156A" w:rsidRDefault="009D43C3" w:rsidP="00EC39DF">
            <w:pPr>
              <w:pStyle w:val="Tabletext"/>
              <w:keepNext/>
              <w:keepLines/>
              <w:spacing w:before="40" w:after="40"/>
              <w:jc w:val="center"/>
              <w:rPr>
                <w:szCs w:val="22"/>
                <w:lang w:val="fr-FR" w:eastAsia="zh-CN"/>
              </w:rPr>
            </w:pPr>
            <w:r w:rsidRPr="000C156A">
              <w:rPr>
                <w:rFonts w:cs="Microsoft YaHei" w:hint="eastAsia"/>
                <w:szCs w:val="22"/>
                <w:lang w:val="fr-FR" w:eastAsia="zh-CN"/>
              </w:rPr>
              <w:t>美元</w:t>
            </w:r>
          </w:p>
        </w:tc>
        <w:tc>
          <w:tcPr>
            <w:tcW w:w="1040" w:type="dxa"/>
            <w:tcBorders>
              <w:top w:val="nil"/>
              <w:left w:val="nil"/>
              <w:bottom w:val="nil"/>
              <w:right w:val="single" w:sz="4" w:space="0" w:color="auto"/>
            </w:tcBorders>
            <w:vAlign w:val="bottom"/>
            <w:hideMark/>
          </w:tcPr>
          <w:p w14:paraId="15A752B3" w14:textId="77777777" w:rsidR="009D43C3" w:rsidRPr="000C156A" w:rsidRDefault="009D43C3" w:rsidP="00EC39DF">
            <w:pPr>
              <w:pStyle w:val="Tabletext"/>
              <w:keepNext/>
              <w:keepLines/>
              <w:spacing w:before="40" w:after="40"/>
              <w:jc w:val="center"/>
              <w:rPr>
                <w:szCs w:val="22"/>
                <w:lang w:val="fr-FR" w:eastAsia="zh-CN"/>
              </w:rPr>
            </w:pPr>
            <w:r w:rsidRPr="000C156A">
              <w:rPr>
                <w:rFonts w:cs="Microsoft YaHei" w:hint="eastAsia"/>
                <w:szCs w:val="22"/>
                <w:lang w:val="fr-FR" w:eastAsia="zh-CN"/>
              </w:rPr>
              <w:t>欧元</w:t>
            </w:r>
          </w:p>
        </w:tc>
        <w:tc>
          <w:tcPr>
            <w:tcW w:w="1039" w:type="dxa"/>
            <w:tcBorders>
              <w:top w:val="nil"/>
              <w:left w:val="nil"/>
              <w:bottom w:val="nil"/>
              <w:right w:val="single" w:sz="4" w:space="0" w:color="auto"/>
            </w:tcBorders>
            <w:noWrap/>
            <w:vAlign w:val="bottom"/>
            <w:hideMark/>
          </w:tcPr>
          <w:p w14:paraId="4F1C54B3" w14:textId="77777777" w:rsidR="009D43C3" w:rsidRPr="000C156A" w:rsidRDefault="009D43C3" w:rsidP="00EC39DF">
            <w:pPr>
              <w:pStyle w:val="Tabletext"/>
              <w:keepNext/>
              <w:keepLines/>
              <w:spacing w:before="40" w:after="40"/>
              <w:jc w:val="center"/>
              <w:rPr>
                <w:szCs w:val="22"/>
                <w:lang w:val="fr-FR" w:eastAsia="zh-CN"/>
              </w:rPr>
            </w:pPr>
            <w:r w:rsidRPr="000C156A">
              <w:rPr>
                <w:rFonts w:cs="Microsoft YaHei" w:hint="eastAsia"/>
                <w:szCs w:val="22"/>
                <w:lang w:val="fr-FR" w:eastAsia="zh-CN"/>
              </w:rPr>
              <w:t>瑞郎</w:t>
            </w:r>
          </w:p>
        </w:tc>
        <w:tc>
          <w:tcPr>
            <w:tcW w:w="1039" w:type="dxa"/>
            <w:tcBorders>
              <w:top w:val="nil"/>
              <w:left w:val="nil"/>
              <w:bottom w:val="nil"/>
              <w:right w:val="single" w:sz="4" w:space="0" w:color="auto"/>
            </w:tcBorders>
            <w:vAlign w:val="bottom"/>
            <w:hideMark/>
          </w:tcPr>
          <w:p w14:paraId="0CEA2F4C" w14:textId="77777777" w:rsidR="009D43C3" w:rsidRPr="000C156A" w:rsidRDefault="009D43C3" w:rsidP="00EC39DF">
            <w:pPr>
              <w:pStyle w:val="Tabletext"/>
              <w:keepNext/>
              <w:keepLines/>
              <w:spacing w:before="40" w:after="40"/>
              <w:jc w:val="center"/>
              <w:rPr>
                <w:szCs w:val="22"/>
                <w:lang w:val="fr-FR" w:eastAsia="zh-CN"/>
              </w:rPr>
            </w:pPr>
            <w:r w:rsidRPr="000C156A">
              <w:rPr>
                <w:rFonts w:cs="Microsoft YaHei" w:hint="eastAsia"/>
                <w:szCs w:val="22"/>
                <w:lang w:val="fr-FR" w:eastAsia="zh-CN"/>
              </w:rPr>
              <w:t>美元</w:t>
            </w:r>
          </w:p>
        </w:tc>
        <w:tc>
          <w:tcPr>
            <w:tcW w:w="1040" w:type="dxa"/>
            <w:tcBorders>
              <w:top w:val="nil"/>
              <w:left w:val="nil"/>
              <w:bottom w:val="nil"/>
              <w:right w:val="single" w:sz="4" w:space="0" w:color="auto"/>
            </w:tcBorders>
            <w:vAlign w:val="bottom"/>
            <w:hideMark/>
          </w:tcPr>
          <w:p w14:paraId="0F25290A" w14:textId="77777777" w:rsidR="009D43C3" w:rsidRPr="000C156A" w:rsidRDefault="009D43C3" w:rsidP="00EC39DF">
            <w:pPr>
              <w:pStyle w:val="Tabletext"/>
              <w:keepNext/>
              <w:keepLines/>
              <w:spacing w:before="40" w:after="40"/>
              <w:jc w:val="center"/>
              <w:rPr>
                <w:szCs w:val="22"/>
                <w:lang w:val="fr-FR" w:eastAsia="zh-CN"/>
              </w:rPr>
            </w:pPr>
            <w:r w:rsidRPr="000C156A">
              <w:rPr>
                <w:rFonts w:cs="Microsoft YaHei" w:hint="eastAsia"/>
                <w:szCs w:val="22"/>
                <w:lang w:val="fr-FR" w:eastAsia="zh-CN"/>
              </w:rPr>
              <w:t>欧元</w:t>
            </w:r>
          </w:p>
        </w:tc>
      </w:tr>
      <w:tr w:rsidR="009D43C3" w:rsidRPr="000C156A" w14:paraId="0B12E8FC" w14:textId="77777777" w:rsidTr="005D02F0">
        <w:trPr>
          <w:trHeight w:val="20"/>
          <w:jc w:val="center"/>
        </w:trPr>
        <w:tc>
          <w:tcPr>
            <w:tcW w:w="3225" w:type="dxa"/>
            <w:tcBorders>
              <w:top w:val="nil"/>
              <w:left w:val="single" w:sz="4" w:space="0" w:color="auto"/>
              <w:bottom w:val="nil"/>
              <w:right w:val="single" w:sz="4" w:space="0" w:color="auto"/>
            </w:tcBorders>
            <w:noWrap/>
            <w:vAlign w:val="center"/>
            <w:hideMark/>
          </w:tcPr>
          <w:p w14:paraId="76A50BAD" w14:textId="77777777" w:rsidR="009D43C3" w:rsidRPr="000C156A" w:rsidRDefault="009D43C3" w:rsidP="00EC39DF">
            <w:pPr>
              <w:pStyle w:val="Tabletext"/>
              <w:keepNext/>
              <w:keepLines/>
              <w:spacing w:before="40" w:after="40"/>
              <w:rPr>
                <w:szCs w:val="22"/>
                <w:lang w:val="fr-FR" w:eastAsia="zh-CN"/>
              </w:rPr>
            </w:pPr>
            <w:r w:rsidRPr="000C156A">
              <w:rPr>
                <w:rFonts w:cs="Microsoft YaHei" w:hint="eastAsia"/>
                <w:szCs w:val="22"/>
                <w:lang w:val="fr-FR" w:eastAsia="zh-CN"/>
              </w:rPr>
              <w:t>到期日：</w:t>
            </w:r>
          </w:p>
        </w:tc>
        <w:tc>
          <w:tcPr>
            <w:tcW w:w="1039" w:type="dxa"/>
            <w:tcBorders>
              <w:top w:val="nil"/>
              <w:left w:val="nil"/>
              <w:bottom w:val="nil"/>
              <w:right w:val="single" w:sz="4" w:space="0" w:color="auto"/>
            </w:tcBorders>
            <w:shd w:val="clear" w:color="auto" w:fill="auto"/>
            <w:noWrap/>
            <w:vAlign w:val="bottom"/>
            <w:hideMark/>
          </w:tcPr>
          <w:p w14:paraId="34BDDB31" w14:textId="77777777" w:rsidR="009D43C3" w:rsidRPr="000C156A" w:rsidRDefault="009D43C3" w:rsidP="000048DE">
            <w:pPr>
              <w:pStyle w:val="Tabletext"/>
              <w:keepNext/>
              <w:keepLines/>
              <w:spacing w:before="40" w:after="40"/>
              <w:jc w:val="right"/>
              <w:rPr>
                <w:szCs w:val="22"/>
                <w:lang w:val="fr-FR" w:eastAsia="zh-CN"/>
              </w:rPr>
            </w:pPr>
          </w:p>
        </w:tc>
        <w:tc>
          <w:tcPr>
            <w:tcW w:w="1039" w:type="dxa"/>
            <w:tcBorders>
              <w:top w:val="nil"/>
              <w:left w:val="nil"/>
              <w:bottom w:val="nil"/>
              <w:right w:val="single" w:sz="4" w:space="0" w:color="auto"/>
            </w:tcBorders>
            <w:shd w:val="clear" w:color="auto" w:fill="auto"/>
            <w:vAlign w:val="bottom"/>
            <w:hideMark/>
          </w:tcPr>
          <w:p w14:paraId="728EBDA4" w14:textId="77777777" w:rsidR="009D43C3" w:rsidRPr="000C156A" w:rsidRDefault="009D43C3" w:rsidP="000048DE">
            <w:pPr>
              <w:pStyle w:val="Tabletext"/>
              <w:keepNext/>
              <w:keepLines/>
              <w:spacing w:before="40" w:after="40"/>
              <w:jc w:val="right"/>
              <w:rPr>
                <w:szCs w:val="22"/>
                <w:lang w:val="fr-FR" w:eastAsia="zh-CN"/>
              </w:rPr>
            </w:pPr>
          </w:p>
        </w:tc>
        <w:tc>
          <w:tcPr>
            <w:tcW w:w="1040" w:type="dxa"/>
            <w:tcBorders>
              <w:top w:val="nil"/>
              <w:left w:val="nil"/>
              <w:bottom w:val="nil"/>
              <w:right w:val="single" w:sz="4" w:space="0" w:color="auto"/>
            </w:tcBorders>
            <w:shd w:val="clear" w:color="auto" w:fill="auto"/>
            <w:vAlign w:val="bottom"/>
            <w:hideMark/>
          </w:tcPr>
          <w:p w14:paraId="690E2A6C" w14:textId="77777777" w:rsidR="009D43C3" w:rsidRPr="000C156A" w:rsidRDefault="009D43C3" w:rsidP="000048DE">
            <w:pPr>
              <w:pStyle w:val="Tabletext"/>
              <w:keepNext/>
              <w:keepLines/>
              <w:spacing w:before="40" w:after="40"/>
              <w:jc w:val="right"/>
              <w:rPr>
                <w:szCs w:val="22"/>
                <w:lang w:val="fr-FR" w:eastAsia="zh-CN"/>
              </w:rPr>
            </w:pPr>
          </w:p>
        </w:tc>
        <w:tc>
          <w:tcPr>
            <w:tcW w:w="1039" w:type="dxa"/>
            <w:tcBorders>
              <w:top w:val="nil"/>
              <w:left w:val="nil"/>
              <w:bottom w:val="nil"/>
              <w:right w:val="single" w:sz="4" w:space="0" w:color="auto"/>
            </w:tcBorders>
            <w:shd w:val="clear" w:color="auto" w:fill="auto"/>
            <w:noWrap/>
            <w:vAlign w:val="bottom"/>
            <w:hideMark/>
          </w:tcPr>
          <w:p w14:paraId="5F7E5629" w14:textId="77777777" w:rsidR="009D43C3" w:rsidRPr="000C156A" w:rsidRDefault="009D43C3" w:rsidP="000048DE">
            <w:pPr>
              <w:pStyle w:val="Tabletext"/>
              <w:keepNext/>
              <w:keepLines/>
              <w:spacing w:before="40" w:after="40"/>
              <w:jc w:val="right"/>
              <w:rPr>
                <w:szCs w:val="22"/>
                <w:lang w:val="fr-FR" w:eastAsia="zh-CN"/>
              </w:rPr>
            </w:pPr>
          </w:p>
        </w:tc>
        <w:tc>
          <w:tcPr>
            <w:tcW w:w="1039" w:type="dxa"/>
            <w:tcBorders>
              <w:top w:val="nil"/>
              <w:left w:val="nil"/>
              <w:bottom w:val="nil"/>
              <w:right w:val="single" w:sz="4" w:space="0" w:color="auto"/>
            </w:tcBorders>
            <w:shd w:val="clear" w:color="auto" w:fill="auto"/>
            <w:vAlign w:val="bottom"/>
            <w:hideMark/>
          </w:tcPr>
          <w:p w14:paraId="0CBC5670" w14:textId="77777777" w:rsidR="009D43C3" w:rsidRPr="000C156A" w:rsidRDefault="009D43C3" w:rsidP="000048DE">
            <w:pPr>
              <w:pStyle w:val="Tabletext"/>
              <w:keepNext/>
              <w:keepLines/>
              <w:spacing w:before="40" w:after="40"/>
              <w:jc w:val="right"/>
              <w:rPr>
                <w:szCs w:val="22"/>
                <w:lang w:val="fr-FR" w:eastAsia="zh-CN"/>
              </w:rPr>
            </w:pPr>
          </w:p>
        </w:tc>
        <w:tc>
          <w:tcPr>
            <w:tcW w:w="1040" w:type="dxa"/>
            <w:tcBorders>
              <w:top w:val="nil"/>
              <w:left w:val="nil"/>
              <w:bottom w:val="nil"/>
              <w:right w:val="single" w:sz="4" w:space="0" w:color="auto"/>
            </w:tcBorders>
            <w:shd w:val="clear" w:color="auto" w:fill="auto"/>
            <w:vAlign w:val="bottom"/>
            <w:hideMark/>
          </w:tcPr>
          <w:p w14:paraId="304CBD9C" w14:textId="77777777" w:rsidR="009D43C3" w:rsidRPr="000C156A" w:rsidRDefault="009D43C3" w:rsidP="000048DE">
            <w:pPr>
              <w:pStyle w:val="Tabletext"/>
              <w:keepNext/>
              <w:keepLines/>
              <w:spacing w:before="40" w:after="40"/>
              <w:jc w:val="right"/>
              <w:rPr>
                <w:szCs w:val="22"/>
                <w:lang w:val="fr-FR" w:eastAsia="zh-CN"/>
              </w:rPr>
            </w:pPr>
          </w:p>
        </w:tc>
      </w:tr>
      <w:tr w:rsidR="009D43C3" w:rsidRPr="000C156A" w14:paraId="4DB76EDD" w14:textId="77777777" w:rsidTr="005D02F0">
        <w:trPr>
          <w:trHeight w:val="20"/>
          <w:jc w:val="center"/>
        </w:trPr>
        <w:tc>
          <w:tcPr>
            <w:tcW w:w="3225" w:type="dxa"/>
            <w:tcBorders>
              <w:top w:val="nil"/>
              <w:left w:val="single" w:sz="4" w:space="0" w:color="auto"/>
              <w:bottom w:val="nil"/>
              <w:right w:val="single" w:sz="4" w:space="0" w:color="auto"/>
            </w:tcBorders>
            <w:noWrap/>
            <w:vAlign w:val="bottom"/>
            <w:hideMark/>
          </w:tcPr>
          <w:p w14:paraId="6F80C0D1" w14:textId="76BBE379" w:rsidR="009D43C3" w:rsidRPr="000C156A" w:rsidRDefault="0041187F" w:rsidP="00EC39DF">
            <w:pPr>
              <w:pStyle w:val="Tabletext"/>
              <w:keepNext/>
              <w:keepLines/>
              <w:spacing w:before="40" w:after="40"/>
              <w:rPr>
                <w:szCs w:val="22"/>
                <w:lang w:val="fr-FR" w:eastAsia="zh-CN"/>
              </w:rPr>
            </w:pPr>
            <w:r w:rsidRPr="000C156A">
              <w:rPr>
                <w:szCs w:val="22"/>
                <w:lang w:val="fr-FR" w:eastAsia="zh-CN"/>
              </w:rPr>
              <w:t>0-</w:t>
            </w:r>
            <w:r w:rsidR="009D43C3" w:rsidRPr="000C156A">
              <w:rPr>
                <w:szCs w:val="22"/>
                <w:lang w:val="fr-FR" w:eastAsia="zh-CN"/>
              </w:rPr>
              <w:t>3</w:t>
            </w:r>
            <w:r w:rsidR="009D43C3" w:rsidRPr="000C156A">
              <w:rPr>
                <w:rFonts w:cs="Microsoft YaHei" w:hint="eastAsia"/>
                <w:szCs w:val="22"/>
                <w:lang w:val="fr-FR" w:eastAsia="zh-CN"/>
              </w:rPr>
              <w:t>个月</w:t>
            </w:r>
          </w:p>
        </w:tc>
        <w:tc>
          <w:tcPr>
            <w:tcW w:w="1039" w:type="dxa"/>
            <w:tcBorders>
              <w:top w:val="nil"/>
              <w:left w:val="nil"/>
              <w:bottom w:val="nil"/>
              <w:right w:val="single" w:sz="4" w:space="0" w:color="auto"/>
            </w:tcBorders>
            <w:shd w:val="clear" w:color="auto" w:fill="auto"/>
            <w:noWrap/>
            <w:vAlign w:val="bottom"/>
            <w:hideMark/>
          </w:tcPr>
          <w:p w14:paraId="397217C0" w14:textId="1EE44D4F" w:rsidR="009D43C3" w:rsidRPr="000C156A" w:rsidRDefault="009D43C3" w:rsidP="000048DE">
            <w:pPr>
              <w:pStyle w:val="Tabletext"/>
              <w:keepNext/>
              <w:keepLines/>
              <w:spacing w:before="40" w:after="40"/>
              <w:jc w:val="right"/>
              <w:rPr>
                <w:szCs w:val="22"/>
                <w:lang w:val="fr-FR" w:eastAsia="zh-CN"/>
              </w:rPr>
            </w:pPr>
            <w:r w:rsidRPr="000C156A">
              <w:rPr>
                <w:szCs w:val="22"/>
                <w:lang w:val="fr-FR" w:eastAsia="zh-CN"/>
              </w:rPr>
              <w:t>10</w:t>
            </w:r>
            <w:r w:rsidR="0041187F" w:rsidRPr="000C156A">
              <w:rPr>
                <w:szCs w:val="22"/>
                <w:lang w:val="fr-FR" w:eastAsia="zh-CN"/>
              </w:rPr>
              <w:t xml:space="preserve"> </w:t>
            </w:r>
            <w:r w:rsidRPr="000C156A">
              <w:rPr>
                <w:szCs w:val="22"/>
                <w:lang w:val="fr-FR" w:eastAsia="zh-CN"/>
              </w:rPr>
              <w:t>000</w:t>
            </w:r>
          </w:p>
        </w:tc>
        <w:tc>
          <w:tcPr>
            <w:tcW w:w="1039" w:type="dxa"/>
            <w:tcBorders>
              <w:top w:val="nil"/>
              <w:left w:val="nil"/>
              <w:bottom w:val="nil"/>
              <w:right w:val="single" w:sz="4" w:space="0" w:color="auto"/>
            </w:tcBorders>
            <w:shd w:val="clear" w:color="auto" w:fill="auto"/>
            <w:vAlign w:val="bottom"/>
            <w:hideMark/>
          </w:tcPr>
          <w:p w14:paraId="6905E41C" w14:textId="01BF5C19" w:rsidR="009D43C3" w:rsidRPr="000C156A" w:rsidRDefault="009D43C3" w:rsidP="000048DE">
            <w:pPr>
              <w:pStyle w:val="Tabletext"/>
              <w:keepNext/>
              <w:keepLines/>
              <w:spacing w:before="40" w:after="40"/>
              <w:jc w:val="right"/>
              <w:rPr>
                <w:szCs w:val="22"/>
                <w:lang w:val="fr-FR" w:eastAsia="zh-CN"/>
              </w:rPr>
            </w:pPr>
            <w:r w:rsidRPr="000C156A">
              <w:rPr>
                <w:szCs w:val="22"/>
                <w:lang w:val="fr-FR" w:eastAsia="zh-CN"/>
              </w:rPr>
              <w:t>28</w:t>
            </w:r>
            <w:r w:rsidR="0041187F" w:rsidRPr="000C156A">
              <w:rPr>
                <w:szCs w:val="22"/>
                <w:lang w:val="fr-FR" w:eastAsia="zh-CN"/>
              </w:rPr>
              <w:t xml:space="preserve"> </w:t>
            </w:r>
            <w:r w:rsidRPr="000C156A">
              <w:rPr>
                <w:szCs w:val="22"/>
                <w:lang w:val="fr-FR" w:eastAsia="zh-CN"/>
              </w:rPr>
              <w:t>614</w:t>
            </w:r>
          </w:p>
        </w:tc>
        <w:tc>
          <w:tcPr>
            <w:tcW w:w="1040" w:type="dxa"/>
            <w:tcBorders>
              <w:top w:val="nil"/>
              <w:left w:val="nil"/>
              <w:bottom w:val="nil"/>
              <w:right w:val="single" w:sz="4" w:space="0" w:color="auto"/>
            </w:tcBorders>
            <w:shd w:val="clear" w:color="auto" w:fill="auto"/>
            <w:vAlign w:val="bottom"/>
            <w:hideMark/>
          </w:tcPr>
          <w:p w14:paraId="220CEB54" w14:textId="77777777" w:rsidR="009D43C3" w:rsidRPr="000C156A" w:rsidRDefault="009D43C3" w:rsidP="000048DE">
            <w:pPr>
              <w:pStyle w:val="Tabletext"/>
              <w:keepNext/>
              <w:keepLines/>
              <w:spacing w:before="40" w:after="40"/>
              <w:jc w:val="right"/>
              <w:rPr>
                <w:szCs w:val="22"/>
                <w:lang w:val="fr-FR" w:eastAsia="zh-CN"/>
              </w:rPr>
            </w:pPr>
            <w:r w:rsidRPr="000C156A">
              <w:rPr>
                <w:szCs w:val="22"/>
                <w:lang w:val="fr-FR" w:eastAsia="zh-CN"/>
              </w:rPr>
              <w:t>-</w:t>
            </w:r>
          </w:p>
        </w:tc>
        <w:tc>
          <w:tcPr>
            <w:tcW w:w="1039" w:type="dxa"/>
            <w:tcBorders>
              <w:top w:val="nil"/>
              <w:left w:val="nil"/>
              <w:bottom w:val="nil"/>
              <w:right w:val="single" w:sz="4" w:space="0" w:color="auto"/>
            </w:tcBorders>
            <w:shd w:val="clear" w:color="auto" w:fill="auto"/>
            <w:noWrap/>
            <w:vAlign w:val="bottom"/>
            <w:hideMark/>
          </w:tcPr>
          <w:p w14:paraId="64ACB13B" w14:textId="0CC0C577" w:rsidR="009D43C3" w:rsidRPr="000C156A" w:rsidRDefault="009D43C3" w:rsidP="000048DE">
            <w:pPr>
              <w:pStyle w:val="Tabletext"/>
              <w:keepNext/>
              <w:keepLines/>
              <w:spacing w:before="40" w:after="40"/>
              <w:jc w:val="right"/>
              <w:rPr>
                <w:szCs w:val="22"/>
                <w:lang w:val="fr-FR" w:eastAsia="zh-CN"/>
              </w:rPr>
            </w:pPr>
            <w:r w:rsidRPr="000C156A">
              <w:rPr>
                <w:szCs w:val="22"/>
                <w:lang w:val="fr-FR" w:eastAsia="zh-CN"/>
              </w:rPr>
              <w:t>10</w:t>
            </w:r>
            <w:r w:rsidR="0041187F" w:rsidRPr="000C156A">
              <w:rPr>
                <w:szCs w:val="22"/>
                <w:lang w:val="fr-FR" w:eastAsia="zh-CN"/>
              </w:rPr>
              <w:t xml:space="preserve"> </w:t>
            </w:r>
            <w:r w:rsidRPr="000C156A">
              <w:rPr>
                <w:szCs w:val="22"/>
                <w:lang w:val="fr-FR" w:eastAsia="zh-CN"/>
              </w:rPr>
              <w:t>000</w:t>
            </w:r>
          </w:p>
        </w:tc>
        <w:tc>
          <w:tcPr>
            <w:tcW w:w="1039" w:type="dxa"/>
            <w:tcBorders>
              <w:top w:val="nil"/>
              <w:left w:val="nil"/>
              <w:bottom w:val="nil"/>
              <w:right w:val="single" w:sz="4" w:space="0" w:color="auto"/>
            </w:tcBorders>
            <w:shd w:val="clear" w:color="auto" w:fill="auto"/>
            <w:vAlign w:val="bottom"/>
            <w:hideMark/>
          </w:tcPr>
          <w:p w14:paraId="50181BB8" w14:textId="2F545604" w:rsidR="009D43C3" w:rsidRPr="000C156A" w:rsidRDefault="009D43C3" w:rsidP="000048DE">
            <w:pPr>
              <w:pStyle w:val="Tabletext"/>
              <w:keepNext/>
              <w:keepLines/>
              <w:spacing w:before="40" w:after="40"/>
              <w:jc w:val="right"/>
              <w:rPr>
                <w:szCs w:val="22"/>
                <w:lang w:val="fr-FR" w:eastAsia="zh-CN"/>
              </w:rPr>
            </w:pPr>
            <w:r w:rsidRPr="000C156A">
              <w:rPr>
                <w:szCs w:val="22"/>
                <w:lang w:val="fr-FR" w:eastAsia="zh-CN"/>
              </w:rPr>
              <w:t>19</w:t>
            </w:r>
            <w:r w:rsidR="0041187F" w:rsidRPr="000C156A">
              <w:rPr>
                <w:szCs w:val="22"/>
                <w:lang w:val="fr-FR" w:eastAsia="zh-CN"/>
              </w:rPr>
              <w:t xml:space="preserve"> </w:t>
            </w:r>
            <w:r w:rsidRPr="000C156A">
              <w:rPr>
                <w:szCs w:val="22"/>
                <w:lang w:val="fr-FR" w:eastAsia="zh-CN"/>
              </w:rPr>
              <w:t>012</w:t>
            </w:r>
          </w:p>
        </w:tc>
        <w:tc>
          <w:tcPr>
            <w:tcW w:w="1040" w:type="dxa"/>
            <w:tcBorders>
              <w:top w:val="nil"/>
              <w:left w:val="nil"/>
              <w:bottom w:val="nil"/>
              <w:right w:val="single" w:sz="4" w:space="0" w:color="auto"/>
            </w:tcBorders>
            <w:shd w:val="clear" w:color="auto" w:fill="auto"/>
            <w:vAlign w:val="bottom"/>
            <w:hideMark/>
          </w:tcPr>
          <w:p w14:paraId="47EC4247" w14:textId="77777777" w:rsidR="009D43C3" w:rsidRPr="000C156A" w:rsidRDefault="009D43C3" w:rsidP="000048DE">
            <w:pPr>
              <w:pStyle w:val="Tabletext"/>
              <w:keepNext/>
              <w:keepLines/>
              <w:spacing w:before="40" w:after="40"/>
              <w:jc w:val="right"/>
              <w:rPr>
                <w:szCs w:val="22"/>
                <w:lang w:val="fr-FR" w:eastAsia="zh-CN"/>
              </w:rPr>
            </w:pPr>
            <w:r w:rsidRPr="000C156A">
              <w:rPr>
                <w:szCs w:val="22"/>
                <w:lang w:val="fr-FR" w:eastAsia="zh-CN"/>
              </w:rPr>
              <w:t>-</w:t>
            </w:r>
          </w:p>
        </w:tc>
      </w:tr>
      <w:tr w:rsidR="009D43C3" w:rsidRPr="000C156A" w14:paraId="2E3AAAF6" w14:textId="77777777" w:rsidTr="005D02F0">
        <w:trPr>
          <w:trHeight w:val="20"/>
          <w:jc w:val="center"/>
        </w:trPr>
        <w:tc>
          <w:tcPr>
            <w:tcW w:w="3225" w:type="dxa"/>
            <w:tcBorders>
              <w:top w:val="nil"/>
              <w:left w:val="single" w:sz="4" w:space="0" w:color="auto"/>
              <w:bottom w:val="nil"/>
              <w:right w:val="single" w:sz="4" w:space="0" w:color="auto"/>
            </w:tcBorders>
            <w:noWrap/>
            <w:vAlign w:val="bottom"/>
            <w:hideMark/>
          </w:tcPr>
          <w:p w14:paraId="112502A8" w14:textId="14D2C32F" w:rsidR="009D43C3" w:rsidRPr="000C156A" w:rsidRDefault="0041187F" w:rsidP="00EC39DF">
            <w:pPr>
              <w:pStyle w:val="Tabletext"/>
              <w:keepNext/>
              <w:keepLines/>
              <w:spacing w:before="40" w:after="40"/>
              <w:rPr>
                <w:szCs w:val="22"/>
                <w:lang w:val="fr-FR" w:eastAsia="zh-CN"/>
              </w:rPr>
            </w:pPr>
            <w:r w:rsidRPr="000C156A">
              <w:rPr>
                <w:szCs w:val="22"/>
                <w:lang w:val="fr-FR" w:eastAsia="zh-CN"/>
              </w:rPr>
              <w:t>4-</w:t>
            </w:r>
            <w:r w:rsidR="009D43C3" w:rsidRPr="000C156A">
              <w:rPr>
                <w:szCs w:val="22"/>
                <w:lang w:val="fr-FR" w:eastAsia="zh-CN"/>
              </w:rPr>
              <w:t>6</w:t>
            </w:r>
            <w:r w:rsidR="009D43C3" w:rsidRPr="000C156A">
              <w:rPr>
                <w:rFonts w:cs="Microsoft YaHei" w:hint="eastAsia"/>
                <w:szCs w:val="22"/>
                <w:lang w:val="fr-FR" w:eastAsia="zh-CN"/>
              </w:rPr>
              <w:t>个月</w:t>
            </w:r>
          </w:p>
        </w:tc>
        <w:tc>
          <w:tcPr>
            <w:tcW w:w="1039" w:type="dxa"/>
            <w:tcBorders>
              <w:top w:val="nil"/>
              <w:left w:val="nil"/>
              <w:bottom w:val="nil"/>
              <w:right w:val="single" w:sz="4" w:space="0" w:color="auto"/>
            </w:tcBorders>
            <w:shd w:val="clear" w:color="auto" w:fill="auto"/>
            <w:noWrap/>
            <w:vAlign w:val="bottom"/>
            <w:hideMark/>
          </w:tcPr>
          <w:p w14:paraId="53E3AFDC" w14:textId="77777777" w:rsidR="009D43C3" w:rsidRPr="000C156A" w:rsidRDefault="009D43C3" w:rsidP="000048DE">
            <w:pPr>
              <w:pStyle w:val="Tabletext"/>
              <w:keepNext/>
              <w:keepLines/>
              <w:spacing w:before="40" w:after="40"/>
              <w:jc w:val="right"/>
              <w:rPr>
                <w:szCs w:val="22"/>
                <w:lang w:val="fr-FR" w:eastAsia="zh-CN"/>
              </w:rPr>
            </w:pPr>
          </w:p>
        </w:tc>
        <w:tc>
          <w:tcPr>
            <w:tcW w:w="1039" w:type="dxa"/>
            <w:tcBorders>
              <w:top w:val="nil"/>
              <w:left w:val="nil"/>
              <w:bottom w:val="nil"/>
              <w:right w:val="single" w:sz="4" w:space="0" w:color="auto"/>
            </w:tcBorders>
            <w:shd w:val="clear" w:color="auto" w:fill="auto"/>
            <w:vAlign w:val="bottom"/>
            <w:hideMark/>
          </w:tcPr>
          <w:p w14:paraId="60DE7A0A" w14:textId="03556802" w:rsidR="009D43C3" w:rsidRPr="000C156A" w:rsidRDefault="009D43C3" w:rsidP="000048DE">
            <w:pPr>
              <w:pStyle w:val="Tabletext"/>
              <w:keepNext/>
              <w:keepLines/>
              <w:spacing w:before="40" w:after="40"/>
              <w:jc w:val="right"/>
              <w:rPr>
                <w:szCs w:val="22"/>
                <w:lang w:val="fr-FR" w:eastAsia="zh-CN"/>
              </w:rPr>
            </w:pPr>
            <w:r w:rsidRPr="000C156A">
              <w:rPr>
                <w:szCs w:val="22"/>
                <w:lang w:val="fr-FR" w:eastAsia="zh-CN"/>
              </w:rPr>
              <w:t>65</w:t>
            </w:r>
            <w:r w:rsidR="0041187F" w:rsidRPr="000C156A">
              <w:rPr>
                <w:szCs w:val="22"/>
                <w:lang w:val="fr-FR" w:eastAsia="zh-CN"/>
              </w:rPr>
              <w:t xml:space="preserve"> </w:t>
            </w:r>
            <w:r w:rsidRPr="000C156A">
              <w:rPr>
                <w:szCs w:val="22"/>
                <w:lang w:val="fr-FR" w:eastAsia="zh-CN"/>
              </w:rPr>
              <w:t>400</w:t>
            </w:r>
          </w:p>
        </w:tc>
        <w:tc>
          <w:tcPr>
            <w:tcW w:w="1040" w:type="dxa"/>
            <w:tcBorders>
              <w:top w:val="nil"/>
              <w:left w:val="nil"/>
              <w:bottom w:val="nil"/>
              <w:right w:val="single" w:sz="4" w:space="0" w:color="auto"/>
            </w:tcBorders>
            <w:shd w:val="clear" w:color="auto" w:fill="auto"/>
            <w:vAlign w:val="bottom"/>
            <w:hideMark/>
          </w:tcPr>
          <w:p w14:paraId="51FCB9C8" w14:textId="77777777" w:rsidR="009D43C3" w:rsidRPr="000C156A" w:rsidRDefault="009D43C3" w:rsidP="000048DE">
            <w:pPr>
              <w:pStyle w:val="Tabletext"/>
              <w:keepNext/>
              <w:keepLines/>
              <w:spacing w:before="40" w:after="40"/>
              <w:jc w:val="right"/>
              <w:rPr>
                <w:szCs w:val="22"/>
                <w:lang w:val="fr-FR" w:eastAsia="zh-CN"/>
              </w:rPr>
            </w:pPr>
          </w:p>
        </w:tc>
        <w:tc>
          <w:tcPr>
            <w:tcW w:w="1039" w:type="dxa"/>
            <w:tcBorders>
              <w:top w:val="nil"/>
              <w:left w:val="nil"/>
              <w:bottom w:val="nil"/>
              <w:right w:val="single" w:sz="4" w:space="0" w:color="auto"/>
            </w:tcBorders>
            <w:shd w:val="clear" w:color="auto" w:fill="auto"/>
            <w:noWrap/>
            <w:vAlign w:val="bottom"/>
            <w:hideMark/>
          </w:tcPr>
          <w:p w14:paraId="677019ED" w14:textId="77777777" w:rsidR="009D43C3" w:rsidRPr="000C156A" w:rsidRDefault="009D43C3" w:rsidP="000048DE">
            <w:pPr>
              <w:pStyle w:val="Tabletext"/>
              <w:keepNext/>
              <w:keepLines/>
              <w:spacing w:before="40" w:after="40"/>
              <w:jc w:val="right"/>
              <w:rPr>
                <w:szCs w:val="22"/>
                <w:lang w:val="fr-FR" w:eastAsia="zh-CN"/>
              </w:rPr>
            </w:pPr>
          </w:p>
        </w:tc>
        <w:tc>
          <w:tcPr>
            <w:tcW w:w="1039" w:type="dxa"/>
            <w:tcBorders>
              <w:top w:val="nil"/>
              <w:left w:val="nil"/>
              <w:bottom w:val="nil"/>
              <w:right w:val="single" w:sz="4" w:space="0" w:color="auto"/>
            </w:tcBorders>
            <w:shd w:val="clear" w:color="auto" w:fill="auto"/>
            <w:vAlign w:val="bottom"/>
            <w:hideMark/>
          </w:tcPr>
          <w:p w14:paraId="529F84FE" w14:textId="6F2A6341" w:rsidR="009D43C3" w:rsidRPr="000C156A" w:rsidRDefault="009D43C3" w:rsidP="000048DE">
            <w:pPr>
              <w:pStyle w:val="Tabletext"/>
              <w:keepNext/>
              <w:keepLines/>
              <w:spacing w:before="40" w:after="40"/>
              <w:jc w:val="right"/>
              <w:rPr>
                <w:szCs w:val="22"/>
                <w:lang w:val="fr-FR" w:eastAsia="zh-CN"/>
              </w:rPr>
            </w:pPr>
            <w:r w:rsidRPr="000C156A">
              <w:rPr>
                <w:szCs w:val="22"/>
                <w:lang w:val="fr-FR" w:eastAsia="zh-CN"/>
              </w:rPr>
              <w:t>4</w:t>
            </w:r>
            <w:r w:rsidR="0041187F" w:rsidRPr="000C156A">
              <w:rPr>
                <w:szCs w:val="22"/>
                <w:lang w:val="fr-FR" w:eastAsia="zh-CN"/>
              </w:rPr>
              <w:t xml:space="preserve"> </w:t>
            </w:r>
            <w:r w:rsidRPr="000C156A">
              <w:rPr>
                <w:szCs w:val="22"/>
                <w:lang w:val="fr-FR" w:eastAsia="zh-CN"/>
              </w:rPr>
              <w:t>000</w:t>
            </w:r>
          </w:p>
        </w:tc>
        <w:tc>
          <w:tcPr>
            <w:tcW w:w="1040" w:type="dxa"/>
            <w:tcBorders>
              <w:top w:val="nil"/>
              <w:left w:val="nil"/>
              <w:bottom w:val="nil"/>
              <w:right w:val="single" w:sz="4" w:space="0" w:color="auto"/>
            </w:tcBorders>
            <w:shd w:val="clear" w:color="auto" w:fill="auto"/>
            <w:vAlign w:val="bottom"/>
            <w:hideMark/>
          </w:tcPr>
          <w:p w14:paraId="4CBDF3B1" w14:textId="77777777" w:rsidR="009D43C3" w:rsidRPr="000C156A" w:rsidRDefault="009D43C3" w:rsidP="000048DE">
            <w:pPr>
              <w:pStyle w:val="Tabletext"/>
              <w:keepNext/>
              <w:keepLines/>
              <w:spacing w:before="40" w:after="40"/>
              <w:jc w:val="right"/>
              <w:rPr>
                <w:szCs w:val="22"/>
                <w:lang w:val="fr-FR" w:eastAsia="zh-CN"/>
              </w:rPr>
            </w:pPr>
          </w:p>
        </w:tc>
      </w:tr>
      <w:tr w:rsidR="009D43C3" w:rsidRPr="000C156A" w14:paraId="4FFA09C1" w14:textId="77777777" w:rsidTr="005D02F0">
        <w:trPr>
          <w:trHeight w:val="20"/>
          <w:jc w:val="center"/>
        </w:trPr>
        <w:tc>
          <w:tcPr>
            <w:tcW w:w="3225" w:type="dxa"/>
            <w:tcBorders>
              <w:top w:val="nil"/>
              <w:left w:val="single" w:sz="4" w:space="0" w:color="auto"/>
              <w:bottom w:val="nil"/>
              <w:right w:val="single" w:sz="4" w:space="0" w:color="auto"/>
            </w:tcBorders>
            <w:noWrap/>
            <w:vAlign w:val="bottom"/>
            <w:hideMark/>
          </w:tcPr>
          <w:p w14:paraId="1BBD7B28" w14:textId="598D21FC" w:rsidR="009D43C3" w:rsidRPr="000C156A" w:rsidRDefault="0041187F" w:rsidP="00EC39DF">
            <w:pPr>
              <w:pStyle w:val="Tabletext"/>
              <w:keepNext/>
              <w:keepLines/>
              <w:spacing w:before="40" w:after="40"/>
              <w:rPr>
                <w:szCs w:val="22"/>
                <w:lang w:val="fr-FR" w:eastAsia="zh-CN"/>
              </w:rPr>
            </w:pPr>
            <w:r w:rsidRPr="000C156A">
              <w:rPr>
                <w:szCs w:val="22"/>
                <w:lang w:val="fr-FR" w:eastAsia="zh-CN"/>
              </w:rPr>
              <w:t>7</w:t>
            </w:r>
            <w:r w:rsidR="009D43C3" w:rsidRPr="000C156A">
              <w:rPr>
                <w:szCs w:val="22"/>
                <w:lang w:val="fr-FR" w:eastAsia="zh-CN"/>
              </w:rPr>
              <w:t>-9</w:t>
            </w:r>
            <w:r w:rsidR="009D43C3" w:rsidRPr="000C156A">
              <w:rPr>
                <w:rFonts w:cs="Microsoft YaHei" w:hint="eastAsia"/>
                <w:szCs w:val="22"/>
                <w:lang w:val="fr-FR" w:eastAsia="zh-CN"/>
              </w:rPr>
              <w:t>个月</w:t>
            </w:r>
          </w:p>
        </w:tc>
        <w:tc>
          <w:tcPr>
            <w:tcW w:w="1039" w:type="dxa"/>
            <w:tcBorders>
              <w:top w:val="nil"/>
              <w:left w:val="nil"/>
              <w:bottom w:val="nil"/>
              <w:right w:val="single" w:sz="4" w:space="0" w:color="auto"/>
            </w:tcBorders>
            <w:shd w:val="clear" w:color="auto" w:fill="auto"/>
            <w:noWrap/>
            <w:vAlign w:val="bottom"/>
            <w:hideMark/>
          </w:tcPr>
          <w:p w14:paraId="4F2A7490" w14:textId="77777777" w:rsidR="009D43C3" w:rsidRPr="000C156A" w:rsidRDefault="009D43C3" w:rsidP="000048DE">
            <w:pPr>
              <w:pStyle w:val="Tabletext"/>
              <w:keepNext/>
              <w:keepLines/>
              <w:spacing w:before="40" w:after="40"/>
              <w:jc w:val="right"/>
              <w:rPr>
                <w:szCs w:val="22"/>
                <w:lang w:val="fr-FR" w:eastAsia="zh-CN"/>
              </w:rPr>
            </w:pPr>
          </w:p>
        </w:tc>
        <w:tc>
          <w:tcPr>
            <w:tcW w:w="1039" w:type="dxa"/>
            <w:tcBorders>
              <w:top w:val="nil"/>
              <w:left w:val="nil"/>
              <w:bottom w:val="nil"/>
              <w:right w:val="single" w:sz="4" w:space="0" w:color="auto"/>
            </w:tcBorders>
            <w:shd w:val="clear" w:color="auto" w:fill="auto"/>
            <w:vAlign w:val="bottom"/>
            <w:hideMark/>
          </w:tcPr>
          <w:p w14:paraId="2AC699A5" w14:textId="77777777" w:rsidR="009D43C3" w:rsidRPr="000C156A" w:rsidRDefault="009D43C3" w:rsidP="000048DE">
            <w:pPr>
              <w:pStyle w:val="Tabletext"/>
              <w:keepNext/>
              <w:keepLines/>
              <w:spacing w:before="40" w:after="40"/>
              <w:jc w:val="right"/>
              <w:rPr>
                <w:szCs w:val="22"/>
                <w:lang w:val="fr-FR" w:eastAsia="zh-CN"/>
              </w:rPr>
            </w:pPr>
          </w:p>
        </w:tc>
        <w:tc>
          <w:tcPr>
            <w:tcW w:w="1040" w:type="dxa"/>
            <w:tcBorders>
              <w:top w:val="nil"/>
              <w:left w:val="nil"/>
              <w:bottom w:val="nil"/>
              <w:right w:val="single" w:sz="4" w:space="0" w:color="auto"/>
            </w:tcBorders>
            <w:shd w:val="clear" w:color="auto" w:fill="auto"/>
            <w:vAlign w:val="bottom"/>
            <w:hideMark/>
          </w:tcPr>
          <w:p w14:paraId="200126E9" w14:textId="77777777" w:rsidR="009D43C3" w:rsidRPr="000C156A" w:rsidRDefault="009D43C3" w:rsidP="000048DE">
            <w:pPr>
              <w:pStyle w:val="Tabletext"/>
              <w:keepNext/>
              <w:keepLines/>
              <w:spacing w:before="40" w:after="40"/>
              <w:jc w:val="right"/>
              <w:rPr>
                <w:szCs w:val="22"/>
                <w:lang w:val="fr-FR" w:eastAsia="zh-CN"/>
              </w:rPr>
            </w:pPr>
          </w:p>
        </w:tc>
        <w:tc>
          <w:tcPr>
            <w:tcW w:w="1039" w:type="dxa"/>
            <w:tcBorders>
              <w:top w:val="nil"/>
              <w:left w:val="nil"/>
              <w:bottom w:val="nil"/>
              <w:right w:val="single" w:sz="4" w:space="0" w:color="auto"/>
            </w:tcBorders>
            <w:shd w:val="clear" w:color="auto" w:fill="auto"/>
            <w:noWrap/>
            <w:vAlign w:val="bottom"/>
            <w:hideMark/>
          </w:tcPr>
          <w:p w14:paraId="673E758F" w14:textId="77777777" w:rsidR="009D43C3" w:rsidRPr="000C156A" w:rsidRDefault="009D43C3" w:rsidP="000048DE">
            <w:pPr>
              <w:pStyle w:val="Tabletext"/>
              <w:keepNext/>
              <w:keepLines/>
              <w:spacing w:before="40" w:after="40"/>
              <w:jc w:val="right"/>
              <w:rPr>
                <w:szCs w:val="22"/>
                <w:lang w:val="fr-FR" w:eastAsia="zh-CN"/>
              </w:rPr>
            </w:pPr>
          </w:p>
        </w:tc>
        <w:tc>
          <w:tcPr>
            <w:tcW w:w="1039" w:type="dxa"/>
            <w:tcBorders>
              <w:top w:val="nil"/>
              <w:left w:val="nil"/>
              <w:bottom w:val="nil"/>
              <w:right w:val="single" w:sz="4" w:space="0" w:color="auto"/>
            </w:tcBorders>
            <w:shd w:val="clear" w:color="auto" w:fill="auto"/>
            <w:vAlign w:val="bottom"/>
          </w:tcPr>
          <w:p w14:paraId="6230E2A3" w14:textId="77777777" w:rsidR="009D43C3" w:rsidRPr="000C156A" w:rsidRDefault="009D43C3" w:rsidP="000048DE">
            <w:pPr>
              <w:pStyle w:val="Tabletext"/>
              <w:keepNext/>
              <w:keepLines/>
              <w:spacing w:before="40" w:after="40"/>
              <w:jc w:val="right"/>
              <w:rPr>
                <w:szCs w:val="22"/>
                <w:lang w:val="fr-FR" w:eastAsia="zh-CN"/>
              </w:rPr>
            </w:pPr>
          </w:p>
        </w:tc>
        <w:tc>
          <w:tcPr>
            <w:tcW w:w="1040" w:type="dxa"/>
            <w:tcBorders>
              <w:top w:val="nil"/>
              <w:left w:val="nil"/>
              <w:bottom w:val="nil"/>
              <w:right w:val="single" w:sz="4" w:space="0" w:color="auto"/>
            </w:tcBorders>
            <w:shd w:val="clear" w:color="auto" w:fill="auto"/>
            <w:vAlign w:val="bottom"/>
            <w:hideMark/>
          </w:tcPr>
          <w:p w14:paraId="08737271" w14:textId="77777777" w:rsidR="009D43C3" w:rsidRPr="000C156A" w:rsidRDefault="009D43C3" w:rsidP="000048DE">
            <w:pPr>
              <w:pStyle w:val="Tabletext"/>
              <w:keepNext/>
              <w:keepLines/>
              <w:spacing w:before="40" w:after="40"/>
              <w:jc w:val="right"/>
              <w:rPr>
                <w:szCs w:val="22"/>
                <w:lang w:val="fr-FR" w:eastAsia="zh-CN"/>
              </w:rPr>
            </w:pPr>
          </w:p>
        </w:tc>
      </w:tr>
      <w:tr w:rsidR="009D43C3" w:rsidRPr="000C156A" w14:paraId="69F8F749" w14:textId="77777777" w:rsidTr="005D02F0">
        <w:trPr>
          <w:trHeight w:val="20"/>
          <w:jc w:val="center"/>
        </w:trPr>
        <w:tc>
          <w:tcPr>
            <w:tcW w:w="3225" w:type="dxa"/>
            <w:tcBorders>
              <w:top w:val="nil"/>
              <w:left w:val="single" w:sz="4" w:space="0" w:color="auto"/>
              <w:bottom w:val="single" w:sz="4" w:space="0" w:color="auto"/>
              <w:right w:val="single" w:sz="4" w:space="0" w:color="auto"/>
            </w:tcBorders>
            <w:noWrap/>
            <w:vAlign w:val="bottom"/>
            <w:hideMark/>
          </w:tcPr>
          <w:p w14:paraId="46550D80" w14:textId="77777777" w:rsidR="009D43C3" w:rsidRPr="000C156A" w:rsidRDefault="009D43C3" w:rsidP="00EC39DF">
            <w:pPr>
              <w:pStyle w:val="Tabletext"/>
              <w:keepNext/>
              <w:keepLines/>
              <w:spacing w:before="40" w:after="40"/>
              <w:rPr>
                <w:szCs w:val="22"/>
                <w:lang w:val="fr-FR" w:eastAsia="zh-CN"/>
              </w:rPr>
            </w:pPr>
            <w:r w:rsidRPr="000C156A">
              <w:rPr>
                <w:szCs w:val="22"/>
                <w:lang w:val="fr-FR" w:eastAsia="zh-CN"/>
              </w:rPr>
              <w:t>9</w:t>
            </w:r>
            <w:r w:rsidRPr="000C156A">
              <w:rPr>
                <w:rFonts w:cs="Microsoft YaHei" w:hint="eastAsia"/>
                <w:szCs w:val="22"/>
                <w:lang w:val="fr-FR" w:eastAsia="zh-CN"/>
              </w:rPr>
              <w:t>个月以上</w:t>
            </w:r>
          </w:p>
        </w:tc>
        <w:tc>
          <w:tcPr>
            <w:tcW w:w="1039" w:type="dxa"/>
            <w:tcBorders>
              <w:top w:val="nil"/>
              <w:left w:val="nil"/>
              <w:bottom w:val="nil"/>
              <w:right w:val="single" w:sz="4" w:space="0" w:color="auto"/>
            </w:tcBorders>
            <w:shd w:val="clear" w:color="auto" w:fill="auto"/>
            <w:noWrap/>
            <w:vAlign w:val="bottom"/>
            <w:hideMark/>
          </w:tcPr>
          <w:p w14:paraId="47F3BFEA" w14:textId="77777777" w:rsidR="009D43C3" w:rsidRPr="000C156A" w:rsidRDefault="009D43C3" w:rsidP="000048DE">
            <w:pPr>
              <w:pStyle w:val="Tabletext"/>
              <w:keepNext/>
              <w:keepLines/>
              <w:spacing w:before="40" w:after="40"/>
              <w:jc w:val="right"/>
              <w:rPr>
                <w:szCs w:val="22"/>
                <w:lang w:val="fr-FR" w:eastAsia="zh-CN"/>
              </w:rPr>
            </w:pPr>
          </w:p>
        </w:tc>
        <w:tc>
          <w:tcPr>
            <w:tcW w:w="1039" w:type="dxa"/>
            <w:tcBorders>
              <w:top w:val="nil"/>
              <w:left w:val="nil"/>
              <w:bottom w:val="nil"/>
              <w:right w:val="single" w:sz="4" w:space="0" w:color="auto"/>
            </w:tcBorders>
            <w:shd w:val="clear" w:color="auto" w:fill="auto"/>
            <w:vAlign w:val="bottom"/>
            <w:hideMark/>
          </w:tcPr>
          <w:p w14:paraId="6D165ABB" w14:textId="77777777" w:rsidR="009D43C3" w:rsidRPr="000C156A" w:rsidRDefault="009D43C3" w:rsidP="000048DE">
            <w:pPr>
              <w:pStyle w:val="Tabletext"/>
              <w:keepNext/>
              <w:keepLines/>
              <w:spacing w:before="40" w:after="40"/>
              <w:jc w:val="right"/>
              <w:rPr>
                <w:szCs w:val="22"/>
                <w:lang w:val="fr-FR" w:eastAsia="zh-CN"/>
              </w:rPr>
            </w:pPr>
          </w:p>
        </w:tc>
        <w:tc>
          <w:tcPr>
            <w:tcW w:w="1040" w:type="dxa"/>
            <w:tcBorders>
              <w:top w:val="nil"/>
              <w:left w:val="nil"/>
              <w:bottom w:val="nil"/>
              <w:right w:val="single" w:sz="4" w:space="0" w:color="auto"/>
            </w:tcBorders>
            <w:shd w:val="clear" w:color="auto" w:fill="auto"/>
            <w:vAlign w:val="bottom"/>
            <w:hideMark/>
          </w:tcPr>
          <w:p w14:paraId="0DA3B943" w14:textId="77777777" w:rsidR="009D43C3" w:rsidRPr="000C156A" w:rsidRDefault="009D43C3" w:rsidP="000048DE">
            <w:pPr>
              <w:pStyle w:val="Tabletext"/>
              <w:keepNext/>
              <w:keepLines/>
              <w:spacing w:before="40" w:after="40"/>
              <w:jc w:val="right"/>
              <w:rPr>
                <w:szCs w:val="22"/>
                <w:lang w:val="fr-FR" w:eastAsia="zh-CN"/>
              </w:rPr>
            </w:pPr>
          </w:p>
        </w:tc>
        <w:tc>
          <w:tcPr>
            <w:tcW w:w="1039" w:type="dxa"/>
            <w:tcBorders>
              <w:top w:val="nil"/>
              <w:left w:val="nil"/>
              <w:bottom w:val="nil"/>
              <w:right w:val="single" w:sz="4" w:space="0" w:color="auto"/>
            </w:tcBorders>
            <w:shd w:val="clear" w:color="auto" w:fill="auto"/>
            <w:noWrap/>
            <w:vAlign w:val="bottom"/>
            <w:hideMark/>
          </w:tcPr>
          <w:p w14:paraId="5D070698" w14:textId="623FB64E" w:rsidR="009D43C3" w:rsidRPr="000C156A" w:rsidRDefault="009D43C3" w:rsidP="000048DE">
            <w:pPr>
              <w:pStyle w:val="Tabletext"/>
              <w:keepNext/>
              <w:keepLines/>
              <w:spacing w:before="40" w:after="40"/>
              <w:jc w:val="right"/>
              <w:rPr>
                <w:szCs w:val="22"/>
                <w:lang w:val="fr-FR" w:eastAsia="zh-CN"/>
              </w:rPr>
            </w:pPr>
            <w:r w:rsidRPr="000C156A">
              <w:rPr>
                <w:szCs w:val="22"/>
                <w:lang w:val="fr-FR" w:eastAsia="zh-CN"/>
              </w:rPr>
              <w:t>10</w:t>
            </w:r>
            <w:r w:rsidR="0041187F" w:rsidRPr="000C156A">
              <w:rPr>
                <w:szCs w:val="22"/>
                <w:lang w:val="fr-FR" w:eastAsia="zh-CN"/>
              </w:rPr>
              <w:t xml:space="preserve"> </w:t>
            </w:r>
            <w:r w:rsidRPr="000C156A">
              <w:rPr>
                <w:szCs w:val="22"/>
                <w:lang w:val="fr-FR" w:eastAsia="zh-CN"/>
              </w:rPr>
              <w:t>000</w:t>
            </w:r>
          </w:p>
        </w:tc>
        <w:tc>
          <w:tcPr>
            <w:tcW w:w="1039" w:type="dxa"/>
            <w:tcBorders>
              <w:top w:val="nil"/>
              <w:left w:val="nil"/>
              <w:bottom w:val="nil"/>
              <w:right w:val="single" w:sz="4" w:space="0" w:color="auto"/>
            </w:tcBorders>
            <w:shd w:val="clear" w:color="auto" w:fill="auto"/>
            <w:vAlign w:val="bottom"/>
          </w:tcPr>
          <w:p w14:paraId="7194EB74" w14:textId="77777777" w:rsidR="009D43C3" w:rsidRPr="000C156A" w:rsidRDefault="009D43C3" w:rsidP="000048DE">
            <w:pPr>
              <w:pStyle w:val="Tabletext"/>
              <w:keepNext/>
              <w:keepLines/>
              <w:spacing w:before="40" w:after="40"/>
              <w:jc w:val="right"/>
              <w:rPr>
                <w:szCs w:val="22"/>
                <w:lang w:val="fr-FR" w:eastAsia="zh-CN"/>
              </w:rPr>
            </w:pPr>
          </w:p>
        </w:tc>
        <w:tc>
          <w:tcPr>
            <w:tcW w:w="1040" w:type="dxa"/>
            <w:tcBorders>
              <w:top w:val="nil"/>
              <w:left w:val="nil"/>
              <w:bottom w:val="nil"/>
              <w:right w:val="single" w:sz="4" w:space="0" w:color="auto"/>
            </w:tcBorders>
            <w:shd w:val="clear" w:color="auto" w:fill="auto"/>
            <w:vAlign w:val="bottom"/>
            <w:hideMark/>
          </w:tcPr>
          <w:p w14:paraId="7919B31A" w14:textId="77777777" w:rsidR="009D43C3" w:rsidRPr="000C156A" w:rsidRDefault="009D43C3" w:rsidP="000048DE">
            <w:pPr>
              <w:pStyle w:val="Tabletext"/>
              <w:keepNext/>
              <w:keepLines/>
              <w:spacing w:before="40" w:after="40"/>
              <w:jc w:val="right"/>
              <w:rPr>
                <w:szCs w:val="22"/>
                <w:lang w:val="fr-FR" w:eastAsia="zh-CN"/>
              </w:rPr>
            </w:pPr>
          </w:p>
        </w:tc>
      </w:tr>
      <w:tr w:rsidR="009D43C3" w:rsidRPr="000C156A" w14:paraId="3E72B734" w14:textId="77777777" w:rsidTr="005D02F0">
        <w:trPr>
          <w:trHeight w:val="20"/>
          <w:jc w:val="center"/>
        </w:trPr>
        <w:tc>
          <w:tcPr>
            <w:tcW w:w="3225" w:type="dxa"/>
            <w:tcBorders>
              <w:top w:val="single" w:sz="4" w:space="0" w:color="auto"/>
              <w:left w:val="single" w:sz="4" w:space="0" w:color="auto"/>
              <w:bottom w:val="single" w:sz="4" w:space="0" w:color="auto"/>
              <w:right w:val="single" w:sz="4" w:space="0" w:color="auto"/>
            </w:tcBorders>
            <w:noWrap/>
            <w:vAlign w:val="center"/>
            <w:hideMark/>
          </w:tcPr>
          <w:p w14:paraId="0F339BB1" w14:textId="77777777" w:rsidR="009D43C3" w:rsidRPr="000C156A" w:rsidRDefault="009D43C3" w:rsidP="0056660A">
            <w:pPr>
              <w:pStyle w:val="Tablehead"/>
              <w:keepNext/>
              <w:keepLines/>
              <w:spacing w:before="40" w:after="40"/>
              <w:jc w:val="left"/>
              <w:rPr>
                <w:szCs w:val="22"/>
                <w:lang w:val="fr-FR" w:eastAsia="zh-CN"/>
              </w:rPr>
            </w:pPr>
            <w:r w:rsidRPr="000C156A">
              <w:rPr>
                <w:rFonts w:cs="Microsoft YaHei" w:hint="eastAsia"/>
                <w:szCs w:val="22"/>
                <w:lang w:val="fr-FR" w:eastAsia="zh-CN"/>
              </w:rPr>
              <w:t>投资</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49E8858E" w14:textId="33EADD0B" w:rsidR="009D43C3" w:rsidRPr="000C156A" w:rsidRDefault="009D43C3" w:rsidP="000048DE">
            <w:pPr>
              <w:pStyle w:val="Tablehead"/>
              <w:keepNext/>
              <w:keepLines/>
              <w:spacing w:before="40" w:after="40"/>
              <w:jc w:val="right"/>
              <w:rPr>
                <w:szCs w:val="22"/>
                <w:lang w:val="fr-FR" w:eastAsia="zh-CN"/>
              </w:rPr>
            </w:pPr>
            <w:r w:rsidRPr="000C156A">
              <w:rPr>
                <w:szCs w:val="22"/>
                <w:lang w:val="fr-FR" w:eastAsia="zh-CN"/>
              </w:rPr>
              <w:t>10</w:t>
            </w:r>
            <w:r w:rsidR="0041187F" w:rsidRPr="000C156A">
              <w:rPr>
                <w:szCs w:val="22"/>
                <w:lang w:val="fr-FR" w:eastAsia="zh-CN"/>
              </w:rPr>
              <w:t xml:space="preserve"> </w:t>
            </w:r>
            <w:r w:rsidRPr="000C156A">
              <w:rPr>
                <w:szCs w:val="22"/>
                <w:lang w:val="fr-FR" w:eastAsia="zh-CN"/>
              </w:rPr>
              <w:t>000</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78587186" w14:textId="1A72867C" w:rsidR="009D43C3" w:rsidRPr="000C156A" w:rsidRDefault="009D43C3" w:rsidP="000048DE">
            <w:pPr>
              <w:pStyle w:val="Tablehead"/>
              <w:keepNext/>
              <w:keepLines/>
              <w:spacing w:before="40" w:after="40"/>
              <w:jc w:val="right"/>
              <w:rPr>
                <w:szCs w:val="22"/>
                <w:lang w:val="fr-FR" w:eastAsia="zh-CN"/>
              </w:rPr>
            </w:pPr>
            <w:r w:rsidRPr="000C156A">
              <w:rPr>
                <w:szCs w:val="22"/>
                <w:lang w:val="fr-FR" w:eastAsia="zh-CN"/>
              </w:rPr>
              <w:t>94</w:t>
            </w:r>
            <w:r w:rsidR="0041187F" w:rsidRPr="000C156A">
              <w:rPr>
                <w:szCs w:val="22"/>
                <w:lang w:val="fr-FR" w:eastAsia="zh-CN"/>
              </w:rPr>
              <w:t xml:space="preserve"> </w:t>
            </w:r>
            <w:r w:rsidRPr="000C156A">
              <w:rPr>
                <w:szCs w:val="22"/>
                <w:lang w:val="fr-FR" w:eastAsia="zh-CN"/>
              </w:rPr>
              <w:t>0142</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40812D2" w14:textId="7CA483B8" w:rsidR="009D43C3" w:rsidRPr="000C156A" w:rsidRDefault="009D43C3" w:rsidP="000048DE">
            <w:pPr>
              <w:pStyle w:val="Tablehead"/>
              <w:keepNext/>
              <w:keepLines/>
              <w:spacing w:before="40" w:after="40"/>
              <w:jc w:val="right"/>
              <w:rPr>
                <w:szCs w:val="22"/>
                <w:lang w:val="fr-FR" w:eastAsia="zh-CN"/>
              </w:rPr>
            </w:pPr>
            <w:r w:rsidRPr="000C156A">
              <w:rPr>
                <w:szCs w:val="22"/>
                <w:lang w:val="fr-FR" w:eastAsia="zh-CN"/>
              </w:rPr>
              <w:t xml:space="preserve">-       </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74C6E6EA" w14:textId="136A669F" w:rsidR="009D43C3" w:rsidRPr="000C156A" w:rsidRDefault="009D43C3" w:rsidP="000048DE">
            <w:pPr>
              <w:pStyle w:val="Tablehead"/>
              <w:keepNext/>
              <w:keepLines/>
              <w:spacing w:before="40" w:after="40"/>
              <w:jc w:val="right"/>
              <w:rPr>
                <w:szCs w:val="22"/>
                <w:lang w:val="fr-FR" w:eastAsia="zh-CN"/>
              </w:rPr>
            </w:pPr>
            <w:r w:rsidRPr="000C156A">
              <w:rPr>
                <w:szCs w:val="22"/>
                <w:lang w:val="fr-FR" w:eastAsia="zh-CN"/>
              </w:rPr>
              <w:t>10</w:t>
            </w:r>
            <w:r w:rsidR="0041187F" w:rsidRPr="000C156A">
              <w:rPr>
                <w:szCs w:val="22"/>
                <w:lang w:val="fr-FR" w:eastAsia="zh-CN"/>
              </w:rPr>
              <w:t xml:space="preserve"> </w:t>
            </w:r>
            <w:r w:rsidRPr="000C156A">
              <w:rPr>
                <w:szCs w:val="22"/>
                <w:lang w:val="fr-FR" w:eastAsia="zh-CN"/>
              </w:rPr>
              <w:t>000</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0D959D1E" w14:textId="7BF9A180" w:rsidR="009D43C3" w:rsidRPr="000C156A" w:rsidRDefault="009D43C3" w:rsidP="000048DE">
            <w:pPr>
              <w:pStyle w:val="Tablehead"/>
              <w:keepNext/>
              <w:keepLines/>
              <w:spacing w:before="40" w:after="40"/>
              <w:jc w:val="right"/>
              <w:rPr>
                <w:szCs w:val="22"/>
                <w:lang w:val="fr-FR" w:eastAsia="zh-CN"/>
              </w:rPr>
            </w:pPr>
            <w:r w:rsidRPr="000C156A">
              <w:rPr>
                <w:szCs w:val="22"/>
                <w:lang w:val="fr-FR" w:eastAsia="zh-CN"/>
              </w:rPr>
              <w:t>23</w:t>
            </w:r>
            <w:r w:rsidR="0041187F" w:rsidRPr="000C156A">
              <w:rPr>
                <w:szCs w:val="22"/>
                <w:lang w:val="fr-FR" w:eastAsia="zh-CN"/>
              </w:rPr>
              <w:t xml:space="preserve"> </w:t>
            </w:r>
            <w:r w:rsidRPr="000C156A">
              <w:rPr>
                <w:szCs w:val="22"/>
                <w:lang w:val="fr-FR" w:eastAsia="zh-CN"/>
              </w:rPr>
              <w:t>012</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FB92FFC" w14:textId="77777777" w:rsidR="009D43C3" w:rsidRPr="000C156A" w:rsidRDefault="009D43C3" w:rsidP="000048DE">
            <w:pPr>
              <w:pStyle w:val="Tablehead"/>
              <w:keepNext/>
              <w:keepLines/>
              <w:spacing w:before="40" w:after="40"/>
              <w:jc w:val="right"/>
              <w:rPr>
                <w:szCs w:val="22"/>
                <w:lang w:val="fr-FR" w:eastAsia="zh-CN"/>
              </w:rPr>
            </w:pPr>
          </w:p>
        </w:tc>
      </w:tr>
    </w:tbl>
    <w:p w14:paraId="51EB2BDE" w14:textId="77777777" w:rsidR="009D43C3" w:rsidRPr="000C156A" w:rsidRDefault="009D43C3" w:rsidP="009D43C3">
      <w:pPr>
        <w:ind w:firstLineChars="200" w:firstLine="480"/>
        <w:rPr>
          <w:lang w:eastAsia="zh-CN"/>
        </w:rPr>
      </w:pPr>
      <w:r w:rsidRPr="000C156A">
        <w:rPr>
          <w:rFonts w:hint="eastAsia"/>
          <w:lang w:eastAsia="zh-CN"/>
        </w:rPr>
        <w:t>已经与瑞士国家银行（</w:t>
      </w:r>
      <w:r w:rsidRPr="000C156A">
        <w:rPr>
          <w:lang w:eastAsia="zh-CN"/>
        </w:rPr>
        <w:t>Swiss National Bank</w:t>
      </w:r>
      <w:r w:rsidRPr="000C156A">
        <w:rPr>
          <w:rFonts w:hint="eastAsia"/>
          <w:lang w:eastAsia="zh-CN"/>
        </w:rPr>
        <w:t>）谈妥了瑞郎储蓄交易，该银行为国际组织做出了存款</w:t>
      </w:r>
      <w:r w:rsidRPr="000C156A">
        <w:rPr>
          <w:rFonts w:hint="eastAsia"/>
          <w:lang w:eastAsia="zh-CN"/>
        </w:rPr>
        <w:t>1</w:t>
      </w:r>
      <w:r w:rsidRPr="000C156A">
        <w:rPr>
          <w:lang w:eastAsia="zh-CN"/>
        </w:rPr>
        <w:t xml:space="preserve"> </w:t>
      </w:r>
      <w:r w:rsidRPr="000C156A">
        <w:rPr>
          <w:rFonts w:hint="eastAsia"/>
          <w:lang w:eastAsia="zh-CN"/>
        </w:rPr>
        <w:t>000</w:t>
      </w:r>
      <w:r w:rsidRPr="000C156A">
        <w:rPr>
          <w:rFonts w:hint="eastAsia"/>
          <w:lang w:eastAsia="zh-CN"/>
        </w:rPr>
        <w:t>万瑞郎（门限值）即无负利率的安排。</w:t>
      </w:r>
    </w:p>
    <w:p w14:paraId="45FEC5A8" w14:textId="77777777" w:rsidR="009D43C3" w:rsidRPr="000C156A" w:rsidRDefault="009D43C3" w:rsidP="00F61821">
      <w:pPr>
        <w:pStyle w:val="Heading1"/>
        <w:spacing w:before="240"/>
        <w:rPr>
          <w:rFonts w:cs="Microsoft YaHei"/>
          <w:sz w:val="24"/>
          <w:szCs w:val="24"/>
          <w:lang w:eastAsia="zh-CN"/>
        </w:rPr>
      </w:pPr>
      <w:bookmarkStart w:id="561" w:name="_Toc305594743"/>
      <w:bookmarkStart w:id="562" w:name="_Toc482892567"/>
      <w:bookmarkStart w:id="563" w:name="_Toc482870832"/>
      <w:bookmarkStart w:id="564" w:name="_Toc329165783"/>
      <w:bookmarkStart w:id="565" w:name="_Toc511813750"/>
      <w:bookmarkStart w:id="566" w:name="_Toc511817833"/>
      <w:bookmarkStart w:id="567" w:name="_Toc520280733"/>
      <w:bookmarkStart w:id="568" w:name="_Toc10536828"/>
      <w:bookmarkStart w:id="569" w:name="_Toc41905869"/>
      <w:bookmarkStart w:id="570" w:name="_Toc41906898"/>
      <w:bookmarkStart w:id="571" w:name="_Toc41907979"/>
      <w:bookmarkStart w:id="572" w:name="_Toc41908047"/>
      <w:bookmarkStart w:id="573" w:name="_Toc73518685"/>
      <w:bookmarkStart w:id="574" w:name="_Toc73518832"/>
      <w:bookmarkStart w:id="575" w:name="_Toc73519232"/>
      <w:bookmarkStart w:id="576" w:name="_Toc73636271"/>
      <w:r w:rsidRPr="000C156A">
        <w:rPr>
          <w:rFonts w:cs="Microsoft YaHei" w:hint="eastAsia"/>
          <w:sz w:val="24"/>
          <w:szCs w:val="24"/>
          <w:lang w:val="fr-FR" w:eastAsia="zh-CN"/>
        </w:rPr>
        <w:t>说明</w:t>
      </w:r>
      <w:r w:rsidRPr="000C156A">
        <w:rPr>
          <w:rFonts w:cs="Microsoft YaHei"/>
          <w:sz w:val="24"/>
          <w:szCs w:val="24"/>
          <w:lang w:eastAsia="zh-CN"/>
        </w:rPr>
        <w:t>8</w:t>
      </w:r>
      <w:r w:rsidRPr="000C156A">
        <w:rPr>
          <w:rFonts w:cs="Microsoft YaHei"/>
          <w:sz w:val="24"/>
          <w:szCs w:val="24"/>
          <w:lang w:eastAsia="zh-CN"/>
        </w:rPr>
        <w:tab/>
      </w:r>
      <w:bookmarkEnd w:id="561"/>
      <w:r w:rsidRPr="000C156A">
        <w:rPr>
          <w:rFonts w:cs="Microsoft YaHei" w:hint="eastAsia"/>
          <w:sz w:val="24"/>
          <w:szCs w:val="24"/>
          <w:lang w:val="fr-FR" w:eastAsia="zh-CN"/>
        </w:rPr>
        <w:t>应收款项</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59F187FC" w14:textId="77777777" w:rsidR="009D43C3" w:rsidRPr="000C156A" w:rsidRDefault="009D43C3" w:rsidP="009D43C3">
      <w:pPr>
        <w:ind w:firstLineChars="200" w:firstLine="480"/>
        <w:rPr>
          <w:lang w:eastAsia="zh-CN"/>
        </w:rPr>
      </w:pPr>
      <w:r w:rsidRPr="000C156A">
        <w:rPr>
          <w:rFonts w:hint="eastAsia"/>
          <w:lang w:eastAsia="zh-CN"/>
        </w:rPr>
        <w:t>应收款项为国际电联成员国、部门成员和部门准成员在年度会费、出版物购买、卫星网络申报或其它发票方面下承诺向国际电联支付但尚未被收取的收入。欠国际电联的会费数额自国际电联每一财政年度的第四个月始开始计算利息，头</w:t>
      </w:r>
      <w:r w:rsidRPr="000C156A">
        <w:rPr>
          <w:lang w:eastAsia="zh-CN"/>
        </w:rPr>
        <w:t>3</w:t>
      </w:r>
      <w:r w:rsidRPr="000C156A">
        <w:rPr>
          <w:rFonts w:hint="eastAsia"/>
          <w:lang w:eastAsia="zh-CN"/>
        </w:rPr>
        <w:t>个月年息为</w:t>
      </w:r>
      <w:r w:rsidRPr="000C156A">
        <w:rPr>
          <w:lang w:eastAsia="zh-CN"/>
        </w:rPr>
        <w:t>3%</w:t>
      </w:r>
      <w:r w:rsidRPr="000C156A">
        <w:rPr>
          <w:rFonts w:hint="eastAsia"/>
          <w:lang w:eastAsia="zh-CN"/>
        </w:rPr>
        <w:t>，自第七个月始年息为</w:t>
      </w:r>
      <w:r w:rsidRPr="000C156A">
        <w:rPr>
          <w:lang w:eastAsia="zh-CN"/>
        </w:rPr>
        <w:t>6%</w:t>
      </w:r>
      <w:r w:rsidRPr="000C156A">
        <w:rPr>
          <w:rFonts w:hint="eastAsia"/>
          <w:lang w:eastAsia="zh-CN"/>
        </w:rPr>
        <w:t>。</w:t>
      </w:r>
    </w:p>
    <w:p w14:paraId="21FAB31A" w14:textId="77777777" w:rsidR="009D43C3" w:rsidRPr="000C156A" w:rsidRDefault="009D43C3" w:rsidP="009D43C3">
      <w:pPr>
        <w:ind w:firstLineChars="200" w:firstLine="480"/>
        <w:rPr>
          <w:lang w:eastAsia="zh-CN"/>
        </w:rPr>
      </w:pPr>
      <w:r w:rsidRPr="000C156A">
        <w:rPr>
          <w:rFonts w:hint="eastAsia"/>
          <w:lang w:eastAsia="zh-CN"/>
        </w:rPr>
        <w:t>非流动性、非兑换应收款项为成员承诺按照债务还款时间表（在涵盖若干时期的协议框架范围内）进行债务偿还的应收款项。</w:t>
      </w:r>
    </w:p>
    <w:p w14:paraId="29B5BD25" w14:textId="77777777" w:rsidR="009D43C3" w:rsidRPr="000C156A" w:rsidRDefault="009D43C3" w:rsidP="009D43C3">
      <w:pPr>
        <w:spacing w:after="120"/>
        <w:ind w:firstLineChars="200" w:firstLine="480"/>
        <w:rPr>
          <w:lang w:eastAsia="zh-CN"/>
        </w:rPr>
      </w:pPr>
      <w:r w:rsidRPr="000C156A">
        <w:rPr>
          <w:rFonts w:hint="eastAsia"/>
          <w:lang w:eastAsia="zh-CN"/>
        </w:rPr>
        <w:t>其它应收款项为与电信展览部服务和自愿捐款相关的、尚未收取的收入。</w:t>
      </w:r>
    </w:p>
    <w:p w14:paraId="3C25FFF8" w14:textId="77777777" w:rsidR="009D43C3" w:rsidRPr="000C156A" w:rsidRDefault="009D43C3" w:rsidP="009D43C3">
      <w:pPr>
        <w:spacing w:after="120"/>
        <w:ind w:firstLineChars="200" w:firstLine="480"/>
        <w:rPr>
          <w:lang w:eastAsia="zh-CN"/>
        </w:rPr>
      </w:pPr>
      <w:r w:rsidRPr="000C156A">
        <w:rPr>
          <w:rFonts w:hint="eastAsia"/>
          <w:lang w:eastAsia="zh-CN"/>
        </w:rPr>
        <w:t>值得强调的一点是，</w:t>
      </w:r>
      <w:r w:rsidRPr="000C156A">
        <w:rPr>
          <w:lang w:eastAsia="zh-CN"/>
        </w:rPr>
        <w:t>IPSAS</w:t>
      </w:r>
      <w:r w:rsidRPr="000C156A">
        <w:rPr>
          <w:rFonts w:hint="eastAsia"/>
          <w:lang w:eastAsia="zh-CN"/>
        </w:rPr>
        <w:t>的落实使所有欠款、欠款专账和取消的欠款专账的提留达</w:t>
      </w:r>
      <w:r w:rsidRPr="000C156A">
        <w:rPr>
          <w:lang w:eastAsia="zh-CN"/>
        </w:rPr>
        <w:t>100%</w:t>
      </w:r>
      <w:r w:rsidRPr="000C156A">
        <w:rPr>
          <w:rFonts w:hint="eastAsia"/>
          <w:lang w:eastAsia="zh-CN"/>
        </w:rPr>
        <w:t>。</w:t>
      </w:r>
    </w:p>
    <w:p w14:paraId="18D9AA88" w14:textId="77777777" w:rsidR="009D43C3" w:rsidRPr="000C156A" w:rsidRDefault="009D43C3" w:rsidP="009D43C3">
      <w:pPr>
        <w:ind w:firstLineChars="200" w:firstLine="480"/>
        <w:rPr>
          <w:rFonts w:cs="Calibri"/>
          <w:b/>
          <w:color w:val="800000"/>
          <w:sz w:val="22"/>
          <w:lang w:val="en-US" w:eastAsia="zh-CN"/>
        </w:rPr>
      </w:pPr>
      <w:bookmarkStart w:id="577" w:name="_Hlk40424775"/>
      <w:r w:rsidRPr="000C156A">
        <w:rPr>
          <w:rFonts w:hint="eastAsia"/>
          <w:lang w:eastAsia="zh-CN"/>
        </w:rPr>
        <w:t>在收到</w:t>
      </w:r>
      <w:r w:rsidRPr="000C156A">
        <w:rPr>
          <w:rFonts w:hint="eastAsia"/>
          <w:lang w:eastAsia="zh-CN"/>
        </w:rPr>
        <w:t>170</w:t>
      </w:r>
      <w:r w:rsidRPr="000C156A">
        <w:rPr>
          <w:rFonts w:hint="eastAsia"/>
          <w:lang w:eastAsia="zh-CN"/>
        </w:rPr>
        <w:t>万瑞郎的应收账（为此已在过去若干年中提供了准备金）之后，疑似债务准备金的数额相应下降。年底记录的正常预算相关疑似债务的准备金调整为</w:t>
      </w:r>
      <w:r w:rsidRPr="000C156A">
        <w:rPr>
          <w:rFonts w:hint="eastAsia"/>
          <w:lang w:eastAsia="zh-CN"/>
        </w:rPr>
        <w:t>280</w:t>
      </w:r>
      <w:r w:rsidRPr="000C156A">
        <w:rPr>
          <w:rFonts w:hint="eastAsia"/>
          <w:lang w:eastAsia="zh-CN"/>
        </w:rPr>
        <w:t>万瑞郎。</w:t>
      </w:r>
    </w:p>
    <w:bookmarkEnd w:id="577"/>
    <w:p w14:paraId="716FEA49" w14:textId="77777777" w:rsidR="009D43C3" w:rsidRPr="000C156A" w:rsidRDefault="009D43C3" w:rsidP="009D43C3">
      <w:pPr>
        <w:spacing w:after="120"/>
        <w:ind w:firstLineChars="200" w:firstLine="480"/>
        <w:rPr>
          <w:lang w:eastAsia="zh-CN"/>
        </w:rPr>
      </w:pPr>
      <w:r w:rsidRPr="000C156A">
        <w:rPr>
          <w:rFonts w:hint="eastAsia"/>
          <w:lang w:eastAsia="zh-CN"/>
        </w:rPr>
        <w:t>主要指标表明，虽然其</w:t>
      </w:r>
      <w:r w:rsidRPr="000C156A">
        <w:rPr>
          <w:rFonts w:hint="eastAsia"/>
          <w:lang w:eastAsia="zh-CN"/>
        </w:rPr>
        <w:t>2020</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日债务方</w:t>
      </w:r>
      <w:r w:rsidRPr="000C156A">
        <w:rPr>
          <w:lang w:eastAsia="zh-CN"/>
        </w:rPr>
        <w:t>12</w:t>
      </w:r>
      <w:r w:rsidRPr="000C156A">
        <w:rPr>
          <w:rFonts w:hint="eastAsia"/>
          <w:lang w:eastAsia="zh-CN"/>
        </w:rPr>
        <w:t>个月或更长时间未偿债务（拖欠会费、欠款专账和取消的欠款专账）达</w:t>
      </w:r>
      <w:r w:rsidRPr="000C156A">
        <w:rPr>
          <w:rFonts w:hint="eastAsia"/>
          <w:lang w:eastAsia="zh-CN"/>
        </w:rPr>
        <w:t>4</w:t>
      </w:r>
      <w:r w:rsidRPr="000C156A">
        <w:rPr>
          <w:lang w:eastAsia="zh-CN"/>
        </w:rPr>
        <w:t xml:space="preserve"> </w:t>
      </w:r>
      <w:r w:rsidRPr="000C156A">
        <w:rPr>
          <w:rFonts w:hint="eastAsia"/>
          <w:lang w:eastAsia="zh-CN"/>
        </w:rPr>
        <w:t>057</w:t>
      </w:r>
      <w:r w:rsidRPr="000C156A">
        <w:rPr>
          <w:rFonts w:hint="eastAsia"/>
          <w:lang w:eastAsia="zh-CN"/>
        </w:rPr>
        <w:t>万瑞郎（</w:t>
      </w:r>
      <w:r w:rsidRPr="000C156A">
        <w:rPr>
          <w:lang w:eastAsia="zh-CN"/>
        </w:rPr>
        <w:t>201</w:t>
      </w:r>
      <w:r w:rsidRPr="000C156A">
        <w:rPr>
          <w:rFonts w:hint="eastAsia"/>
          <w:lang w:eastAsia="zh-CN"/>
        </w:rPr>
        <w:t>9</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日为</w:t>
      </w:r>
      <w:r w:rsidRPr="000C156A">
        <w:rPr>
          <w:rFonts w:hint="eastAsia"/>
          <w:lang w:eastAsia="zh-CN"/>
        </w:rPr>
        <w:t>3</w:t>
      </w:r>
      <w:r w:rsidRPr="000C156A">
        <w:rPr>
          <w:lang w:eastAsia="zh-CN"/>
        </w:rPr>
        <w:t xml:space="preserve"> </w:t>
      </w:r>
      <w:r w:rsidRPr="000C156A">
        <w:rPr>
          <w:rFonts w:hint="eastAsia"/>
          <w:lang w:eastAsia="zh-CN"/>
        </w:rPr>
        <w:t>980</w:t>
      </w:r>
      <w:r w:rsidRPr="000C156A">
        <w:rPr>
          <w:rFonts w:hint="eastAsia"/>
          <w:lang w:eastAsia="zh-CN"/>
        </w:rPr>
        <w:t>万瑞郎），国际电联的即期财务状况是健康的。</w:t>
      </w:r>
    </w:p>
    <w:p w14:paraId="6D7BEC47" w14:textId="1F8C4153" w:rsidR="009D43C3" w:rsidRPr="000C156A" w:rsidRDefault="009D43C3" w:rsidP="00C94A15">
      <w:pPr>
        <w:ind w:firstLineChars="200" w:firstLine="480"/>
        <w:jc w:val="both"/>
        <w:rPr>
          <w:lang w:eastAsia="zh-CN"/>
        </w:rPr>
      </w:pPr>
      <w:bookmarkStart w:id="578" w:name="_Hlk70588991"/>
      <w:r w:rsidRPr="000C156A">
        <w:rPr>
          <w:rFonts w:hint="eastAsia"/>
          <w:lang w:eastAsia="zh-CN"/>
        </w:rPr>
        <w:t>疫情流行</w:t>
      </w:r>
      <w:r w:rsidRPr="000C156A">
        <w:rPr>
          <w:lang w:eastAsia="zh-CN"/>
        </w:rPr>
        <w:t>的直接后果是，</w:t>
      </w:r>
      <w:r w:rsidRPr="000C156A">
        <w:rPr>
          <w:rFonts w:hint="eastAsia"/>
          <w:color w:val="000000"/>
          <w:lang w:eastAsia="zh-CN"/>
        </w:rPr>
        <w:t>对应收分摊会费备抵没有额外的重大影响。成员国积极缴纳未缴会费，</w:t>
      </w:r>
      <w:r w:rsidRPr="000C156A">
        <w:rPr>
          <w:rFonts w:hint="eastAsia"/>
          <w:color w:val="000000"/>
          <w:lang w:eastAsia="zh-CN"/>
        </w:rPr>
        <w:t>2020</w:t>
      </w:r>
      <w:r w:rsidRPr="000C156A">
        <w:rPr>
          <w:rFonts w:hint="eastAsia"/>
          <w:color w:val="000000"/>
          <w:lang w:eastAsia="zh-CN"/>
        </w:rPr>
        <w:t>年收款率为</w:t>
      </w:r>
      <w:r w:rsidRPr="000C156A">
        <w:rPr>
          <w:rFonts w:hint="eastAsia"/>
          <w:color w:val="000000"/>
          <w:lang w:eastAsia="zh-CN"/>
        </w:rPr>
        <w:t>95%</w:t>
      </w:r>
      <w:r w:rsidRPr="000C156A">
        <w:rPr>
          <w:rFonts w:hint="eastAsia"/>
          <w:color w:val="000000"/>
          <w:lang w:eastAsia="zh-CN"/>
        </w:rPr>
        <w:t>，与往年持平。</w:t>
      </w:r>
      <w:bookmarkEnd w:id="578"/>
    </w:p>
    <w:p w14:paraId="5363C80F" w14:textId="77777777" w:rsidR="001D2112" w:rsidRPr="000C156A" w:rsidRDefault="001D2112" w:rsidP="00C94A15">
      <w:pPr>
        <w:spacing w:after="240"/>
        <w:ind w:firstLineChars="200" w:firstLine="480"/>
        <w:jc w:val="both"/>
        <w:rPr>
          <w:rFonts w:cs="Microsoft YaHei"/>
          <w:lang w:eastAsia="zh-CN"/>
        </w:rPr>
      </w:pPr>
      <w:r w:rsidRPr="000C156A">
        <w:rPr>
          <w:rFonts w:cs="Microsoft YaHei"/>
          <w:lang w:eastAsia="zh-CN"/>
        </w:rPr>
        <w:br w:type="page"/>
      </w:r>
    </w:p>
    <w:p w14:paraId="46244013" w14:textId="6FF63533" w:rsidR="009D43C3" w:rsidRPr="000C156A" w:rsidRDefault="009D43C3" w:rsidP="00C94A15">
      <w:pPr>
        <w:spacing w:after="240"/>
        <w:ind w:firstLineChars="200" w:firstLine="480"/>
        <w:jc w:val="both"/>
        <w:rPr>
          <w:rFonts w:cs="Microsoft YaHei"/>
          <w:lang w:eastAsia="zh-CN"/>
        </w:rPr>
      </w:pPr>
      <w:r w:rsidRPr="000C156A">
        <w:rPr>
          <w:rFonts w:cs="Microsoft YaHei" w:hint="eastAsia"/>
          <w:lang w:eastAsia="zh-CN"/>
        </w:rPr>
        <w:lastRenderedPageBreak/>
        <w:t>本文件附件</w:t>
      </w:r>
      <w:r w:rsidRPr="000C156A">
        <w:rPr>
          <w:lang w:eastAsia="zh-CN"/>
        </w:rPr>
        <w:t>C</w:t>
      </w:r>
      <w:r w:rsidRPr="000C156A">
        <w:rPr>
          <w:rFonts w:cs="Microsoft YaHei" w:hint="eastAsia"/>
          <w:lang w:eastAsia="zh-CN"/>
        </w:rPr>
        <w:t>显示了截至</w:t>
      </w:r>
      <w:r w:rsidRPr="000C156A">
        <w:rPr>
          <w:lang w:eastAsia="zh-CN"/>
        </w:rPr>
        <w:t>20</w:t>
      </w:r>
      <w:r w:rsidRPr="000C156A">
        <w:rPr>
          <w:rFonts w:hint="eastAsia"/>
          <w:lang w:eastAsia="zh-CN"/>
        </w:rPr>
        <w:t>20</w:t>
      </w:r>
      <w:r w:rsidRPr="000C156A">
        <w:rPr>
          <w:rFonts w:cs="Microsoft YaHei" w:hint="eastAsia"/>
          <w:lang w:eastAsia="zh-CN"/>
        </w:rPr>
        <w:t>年</w:t>
      </w:r>
      <w:r w:rsidRPr="000C156A">
        <w:rPr>
          <w:lang w:eastAsia="zh-CN"/>
        </w:rPr>
        <w:t>12</w:t>
      </w:r>
      <w:r w:rsidRPr="000C156A">
        <w:rPr>
          <w:rFonts w:cs="Microsoft YaHei" w:hint="eastAsia"/>
          <w:lang w:eastAsia="zh-CN"/>
        </w:rPr>
        <w:t>月</w:t>
      </w:r>
      <w:r w:rsidRPr="000C156A">
        <w:rPr>
          <w:lang w:eastAsia="zh-CN"/>
        </w:rPr>
        <w:t>31</w:t>
      </w:r>
      <w:r w:rsidRPr="000C156A">
        <w:rPr>
          <w:rFonts w:cs="Microsoft YaHei" w:hint="eastAsia"/>
          <w:lang w:eastAsia="zh-CN"/>
        </w:rPr>
        <w:t>日国际电联正常预算的欠款状况。</w:t>
      </w:r>
    </w:p>
    <w:tbl>
      <w:tblPr>
        <w:tblW w:w="9574" w:type="dxa"/>
        <w:jc w:val="center"/>
        <w:tblLayout w:type="fixed"/>
        <w:tblLook w:val="04A0" w:firstRow="1" w:lastRow="0" w:firstColumn="1" w:lastColumn="0" w:noHBand="0" w:noVBand="1"/>
      </w:tblPr>
      <w:tblGrid>
        <w:gridCol w:w="5641"/>
        <w:gridCol w:w="2133"/>
        <w:gridCol w:w="1800"/>
      </w:tblGrid>
      <w:tr w:rsidR="009D43C3" w:rsidRPr="000C156A" w14:paraId="69AC33E4" w14:textId="77777777" w:rsidTr="005D02F0">
        <w:trPr>
          <w:jc w:val="center"/>
        </w:trPr>
        <w:tc>
          <w:tcPr>
            <w:tcW w:w="5641" w:type="dxa"/>
            <w:tcBorders>
              <w:top w:val="single" w:sz="4" w:space="0" w:color="auto"/>
              <w:left w:val="single" w:sz="4" w:space="0" w:color="auto"/>
              <w:bottom w:val="single" w:sz="4" w:space="0" w:color="auto"/>
              <w:right w:val="single" w:sz="4" w:space="0" w:color="auto"/>
            </w:tcBorders>
            <w:noWrap/>
            <w:vAlign w:val="center"/>
            <w:hideMark/>
          </w:tcPr>
          <w:p w14:paraId="77BB0279" w14:textId="77777777" w:rsidR="009D43C3" w:rsidRPr="000C156A" w:rsidRDefault="009D43C3" w:rsidP="005D02F0">
            <w:pPr>
              <w:pStyle w:val="Tablehead"/>
              <w:jc w:val="left"/>
              <w:rPr>
                <w:rFonts w:cs="Calibri"/>
                <w:szCs w:val="22"/>
                <w:lang w:val="en-US"/>
              </w:rPr>
            </w:pPr>
            <w:r w:rsidRPr="000C156A">
              <w:rPr>
                <w:rFonts w:cs="Calibri" w:hint="eastAsia"/>
                <w:szCs w:val="22"/>
                <w:lang w:val="en-US" w:eastAsia="fr-FR"/>
              </w:rPr>
              <w:t>单位：千瑞郎</w:t>
            </w:r>
          </w:p>
        </w:tc>
        <w:tc>
          <w:tcPr>
            <w:tcW w:w="2133" w:type="dxa"/>
            <w:tcBorders>
              <w:top w:val="single" w:sz="4" w:space="0" w:color="auto"/>
              <w:left w:val="nil"/>
              <w:bottom w:val="single" w:sz="4" w:space="0" w:color="auto"/>
              <w:right w:val="single" w:sz="4" w:space="0" w:color="auto"/>
            </w:tcBorders>
            <w:noWrap/>
            <w:vAlign w:val="center"/>
            <w:hideMark/>
          </w:tcPr>
          <w:p w14:paraId="5C5AD989" w14:textId="77777777" w:rsidR="009D43C3" w:rsidRPr="000C156A" w:rsidRDefault="009D43C3" w:rsidP="005D02F0">
            <w:pPr>
              <w:pStyle w:val="Tablehead"/>
              <w:rPr>
                <w:rFonts w:cs="Calibri"/>
                <w:szCs w:val="22"/>
                <w:lang w:val="en-US" w:eastAsia="zh-CN"/>
              </w:rPr>
            </w:pPr>
            <w:r w:rsidRPr="000C156A">
              <w:rPr>
                <w:rFonts w:cs="Calibri"/>
                <w:szCs w:val="22"/>
                <w:lang w:val="en-US" w:eastAsia="zh-CN"/>
              </w:rPr>
              <w:t>20</w:t>
            </w:r>
            <w:r w:rsidRPr="000C156A">
              <w:rPr>
                <w:rFonts w:cs="Calibri" w:hint="eastAsia"/>
                <w:szCs w:val="22"/>
                <w:lang w:val="en-US" w:eastAsia="zh-CN"/>
              </w:rPr>
              <w:t>20</w:t>
            </w:r>
            <w:r w:rsidRPr="000C156A">
              <w:rPr>
                <w:rFonts w:cs="Calibri" w:hint="eastAsia"/>
                <w:szCs w:val="22"/>
                <w:lang w:val="en-US" w:eastAsia="zh-CN"/>
              </w:rPr>
              <w:t>年</w:t>
            </w:r>
            <w:r w:rsidRPr="000C156A">
              <w:rPr>
                <w:rFonts w:cs="Calibri"/>
                <w:szCs w:val="22"/>
                <w:lang w:val="en-US" w:eastAsia="zh-CN"/>
              </w:rPr>
              <w:t>12</w:t>
            </w:r>
            <w:r w:rsidRPr="000C156A">
              <w:rPr>
                <w:rFonts w:cs="Calibri" w:hint="eastAsia"/>
                <w:szCs w:val="22"/>
                <w:lang w:val="en-US" w:eastAsia="zh-CN"/>
              </w:rPr>
              <w:t>月</w:t>
            </w:r>
            <w:r w:rsidRPr="000C156A">
              <w:rPr>
                <w:rFonts w:cs="Calibri"/>
                <w:szCs w:val="22"/>
                <w:lang w:val="en-US" w:eastAsia="zh-CN"/>
              </w:rPr>
              <w:t>31</w:t>
            </w:r>
            <w:r w:rsidRPr="000C156A">
              <w:rPr>
                <w:rFonts w:cs="Calibri" w:hint="eastAsia"/>
                <w:szCs w:val="22"/>
                <w:lang w:val="en-US" w:eastAsia="zh-CN"/>
              </w:rPr>
              <w:t>日</w:t>
            </w:r>
          </w:p>
        </w:tc>
        <w:tc>
          <w:tcPr>
            <w:tcW w:w="1800" w:type="dxa"/>
            <w:tcBorders>
              <w:top w:val="single" w:sz="4" w:space="0" w:color="auto"/>
              <w:left w:val="nil"/>
              <w:bottom w:val="single" w:sz="4" w:space="0" w:color="auto"/>
              <w:right w:val="single" w:sz="4" w:space="0" w:color="auto"/>
            </w:tcBorders>
            <w:vAlign w:val="center"/>
            <w:hideMark/>
          </w:tcPr>
          <w:p w14:paraId="24584718" w14:textId="77777777" w:rsidR="009D43C3" w:rsidRPr="000C156A" w:rsidRDefault="009D43C3" w:rsidP="005D02F0">
            <w:pPr>
              <w:pStyle w:val="Tablehead"/>
              <w:rPr>
                <w:rFonts w:cs="Calibri"/>
                <w:szCs w:val="22"/>
                <w:lang w:val="en-US" w:eastAsia="zh-CN"/>
              </w:rPr>
            </w:pPr>
            <w:r w:rsidRPr="000C156A">
              <w:rPr>
                <w:rFonts w:cs="Calibri"/>
                <w:szCs w:val="22"/>
                <w:lang w:val="en-US" w:eastAsia="zh-CN"/>
              </w:rPr>
              <w:t>201</w:t>
            </w:r>
            <w:r w:rsidRPr="000C156A">
              <w:rPr>
                <w:rFonts w:cs="Calibri" w:hint="eastAsia"/>
                <w:szCs w:val="22"/>
                <w:lang w:val="en-US" w:eastAsia="zh-CN"/>
              </w:rPr>
              <w:t>9</w:t>
            </w:r>
            <w:r w:rsidRPr="000C156A">
              <w:rPr>
                <w:rFonts w:cs="Calibri" w:hint="eastAsia"/>
                <w:szCs w:val="22"/>
                <w:lang w:val="en-US" w:eastAsia="zh-CN"/>
              </w:rPr>
              <w:t>年</w:t>
            </w:r>
            <w:r w:rsidRPr="000C156A">
              <w:rPr>
                <w:rFonts w:cs="Calibri"/>
                <w:szCs w:val="22"/>
                <w:lang w:val="en-US" w:eastAsia="zh-CN"/>
              </w:rPr>
              <w:t>12</w:t>
            </w:r>
            <w:r w:rsidRPr="000C156A">
              <w:rPr>
                <w:rFonts w:cs="Calibri" w:hint="eastAsia"/>
                <w:szCs w:val="22"/>
                <w:lang w:val="en-US" w:eastAsia="zh-CN"/>
              </w:rPr>
              <w:t>月</w:t>
            </w:r>
            <w:r w:rsidRPr="000C156A">
              <w:rPr>
                <w:rFonts w:cs="Calibri"/>
                <w:szCs w:val="22"/>
                <w:lang w:val="en-US" w:eastAsia="zh-CN"/>
              </w:rPr>
              <w:t>31</w:t>
            </w:r>
            <w:r w:rsidRPr="000C156A">
              <w:rPr>
                <w:rFonts w:cs="Calibri" w:hint="eastAsia"/>
                <w:szCs w:val="22"/>
                <w:lang w:val="en-US" w:eastAsia="zh-CN"/>
              </w:rPr>
              <w:t>日</w:t>
            </w:r>
          </w:p>
        </w:tc>
      </w:tr>
      <w:tr w:rsidR="009D43C3" w:rsidRPr="000C156A" w14:paraId="3D0A92D8" w14:textId="77777777" w:rsidTr="005D02F0">
        <w:trPr>
          <w:jc w:val="center"/>
        </w:trPr>
        <w:tc>
          <w:tcPr>
            <w:tcW w:w="5641" w:type="dxa"/>
            <w:tcBorders>
              <w:top w:val="nil"/>
              <w:left w:val="single" w:sz="4" w:space="0" w:color="auto"/>
              <w:bottom w:val="nil"/>
              <w:right w:val="single" w:sz="4" w:space="0" w:color="auto"/>
            </w:tcBorders>
            <w:noWrap/>
            <w:vAlign w:val="bottom"/>
            <w:hideMark/>
          </w:tcPr>
          <w:p w14:paraId="0E4F994F" w14:textId="77777777" w:rsidR="009D43C3" w:rsidRPr="000C156A" w:rsidRDefault="009D43C3" w:rsidP="00E13DC3">
            <w:pPr>
              <w:pStyle w:val="Tabletext"/>
              <w:keepNext/>
              <w:keepLines/>
              <w:spacing w:before="40" w:after="40"/>
              <w:rPr>
                <w:rFonts w:cs="Calibri"/>
                <w:b/>
                <w:szCs w:val="22"/>
                <w:lang w:val="en-US" w:eastAsia="zh-CN"/>
              </w:rPr>
            </w:pPr>
            <w:r w:rsidRPr="000C156A">
              <w:rPr>
                <w:rFonts w:cs="Calibri" w:hint="eastAsia"/>
                <w:szCs w:val="22"/>
                <w:lang w:val="en-US" w:eastAsia="zh-CN"/>
              </w:rPr>
              <w:t>当期应收款项</w:t>
            </w:r>
            <w:r w:rsidRPr="000C156A">
              <w:rPr>
                <w:rFonts w:cs="Calibri"/>
                <w:szCs w:val="22"/>
                <w:lang w:val="en-US" w:eastAsia="zh-CN"/>
              </w:rPr>
              <w:t> – </w:t>
            </w:r>
            <w:r w:rsidRPr="000C156A">
              <w:rPr>
                <w:rFonts w:cs="Calibri" w:hint="eastAsia"/>
                <w:szCs w:val="22"/>
                <w:lang w:val="en-US" w:eastAsia="zh-CN"/>
              </w:rPr>
              <w:t>兑换交易</w:t>
            </w:r>
          </w:p>
        </w:tc>
        <w:tc>
          <w:tcPr>
            <w:tcW w:w="2133" w:type="dxa"/>
            <w:tcBorders>
              <w:top w:val="nil"/>
              <w:left w:val="single" w:sz="4" w:space="0" w:color="auto"/>
              <w:bottom w:val="nil"/>
              <w:right w:val="single" w:sz="4" w:space="0" w:color="auto"/>
            </w:tcBorders>
            <w:shd w:val="clear" w:color="auto" w:fill="auto"/>
            <w:noWrap/>
            <w:vAlign w:val="bottom"/>
            <w:hideMark/>
          </w:tcPr>
          <w:p w14:paraId="1EB91942" w14:textId="6A12E532" w:rsidR="009D43C3" w:rsidRPr="000C156A" w:rsidRDefault="009D43C3" w:rsidP="001D2112">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9</w:t>
            </w:r>
            <w:r w:rsidR="001D2112"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571</w:t>
            </w:r>
          </w:p>
        </w:tc>
        <w:tc>
          <w:tcPr>
            <w:tcW w:w="1800" w:type="dxa"/>
            <w:tcBorders>
              <w:top w:val="nil"/>
              <w:left w:val="nil"/>
              <w:bottom w:val="nil"/>
              <w:right w:val="single" w:sz="4" w:space="0" w:color="auto"/>
            </w:tcBorders>
            <w:shd w:val="clear" w:color="auto" w:fill="auto"/>
            <w:noWrap/>
            <w:vAlign w:val="bottom"/>
            <w:hideMark/>
          </w:tcPr>
          <w:p w14:paraId="3E0ABD3D" w14:textId="4C673168"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7</w:t>
            </w:r>
            <w:r w:rsidR="001D2112"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518</w:t>
            </w:r>
          </w:p>
        </w:tc>
      </w:tr>
      <w:tr w:rsidR="009D43C3" w:rsidRPr="000C156A" w14:paraId="28355771" w14:textId="77777777" w:rsidTr="005D02F0">
        <w:trPr>
          <w:jc w:val="center"/>
        </w:trPr>
        <w:tc>
          <w:tcPr>
            <w:tcW w:w="5641" w:type="dxa"/>
            <w:tcBorders>
              <w:top w:val="nil"/>
              <w:left w:val="single" w:sz="4" w:space="0" w:color="auto"/>
              <w:right w:val="single" w:sz="4" w:space="0" w:color="auto"/>
            </w:tcBorders>
            <w:noWrap/>
            <w:vAlign w:val="bottom"/>
            <w:hideMark/>
          </w:tcPr>
          <w:p w14:paraId="59B03F76" w14:textId="77777777" w:rsidR="009D43C3" w:rsidRPr="000C156A" w:rsidRDefault="009D43C3" w:rsidP="00E13DC3">
            <w:pPr>
              <w:pStyle w:val="Tabletext"/>
              <w:keepNext/>
              <w:keepLines/>
              <w:spacing w:before="40" w:after="40"/>
              <w:rPr>
                <w:rFonts w:cs="Calibri"/>
                <w:b/>
                <w:szCs w:val="22"/>
                <w:lang w:val="en-US" w:eastAsia="zh-CN"/>
              </w:rPr>
            </w:pPr>
            <w:r w:rsidRPr="000C156A">
              <w:rPr>
                <w:rFonts w:cs="Calibri" w:hint="eastAsia"/>
                <w:szCs w:val="22"/>
                <w:lang w:val="en-US" w:eastAsia="zh-CN"/>
              </w:rPr>
              <w:t>当期应收款项</w:t>
            </w:r>
            <w:r w:rsidRPr="000C156A">
              <w:rPr>
                <w:rFonts w:cs="Calibri"/>
                <w:szCs w:val="22"/>
                <w:lang w:val="en-US" w:eastAsia="zh-CN"/>
              </w:rPr>
              <w:t> – </w:t>
            </w:r>
            <w:r w:rsidRPr="000C156A">
              <w:rPr>
                <w:rFonts w:cs="Calibri" w:hint="eastAsia"/>
                <w:szCs w:val="22"/>
                <w:lang w:val="en-US" w:eastAsia="zh-CN"/>
              </w:rPr>
              <w:t>兑换交易：损失准备金</w:t>
            </w:r>
          </w:p>
        </w:tc>
        <w:tc>
          <w:tcPr>
            <w:tcW w:w="2133" w:type="dxa"/>
            <w:tcBorders>
              <w:top w:val="nil"/>
              <w:left w:val="single" w:sz="4" w:space="0" w:color="auto"/>
              <w:bottom w:val="nil"/>
              <w:right w:val="single" w:sz="4" w:space="0" w:color="auto"/>
            </w:tcBorders>
            <w:shd w:val="clear" w:color="auto" w:fill="auto"/>
            <w:noWrap/>
            <w:vAlign w:val="bottom"/>
            <w:hideMark/>
          </w:tcPr>
          <w:p w14:paraId="597F6749" w14:textId="6032098E"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w:t>
            </w:r>
            <w:r w:rsidR="001D2112"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090</w:t>
            </w:r>
          </w:p>
        </w:tc>
        <w:tc>
          <w:tcPr>
            <w:tcW w:w="1800" w:type="dxa"/>
            <w:tcBorders>
              <w:top w:val="nil"/>
              <w:left w:val="nil"/>
              <w:bottom w:val="nil"/>
              <w:right w:val="single" w:sz="4" w:space="0" w:color="auto"/>
            </w:tcBorders>
            <w:shd w:val="clear" w:color="auto" w:fill="auto"/>
            <w:noWrap/>
            <w:vAlign w:val="bottom"/>
            <w:hideMark/>
          </w:tcPr>
          <w:p w14:paraId="07AA380F" w14:textId="680FE6E8"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w:t>
            </w:r>
            <w:r w:rsidR="001D2112"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046</w:t>
            </w:r>
          </w:p>
        </w:tc>
      </w:tr>
      <w:tr w:rsidR="009D43C3" w:rsidRPr="000C156A" w14:paraId="440853CF" w14:textId="77777777" w:rsidTr="005D02F0">
        <w:trPr>
          <w:jc w:val="center"/>
        </w:trPr>
        <w:tc>
          <w:tcPr>
            <w:tcW w:w="5641" w:type="dxa"/>
            <w:tcBorders>
              <w:top w:val="nil"/>
              <w:left w:val="single" w:sz="4" w:space="0" w:color="auto"/>
              <w:bottom w:val="single" w:sz="4" w:space="0" w:color="auto"/>
              <w:right w:val="single" w:sz="4" w:space="0" w:color="auto"/>
            </w:tcBorders>
            <w:noWrap/>
            <w:vAlign w:val="center"/>
          </w:tcPr>
          <w:p w14:paraId="2168422D" w14:textId="77777777" w:rsidR="009D43C3" w:rsidRPr="000C156A" w:rsidRDefault="009D43C3" w:rsidP="005D02F0">
            <w:pPr>
              <w:pStyle w:val="Tabletext"/>
              <w:spacing w:before="0" w:after="0"/>
              <w:rPr>
                <w:rFonts w:cs="Calibri"/>
                <w:szCs w:val="22"/>
                <w:lang w:val="en-US" w:eastAsia="zh-CN"/>
              </w:rPr>
            </w:pPr>
          </w:p>
        </w:tc>
        <w:tc>
          <w:tcPr>
            <w:tcW w:w="2133" w:type="dxa"/>
            <w:tcBorders>
              <w:top w:val="nil"/>
              <w:left w:val="single" w:sz="4" w:space="0" w:color="auto"/>
              <w:bottom w:val="nil"/>
              <w:right w:val="single" w:sz="4" w:space="0" w:color="auto"/>
            </w:tcBorders>
            <w:shd w:val="clear" w:color="auto" w:fill="auto"/>
            <w:noWrap/>
            <w:vAlign w:val="center"/>
          </w:tcPr>
          <w:p w14:paraId="37BF6DB3" w14:textId="77777777" w:rsidR="009D43C3" w:rsidRPr="000C156A" w:rsidRDefault="009D43C3" w:rsidP="005D02F0">
            <w:pPr>
              <w:overflowPunct/>
              <w:autoSpaceDE/>
              <w:autoSpaceDN/>
              <w:adjustRightInd/>
              <w:spacing w:before="0"/>
              <w:jc w:val="right"/>
              <w:textAlignment w:val="auto"/>
              <w:rPr>
                <w:rFonts w:asciiTheme="minorHAnsi" w:hAnsiTheme="minorHAnsi" w:cs="Arial"/>
                <w:b/>
                <w:bCs/>
                <w:color w:val="000000"/>
                <w:sz w:val="22"/>
                <w:szCs w:val="22"/>
                <w:lang w:val="en-US" w:eastAsia="zh-CN"/>
              </w:rPr>
            </w:pPr>
          </w:p>
        </w:tc>
        <w:tc>
          <w:tcPr>
            <w:tcW w:w="1800" w:type="dxa"/>
            <w:tcBorders>
              <w:top w:val="nil"/>
              <w:left w:val="nil"/>
              <w:bottom w:val="nil"/>
              <w:right w:val="single" w:sz="4" w:space="0" w:color="auto"/>
            </w:tcBorders>
            <w:shd w:val="clear" w:color="auto" w:fill="auto"/>
            <w:noWrap/>
            <w:vAlign w:val="center"/>
          </w:tcPr>
          <w:p w14:paraId="45E02C17" w14:textId="77777777" w:rsidR="009D43C3" w:rsidRPr="000C156A" w:rsidRDefault="009D43C3" w:rsidP="005D02F0">
            <w:pPr>
              <w:overflowPunct/>
              <w:autoSpaceDE/>
              <w:autoSpaceDN/>
              <w:adjustRightInd/>
              <w:spacing w:before="0"/>
              <w:jc w:val="right"/>
              <w:textAlignment w:val="auto"/>
              <w:rPr>
                <w:rFonts w:asciiTheme="minorHAnsi" w:hAnsiTheme="minorHAnsi" w:cs="Arial"/>
                <w:b/>
                <w:bCs/>
                <w:color w:val="000000"/>
                <w:sz w:val="22"/>
                <w:szCs w:val="22"/>
                <w:lang w:val="en-US" w:eastAsia="zh-CN"/>
              </w:rPr>
            </w:pPr>
          </w:p>
        </w:tc>
      </w:tr>
      <w:tr w:rsidR="009D43C3" w:rsidRPr="000C156A" w14:paraId="52C5C3C9" w14:textId="77777777" w:rsidTr="005D02F0">
        <w:trPr>
          <w:jc w:val="center"/>
        </w:trPr>
        <w:tc>
          <w:tcPr>
            <w:tcW w:w="5641" w:type="dxa"/>
            <w:tcBorders>
              <w:top w:val="single" w:sz="4" w:space="0" w:color="auto"/>
              <w:left w:val="single" w:sz="4" w:space="0" w:color="auto"/>
              <w:bottom w:val="single" w:sz="4" w:space="0" w:color="auto"/>
              <w:right w:val="single" w:sz="4" w:space="0" w:color="auto"/>
            </w:tcBorders>
            <w:noWrap/>
            <w:vAlign w:val="bottom"/>
            <w:hideMark/>
          </w:tcPr>
          <w:p w14:paraId="0E8403CB" w14:textId="77777777" w:rsidR="009D43C3" w:rsidRPr="000C156A" w:rsidRDefault="009D43C3" w:rsidP="00E13DC3">
            <w:pPr>
              <w:pStyle w:val="Tablehead"/>
              <w:keepNext/>
              <w:keepLines/>
              <w:spacing w:before="40" w:after="40"/>
              <w:jc w:val="left"/>
              <w:rPr>
                <w:rFonts w:cs="Calibri"/>
                <w:b w:val="0"/>
                <w:szCs w:val="22"/>
                <w:lang w:val="en-US" w:eastAsia="zh-CN"/>
              </w:rPr>
            </w:pPr>
            <w:r w:rsidRPr="000C156A">
              <w:rPr>
                <w:rFonts w:cs="Calibri" w:hint="eastAsia"/>
                <w:bCs/>
                <w:szCs w:val="22"/>
                <w:lang w:val="en-US" w:eastAsia="zh-CN"/>
              </w:rPr>
              <w:t>当期应收款项</w:t>
            </w:r>
            <w:r w:rsidRPr="000C156A">
              <w:rPr>
                <w:rFonts w:cs="Calibri"/>
                <w:bCs/>
                <w:szCs w:val="22"/>
                <w:lang w:val="en-US" w:eastAsia="zh-CN"/>
              </w:rPr>
              <w:t> </w:t>
            </w:r>
            <w:r w:rsidRPr="000C156A">
              <w:rPr>
                <w:rFonts w:cs="Calibri"/>
                <w:szCs w:val="22"/>
                <w:lang w:val="en-US" w:eastAsia="zh-CN"/>
              </w:rPr>
              <w:t>– </w:t>
            </w:r>
            <w:r w:rsidRPr="000C156A">
              <w:rPr>
                <w:rFonts w:cs="Calibri" w:hint="eastAsia"/>
                <w:bCs/>
                <w:szCs w:val="22"/>
                <w:lang w:val="en-US" w:eastAsia="zh-CN"/>
              </w:rPr>
              <w:t>兑换交易：净值</w:t>
            </w: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432E" w14:textId="462E3FDB" w:rsidR="009D43C3" w:rsidRPr="000C156A" w:rsidRDefault="009D43C3" w:rsidP="005D02F0">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8</w:t>
            </w:r>
            <w:r w:rsidR="001D2112" w:rsidRPr="000C156A">
              <w:rPr>
                <w:rFonts w:asciiTheme="minorHAnsi" w:hAnsiTheme="minorHAnsi" w:cs="Arial"/>
                <w:b/>
                <w:bCs/>
                <w:color w:val="000000"/>
                <w:sz w:val="22"/>
                <w:szCs w:val="22"/>
                <w:lang w:val="en-US" w:eastAsia="zh-CN"/>
              </w:rPr>
              <w:t xml:space="preserve"> </w:t>
            </w:r>
            <w:r w:rsidRPr="000C156A">
              <w:rPr>
                <w:rFonts w:asciiTheme="minorHAnsi" w:hAnsiTheme="minorHAnsi" w:cs="Arial"/>
                <w:b/>
                <w:bCs/>
                <w:color w:val="000000"/>
                <w:sz w:val="22"/>
                <w:szCs w:val="22"/>
                <w:lang w:val="en-US" w:eastAsia="zh-CN"/>
              </w:rPr>
              <w:t>4811</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7B284401" w14:textId="026D93CA" w:rsidR="009D43C3" w:rsidRPr="000C156A" w:rsidRDefault="009D43C3" w:rsidP="005D02F0">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6</w:t>
            </w:r>
            <w:r w:rsidR="001D2112" w:rsidRPr="000C156A">
              <w:rPr>
                <w:rFonts w:asciiTheme="minorHAnsi" w:hAnsiTheme="minorHAnsi" w:cs="Arial"/>
                <w:b/>
                <w:bCs/>
                <w:color w:val="000000"/>
                <w:sz w:val="22"/>
                <w:szCs w:val="22"/>
                <w:lang w:val="en-US" w:eastAsia="zh-CN"/>
              </w:rPr>
              <w:t xml:space="preserve"> </w:t>
            </w:r>
            <w:r w:rsidRPr="000C156A">
              <w:rPr>
                <w:rFonts w:asciiTheme="minorHAnsi" w:hAnsiTheme="minorHAnsi" w:cs="Arial"/>
                <w:b/>
                <w:bCs/>
                <w:color w:val="000000"/>
                <w:sz w:val="22"/>
                <w:szCs w:val="22"/>
                <w:lang w:val="en-US" w:eastAsia="zh-CN"/>
              </w:rPr>
              <w:t>471</w:t>
            </w:r>
          </w:p>
        </w:tc>
      </w:tr>
      <w:tr w:rsidR="009D43C3" w:rsidRPr="000C156A" w14:paraId="25B8A61B" w14:textId="77777777" w:rsidTr="005D02F0">
        <w:trPr>
          <w:jc w:val="center"/>
        </w:trPr>
        <w:tc>
          <w:tcPr>
            <w:tcW w:w="5641" w:type="dxa"/>
            <w:tcBorders>
              <w:top w:val="single" w:sz="4" w:space="0" w:color="auto"/>
              <w:left w:val="single" w:sz="4" w:space="0" w:color="auto"/>
              <w:bottom w:val="nil"/>
              <w:right w:val="single" w:sz="4" w:space="0" w:color="auto"/>
            </w:tcBorders>
            <w:noWrap/>
            <w:vAlign w:val="bottom"/>
            <w:hideMark/>
          </w:tcPr>
          <w:p w14:paraId="07F4E5BE" w14:textId="77777777" w:rsidR="009D43C3" w:rsidRPr="000C156A" w:rsidRDefault="009D43C3" w:rsidP="00E13DC3">
            <w:pPr>
              <w:pStyle w:val="Tabletext"/>
              <w:keepNext/>
              <w:keepLines/>
              <w:spacing w:before="40" w:after="40"/>
              <w:rPr>
                <w:rFonts w:cs="Calibri"/>
                <w:b/>
                <w:szCs w:val="22"/>
                <w:lang w:eastAsia="zh-CN"/>
              </w:rPr>
            </w:pPr>
            <w:r w:rsidRPr="000C156A">
              <w:rPr>
                <w:rFonts w:cs="Calibri" w:hint="eastAsia"/>
                <w:szCs w:val="22"/>
                <w:lang w:val="fr-CH" w:eastAsia="zh-CN"/>
              </w:rPr>
              <w:t>当期应收款项</w:t>
            </w:r>
            <w:r w:rsidRPr="000C156A">
              <w:rPr>
                <w:rFonts w:cs="Calibri"/>
                <w:szCs w:val="22"/>
                <w:lang w:val="en-US" w:eastAsia="zh-CN"/>
              </w:rPr>
              <w:t> – </w:t>
            </w:r>
            <w:r w:rsidRPr="000C156A">
              <w:rPr>
                <w:rFonts w:cs="Calibri" w:hint="eastAsia"/>
                <w:szCs w:val="22"/>
                <w:lang w:val="fr-CH" w:eastAsia="zh-CN"/>
              </w:rPr>
              <w:t>非兑换交易</w:t>
            </w:r>
          </w:p>
        </w:tc>
        <w:tc>
          <w:tcPr>
            <w:tcW w:w="2133" w:type="dxa"/>
            <w:tcBorders>
              <w:top w:val="nil"/>
              <w:left w:val="single" w:sz="4" w:space="0" w:color="auto"/>
              <w:bottom w:val="nil"/>
              <w:right w:val="single" w:sz="4" w:space="0" w:color="auto"/>
            </w:tcBorders>
            <w:shd w:val="clear" w:color="auto" w:fill="auto"/>
            <w:noWrap/>
            <w:vAlign w:val="bottom"/>
            <w:hideMark/>
          </w:tcPr>
          <w:p w14:paraId="591E56D4" w14:textId="058FFCF9"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125</w:t>
            </w:r>
            <w:r w:rsidR="001D2112"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0221</w:t>
            </w:r>
          </w:p>
        </w:tc>
        <w:tc>
          <w:tcPr>
            <w:tcW w:w="1800" w:type="dxa"/>
            <w:tcBorders>
              <w:top w:val="nil"/>
              <w:left w:val="nil"/>
              <w:bottom w:val="nil"/>
              <w:right w:val="single" w:sz="4" w:space="0" w:color="auto"/>
            </w:tcBorders>
            <w:shd w:val="clear" w:color="auto" w:fill="auto"/>
            <w:noWrap/>
            <w:vAlign w:val="bottom"/>
            <w:hideMark/>
          </w:tcPr>
          <w:p w14:paraId="7BF5F4AE" w14:textId="18D2E22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125</w:t>
            </w:r>
            <w:r w:rsidR="001D2112"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881</w:t>
            </w:r>
          </w:p>
        </w:tc>
      </w:tr>
      <w:tr w:rsidR="009D43C3" w:rsidRPr="000C156A" w14:paraId="550B5BFF" w14:textId="77777777" w:rsidTr="005D02F0">
        <w:trPr>
          <w:jc w:val="center"/>
        </w:trPr>
        <w:tc>
          <w:tcPr>
            <w:tcW w:w="5641" w:type="dxa"/>
            <w:tcBorders>
              <w:top w:val="nil"/>
              <w:left w:val="single" w:sz="4" w:space="0" w:color="auto"/>
              <w:right w:val="single" w:sz="4" w:space="0" w:color="auto"/>
            </w:tcBorders>
            <w:noWrap/>
            <w:vAlign w:val="bottom"/>
            <w:hideMark/>
          </w:tcPr>
          <w:p w14:paraId="37C92D0E" w14:textId="77777777" w:rsidR="009D43C3" w:rsidRPr="000C156A" w:rsidRDefault="009D43C3" w:rsidP="00E13DC3">
            <w:pPr>
              <w:pStyle w:val="Tabletext"/>
              <w:keepNext/>
              <w:keepLines/>
              <w:spacing w:before="40" w:after="40"/>
              <w:rPr>
                <w:rFonts w:cs="Calibri"/>
                <w:b/>
                <w:szCs w:val="22"/>
                <w:lang w:val="en-US" w:eastAsia="zh-CN"/>
              </w:rPr>
            </w:pPr>
            <w:r w:rsidRPr="000C156A">
              <w:rPr>
                <w:rFonts w:cs="Calibri" w:hint="eastAsia"/>
                <w:szCs w:val="22"/>
                <w:lang w:val="en-US" w:eastAsia="zh-CN"/>
              </w:rPr>
              <w:t>当期应收款项</w:t>
            </w:r>
            <w:r w:rsidRPr="000C156A">
              <w:rPr>
                <w:rFonts w:cs="Calibri"/>
                <w:szCs w:val="22"/>
                <w:lang w:val="en-US" w:eastAsia="zh-CN"/>
              </w:rPr>
              <w:t> – </w:t>
            </w:r>
            <w:r w:rsidRPr="000C156A">
              <w:rPr>
                <w:rFonts w:cs="Calibri" w:hint="eastAsia"/>
                <w:szCs w:val="22"/>
                <w:lang w:val="en-US" w:eastAsia="zh-CN"/>
              </w:rPr>
              <w:t>非兑换交易：损失准备金</w:t>
            </w:r>
          </w:p>
        </w:tc>
        <w:tc>
          <w:tcPr>
            <w:tcW w:w="2133" w:type="dxa"/>
            <w:tcBorders>
              <w:top w:val="nil"/>
              <w:left w:val="single" w:sz="4" w:space="0" w:color="auto"/>
              <w:bottom w:val="nil"/>
              <w:right w:val="single" w:sz="4" w:space="0" w:color="auto"/>
            </w:tcBorders>
            <w:shd w:val="clear" w:color="auto" w:fill="auto"/>
            <w:noWrap/>
            <w:vAlign w:val="bottom"/>
            <w:hideMark/>
          </w:tcPr>
          <w:p w14:paraId="3BD2445C" w14:textId="4752FCA4"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-35</w:t>
            </w:r>
            <w:r w:rsidR="001D2112"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716</w:t>
            </w:r>
          </w:p>
        </w:tc>
        <w:tc>
          <w:tcPr>
            <w:tcW w:w="1800" w:type="dxa"/>
            <w:tcBorders>
              <w:top w:val="nil"/>
              <w:left w:val="nil"/>
              <w:bottom w:val="nil"/>
              <w:right w:val="single" w:sz="4" w:space="0" w:color="auto"/>
            </w:tcBorders>
            <w:shd w:val="clear" w:color="auto" w:fill="auto"/>
            <w:noWrap/>
            <w:vAlign w:val="bottom"/>
            <w:hideMark/>
          </w:tcPr>
          <w:p w14:paraId="0C9541D6" w14:textId="3DC0DF48"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-37</w:t>
            </w:r>
            <w:r w:rsidR="001D2112"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566</w:t>
            </w:r>
          </w:p>
        </w:tc>
      </w:tr>
      <w:tr w:rsidR="009D43C3" w:rsidRPr="000C156A" w14:paraId="1FFE32CB" w14:textId="77777777" w:rsidTr="005D02F0">
        <w:trPr>
          <w:jc w:val="center"/>
        </w:trPr>
        <w:tc>
          <w:tcPr>
            <w:tcW w:w="5641" w:type="dxa"/>
            <w:tcBorders>
              <w:top w:val="nil"/>
              <w:left w:val="single" w:sz="4" w:space="0" w:color="auto"/>
              <w:bottom w:val="single" w:sz="4" w:space="0" w:color="auto"/>
              <w:right w:val="single" w:sz="4" w:space="0" w:color="auto"/>
            </w:tcBorders>
            <w:noWrap/>
            <w:vAlign w:val="center"/>
          </w:tcPr>
          <w:p w14:paraId="2FD53AC0" w14:textId="77777777" w:rsidR="009D43C3" w:rsidRPr="000C156A" w:rsidRDefault="009D43C3" w:rsidP="005D02F0">
            <w:pPr>
              <w:pStyle w:val="Tabletext"/>
              <w:spacing w:before="0" w:after="0"/>
              <w:rPr>
                <w:rFonts w:cs="Calibri"/>
                <w:szCs w:val="22"/>
                <w:lang w:val="en-US" w:eastAsia="zh-CN"/>
              </w:rPr>
            </w:pPr>
          </w:p>
        </w:tc>
        <w:tc>
          <w:tcPr>
            <w:tcW w:w="2133" w:type="dxa"/>
            <w:tcBorders>
              <w:top w:val="nil"/>
              <w:left w:val="single" w:sz="4" w:space="0" w:color="auto"/>
              <w:bottom w:val="nil"/>
              <w:right w:val="single" w:sz="4" w:space="0" w:color="auto"/>
            </w:tcBorders>
            <w:shd w:val="clear" w:color="auto" w:fill="auto"/>
            <w:noWrap/>
            <w:vAlign w:val="bottom"/>
          </w:tcPr>
          <w:p w14:paraId="223BADEB"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 </w:t>
            </w:r>
          </w:p>
        </w:tc>
        <w:tc>
          <w:tcPr>
            <w:tcW w:w="1800" w:type="dxa"/>
            <w:tcBorders>
              <w:top w:val="nil"/>
              <w:left w:val="nil"/>
              <w:bottom w:val="nil"/>
              <w:right w:val="single" w:sz="4" w:space="0" w:color="auto"/>
            </w:tcBorders>
            <w:shd w:val="clear" w:color="auto" w:fill="auto"/>
            <w:noWrap/>
            <w:vAlign w:val="bottom"/>
          </w:tcPr>
          <w:p w14:paraId="668BE5DD"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 </w:t>
            </w:r>
          </w:p>
        </w:tc>
      </w:tr>
      <w:tr w:rsidR="009D43C3" w:rsidRPr="000C156A" w14:paraId="0C72083E" w14:textId="77777777" w:rsidTr="005D02F0">
        <w:trPr>
          <w:jc w:val="center"/>
        </w:trPr>
        <w:tc>
          <w:tcPr>
            <w:tcW w:w="5641" w:type="dxa"/>
            <w:tcBorders>
              <w:top w:val="single" w:sz="4" w:space="0" w:color="auto"/>
              <w:left w:val="single" w:sz="4" w:space="0" w:color="auto"/>
              <w:bottom w:val="single" w:sz="4" w:space="0" w:color="auto"/>
              <w:right w:val="single" w:sz="4" w:space="0" w:color="auto"/>
            </w:tcBorders>
            <w:noWrap/>
            <w:vAlign w:val="bottom"/>
            <w:hideMark/>
          </w:tcPr>
          <w:p w14:paraId="75EF519C" w14:textId="77777777" w:rsidR="009D43C3" w:rsidRPr="000C156A" w:rsidRDefault="009D43C3" w:rsidP="00E13DC3">
            <w:pPr>
              <w:pStyle w:val="Tablehead"/>
              <w:keepNext/>
              <w:keepLines/>
              <w:spacing w:before="40" w:after="40"/>
              <w:jc w:val="left"/>
              <w:rPr>
                <w:rFonts w:cs="Calibri"/>
                <w:b w:val="0"/>
                <w:szCs w:val="22"/>
                <w:lang w:eastAsia="zh-CN"/>
              </w:rPr>
            </w:pPr>
            <w:r w:rsidRPr="000C156A">
              <w:rPr>
                <w:rFonts w:cs="Calibri" w:hint="eastAsia"/>
                <w:bCs/>
                <w:szCs w:val="22"/>
                <w:lang w:val="fr-CH" w:eastAsia="zh-CN"/>
              </w:rPr>
              <w:t>当期应收款项</w:t>
            </w:r>
            <w:r w:rsidRPr="000C156A">
              <w:rPr>
                <w:rFonts w:cs="Calibri"/>
                <w:bCs/>
                <w:szCs w:val="22"/>
                <w:lang w:val="en-US" w:eastAsia="zh-CN"/>
              </w:rPr>
              <w:t> </w:t>
            </w:r>
            <w:r w:rsidRPr="000C156A">
              <w:rPr>
                <w:rFonts w:cs="Calibri"/>
                <w:bCs/>
                <w:szCs w:val="22"/>
                <w:lang w:eastAsia="zh-CN"/>
              </w:rPr>
              <w:t>–</w:t>
            </w:r>
            <w:r w:rsidRPr="000C156A">
              <w:rPr>
                <w:rFonts w:cs="Calibri"/>
                <w:bCs/>
                <w:szCs w:val="22"/>
                <w:lang w:val="en-US" w:eastAsia="zh-CN"/>
              </w:rPr>
              <w:t> </w:t>
            </w:r>
            <w:r w:rsidRPr="000C156A">
              <w:rPr>
                <w:rFonts w:cs="Calibri" w:hint="eastAsia"/>
                <w:bCs/>
                <w:szCs w:val="22"/>
                <w:lang w:val="fr-CH" w:eastAsia="zh-CN"/>
              </w:rPr>
              <w:t>非兑换交易</w:t>
            </w:r>
            <w:r w:rsidRPr="000C156A">
              <w:rPr>
                <w:rFonts w:cs="Calibri" w:hint="eastAsia"/>
                <w:bCs/>
                <w:szCs w:val="22"/>
                <w:lang w:eastAsia="zh-CN"/>
              </w:rPr>
              <w:t>：</w:t>
            </w:r>
            <w:r w:rsidRPr="000C156A">
              <w:rPr>
                <w:rFonts w:cs="Calibri" w:hint="eastAsia"/>
                <w:bCs/>
                <w:szCs w:val="22"/>
                <w:lang w:val="fr-CH" w:eastAsia="zh-CN"/>
              </w:rPr>
              <w:t>净值</w:t>
            </w: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AD2E4" w14:textId="4CB8E657" w:rsidR="009D43C3" w:rsidRPr="000C156A" w:rsidRDefault="009D43C3" w:rsidP="005D02F0">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89</w:t>
            </w:r>
            <w:r w:rsidR="001D2112" w:rsidRPr="000C156A">
              <w:rPr>
                <w:rFonts w:asciiTheme="minorHAnsi" w:hAnsiTheme="minorHAnsi" w:cs="Arial"/>
                <w:b/>
                <w:bCs/>
                <w:color w:val="000000"/>
                <w:sz w:val="22"/>
                <w:szCs w:val="22"/>
                <w:lang w:val="en-US" w:eastAsia="zh-CN"/>
              </w:rPr>
              <w:t xml:space="preserve"> </w:t>
            </w:r>
            <w:r w:rsidRPr="000C156A">
              <w:rPr>
                <w:rFonts w:asciiTheme="minorHAnsi" w:hAnsiTheme="minorHAnsi" w:cs="Arial"/>
                <w:b/>
                <w:bCs/>
                <w:color w:val="000000"/>
                <w:sz w:val="22"/>
                <w:szCs w:val="22"/>
                <w:lang w:val="en-US" w:eastAsia="zh-CN"/>
              </w:rPr>
              <w:t>306</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15197389" w14:textId="2FB70A6C" w:rsidR="009D43C3" w:rsidRPr="000C156A" w:rsidRDefault="009D43C3" w:rsidP="005D02F0">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88</w:t>
            </w:r>
            <w:r w:rsidR="001D2112" w:rsidRPr="000C156A">
              <w:rPr>
                <w:rFonts w:asciiTheme="minorHAnsi" w:hAnsiTheme="minorHAnsi" w:cs="Arial"/>
                <w:b/>
                <w:bCs/>
                <w:color w:val="000000"/>
                <w:sz w:val="22"/>
                <w:szCs w:val="22"/>
                <w:lang w:val="en-US" w:eastAsia="zh-CN"/>
              </w:rPr>
              <w:t xml:space="preserve"> </w:t>
            </w:r>
            <w:r w:rsidRPr="000C156A">
              <w:rPr>
                <w:rFonts w:asciiTheme="minorHAnsi" w:hAnsiTheme="minorHAnsi" w:cs="Arial"/>
                <w:b/>
                <w:bCs/>
                <w:color w:val="000000"/>
                <w:sz w:val="22"/>
                <w:szCs w:val="22"/>
                <w:lang w:val="en-US" w:eastAsia="zh-CN"/>
              </w:rPr>
              <w:t>315</w:t>
            </w:r>
          </w:p>
        </w:tc>
      </w:tr>
      <w:tr w:rsidR="009D43C3" w:rsidRPr="000C156A" w14:paraId="09F2CAA8" w14:textId="77777777" w:rsidTr="005D02F0">
        <w:trPr>
          <w:jc w:val="center"/>
        </w:trPr>
        <w:tc>
          <w:tcPr>
            <w:tcW w:w="5641" w:type="dxa"/>
            <w:tcBorders>
              <w:top w:val="single" w:sz="4" w:space="0" w:color="auto"/>
              <w:left w:val="single" w:sz="4" w:space="0" w:color="auto"/>
              <w:bottom w:val="nil"/>
              <w:right w:val="single" w:sz="4" w:space="0" w:color="auto"/>
            </w:tcBorders>
            <w:noWrap/>
            <w:vAlign w:val="bottom"/>
            <w:hideMark/>
          </w:tcPr>
          <w:p w14:paraId="0DB2F237" w14:textId="77777777" w:rsidR="009D43C3" w:rsidRPr="000C156A" w:rsidRDefault="009D43C3" w:rsidP="00E13DC3">
            <w:pPr>
              <w:pStyle w:val="Tabletext"/>
              <w:keepNext/>
              <w:keepLines/>
              <w:spacing w:before="40" w:after="40"/>
              <w:rPr>
                <w:rFonts w:cs="Calibri"/>
                <w:szCs w:val="22"/>
                <w:lang w:eastAsia="zh-CN"/>
              </w:rPr>
            </w:pPr>
            <w:r w:rsidRPr="000C156A">
              <w:rPr>
                <w:rFonts w:cs="Calibri" w:hint="eastAsia"/>
                <w:szCs w:val="22"/>
                <w:lang w:val="fr-CH" w:eastAsia="zh-CN"/>
              </w:rPr>
              <w:t>非当期应收款项</w:t>
            </w:r>
            <w:r w:rsidRPr="000C156A">
              <w:rPr>
                <w:rFonts w:cs="Calibri"/>
                <w:szCs w:val="22"/>
                <w:lang w:val="en-US" w:eastAsia="zh-CN"/>
              </w:rPr>
              <w:t> – </w:t>
            </w:r>
            <w:r w:rsidRPr="000C156A">
              <w:rPr>
                <w:rFonts w:cs="Calibri" w:hint="eastAsia"/>
                <w:szCs w:val="22"/>
                <w:lang w:val="fr-CH" w:eastAsia="zh-CN"/>
              </w:rPr>
              <w:t>兑换交易</w:t>
            </w:r>
          </w:p>
        </w:tc>
        <w:tc>
          <w:tcPr>
            <w:tcW w:w="2133" w:type="dxa"/>
            <w:tcBorders>
              <w:top w:val="nil"/>
              <w:left w:val="single" w:sz="4" w:space="0" w:color="auto"/>
              <w:bottom w:val="nil"/>
              <w:right w:val="single" w:sz="4" w:space="0" w:color="auto"/>
            </w:tcBorders>
            <w:shd w:val="clear" w:color="auto" w:fill="auto"/>
            <w:noWrap/>
            <w:vAlign w:val="bottom"/>
            <w:hideMark/>
          </w:tcPr>
          <w:p w14:paraId="2502EA98" w14:textId="5A147DFF" w:rsidR="009D43C3" w:rsidRPr="000C156A" w:rsidRDefault="009D43C3" w:rsidP="006304E5">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w:t>
            </w:r>
          </w:p>
        </w:tc>
        <w:tc>
          <w:tcPr>
            <w:tcW w:w="1800" w:type="dxa"/>
            <w:tcBorders>
              <w:top w:val="nil"/>
              <w:left w:val="nil"/>
              <w:bottom w:val="nil"/>
              <w:right w:val="single" w:sz="4" w:space="0" w:color="auto"/>
            </w:tcBorders>
            <w:shd w:val="clear" w:color="auto" w:fill="auto"/>
            <w:noWrap/>
            <w:vAlign w:val="bottom"/>
            <w:hideMark/>
          </w:tcPr>
          <w:p w14:paraId="7BEE8F0C" w14:textId="5F3296FF" w:rsidR="009D43C3" w:rsidRPr="000C156A" w:rsidRDefault="009D43C3" w:rsidP="006304E5">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w:t>
            </w:r>
          </w:p>
        </w:tc>
      </w:tr>
      <w:tr w:rsidR="009D43C3" w:rsidRPr="000C156A" w14:paraId="7CDE7612" w14:textId="77777777" w:rsidTr="005D02F0">
        <w:trPr>
          <w:jc w:val="center"/>
        </w:trPr>
        <w:tc>
          <w:tcPr>
            <w:tcW w:w="5641" w:type="dxa"/>
            <w:tcBorders>
              <w:top w:val="nil"/>
              <w:left w:val="single" w:sz="4" w:space="0" w:color="auto"/>
              <w:bottom w:val="nil"/>
              <w:right w:val="single" w:sz="4" w:space="0" w:color="auto"/>
            </w:tcBorders>
            <w:noWrap/>
            <w:vAlign w:val="bottom"/>
            <w:hideMark/>
          </w:tcPr>
          <w:p w14:paraId="425535EB" w14:textId="77777777" w:rsidR="009D43C3" w:rsidRPr="000C156A" w:rsidRDefault="009D43C3" w:rsidP="00E13DC3">
            <w:pPr>
              <w:pStyle w:val="Tabletext"/>
              <w:keepNext/>
              <w:keepLines/>
              <w:spacing w:before="40" w:after="40"/>
              <w:rPr>
                <w:rFonts w:cs="Calibri"/>
                <w:szCs w:val="22"/>
                <w:lang w:eastAsia="zh-CN"/>
              </w:rPr>
            </w:pPr>
            <w:r w:rsidRPr="000C156A">
              <w:rPr>
                <w:rFonts w:cs="Calibri" w:hint="eastAsia"/>
                <w:szCs w:val="22"/>
                <w:lang w:val="fr-CH" w:eastAsia="zh-CN"/>
              </w:rPr>
              <w:t>非当期应收款项</w:t>
            </w:r>
            <w:r w:rsidRPr="000C156A">
              <w:rPr>
                <w:rFonts w:cs="Calibri"/>
                <w:szCs w:val="22"/>
                <w:lang w:val="en-US" w:eastAsia="zh-CN"/>
              </w:rPr>
              <w:t> – </w:t>
            </w:r>
            <w:r w:rsidRPr="000C156A">
              <w:rPr>
                <w:rFonts w:cs="Calibri" w:hint="eastAsia"/>
                <w:szCs w:val="22"/>
                <w:lang w:val="fr-CH" w:eastAsia="zh-CN"/>
              </w:rPr>
              <w:t>兑换交易</w:t>
            </w:r>
            <w:r w:rsidRPr="000C156A">
              <w:rPr>
                <w:rFonts w:cs="Calibri" w:hint="eastAsia"/>
                <w:szCs w:val="22"/>
                <w:lang w:eastAsia="zh-CN"/>
              </w:rPr>
              <w:t>：</w:t>
            </w:r>
            <w:r w:rsidRPr="000C156A">
              <w:rPr>
                <w:rFonts w:cs="Calibri" w:hint="eastAsia"/>
                <w:szCs w:val="22"/>
                <w:lang w:val="fr-CH" w:eastAsia="zh-CN"/>
              </w:rPr>
              <w:t>损失准备金</w:t>
            </w:r>
          </w:p>
        </w:tc>
        <w:tc>
          <w:tcPr>
            <w:tcW w:w="2133" w:type="dxa"/>
            <w:tcBorders>
              <w:top w:val="nil"/>
              <w:left w:val="single" w:sz="4" w:space="0" w:color="auto"/>
              <w:bottom w:val="nil"/>
              <w:right w:val="single" w:sz="4" w:space="0" w:color="auto"/>
            </w:tcBorders>
            <w:shd w:val="clear" w:color="auto" w:fill="auto"/>
            <w:noWrap/>
            <w:vAlign w:val="bottom"/>
            <w:hideMark/>
          </w:tcPr>
          <w:p w14:paraId="5A025CA0" w14:textId="32D79C0A" w:rsidR="009D43C3" w:rsidRPr="000C156A" w:rsidRDefault="009D43C3" w:rsidP="006304E5">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w:t>
            </w:r>
          </w:p>
        </w:tc>
        <w:tc>
          <w:tcPr>
            <w:tcW w:w="1800" w:type="dxa"/>
            <w:tcBorders>
              <w:top w:val="nil"/>
              <w:left w:val="nil"/>
              <w:bottom w:val="nil"/>
              <w:right w:val="single" w:sz="4" w:space="0" w:color="auto"/>
            </w:tcBorders>
            <w:shd w:val="clear" w:color="auto" w:fill="auto"/>
            <w:noWrap/>
            <w:vAlign w:val="bottom"/>
            <w:hideMark/>
          </w:tcPr>
          <w:p w14:paraId="27A84151" w14:textId="1489F896" w:rsidR="009D43C3" w:rsidRPr="000C156A" w:rsidRDefault="009D43C3" w:rsidP="006304E5">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w:t>
            </w:r>
          </w:p>
        </w:tc>
      </w:tr>
      <w:tr w:rsidR="009D43C3" w:rsidRPr="000C156A" w14:paraId="59748EC0" w14:textId="77777777" w:rsidTr="005D02F0">
        <w:trPr>
          <w:jc w:val="center"/>
        </w:trPr>
        <w:tc>
          <w:tcPr>
            <w:tcW w:w="5641" w:type="dxa"/>
            <w:tcBorders>
              <w:top w:val="nil"/>
              <w:left w:val="single" w:sz="4" w:space="0" w:color="auto"/>
              <w:bottom w:val="single" w:sz="4" w:space="0" w:color="auto"/>
              <w:right w:val="single" w:sz="4" w:space="0" w:color="auto"/>
            </w:tcBorders>
            <w:noWrap/>
            <w:vAlign w:val="center"/>
          </w:tcPr>
          <w:p w14:paraId="7D6492D6" w14:textId="77777777" w:rsidR="009D43C3" w:rsidRPr="000C156A" w:rsidRDefault="009D43C3" w:rsidP="005D02F0">
            <w:pPr>
              <w:pStyle w:val="Tabletext"/>
              <w:spacing w:before="0" w:after="0"/>
              <w:rPr>
                <w:rFonts w:cs="Calibri"/>
                <w:szCs w:val="22"/>
                <w:lang w:val="en-US" w:eastAsia="zh-CN"/>
              </w:rPr>
            </w:pPr>
          </w:p>
        </w:tc>
        <w:tc>
          <w:tcPr>
            <w:tcW w:w="2133" w:type="dxa"/>
            <w:tcBorders>
              <w:top w:val="nil"/>
              <w:left w:val="single" w:sz="4" w:space="0" w:color="auto"/>
              <w:bottom w:val="nil"/>
              <w:right w:val="single" w:sz="4" w:space="0" w:color="auto"/>
            </w:tcBorders>
            <w:shd w:val="clear" w:color="auto" w:fill="auto"/>
            <w:noWrap/>
            <w:vAlign w:val="bottom"/>
          </w:tcPr>
          <w:p w14:paraId="16621727" w14:textId="0C125AE0" w:rsidR="009D43C3" w:rsidRPr="000C156A" w:rsidRDefault="009D43C3" w:rsidP="006304E5">
            <w:pPr>
              <w:overflowPunct/>
              <w:autoSpaceDE/>
              <w:autoSpaceDN/>
              <w:adjustRightInd/>
              <w:spacing w:before="0"/>
              <w:jc w:val="right"/>
              <w:textAlignment w:val="auto"/>
              <w:rPr>
                <w:rFonts w:asciiTheme="minorHAnsi" w:hAnsiTheme="minorHAnsi" w:cs="Arial"/>
                <w:color w:val="000000"/>
                <w:sz w:val="22"/>
                <w:szCs w:val="22"/>
                <w:lang w:val="en-US" w:eastAsia="zh-CN"/>
              </w:rPr>
            </w:pPr>
          </w:p>
        </w:tc>
        <w:tc>
          <w:tcPr>
            <w:tcW w:w="1800" w:type="dxa"/>
            <w:tcBorders>
              <w:top w:val="nil"/>
              <w:left w:val="nil"/>
              <w:bottom w:val="nil"/>
              <w:right w:val="single" w:sz="4" w:space="0" w:color="auto"/>
            </w:tcBorders>
            <w:shd w:val="clear" w:color="auto" w:fill="auto"/>
            <w:noWrap/>
            <w:vAlign w:val="bottom"/>
          </w:tcPr>
          <w:p w14:paraId="4C1EECF0" w14:textId="373508AF" w:rsidR="009D43C3" w:rsidRPr="000C156A" w:rsidRDefault="009D43C3" w:rsidP="006304E5">
            <w:pPr>
              <w:overflowPunct/>
              <w:autoSpaceDE/>
              <w:autoSpaceDN/>
              <w:adjustRightInd/>
              <w:spacing w:before="0"/>
              <w:jc w:val="right"/>
              <w:textAlignment w:val="auto"/>
              <w:rPr>
                <w:rFonts w:asciiTheme="minorHAnsi" w:hAnsiTheme="minorHAnsi" w:cs="Arial"/>
                <w:color w:val="000000"/>
                <w:sz w:val="22"/>
                <w:szCs w:val="22"/>
                <w:lang w:val="en-US" w:eastAsia="zh-CN"/>
              </w:rPr>
            </w:pPr>
          </w:p>
        </w:tc>
      </w:tr>
      <w:tr w:rsidR="009D43C3" w:rsidRPr="000C156A" w14:paraId="720C9BE6" w14:textId="77777777" w:rsidTr="005D02F0">
        <w:trPr>
          <w:jc w:val="center"/>
        </w:trPr>
        <w:tc>
          <w:tcPr>
            <w:tcW w:w="5641" w:type="dxa"/>
            <w:tcBorders>
              <w:top w:val="single" w:sz="4" w:space="0" w:color="auto"/>
              <w:left w:val="single" w:sz="4" w:space="0" w:color="auto"/>
              <w:bottom w:val="single" w:sz="4" w:space="0" w:color="auto"/>
              <w:right w:val="single" w:sz="4" w:space="0" w:color="auto"/>
            </w:tcBorders>
            <w:noWrap/>
            <w:vAlign w:val="center"/>
            <w:hideMark/>
          </w:tcPr>
          <w:p w14:paraId="6795343D" w14:textId="77777777" w:rsidR="009D43C3" w:rsidRPr="000C156A" w:rsidRDefault="009D43C3" w:rsidP="00E13DC3">
            <w:pPr>
              <w:pStyle w:val="Tablehead"/>
              <w:keepNext/>
              <w:keepLines/>
              <w:spacing w:before="40" w:after="40"/>
              <w:jc w:val="left"/>
              <w:rPr>
                <w:rFonts w:cs="Calibri"/>
                <w:b w:val="0"/>
                <w:szCs w:val="22"/>
                <w:lang w:eastAsia="zh-CN"/>
              </w:rPr>
            </w:pPr>
            <w:r w:rsidRPr="000C156A">
              <w:rPr>
                <w:rFonts w:cs="Calibri" w:hint="eastAsia"/>
                <w:bCs/>
                <w:szCs w:val="22"/>
                <w:lang w:val="fr-CH" w:eastAsia="zh-CN"/>
              </w:rPr>
              <w:t>非当期应收款项</w:t>
            </w:r>
            <w:r w:rsidRPr="000C156A">
              <w:rPr>
                <w:rFonts w:cs="Calibri"/>
                <w:bCs/>
                <w:szCs w:val="22"/>
                <w:lang w:val="en-US" w:eastAsia="zh-CN"/>
              </w:rPr>
              <w:t> </w:t>
            </w:r>
            <w:r w:rsidRPr="000C156A">
              <w:rPr>
                <w:rFonts w:cs="Calibri"/>
                <w:szCs w:val="22"/>
                <w:lang w:val="en-US" w:eastAsia="zh-CN"/>
              </w:rPr>
              <w:t>– </w:t>
            </w:r>
            <w:r w:rsidRPr="000C156A">
              <w:rPr>
                <w:rFonts w:cs="Calibri" w:hint="eastAsia"/>
                <w:bCs/>
                <w:szCs w:val="22"/>
                <w:lang w:val="fr-CH" w:eastAsia="zh-CN"/>
              </w:rPr>
              <w:t>兑换交易</w:t>
            </w:r>
            <w:r w:rsidRPr="000C156A">
              <w:rPr>
                <w:rFonts w:cs="Calibri" w:hint="eastAsia"/>
                <w:bCs/>
                <w:szCs w:val="22"/>
                <w:lang w:eastAsia="zh-CN"/>
              </w:rPr>
              <w:t>：</w:t>
            </w:r>
            <w:r w:rsidRPr="000C156A">
              <w:rPr>
                <w:rFonts w:cs="Calibri" w:hint="eastAsia"/>
                <w:bCs/>
                <w:szCs w:val="22"/>
                <w:lang w:val="fr-CH" w:eastAsia="zh-CN"/>
              </w:rPr>
              <w:t>净值</w:t>
            </w: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1F5DA" w14:textId="089AFC17" w:rsidR="009D43C3" w:rsidRPr="000C156A" w:rsidRDefault="009D43C3" w:rsidP="006304E5">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0041A968" w14:textId="3CC5C204" w:rsidR="009D43C3" w:rsidRPr="000C156A" w:rsidRDefault="009D43C3" w:rsidP="006304E5">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w:t>
            </w:r>
          </w:p>
        </w:tc>
      </w:tr>
      <w:tr w:rsidR="009D43C3" w:rsidRPr="000C156A" w14:paraId="3B32D814" w14:textId="77777777" w:rsidTr="005D02F0">
        <w:trPr>
          <w:jc w:val="center"/>
        </w:trPr>
        <w:tc>
          <w:tcPr>
            <w:tcW w:w="5641" w:type="dxa"/>
            <w:tcBorders>
              <w:top w:val="single" w:sz="4" w:space="0" w:color="auto"/>
              <w:left w:val="single" w:sz="4" w:space="0" w:color="auto"/>
              <w:bottom w:val="nil"/>
              <w:right w:val="single" w:sz="4" w:space="0" w:color="auto"/>
            </w:tcBorders>
            <w:noWrap/>
            <w:vAlign w:val="bottom"/>
            <w:hideMark/>
          </w:tcPr>
          <w:p w14:paraId="68C5AB55" w14:textId="77777777" w:rsidR="009D43C3" w:rsidRPr="000C156A" w:rsidRDefault="009D43C3" w:rsidP="00E13DC3">
            <w:pPr>
              <w:pStyle w:val="Tabletext"/>
              <w:keepNext/>
              <w:keepLines/>
              <w:spacing w:before="40" w:after="40"/>
              <w:rPr>
                <w:rFonts w:cs="Calibri"/>
                <w:szCs w:val="22"/>
                <w:lang w:eastAsia="zh-CN"/>
              </w:rPr>
            </w:pPr>
            <w:r w:rsidRPr="000C156A">
              <w:rPr>
                <w:rFonts w:cs="Calibri" w:hint="eastAsia"/>
                <w:szCs w:val="22"/>
                <w:lang w:val="fr-CH" w:eastAsia="zh-CN"/>
              </w:rPr>
              <w:t>非当期应收款项</w:t>
            </w:r>
            <w:r w:rsidRPr="000C156A">
              <w:rPr>
                <w:rFonts w:cs="Calibri"/>
                <w:szCs w:val="22"/>
                <w:lang w:val="en-US" w:eastAsia="zh-CN"/>
              </w:rPr>
              <w:t> – </w:t>
            </w:r>
            <w:r w:rsidRPr="000C156A">
              <w:rPr>
                <w:rFonts w:cs="Calibri" w:hint="eastAsia"/>
                <w:szCs w:val="22"/>
                <w:lang w:val="fr-CH" w:eastAsia="zh-CN"/>
              </w:rPr>
              <w:t>非兑换交易</w:t>
            </w:r>
          </w:p>
        </w:tc>
        <w:tc>
          <w:tcPr>
            <w:tcW w:w="2133" w:type="dxa"/>
            <w:tcBorders>
              <w:top w:val="nil"/>
              <w:left w:val="single" w:sz="4" w:space="0" w:color="auto"/>
              <w:bottom w:val="nil"/>
              <w:right w:val="single" w:sz="4" w:space="0" w:color="auto"/>
            </w:tcBorders>
            <w:shd w:val="clear" w:color="auto" w:fill="auto"/>
            <w:noWrap/>
            <w:vAlign w:val="bottom"/>
            <w:hideMark/>
          </w:tcPr>
          <w:p w14:paraId="024ACFF2" w14:textId="5A28F4AA"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fr-CH" w:eastAsia="zh-CN"/>
              </w:rPr>
              <w:t>6</w:t>
            </w:r>
            <w:r w:rsidR="001D2112"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479</w:t>
            </w:r>
          </w:p>
        </w:tc>
        <w:tc>
          <w:tcPr>
            <w:tcW w:w="1800" w:type="dxa"/>
            <w:tcBorders>
              <w:top w:val="nil"/>
              <w:left w:val="nil"/>
              <w:bottom w:val="nil"/>
              <w:right w:val="single" w:sz="4" w:space="0" w:color="auto"/>
            </w:tcBorders>
            <w:shd w:val="clear" w:color="auto" w:fill="auto"/>
            <w:noWrap/>
            <w:vAlign w:val="bottom"/>
            <w:hideMark/>
          </w:tcPr>
          <w:p w14:paraId="0B183841" w14:textId="500E2592"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fr-CH" w:eastAsia="zh-CN"/>
              </w:rPr>
              <w:t>4</w:t>
            </w:r>
            <w:r w:rsidR="001D2112"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325</w:t>
            </w:r>
          </w:p>
        </w:tc>
      </w:tr>
      <w:tr w:rsidR="009D43C3" w:rsidRPr="000C156A" w14:paraId="627B39DD" w14:textId="77777777" w:rsidTr="005D02F0">
        <w:trPr>
          <w:jc w:val="center"/>
        </w:trPr>
        <w:tc>
          <w:tcPr>
            <w:tcW w:w="5641" w:type="dxa"/>
            <w:tcBorders>
              <w:top w:val="nil"/>
              <w:left w:val="single" w:sz="4" w:space="0" w:color="auto"/>
              <w:right w:val="single" w:sz="4" w:space="0" w:color="auto"/>
            </w:tcBorders>
            <w:noWrap/>
            <w:vAlign w:val="bottom"/>
            <w:hideMark/>
          </w:tcPr>
          <w:p w14:paraId="28984628" w14:textId="77777777" w:rsidR="009D43C3" w:rsidRPr="000C156A" w:rsidRDefault="009D43C3" w:rsidP="00E13DC3">
            <w:pPr>
              <w:pStyle w:val="Tabletext"/>
              <w:keepNext/>
              <w:keepLines/>
              <w:spacing w:before="40" w:after="40"/>
              <w:rPr>
                <w:rFonts w:cs="Calibri"/>
                <w:szCs w:val="22"/>
                <w:lang w:eastAsia="zh-CN"/>
              </w:rPr>
            </w:pPr>
            <w:r w:rsidRPr="000C156A">
              <w:rPr>
                <w:rFonts w:cs="Calibri" w:hint="eastAsia"/>
                <w:szCs w:val="22"/>
                <w:lang w:val="fr-CH" w:eastAsia="zh-CN"/>
              </w:rPr>
              <w:t>非当期应收款项</w:t>
            </w:r>
            <w:r w:rsidRPr="000C156A">
              <w:rPr>
                <w:rFonts w:cs="Calibri"/>
                <w:szCs w:val="22"/>
                <w:lang w:val="en-US" w:eastAsia="zh-CN"/>
              </w:rPr>
              <w:t> – </w:t>
            </w:r>
            <w:r w:rsidRPr="000C156A">
              <w:rPr>
                <w:rFonts w:cs="Calibri" w:hint="eastAsia"/>
                <w:szCs w:val="22"/>
                <w:lang w:val="fr-CH" w:eastAsia="zh-CN"/>
              </w:rPr>
              <w:t>非兑换交易</w:t>
            </w:r>
            <w:r w:rsidRPr="000C156A">
              <w:rPr>
                <w:rFonts w:cs="Calibri" w:hint="eastAsia"/>
                <w:szCs w:val="22"/>
                <w:lang w:eastAsia="zh-CN"/>
              </w:rPr>
              <w:t>：</w:t>
            </w:r>
            <w:r w:rsidRPr="000C156A">
              <w:rPr>
                <w:rFonts w:cs="Calibri" w:hint="eastAsia"/>
                <w:szCs w:val="22"/>
                <w:lang w:val="fr-CH" w:eastAsia="zh-CN"/>
              </w:rPr>
              <w:t>损失准备金</w:t>
            </w:r>
          </w:p>
        </w:tc>
        <w:tc>
          <w:tcPr>
            <w:tcW w:w="2133" w:type="dxa"/>
            <w:tcBorders>
              <w:top w:val="nil"/>
              <w:left w:val="single" w:sz="4" w:space="0" w:color="auto"/>
              <w:bottom w:val="nil"/>
              <w:right w:val="single" w:sz="4" w:space="0" w:color="auto"/>
            </w:tcBorders>
            <w:shd w:val="clear" w:color="auto" w:fill="auto"/>
            <w:noWrap/>
            <w:vAlign w:val="bottom"/>
            <w:hideMark/>
          </w:tcPr>
          <w:p w14:paraId="74C84159" w14:textId="1AD534DC"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-6</w:t>
            </w:r>
            <w:r w:rsidR="001D2112"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479</w:t>
            </w:r>
          </w:p>
        </w:tc>
        <w:tc>
          <w:tcPr>
            <w:tcW w:w="1800" w:type="dxa"/>
            <w:tcBorders>
              <w:top w:val="nil"/>
              <w:left w:val="nil"/>
              <w:bottom w:val="nil"/>
              <w:right w:val="single" w:sz="4" w:space="0" w:color="auto"/>
            </w:tcBorders>
            <w:shd w:val="clear" w:color="auto" w:fill="auto"/>
            <w:noWrap/>
            <w:vAlign w:val="bottom"/>
            <w:hideMark/>
          </w:tcPr>
          <w:p w14:paraId="417FE4D9" w14:textId="41027E16"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-4</w:t>
            </w:r>
            <w:r w:rsidR="001D2112"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325</w:t>
            </w:r>
          </w:p>
        </w:tc>
      </w:tr>
      <w:tr w:rsidR="009D43C3" w:rsidRPr="000C156A" w14:paraId="601CA48B" w14:textId="77777777" w:rsidTr="005D02F0">
        <w:trPr>
          <w:jc w:val="center"/>
        </w:trPr>
        <w:tc>
          <w:tcPr>
            <w:tcW w:w="5641" w:type="dxa"/>
            <w:tcBorders>
              <w:top w:val="nil"/>
              <w:left w:val="single" w:sz="4" w:space="0" w:color="auto"/>
              <w:bottom w:val="single" w:sz="4" w:space="0" w:color="auto"/>
              <w:right w:val="single" w:sz="4" w:space="0" w:color="auto"/>
            </w:tcBorders>
            <w:noWrap/>
            <w:vAlign w:val="center"/>
          </w:tcPr>
          <w:p w14:paraId="2C67B5BE" w14:textId="77777777" w:rsidR="009D43C3" w:rsidRPr="000C156A" w:rsidRDefault="009D43C3" w:rsidP="005D02F0">
            <w:pPr>
              <w:pStyle w:val="Tabletext"/>
              <w:spacing w:before="0" w:after="0"/>
              <w:rPr>
                <w:rFonts w:cs="Calibri"/>
                <w:szCs w:val="22"/>
                <w:lang w:val="en-US" w:eastAsia="zh-CN"/>
              </w:rPr>
            </w:pPr>
          </w:p>
        </w:tc>
        <w:tc>
          <w:tcPr>
            <w:tcW w:w="2133" w:type="dxa"/>
            <w:tcBorders>
              <w:top w:val="nil"/>
              <w:left w:val="single" w:sz="4" w:space="0" w:color="auto"/>
              <w:bottom w:val="nil"/>
              <w:right w:val="single" w:sz="4" w:space="0" w:color="auto"/>
            </w:tcBorders>
            <w:shd w:val="clear" w:color="auto" w:fill="auto"/>
            <w:noWrap/>
            <w:vAlign w:val="bottom"/>
          </w:tcPr>
          <w:p w14:paraId="21B4076D"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 </w:t>
            </w:r>
          </w:p>
        </w:tc>
        <w:tc>
          <w:tcPr>
            <w:tcW w:w="1800" w:type="dxa"/>
            <w:tcBorders>
              <w:top w:val="nil"/>
              <w:left w:val="nil"/>
              <w:bottom w:val="nil"/>
              <w:right w:val="single" w:sz="4" w:space="0" w:color="auto"/>
            </w:tcBorders>
            <w:shd w:val="clear" w:color="auto" w:fill="auto"/>
            <w:noWrap/>
            <w:vAlign w:val="bottom"/>
          </w:tcPr>
          <w:p w14:paraId="128DAC6E"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 </w:t>
            </w:r>
          </w:p>
        </w:tc>
      </w:tr>
      <w:tr w:rsidR="009D43C3" w:rsidRPr="000C156A" w14:paraId="64E8EF30" w14:textId="77777777" w:rsidTr="005D02F0">
        <w:trPr>
          <w:jc w:val="center"/>
        </w:trPr>
        <w:tc>
          <w:tcPr>
            <w:tcW w:w="5641" w:type="dxa"/>
            <w:tcBorders>
              <w:top w:val="single" w:sz="4" w:space="0" w:color="auto"/>
              <w:left w:val="single" w:sz="4" w:space="0" w:color="auto"/>
              <w:bottom w:val="single" w:sz="4" w:space="0" w:color="auto"/>
              <w:right w:val="single" w:sz="4" w:space="0" w:color="auto"/>
            </w:tcBorders>
            <w:noWrap/>
            <w:vAlign w:val="center"/>
            <w:hideMark/>
          </w:tcPr>
          <w:p w14:paraId="45E14542" w14:textId="77777777" w:rsidR="009D43C3" w:rsidRPr="000C156A" w:rsidRDefault="009D43C3" w:rsidP="00E13DC3">
            <w:pPr>
              <w:pStyle w:val="Tablehead"/>
              <w:keepNext/>
              <w:keepLines/>
              <w:spacing w:before="40" w:after="40"/>
              <w:jc w:val="left"/>
              <w:rPr>
                <w:rFonts w:cs="Calibri"/>
                <w:b w:val="0"/>
                <w:szCs w:val="22"/>
                <w:lang w:eastAsia="zh-CN"/>
              </w:rPr>
            </w:pPr>
            <w:r w:rsidRPr="000C156A">
              <w:rPr>
                <w:rFonts w:cs="Calibri" w:hint="eastAsia"/>
                <w:bCs/>
                <w:szCs w:val="22"/>
                <w:lang w:val="fr-CH" w:eastAsia="zh-CN"/>
              </w:rPr>
              <w:t>非当期应收款项</w:t>
            </w:r>
            <w:r w:rsidRPr="000C156A">
              <w:rPr>
                <w:rFonts w:cs="Calibri"/>
                <w:bCs/>
                <w:szCs w:val="22"/>
                <w:lang w:val="en-US" w:eastAsia="zh-CN"/>
              </w:rPr>
              <w:t> </w:t>
            </w:r>
            <w:r w:rsidRPr="000C156A">
              <w:rPr>
                <w:rFonts w:cs="Calibri"/>
                <w:szCs w:val="22"/>
                <w:lang w:val="en-US" w:eastAsia="zh-CN"/>
              </w:rPr>
              <w:t>– </w:t>
            </w:r>
            <w:r w:rsidRPr="000C156A">
              <w:rPr>
                <w:rFonts w:cs="Calibri" w:hint="eastAsia"/>
                <w:bCs/>
                <w:szCs w:val="22"/>
                <w:lang w:val="fr-CH" w:eastAsia="zh-CN"/>
              </w:rPr>
              <w:t>非兑换交易</w:t>
            </w:r>
            <w:r w:rsidRPr="000C156A">
              <w:rPr>
                <w:rFonts w:cs="Calibri" w:hint="eastAsia"/>
                <w:bCs/>
                <w:szCs w:val="22"/>
                <w:lang w:eastAsia="zh-CN"/>
              </w:rPr>
              <w:t>：</w:t>
            </w:r>
            <w:r w:rsidRPr="000C156A">
              <w:rPr>
                <w:rFonts w:cs="Calibri" w:hint="eastAsia"/>
                <w:bCs/>
                <w:szCs w:val="22"/>
                <w:lang w:val="fr-CH" w:eastAsia="zh-CN"/>
              </w:rPr>
              <w:t>净值</w:t>
            </w: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AC9DE" w14:textId="77777777" w:rsidR="009D43C3" w:rsidRPr="000C156A" w:rsidRDefault="009D43C3" w:rsidP="005D02F0">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 xml:space="preserve">-   </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7A8F4221" w14:textId="77777777" w:rsidR="009D43C3" w:rsidRPr="000C156A" w:rsidRDefault="009D43C3" w:rsidP="005D02F0">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 xml:space="preserve">-   </w:t>
            </w:r>
          </w:p>
        </w:tc>
      </w:tr>
    </w:tbl>
    <w:p w14:paraId="572CE060" w14:textId="77777777" w:rsidR="009D43C3" w:rsidRPr="000C156A" w:rsidRDefault="009D43C3" w:rsidP="009D43C3">
      <w:pPr>
        <w:pStyle w:val="Heading1"/>
        <w:rPr>
          <w:rFonts w:cs="Microsoft YaHei"/>
          <w:sz w:val="24"/>
          <w:szCs w:val="24"/>
          <w:lang w:val="fr-FR"/>
        </w:rPr>
      </w:pPr>
      <w:bookmarkStart w:id="579" w:name="_Toc482870833"/>
      <w:bookmarkStart w:id="580" w:name="_Toc482892568"/>
      <w:bookmarkStart w:id="581" w:name="_Toc511813751"/>
      <w:bookmarkStart w:id="582" w:name="_Toc511817834"/>
      <w:bookmarkStart w:id="583" w:name="_Toc520280734"/>
      <w:bookmarkStart w:id="584" w:name="_Toc10536829"/>
      <w:bookmarkStart w:id="585" w:name="_Toc41905870"/>
      <w:bookmarkStart w:id="586" w:name="_Toc41906899"/>
      <w:bookmarkStart w:id="587" w:name="_Toc41907980"/>
      <w:bookmarkStart w:id="588" w:name="_Toc41908048"/>
      <w:bookmarkStart w:id="589" w:name="_Toc73518686"/>
      <w:bookmarkStart w:id="590" w:name="_Toc73518833"/>
      <w:bookmarkStart w:id="591" w:name="_Toc73519233"/>
      <w:bookmarkStart w:id="592" w:name="_Toc73636272"/>
      <w:r w:rsidRPr="000C156A">
        <w:rPr>
          <w:rFonts w:cs="Microsoft YaHei" w:hint="eastAsia"/>
          <w:sz w:val="24"/>
          <w:szCs w:val="24"/>
          <w:lang w:val="fr-FR"/>
        </w:rPr>
        <w:t>说明</w:t>
      </w:r>
      <w:r w:rsidRPr="000C156A">
        <w:rPr>
          <w:rFonts w:cs="Microsoft YaHei"/>
          <w:sz w:val="24"/>
          <w:szCs w:val="24"/>
          <w:lang w:val="fr-FR"/>
        </w:rPr>
        <w:t>9</w:t>
      </w:r>
      <w:r w:rsidRPr="000C156A">
        <w:rPr>
          <w:rFonts w:cs="Microsoft YaHei"/>
          <w:sz w:val="24"/>
          <w:szCs w:val="24"/>
          <w:lang w:val="fr-FR"/>
        </w:rPr>
        <w:tab/>
      </w:r>
      <w:r w:rsidRPr="000C156A">
        <w:rPr>
          <w:rFonts w:cs="Microsoft YaHei" w:hint="eastAsia"/>
          <w:sz w:val="24"/>
          <w:szCs w:val="24"/>
          <w:lang w:val="fr-FR"/>
        </w:rPr>
        <w:t>库存</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6FA897D7" w14:textId="77777777" w:rsidR="009D43C3" w:rsidRPr="000C156A" w:rsidRDefault="009D43C3" w:rsidP="009D43C3">
      <w:pPr>
        <w:spacing w:after="120"/>
        <w:ind w:firstLineChars="200" w:firstLine="480"/>
        <w:rPr>
          <w:lang w:eastAsia="zh-CN"/>
        </w:rPr>
      </w:pPr>
      <w:r w:rsidRPr="000C156A">
        <w:rPr>
          <w:rFonts w:hint="eastAsia"/>
          <w:lang w:eastAsia="zh-CN"/>
        </w:rPr>
        <w:t>出版物包括销售出版物和免费提供的出版物。办公用品包括印制国际电联出版物所用的纸张、用品和材料（</w:t>
      </w:r>
      <w:r w:rsidRPr="000C156A">
        <w:rPr>
          <w:lang w:eastAsia="zh-CN"/>
        </w:rPr>
        <w:t>stores</w:t>
      </w:r>
      <w:r w:rsidRPr="000C156A">
        <w:rPr>
          <w:rFonts w:hint="eastAsia"/>
          <w:lang w:eastAsia="zh-CN"/>
        </w:rPr>
        <w:t>）科处理的物品以及各种消耗品。</w:t>
      </w:r>
      <w:bookmarkStart w:id="593" w:name="_Toc329165785"/>
    </w:p>
    <w:p w14:paraId="31D6128F" w14:textId="77777777" w:rsidR="009D43C3" w:rsidRPr="000C156A" w:rsidRDefault="009D43C3" w:rsidP="00BA4789">
      <w:pPr>
        <w:spacing w:after="120"/>
        <w:ind w:firstLineChars="200" w:firstLine="480"/>
        <w:rPr>
          <w:lang w:eastAsia="zh-CN"/>
        </w:rPr>
      </w:pPr>
      <w:r w:rsidRPr="000C156A">
        <w:rPr>
          <w:rFonts w:hint="eastAsia"/>
          <w:lang w:eastAsia="zh-CN"/>
        </w:rPr>
        <w:t>为了工作人员的安全，对国际电联办公场所进行实物盘存和资产核查计数的实际访问受到限制。采用了替代核查方法，因此所述限制没有影响财务报表中的数字。</w:t>
      </w:r>
    </w:p>
    <w:tbl>
      <w:tblPr>
        <w:tblW w:w="9545"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623"/>
        <w:gridCol w:w="2127"/>
        <w:gridCol w:w="1795"/>
      </w:tblGrid>
      <w:tr w:rsidR="009D43C3" w:rsidRPr="000C156A" w14:paraId="2C42C1B5" w14:textId="77777777" w:rsidTr="005D02F0">
        <w:trPr>
          <w:jc w:val="center"/>
        </w:trPr>
        <w:tc>
          <w:tcPr>
            <w:tcW w:w="5623" w:type="dxa"/>
            <w:tcBorders>
              <w:bottom w:val="single" w:sz="4" w:space="0" w:color="000000"/>
            </w:tcBorders>
            <w:noWrap/>
            <w:vAlign w:val="center"/>
            <w:hideMark/>
          </w:tcPr>
          <w:p w14:paraId="7C92D0BC" w14:textId="77777777" w:rsidR="009D43C3" w:rsidRPr="000C156A" w:rsidRDefault="009D43C3" w:rsidP="005D02F0">
            <w:pPr>
              <w:pStyle w:val="Tablehead"/>
              <w:jc w:val="left"/>
              <w:rPr>
                <w:rFonts w:cs="Calibri"/>
                <w:szCs w:val="22"/>
                <w:lang w:val="en-US" w:eastAsia="zh-CN"/>
              </w:rPr>
            </w:pPr>
            <w:r w:rsidRPr="000C156A">
              <w:rPr>
                <w:rFonts w:cs="Calibri" w:hint="eastAsia"/>
                <w:szCs w:val="22"/>
                <w:lang w:val="en-US" w:eastAsia="zh-CN"/>
              </w:rPr>
              <w:t>单位：千瑞郎</w:t>
            </w:r>
          </w:p>
        </w:tc>
        <w:tc>
          <w:tcPr>
            <w:tcW w:w="2127" w:type="dxa"/>
            <w:tcBorders>
              <w:bottom w:val="single" w:sz="4" w:space="0" w:color="000000"/>
            </w:tcBorders>
            <w:noWrap/>
            <w:vAlign w:val="center"/>
            <w:hideMark/>
          </w:tcPr>
          <w:p w14:paraId="275EC5DE" w14:textId="77777777" w:rsidR="009D43C3" w:rsidRPr="000C156A" w:rsidRDefault="009D43C3" w:rsidP="005D02F0">
            <w:pPr>
              <w:pStyle w:val="Tablehead"/>
              <w:rPr>
                <w:rFonts w:cs="Calibri"/>
                <w:szCs w:val="22"/>
                <w:lang w:val="en-US" w:eastAsia="zh-CN"/>
              </w:rPr>
            </w:pPr>
            <w:r w:rsidRPr="000C156A">
              <w:rPr>
                <w:rFonts w:cs="Calibri"/>
                <w:szCs w:val="22"/>
                <w:lang w:val="en-US" w:eastAsia="zh-CN"/>
              </w:rPr>
              <w:t>20</w:t>
            </w:r>
            <w:r w:rsidRPr="000C156A">
              <w:rPr>
                <w:rFonts w:cs="Calibri" w:hint="eastAsia"/>
                <w:szCs w:val="22"/>
                <w:lang w:val="en-US" w:eastAsia="zh-CN"/>
              </w:rPr>
              <w:t>20</w:t>
            </w:r>
            <w:r w:rsidRPr="000C156A">
              <w:rPr>
                <w:rFonts w:cs="Calibri" w:hint="eastAsia"/>
                <w:szCs w:val="22"/>
                <w:lang w:val="en-US" w:eastAsia="zh-CN"/>
              </w:rPr>
              <w:t>年</w:t>
            </w:r>
            <w:r w:rsidRPr="000C156A">
              <w:rPr>
                <w:rFonts w:cs="Calibri"/>
                <w:szCs w:val="22"/>
                <w:lang w:val="en-US" w:eastAsia="zh-CN"/>
              </w:rPr>
              <w:t>12</w:t>
            </w:r>
            <w:r w:rsidRPr="000C156A">
              <w:rPr>
                <w:rFonts w:cs="Calibri" w:hint="eastAsia"/>
                <w:szCs w:val="22"/>
                <w:lang w:val="en-US" w:eastAsia="zh-CN"/>
              </w:rPr>
              <w:t>月</w:t>
            </w:r>
            <w:r w:rsidRPr="000C156A">
              <w:rPr>
                <w:rFonts w:cs="Calibri"/>
                <w:szCs w:val="22"/>
                <w:lang w:val="en-US" w:eastAsia="zh-CN"/>
              </w:rPr>
              <w:t>31</w:t>
            </w:r>
            <w:r w:rsidRPr="000C156A">
              <w:rPr>
                <w:rFonts w:cs="Calibri" w:hint="eastAsia"/>
                <w:szCs w:val="22"/>
                <w:lang w:val="en-US" w:eastAsia="zh-CN"/>
              </w:rPr>
              <w:t>日</w:t>
            </w:r>
          </w:p>
        </w:tc>
        <w:tc>
          <w:tcPr>
            <w:tcW w:w="1795" w:type="dxa"/>
            <w:tcBorders>
              <w:bottom w:val="single" w:sz="4" w:space="0" w:color="000000"/>
            </w:tcBorders>
            <w:vAlign w:val="center"/>
            <w:hideMark/>
          </w:tcPr>
          <w:p w14:paraId="79D99C01" w14:textId="77777777" w:rsidR="009D43C3" w:rsidRPr="000C156A" w:rsidRDefault="009D43C3" w:rsidP="005D02F0">
            <w:pPr>
              <w:pStyle w:val="Tablehead"/>
              <w:rPr>
                <w:rFonts w:cs="Calibri"/>
                <w:szCs w:val="22"/>
                <w:lang w:val="en-US" w:eastAsia="zh-CN"/>
              </w:rPr>
            </w:pPr>
            <w:r w:rsidRPr="000C156A">
              <w:rPr>
                <w:rFonts w:cs="Calibri"/>
                <w:szCs w:val="22"/>
                <w:lang w:val="en-US" w:eastAsia="zh-CN"/>
              </w:rPr>
              <w:t>20</w:t>
            </w:r>
            <w:r w:rsidRPr="000C156A">
              <w:rPr>
                <w:rFonts w:cs="Calibri" w:hint="eastAsia"/>
                <w:szCs w:val="22"/>
                <w:lang w:val="en-US" w:eastAsia="zh-CN"/>
              </w:rPr>
              <w:t>19</w:t>
            </w:r>
            <w:r w:rsidRPr="000C156A">
              <w:rPr>
                <w:rFonts w:cs="Calibri" w:hint="eastAsia"/>
                <w:szCs w:val="22"/>
                <w:lang w:val="en-US" w:eastAsia="zh-CN"/>
              </w:rPr>
              <w:t>年</w:t>
            </w:r>
            <w:r w:rsidRPr="000C156A">
              <w:rPr>
                <w:rFonts w:cs="Calibri"/>
                <w:szCs w:val="22"/>
                <w:lang w:val="en-US" w:eastAsia="zh-CN"/>
              </w:rPr>
              <w:t>12</w:t>
            </w:r>
            <w:r w:rsidRPr="000C156A">
              <w:rPr>
                <w:rFonts w:cs="Calibri" w:hint="eastAsia"/>
                <w:szCs w:val="22"/>
                <w:lang w:val="en-US" w:eastAsia="zh-CN"/>
              </w:rPr>
              <w:t>月</w:t>
            </w:r>
            <w:r w:rsidRPr="000C156A">
              <w:rPr>
                <w:rFonts w:cs="Calibri"/>
                <w:szCs w:val="22"/>
                <w:lang w:val="en-US" w:eastAsia="zh-CN"/>
              </w:rPr>
              <w:t>31</w:t>
            </w:r>
            <w:r w:rsidRPr="000C156A">
              <w:rPr>
                <w:rFonts w:cs="Calibri" w:hint="eastAsia"/>
                <w:szCs w:val="22"/>
                <w:lang w:val="en-US" w:eastAsia="zh-CN"/>
              </w:rPr>
              <w:t>日</w:t>
            </w:r>
          </w:p>
        </w:tc>
      </w:tr>
      <w:tr w:rsidR="009D43C3" w:rsidRPr="000C156A" w14:paraId="0B75E489" w14:textId="77777777" w:rsidTr="00FE5273">
        <w:trPr>
          <w:trHeight w:val="297"/>
          <w:jc w:val="center"/>
        </w:trPr>
        <w:tc>
          <w:tcPr>
            <w:tcW w:w="5623" w:type="dxa"/>
            <w:tcBorders>
              <w:top w:val="single" w:sz="4" w:space="0" w:color="000000"/>
            </w:tcBorders>
            <w:noWrap/>
            <w:vAlign w:val="center"/>
          </w:tcPr>
          <w:p w14:paraId="180E1399" w14:textId="77777777" w:rsidR="009D43C3" w:rsidRPr="000C156A" w:rsidRDefault="009D43C3" w:rsidP="00BA4789">
            <w:pPr>
              <w:pStyle w:val="Tabletext"/>
              <w:spacing w:before="40" w:after="40"/>
              <w:rPr>
                <w:rFonts w:cs="Calibri"/>
                <w:szCs w:val="22"/>
                <w:lang w:val="en-US" w:eastAsia="zh-CN"/>
              </w:rPr>
            </w:pPr>
          </w:p>
        </w:tc>
        <w:tc>
          <w:tcPr>
            <w:tcW w:w="2127" w:type="dxa"/>
            <w:tcBorders>
              <w:top w:val="single" w:sz="4" w:space="0" w:color="000000"/>
            </w:tcBorders>
            <w:noWrap/>
            <w:vAlign w:val="bottom"/>
          </w:tcPr>
          <w:p w14:paraId="6F129C10" w14:textId="77777777" w:rsidR="009D43C3" w:rsidRPr="000C156A" w:rsidRDefault="009D43C3" w:rsidP="005D02F0">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 </w:t>
            </w:r>
          </w:p>
        </w:tc>
        <w:tc>
          <w:tcPr>
            <w:tcW w:w="1795" w:type="dxa"/>
            <w:tcBorders>
              <w:top w:val="single" w:sz="4" w:space="0" w:color="000000"/>
            </w:tcBorders>
            <w:vAlign w:val="bottom"/>
          </w:tcPr>
          <w:p w14:paraId="37F9F698" w14:textId="77777777" w:rsidR="009D43C3" w:rsidRPr="000C156A" w:rsidRDefault="009D43C3" w:rsidP="005D02F0">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 </w:t>
            </w:r>
          </w:p>
        </w:tc>
      </w:tr>
      <w:tr w:rsidR="009D43C3" w:rsidRPr="000C156A" w14:paraId="1C3EC252" w14:textId="77777777" w:rsidTr="005D02F0">
        <w:trPr>
          <w:jc w:val="center"/>
        </w:trPr>
        <w:tc>
          <w:tcPr>
            <w:tcW w:w="5623" w:type="dxa"/>
            <w:noWrap/>
            <w:vAlign w:val="bottom"/>
            <w:hideMark/>
          </w:tcPr>
          <w:p w14:paraId="44CD21E7" w14:textId="77777777" w:rsidR="009D43C3" w:rsidRPr="000C156A" w:rsidRDefault="009D43C3" w:rsidP="00BA4789">
            <w:pPr>
              <w:pStyle w:val="Tabletext"/>
              <w:spacing w:before="40" w:after="40"/>
              <w:rPr>
                <w:rFonts w:cs="Calibri"/>
                <w:bCs/>
                <w:szCs w:val="22"/>
                <w:lang w:val="en-US" w:eastAsia="zh-CN"/>
              </w:rPr>
            </w:pPr>
            <w:r w:rsidRPr="000C156A">
              <w:rPr>
                <w:rFonts w:cs="Calibri" w:hint="eastAsia"/>
                <w:color w:val="000000"/>
                <w:szCs w:val="22"/>
                <w:lang w:val="en-US" w:eastAsia="zh-CN"/>
              </w:rPr>
              <w:t>出版物</w:t>
            </w:r>
            <w:r w:rsidRPr="000C156A">
              <w:rPr>
                <w:rFonts w:cs="Calibri"/>
                <w:color w:val="000000"/>
                <w:szCs w:val="22"/>
                <w:lang w:val="en-US" w:eastAsia="zh-CN"/>
              </w:rPr>
              <w:t> – </w:t>
            </w:r>
            <w:r w:rsidRPr="000C156A">
              <w:rPr>
                <w:rFonts w:cs="Calibri" w:hint="eastAsia"/>
                <w:color w:val="000000"/>
                <w:szCs w:val="22"/>
                <w:lang w:val="en-US" w:eastAsia="zh-CN"/>
              </w:rPr>
              <w:t>毛值</w:t>
            </w:r>
          </w:p>
        </w:tc>
        <w:tc>
          <w:tcPr>
            <w:tcW w:w="2127" w:type="dxa"/>
            <w:shd w:val="clear" w:color="auto" w:fill="auto"/>
            <w:noWrap/>
            <w:vAlign w:val="bottom"/>
            <w:hideMark/>
          </w:tcPr>
          <w:p w14:paraId="0C9A755C"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345</w:t>
            </w:r>
          </w:p>
        </w:tc>
        <w:tc>
          <w:tcPr>
            <w:tcW w:w="1795" w:type="dxa"/>
            <w:shd w:val="clear" w:color="auto" w:fill="auto"/>
            <w:noWrap/>
            <w:vAlign w:val="bottom"/>
            <w:hideMark/>
          </w:tcPr>
          <w:p w14:paraId="1C95071E"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355</w:t>
            </w:r>
          </w:p>
        </w:tc>
      </w:tr>
      <w:tr w:rsidR="009D43C3" w:rsidRPr="000C156A" w14:paraId="7F361093" w14:textId="77777777" w:rsidTr="00BA4789">
        <w:trPr>
          <w:trHeight w:val="221"/>
          <w:jc w:val="center"/>
        </w:trPr>
        <w:tc>
          <w:tcPr>
            <w:tcW w:w="5623" w:type="dxa"/>
            <w:tcBorders>
              <w:bottom w:val="single" w:sz="8" w:space="0" w:color="000000"/>
            </w:tcBorders>
            <w:noWrap/>
            <w:vAlign w:val="bottom"/>
            <w:hideMark/>
          </w:tcPr>
          <w:p w14:paraId="2EB19503" w14:textId="77777777" w:rsidR="009D43C3" w:rsidRPr="000C156A" w:rsidRDefault="009D43C3" w:rsidP="00BA4789">
            <w:pPr>
              <w:pStyle w:val="Tabletext"/>
              <w:spacing w:before="40" w:after="40"/>
              <w:rPr>
                <w:rFonts w:cs="Calibri"/>
                <w:color w:val="000000"/>
                <w:szCs w:val="22"/>
                <w:lang w:val="en-US" w:eastAsia="zh-CN"/>
              </w:rPr>
            </w:pPr>
            <w:r w:rsidRPr="000C156A">
              <w:rPr>
                <w:rFonts w:cs="Calibri" w:hint="eastAsia"/>
                <w:color w:val="000000"/>
                <w:szCs w:val="22"/>
                <w:lang w:val="en-US" w:eastAsia="zh-CN"/>
              </w:rPr>
              <w:t>折旧</w:t>
            </w:r>
          </w:p>
        </w:tc>
        <w:tc>
          <w:tcPr>
            <w:tcW w:w="2127" w:type="dxa"/>
            <w:tcBorders>
              <w:bottom w:val="single" w:sz="8" w:space="0" w:color="000000"/>
            </w:tcBorders>
            <w:shd w:val="clear" w:color="auto" w:fill="auto"/>
            <w:noWrap/>
            <w:vAlign w:val="bottom"/>
            <w:hideMark/>
          </w:tcPr>
          <w:p w14:paraId="6DAE6A08"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-217</w:t>
            </w:r>
          </w:p>
        </w:tc>
        <w:tc>
          <w:tcPr>
            <w:tcW w:w="1795" w:type="dxa"/>
            <w:tcBorders>
              <w:bottom w:val="single" w:sz="8" w:space="0" w:color="000000"/>
            </w:tcBorders>
            <w:shd w:val="clear" w:color="auto" w:fill="auto"/>
            <w:noWrap/>
            <w:vAlign w:val="bottom"/>
            <w:hideMark/>
          </w:tcPr>
          <w:p w14:paraId="57269BDB"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-237</w:t>
            </w:r>
          </w:p>
        </w:tc>
      </w:tr>
      <w:tr w:rsidR="009D43C3" w:rsidRPr="000C156A" w14:paraId="496A9EFA" w14:textId="77777777" w:rsidTr="005D02F0">
        <w:trPr>
          <w:jc w:val="center"/>
        </w:trPr>
        <w:tc>
          <w:tcPr>
            <w:tcW w:w="5623" w:type="dxa"/>
            <w:tcBorders>
              <w:top w:val="single" w:sz="8" w:space="0" w:color="000000"/>
              <w:left w:val="single" w:sz="8" w:space="0" w:color="000000"/>
              <w:bottom w:val="single" w:sz="8" w:space="0" w:color="000000"/>
            </w:tcBorders>
            <w:noWrap/>
            <w:vAlign w:val="bottom"/>
            <w:hideMark/>
          </w:tcPr>
          <w:p w14:paraId="5826C672" w14:textId="77777777" w:rsidR="009D43C3" w:rsidRPr="000C156A" w:rsidRDefault="009D43C3" w:rsidP="00BA4789">
            <w:pPr>
              <w:pStyle w:val="Tabletext"/>
              <w:spacing w:before="40" w:after="40"/>
              <w:rPr>
                <w:rFonts w:cs="Calibri"/>
                <w:b/>
                <w:bCs/>
                <w:color w:val="000000"/>
                <w:szCs w:val="22"/>
                <w:lang w:val="en-US" w:eastAsia="zh-CN"/>
              </w:rPr>
            </w:pPr>
            <w:r w:rsidRPr="000C156A">
              <w:rPr>
                <w:rFonts w:cs="Calibri" w:hint="eastAsia"/>
                <w:b/>
                <w:bCs/>
                <w:color w:val="000000"/>
                <w:szCs w:val="22"/>
                <w:lang w:val="en-US" w:eastAsia="zh-CN"/>
              </w:rPr>
              <w:t>出版物</w:t>
            </w:r>
            <w:r w:rsidRPr="000C156A">
              <w:rPr>
                <w:rFonts w:cs="Calibri" w:hint="eastAsia"/>
                <w:b/>
                <w:bCs/>
                <w:color w:val="000000"/>
                <w:szCs w:val="22"/>
                <w:lang w:val="en-US" w:eastAsia="zh-CN"/>
              </w:rPr>
              <w:t xml:space="preserve"> </w:t>
            </w:r>
            <w:r w:rsidRPr="000C156A">
              <w:rPr>
                <w:rFonts w:cs="Calibri"/>
                <w:b/>
                <w:bCs/>
                <w:color w:val="000000"/>
                <w:szCs w:val="22"/>
                <w:lang w:val="en-US" w:eastAsia="zh-CN"/>
              </w:rPr>
              <w:t xml:space="preserve">– </w:t>
            </w:r>
            <w:r w:rsidRPr="000C156A">
              <w:rPr>
                <w:rFonts w:cs="Calibri" w:hint="eastAsia"/>
                <w:b/>
                <w:bCs/>
                <w:color w:val="000000"/>
                <w:szCs w:val="22"/>
                <w:lang w:val="en-US" w:eastAsia="zh-CN"/>
              </w:rPr>
              <w:t>净值</w:t>
            </w:r>
          </w:p>
        </w:tc>
        <w:tc>
          <w:tcPr>
            <w:tcW w:w="2127" w:type="dxa"/>
            <w:tcBorders>
              <w:top w:val="single" w:sz="8" w:space="0" w:color="000000"/>
              <w:bottom w:val="single" w:sz="8" w:space="0" w:color="000000"/>
            </w:tcBorders>
            <w:shd w:val="clear" w:color="auto" w:fill="auto"/>
            <w:noWrap/>
            <w:vAlign w:val="bottom"/>
            <w:hideMark/>
          </w:tcPr>
          <w:p w14:paraId="6297E4BE"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127</w:t>
            </w:r>
          </w:p>
        </w:tc>
        <w:tc>
          <w:tcPr>
            <w:tcW w:w="1795" w:type="dxa"/>
            <w:tcBorders>
              <w:top w:val="single" w:sz="8" w:space="0" w:color="000000"/>
              <w:bottom w:val="single" w:sz="8" w:space="0" w:color="000000"/>
              <w:right w:val="single" w:sz="8" w:space="0" w:color="000000"/>
            </w:tcBorders>
            <w:shd w:val="clear" w:color="auto" w:fill="auto"/>
            <w:noWrap/>
            <w:vAlign w:val="bottom"/>
            <w:hideMark/>
          </w:tcPr>
          <w:p w14:paraId="782F4B59"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117</w:t>
            </w:r>
          </w:p>
        </w:tc>
      </w:tr>
      <w:tr w:rsidR="009D43C3" w:rsidRPr="000C156A" w14:paraId="0698D33F" w14:textId="77777777" w:rsidTr="005D02F0">
        <w:trPr>
          <w:jc w:val="center"/>
        </w:trPr>
        <w:tc>
          <w:tcPr>
            <w:tcW w:w="5623" w:type="dxa"/>
            <w:tcBorders>
              <w:top w:val="single" w:sz="8" w:space="0" w:color="000000"/>
            </w:tcBorders>
            <w:noWrap/>
            <w:vAlign w:val="center"/>
            <w:hideMark/>
          </w:tcPr>
          <w:p w14:paraId="1A61AA39" w14:textId="77777777" w:rsidR="009D43C3" w:rsidRPr="000C156A" w:rsidRDefault="009D43C3" w:rsidP="00BA4789">
            <w:pPr>
              <w:pStyle w:val="Tabletext"/>
              <w:spacing w:before="40" w:after="40"/>
              <w:rPr>
                <w:rFonts w:cs="Calibri"/>
                <w:bCs/>
                <w:szCs w:val="22"/>
                <w:lang w:val="en-US" w:eastAsia="zh-CN"/>
              </w:rPr>
            </w:pPr>
            <w:r w:rsidRPr="000C156A">
              <w:rPr>
                <w:rFonts w:cs="Calibri" w:hint="eastAsia"/>
                <w:color w:val="000000"/>
                <w:szCs w:val="22"/>
                <w:lang w:val="en-US" w:eastAsia="zh-CN"/>
              </w:rPr>
              <w:t>礼品</w:t>
            </w:r>
            <w:r w:rsidRPr="000C156A">
              <w:rPr>
                <w:rFonts w:cs="Calibri"/>
                <w:color w:val="000000"/>
                <w:szCs w:val="22"/>
                <w:lang w:val="en-US" w:eastAsia="zh-CN"/>
              </w:rPr>
              <w:t> – </w:t>
            </w:r>
            <w:r w:rsidRPr="000C156A">
              <w:rPr>
                <w:rFonts w:cs="Calibri" w:hint="eastAsia"/>
                <w:color w:val="000000"/>
                <w:szCs w:val="22"/>
                <w:lang w:val="en-US" w:eastAsia="zh-CN"/>
              </w:rPr>
              <w:t>毛值</w:t>
            </w:r>
          </w:p>
        </w:tc>
        <w:tc>
          <w:tcPr>
            <w:tcW w:w="2127" w:type="dxa"/>
            <w:tcBorders>
              <w:top w:val="single" w:sz="8" w:space="0" w:color="000000"/>
            </w:tcBorders>
            <w:shd w:val="clear" w:color="auto" w:fill="auto"/>
            <w:noWrap/>
            <w:vAlign w:val="bottom"/>
            <w:hideMark/>
          </w:tcPr>
          <w:p w14:paraId="2FCC1889"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76</w:t>
            </w:r>
          </w:p>
        </w:tc>
        <w:tc>
          <w:tcPr>
            <w:tcW w:w="1795" w:type="dxa"/>
            <w:tcBorders>
              <w:top w:val="single" w:sz="8" w:space="0" w:color="000000"/>
            </w:tcBorders>
            <w:shd w:val="clear" w:color="auto" w:fill="auto"/>
            <w:noWrap/>
            <w:vAlign w:val="bottom"/>
            <w:hideMark/>
          </w:tcPr>
          <w:p w14:paraId="43D612B7"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133</w:t>
            </w:r>
          </w:p>
        </w:tc>
      </w:tr>
      <w:tr w:rsidR="009D43C3" w:rsidRPr="000C156A" w14:paraId="64A82F08" w14:textId="77777777" w:rsidTr="005D02F0">
        <w:trPr>
          <w:jc w:val="center"/>
        </w:trPr>
        <w:tc>
          <w:tcPr>
            <w:tcW w:w="5623" w:type="dxa"/>
            <w:tcBorders>
              <w:bottom w:val="single" w:sz="8" w:space="0" w:color="000000"/>
            </w:tcBorders>
            <w:noWrap/>
            <w:vAlign w:val="center"/>
            <w:hideMark/>
          </w:tcPr>
          <w:p w14:paraId="2FECC66B" w14:textId="77777777" w:rsidR="009D43C3" w:rsidRPr="000C156A" w:rsidRDefault="009D43C3" w:rsidP="00BA4789">
            <w:pPr>
              <w:pStyle w:val="Tabletext"/>
              <w:spacing w:before="40" w:after="40"/>
              <w:rPr>
                <w:rFonts w:cs="Calibri"/>
                <w:color w:val="000000"/>
                <w:szCs w:val="22"/>
                <w:lang w:val="en-US" w:eastAsia="zh-CN"/>
              </w:rPr>
            </w:pPr>
            <w:r w:rsidRPr="000C156A">
              <w:rPr>
                <w:rFonts w:cs="Calibri" w:hint="eastAsia"/>
                <w:color w:val="000000"/>
                <w:szCs w:val="22"/>
                <w:lang w:val="en-US" w:eastAsia="zh-CN"/>
              </w:rPr>
              <w:t>折旧</w:t>
            </w:r>
          </w:p>
        </w:tc>
        <w:tc>
          <w:tcPr>
            <w:tcW w:w="2127" w:type="dxa"/>
            <w:tcBorders>
              <w:bottom w:val="single" w:sz="8" w:space="0" w:color="000000"/>
            </w:tcBorders>
            <w:shd w:val="clear" w:color="auto" w:fill="auto"/>
            <w:noWrap/>
            <w:vAlign w:val="bottom"/>
            <w:hideMark/>
          </w:tcPr>
          <w:p w14:paraId="2984C8FF"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-38</w:t>
            </w:r>
          </w:p>
        </w:tc>
        <w:tc>
          <w:tcPr>
            <w:tcW w:w="1795" w:type="dxa"/>
            <w:tcBorders>
              <w:bottom w:val="single" w:sz="8" w:space="0" w:color="000000"/>
            </w:tcBorders>
            <w:shd w:val="clear" w:color="auto" w:fill="auto"/>
            <w:noWrap/>
            <w:vAlign w:val="bottom"/>
            <w:hideMark/>
          </w:tcPr>
          <w:p w14:paraId="661F951C"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-85</w:t>
            </w:r>
          </w:p>
        </w:tc>
      </w:tr>
      <w:tr w:rsidR="009D43C3" w:rsidRPr="000C156A" w14:paraId="1493FA1D" w14:textId="77777777" w:rsidTr="005D02F0">
        <w:trPr>
          <w:jc w:val="center"/>
        </w:trPr>
        <w:tc>
          <w:tcPr>
            <w:tcW w:w="5623" w:type="dxa"/>
            <w:tcBorders>
              <w:top w:val="single" w:sz="8" w:space="0" w:color="000000"/>
              <w:left w:val="single" w:sz="8" w:space="0" w:color="000000"/>
              <w:bottom w:val="single" w:sz="8" w:space="0" w:color="000000"/>
            </w:tcBorders>
            <w:noWrap/>
            <w:vAlign w:val="center"/>
            <w:hideMark/>
          </w:tcPr>
          <w:p w14:paraId="23213A46" w14:textId="77777777" w:rsidR="009D43C3" w:rsidRPr="000C156A" w:rsidRDefault="009D43C3" w:rsidP="00BA4789">
            <w:pPr>
              <w:pStyle w:val="Tabletext"/>
              <w:spacing w:before="40" w:after="40"/>
              <w:rPr>
                <w:rFonts w:cs="Calibri"/>
                <w:b/>
                <w:bCs/>
                <w:color w:val="000000"/>
                <w:szCs w:val="22"/>
                <w:lang w:val="en-US" w:eastAsia="zh-CN"/>
              </w:rPr>
            </w:pPr>
            <w:r w:rsidRPr="000C156A">
              <w:rPr>
                <w:rFonts w:cs="Calibri" w:hint="eastAsia"/>
                <w:b/>
                <w:bCs/>
                <w:color w:val="000000"/>
                <w:szCs w:val="22"/>
                <w:lang w:val="en-US" w:eastAsia="zh-CN"/>
              </w:rPr>
              <w:t>礼品</w:t>
            </w:r>
            <w:r w:rsidRPr="000C156A">
              <w:rPr>
                <w:rFonts w:cs="Calibri" w:hint="eastAsia"/>
                <w:b/>
                <w:bCs/>
                <w:color w:val="000000"/>
                <w:szCs w:val="22"/>
                <w:lang w:val="en-US" w:eastAsia="zh-CN"/>
              </w:rPr>
              <w:t xml:space="preserve"> </w:t>
            </w:r>
            <w:r w:rsidRPr="000C156A">
              <w:rPr>
                <w:rFonts w:cs="Calibri"/>
                <w:b/>
                <w:bCs/>
                <w:color w:val="000000"/>
                <w:szCs w:val="22"/>
                <w:lang w:val="en-US" w:eastAsia="zh-CN"/>
              </w:rPr>
              <w:t xml:space="preserve">– </w:t>
            </w:r>
            <w:r w:rsidRPr="000C156A">
              <w:rPr>
                <w:rFonts w:cs="Calibri" w:hint="eastAsia"/>
                <w:b/>
                <w:bCs/>
                <w:color w:val="000000"/>
                <w:szCs w:val="22"/>
                <w:lang w:val="en-US" w:eastAsia="zh-CN"/>
              </w:rPr>
              <w:t>净值</w:t>
            </w:r>
          </w:p>
        </w:tc>
        <w:tc>
          <w:tcPr>
            <w:tcW w:w="2127" w:type="dxa"/>
            <w:tcBorders>
              <w:top w:val="single" w:sz="8" w:space="0" w:color="000000"/>
              <w:bottom w:val="single" w:sz="8" w:space="0" w:color="000000"/>
            </w:tcBorders>
            <w:shd w:val="clear" w:color="auto" w:fill="auto"/>
            <w:noWrap/>
            <w:vAlign w:val="bottom"/>
            <w:hideMark/>
          </w:tcPr>
          <w:p w14:paraId="4CC54647"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38</w:t>
            </w:r>
          </w:p>
        </w:tc>
        <w:tc>
          <w:tcPr>
            <w:tcW w:w="1795" w:type="dxa"/>
            <w:tcBorders>
              <w:top w:val="single" w:sz="8" w:space="0" w:color="000000"/>
              <w:bottom w:val="single" w:sz="8" w:space="0" w:color="000000"/>
              <w:right w:val="single" w:sz="8" w:space="0" w:color="000000"/>
            </w:tcBorders>
            <w:shd w:val="clear" w:color="auto" w:fill="auto"/>
            <w:noWrap/>
            <w:vAlign w:val="bottom"/>
            <w:hideMark/>
          </w:tcPr>
          <w:p w14:paraId="4725EA22"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48</w:t>
            </w:r>
          </w:p>
        </w:tc>
      </w:tr>
      <w:tr w:rsidR="009D43C3" w:rsidRPr="000C156A" w14:paraId="36A0D7DA" w14:textId="77777777" w:rsidTr="005D02F0">
        <w:trPr>
          <w:jc w:val="center"/>
        </w:trPr>
        <w:tc>
          <w:tcPr>
            <w:tcW w:w="5623" w:type="dxa"/>
            <w:tcBorders>
              <w:top w:val="single" w:sz="8" w:space="0" w:color="000000"/>
            </w:tcBorders>
            <w:noWrap/>
            <w:vAlign w:val="center"/>
            <w:hideMark/>
          </w:tcPr>
          <w:p w14:paraId="0BEEE342" w14:textId="77777777" w:rsidR="009D43C3" w:rsidRPr="000C156A" w:rsidRDefault="009D43C3" w:rsidP="00BA4789">
            <w:pPr>
              <w:pStyle w:val="Tabletext"/>
              <w:spacing w:before="40" w:after="40"/>
              <w:rPr>
                <w:rFonts w:cs="Calibri"/>
                <w:color w:val="000000"/>
                <w:szCs w:val="22"/>
                <w:lang w:val="en-US"/>
              </w:rPr>
            </w:pPr>
            <w:r w:rsidRPr="000C156A">
              <w:rPr>
                <w:rFonts w:cs="Calibri" w:hint="eastAsia"/>
                <w:color w:val="000000"/>
                <w:szCs w:val="22"/>
                <w:lang w:val="en-US" w:eastAsia="zh-CN"/>
              </w:rPr>
              <w:t>办</w:t>
            </w:r>
            <w:r w:rsidRPr="000C156A">
              <w:rPr>
                <w:rFonts w:cs="Calibri" w:hint="eastAsia"/>
                <w:color w:val="000000"/>
                <w:szCs w:val="22"/>
                <w:lang w:val="en-US"/>
              </w:rPr>
              <w:t>公用品</w:t>
            </w:r>
            <w:r w:rsidRPr="000C156A">
              <w:rPr>
                <w:rFonts w:cs="Calibri"/>
                <w:color w:val="000000"/>
                <w:szCs w:val="22"/>
                <w:lang w:val="en-US"/>
              </w:rPr>
              <w:t> – </w:t>
            </w:r>
            <w:r w:rsidRPr="000C156A">
              <w:rPr>
                <w:rFonts w:cs="Calibri" w:hint="eastAsia"/>
                <w:color w:val="000000"/>
                <w:szCs w:val="22"/>
                <w:lang w:val="en-US"/>
              </w:rPr>
              <w:t>毛值</w:t>
            </w:r>
          </w:p>
        </w:tc>
        <w:tc>
          <w:tcPr>
            <w:tcW w:w="2127" w:type="dxa"/>
            <w:tcBorders>
              <w:top w:val="single" w:sz="8" w:space="0" w:color="000000"/>
            </w:tcBorders>
            <w:shd w:val="clear" w:color="auto" w:fill="auto"/>
            <w:noWrap/>
            <w:vAlign w:val="bottom"/>
            <w:hideMark/>
          </w:tcPr>
          <w:p w14:paraId="669121B5"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293</w:t>
            </w:r>
          </w:p>
        </w:tc>
        <w:tc>
          <w:tcPr>
            <w:tcW w:w="1795" w:type="dxa"/>
            <w:tcBorders>
              <w:top w:val="single" w:sz="8" w:space="0" w:color="000000"/>
            </w:tcBorders>
            <w:shd w:val="clear" w:color="auto" w:fill="auto"/>
            <w:noWrap/>
            <w:vAlign w:val="bottom"/>
            <w:hideMark/>
          </w:tcPr>
          <w:p w14:paraId="68C70893"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373</w:t>
            </w:r>
          </w:p>
        </w:tc>
      </w:tr>
      <w:tr w:rsidR="009D43C3" w:rsidRPr="000C156A" w14:paraId="0DD49946" w14:textId="77777777" w:rsidTr="005D02F0">
        <w:trPr>
          <w:jc w:val="center"/>
        </w:trPr>
        <w:tc>
          <w:tcPr>
            <w:tcW w:w="5623" w:type="dxa"/>
            <w:tcBorders>
              <w:bottom w:val="single" w:sz="8" w:space="0" w:color="000000"/>
            </w:tcBorders>
            <w:noWrap/>
            <w:vAlign w:val="center"/>
            <w:hideMark/>
          </w:tcPr>
          <w:p w14:paraId="5385A7FA" w14:textId="77777777" w:rsidR="009D43C3" w:rsidRPr="000C156A" w:rsidRDefault="009D43C3" w:rsidP="00BA4789">
            <w:pPr>
              <w:pStyle w:val="Tabletext"/>
              <w:spacing w:before="40" w:after="40"/>
              <w:rPr>
                <w:rFonts w:cs="Calibri"/>
                <w:bCs/>
                <w:szCs w:val="22"/>
                <w:lang w:val="en-US"/>
              </w:rPr>
            </w:pPr>
            <w:r w:rsidRPr="000C156A">
              <w:rPr>
                <w:rFonts w:cs="Calibri" w:hint="eastAsia"/>
                <w:color w:val="000000"/>
                <w:szCs w:val="22"/>
                <w:lang w:val="en-US"/>
              </w:rPr>
              <w:t>折旧</w:t>
            </w:r>
          </w:p>
        </w:tc>
        <w:tc>
          <w:tcPr>
            <w:tcW w:w="2127" w:type="dxa"/>
            <w:tcBorders>
              <w:bottom w:val="single" w:sz="8" w:space="0" w:color="000000"/>
            </w:tcBorders>
            <w:shd w:val="clear" w:color="auto" w:fill="auto"/>
            <w:noWrap/>
            <w:vAlign w:val="bottom"/>
            <w:hideMark/>
          </w:tcPr>
          <w:p w14:paraId="4989FD3C"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0</w:t>
            </w:r>
          </w:p>
        </w:tc>
        <w:tc>
          <w:tcPr>
            <w:tcW w:w="1795" w:type="dxa"/>
            <w:tcBorders>
              <w:bottom w:val="single" w:sz="8" w:space="0" w:color="000000"/>
            </w:tcBorders>
            <w:shd w:val="clear" w:color="auto" w:fill="auto"/>
            <w:noWrap/>
            <w:vAlign w:val="bottom"/>
            <w:hideMark/>
          </w:tcPr>
          <w:p w14:paraId="4DC4B15A"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0</w:t>
            </w:r>
          </w:p>
        </w:tc>
      </w:tr>
      <w:tr w:rsidR="009D43C3" w:rsidRPr="000C156A" w14:paraId="7A46AEFD" w14:textId="77777777" w:rsidTr="005D02F0">
        <w:trPr>
          <w:jc w:val="center"/>
        </w:trPr>
        <w:tc>
          <w:tcPr>
            <w:tcW w:w="5623" w:type="dxa"/>
            <w:tcBorders>
              <w:top w:val="single" w:sz="8" w:space="0" w:color="000000"/>
              <w:left w:val="single" w:sz="8" w:space="0" w:color="000000"/>
              <w:bottom w:val="single" w:sz="8" w:space="0" w:color="000000"/>
            </w:tcBorders>
            <w:noWrap/>
            <w:vAlign w:val="center"/>
            <w:hideMark/>
          </w:tcPr>
          <w:p w14:paraId="3008C229" w14:textId="77777777" w:rsidR="009D43C3" w:rsidRPr="000C156A" w:rsidRDefault="009D43C3" w:rsidP="00BA4789">
            <w:pPr>
              <w:pStyle w:val="Tabletext"/>
              <w:spacing w:before="40" w:after="40"/>
              <w:rPr>
                <w:rFonts w:cs="Calibri"/>
                <w:b/>
                <w:szCs w:val="22"/>
                <w:lang w:val="en-US"/>
              </w:rPr>
            </w:pPr>
            <w:r w:rsidRPr="000C156A">
              <w:rPr>
                <w:rFonts w:cs="Calibri" w:hint="eastAsia"/>
                <w:b/>
                <w:color w:val="000000"/>
                <w:szCs w:val="22"/>
                <w:lang w:val="en-US"/>
              </w:rPr>
              <w:t>办公用品</w:t>
            </w:r>
            <w:r w:rsidRPr="000C156A">
              <w:rPr>
                <w:rFonts w:cs="Calibri"/>
                <w:b/>
                <w:color w:val="000000"/>
                <w:szCs w:val="22"/>
                <w:lang w:val="en-US"/>
              </w:rPr>
              <w:t xml:space="preserve"> – </w:t>
            </w:r>
            <w:r w:rsidRPr="000C156A">
              <w:rPr>
                <w:rFonts w:cs="Calibri" w:hint="eastAsia"/>
                <w:b/>
                <w:color w:val="000000"/>
                <w:szCs w:val="22"/>
                <w:lang w:val="en-US"/>
              </w:rPr>
              <w:t>净值</w:t>
            </w:r>
          </w:p>
        </w:tc>
        <w:tc>
          <w:tcPr>
            <w:tcW w:w="2127" w:type="dxa"/>
            <w:tcBorders>
              <w:top w:val="single" w:sz="8" w:space="0" w:color="000000"/>
              <w:bottom w:val="single" w:sz="8" w:space="0" w:color="000000"/>
            </w:tcBorders>
            <w:shd w:val="clear" w:color="auto" w:fill="auto"/>
            <w:noWrap/>
            <w:vAlign w:val="bottom"/>
            <w:hideMark/>
          </w:tcPr>
          <w:p w14:paraId="5B0D6D6B"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293</w:t>
            </w:r>
          </w:p>
        </w:tc>
        <w:tc>
          <w:tcPr>
            <w:tcW w:w="1795" w:type="dxa"/>
            <w:tcBorders>
              <w:top w:val="single" w:sz="8" w:space="0" w:color="000000"/>
              <w:bottom w:val="single" w:sz="8" w:space="0" w:color="000000"/>
              <w:right w:val="single" w:sz="8" w:space="0" w:color="000000"/>
            </w:tcBorders>
            <w:shd w:val="clear" w:color="auto" w:fill="auto"/>
            <w:noWrap/>
            <w:vAlign w:val="bottom"/>
            <w:hideMark/>
          </w:tcPr>
          <w:p w14:paraId="2D2B8980"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373</w:t>
            </w:r>
          </w:p>
        </w:tc>
      </w:tr>
      <w:tr w:rsidR="009D43C3" w:rsidRPr="000C156A" w14:paraId="60F1A52C" w14:textId="77777777" w:rsidTr="005D02F0">
        <w:trPr>
          <w:jc w:val="center"/>
        </w:trPr>
        <w:tc>
          <w:tcPr>
            <w:tcW w:w="5623" w:type="dxa"/>
            <w:tcBorders>
              <w:top w:val="single" w:sz="8" w:space="0" w:color="000000"/>
              <w:left w:val="single" w:sz="8" w:space="0" w:color="000000"/>
              <w:bottom w:val="single" w:sz="8" w:space="0" w:color="000000"/>
            </w:tcBorders>
            <w:noWrap/>
            <w:vAlign w:val="center"/>
            <w:hideMark/>
          </w:tcPr>
          <w:p w14:paraId="04B428A9" w14:textId="77777777" w:rsidR="009D43C3" w:rsidRPr="000C156A" w:rsidRDefault="009D43C3" w:rsidP="00BA4789">
            <w:pPr>
              <w:pStyle w:val="Tabletext"/>
              <w:spacing w:before="40" w:after="40"/>
              <w:rPr>
                <w:rFonts w:cs="Calibri"/>
                <w:b/>
                <w:color w:val="000000"/>
                <w:szCs w:val="22"/>
                <w:lang w:val="en-US"/>
              </w:rPr>
            </w:pPr>
            <w:r w:rsidRPr="000C156A">
              <w:rPr>
                <w:rFonts w:cs="Calibri" w:hint="eastAsia"/>
                <w:b/>
                <w:color w:val="000000"/>
                <w:szCs w:val="22"/>
                <w:lang w:val="en-US"/>
              </w:rPr>
              <w:t>库存</w:t>
            </w:r>
            <w:r w:rsidRPr="000C156A">
              <w:rPr>
                <w:rFonts w:cs="Calibri"/>
                <w:b/>
                <w:color w:val="000000"/>
                <w:szCs w:val="22"/>
                <w:lang w:val="en-US"/>
              </w:rPr>
              <w:t xml:space="preserve"> – </w:t>
            </w:r>
            <w:r w:rsidRPr="000C156A">
              <w:rPr>
                <w:rFonts w:cs="Calibri" w:hint="eastAsia"/>
                <w:b/>
                <w:color w:val="000000"/>
                <w:szCs w:val="22"/>
                <w:lang w:val="en-US"/>
              </w:rPr>
              <w:t>净值</w:t>
            </w:r>
          </w:p>
        </w:tc>
        <w:tc>
          <w:tcPr>
            <w:tcW w:w="2127" w:type="dxa"/>
            <w:tcBorders>
              <w:top w:val="single" w:sz="8" w:space="0" w:color="000000"/>
              <w:bottom w:val="single" w:sz="8" w:space="0" w:color="000000"/>
            </w:tcBorders>
            <w:shd w:val="clear" w:color="auto" w:fill="auto"/>
            <w:noWrap/>
            <w:vAlign w:val="bottom"/>
            <w:hideMark/>
          </w:tcPr>
          <w:p w14:paraId="0E887B8B" w14:textId="77777777" w:rsidR="009D43C3" w:rsidRPr="000C156A" w:rsidRDefault="009D43C3" w:rsidP="005D02F0">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459</w:t>
            </w:r>
          </w:p>
        </w:tc>
        <w:tc>
          <w:tcPr>
            <w:tcW w:w="1795" w:type="dxa"/>
            <w:tcBorders>
              <w:top w:val="single" w:sz="8" w:space="0" w:color="000000"/>
              <w:bottom w:val="single" w:sz="8" w:space="0" w:color="000000"/>
              <w:right w:val="single" w:sz="8" w:space="0" w:color="000000"/>
            </w:tcBorders>
            <w:shd w:val="clear" w:color="auto" w:fill="auto"/>
            <w:noWrap/>
            <w:vAlign w:val="bottom"/>
            <w:hideMark/>
          </w:tcPr>
          <w:p w14:paraId="24F8340D" w14:textId="77777777" w:rsidR="009D43C3" w:rsidRPr="000C156A" w:rsidRDefault="009D43C3" w:rsidP="005D02F0">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539</w:t>
            </w:r>
          </w:p>
        </w:tc>
      </w:tr>
    </w:tbl>
    <w:p w14:paraId="315A69A5" w14:textId="77777777" w:rsidR="009D43C3" w:rsidRPr="000C156A" w:rsidRDefault="009D43C3" w:rsidP="009D43C3">
      <w:pPr>
        <w:pStyle w:val="Heading1"/>
        <w:spacing w:after="120"/>
        <w:rPr>
          <w:rFonts w:cs="Microsoft YaHei"/>
          <w:sz w:val="24"/>
          <w:szCs w:val="24"/>
          <w:lang w:val="fr-FR"/>
        </w:rPr>
      </w:pPr>
      <w:bookmarkStart w:id="594" w:name="_Toc482892569"/>
      <w:bookmarkStart w:id="595" w:name="_Toc482870834"/>
      <w:bookmarkStart w:id="596" w:name="_Toc511813752"/>
      <w:bookmarkStart w:id="597" w:name="_Toc511817835"/>
      <w:bookmarkStart w:id="598" w:name="_Toc520280735"/>
      <w:bookmarkStart w:id="599" w:name="_Toc10536830"/>
      <w:bookmarkStart w:id="600" w:name="_Toc41905871"/>
      <w:bookmarkStart w:id="601" w:name="_Toc41906900"/>
      <w:bookmarkStart w:id="602" w:name="_Toc41907981"/>
      <w:bookmarkStart w:id="603" w:name="_Toc41908049"/>
      <w:bookmarkStart w:id="604" w:name="_Toc73518687"/>
      <w:bookmarkStart w:id="605" w:name="_Toc73518834"/>
      <w:bookmarkStart w:id="606" w:name="_Toc73519234"/>
      <w:bookmarkStart w:id="607" w:name="_Toc73636273"/>
      <w:r w:rsidRPr="000C156A">
        <w:rPr>
          <w:rFonts w:cs="Microsoft YaHei" w:hint="eastAsia"/>
          <w:sz w:val="24"/>
          <w:szCs w:val="24"/>
          <w:lang w:val="fr-FR"/>
        </w:rPr>
        <w:lastRenderedPageBreak/>
        <w:t>说明</w:t>
      </w:r>
      <w:r w:rsidRPr="000C156A">
        <w:rPr>
          <w:rFonts w:cs="Microsoft YaHei"/>
          <w:sz w:val="24"/>
          <w:szCs w:val="24"/>
          <w:lang w:val="fr-FR"/>
        </w:rPr>
        <w:t>10</w:t>
      </w:r>
      <w:r w:rsidRPr="000C156A">
        <w:rPr>
          <w:rFonts w:cs="Microsoft YaHei"/>
          <w:sz w:val="24"/>
          <w:szCs w:val="24"/>
          <w:lang w:val="fr-FR"/>
        </w:rPr>
        <w:tab/>
      </w:r>
      <w:r w:rsidRPr="000C156A">
        <w:rPr>
          <w:rFonts w:cs="Microsoft YaHei" w:hint="eastAsia"/>
          <w:sz w:val="24"/>
          <w:szCs w:val="24"/>
          <w:lang w:val="fr-FR"/>
        </w:rPr>
        <w:t>其它应收款项</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tbl>
      <w:tblPr>
        <w:tblW w:w="9735" w:type="dxa"/>
        <w:jc w:val="center"/>
        <w:tblLook w:val="04A0" w:firstRow="1" w:lastRow="0" w:firstColumn="1" w:lastColumn="0" w:noHBand="0" w:noVBand="1"/>
      </w:tblPr>
      <w:tblGrid>
        <w:gridCol w:w="5435"/>
        <w:gridCol w:w="2126"/>
        <w:gridCol w:w="2174"/>
      </w:tblGrid>
      <w:tr w:rsidR="009D43C3" w:rsidRPr="000C156A" w14:paraId="2FEE708A" w14:textId="77777777" w:rsidTr="005D02F0">
        <w:trPr>
          <w:trHeight w:val="340"/>
          <w:jc w:val="center"/>
        </w:trPr>
        <w:tc>
          <w:tcPr>
            <w:tcW w:w="5435" w:type="dxa"/>
            <w:tcBorders>
              <w:top w:val="single" w:sz="4" w:space="0" w:color="auto"/>
              <w:left w:val="single" w:sz="4" w:space="0" w:color="auto"/>
              <w:bottom w:val="single" w:sz="4" w:space="0" w:color="auto"/>
              <w:right w:val="single" w:sz="4" w:space="0" w:color="auto"/>
            </w:tcBorders>
            <w:noWrap/>
            <w:vAlign w:val="center"/>
            <w:hideMark/>
          </w:tcPr>
          <w:p w14:paraId="74939E8D" w14:textId="77777777" w:rsidR="009D43C3" w:rsidRPr="000C156A" w:rsidRDefault="009D43C3" w:rsidP="005D02F0">
            <w:pPr>
              <w:pStyle w:val="Tablehead"/>
              <w:jc w:val="left"/>
              <w:rPr>
                <w:rFonts w:cs="Calibri"/>
                <w:szCs w:val="22"/>
                <w:lang w:val="en-US"/>
              </w:rPr>
            </w:pPr>
            <w:r w:rsidRPr="000C156A">
              <w:rPr>
                <w:rFonts w:cs="Calibri" w:hint="eastAsia"/>
                <w:szCs w:val="22"/>
                <w:lang w:val="en-US" w:eastAsia="fr-FR"/>
              </w:rPr>
              <w:t>单位：千瑞郎</w:t>
            </w:r>
          </w:p>
        </w:tc>
        <w:tc>
          <w:tcPr>
            <w:tcW w:w="2126" w:type="dxa"/>
            <w:tcBorders>
              <w:top w:val="single" w:sz="4" w:space="0" w:color="auto"/>
              <w:left w:val="nil"/>
              <w:bottom w:val="single" w:sz="4" w:space="0" w:color="auto"/>
              <w:right w:val="single" w:sz="4" w:space="0" w:color="auto"/>
            </w:tcBorders>
            <w:noWrap/>
            <w:vAlign w:val="center"/>
            <w:hideMark/>
          </w:tcPr>
          <w:p w14:paraId="5E368F97" w14:textId="77777777" w:rsidR="009D43C3" w:rsidRPr="000C156A" w:rsidRDefault="009D43C3" w:rsidP="005D02F0">
            <w:pPr>
              <w:pStyle w:val="Tablehead"/>
              <w:rPr>
                <w:rFonts w:cs="Calibri"/>
                <w:szCs w:val="22"/>
                <w:lang w:val="en-US" w:eastAsia="zh-CN"/>
              </w:rPr>
            </w:pPr>
            <w:r w:rsidRPr="000C156A">
              <w:rPr>
                <w:rFonts w:cs="Calibri"/>
                <w:szCs w:val="22"/>
                <w:lang w:val="en-US" w:eastAsia="zh-CN"/>
              </w:rPr>
              <w:t>20</w:t>
            </w:r>
            <w:r w:rsidRPr="000C156A">
              <w:rPr>
                <w:rFonts w:cs="Calibri" w:hint="eastAsia"/>
                <w:szCs w:val="22"/>
                <w:lang w:val="en-US" w:eastAsia="zh-CN"/>
              </w:rPr>
              <w:t>20</w:t>
            </w:r>
            <w:r w:rsidRPr="000C156A">
              <w:rPr>
                <w:rFonts w:cs="Calibri" w:hint="eastAsia"/>
                <w:szCs w:val="22"/>
                <w:lang w:val="en-US" w:eastAsia="zh-CN"/>
              </w:rPr>
              <w:t>年</w:t>
            </w:r>
            <w:r w:rsidRPr="000C156A">
              <w:rPr>
                <w:rFonts w:cs="Calibri"/>
                <w:szCs w:val="22"/>
                <w:lang w:val="en-US" w:eastAsia="zh-CN"/>
              </w:rPr>
              <w:t>12</w:t>
            </w:r>
            <w:r w:rsidRPr="000C156A">
              <w:rPr>
                <w:rFonts w:cs="Calibri" w:hint="eastAsia"/>
                <w:szCs w:val="22"/>
                <w:lang w:val="en-US" w:eastAsia="zh-CN"/>
              </w:rPr>
              <w:t>月</w:t>
            </w:r>
            <w:r w:rsidRPr="000C156A">
              <w:rPr>
                <w:rFonts w:cs="Calibri"/>
                <w:szCs w:val="22"/>
                <w:lang w:val="en-US" w:eastAsia="zh-CN"/>
              </w:rPr>
              <w:t>31</w:t>
            </w:r>
            <w:r w:rsidRPr="000C156A">
              <w:rPr>
                <w:rFonts w:cs="Calibri" w:hint="eastAsia"/>
                <w:szCs w:val="22"/>
                <w:lang w:val="en-US" w:eastAsia="zh-CN"/>
              </w:rPr>
              <w:t>日</w:t>
            </w:r>
          </w:p>
        </w:tc>
        <w:tc>
          <w:tcPr>
            <w:tcW w:w="2174" w:type="dxa"/>
            <w:tcBorders>
              <w:top w:val="single" w:sz="4" w:space="0" w:color="auto"/>
              <w:left w:val="nil"/>
              <w:bottom w:val="single" w:sz="4" w:space="0" w:color="auto"/>
              <w:right w:val="single" w:sz="4" w:space="0" w:color="auto"/>
            </w:tcBorders>
            <w:vAlign w:val="center"/>
          </w:tcPr>
          <w:p w14:paraId="6E2F842C" w14:textId="77777777" w:rsidR="009D43C3" w:rsidRPr="000C156A" w:rsidRDefault="009D43C3" w:rsidP="005D02F0">
            <w:pPr>
              <w:pStyle w:val="Tablehead"/>
              <w:rPr>
                <w:rFonts w:cs="Calibri"/>
                <w:szCs w:val="22"/>
                <w:lang w:val="en-US" w:eastAsia="zh-CN"/>
              </w:rPr>
            </w:pPr>
            <w:r w:rsidRPr="000C156A">
              <w:rPr>
                <w:rFonts w:cs="Calibri"/>
                <w:szCs w:val="22"/>
                <w:lang w:val="en-US" w:eastAsia="zh-CN"/>
              </w:rPr>
              <w:t>201</w:t>
            </w:r>
            <w:r w:rsidRPr="000C156A">
              <w:rPr>
                <w:rFonts w:cs="Calibri" w:hint="eastAsia"/>
                <w:szCs w:val="22"/>
                <w:lang w:val="en-US" w:eastAsia="zh-CN"/>
              </w:rPr>
              <w:t>9</w:t>
            </w:r>
            <w:r w:rsidRPr="000C156A">
              <w:rPr>
                <w:rFonts w:cs="Calibri" w:hint="eastAsia"/>
                <w:szCs w:val="22"/>
                <w:lang w:val="en-US" w:eastAsia="zh-CN"/>
              </w:rPr>
              <w:t>年</w:t>
            </w:r>
            <w:r w:rsidRPr="000C156A">
              <w:rPr>
                <w:rFonts w:cs="Calibri"/>
                <w:szCs w:val="22"/>
                <w:lang w:val="en-US" w:eastAsia="zh-CN"/>
              </w:rPr>
              <w:t>12</w:t>
            </w:r>
            <w:r w:rsidRPr="000C156A">
              <w:rPr>
                <w:rFonts w:cs="Calibri" w:hint="eastAsia"/>
                <w:szCs w:val="22"/>
                <w:lang w:val="en-US" w:eastAsia="zh-CN"/>
              </w:rPr>
              <w:t>月</w:t>
            </w:r>
            <w:r w:rsidRPr="000C156A">
              <w:rPr>
                <w:rFonts w:cs="Calibri"/>
                <w:szCs w:val="22"/>
                <w:lang w:val="en-US" w:eastAsia="zh-CN"/>
              </w:rPr>
              <w:t>31</w:t>
            </w:r>
            <w:r w:rsidRPr="000C156A">
              <w:rPr>
                <w:rFonts w:cs="Calibri" w:hint="eastAsia"/>
                <w:szCs w:val="22"/>
                <w:lang w:val="en-US" w:eastAsia="zh-CN"/>
              </w:rPr>
              <w:t>日</w:t>
            </w:r>
          </w:p>
        </w:tc>
      </w:tr>
      <w:tr w:rsidR="009D43C3" w:rsidRPr="000C156A" w14:paraId="533E4321" w14:textId="77777777" w:rsidTr="005D02F0">
        <w:trPr>
          <w:trHeight w:val="255"/>
          <w:jc w:val="center"/>
        </w:trPr>
        <w:tc>
          <w:tcPr>
            <w:tcW w:w="5435" w:type="dxa"/>
            <w:tcBorders>
              <w:top w:val="nil"/>
              <w:left w:val="single" w:sz="4" w:space="0" w:color="auto"/>
              <w:bottom w:val="nil"/>
              <w:right w:val="single" w:sz="4" w:space="0" w:color="auto"/>
            </w:tcBorders>
            <w:noWrap/>
            <w:vAlign w:val="bottom"/>
            <w:hideMark/>
          </w:tcPr>
          <w:p w14:paraId="69602EFA" w14:textId="77777777" w:rsidR="009D43C3" w:rsidRPr="000C156A" w:rsidRDefault="009D43C3" w:rsidP="005D02F0">
            <w:pPr>
              <w:pStyle w:val="Tabletext"/>
              <w:keepNext/>
              <w:keepLines/>
              <w:spacing w:before="20" w:after="20"/>
              <w:rPr>
                <w:bCs/>
                <w:szCs w:val="22"/>
                <w:lang w:val="en-US" w:eastAsia="zh-CN"/>
              </w:rPr>
            </w:pPr>
          </w:p>
        </w:tc>
        <w:tc>
          <w:tcPr>
            <w:tcW w:w="2126" w:type="dxa"/>
            <w:tcBorders>
              <w:top w:val="nil"/>
              <w:left w:val="single" w:sz="4" w:space="0" w:color="auto"/>
              <w:bottom w:val="nil"/>
              <w:right w:val="nil"/>
            </w:tcBorders>
            <w:shd w:val="clear" w:color="auto" w:fill="auto"/>
            <w:noWrap/>
            <w:vAlign w:val="bottom"/>
            <w:hideMark/>
          </w:tcPr>
          <w:p w14:paraId="29F72CA6"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p>
        </w:tc>
        <w:tc>
          <w:tcPr>
            <w:tcW w:w="2174" w:type="dxa"/>
            <w:tcBorders>
              <w:top w:val="nil"/>
              <w:left w:val="single" w:sz="4" w:space="0" w:color="auto"/>
              <w:bottom w:val="nil"/>
              <w:right w:val="single" w:sz="4" w:space="0" w:color="auto"/>
            </w:tcBorders>
            <w:vAlign w:val="bottom"/>
          </w:tcPr>
          <w:p w14:paraId="0A78B180" w14:textId="77777777" w:rsidR="009D43C3" w:rsidRPr="000C156A" w:rsidRDefault="009D43C3" w:rsidP="005D02F0">
            <w:pPr>
              <w:overflowPunct/>
              <w:autoSpaceDE/>
              <w:autoSpaceDN/>
              <w:adjustRightInd/>
              <w:spacing w:before="0"/>
              <w:jc w:val="right"/>
              <w:textAlignment w:val="auto"/>
              <w:rPr>
                <w:rFonts w:asciiTheme="minorHAnsi" w:hAnsiTheme="minorHAnsi" w:cs="Arial"/>
                <w:color w:val="000000"/>
                <w:sz w:val="22"/>
                <w:szCs w:val="22"/>
                <w:lang w:val="en-US" w:eastAsia="zh-CN"/>
              </w:rPr>
            </w:pPr>
          </w:p>
        </w:tc>
      </w:tr>
      <w:tr w:rsidR="009D43C3" w:rsidRPr="000C156A" w14:paraId="5E418D0F" w14:textId="77777777" w:rsidTr="005D02F0">
        <w:trPr>
          <w:trHeight w:val="255"/>
          <w:jc w:val="center"/>
        </w:trPr>
        <w:tc>
          <w:tcPr>
            <w:tcW w:w="5435" w:type="dxa"/>
            <w:tcBorders>
              <w:top w:val="nil"/>
              <w:left w:val="single" w:sz="4" w:space="0" w:color="auto"/>
              <w:bottom w:val="nil"/>
              <w:right w:val="single" w:sz="4" w:space="0" w:color="auto"/>
            </w:tcBorders>
            <w:noWrap/>
            <w:vAlign w:val="bottom"/>
          </w:tcPr>
          <w:p w14:paraId="16A23BB5" w14:textId="77777777" w:rsidR="009D43C3" w:rsidRPr="000C156A" w:rsidRDefault="009D43C3" w:rsidP="005D02F0">
            <w:pPr>
              <w:pStyle w:val="Tabletext"/>
              <w:spacing w:before="20" w:after="20"/>
              <w:rPr>
                <w:bCs/>
                <w:szCs w:val="22"/>
                <w:lang w:val="en-US" w:eastAsia="zh-CN"/>
              </w:rPr>
            </w:pPr>
            <w:r w:rsidRPr="000C156A">
              <w:rPr>
                <w:rFonts w:hint="eastAsia"/>
                <w:bCs/>
                <w:szCs w:val="22"/>
                <w:lang w:val="en-US" w:eastAsia="zh-CN"/>
              </w:rPr>
              <w:t>职员预支</w:t>
            </w:r>
          </w:p>
        </w:tc>
        <w:tc>
          <w:tcPr>
            <w:tcW w:w="2126" w:type="dxa"/>
            <w:tcBorders>
              <w:top w:val="nil"/>
              <w:left w:val="single" w:sz="4" w:space="0" w:color="auto"/>
              <w:bottom w:val="nil"/>
              <w:right w:val="nil"/>
            </w:tcBorders>
            <w:shd w:val="clear" w:color="auto" w:fill="auto"/>
            <w:noWrap/>
            <w:vAlign w:val="bottom"/>
          </w:tcPr>
          <w:p w14:paraId="68D945C0" w14:textId="1B171096" w:rsidR="009D43C3" w:rsidRPr="000C156A" w:rsidRDefault="009D43C3" w:rsidP="00C94A15">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w:t>
            </w:r>
            <w:r w:rsidR="00F61821"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804</w:t>
            </w:r>
          </w:p>
        </w:tc>
        <w:tc>
          <w:tcPr>
            <w:tcW w:w="2174" w:type="dxa"/>
            <w:tcBorders>
              <w:top w:val="nil"/>
              <w:left w:val="single" w:sz="4" w:space="0" w:color="auto"/>
              <w:bottom w:val="nil"/>
              <w:right w:val="single" w:sz="4" w:space="0" w:color="auto"/>
            </w:tcBorders>
            <w:vAlign w:val="bottom"/>
          </w:tcPr>
          <w:p w14:paraId="7255BD06" w14:textId="2FFE6E0E" w:rsidR="009D43C3" w:rsidRPr="000C156A" w:rsidRDefault="009D43C3" w:rsidP="00C94A15">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w:t>
            </w:r>
            <w:r w:rsidR="00F61821"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784</w:t>
            </w:r>
          </w:p>
        </w:tc>
      </w:tr>
      <w:tr w:rsidR="009D43C3" w:rsidRPr="000C156A" w14:paraId="7450B744" w14:textId="77777777" w:rsidTr="005D02F0">
        <w:trPr>
          <w:trHeight w:val="20"/>
          <w:jc w:val="center"/>
        </w:trPr>
        <w:tc>
          <w:tcPr>
            <w:tcW w:w="5435" w:type="dxa"/>
            <w:tcBorders>
              <w:top w:val="nil"/>
              <w:left w:val="single" w:sz="4" w:space="0" w:color="auto"/>
              <w:bottom w:val="nil"/>
              <w:right w:val="single" w:sz="4" w:space="0" w:color="auto"/>
            </w:tcBorders>
            <w:noWrap/>
            <w:vAlign w:val="bottom"/>
            <w:hideMark/>
          </w:tcPr>
          <w:p w14:paraId="13CD5849" w14:textId="77777777" w:rsidR="009D43C3" w:rsidRPr="000C156A" w:rsidRDefault="009D43C3" w:rsidP="005D02F0">
            <w:pPr>
              <w:pStyle w:val="Tabletext"/>
              <w:spacing w:before="20" w:after="20"/>
              <w:rPr>
                <w:bCs/>
                <w:szCs w:val="22"/>
                <w:lang w:val="en-US"/>
              </w:rPr>
            </w:pPr>
            <w:r w:rsidRPr="000C156A">
              <w:rPr>
                <w:bCs/>
                <w:szCs w:val="22"/>
                <w:lang w:val="en-US" w:eastAsia="zh-CN"/>
              </w:rPr>
              <w:t>UNDP</w:t>
            </w:r>
            <w:r w:rsidRPr="000C156A">
              <w:rPr>
                <w:rFonts w:hint="eastAsia"/>
                <w:bCs/>
                <w:szCs w:val="22"/>
                <w:lang w:val="en-US" w:eastAsia="zh-CN"/>
              </w:rPr>
              <w:t>经常账户</w:t>
            </w:r>
          </w:p>
        </w:tc>
        <w:tc>
          <w:tcPr>
            <w:tcW w:w="2126" w:type="dxa"/>
            <w:tcBorders>
              <w:top w:val="nil"/>
              <w:left w:val="single" w:sz="4" w:space="0" w:color="auto"/>
              <w:bottom w:val="nil"/>
              <w:right w:val="nil"/>
            </w:tcBorders>
            <w:shd w:val="clear" w:color="auto" w:fill="auto"/>
            <w:noWrap/>
            <w:vAlign w:val="bottom"/>
            <w:hideMark/>
          </w:tcPr>
          <w:p w14:paraId="47C0A835" w14:textId="404CD9B6" w:rsidR="009D43C3" w:rsidRPr="000C156A" w:rsidRDefault="009D43C3" w:rsidP="00C94A15">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466</w:t>
            </w:r>
          </w:p>
        </w:tc>
        <w:tc>
          <w:tcPr>
            <w:tcW w:w="2174" w:type="dxa"/>
            <w:tcBorders>
              <w:top w:val="nil"/>
              <w:left w:val="single" w:sz="4" w:space="0" w:color="auto"/>
              <w:bottom w:val="nil"/>
              <w:right w:val="single" w:sz="4" w:space="0" w:color="auto"/>
            </w:tcBorders>
            <w:vAlign w:val="bottom"/>
          </w:tcPr>
          <w:p w14:paraId="4501E23A" w14:textId="77777777" w:rsidR="009D43C3" w:rsidRPr="000C156A" w:rsidRDefault="009D43C3" w:rsidP="00C94A15">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486</w:t>
            </w:r>
          </w:p>
        </w:tc>
      </w:tr>
      <w:tr w:rsidR="009D43C3" w:rsidRPr="000C156A" w14:paraId="38593737" w14:textId="77777777" w:rsidTr="005D02F0">
        <w:trPr>
          <w:trHeight w:val="20"/>
          <w:jc w:val="center"/>
        </w:trPr>
        <w:tc>
          <w:tcPr>
            <w:tcW w:w="5435" w:type="dxa"/>
            <w:tcBorders>
              <w:top w:val="nil"/>
              <w:left w:val="single" w:sz="4" w:space="0" w:color="auto"/>
              <w:bottom w:val="nil"/>
              <w:right w:val="single" w:sz="4" w:space="0" w:color="auto"/>
            </w:tcBorders>
            <w:noWrap/>
            <w:vAlign w:val="bottom"/>
            <w:hideMark/>
          </w:tcPr>
          <w:p w14:paraId="579390A1" w14:textId="77777777" w:rsidR="009D43C3" w:rsidRPr="000C156A" w:rsidRDefault="009D43C3" w:rsidP="005D02F0">
            <w:pPr>
              <w:pStyle w:val="Tabletext"/>
              <w:spacing w:before="20" w:after="20"/>
              <w:rPr>
                <w:bCs/>
                <w:szCs w:val="22"/>
                <w:lang w:val="en-US"/>
              </w:rPr>
            </w:pPr>
            <w:r w:rsidRPr="000C156A">
              <w:rPr>
                <w:rFonts w:hint="eastAsia"/>
                <w:bCs/>
                <w:szCs w:val="22"/>
                <w:lang w:val="en-US"/>
              </w:rPr>
              <w:t>南斯拉夫</w:t>
            </w:r>
          </w:p>
        </w:tc>
        <w:tc>
          <w:tcPr>
            <w:tcW w:w="2126" w:type="dxa"/>
            <w:tcBorders>
              <w:top w:val="nil"/>
              <w:left w:val="single" w:sz="4" w:space="0" w:color="auto"/>
              <w:bottom w:val="nil"/>
              <w:right w:val="single" w:sz="4" w:space="0" w:color="auto"/>
            </w:tcBorders>
            <w:shd w:val="clear" w:color="auto" w:fill="auto"/>
            <w:noWrap/>
            <w:vAlign w:val="bottom"/>
            <w:hideMark/>
          </w:tcPr>
          <w:p w14:paraId="5320641A" w14:textId="36E656E1" w:rsidR="009D43C3" w:rsidRPr="000C156A" w:rsidRDefault="009D43C3" w:rsidP="00C94A15">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w:t>
            </w:r>
            <w:r w:rsidR="00F61821"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189</w:t>
            </w:r>
          </w:p>
        </w:tc>
        <w:tc>
          <w:tcPr>
            <w:tcW w:w="2174" w:type="dxa"/>
            <w:tcBorders>
              <w:top w:val="nil"/>
              <w:left w:val="nil"/>
              <w:bottom w:val="nil"/>
              <w:right w:val="single" w:sz="4" w:space="0" w:color="auto"/>
            </w:tcBorders>
            <w:vAlign w:val="bottom"/>
          </w:tcPr>
          <w:p w14:paraId="1CAD1DB4" w14:textId="5E57A373" w:rsidR="009D43C3" w:rsidRPr="000C156A" w:rsidRDefault="009D43C3" w:rsidP="00C94A15">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w:t>
            </w:r>
            <w:r w:rsidR="00F61821"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189</w:t>
            </w:r>
          </w:p>
        </w:tc>
      </w:tr>
      <w:tr w:rsidR="009D43C3" w:rsidRPr="000C156A" w14:paraId="77E4BF94" w14:textId="77777777" w:rsidTr="005D02F0">
        <w:trPr>
          <w:trHeight w:val="20"/>
          <w:jc w:val="center"/>
        </w:trPr>
        <w:tc>
          <w:tcPr>
            <w:tcW w:w="5435" w:type="dxa"/>
            <w:tcBorders>
              <w:top w:val="nil"/>
              <w:left w:val="single" w:sz="4" w:space="0" w:color="auto"/>
              <w:bottom w:val="nil"/>
              <w:right w:val="single" w:sz="4" w:space="0" w:color="auto"/>
            </w:tcBorders>
            <w:noWrap/>
            <w:vAlign w:val="bottom"/>
            <w:hideMark/>
          </w:tcPr>
          <w:p w14:paraId="51A814FE" w14:textId="77777777" w:rsidR="009D43C3" w:rsidRPr="000C156A" w:rsidRDefault="009D43C3" w:rsidP="005D02F0">
            <w:pPr>
              <w:pStyle w:val="Tabletext"/>
              <w:spacing w:before="20" w:after="20"/>
              <w:rPr>
                <w:bCs/>
                <w:szCs w:val="22"/>
                <w:lang w:val="en-US"/>
              </w:rPr>
            </w:pPr>
            <w:r w:rsidRPr="000C156A">
              <w:rPr>
                <w:rFonts w:hint="eastAsia"/>
                <w:bCs/>
                <w:szCs w:val="22"/>
                <w:lang w:val="en-US"/>
              </w:rPr>
              <w:t>南斯拉夫债务准备金</w:t>
            </w:r>
          </w:p>
        </w:tc>
        <w:tc>
          <w:tcPr>
            <w:tcW w:w="2126" w:type="dxa"/>
            <w:tcBorders>
              <w:top w:val="nil"/>
              <w:left w:val="single" w:sz="4" w:space="0" w:color="auto"/>
              <w:bottom w:val="nil"/>
              <w:right w:val="single" w:sz="4" w:space="0" w:color="auto"/>
            </w:tcBorders>
            <w:shd w:val="clear" w:color="auto" w:fill="auto"/>
            <w:noWrap/>
            <w:vAlign w:val="bottom"/>
            <w:hideMark/>
          </w:tcPr>
          <w:p w14:paraId="383A3036" w14:textId="11DA411E" w:rsidR="009D43C3" w:rsidRPr="000C156A" w:rsidRDefault="009D43C3" w:rsidP="00C94A15">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w:t>
            </w:r>
            <w:r w:rsidR="00F61821"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189</w:t>
            </w:r>
          </w:p>
        </w:tc>
        <w:tc>
          <w:tcPr>
            <w:tcW w:w="2174" w:type="dxa"/>
            <w:tcBorders>
              <w:top w:val="nil"/>
              <w:left w:val="nil"/>
              <w:bottom w:val="nil"/>
              <w:right w:val="single" w:sz="4" w:space="0" w:color="auto"/>
            </w:tcBorders>
            <w:vAlign w:val="bottom"/>
          </w:tcPr>
          <w:p w14:paraId="2B585C96" w14:textId="3AB791CA" w:rsidR="009D43C3" w:rsidRPr="000C156A" w:rsidRDefault="009D43C3" w:rsidP="00C94A15">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w:t>
            </w:r>
            <w:r w:rsidR="00F61821"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189</w:t>
            </w:r>
          </w:p>
        </w:tc>
      </w:tr>
      <w:tr w:rsidR="009D43C3" w:rsidRPr="000C156A" w14:paraId="764F1D66" w14:textId="77777777" w:rsidTr="005D02F0">
        <w:trPr>
          <w:trHeight w:val="20"/>
          <w:jc w:val="center"/>
        </w:trPr>
        <w:tc>
          <w:tcPr>
            <w:tcW w:w="5435" w:type="dxa"/>
            <w:tcBorders>
              <w:top w:val="nil"/>
              <w:left w:val="single" w:sz="4" w:space="0" w:color="auto"/>
              <w:bottom w:val="nil"/>
              <w:right w:val="single" w:sz="4" w:space="0" w:color="auto"/>
            </w:tcBorders>
            <w:noWrap/>
            <w:vAlign w:val="bottom"/>
            <w:hideMark/>
          </w:tcPr>
          <w:p w14:paraId="1D968FD9" w14:textId="77777777" w:rsidR="009D43C3" w:rsidRPr="000C156A" w:rsidRDefault="009D43C3" w:rsidP="005D02F0">
            <w:pPr>
              <w:pStyle w:val="Tabletext"/>
              <w:spacing w:before="20" w:after="20"/>
              <w:rPr>
                <w:bCs/>
                <w:szCs w:val="22"/>
                <w:lang w:val="en-US"/>
              </w:rPr>
            </w:pPr>
            <w:r w:rsidRPr="000C156A">
              <w:rPr>
                <w:rFonts w:hint="eastAsia"/>
                <w:lang w:eastAsia="zh-CN"/>
              </w:rPr>
              <w:t>预扣税</w:t>
            </w:r>
          </w:p>
        </w:tc>
        <w:tc>
          <w:tcPr>
            <w:tcW w:w="2126" w:type="dxa"/>
            <w:tcBorders>
              <w:top w:val="nil"/>
              <w:left w:val="single" w:sz="4" w:space="0" w:color="auto"/>
              <w:bottom w:val="nil"/>
              <w:right w:val="single" w:sz="4" w:space="0" w:color="auto"/>
            </w:tcBorders>
            <w:shd w:val="clear" w:color="auto" w:fill="auto"/>
            <w:noWrap/>
            <w:vAlign w:val="bottom"/>
            <w:hideMark/>
          </w:tcPr>
          <w:p w14:paraId="34192DB5" w14:textId="5BD05E5C" w:rsidR="009D43C3" w:rsidRPr="000C156A" w:rsidRDefault="009D43C3" w:rsidP="00C94A15">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2</w:t>
            </w:r>
            <w:r w:rsidR="00F61821"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201</w:t>
            </w:r>
          </w:p>
        </w:tc>
        <w:tc>
          <w:tcPr>
            <w:tcW w:w="2174" w:type="dxa"/>
            <w:tcBorders>
              <w:top w:val="nil"/>
              <w:left w:val="nil"/>
              <w:bottom w:val="nil"/>
              <w:right w:val="single" w:sz="4" w:space="0" w:color="auto"/>
            </w:tcBorders>
            <w:vAlign w:val="bottom"/>
          </w:tcPr>
          <w:p w14:paraId="44FB433C" w14:textId="02643EA3" w:rsidR="009D43C3" w:rsidRPr="000C156A" w:rsidRDefault="009D43C3" w:rsidP="00C94A15">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2</w:t>
            </w:r>
            <w:r w:rsidR="00F61821"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152</w:t>
            </w:r>
          </w:p>
        </w:tc>
      </w:tr>
      <w:tr w:rsidR="009D43C3" w:rsidRPr="000C156A" w14:paraId="0C1B77E8" w14:textId="77777777" w:rsidTr="005D02F0">
        <w:trPr>
          <w:trHeight w:val="20"/>
          <w:jc w:val="center"/>
        </w:trPr>
        <w:tc>
          <w:tcPr>
            <w:tcW w:w="5435" w:type="dxa"/>
            <w:tcBorders>
              <w:top w:val="nil"/>
              <w:left w:val="single" w:sz="4" w:space="0" w:color="auto"/>
              <w:bottom w:val="nil"/>
              <w:right w:val="single" w:sz="4" w:space="0" w:color="auto"/>
            </w:tcBorders>
            <w:noWrap/>
            <w:vAlign w:val="bottom"/>
            <w:hideMark/>
          </w:tcPr>
          <w:p w14:paraId="5427D2A1" w14:textId="77777777" w:rsidR="009D43C3" w:rsidRPr="000C156A" w:rsidRDefault="009D43C3" w:rsidP="005D02F0">
            <w:pPr>
              <w:pStyle w:val="Tabletext"/>
              <w:spacing w:before="20" w:after="20"/>
              <w:rPr>
                <w:bCs/>
                <w:szCs w:val="22"/>
                <w:lang w:val="en-US"/>
              </w:rPr>
            </w:pPr>
            <w:r w:rsidRPr="000C156A">
              <w:rPr>
                <w:rFonts w:hint="eastAsia"/>
                <w:bCs/>
                <w:szCs w:val="22"/>
                <w:lang w:val="en-US"/>
              </w:rPr>
              <w:t>养恤金</w:t>
            </w:r>
          </w:p>
        </w:tc>
        <w:tc>
          <w:tcPr>
            <w:tcW w:w="2126" w:type="dxa"/>
            <w:tcBorders>
              <w:top w:val="nil"/>
              <w:left w:val="single" w:sz="4" w:space="0" w:color="auto"/>
              <w:bottom w:val="nil"/>
              <w:right w:val="nil"/>
            </w:tcBorders>
            <w:shd w:val="clear" w:color="auto" w:fill="auto"/>
            <w:noWrap/>
            <w:vAlign w:val="bottom"/>
            <w:hideMark/>
          </w:tcPr>
          <w:p w14:paraId="16C85F01" w14:textId="4AB7F734" w:rsidR="009D43C3" w:rsidRPr="000C156A" w:rsidRDefault="009D43C3" w:rsidP="00C94A15">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174</w:t>
            </w:r>
          </w:p>
        </w:tc>
        <w:tc>
          <w:tcPr>
            <w:tcW w:w="2174" w:type="dxa"/>
            <w:tcBorders>
              <w:top w:val="nil"/>
              <w:left w:val="single" w:sz="4" w:space="0" w:color="auto"/>
              <w:bottom w:val="nil"/>
              <w:right w:val="single" w:sz="4" w:space="0" w:color="auto"/>
            </w:tcBorders>
            <w:vAlign w:val="bottom"/>
          </w:tcPr>
          <w:p w14:paraId="1FF16E26" w14:textId="77777777" w:rsidR="009D43C3" w:rsidRPr="000C156A" w:rsidRDefault="009D43C3" w:rsidP="00C94A15">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220</w:t>
            </w:r>
          </w:p>
        </w:tc>
      </w:tr>
      <w:tr w:rsidR="009D43C3" w:rsidRPr="000C156A" w14:paraId="35652B70" w14:textId="77777777" w:rsidTr="005D02F0">
        <w:trPr>
          <w:trHeight w:val="20"/>
          <w:jc w:val="center"/>
        </w:trPr>
        <w:tc>
          <w:tcPr>
            <w:tcW w:w="5435" w:type="dxa"/>
            <w:tcBorders>
              <w:top w:val="nil"/>
              <w:left w:val="single" w:sz="4" w:space="0" w:color="auto"/>
              <w:bottom w:val="nil"/>
              <w:right w:val="single" w:sz="4" w:space="0" w:color="auto"/>
            </w:tcBorders>
            <w:noWrap/>
            <w:vAlign w:val="bottom"/>
            <w:hideMark/>
          </w:tcPr>
          <w:p w14:paraId="14D3B96E" w14:textId="77777777" w:rsidR="009D43C3" w:rsidRPr="000C156A" w:rsidRDefault="009D43C3" w:rsidP="005D02F0">
            <w:pPr>
              <w:pStyle w:val="Tabletext"/>
              <w:spacing w:before="20" w:after="20"/>
              <w:rPr>
                <w:bCs/>
                <w:szCs w:val="22"/>
                <w:lang w:val="en-US"/>
              </w:rPr>
            </w:pPr>
            <w:r w:rsidRPr="000C156A">
              <w:rPr>
                <w:rFonts w:hint="eastAsia"/>
                <w:bCs/>
                <w:szCs w:val="22"/>
                <w:lang w:val="en-US"/>
              </w:rPr>
              <w:t>应计利息</w:t>
            </w:r>
          </w:p>
        </w:tc>
        <w:tc>
          <w:tcPr>
            <w:tcW w:w="2126" w:type="dxa"/>
            <w:tcBorders>
              <w:top w:val="nil"/>
              <w:left w:val="single" w:sz="4" w:space="0" w:color="auto"/>
              <w:bottom w:val="nil"/>
              <w:right w:val="nil"/>
            </w:tcBorders>
            <w:shd w:val="clear" w:color="auto" w:fill="auto"/>
            <w:noWrap/>
            <w:vAlign w:val="bottom"/>
            <w:hideMark/>
          </w:tcPr>
          <w:p w14:paraId="197D62A4" w14:textId="14D74E9B" w:rsidR="009D43C3" w:rsidRPr="000C156A" w:rsidRDefault="009D43C3" w:rsidP="00C94A15">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w:t>
            </w:r>
            <w:r w:rsidR="00F61821"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688</w:t>
            </w:r>
          </w:p>
        </w:tc>
        <w:tc>
          <w:tcPr>
            <w:tcW w:w="2174" w:type="dxa"/>
            <w:tcBorders>
              <w:top w:val="nil"/>
              <w:left w:val="single" w:sz="4" w:space="0" w:color="auto"/>
              <w:bottom w:val="nil"/>
              <w:right w:val="single" w:sz="4" w:space="0" w:color="auto"/>
            </w:tcBorders>
            <w:vAlign w:val="bottom"/>
          </w:tcPr>
          <w:p w14:paraId="7A3DF176" w14:textId="718217A4" w:rsidR="009D43C3" w:rsidRPr="000C156A" w:rsidRDefault="009D43C3" w:rsidP="00C94A15">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w:t>
            </w:r>
            <w:r w:rsidR="00F61821"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894</w:t>
            </w:r>
          </w:p>
        </w:tc>
      </w:tr>
      <w:tr w:rsidR="009D43C3" w:rsidRPr="000C156A" w14:paraId="723723AD" w14:textId="77777777" w:rsidTr="005D02F0">
        <w:trPr>
          <w:trHeight w:val="20"/>
          <w:jc w:val="center"/>
        </w:trPr>
        <w:tc>
          <w:tcPr>
            <w:tcW w:w="5435" w:type="dxa"/>
            <w:tcBorders>
              <w:top w:val="nil"/>
              <w:left w:val="single" w:sz="4" w:space="0" w:color="auto"/>
              <w:bottom w:val="nil"/>
              <w:right w:val="single" w:sz="4" w:space="0" w:color="auto"/>
            </w:tcBorders>
            <w:noWrap/>
            <w:vAlign w:val="bottom"/>
            <w:hideMark/>
          </w:tcPr>
          <w:p w14:paraId="05402D00" w14:textId="77777777" w:rsidR="009D43C3" w:rsidRPr="000C156A" w:rsidRDefault="009D43C3" w:rsidP="005D02F0">
            <w:pPr>
              <w:pStyle w:val="Tabletext"/>
              <w:spacing w:before="20" w:after="20"/>
              <w:rPr>
                <w:bCs/>
                <w:szCs w:val="22"/>
                <w:lang w:val="en-US"/>
              </w:rPr>
            </w:pPr>
            <w:r w:rsidRPr="000C156A">
              <w:rPr>
                <w:rFonts w:hint="eastAsia"/>
                <w:bCs/>
                <w:szCs w:val="22"/>
                <w:lang w:val="en-US"/>
              </w:rPr>
              <w:t>应收款项</w:t>
            </w:r>
          </w:p>
        </w:tc>
        <w:tc>
          <w:tcPr>
            <w:tcW w:w="2126" w:type="dxa"/>
            <w:tcBorders>
              <w:top w:val="nil"/>
              <w:left w:val="single" w:sz="4" w:space="0" w:color="auto"/>
              <w:bottom w:val="nil"/>
              <w:right w:val="nil"/>
            </w:tcBorders>
            <w:shd w:val="clear" w:color="auto" w:fill="auto"/>
            <w:noWrap/>
            <w:vAlign w:val="bottom"/>
            <w:hideMark/>
          </w:tcPr>
          <w:p w14:paraId="0A0B0D27" w14:textId="01EAA0B1" w:rsidR="009D43C3" w:rsidRPr="000C156A" w:rsidRDefault="009D43C3" w:rsidP="00C94A15">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3</w:t>
            </w:r>
            <w:r w:rsidR="00F61821"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105</w:t>
            </w:r>
          </w:p>
        </w:tc>
        <w:tc>
          <w:tcPr>
            <w:tcW w:w="2174" w:type="dxa"/>
            <w:tcBorders>
              <w:top w:val="nil"/>
              <w:left w:val="single" w:sz="4" w:space="0" w:color="auto"/>
              <w:bottom w:val="nil"/>
              <w:right w:val="single" w:sz="4" w:space="0" w:color="auto"/>
            </w:tcBorders>
            <w:vAlign w:val="bottom"/>
          </w:tcPr>
          <w:p w14:paraId="650454D4" w14:textId="26366B96" w:rsidR="009D43C3" w:rsidRPr="000C156A" w:rsidRDefault="009D43C3" w:rsidP="00C94A15">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w:t>
            </w:r>
            <w:r w:rsidR="00F61821" w:rsidRPr="000C156A">
              <w:rPr>
                <w:rFonts w:asciiTheme="minorHAnsi" w:hAnsiTheme="minorHAnsi" w:cs="Arial"/>
                <w:color w:val="000000"/>
                <w:sz w:val="22"/>
                <w:szCs w:val="22"/>
                <w:lang w:val="en-US" w:eastAsia="zh-CN"/>
              </w:rPr>
              <w:t xml:space="preserve"> </w:t>
            </w:r>
            <w:r w:rsidRPr="000C156A">
              <w:rPr>
                <w:rFonts w:asciiTheme="minorHAnsi" w:hAnsiTheme="minorHAnsi" w:cs="Arial"/>
                <w:color w:val="000000"/>
                <w:sz w:val="22"/>
                <w:szCs w:val="22"/>
                <w:lang w:val="en-US" w:eastAsia="zh-CN"/>
              </w:rPr>
              <w:t>678</w:t>
            </w:r>
          </w:p>
        </w:tc>
      </w:tr>
      <w:tr w:rsidR="009D43C3" w:rsidRPr="000C156A" w14:paraId="166D8B71" w14:textId="77777777" w:rsidTr="005D02F0">
        <w:trPr>
          <w:trHeight w:val="20"/>
          <w:jc w:val="center"/>
        </w:trPr>
        <w:tc>
          <w:tcPr>
            <w:tcW w:w="5435" w:type="dxa"/>
            <w:tcBorders>
              <w:top w:val="single" w:sz="4" w:space="0" w:color="auto"/>
              <w:left w:val="single" w:sz="4" w:space="0" w:color="auto"/>
              <w:bottom w:val="single" w:sz="4" w:space="0" w:color="auto"/>
              <w:right w:val="single" w:sz="4" w:space="0" w:color="auto"/>
            </w:tcBorders>
            <w:noWrap/>
            <w:vAlign w:val="center"/>
            <w:hideMark/>
          </w:tcPr>
          <w:p w14:paraId="48609BCF" w14:textId="77777777" w:rsidR="009D43C3" w:rsidRPr="000C156A" w:rsidRDefault="009D43C3" w:rsidP="005D02F0">
            <w:pPr>
              <w:pStyle w:val="Tabletext"/>
              <w:spacing w:before="20" w:after="20"/>
              <w:rPr>
                <w:b/>
                <w:szCs w:val="22"/>
                <w:lang w:val="en-US"/>
              </w:rPr>
            </w:pPr>
            <w:r w:rsidRPr="000C156A">
              <w:rPr>
                <w:rFonts w:hint="eastAsia"/>
                <w:b/>
                <w:szCs w:val="22"/>
                <w:lang w:val="en-US"/>
              </w:rPr>
              <w:t>其它应收款项</w:t>
            </w:r>
          </w:p>
        </w:tc>
        <w:tc>
          <w:tcPr>
            <w:tcW w:w="2126" w:type="dxa"/>
            <w:tcBorders>
              <w:top w:val="single" w:sz="4" w:space="0" w:color="auto"/>
              <w:left w:val="single" w:sz="4" w:space="0" w:color="auto"/>
              <w:bottom w:val="single" w:sz="4" w:space="0" w:color="auto"/>
              <w:right w:val="nil"/>
            </w:tcBorders>
            <w:shd w:val="clear" w:color="auto" w:fill="auto"/>
            <w:noWrap/>
            <w:vAlign w:val="center"/>
            <w:hideMark/>
          </w:tcPr>
          <w:p w14:paraId="3D4626B2" w14:textId="33A54F9E" w:rsidR="009D43C3" w:rsidRPr="000C156A" w:rsidRDefault="009D43C3" w:rsidP="00C94A15">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9</w:t>
            </w:r>
            <w:r w:rsidR="00F61821" w:rsidRPr="000C156A">
              <w:rPr>
                <w:rFonts w:asciiTheme="minorHAnsi" w:hAnsiTheme="minorHAnsi" w:cs="Arial"/>
                <w:b/>
                <w:bCs/>
                <w:color w:val="000000"/>
                <w:sz w:val="22"/>
                <w:szCs w:val="22"/>
                <w:lang w:val="en-US" w:eastAsia="zh-CN"/>
              </w:rPr>
              <w:t xml:space="preserve"> </w:t>
            </w:r>
            <w:r w:rsidRPr="000C156A">
              <w:rPr>
                <w:rFonts w:asciiTheme="minorHAnsi" w:hAnsiTheme="minorHAnsi" w:cs="Arial"/>
                <w:b/>
                <w:bCs/>
                <w:color w:val="000000"/>
                <w:sz w:val="22"/>
                <w:szCs w:val="22"/>
                <w:lang w:val="en-US" w:eastAsia="zh-CN"/>
              </w:rPr>
              <w:t>439</w:t>
            </w:r>
          </w:p>
        </w:tc>
        <w:tc>
          <w:tcPr>
            <w:tcW w:w="2174" w:type="dxa"/>
            <w:tcBorders>
              <w:top w:val="single" w:sz="4" w:space="0" w:color="auto"/>
              <w:left w:val="single" w:sz="4" w:space="0" w:color="auto"/>
              <w:bottom w:val="single" w:sz="4" w:space="0" w:color="auto"/>
              <w:right w:val="single" w:sz="4" w:space="0" w:color="auto"/>
            </w:tcBorders>
            <w:vAlign w:val="center"/>
          </w:tcPr>
          <w:p w14:paraId="474753FA" w14:textId="3DFB3CA0" w:rsidR="009D43C3" w:rsidRPr="000C156A" w:rsidRDefault="009D43C3" w:rsidP="00C94A15">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8</w:t>
            </w:r>
            <w:r w:rsidR="00F61821" w:rsidRPr="000C156A">
              <w:rPr>
                <w:rFonts w:asciiTheme="minorHAnsi" w:hAnsiTheme="minorHAnsi" w:cs="Arial"/>
                <w:b/>
                <w:bCs/>
                <w:color w:val="000000"/>
                <w:sz w:val="22"/>
                <w:szCs w:val="22"/>
                <w:lang w:val="en-US" w:eastAsia="zh-CN"/>
              </w:rPr>
              <w:t xml:space="preserve"> </w:t>
            </w:r>
            <w:r w:rsidRPr="000C156A">
              <w:rPr>
                <w:rFonts w:asciiTheme="minorHAnsi" w:hAnsiTheme="minorHAnsi" w:cs="Arial"/>
                <w:b/>
                <w:bCs/>
                <w:color w:val="000000"/>
                <w:sz w:val="22"/>
                <w:szCs w:val="22"/>
                <w:lang w:val="en-US" w:eastAsia="zh-CN"/>
              </w:rPr>
              <w:t>534</w:t>
            </w:r>
          </w:p>
        </w:tc>
      </w:tr>
    </w:tbl>
    <w:p w14:paraId="038B3DEE" w14:textId="77777777" w:rsidR="009D43C3" w:rsidRPr="000C156A" w:rsidRDefault="009D43C3" w:rsidP="001A4FE7">
      <w:pPr>
        <w:spacing w:before="240"/>
        <w:ind w:firstLineChars="200" w:firstLine="480"/>
        <w:rPr>
          <w:lang w:eastAsia="zh-CN"/>
        </w:rPr>
      </w:pPr>
      <w:r w:rsidRPr="000C156A">
        <w:rPr>
          <w:rFonts w:hint="eastAsia"/>
          <w:lang w:eastAsia="zh-CN"/>
        </w:rPr>
        <w:t>职员预支主要包括支付职员子女</w:t>
      </w:r>
      <w:r w:rsidRPr="000C156A">
        <w:rPr>
          <w:rFonts w:hint="eastAsia"/>
          <w:lang w:eastAsia="zh-CN"/>
        </w:rPr>
        <w:t>96</w:t>
      </w:r>
      <w:r w:rsidRPr="000C156A">
        <w:rPr>
          <w:lang w:eastAsia="zh-CN"/>
        </w:rPr>
        <w:t>%</w:t>
      </w:r>
      <w:r w:rsidRPr="000C156A">
        <w:rPr>
          <w:rFonts w:hint="eastAsia"/>
          <w:lang w:eastAsia="zh-CN"/>
        </w:rPr>
        <w:t>的教育补助金。</w:t>
      </w:r>
    </w:p>
    <w:p w14:paraId="0FD378B4" w14:textId="77777777" w:rsidR="009D43C3" w:rsidRPr="000C156A" w:rsidRDefault="009D43C3" w:rsidP="009D43C3">
      <w:pPr>
        <w:ind w:firstLineChars="200" w:firstLine="480"/>
        <w:rPr>
          <w:lang w:eastAsia="zh-CN"/>
        </w:rPr>
      </w:pPr>
      <w:r w:rsidRPr="000C156A">
        <w:rPr>
          <w:rFonts w:hint="eastAsia"/>
          <w:lang w:eastAsia="zh-CN"/>
        </w:rPr>
        <w:t>从源课税（</w:t>
      </w:r>
      <w:r w:rsidRPr="000C156A">
        <w:rPr>
          <w:lang w:eastAsia="zh-CN"/>
        </w:rPr>
        <w:t>Tax at source</w:t>
      </w:r>
      <w:r w:rsidRPr="000C156A">
        <w:rPr>
          <w:rFonts w:hint="eastAsia"/>
          <w:lang w:eastAsia="zh-CN"/>
        </w:rPr>
        <w:t>）包括由瑞士联邦税务管理局返还的预扣税和从美国政府那里收回的所得税（</w:t>
      </w:r>
      <w:r w:rsidRPr="000C156A">
        <w:rPr>
          <w:lang w:eastAsia="zh-CN"/>
        </w:rPr>
        <w:t>income tax</w:t>
      </w:r>
      <w:r w:rsidRPr="000C156A">
        <w:rPr>
          <w:rFonts w:hint="eastAsia"/>
          <w:lang w:eastAsia="zh-CN"/>
        </w:rPr>
        <w:t>）。</w:t>
      </w:r>
      <w:r w:rsidRPr="000C156A">
        <w:rPr>
          <w:lang w:eastAsia="zh-CN"/>
        </w:rPr>
        <w:t>20</w:t>
      </w:r>
      <w:r w:rsidRPr="000C156A">
        <w:rPr>
          <w:rFonts w:hint="eastAsia"/>
          <w:lang w:eastAsia="zh-CN"/>
        </w:rPr>
        <w:t>20</w:t>
      </w:r>
      <w:r w:rsidRPr="000C156A">
        <w:rPr>
          <w:rFonts w:hint="eastAsia"/>
          <w:lang w:eastAsia="zh-CN"/>
        </w:rPr>
        <w:t>年底，需从该主管部门收回的余额为</w:t>
      </w:r>
      <w:r w:rsidRPr="000C156A">
        <w:rPr>
          <w:lang w:eastAsia="zh-CN"/>
        </w:rPr>
        <w:t>2</w:t>
      </w:r>
      <w:r w:rsidRPr="000C156A">
        <w:rPr>
          <w:rFonts w:hint="eastAsia"/>
          <w:lang w:eastAsia="zh-CN"/>
        </w:rPr>
        <w:t>10</w:t>
      </w:r>
      <w:r w:rsidRPr="000C156A">
        <w:rPr>
          <w:rFonts w:hint="eastAsia"/>
          <w:lang w:eastAsia="zh-CN"/>
        </w:rPr>
        <w:t>万瑞郎。</w:t>
      </w:r>
    </w:p>
    <w:p w14:paraId="3ECA4F6F" w14:textId="77777777" w:rsidR="009D43C3" w:rsidRPr="000C156A" w:rsidRDefault="009D43C3" w:rsidP="009D43C3">
      <w:pPr>
        <w:ind w:firstLineChars="200" w:firstLine="480"/>
        <w:rPr>
          <w:lang w:eastAsia="zh-CN"/>
        </w:rPr>
      </w:pPr>
      <w:r w:rsidRPr="000C156A">
        <w:rPr>
          <w:rFonts w:hint="eastAsia"/>
          <w:lang w:eastAsia="zh-CN"/>
        </w:rPr>
        <w:t>曾为前南斯拉夫共和国债务提供了</w:t>
      </w:r>
      <w:r w:rsidRPr="000C156A">
        <w:rPr>
          <w:lang w:eastAsia="zh-CN"/>
        </w:rPr>
        <w:t>100%</w:t>
      </w:r>
      <w:r w:rsidRPr="000C156A">
        <w:rPr>
          <w:rFonts w:hint="eastAsia"/>
          <w:lang w:eastAsia="zh-CN"/>
        </w:rPr>
        <w:t>的准备金。欠款仍未结清。国际电联正在等待联合国大会就这笔债务做出决定。</w:t>
      </w:r>
    </w:p>
    <w:p w14:paraId="72561815" w14:textId="77777777" w:rsidR="009D43C3" w:rsidRPr="000C156A" w:rsidRDefault="009D43C3" w:rsidP="009D43C3">
      <w:pPr>
        <w:ind w:firstLineChars="200" w:firstLine="480"/>
        <w:rPr>
          <w:lang w:eastAsia="zh-CN"/>
        </w:rPr>
      </w:pPr>
      <w:r w:rsidRPr="000C156A">
        <w:rPr>
          <w:rFonts w:hint="eastAsia"/>
          <w:lang w:eastAsia="zh-CN"/>
        </w:rPr>
        <w:t>应收款项主要呈现为与</w:t>
      </w:r>
      <w:r w:rsidRPr="000C156A">
        <w:rPr>
          <w:lang w:eastAsia="zh-CN"/>
        </w:rPr>
        <w:t>20</w:t>
      </w:r>
      <w:r w:rsidRPr="000C156A">
        <w:rPr>
          <w:rFonts w:hint="eastAsia"/>
          <w:lang w:eastAsia="zh-CN"/>
        </w:rPr>
        <w:t>20</w:t>
      </w:r>
      <w:r w:rsidRPr="000C156A">
        <w:rPr>
          <w:rFonts w:hint="eastAsia"/>
          <w:lang w:eastAsia="zh-CN"/>
        </w:rPr>
        <w:t>年预算相关的预付费用。</w:t>
      </w:r>
    </w:p>
    <w:p w14:paraId="6BE6D7C2" w14:textId="77777777" w:rsidR="009D43C3" w:rsidRPr="000C156A" w:rsidRDefault="009D43C3" w:rsidP="009D43C3">
      <w:pPr>
        <w:ind w:firstLineChars="200" w:firstLine="480"/>
        <w:rPr>
          <w:lang w:eastAsia="zh-CN"/>
        </w:rPr>
      </w:pPr>
      <w:r w:rsidRPr="000C156A">
        <w:rPr>
          <w:rFonts w:hint="eastAsia"/>
          <w:lang w:val="en-US" w:eastAsia="zh-CN"/>
        </w:rPr>
        <w:t>这一大幅增长是由于为回籍假提供了准备金。由于新冠肺炎疫情和旅行限制，国际电联工作人员无法休今年最初编入预算的回籍假。因此，相关预算结转至</w:t>
      </w:r>
      <w:r w:rsidRPr="000C156A">
        <w:rPr>
          <w:rFonts w:hint="eastAsia"/>
          <w:lang w:val="en-US" w:eastAsia="zh-CN"/>
        </w:rPr>
        <w:t>2021</w:t>
      </w:r>
      <w:r w:rsidRPr="000C156A">
        <w:rPr>
          <w:rFonts w:hint="eastAsia"/>
          <w:lang w:val="en-US" w:eastAsia="zh-CN"/>
        </w:rPr>
        <w:t>年。</w:t>
      </w:r>
    </w:p>
    <w:p w14:paraId="11F030AE" w14:textId="77777777" w:rsidR="009D43C3" w:rsidRPr="000C156A" w:rsidRDefault="009D43C3" w:rsidP="009D43C3">
      <w:pPr>
        <w:pStyle w:val="Heading1"/>
        <w:rPr>
          <w:rFonts w:cs="Microsoft YaHei"/>
          <w:sz w:val="24"/>
          <w:szCs w:val="24"/>
          <w:lang w:eastAsia="zh-CN"/>
        </w:rPr>
      </w:pPr>
      <w:bookmarkStart w:id="608" w:name="_Toc482892570"/>
      <w:bookmarkStart w:id="609" w:name="_Toc482870835"/>
      <w:bookmarkStart w:id="610" w:name="_Toc329165786"/>
      <w:bookmarkStart w:id="611" w:name="_Toc305594745"/>
      <w:bookmarkStart w:id="612" w:name="_Toc511813753"/>
      <w:bookmarkStart w:id="613" w:name="_Toc511817836"/>
      <w:bookmarkStart w:id="614" w:name="_Toc520280736"/>
      <w:bookmarkStart w:id="615" w:name="_Toc10536831"/>
      <w:bookmarkStart w:id="616" w:name="_Toc41905872"/>
      <w:bookmarkStart w:id="617" w:name="_Toc41906901"/>
      <w:bookmarkStart w:id="618" w:name="_Toc41907982"/>
      <w:bookmarkStart w:id="619" w:name="_Toc41908050"/>
      <w:bookmarkStart w:id="620" w:name="_Toc73518688"/>
      <w:bookmarkStart w:id="621" w:name="_Toc73518835"/>
      <w:bookmarkStart w:id="622" w:name="_Toc73519235"/>
      <w:bookmarkStart w:id="623" w:name="_Toc73636274"/>
      <w:r w:rsidRPr="000C156A">
        <w:rPr>
          <w:rFonts w:cs="Microsoft YaHei" w:hint="eastAsia"/>
          <w:sz w:val="24"/>
          <w:szCs w:val="24"/>
          <w:lang w:val="fr-FR" w:eastAsia="zh-CN"/>
        </w:rPr>
        <w:t>说明</w:t>
      </w:r>
      <w:r w:rsidRPr="000C156A">
        <w:rPr>
          <w:rFonts w:cs="Microsoft YaHei"/>
          <w:sz w:val="24"/>
          <w:szCs w:val="24"/>
          <w:lang w:eastAsia="zh-CN"/>
        </w:rPr>
        <w:t>11</w:t>
      </w:r>
      <w:r w:rsidRPr="000C156A">
        <w:rPr>
          <w:rFonts w:cs="Microsoft YaHei"/>
          <w:sz w:val="24"/>
          <w:szCs w:val="24"/>
          <w:lang w:eastAsia="zh-CN"/>
        </w:rPr>
        <w:tab/>
      </w:r>
      <w:r w:rsidRPr="000C156A">
        <w:rPr>
          <w:rFonts w:cs="Microsoft YaHei" w:hint="eastAsia"/>
          <w:sz w:val="24"/>
          <w:szCs w:val="24"/>
          <w:lang w:val="fr-FR" w:eastAsia="zh-CN"/>
        </w:rPr>
        <w:t>财产和设备</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468838C9" w14:textId="77777777" w:rsidR="009D43C3" w:rsidRPr="000C156A" w:rsidRDefault="009D43C3" w:rsidP="009D43C3">
      <w:pPr>
        <w:ind w:firstLineChars="200" w:firstLine="480"/>
        <w:rPr>
          <w:lang w:eastAsia="zh-CN"/>
        </w:rPr>
      </w:pPr>
      <w:r w:rsidRPr="000C156A">
        <w:rPr>
          <w:rFonts w:hint="eastAsia"/>
          <w:lang w:eastAsia="zh-CN"/>
        </w:rPr>
        <w:t>国际电联办公楼包括下列楼宇：</w:t>
      </w:r>
    </w:p>
    <w:p w14:paraId="72F74BFC" w14:textId="77777777" w:rsidR="009D43C3" w:rsidRPr="000C156A" w:rsidRDefault="009D43C3" w:rsidP="009D43C3">
      <w:pPr>
        <w:pStyle w:val="enumlev1"/>
        <w:rPr>
          <w:lang w:eastAsia="zh-CN"/>
        </w:rPr>
      </w:pPr>
      <w:r w:rsidRPr="000C156A">
        <w:t>–</w:t>
      </w:r>
      <w:r w:rsidRPr="000C156A">
        <w:tab/>
      </w:r>
      <w:r w:rsidRPr="000C156A">
        <w:rPr>
          <w:rFonts w:hint="eastAsia"/>
        </w:rPr>
        <w:t>塔楼，日内瓦</w:t>
      </w:r>
      <w:r w:rsidRPr="000C156A">
        <w:t>rue de Varembé</w:t>
      </w:r>
      <w:r w:rsidRPr="000C156A">
        <w:rPr>
          <w:rFonts w:hint="eastAsia"/>
          <w:lang w:eastAsia="zh-CN"/>
        </w:rPr>
        <w:t>；</w:t>
      </w:r>
    </w:p>
    <w:p w14:paraId="142B0201" w14:textId="77777777" w:rsidR="009D43C3" w:rsidRPr="000C156A" w:rsidRDefault="009D43C3" w:rsidP="009D43C3">
      <w:pPr>
        <w:pStyle w:val="enumlev1"/>
      </w:pPr>
      <w:r w:rsidRPr="000C156A">
        <w:t>–</w:t>
      </w:r>
      <w:r w:rsidRPr="000C156A">
        <w:tab/>
        <w:t>Varembé</w:t>
      </w:r>
      <w:r w:rsidRPr="000C156A">
        <w:rPr>
          <w:rFonts w:hint="eastAsia"/>
        </w:rPr>
        <w:t>楼，日内瓦</w:t>
      </w:r>
      <w:r w:rsidRPr="000C156A">
        <w:t>rue de Varembé</w:t>
      </w:r>
      <w:r w:rsidRPr="000C156A">
        <w:t>；</w:t>
      </w:r>
    </w:p>
    <w:p w14:paraId="50F892CA" w14:textId="77777777" w:rsidR="009D43C3" w:rsidRPr="000C156A" w:rsidRDefault="009D43C3" w:rsidP="009D43C3">
      <w:pPr>
        <w:pStyle w:val="enumlev1"/>
      </w:pPr>
      <w:r w:rsidRPr="000C156A">
        <w:t>–</w:t>
      </w:r>
      <w:r w:rsidRPr="000C156A">
        <w:tab/>
        <w:t>C</w:t>
      </w:r>
      <w:r w:rsidRPr="000C156A">
        <w:rPr>
          <w:rFonts w:hint="eastAsia"/>
        </w:rPr>
        <w:t>翼和咖啡厅，日内瓦</w:t>
      </w:r>
      <w:r w:rsidRPr="000C156A">
        <w:t>rue de Varembé</w:t>
      </w:r>
      <w:r w:rsidRPr="000C156A">
        <w:t>；</w:t>
      </w:r>
    </w:p>
    <w:p w14:paraId="6B243296" w14:textId="77777777" w:rsidR="009D43C3" w:rsidRPr="000C156A" w:rsidRDefault="009D43C3" w:rsidP="009D43C3">
      <w:pPr>
        <w:pStyle w:val="enumlev1"/>
        <w:rPr>
          <w:lang w:eastAsia="zh-CN"/>
        </w:rPr>
      </w:pPr>
      <w:r w:rsidRPr="000C156A">
        <w:rPr>
          <w:lang w:eastAsia="zh-CN"/>
        </w:rPr>
        <w:t>–</w:t>
      </w:r>
      <w:r w:rsidRPr="000C156A">
        <w:rPr>
          <w:lang w:eastAsia="zh-CN"/>
        </w:rPr>
        <w:tab/>
        <w:t>Montbrillant</w:t>
      </w:r>
      <w:r w:rsidRPr="000C156A">
        <w:rPr>
          <w:rFonts w:hint="eastAsia"/>
          <w:lang w:eastAsia="zh-CN"/>
        </w:rPr>
        <w:t>楼，日内瓦</w:t>
      </w:r>
      <w:r w:rsidRPr="000C156A">
        <w:rPr>
          <w:lang w:eastAsia="zh-CN"/>
        </w:rPr>
        <w:t>rue de Varembé</w:t>
      </w:r>
      <w:r w:rsidRPr="000C156A">
        <w:rPr>
          <w:lang w:eastAsia="zh-CN"/>
        </w:rPr>
        <w:t>。</w:t>
      </w:r>
    </w:p>
    <w:p w14:paraId="66B59136" w14:textId="77777777" w:rsidR="009D43C3" w:rsidRPr="000C156A" w:rsidRDefault="009D43C3" w:rsidP="009D43C3">
      <w:pPr>
        <w:ind w:firstLineChars="200" w:firstLine="480"/>
        <w:rPr>
          <w:lang w:eastAsia="zh-CN"/>
        </w:rPr>
      </w:pPr>
      <w:r w:rsidRPr="000C156A">
        <w:rPr>
          <w:lang w:eastAsia="zh-CN"/>
        </w:rPr>
        <w:t>2010</w:t>
      </w:r>
      <w:r w:rsidRPr="000C156A">
        <w:rPr>
          <w:rFonts w:hint="eastAsia"/>
          <w:lang w:eastAsia="zh-CN"/>
        </w:rPr>
        <w:t>年首批</w:t>
      </w:r>
      <w:r w:rsidRPr="000C156A">
        <w:rPr>
          <w:lang w:eastAsia="zh-CN"/>
        </w:rPr>
        <w:t>IPSAS</w:t>
      </w:r>
      <w:r w:rsidRPr="000C156A">
        <w:rPr>
          <w:rFonts w:hint="eastAsia"/>
          <w:lang w:eastAsia="zh-CN"/>
        </w:rPr>
        <w:t>财务报表的外部咨询机构独立确定了这些建筑物的价值。该价值代表建筑物建成后以及自建筑入住后减去累计折旧得出的翻修估值。</w:t>
      </w:r>
    </w:p>
    <w:p w14:paraId="5E90B409" w14:textId="77777777" w:rsidR="009D43C3" w:rsidRPr="000C156A" w:rsidRDefault="009D43C3" w:rsidP="009D43C3">
      <w:pPr>
        <w:spacing w:after="120"/>
        <w:ind w:firstLineChars="200" w:firstLine="480"/>
        <w:rPr>
          <w:lang w:eastAsia="zh-CN"/>
        </w:rPr>
      </w:pPr>
      <w:r w:rsidRPr="000C156A">
        <w:rPr>
          <w:rFonts w:hint="eastAsia"/>
          <w:lang w:eastAsia="zh-CN"/>
        </w:rPr>
        <w:t>以下说明</w:t>
      </w:r>
      <w:r w:rsidRPr="000C156A">
        <w:rPr>
          <w:lang w:eastAsia="zh-CN"/>
        </w:rPr>
        <w:t>20</w:t>
      </w:r>
      <w:r w:rsidRPr="000C156A">
        <w:rPr>
          <w:rFonts w:hint="eastAsia"/>
          <w:lang w:eastAsia="zh-CN"/>
        </w:rPr>
        <w:t>20</w:t>
      </w:r>
      <w:r w:rsidRPr="000C156A">
        <w:rPr>
          <w:rFonts w:hint="eastAsia"/>
          <w:lang w:eastAsia="zh-CN"/>
        </w:rPr>
        <w:t>年期间财产、固定资产和设备的净账面金额的变化情况。</w:t>
      </w:r>
    </w:p>
    <w:p w14:paraId="70579AED" w14:textId="77777777" w:rsidR="009D43C3" w:rsidRPr="000C156A" w:rsidRDefault="009D43C3" w:rsidP="009D43C3">
      <w:pPr>
        <w:spacing w:after="120"/>
        <w:ind w:firstLineChars="200" w:firstLine="480"/>
        <w:rPr>
          <w:lang w:eastAsia="zh-CN"/>
        </w:rPr>
      </w:pPr>
      <w:r w:rsidRPr="000C156A">
        <w:rPr>
          <w:rFonts w:hint="eastAsia"/>
          <w:lang w:eastAsia="zh-CN"/>
        </w:rPr>
        <w:t>截至</w:t>
      </w:r>
      <w:r w:rsidRPr="000C156A">
        <w:rPr>
          <w:lang w:eastAsia="zh-CN"/>
        </w:rPr>
        <w:t>20</w:t>
      </w:r>
      <w:r w:rsidRPr="000C156A">
        <w:rPr>
          <w:rFonts w:hint="eastAsia"/>
          <w:lang w:eastAsia="zh-CN"/>
        </w:rPr>
        <w:t>20</w:t>
      </w:r>
      <w:r w:rsidRPr="000C156A">
        <w:rPr>
          <w:rFonts w:hint="eastAsia"/>
          <w:lang w:eastAsia="zh-CN"/>
        </w:rPr>
        <w:t>年</w:t>
      </w:r>
      <w:r w:rsidRPr="000C156A">
        <w:rPr>
          <w:lang w:eastAsia="zh-CN"/>
        </w:rPr>
        <w:t>12</w:t>
      </w:r>
      <w:r w:rsidRPr="000C156A">
        <w:rPr>
          <w:rFonts w:hint="eastAsia"/>
          <w:lang w:eastAsia="zh-CN"/>
        </w:rPr>
        <w:t>月没有任何财产、固定资产或设备被承诺作为债务抵押。</w:t>
      </w:r>
    </w:p>
    <w:p w14:paraId="6BDF783F" w14:textId="77777777" w:rsidR="009D43C3" w:rsidRPr="000C156A" w:rsidRDefault="009D43C3" w:rsidP="009D43C3">
      <w:pPr>
        <w:spacing w:after="120"/>
        <w:ind w:firstLineChars="200" w:firstLine="480"/>
        <w:rPr>
          <w:lang w:eastAsia="zh-CN"/>
        </w:rPr>
      </w:pPr>
      <w:r w:rsidRPr="000C156A">
        <w:rPr>
          <w:lang w:eastAsia="zh-CN"/>
        </w:rPr>
        <w:t>从</w:t>
      </w:r>
      <w:r w:rsidRPr="000C156A">
        <w:rPr>
          <w:lang w:eastAsia="zh-CN"/>
        </w:rPr>
        <w:t>2020</w:t>
      </w:r>
      <w:r w:rsidRPr="000C156A">
        <w:rPr>
          <w:lang w:eastAsia="zh-CN"/>
        </w:rPr>
        <w:t>年</w:t>
      </w:r>
      <w:r w:rsidRPr="000C156A">
        <w:rPr>
          <w:lang w:eastAsia="zh-CN"/>
        </w:rPr>
        <w:t>1</w:t>
      </w:r>
      <w:r w:rsidRPr="000C156A">
        <w:rPr>
          <w:lang w:eastAsia="zh-CN"/>
        </w:rPr>
        <w:t>月</w:t>
      </w:r>
      <w:r w:rsidRPr="000C156A">
        <w:rPr>
          <w:lang w:eastAsia="zh-CN"/>
        </w:rPr>
        <w:t>1</w:t>
      </w:r>
      <w:r w:rsidRPr="000C156A">
        <w:rPr>
          <w:lang w:eastAsia="zh-CN"/>
        </w:rPr>
        <w:t>日起，</w:t>
      </w:r>
      <w:r w:rsidRPr="000C156A">
        <w:rPr>
          <w:lang w:eastAsia="zh-CN"/>
        </w:rPr>
        <w:t>Varembé</w:t>
      </w:r>
      <w:r w:rsidRPr="000C156A">
        <w:rPr>
          <w:rFonts w:hint="eastAsia"/>
          <w:lang w:eastAsia="zh-CN"/>
        </w:rPr>
        <w:t>办公楼</w:t>
      </w:r>
      <w:r w:rsidRPr="000C156A">
        <w:rPr>
          <w:lang w:eastAsia="zh-CN"/>
        </w:rPr>
        <w:t>将采用加速折旧，剩余使用</w:t>
      </w:r>
      <w:r w:rsidRPr="000C156A">
        <w:rPr>
          <w:rFonts w:hint="eastAsia"/>
          <w:lang w:eastAsia="zh-CN"/>
        </w:rPr>
        <w:t>寿命</w:t>
      </w:r>
      <w:r w:rsidRPr="000C156A">
        <w:rPr>
          <w:lang w:eastAsia="zh-CN"/>
        </w:rPr>
        <w:t>为</w:t>
      </w:r>
      <w:r w:rsidRPr="000C156A">
        <w:rPr>
          <w:rFonts w:hint="eastAsia"/>
          <w:lang w:eastAsia="zh-CN"/>
        </w:rPr>
        <w:t>三</w:t>
      </w:r>
      <w:r w:rsidRPr="000C156A">
        <w:rPr>
          <w:lang w:eastAsia="zh-CN"/>
        </w:rPr>
        <w:t>年。到</w:t>
      </w:r>
      <w:r w:rsidRPr="000C156A">
        <w:rPr>
          <w:lang w:eastAsia="zh-CN"/>
        </w:rPr>
        <w:t>2022</w:t>
      </w:r>
      <w:r w:rsidRPr="000C156A">
        <w:rPr>
          <w:lang w:eastAsia="zh-CN"/>
        </w:rPr>
        <w:t>年底，</w:t>
      </w:r>
      <w:r w:rsidRPr="000C156A">
        <w:rPr>
          <w:lang w:eastAsia="zh-CN"/>
        </w:rPr>
        <w:t>Varembé</w:t>
      </w:r>
      <w:r w:rsidRPr="000C156A">
        <w:rPr>
          <w:rFonts w:hint="eastAsia"/>
          <w:lang w:eastAsia="zh-CN"/>
        </w:rPr>
        <w:t>办公</w:t>
      </w:r>
      <w:r w:rsidRPr="000C156A">
        <w:rPr>
          <w:lang w:eastAsia="zh-CN"/>
        </w:rPr>
        <w:t>楼的账面净值将为零。</w:t>
      </w:r>
      <w:r w:rsidRPr="000C156A">
        <w:rPr>
          <w:lang w:eastAsia="zh-CN"/>
        </w:rPr>
        <w:t>Varembé</w:t>
      </w:r>
      <w:r w:rsidRPr="000C156A">
        <w:rPr>
          <w:rFonts w:hint="eastAsia"/>
          <w:lang w:eastAsia="zh-CN"/>
        </w:rPr>
        <w:t>办公</w:t>
      </w:r>
      <w:r w:rsidRPr="000C156A">
        <w:rPr>
          <w:lang w:eastAsia="zh-CN"/>
        </w:rPr>
        <w:t>楼计划于</w:t>
      </w:r>
      <w:r w:rsidRPr="000C156A">
        <w:rPr>
          <w:lang w:eastAsia="zh-CN"/>
        </w:rPr>
        <w:t>2023</w:t>
      </w:r>
      <w:r w:rsidRPr="000C156A">
        <w:rPr>
          <w:lang w:eastAsia="zh-CN"/>
        </w:rPr>
        <w:t>年拆除</w:t>
      </w:r>
      <w:r w:rsidRPr="000C156A">
        <w:rPr>
          <w:rFonts w:hint="eastAsia"/>
          <w:lang w:eastAsia="zh-CN"/>
        </w:rPr>
        <w:t>。</w:t>
      </w:r>
    </w:p>
    <w:p w14:paraId="7714F65B" w14:textId="77777777" w:rsidR="009D43C3" w:rsidRPr="000C156A" w:rsidRDefault="009D43C3" w:rsidP="009D43C3">
      <w:pPr>
        <w:spacing w:after="240"/>
        <w:ind w:firstLineChars="200" w:firstLine="480"/>
        <w:rPr>
          <w:szCs w:val="24"/>
          <w:lang w:eastAsia="zh-CN"/>
        </w:rPr>
      </w:pPr>
      <w:r w:rsidRPr="000C156A">
        <w:rPr>
          <w:lang w:eastAsia="zh-CN"/>
        </w:rPr>
        <w:t>应该注意的是，移动设备越来越多，</w:t>
      </w:r>
      <w:r w:rsidRPr="000C156A">
        <w:rPr>
          <w:rFonts w:hint="eastAsia"/>
          <w:lang w:eastAsia="zh-CN"/>
        </w:rPr>
        <w:t>职员</w:t>
      </w:r>
      <w:r w:rsidRPr="000C156A">
        <w:rPr>
          <w:lang w:eastAsia="zh-CN"/>
        </w:rPr>
        <w:t>经常远程工作。跟踪</w:t>
      </w:r>
      <w:r w:rsidRPr="000C156A">
        <w:rPr>
          <w:rFonts w:hint="eastAsia"/>
          <w:lang w:eastAsia="zh-CN"/>
        </w:rPr>
        <w:t>这些</w:t>
      </w:r>
      <w:r w:rsidRPr="000C156A">
        <w:rPr>
          <w:lang w:eastAsia="zh-CN"/>
        </w:rPr>
        <w:t>设备需要时间</w:t>
      </w:r>
      <w:r w:rsidRPr="000C156A">
        <w:rPr>
          <w:rFonts w:hint="eastAsia"/>
          <w:lang w:eastAsia="zh-CN"/>
        </w:rPr>
        <w:t>和</w:t>
      </w:r>
      <w:r w:rsidRPr="000C156A">
        <w:rPr>
          <w:lang w:eastAsia="zh-CN"/>
        </w:rPr>
        <w:t>人力资源，在</w:t>
      </w:r>
      <w:r w:rsidRPr="000C156A">
        <w:rPr>
          <w:rFonts w:hint="eastAsia"/>
          <w:lang w:eastAsia="zh-CN"/>
        </w:rPr>
        <w:t>规定</w:t>
      </w:r>
      <w:r w:rsidRPr="000C156A">
        <w:rPr>
          <w:lang w:eastAsia="zh-CN"/>
        </w:rPr>
        <w:t>的时间</w:t>
      </w:r>
      <w:r w:rsidRPr="000C156A">
        <w:rPr>
          <w:rFonts w:hint="eastAsia"/>
          <w:lang w:eastAsia="zh-CN"/>
        </w:rPr>
        <w:t>段</w:t>
      </w:r>
      <w:r w:rsidRPr="000C156A">
        <w:rPr>
          <w:lang w:eastAsia="zh-CN"/>
        </w:rPr>
        <w:t>内是</w:t>
      </w:r>
      <w:r w:rsidRPr="000C156A">
        <w:rPr>
          <w:rFonts w:hint="eastAsia"/>
          <w:lang w:eastAsia="zh-CN"/>
        </w:rPr>
        <w:t>不可能实现</w:t>
      </w:r>
      <w:r w:rsidRPr="000C156A">
        <w:rPr>
          <w:lang w:eastAsia="zh-CN"/>
        </w:rPr>
        <w:t>的。</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8"/>
        <w:gridCol w:w="940"/>
        <w:gridCol w:w="870"/>
        <w:gridCol w:w="795"/>
        <w:gridCol w:w="895"/>
        <w:gridCol w:w="867"/>
        <w:gridCol w:w="1053"/>
        <w:gridCol w:w="1053"/>
      </w:tblGrid>
      <w:tr w:rsidR="009D43C3" w:rsidRPr="000C156A" w14:paraId="7EE210ED" w14:textId="77777777" w:rsidTr="006D490A">
        <w:trPr>
          <w:jc w:val="center"/>
        </w:trPr>
        <w:tc>
          <w:tcPr>
            <w:tcW w:w="26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3BE96E" w14:textId="77777777" w:rsidR="009D43C3" w:rsidRPr="000C156A" w:rsidRDefault="009D43C3" w:rsidP="00F61821">
            <w:pPr>
              <w:pStyle w:val="Tablehead"/>
              <w:keepNext/>
              <w:rPr>
                <w:sz w:val="20"/>
                <w:lang w:val="fr-FR"/>
              </w:rPr>
            </w:pPr>
            <w:r w:rsidRPr="000C156A">
              <w:rPr>
                <w:rFonts w:cs="Microsoft YaHei" w:hint="eastAsia"/>
                <w:sz w:val="20"/>
                <w:lang w:val="fr-FR"/>
              </w:rPr>
              <w:lastRenderedPageBreak/>
              <w:t>资产类别</w:t>
            </w:r>
          </w:p>
        </w:tc>
        <w:tc>
          <w:tcPr>
            <w:tcW w:w="9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7772236" w14:textId="77777777" w:rsidR="009D43C3" w:rsidRPr="000C156A" w:rsidRDefault="009D43C3" w:rsidP="00F61821">
            <w:pPr>
              <w:pStyle w:val="Tablehead"/>
              <w:keepNext/>
              <w:rPr>
                <w:sz w:val="20"/>
                <w:lang w:val="fr-FR"/>
              </w:rPr>
            </w:pPr>
            <w:r w:rsidRPr="000C156A">
              <w:rPr>
                <w:rFonts w:cs="Microsoft YaHei" w:hint="eastAsia"/>
                <w:sz w:val="20"/>
                <w:lang w:val="fr-FR"/>
              </w:rPr>
              <w:t>办公楼</w:t>
            </w:r>
          </w:p>
        </w:tc>
        <w:tc>
          <w:tcPr>
            <w:tcW w:w="8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0685831" w14:textId="77777777" w:rsidR="009D43C3" w:rsidRPr="000C156A" w:rsidRDefault="009D43C3" w:rsidP="00F61821">
            <w:pPr>
              <w:pStyle w:val="Tablehead"/>
              <w:keepNext/>
              <w:rPr>
                <w:sz w:val="20"/>
                <w:lang w:val="fr-FR"/>
              </w:rPr>
            </w:pPr>
            <w:r w:rsidRPr="000C156A">
              <w:rPr>
                <w:rFonts w:cs="Microsoft YaHei" w:hint="eastAsia"/>
                <w:sz w:val="20"/>
                <w:lang w:val="fr-FR"/>
              </w:rPr>
              <w:t>机器和设备</w:t>
            </w:r>
          </w:p>
        </w:tc>
        <w:tc>
          <w:tcPr>
            <w:tcW w:w="7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0C4331" w14:textId="77777777" w:rsidR="009D43C3" w:rsidRPr="000C156A" w:rsidRDefault="009D43C3" w:rsidP="00F61821">
            <w:pPr>
              <w:pStyle w:val="Tablehead"/>
              <w:keepNext/>
              <w:rPr>
                <w:sz w:val="20"/>
                <w:lang w:val="fr-FR"/>
              </w:rPr>
            </w:pPr>
            <w:r w:rsidRPr="000C156A">
              <w:rPr>
                <w:rFonts w:cs="Microsoft YaHei" w:hint="eastAsia"/>
                <w:sz w:val="20"/>
                <w:lang w:val="fr-FR"/>
              </w:rPr>
              <w:t>家具</w:t>
            </w:r>
            <w:r w:rsidRPr="000C156A">
              <w:rPr>
                <w:sz w:val="20"/>
                <w:lang w:val="fr-FR"/>
              </w:rPr>
              <w:br/>
            </w:r>
            <w:r w:rsidRPr="000C156A">
              <w:rPr>
                <w:rFonts w:cs="Microsoft YaHei" w:hint="eastAsia"/>
                <w:sz w:val="20"/>
                <w:lang w:val="fr-FR"/>
              </w:rPr>
              <w:t>安装</w:t>
            </w:r>
          </w:p>
        </w:tc>
        <w:tc>
          <w:tcPr>
            <w:tcW w:w="8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77A7E26" w14:textId="77777777" w:rsidR="009D43C3" w:rsidRPr="000C156A" w:rsidRDefault="009D43C3" w:rsidP="00F61821">
            <w:pPr>
              <w:pStyle w:val="Tablehead"/>
              <w:keepNext/>
              <w:rPr>
                <w:sz w:val="20"/>
                <w:lang w:val="fr-FR"/>
              </w:rPr>
            </w:pPr>
            <w:r w:rsidRPr="000C156A">
              <w:rPr>
                <w:rFonts w:cs="Microsoft YaHei" w:hint="eastAsia"/>
                <w:sz w:val="20"/>
                <w:lang w:val="fr-FR"/>
              </w:rPr>
              <w:t>计算机</w:t>
            </w:r>
            <w:r w:rsidRPr="000C156A">
              <w:rPr>
                <w:sz w:val="20"/>
                <w:lang w:val="fr-FR"/>
              </w:rPr>
              <w:br/>
            </w:r>
            <w:r w:rsidRPr="000C156A">
              <w:rPr>
                <w:rFonts w:cs="Microsoft YaHei" w:hint="eastAsia"/>
                <w:sz w:val="20"/>
                <w:lang w:val="fr-FR"/>
              </w:rPr>
              <w:t>设备</w:t>
            </w:r>
          </w:p>
        </w:tc>
        <w:tc>
          <w:tcPr>
            <w:tcW w:w="8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1465F5C" w14:textId="77777777" w:rsidR="009D43C3" w:rsidRPr="000C156A" w:rsidRDefault="009D43C3" w:rsidP="00F61821">
            <w:pPr>
              <w:pStyle w:val="Tablehead"/>
              <w:keepNext/>
              <w:rPr>
                <w:sz w:val="20"/>
                <w:lang w:val="fr-FR"/>
              </w:rPr>
            </w:pPr>
            <w:r w:rsidRPr="000C156A">
              <w:rPr>
                <w:rFonts w:cs="Microsoft YaHei" w:hint="eastAsia"/>
                <w:sz w:val="20"/>
                <w:lang w:val="fr-FR"/>
              </w:rPr>
              <w:t>车辆</w:t>
            </w:r>
          </w:p>
        </w:tc>
        <w:tc>
          <w:tcPr>
            <w:tcW w:w="1053" w:type="dxa"/>
            <w:tcBorders>
              <w:top w:val="single" w:sz="4" w:space="0" w:color="auto"/>
              <w:left w:val="single" w:sz="4" w:space="0" w:color="auto"/>
              <w:bottom w:val="single" w:sz="4" w:space="0" w:color="auto"/>
              <w:right w:val="single" w:sz="4" w:space="0" w:color="auto"/>
            </w:tcBorders>
            <w:hideMark/>
          </w:tcPr>
          <w:p w14:paraId="53C500F2" w14:textId="77777777" w:rsidR="009D43C3" w:rsidRPr="000C156A" w:rsidRDefault="009D43C3" w:rsidP="00F61821">
            <w:pPr>
              <w:pStyle w:val="Tablehead"/>
              <w:keepNext/>
              <w:rPr>
                <w:sz w:val="20"/>
                <w:lang w:val="fr-FR"/>
              </w:rPr>
            </w:pPr>
            <w:r w:rsidRPr="000C156A">
              <w:rPr>
                <w:rFonts w:cs="Microsoft YaHei" w:hint="eastAsia"/>
                <w:sz w:val="20"/>
                <w:lang w:val="fr-FR"/>
              </w:rPr>
              <w:t>低价值资产</w:t>
            </w:r>
          </w:p>
        </w:tc>
        <w:tc>
          <w:tcPr>
            <w:tcW w:w="1053" w:type="dxa"/>
            <w:tcBorders>
              <w:top w:val="single" w:sz="4" w:space="0" w:color="auto"/>
              <w:left w:val="single" w:sz="4" w:space="0" w:color="auto"/>
              <w:bottom w:val="single" w:sz="4" w:space="0" w:color="auto"/>
              <w:right w:val="single" w:sz="4" w:space="0" w:color="auto"/>
            </w:tcBorders>
          </w:tcPr>
          <w:p w14:paraId="47C22A6A" w14:textId="77777777" w:rsidR="009D43C3" w:rsidRPr="000C156A" w:rsidRDefault="009D43C3" w:rsidP="00F61821">
            <w:pPr>
              <w:pStyle w:val="Tablehead"/>
              <w:keepNext/>
              <w:rPr>
                <w:sz w:val="20"/>
                <w:lang w:val="fr-FR"/>
              </w:rPr>
            </w:pPr>
            <w:r w:rsidRPr="000C156A">
              <w:rPr>
                <w:rFonts w:cs="Microsoft YaHei" w:hint="eastAsia"/>
                <w:sz w:val="20"/>
                <w:lang w:val="fr-FR"/>
              </w:rPr>
              <w:t>总计</w:t>
            </w:r>
          </w:p>
        </w:tc>
      </w:tr>
      <w:tr w:rsidR="009D43C3" w:rsidRPr="000C156A" w14:paraId="146337C6" w14:textId="77777777" w:rsidTr="006D490A">
        <w:trPr>
          <w:jc w:val="center"/>
        </w:trPr>
        <w:tc>
          <w:tcPr>
            <w:tcW w:w="2698" w:type="dxa"/>
            <w:tcBorders>
              <w:top w:val="single" w:sz="4" w:space="0" w:color="auto"/>
              <w:left w:val="single" w:sz="4" w:space="0" w:color="auto"/>
              <w:bottom w:val="single" w:sz="4" w:space="0" w:color="auto"/>
              <w:right w:val="single" w:sz="4" w:space="0" w:color="auto"/>
            </w:tcBorders>
            <w:hideMark/>
          </w:tcPr>
          <w:p w14:paraId="41B04DEE" w14:textId="77777777" w:rsidR="009D43C3" w:rsidRPr="000C156A" w:rsidRDefault="009D43C3" w:rsidP="005D02F0">
            <w:pPr>
              <w:pStyle w:val="Tabletext"/>
              <w:keepNext/>
              <w:spacing w:before="20" w:after="20"/>
              <w:rPr>
                <w:b/>
                <w:bCs/>
                <w:szCs w:val="22"/>
                <w:lang w:val="en-US" w:eastAsia="zh-CN"/>
              </w:rPr>
            </w:pPr>
            <w:r w:rsidRPr="000C156A">
              <w:rPr>
                <w:rFonts w:cs="Arial"/>
                <w:b/>
                <w:bCs/>
                <w:color w:val="000000"/>
                <w:szCs w:val="22"/>
                <w:lang w:val="en-US"/>
              </w:rPr>
              <w:t>1</w:t>
            </w:r>
            <w:r w:rsidRPr="000C156A">
              <w:rPr>
                <w:rFonts w:cs="Arial" w:hint="eastAsia"/>
                <w:b/>
                <w:bCs/>
                <w:color w:val="000000"/>
                <w:szCs w:val="22"/>
                <w:lang w:val="en-US"/>
              </w:rPr>
              <w:t>月</w:t>
            </w:r>
            <w:r w:rsidRPr="000C156A">
              <w:rPr>
                <w:rFonts w:cs="Arial"/>
                <w:b/>
                <w:bCs/>
                <w:color w:val="000000"/>
                <w:szCs w:val="22"/>
                <w:lang w:val="en-US"/>
              </w:rPr>
              <w:t>1</w:t>
            </w:r>
            <w:r w:rsidRPr="000C156A">
              <w:rPr>
                <w:rFonts w:cs="Arial" w:hint="eastAsia"/>
                <w:b/>
                <w:bCs/>
                <w:color w:val="000000"/>
                <w:szCs w:val="22"/>
                <w:lang w:val="en-US"/>
              </w:rPr>
              <w:t>日时的成本</w:t>
            </w:r>
          </w:p>
        </w:tc>
        <w:tc>
          <w:tcPr>
            <w:tcW w:w="940" w:type="dxa"/>
            <w:tcBorders>
              <w:top w:val="single" w:sz="4" w:space="0" w:color="auto"/>
              <w:left w:val="nil"/>
              <w:bottom w:val="single" w:sz="4" w:space="0" w:color="auto"/>
              <w:right w:val="nil"/>
            </w:tcBorders>
            <w:shd w:val="clear" w:color="auto" w:fill="auto"/>
            <w:vAlign w:val="center"/>
            <w:hideMark/>
          </w:tcPr>
          <w:p w14:paraId="23AA8ACA" w14:textId="1D788CD7"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125</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000</w:t>
            </w:r>
          </w:p>
        </w:tc>
        <w:tc>
          <w:tcPr>
            <w:tcW w:w="870" w:type="dxa"/>
            <w:tcBorders>
              <w:top w:val="single" w:sz="4" w:space="0" w:color="auto"/>
              <w:left w:val="nil"/>
              <w:bottom w:val="single" w:sz="4" w:space="0" w:color="auto"/>
              <w:right w:val="nil"/>
            </w:tcBorders>
            <w:shd w:val="clear" w:color="000000" w:fill="FFFFFF"/>
            <w:vAlign w:val="center"/>
            <w:hideMark/>
          </w:tcPr>
          <w:p w14:paraId="609B2D5D" w14:textId="5B978BC3"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2</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046</w:t>
            </w:r>
          </w:p>
        </w:tc>
        <w:tc>
          <w:tcPr>
            <w:tcW w:w="795" w:type="dxa"/>
            <w:tcBorders>
              <w:top w:val="single" w:sz="4" w:space="0" w:color="auto"/>
              <w:left w:val="nil"/>
              <w:bottom w:val="single" w:sz="4" w:space="0" w:color="auto"/>
              <w:right w:val="nil"/>
            </w:tcBorders>
            <w:shd w:val="clear" w:color="auto" w:fill="auto"/>
            <w:vAlign w:val="center"/>
            <w:hideMark/>
          </w:tcPr>
          <w:p w14:paraId="3C283BA7" w14:textId="0245FB4E"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707</w:t>
            </w:r>
          </w:p>
        </w:tc>
        <w:tc>
          <w:tcPr>
            <w:tcW w:w="895" w:type="dxa"/>
            <w:tcBorders>
              <w:top w:val="single" w:sz="4" w:space="0" w:color="auto"/>
              <w:left w:val="nil"/>
              <w:bottom w:val="single" w:sz="4" w:space="0" w:color="auto"/>
              <w:right w:val="nil"/>
            </w:tcBorders>
            <w:shd w:val="clear" w:color="000000" w:fill="FFFFFF"/>
            <w:vAlign w:val="center"/>
            <w:hideMark/>
          </w:tcPr>
          <w:p w14:paraId="6E853A99" w14:textId="5F1DA5F5"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8</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981</w:t>
            </w:r>
          </w:p>
        </w:tc>
        <w:tc>
          <w:tcPr>
            <w:tcW w:w="867" w:type="dxa"/>
            <w:tcBorders>
              <w:top w:val="single" w:sz="4" w:space="0" w:color="auto"/>
              <w:left w:val="nil"/>
              <w:bottom w:val="single" w:sz="4" w:space="0" w:color="auto"/>
              <w:right w:val="nil"/>
            </w:tcBorders>
            <w:shd w:val="clear" w:color="auto" w:fill="auto"/>
            <w:vAlign w:val="center"/>
            <w:hideMark/>
          </w:tcPr>
          <w:p w14:paraId="082603FC" w14:textId="1777F138"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296</w:t>
            </w:r>
          </w:p>
        </w:tc>
        <w:tc>
          <w:tcPr>
            <w:tcW w:w="1053" w:type="dxa"/>
            <w:tcBorders>
              <w:top w:val="single" w:sz="4" w:space="0" w:color="auto"/>
              <w:left w:val="nil"/>
              <w:bottom w:val="nil"/>
              <w:right w:val="nil"/>
            </w:tcBorders>
            <w:shd w:val="clear" w:color="auto" w:fill="auto"/>
            <w:vAlign w:val="center"/>
            <w:hideMark/>
          </w:tcPr>
          <w:p w14:paraId="35738C86" w14:textId="3CC4BA26"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15</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488</w:t>
            </w:r>
          </w:p>
        </w:tc>
        <w:tc>
          <w:tcPr>
            <w:tcW w:w="1053" w:type="dxa"/>
            <w:tcBorders>
              <w:top w:val="single" w:sz="4" w:space="0" w:color="auto"/>
              <w:left w:val="nil"/>
              <w:bottom w:val="nil"/>
              <w:right w:val="single" w:sz="4" w:space="0" w:color="auto"/>
            </w:tcBorders>
            <w:shd w:val="clear" w:color="auto" w:fill="auto"/>
            <w:vAlign w:val="center"/>
          </w:tcPr>
          <w:p w14:paraId="2CE2D071" w14:textId="7D26EEC1"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153</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518</w:t>
            </w:r>
          </w:p>
        </w:tc>
      </w:tr>
      <w:tr w:rsidR="009D43C3" w:rsidRPr="000C156A" w14:paraId="786CDE15" w14:textId="77777777" w:rsidTr="006D490A">
        <w:trPr>
          <w:trHeight w:val="156"/>
          <w:jc w:val="center"/>
        </w:trPr>
        <w:tc>
          <w:tcPr>
            <w:tcW w:w="2698" w:type="dxa"/>
            <w:tcBorders>
              <w:top w:val="single" w:sz="4" w:space="0" w:color="auto"/>
              <w:left w:val="single" w:sz="4" w:space="0" w:color="auto"/>
              <w:bottom w:val="nil"/>
              <w:right w:val="single" w:sz="4" w:space="0" w:color="auto"/>
            </w:tcBorders>
            <w:hideMark/>
          </w:tcPr>
          <w:p w14:paraId="3D5F6DAA" w14:textId="77777777" w:rsidR="009D43C3" w:rsidRPr="000C156A" w:rsidRDefault="009D43C3" w:rsidP="005D02F0">
            <w:pPr>
              <w:pStyle w:val="Tabletext"/>
              <w:keepNext/>
              <w:spacing w:before="20" w:after="20"/>
              <w:rPr>
                <w:szCs w:val="22"/>
                <w:lang w:val="en-US" w:eastAsia="zh-CN"/>
              </w:rPr>
            </w:pPr>
            <w:r w:rsidRPr="000C156A">
              <w:rPr>
                <w:rFonts w:hint="eastAsia"/>
                <w:bCs/>
                <w:szCs w:val="22"/>
                <w:lang w:val="en-US"/>
              </w:rPr>
              <w:t>增补</w:t>
            </w:r>
          </w:p>
        </w:tc>
        <w:tc>
          <w:tcPr>
            <w:tcW w:w="940" w:type="dxa"/>
            <w:tcBorders>
              <w:top w:val="nil"/>
              <w:left w:val="nil"/>
              <w:bottom w:val="nil"/>
              <w:right w:val="nil"/>
            </w:tcBorders>
            <w:shd w:val="clear" w:color="auto" w:fill="auto"/>
            <w:hideMark/>
          </w:tcPr>
          <w:p w14:paraId="10FED838" w14:textId="1B609038"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69</w:t>
            </w:r>
          </w:p>
        </w:tc>
        <w:tc>
          <w:tcPr>
            <w:tcW w:w="870" w:type="dxa"/>
            <w:tcBorders>
              <w:top w:val="nil"/>
              <w:left w:val="nil"/>
              <w:bottom w:val="nil"/>
              <w:right w:val="nil"/>
            </w:tcBorders>
            <w:shd w:val="clear" w:color="auto" w:fill="auto"/>
            <w:hideMark/>
          </w:tcPr>
          <w:p w14:paraId="1BB99E6F" w14:textId="62897408"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121</w:t>
            </w:r>
          </w:p>
        </w:tc>
        <w:tc>
          <w:tcPr>
            <w:tcW w:w="795" w:type="dxa"/>
            <w:tcBorders>
              <w:top w:val="nil"/>
              <w:left w:val="nil"/>
              <w:bottom w:val="nil"/>
              <w:right w:val="nil"/>
            </w:tcBorders>
            <w:shd w:val="clear" w:color="auto" w:fill="auto"/>
          </w:tcPr>
          <w:p w14:paraId="3AFFC3BE" w14:textId="4E353FE1"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7</w:t>
            </w:r>
          </w:p>
        </w:tc>
        <w:tc>
          <w:tcPr>
            <w:tcW w:w="895" w:type="dxa"/>
            <w:tcBorders>
              <w:top w:val="nil"/>
              <w:left w:val="nil"/>
              <w:bottom w:val="nil"/>
              <w:right w:val="nil"/>
            </w:tcBorders>
            <w:shd w:val="clear" w:color="auto" w:fill="auto"/>
            <w:hideMark/>
          </w:tcPr>
          <w:p w14:paraId="01052B71" w14:textId="6BE086EF"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540</w:t>
            </w:r>
          </w:p>
        </w:tc>
        <w:tc>
          <w:tcPr>
            <w:tcW w:w="867" w:type="dxa"/>
            <w:tcBorders>
              <w:top w:val="nil"/>
              <w:left w:val="nil"/>
              <w:bottom w:val="nil"/>
              <w:right w:val="nil"/>
            </w:tcBorders>
            <w:shd w:val="clear" w:color="auto" w:fill="auto"/>
            <w:hideMark/>
          </w:tcPr>
          <w:p w14:paraId="3E60323E" w14:textId="1FA563C1"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60</w:t>
            </w:r>
          </w:p>
        </w:tc>
        <w:tc>
          <w:tcPr>
            <w:tcW w:w="1053" w:type="dxa"/>
            <w:tcBorders>
              <w:top w:val="single" w:sz="4" w:space="0" w:color="auto"/>
              <w:left w:val="nil"/>
              <w:bottom w:val="nil"/>
              <w:right w:val="nil"/>
            </w:tcBorders>
            <w:shd w:val="clear" w:color="auto" w:fill="auto"/>
            <w:hideMark/>
          </w:tcPr>
          <w:p w14:paraId="0B74441A" w14:textId="01BB1A3F"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061</w:t>
            </w:r>
          </w:p>
        </w:tc>
        <w:tc>
          <w:tcPr>
            <w:tcW w:w="1053" w:type="dxa"/>
            <w:tcBorders>
              <w:top w:val="single" w:sz="4" w:space="0" w:color="auto"/>
              <w:left w:val="nil"/>
              <w:bottom w:val="nil"/>
              <w:right w:val="single" w:sz="4" w:space="0" w:color="auto"/>
            </w:tcBorders>
            <w:shd w:val="clear" w:color="auto" w:fill="auto"/>
          </w:tcPr>
          <w:p w14:paraId="066554A4" w14:textId="3405217D"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859</w:t>
            </w:r>
          </w:p>
        </w:tc>
      </w:tr>
      <w:tr w:rsidR="009D43C3" w:rsidRPr="000C156A" w14:paraId="0F0E7F26" w14:textId="77777777" w:rsidTr="006D490A">
        <w:trPr>
          <w:jc w:val="center"/>
        </w:trPr>
        <w:tc>
          <w:tcPr>
            <w:tcW w:w="2698" w:type="dxa"/>
            <w:tcBorders>
              <w:top w:val="nil"/>
              <w:left w:val="single" w:sz="4" w:space="0" w:color="auto"/>
              <w:bottom w:val="nil"/>
              <w:right w:val="single" w:sz="4" w:space="0" w:color="auto"/>
            </w:tcBorders>
            <w:hideMark/>
          </w:tcPr>
          <w:p w14:paraId="0390C8EA" w14:textId="77777777" w:rsidR="009D43C3" w:rsidRPr="000C156A" w:rsidRDefault="009D43C3" w:rsidP="005D02F0">
            <w:pPr>
              <w:pStyle w:val="Tabletext"/>
              <w:keepNext/>
              <w:spacing w:before="20" w:after="20"/>
              <w:rPr>
                <w:rFonts w:cs="Arial"/>
                <w:color w:val="000000"/>
                <w:szCs w:val="22"/>
                <w:lang w:val="en-US"/>
              </w:rPr>
            </w:pPr>
            <w:r w:rsidRPr="000C156A">
              <w:rPr>
                <w:rFonts w:hint="eastAsia"/>
                <w:bCs/>
                <w:szCs w:val="22"/>
                <w:lang w:val="en-US"/>
              </w:rPr>
              <w:t>礼品</w:t>
            </w:r>
          </w:p>
        </w:tc>
        <w:tc>
          <w:tcPr>
            <w:tcW w:w="940" w:type="dxa"/>
            <w:tcBorders>
              <w:top w:val="nil"/>
              <w:left w:val="nil"/>
              <w:bottom w:val="nil"/>
              <w:right w:val="nil"/>
            </w:tcBorders>
            <w:shd w:val="clear" w:color="auto" w:fill="auto"/>
          </w:tcPr>
          <w:p w14:paraId="64786118" w14:textId="042F8ED3"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w:t>
            </w:r>
          </w:p>
        </w:tc>
        <w:tc>
          <w:tcPr>
            <w:tcW w:w="870" w:type="dxa"/>
            <w:tcBorders>
              <w:top w:val="nil"/>
              <w:left w:val="nil"/>
              <w:bottom w:val="nil"/>
              <w:right w:val="nil"/>
            </w:tcBorders>
            <w:shd w:val="clear" w:color="auto" w:fill="auto"/>
          </w:tcPr>
          <w:p w14:paraId="7931B660" w14:textId="2F86EA61" w:rsidR="009D43C3" w:rsidRPr="000C156A" w:rsidRDefault="009D43C3" w:rsidP="00F61821">
            <w:pPr>
              <w:keepNext/>
              <w:overflowPunct/>
              <w:autoSpaceDE/>
              <w:autoSpaceDN/>
              <w:adjustRightInd/>
              <w:spacing w:before="0"/>
              <w:jc w:val="right"/>
              <w:textAlignment w:val="auto"/>
              <w:rPr>
                <w:sz w:val="20"/>
                <w:lang w:eastAsia="en-GB"/>
              </w:rPr>
            </w:pPr>
            <w:r w:rsidRPr="000C156A">
              <w:rPr>
                <w:rFonts w:cs="Calibri"/>
                <w:color w:val="000000"/>
                <w:sz w:val="22"/>
                <w:szCs w:val="22"/>
                <w:lang w:eastAsia="en-GB"/>
              </w:rPr>
              <w:t>-</w:t>
            </w:r>
          </w:p>
        </w:tc>
        <w:tc>
          <w:tcPr>
            <w:tcW w:w="795" w:type="dxa"/>
            <w:tcBorders>
              <w:top w:val="nil"/>
              <w:left w:val="nil"/>
              <w:bottom w:val="nil"/>
              <w:right w:val="nil"/>
            </w:tcBorders>
            <w:shd w:val="clear" w:color="auto" w:fill="auto"/>
          </w:tcPr>
          <w:p w14:paraId="032E66DB" w14:textId="65DA47C7" w:rsidR="009D43C3" w:rsidRPr="000C156A" w:rsidRDefault="009D43C3" w:rsidP="00F61821">
            <w:pPr>
              <w:keepNext/>
              <w:overflowPunct/>
              <w:autoSpaceDE/>
              <w:autoSpaceDN/>
              <w:adjustRightInd/>
              <w:spacing w:before="0"/>
              <w:jc w:val="right"/>
              <w:textAlignment w:val="auto"/>
              <w:rPr>
                <w:sz w:val="20"/>
                <w:lang w:eastAsia="en-GB"/>
              </w:rPr>
            </w:pPr>
            <w:r w:rsidRPr="000C156A">
              <w:rPr>
                <w:rFonts w:cs="Calibri"/>
                <w:color w:val="000000"/>
                <w:sz w:val="22"/>
                <w:szCs w:val="22"/>
                <w:lang w:eastAsia="en-GB"/>
              </w:rPr>
              <w:t>-</w:t>
            </w:r>
          </w:p>
        </w:tc>
        <w:tc>
          <w:tcPr>
            <w:tcW w:w="895" w:type="dxa"/>
            <w:tcBorders>
              <w:top w:val="nil"/>
              <w:left w:val="nil"/>
              <w:bottom w:val="nil"/>
              <w:right w:val="nil"/>
            </w:tcBorders>
            <w:shd w:val="clear" w:color="auto" w:fill="auto"/>
          </w:tcPr>
          <w:p w14:paraId="262C9B47" w14:textId="02009482" w:rsidR="009D43C3" w:rsidRPr="000C156A" w:rsidRDefault="009D43C3" w:rsidP="00F61821">
            <w:pPr>
              <w:keepNext/>
              <w:overflowPunct/>
              <w:autoSpaceDE/>
              <w:autoSpaceDN/>
              <w:adjustRightInd/>
              <w:spacing w:before="0"/>
              <w:jc w:val="right"/>
              <w:textAlignment w:val="auto"/>
              <w:rPr>
                <w:sz w:val="20"/>
                <w:lang w:eastAsia="en-GB"/>
              </w:rPr>
            </w:pPr>
            <w:r w:rsidRPr="000C156A">
              <w:rPr>
                <w:rFonts w:cs="Calibri"/>
                <w:color w:val="000000"/>
                <w:sz w:val="22"/>
                <w:szCs w:val="22"/>
                <w:lang w:eastAsia="en-GB"/>
              </w:rPr>
              <w:t>-</w:t>
            </w:r>
          </w:p>
        </w:tc>
        <w:tc>
          <w:tcPr>
            <w:tcW w:w="867" w:type="dxa"/>
            <w:tcBorders>
              <w:top w:val="nil"/>
              <w:left w:val="nil"/>
              <w:bottom w:val="nil"/>
              <w:right w:val="nil"/>
            </w:tcBorders>
            <w:shd w:val="clear" w:color="auto" w:fill="auto"/>
          </w:tcPr>
          <w:p w14:paraId="184DC3B8" w14:textId="6B4DF253" w:rsidR="009D43C3" w:rsidRPr="000C156A" w:rsidRDefault="009D43C3" w:rsidP="00F61821">
            <w:pPr>
              <w:keepNext/>
              <w:overflowPunct/>
              <w:autoSpaceDE/>
              <w:autoSpaceDN/>
              <w:adjustRightInd/>
              <w:spacing w:before="0"/>
              <w:jc w:val="right"/>
              <w:textAlignment w:val="auto"/>
              <w:rPr>
                <w:sz w:val="20"/>
                <w:lang w:eastAsia="en-GB"/>
              </w:rPr>
            </w:pPr>
            <w:r w:rsidRPr="000C156A">
              <w:rPr>
                <w:rFonts w:cs="Calibri"/>
                <w:color w:val="000000"/>
                <w:sz w:val="22"/>
                <w:szCs w:val="22"/>
                <w:lang w:eastAsia="en-GB"/>
              </w:rPr>
              <w:t>-</w:t>
            </w:r>
          </w:p>
        </w:tc>
        <w:tc>
          <w:tcPr>
            <w:tcW w:w="1053" w:type="dxa"/>
            <w:tcBorders>
              <w:top w:val="nil"/>
              <w:left w:val="nil"/>
              <w:bottom w:val="nil"/>
              <w:right w:val="nil"/>
            </w:tcBorders>
            <w:shd w:val="clear" w:color="auto" w:fill="auto"/>
          </w:tcPr>
          <w:p w14:paraId="7A5A3AEA" w14:textId="285655B7" w:rsidR="009D43C3" w:rsidRPr="000C156A" w:rsidRDefault="009D43C3" w:rsidP="00F61821">
            <w:pPr>
              <w:keepNext/>
              <w:overflowPunct/>
              <w:autoSpaceDE/>
              <w:autoSpaceDN/>
              <w:adjustRightInd/>
              <w:spacing w:before="0"/>
              <w:jc w:val="right"/>
              <w:textAlignment w:val="auto"/>
              <w:rPr>
                <w:sz w:val="20"/>
                <w:lang w:eastAsia="en-GB"/>
              </w:rPr>
            </w:pPr>
            <w:r w:rsidRPr="000C156A">
              <w:rPr>
                <w:rFonts w:cs="Calibri"/>
                <w:color w:val="000000"/>
                <w:sz w:val="22"/>
                <w:szCs w:val="22"/>
                <w:lang w:eastAsia="en-GB"/>
              </w:rPr>
              <w:t>-</w:t>
            </w:r>
          </w:p>
        </w:tc>
        <w:tc>
          <w:tcPr>
            <w:tcW w:w="1053" w:type="dxa"/>
            <w:tcBorders>
              <w:top w:val="nil"/>
              <w:left w:val="nil"/>
              <w:bottom w:val="nil"/>
              <w:right w:val="single" w:sz="4" w:space="0" w:color="auto"/>
            </w:tcBorders>
            <w:shd w:val="clear" w:color="auto" w:fill="auto"/>
          </w:tcPr>
          <w:p w14:paraId="72931160" w14:textId="132305C1"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w:t>
            </w:r>
          </w:p>
        </w:tc>
      </w:tr>
      <w:tr w:rsidR="009D43C3" w:rsidRPr="000C156A" w14:paraId="1A5B33B5" w14:textId="77777777" w:rsidTr="006D490A">
        <w:trPr>
          <w:jc w:val="center"/>
        </w:trPr>
        <w:tc>
          <w:tcPr>
            <w:tcW w:w="2698" w:type="dxa"/>
            <w:tcBorders>
              <w:top w:val="nil"/>
              <w:left w:val="single" w:sz="4" w:space="0" w:color="auto"/>
              <w:bottom w:val="nil"/>
              <w:right w:val="single" w:sz="4" w:space="0" w:color="auto"/>
            </w:tcBorders>
            <w:hideMark/>
          </w:tcPr>
          <w:p w14:paraId="3A307E3E" w14:textId="77777777" w:rsidR="009D43C3" w:rsidRPr="000C156A" w:rsidRDefault="009D43C3" w:rsidP="005D02F0">
            <w:pPr>
              <w:pStyle w:val="Tabletext"/>
              <w:keepNext/>
              <w:spacing w:before="20" w:after="20"/>
              <w:rPr>
                <w:rFonts w:cs="Arial"/>
                <w:color w:val="000000"/>
                <w:szCs w:val="22"/>
                <w:lang w:val="en-US"/>
              </w:rPr>
            </w:pPr>
            <w:r w:rsidRPr="000C156A">
              <w:rPr>
                <w:rFonts w:hint="eastAsia"/>
                <w:bCs/>
                <w:szCs w:val="22"/>
                <w:lang w:val="en-US"/>
              </w:rPr>
              <w:t>处置</w:t>
            </w:r>
          </w:p>
        </w:tc>
        <w:tc>
          <w:tcPr>
            <w:tcW w:w="940" w:type="dxa"/>
            <w:tcBorders>
              <w:top w:val="nil"/>
              <w:left w:val="nil"/>
              <w:bottom w:val="nil"/>
              <w:right w:val="nil"/>
            </w:tcBorders>
            <w:shd w:val="clear" w:color="auto" w:fill="auto"/>
          </w:tcPr>
          <w:p w14:paraId="7167D528" w14:textId="41A08066"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w:t>
            </w:r>
          </w:p>
        </w:tc>
        <w:tc>
          <w:tcPr>
            <w:tcW w:w="870" w:type="dxa"/>
            <w:tcBorders>
              <w:top w:val="nil"/>
              <w:left w:val="nil"/>
              <w:bottom w:val="nil"/>
              <w:right w:val="nil"/>
            </w:tcBorders>
            <w:shd w:val="clear" w:color="auto" w:fill="auto"/>
            <w:hideMark/>
          </w:tcPr>
          <w:p w14:paraId="3769480F" w14:textId="456AA73D"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-46</w:t>
            </w:r>
          </w:p>
        </w:tc>
        <w:tc>
          <w:tcPr>
            <w:tcW w:w="795" w:type="dxa"/>
            <w:tcBorders>
              <w:top w:val="nil"/>
              <w:left w:val="nil"/>
              <w:bottom w:val="nil"/>
              <w:right w:val="nil"/>
            </w:tcBorders>
            <w:shd w:val="clear" w:color="auto" w:fill="auto"/>
          </w:tcPr>
          <w:p w14:paraId="5CFE29E9" w14:textId="279EB55D"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-208</w:t>
            </w:r>
          </w:p>
        </w:tc>
        <w:tc>
          <w:tcPr>
            <w:tcW w:w="895" w:type="dxa"/>
            <w:tcBorders>
              <w:top w:val="nil"/>
              <w:left w:val="nil"/>
              <w:bottom w:val="nil"/>
              <w:right w:val="nil"/>
            </w:tcBorders>
            <w:shd w:val="clear" w:color="auto" w:fill="auto"/>
            <w:hideMark/>
          </w:tcPr>
          <w:p w14:paraId="1D9AADE8" w14:textId="0EA08156"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-168</w:t>
            </w:r>
          </w:p>
        </w:tc>
        <w:tc>
          <w:tcPr>
            <w:tcW w:w="867" w:type="dxa"/>
            <w:tcBorders>
              <w:top w:val="nil"/>
              <w:left w:val="nil"/>
              <w:bottom w:val="nil"/>
              <w:right w:val="nil"/>
            </w:tcBorders>
            <w:shd w:val="clear" w:color="auto" w:fill="auto"/>
          </w:tcPr>
          <w:p w14:paraId="520E6416" w14:textId="3E8E7DD5"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-60</w:t>
            </w:r>
          </w:p>
        </w:tc>
        <w:tc>
          <w:tcPr>
            <w:tcW w:w="1053" w:type="dxa"/>
            <w:tcBorders>
              <w:top w:val="nil"/>
              <w:left w:val="nil"/>
              <w:bottom w:val="nil"/>
              <w:right w:val="nil"/>
            </w:tcBorders>
            <w:shd w:val="clear" w:color="auto" w:fill="auto"/>
          </w:tcPr>
          <w:p w14:paraId="0D2292C9" w14:textId="7B7E3A0E"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-396</w:t>
            </w:r>
          </w:p>
        </w:tc>
        <w:tc>
          <w:tcPr>
            <w:tcW w:w="1053" w:type="dxa"/>
            <w:tcBorders>
              <w:top w:val="nil"/>
              <w:left w:val="nil"/>
              <w:bottom w:val="nil"/>
              <w:right w:val="single" w:sz="4" w:space="0" w:color="auto"/>
            </w:tcBorders>
            <w:shd w:val="clear" w:color="auto" w:fill="auto"/>
          </w:tcPr>
          <w:p w14:paraId="0265E6FD" w14:textId="34861795"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-878</w:t>
            </w:r>
          </w:p>
        </w:tc>
      </w:tr>
      <w:tr w:rsidR="009D43C3" w:rsidRPr="000C156A" w14:paraId="4870913B" w14:textId="77777777" w:rsidTr="006D490A">
        <w:trPr>
          <w:jc w:val="center"/>
        </w:trPr>
        <w:tc>
          <w:tcPr>
            <w:tcW w:w="2698" w:type="dxa"/>
            <w:tcBorders>
              <w:top w:val="nil"/>
              <w:left w:val="single" w:sz="4" w:space="0" w:color="auto"/>
              <w:bottom w:val="nil"/>
              <w:right w:val="single" w:sz="4" w:space="0" w:color="auto"/>
            </w:tcBorders>
            <w:hideMark/>
          </w:tcPr>
          <w:p w14:paraId="37DB5849" w14:textId="77777777" w:rsidR="009D43C3" w:rsidRPr="000C156A" w:rsidRDefault="009D43C3" w:rsidP="005D02F0">
            <w:pPr>
              <w:pStyle w:val="Tabletext"/>
              <w:keepNext/>
              <w:spacing w:before="20" w:after="20"/>
              <w:rPr>
                <w:rFonts w:cs="Arial"/>
                <w:color w:val="000000"/>
                <w:szCs w:val="22"/>
                <w:lang w:val="en-US"/>
              </w:rPr>
            </w:pPr>
            <w:r w:rsidRPr="000C156A">
              <w:rPr>
                <w:rFonts w:hint="eastAsia"/>
                <w:bCs/>
                <w:szCs w:val="22"/>
                <w:lang w:val="en-US"/>
              </w:rPr>
              <w:t>减值损失</w:t>
            </w:r>
          </w:p>
        </w:tc>
        <w:tc>
          <w:tcPr>
            <w:tcW w:w="940" w:type="dxa"/>
            <w:tcBorders>
              <w:top w:val="nil"/>
              <w:left w:val="nil"/>
              <w:bottom w:val="nil"/>
              <w:right w:val="nil"/>
            </w:tcBorders>
            <w:shd w:val="clear" w:color="auto" w:fill="auto"/>
          </w:tcPr>
          <w:p w14:paraId="74D6B578" w14:textId="17438992"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w:t>
            </w:r>
          </w:p>
        </w:tc>
        <w:tc>
          <w:tcPr>
            <w:tcW w:w="870" w:type="dxa"/>
            <w:tcBorders>
              <w:top w:val="nil"/>
              <w:left w:val="nil"/>
              <w:bottom w:val="nil"/>
              <w:right w:val="nil"/>
            </w:tcBorders>
            <w:shd w:val="clear" w:color="auto" w:fill="auto"/>
          </w:tcPr>
          <w:p w14:paraId="6BFCAB56" w14:textId="150162BC" w:rsidR="009D43C3" w:rsidRPr="000C156A" w:rsidRDefault="009D43C3" w:rsidP="00F61821">
            <w:pPr>
              <w:keepNext/>
              <w:overflowPunct/>
              <w:autoSpaceDE/>
              <w:autoSpaceDN/>
              <w:adjustRightInd/>
              <w:spacing w:before="0"/>
              <w:jc w:val="right"/>
              <w:textAlignment w:val="auto"/>
              <w:rPr>
                <w:sz w:val="20"/>
                <w:lang w:eastAsia="en-GB"/>
              </w:rPr>
            </w:pPr>
            <w:r w:rsidRPr="000C156A">
              <w:rPr>
                <w:rFonts w:cs="Calibri"/>
                <w:color w:val="000000"/>
                <w:sz w:val="22"/>
                <w:szCs w:val="22"/>
                <w:lang w:eastAsia="en-GB"/>
              </w:rPr>
              <w:t>-</w:t>
            </w:r>
          </w:p>
        </w:tc>
        <w:tc>
          <w:tcPr>
            <w:tcW w:w="795" w:type="dxa"/>
            <w:tcBorders>
              <w:top w:val="nil"/>
              <w:left w:val="nil"/>
              <w:bottom w:val="nil"/>
              <w:right w:val="nil"/>
            </w:tcBorders>
            <w:shd w:val="clear" w:color="auto" w:fill="auto"/>
          </w:tcPr>
          <w:p w14:paraId="5745EE10" w14:textId="71357EB7" w:rsidR="009D43C3" w:rsidRPr="000C156A" w:rsidRDefault="009D43C3" w:rsidP="00F61821">
            <w:pPr>
              <w:keepNext/>
              <w:overflowPunct/>
              <w:autoSpaceDE/>
              <w:autoSpaceDN/>
              <w:adjustRightInd/>
              <w:spacing w:before="0"/>
              <w:jc w:val="right"/>
              <w:textAlignment w:val="auto"/>
              <w:rPr>
                <w:sz w:val="20"/>
                <w:lang w:eastAsia="en-GB"/>
              </w:rPr>
            </w:pPr>
            <w:r w:rsidRPr="000C156A">
              <w:rPr>
                <w:rFonts w:cs="Calibri"/>
                <w:color w:val="000000"/>
                <w:sz w:val="22"/>
                <w:szCs w:val="22"/>
                <w:lang w:eastAsia="en-GB"/>
              </w:rPr>
              <w:t>-</w:t>
            </w:r>
          </w:p>
        </w:tc>
        <w:tc>
          <w:tcPr>
            <w:tcW w:w="895" w:type="dxa"/>
            <w:tcBorders>
              <w:top w:val="nil"/>
              <w:left w:val="nil"/>
              <w:bottom w:val="nil"/>
              <w:right w:val="nil"/>
            </w:tcBorders>
            <w:shd w:val="clear" w:color="auto" w:fill="auto"/>
          </w:tcPr>
          <w:p w14:paraId="30CAC457" w14:textId="2C4B2A11" w:rsidR="009D43C3" w:rsidRPr="000C156A" w:rsidRDefault="009D43C3" w:rsidP="00F61821">
            <w:pPr>
              <w:keepNext/>
              <w:overflowPunct/>
              <w:autoSpaceDE/>
              <w:autoSpaceDN/>
              <w:adjustRightInd/>
              <w:spacing w:before="0"/>
              <w:jc w:val="right"/>
              <w:textAlignment w:val="auto"/>
              <w:rPr>
                <w:sz w:val="20"/>
                <w:lang w:eastAsia="en-GB"/>
              </w:rPr>
            </w:pPr>
            <w:r w:rsidRPr="000C156A">
              <w:rPr>
                <w:rFonts w:cs="Calibri"/>
                <w:color w:val="000000"/>
                <w:sz w:val="22"/>
                <w:szCs w:val="22"/>
                <w:lang w:eastAsia="en-GB"/>
              </w:rPr>
              <w:t>-</w:t>
            </w:r>
          </w:p>
        </w:tc>
        <w:tc>
          <w:tcPr>
            <w:tcW w:w="867" w:type="dxa"/>
            <w:tcBorders>
              <w:top w:val="nil"/>
              <w:left w:val="nil"/>
              <w:bottom w:val="nil"/>
              <w:right w:val="nil"/>
            </w:tcBorders>
            <w:shd w:val="clear" w:color="auto" w:fill="auto"/>
          </w:tcPr>
          <w:p w14:paraId="6DDAFFFD" w14:textId="5A99A41E" w:rsidR="009D43C3" w:rsidRPr="000C156A" w:rsidRDefault="009D43C3" w:rsidP="00F61821">
            <w:pPr>
              <w:keepNext/>
              <w:overflowPunct/>
              <w:autoSpaceDE/>
              <w:autoSpaceDN/>
              <w:adjustRightInd/>
              <w:spacing w:before="0"/>
              <w:jc w:val="right"/>
              <w:textAlignment w:val="auto"/>
              <w:rPr>
                <w:sz w:val="20"/>
                <w:lang w:eastAsia="en-GB"/>
              </w:rPr>
            </w:pPr>
            <w:r w:rsidRPr="000C156A">
              <w:rPr>
                <w:rFonts w:cs="Calibri"/>
                <w:color w:val="000000"/>
                <w:sz w:val="22"/>
                <w:szCs w:val="22"/>
                <w:lang w:eastAsia="en-GB"/>
              </w:rPr>
              <w:t>-</w:t>
            </w:r>
          </w:p>
        </w:tc>
        <w:tc>
          <w:tcPr>
            <w:tcW w:w="1053" w:type="dxa"/>
            <w:tcBorders>
              <w:top w:val="nil"/>
              <w:left w:val="nil"/>
              <w:bottom w:val="nil"/>
              <w:right w:val="nil"/>
            </w:tcBorders>
            <w:shd w:val="clear" w:color="auto" w:fill="auto"/>
          </w:tcPr>
          <w:p w14:paraId="059B8A92" w14:textId="5339F9D9"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w:t>
            </w:r>
          </w:p>
        </w:tc>
        <w:tc>
          <w:tcPr>
            <w:tcW w:w="1053" w:type="dxa"/>
            <w:tcBorders>
              <w:top w:val="nil"/>
              <w:left w:val="nil"/>
              <w:bottom w:val="nil"/>
              <w:right w:val="single" w:sz="4" w:space="0" w:color="auto"/>
            </w:tcBorders>
            <w:shd w:val="clear" w:color="auto" w:fill="auto"/>
          </w:tcPr>
          <w:p w14:paraId="3B1FA7AE" w14:textId="7232E9B2"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w:t>
            </w:r>
          </w:p>
        </w:tc>
      </w:tr>
      <w:tr w:rsidR="009D43C3" w:rsidRPr="000C156A" w14:paraId="22D9EC0A" w14:textId="77777777" w:rsidTr="006D490A">
        <w:trPr>
          <w:jc w:val="center"/>
        </w:trPr>
        <w:tc>
          <w:tcPr>
            <w:tcW w:w="2698" w:type="dxa"/>
            <w:tcBorders>
              <w:top w:val="nil"/>
              <w:left w:val="single" w:sz="4" w:space="0" w:color="auto"/>
              <w:bottom w:val="nil"/>
              <w:right w:val="single" w:sz="4" w:space="0" w:color="auto"/>
            </w:tcBorders>
            <w:hideMark/>
          </w:tcPr>
          <w:p w14:paraId="2180682A" w14:textId="77777777" w:rsidR="009D43C3" w:rsidRPr="000C156A" w:rsidRDefault="009D43C3" w:rsidP="005D02F0">
            <w:pPr>
              <w:pStyle w:val="Tabletext"/>
              <w:keepNext/>
              <w:spacing w:before="20" w:after="20"/>
              <w:rPr>
                <w:rFonts w:cs="Arial"/>
                <w:color w:val="000000"/>
                <w:szCs w:val="22"/>
                <w:lang w:val="en-US"/>
              </w:rPr>
            </w:pPr>
            <w:r w:rsidRPr="000C156A">
              <w:rPr>
                <w:rFonts w:hint="eastAsia"/>
                <w:bCs/>
                <w:szCs w:val="22"/>
                <w:lang w:val="en-US"/>
              </w:rPr>
              <w:t>重新分类与校正</w:t>
            </w:r>
          </w:p>
        </w:tc>
        <w:tc>
          <w:tcPr>
            <w:tcW w:w="940" w:type="dxa"/>
            <w:tcBorders>
              <w:top w:val="nil"/>
              <w:left w:val="nil"/>
              <w:bottom w:val="nil"/>
              <w:right w:val="nil"/>
            </w:tcBorders>
            <w:shd w:val="clear" w:color="auto" w:fill="auto"/>
            <w:vAlign w:val="center"/>
          </w:tcPr>
          <w:p w14:paraId="5628E408" w14:textId="263C5923"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w:t>
            </w:r>
          </w:p>
        </w:tc>
        <w:tc>
          <w:tcPr>
            <w:tcW w:w="870" w:type="dxa"/>
            <w:tcBorders>
              <w:top w:val="nil"/>
              <w:left w:val="nil"/>
              <w:bottom w:val="nil"/>
              <w:right w:val="nil"/>
            </w:tcBorders>
            <w:shd w:val="clear" w:color="auto" w:fill="auto"/>
            <w:vAlign w:val="center"/>
          </w:tcPr>
          <w:p w14:paraId="79C0D966" w14:textId="743456C6"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w:t>
            </w:r>
          </w:p>
        </w:tc>
        <w:tc>
          <w:tcPr>
            <w:tcW w:w="795" w:type="dxa"/>
            <w:tcBorders>
              <w:top w:val="nil"/>
              <w:left w:val="nil"/>
              <w:bottom w:val="nil"/>
              <w:right w:val="nil"/>
            </w:tcBorders>
            <w:shd w:val="clear" w:color="auto" w:fill="auto"/>
            <w:vAlign w:val="center"/>
          </w:tcPr>
          <w:p w14:paraId="76611DBB" w14:textId="16F1D993" w:rsidR="009D43C3" w:rsidRPr="000C156A" w:rsidRDefault="009D43C3" w:rsidP="00F61821">
            <w:pPr>
              <w:keepNext/>
              <w:overflowPunct/>
              <w:autoSpaceDE/>
              <w:autoSpaceDN/>
              <w:adjustRightInd/>
              <w:spacing w:before="0"/>
              <w:jc w:val="right"/>
              <w:textAlignment w:val="auto"/>
              <w:rPr>
                <w:sz w:val="20"/>
                <w:lang w:eastAsia="en-GB"/>
              </w:rPr>
            </w:pPr>
            <w:r w:rsidRPr="000C156A">
              <w:rPr>
                <w:rFonts w:cs="Calibri"/>
                <w:color w:val="000000"/>
                <w:sz w:val="22"/>
                <w:szCs w:val="22"/>
                <w:lang w:eastAsia="en-GB"/>
              </w:rPr>
              <w:t>-</w:t>
            </w:r>
          </w:p>
        </w:tc>
        <w:tc>
          <w:tcPr>
            <w:tcW w:w="895" w:type="dxa"/>
            <w:tcBorders>
              <w:top w:val="nil"/>
              <w:left w:val="nil"/>
              <w:bottom w:val="nil"/>
              <w:right w:val="nil"/>
            </w:tcBorders>
            <w:shd w:val="clear" w:color="auto" w:fill="auto"/>
            <w:vAlign w:val="center"/>
            <w:hideMark/>
          </w:tcPr>
          <w:p w14:paraId="06BE7C8F" w14:textId="5734A8C1" w:rsidR="009D43C3" w:rsidRPr="000C156A" w:rsidRDefault="009D43C3" w:rsidP="00F61821">
            <w:pPr>
              <w:keepNext/>
              <w:overflowPunct/>
              <w:autoSpaceDE/>
              <w:autoSpaceDN/>
              <w:adjustRightInd/>
              <w:spacing w:before="0"/>
              <w:jc w:val="right"/>
              <w:textAlignment w:val="auto"/>
              <w:rPr>
                <w:sz w:val="20"/>
                <w:lang w:eastAsia="en-GB"/>
              </w:rPr>
            </w:pPr>
            <w:r w:rsidRPr="000C156A">
              <w:rPr>
                <w:rFonts w:cs="Calibri"/>
                <w:color w:val="000000"/>
                <w:sz w:val="22"/>
                <w:szCs w:val="22"/>
                <w:lang w:eastAsia="en-GB"/>
              </w:rPr>
              <w:t>-</w:t>
            </w:r>
          </w:p>
        </w:tc>
        <w:tc>
          <w:tcPr>
            <w:tcW w:w="867" w:type="dxa"/>
            <w:tcBorders>
              <w:top w:val="nil"/>
              <w:left w:val="nil"/>
              <w:bottom w:val="nil"/>
              <w:right w:val="nil"/>
            </w:tcBorders>
            <w:shd w:val="clear" w:color="auto" w:fill="auto"/>
          </w:tcPr>
          <w:p w14:paraId="54BD2389" w14:textId="1A3AD17A" w:rsidR="009D43C3" w:rsidRPr="000C156A" w:rsidRDefault="009D43C3" w:rsidP="00F61821">
            <w:pPr>
              <w:keepNext/>
              <w:overflowPunct/>
              <w:autoSpaceDE/>
              <w:autoSpaceDN/>
              <w:adjustRightInd/>
              <w:spacing w:before="0"/>
              <w:jc w:val="right"/>
              <w:textAlignment w:val="auto"/>
              <w:rPr>
                <w:sz w:val="20"/>
                <w:lang w:eastAsia="en-GB"/>
              </w:rPr>
            </w:pPr>
            <w:r w:rsidRPr="000C156A">
              <w:rPr>
                <w:rFonts w:cs="Calibri"/>
                <w:color w:val="000000"/>
                <w:sz w:val="22"/>
                <w:szCs w:val="22"/>
              </w:rPr>
              <w:t>-</w:t>
            </w:r>
          </w:p>
        </w:tc>
        <w:tc>
          <w:tcPr>
            <w:tcW w:w="1053" w:type="dxa"/>
            <w:tcBorders>
              <w:top w:val="nil"/>
              <w:left w:val="nil"/>
              <w:bottom w:val="nil"/>
              <w:right w:val="nil"/>
            </w:tcBorders>
            <w:shd w:val="clear" w:color="auto" w:fill="auto"/>
          </w:tcPr>
          <w:p w14:paraId="77091156" w14:textId="5D82F53C"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rPr>
              <w:t>2</w:t>
            </w:r>
          </w:p>
        </w:tc>
        <w:tc>
          <w:tcPr>
            <w:tcW w:w="1053" w:type="dxa"/>
            <w:tcBorders>
              <w:top w:val="nil"/>
              <w:left w:val="nil"/>
              <w:bottom w:val="nil"/>
              <w:right w:val="single" w:sz="4" w:space="0" w:color="auto"/>
            </w:tcBorders>
            <w:shd w:val="clear" w:color="auto" w:fill="auto"/>
          </w:tcPr>
          <w:p w14:paraId="31EB16E4" w14:textId="0406D651"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rPr>
              <w:t>2</w:t>
            </w:r>
          </w:p>
        </w:tc>
      </w:tr>
      <w:tr w:rsidR="009D43C3" w:rsidRPr="000C156A" w14:paraId="0774F29A" w14:textId="77777777" w:rsidTr="006D490A">
        <w:trPr>
          <w:jc w:val="center"/>
        </w:trPr>
        <w:tc>
          <w:tcPr>
            <w:tcW w:w="2698" w:type="dxa"/>
            <w:tcBorders>
              <w:top w:val="nil"/>
              <w:left w:val="single" w:sz="4" w:space="0" w:color="auto"/>
              <w:bottom w:val="single" w:sz="4" w:space="0" w:color="auto"/>
              <w:right w:val="single" w:sz="4" w:space="0" w:color="auto"/>
            </w:tcBorders>
            <w:hideMark/>
          </w:tcPr>
          <w:p w14:paraId="1D4112DA" w14:textId="77777777" w:rsidR="009D43C3" w:rsidRPr="000C156A" w:rsidRDefault="009D43C3" w:rsidP="005D02F0">
            <w:pPr>
              <w:pStyle w:val="Tabletext"/>
              <w:keepNext/>
              <w:spacing w:before="20" w:after="20"/>
              <w:rPr>
                <w:rFonts w:cs="Arial"/>
                <w:color w:val="000000"/>
                <w:szCs w:val="22"/>
                <w:lang w:val="en-US"/>
              </w:rPr>
            </w:pPr>
            <w:r w:rsidRPr="000C156A">
              <w:rPr>
                <w:rFonts w:hint="eastAsia"/>
                <w:bCs/>
                <w:szCs w:val="22"/>
                <w:lang w:val="en-US"/>
              </w:rPr>
              <w:t>重新估值</w:t>
            </w:r>
          </w:p>
        </w:tc>
        <w:tc>
          <w:tcPr>
            <w:tcW w:w="940" w:type="dxa"/>
            <w:tcBorders>
              <w:top w:val="nil"/>
              <w:left w:val="nil"/>
              <w:bottom w:val="nil"/>
              <w:right w:val="nil"/>
            </w:tcBorders>
            <w:shd w:val="clear" w:color="auto" w:fill="auto"/>
          </w:tcPr>
          <w:p w14:paraId="647CF927" w14:textId="15589AE6"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w:t>
            </w:r>
          </w:p>
        </w:tc>
        <w:tc>
          <w:tcPr>
            <w:tcW w:w="870" w:type="dxa"/>
            <w:tcBorders>
              <w:top w:val="nil"/>
              <w:left w:val="nil"/>
              <w:bottom w:val="nil"/>
              <w:right w:val="nil"/>
            </w:tcBorders>
            <w:shd w:val="clear" w:color="auto" w:fill="auto"/>
          </w:tcPr>
          <w:p w14:paraId="296F43B5" w14:textId="033B293F" w:rsidR="009D43C3" w:rsidRPr="000C156A" w:rsidRDefault="009D43C3" w:rsidP="00F61821">
            <w:pPr>
              <w:keepNext/>
              <w:overflowPunct/>
              <w:autoSpaceDE/>
              <w:autoSpaceDN/>
              <w:adjustRightInd/>
              <w:spacing w:before="0"/>
              <w:jc w:val="right"/>
              <w:textAlignment w:val="auto"/>
              <w:rPr>
                <w:sz w:val="20"/>
                <w:lang w:eastAsia="en-GB"/>
              </w:rPr>
            </w:pPr>
            <w:r w:rsidRPr="000C156A">
              <w:rPr>
                <w:rFonts w:cs="Calibri"/>
                <w:color w:val="000000"/>
                <w:sz w:val="22"/>
                <w:szCs w:val="22"/>
                <w:lang w:eastAsia="en-GB"/>
              </w:rPr>
              <w:t>-</w:t>
            </w:r>
          </w:p>
        </w:tc>
        <w:tc>
          <w:tcPr>
            <w:tcW w:w="795" w:type="dxa"/>
            <w:tcBorders>
              <w:top w:val="nil"/>
              <w:left w:val="nil"/>
              <w:bottom w:val="nil"/>
              <w:right w:val="nil"/>
            </w:tcBorders>
            <w:shd w:val="clear" w:color="auto" w:fill="auto"/>
          </w:tcPr>
          <w:p w14:paraId="2C8537DE" w14:textId="0FAA1880" w:rsidR="009D43C3" w:rsidRPr="000C156A" w:rsidRDefault="009D43C3" w:rsidP="00F61821">
            <w:pPr>
              <w:keepNext/>
              <w:overflowPunct/>
              <w:autoSpaceDE/>
              <w:autoSpaceDN/>
              <w:adjustRightInd/>
              <w:spacing w:before="0"/>
              <w:jc w:val="right"/>
              <w:textAlignment w:val="auto"/>
              <w:rPr>
                <w:sz w:val="20"/>
                <w:lang w:eastAsia="en-GB"/>
              </w:rPr>
            </w:pPr>
            <w:r w:rsidRPr="000C156A">
              <w:rPr>
                <w:rFonts w:cs="Calibri"/>
                <w:color w:val="000000"/>
                <w:sz w:val="22"/>
                <w:szCs w:val="22"/>
                <w:lang w:eastAsia="en-GB"/>
              </w:rPr>
              <w:t>-</w:t>
            </w:r>
          </w:p>
        </w:tc>
        <w:tc>
          <w:tcPr>
            <w:tcW w:w="895" w:type="dxa"/>
            <w:tcBorders>
              <w:top w:val="nil"/>
              <w:left w:val="nil"/>
              <w:bottom w:val="nil"/>
              <w:right w:val="nil"/>
            </w:tcBorders>
            <w:shd w:val="clear" w:color="auto" w:fill="auto"/>
          </w:tcPr>
          <w:p w14:paraId="0DBD1392" w14:textId="0B7AAC57" w:rsidR="009D43C3" w:rsidRPr="000C156A" w:rsidRDefault="009D43C3" w:rsidP="00F61821">
            <w:pPr>
              <w:keepNext/>
              <w:overflowPunct/>
              <w:autoSpaceDE/>
              <w:autoSpaceDN/>
              <w:adjustRightInd/>
              <w:spacing w:before="0"/>
              <w:jc w:val="right"/>
              <w:textAlignment w:val="auto"/>
              <w:rPr>
                <w:sz w:val="20"/>
                <w:lang w:eastAsia="en-GB"/>
              </w:rPr>
            </w:pPr>
            <w:r w:rsidRPr="000C156A">
              <w:rPr>
                <w:rFonts w:cs="Calibri"/>
                <w:color w:val="000000"/>
                <w:sz w:val="22"/>
                <w:szCs w:val="22"/>
                <w:lang w:eastAsia="en-GB"/>
              </w:rPr>
              <w:t>-</w:t>
            </w:r>
          </w:p>
        </w:tc>
        <w:tc>
          <w:tcPr>
            <w:tcW w:w="867" w:type="dxa"/>
            <w:tcBorders>
              <w:top w:val="nil"/>
              <w:left w:val="nil"/>
              <w:bottom w:val="nil"/>
              <w:right w:val="nil"/>
            </w:tcBorders>
            <w:shd w:val="clear" w:color="auto" w:fill="auto"/>
          </w:tcPr>
          <w:p w14:paraId="29A48C4D" w14:textId="7C3234CF" w:rsidR="009D43C3" w:rsidRPr="000C156A" w:rsidRDefault="009D43C3" w:rsidP="00F61821">
            <w:pPr>
              <w:keepNext/>
              <w:overflowPunct/>
              <w:autoSpaceDE/>
              <w:autoSpaceDN/>
              <w:adjustRightInd/>
              <w:spacing w:before="0"/>
              <w:jc w:val="right"/>
              <w:textAlignment w:val="auto"/>
              <w:rPr>
                <w:sz w:val="20"/>
                <w:lang w:eastAsia="en-GB"/>
              </w:rPr>
            </w:pPr>
            <w:r w:rsidRPr="000C156A">
              <w:rPr>
                <w:rFonts w:cs="Calibri"/>
                <w:color w:val="000000"/>
                <w:sz w:val="22"/>
                <w:szCs w:val="22"/>
                <w:lang w:eastAsia="en-GB"/>
              </w:rPr>
              <w:t>-</w:t>
            </w:r>
          </w:p>
        </w:tc>
        <w:tc>
          <w:tcPr>
            <w:tcW w:w="1053" w:type="dxa"/>
            <w:tcBorders>
              <w:top w:val="nil"/>
              <w:left w:val="nil"/>
              <w:bottom w:val="nil"/>
              <w:right w:val="nil"/>
            </w:tcBorders>
            <w:shd w:val="clear" w:color="auto" w:fill="auto"/>
          </w:tcPr>
          <w:p w14:paraId="28A72BA8" w14:textId="2D20D3AC" w:rsidR="009D43C3" w:rsidRPr="000C156A" w:rsidRDefault="009D43C3" w:rsidP="00F61821">
            <w:pPr>
              <w:keepNext/>
              <w:overflowPunct/>
              <w:autoSpaceDE/>
              <w:autoSpaceDN/>
              <w:adjustRightInd/>
              <w:spacing w:before="0"/>
              <w:jc w:val="right"/>
              <w:textAlignment w:val="auto"/>
              <w:rPr>
                <w:sz w:val="20"/>
                <w:lang w:eastAsia="en-GB"/>
              </w:rPr>
            </w:pPr>
            <w:r w:rsidRPr="000C156A">
              <w:rPr>
                <w:rFonts w:cs="Calibri"/>
                <w:color w:val="000000"/>
                <w:sz w:val="22"/>
                <w:szCs w:val="22"/>
                <w:lang w:eastAsia="en-GB"/>
              </w:rPr>
              <w:t>-</w:t>
            </w:r>
          </w:p>
        </w:tc>
        <w:tc>
          <w:tcPr>
            <w:tcW w:w="1053" w:type="dxa"/>
            <w:tcBorders>
              <w:top w:val="nil"/>
              <w:left w:val="nil"/>
              <w:bottom w:val="single" w:sz="4" w:space="0" w:color="auto"/>
              <w:right w:val="single" w:sz="4" w:space="0" w:color="auto"/>
            </w:tcBorders>
            <w:shd w:val="clear" w:color="auto" w:fill="auto"/>
          </w:tcPr>
          <w:p w14:paraId="3042A306" w14:textId="5F654BAB"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w:t>
            </w:r>
          </w:p>
        </w:tc>
      </w:tr>
      <w:tr w:rsidR="009D43C3" w:rsidRPr="000C156A" w14:paraId="7F34CA11" w14:textId="77777777" w:rsidTr="006D490A">
        <w:trPr>
          <w:jc w:val="center"/>
        </w:trPr>
        <w:tc>
          <w:tcPr>
            <w:tcW w:w="2698" w:type="dxa"/>
            <w:tcBorders>
              <w:top w:val="single" w:sz="4" w:space="0" w:color="auto"/>
              <w:left w:val="single" w:sz="4" w:space="0" w:color="auto"/>
              <w:bottom w:val="single" w:sz="4" w:space="0" w:color="auto"/>
              <w:right w:val="single" w:sz="4" w:space="0" w:color="auto"/>
            </w:tcBorders>
            <w:hideMark/>
          </w:tcPr>
          <w:p w14:paraId="2C8BB41F" w14:textId="77777777" w:rsidR="009D43C3" w:rsidRPr="000C156A" w:rsidRDefault="009D43C3" w:rsidP="005D02F0">
            <w:pPr>
              <w:pStyle w:val="Tabletext"/>
              <w:keepNext/>
              <w:spacing w:before="20" w:after="20"/>
              <w:rPr>
                <w:b/>
                <w:bCs/>
                <w:szCs w:val="22"/>
                <w:lang w:val="en-US" w:eastAsia="zh-CN"/>
              </w:rPr>
            </w:pPr>
            <w:r w:rsidRPr="000C156A">
              <w:rPr>
                <w:rFonts w:cs="Arial"/>
                <w:b/>
                <w:bCs/>
                <w:color w:val="000000"/>
                <w:szCs w:val="22"/>
                <w:lang w:val="en-US"/>
              </w:rPr>
              <w:t>12</w:t>
            </w:r>
            <w:r w:rsidRPr="000C156A">
              <w:rPr>
                <w:rFonts w:cs="Arial" w:hint="eastAsia"/>
                <w:b/>
                <w:bCs/>
                <w:color w:val="000000"/>
                <w:szCs w:val="22"/>
                <w:lang w:val="en-US"/>
              </w:rPr>
              <w:t>月</w:t>
            </w:r>
            <w:r w:rsidRPr="000C156A">
              <w:rPr>
                <w:b/>
                <w:bCs/>
                <w:szCs w:val="22"/>
                <w:lang w:val="en-US"/>
              </w:rPr>
              <w:t>31</w:t>
            </w:r>
            <w:r w:rsidRPr="000C156A">
              <w:rPr>
                <w:rFonts w:cs="Arial" w:hint="eastAsia"/>
                <w:b/>
                <w:bCs/>
                <w:color w:val="000000"/>
                <w:szCs w:val="22"/>
                <w:lang w:val="en-US"/>
              </w:rPr>
              <w:t>日时的成本</w:t>
            </w:r>
          </w:p>
        </w:tc>
        <w:tc>
          <w:tcPr>
            <w:tcW w:w="940" w:type="dxa"/>
            <w:tcBorders>
              <w:top w:val="single" w:sz="4" w:space="0" w:color="auto"/>
              <w:left w:val="nil"/>
              <w:bottom w:val="single" w:sz="4" w:space="0" w:color="auto"/>
              <w:right w:val="nil"/>
            </w:tcBorders>
            <w:shd w:val="clear" w:color="auto" w:fill="auto"/>
            <w:vAlign w:val="center"/>
            <w:hideMark/>
          </w:tcPr>
          <w:p w14:paraId="0689C941" w14:textId="70EA621C"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125</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070</w:t>
            </w:r>
          </w:p>
        </w:tc>
        <w:tc>
          <w:tcPr>
            <w:tcW w:w="870" w:type="dxa"/>
            <w:tcBorders>
              <w:top w:val="single" w:sz="4" w:space="0" w:color="auto"/>
              <w:left w:val="nil"/>
              <w:bottom w:val="single" w:sz="4" w:space="0" w:color="auto"/>
              <w:right w:val="nil"/>
            </w:tcBorders>
            <w:shd w:val="clear" w:color="auto" w:fill="auto"/>
            <w:vAlign w:val="center"/>
            <w:hideMark/>
          </w:tcPr>
          <w:p w14:paraId="6EFA7ABB" w14:textId="33278645"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2</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121</w:t>
            </w:r>
          </w:p>
        </w:tc>
        <w:tc>
          <w:tcPr>
            <w:tcW w:w="795" w:type="dxa"/>
            <w:tcBorders>
              <w:top w:val="single" w:sz="4" w:space="0" w:color="auto"/>
              <w:left w:val="nil"/>
              <w:bottom w:val="single" w:sz="4" w:space="0" w:color="auto"/>
              <w:right w:val="nil"/>
            </w:tcBorders>
            <w:shd w:val="clear" w:color="auto" w:fill="auto"/>
            <w:vAlign w:val="center"/>
            <w:hideMark/>
          </w:tcPr>
          <w:p w14:paraId="1A435A03" w14:textId="6B666544"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506</w:t>
            </w:r>
          </w:p>
        </w:tc>
        <w:tc>
          <w:tcPr>
            <w:tcW w:w="895" w:type="dxa"/>
            <w:tcBorders>
              <w:top w:val="single" w:sz="4" w:space="0" w:color="auto"/>
              <w:left w:val="nil"/>
              <w:bottom w:val="single" w:sz="4" w:space="0" w:color="auto"/>
              <w:right w:val="nil"/>
            </w:tcBorders>
            <w:shd w:val="clear" w:color="auto" w:fill="auto"/>
            <w:vAlign w:val="center"/>
            <w:hideMark/>
          </w:tcPr>
          <w:p w14:paraId="24E0E528" w14:textId="324ABC5A"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9</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354</w:t>
            </w:r>
          </w:p>
        </w:tc>
        <w:tc>
          <w:tcPr>
            <w:tcW w:w="867" w:type="dxa"/>
            <w:tcBorders>
              <w:top w:val="single" w:sz="4" w:space="0" w:color="auto"/>
              <w:left w:val="nil"/>
              <w:bottom w:val="single" w:sz="4" w:space="0" w:color="auto"/>
              <w:right w:val="nil"/>
            </w:tcBorders>
            <w:shd w:val="clear" w:color="auto" w:fill="auto"/>
            <w:vAlign w:val="center"/>
            <w:hideMark/>
          </w:tcPr>
          <w:p w14:paraId="62C3EE9E" w14:textId="0315196C"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296</w:t>
            </w:r>
          </w:p>
        </w:tc>
        <w:tc>
          <w:tcPr>
            <w:tcW w:w="1053" w:type="dxa"/>
            <w:tcBorders>
              <w:top w:val="single" w:sz="4" w:space="0" w:color="auto"/>
              <w:left w:val="nil"/>
              <w:bottom w:val="single" w:sz="4" w:space="0" w:color="auto"/>
              <w:right w:val="nil"/>
            </w:tcBorders>
            <w:shd w:val="clear" w:color="auto" w:fill="auto"/>
            <w:vAlign w:val="center"/>
            <w:hideMark/>
          </w:tcPr>
          <w:p w14:paraId="11A6215B" w14:textId="08FD90DB"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16</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154</w:t>
            </w:r>
          </w:p>
        </w:tc>
        <w:tc>
          <w:tcPr>
            <w:tcW w:w="1053" w:type="dxa"/>
            <w:tcBorders>
              <w:top w:val="nil"/>
              <w:left w:val="nil"/>
              <w:bottom w:val="single" w:sz="4" w:space="0" w:color="auto"/>
              <w:right w:val="single" w:sz="4" w:space="0" w:color="auto"/>
            </w:tcBorders>
            <w:shd w:val="clear" w:color="auto" w:fill="auto"/>
            <w:vAlign w:val="center"/>
          </w:tcPr>
          <w:p w14:paraId="2D5A6080" w14:textId="1F7CD7A8"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154</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500</w:t>
            </w:r>
          </w:p>
        </w:tc>
      </w:tr>
      <w:tr w:rsidR="009D43C3" w:rsidRPr="000C156A" w14:paraId="502AD8AD" w14:textId="77777777" w:rsidTr="006D490A">
        <w:trPr>
          <w:jc w:val="center"/>
        </w:trPr>
        <w:tc>
          <w:tcPr>
            <w:tcW w:w="2698" w:type="dxa"/>
            <w:tcBorders>
              <w:top w:val="single" w:sz="4" w:space="0" w:color="auto"/>
              <w:left w:val="single" w:sz="4" w:space="0" w:color="auto"/>
              <w:bottom w:val="single" w:sz="4" w:space="0" w:color="auto"/>
              <w:right w:val="single" w:sz="4" w:space="0" w:color="auto"/>
            </w:tcBorders>
            <w:hideMark/>
          </w:tcPr>
          <w:p w14:paraId="2738D787" w14:textId="77777777" w:rsidR="009D43C3" w:rsidRPr="000C156A" w:rsidRDefault="009D43C3" w:rsidP="005D02F0">
            <w:pPr>
              <w:pStyle w:val="Tabletext"/>
              <w:keepNext/>
              <w:spacing w:before="20" w:after="20"/>
              <w:rPr>
                <w:b/>
                <w:bCs/>
                <w:szCs w:val="22"/>
                <w:lang w:val="en-US" w:eastAsia="zh-CN"/>
              </w:rPr>
            </w:pPr>
            <w:r w:rsidRPr="000C156A">
              <w:rPr>
                <w:rFonts w:cs="Arial"/>
                <w:b/>
                <w:bCs/>
                <w:color w:val="000000"/>
                <w:szCs w:val="22"/>
                <w:lang w:val="en-US"/>
              </w:rPr>
              <w:t>1</w:t>
            </w:r>
            <w:r w:rsidRPr="000C156A">
              <w:rPr>
                <w:rFonts w:cs="Arial" w:hint="eastAsia"/>
                <w:b/>
                <w:bCs/>
                <w:color w:val="000000"/>
                <w:szCs w:val="22"/>
                <w:lang w:val="en-US"/>
              </w:rPr>
              <w:t>月</w:t>
            </w:r>
            <w:r w:rsidRPr="000C156A">
              <w:rPr>
                <w:rFonts w:cs="Arial"/>
                <w:b/>
                <w:bCs/>
                <w:color w:val="000000"/>
                <w:szCs w:val="22"/>
                <w:lang w:val="en-US"/>
              </w:rPr>
              <w:t>1</w:t>
            </w:r>
            <w:r w:rsidRPr="000C156A">
              <w:rPr>
                <w:rFonts w:cs="Arial" w:hint="eastAsia"/>
                <w:b/>
                <w:bCs/>
                <w:color w:val="000000"/>
                <w:szCs w:val="22"/>
                <w:lang w:val="en-US"/>
              </w:rPr>
              <w:t>日时的折旧</w:t>
            </w:r>
          </w:p>
        </w:tc>
        <w:tc>
          <w:tcPr>
            <w:tcW w:w="940" w:type="dxa"/>
            <w:tcBorders>
              <w:top w:val="nil"/>
              <w:left w:val="nil"/>
              <w:bottom w:val="single" w:sz="4" w:space="0" w:color="auto"/>
              <w:right w:val="nil"/>
            </w:tcBorders>
            <w:shd w:val="clear" w:color="auto" w:fill="auto"/>
            <w:vAlign w:val="center"/>
            <w:hideMark/>
          </w:tcPr>
          <w:p w14:paraId="4AB11881" w14:textId="78C32AE8"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33</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286</w:t>
            </w:r>
          </w:p>
        </w:tc>
        <w:tc>
          <w:tcPr>
            <w:tcW w:w="870" w:type="dxa"/>
            <w:tcBorders>
              <w:top w:val="nil"/>
              <w:left w:val="nil"/>
              <w:bottom w:val="single" w:sz="4" w:space="0" w:color="auto"/>
              <w:right w:val="nil"/>
            </w:tcBorders>
            <w:shd w:val="clear" w:color="auto" w:fill="auto"/>
            <w:vAlign w:val="center"/>
            <w:hideMark/>
          </w:tcPr>
          <w:p w14:paraId="0705EB20" w14:textId="5CCC6833"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2</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005</w:t>
            </w:r>
          </w:p>
        </w:tc>
        <w:tc>
          <w:tcPr>
            <w:tcW w:w="795" w:type="dxa"/>
            <w:tcBorders>
              <w:top w:val="nil"/>
              <w:left w:val="nil"/>
              <w:bottom w:val="single" w:sz="4" w:space="0" w:color="auto"/>
              <w:right w:val="nil"/>
            </w:tcBorders>
            <w:shd w:val="clear" w:color="auto" w:fill="auto"/>
            <w:vAlign w:val="center"/>
            <w:hideMark/>
          </w:tcPr>
          <w:p w14:paraId="0919F170" w14:textId="2D81DB58"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631</w:t>
            </w:r>
          </w:p>
        </w:tc>
        <w:tc>
          <w:tcPr>
            <w:tcW w:w="895" w:type="dxa"/>
            <w:tcBorders>
              <w:top w:val="nil"/>
              <w:left w:val="nil"/>
              <w:bottom w:val="single" w:sz="4" w:space="0" w:color="auto"/>
              <w:right w:val="nil"/>
            </w:tcBorders>
            <w:shd w:val="clear" w:color="auto" w:fill="auto"/>
            <w:vAlign w:val="center"/>
            <w:hideMark/>
          </w:tcPr>
          <w:p w14:paraId="434FFBC0" w14:textId="2500CED1"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8</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205</w:t>
            </w:r>
          </w:p>
        </w:tc>
        <w:tc>
          <w:tcPr>
            <w:tcW w:w="867" w:type="dxa"/>
            <w:tcBorders>
              <w:top w:val="nil"/>
              <w:left w:val="nil"/>
              <w:bottom w:val="single" w:sz="4" w:space="0" w:color="auto"/>
              <w:right w:val="nil"/>
            </w:tcBorders>
            <w:shd w:val="clear" w:color="auto" w:fill="auto"/>
            <w:vAlign w:val="center"/>
            <w:hideMark/>
          </w:tcPr>
          <w:p w14:paraId="6E79D914" w14:textId="2961609D"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229</w:t>
            </w:r>
          </w:p>
        </w:tc>
        <w:tc>
          <w:tcPr>
            <w:tcW w:w="1053" w:type="dxa"/>
            <w:tcBorders>
              <w:top w:val="nil"/>
              <w:left w:val="nil"/>
              <w:bottom w:val="nil"/>
              <w:right w:val="nil"/>
            </w:tcBorders>
            <w:shd w:val="clear" w:color="auto" w:fill="auto"/>
            <w:vAlign w:val="center"/>
            <w:hideMark/>
          </w:tcPr>
          <w:p w14:paraId="5389B66C" w14:textId="5C11BCD2"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15</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488</w:t>
            </w:r>
          </w:p>
        </w:tc>
        <w:tc>
          <w:tcPr>
            <w:tcW w:w="1053" w:type="dxa"/>
            <w:tcBorders>
              <w:top w:val="nil"/>
              <w:left w:val="nil"/>
              <w:bottom w:val="nil"/>
              <w:right w:val="single" w:sz="4" w:space="0" w:color="auto"/>
            </w:tcBorders>
            <w:shd w:val="clear" w:color="auto" w:fill="auto"/>
            <w:vAlign w:val="center"/>
          </w:tcPr>
          <w:p w14:paraId="65282546" w14:textId="0C36CEC1"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60</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843</w:t>
            </w:r>
          </w:p>
        </w:tc>
      </w:tr>
      <w:tr w:rsidR="009D43C3" w:rsidRPr="000C156A" w14:paraId="61B11CC1" w14:textId="77777777" w:rsidTr="006D490A">
        <w:trPr>
          <w:jc w:val="center"/>
        </w:trPr>
        <w:tc>
          <w:tcPr>
            <w:tcW w:w="2698" w:type="dxa"/>
            <w:tcBorders>
              <w:top w:val="single" w:sz="4" w:space="0" w:color="auto"/>
              <w:left w:val="single" w:sz="4" w:space="0" w:color="auto"/>
              <w:bottom w:val="nil"/>
              <w:right w:val="single" w:sz="4" w:space="0" w:color="auto"/>
            </w:tcBorders>
            <w:hideMark/>
          </w:tcPr>
          <w:p w14:paraId="16C7546B" w14:textId="77777777" w:rsidR="009D43C3" w:rsidRPr="000C156A" w:rsidRDefault="009D43C3" w:rsidP="005D02F0">
            <w:pPr>
              <w:pStyle w:val="Tabletext"/>
              <w:keepNext/>
              <w:spacing w:before="20" w:after="20"/>
              <w:rPr>
                <w:szCs w:val="22"/>
                <w:lang w:val="en-US" w:eastAsia="fr-FR"/>
              </w:rPr>
            </w:pPr>
            <w:r w:rsidRPr="000C156A">
              <w:rPr>
                <w:rFonts w:hint="eastAsia"/>
                <w:bCs/>
                <w:szCs w:val="22"/>
                <w:lang w:val="en-US"/>
              </w:rPr>
              <w:t>年度期间得到确认</w:t>
            </w:r>
          </w:p>
        </w:tc>
        <w:tc>
          <w:tcPr>
            <w:tcW w:w="940" w:type="dxa"/>
            <w:tcBorders>
              <w:top w:val="nil"/>
              <w:left w:val="nil"/>
              <w:bottom w:val="nil"/>
              <w:right w:val="nil"/>
            </w:tcBorders>
            <w:shd w:val="clear" w:color="auto" w:fill="auto"/>
            <w:vAlign w:val="center"/>
            <w:hideMark/>
          </w:tcPr>
          <w:p w14:paraId="77FE521A" w14:textId="093E8E9A"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Arial"/>
                <w:color w:val="000000"/>
                <w:sz w:val="22"/>
                <w:szCs w:val="22"/>
                <w:lang w:eastAsia="en-GB"/>
              </w:rPr>
              <w:t>14</w:t>
            </w:r>
            <w:r w:rsidR="00F61821" w:rsidRPr="000C156A">
              <w:rPr>
                <w:rFonts w:cs="Arial"/>
                <w:color w:val="000000"/>
                <w:sz w:val="22"/>
                <w:szCs w:val="22"/>
                <w:lang w:eastAsia="en-GB"/>
              </w:rPr>
              <w:t xml:space="preserve"> </w:t>
            </w:r>
            <w:r w:rsidRPr="000C156A">
              <w:rPr>
                <w:rFonts w:cs="Arial"/>
                <w:color w:val="000000"/>
                <w:sz w:val="22"/>
                <w:szCs w:val="22"/>
                <w:lang w:eastAsia="en-GB"/>
              </w:rPr>
              <w:t>798</w:t>
            </w:r>
          </w:p>
        </w:tc>
        <w:tc>
          <w:tcPr>
            <w:tcW w:w="870" w:type="dxa"/>
            <w:tcBorders>
              <w:top w:val="nil"/>
              <w:left w:val="nil"/>
              <w:bottom w:val="nil"/>
              <w:right w:val="nil"/>
            </w:tcBorders>
            <w:shd w:val="clear" w:color="auto" w:fill="auto"/>
            <w:vAlign w:val="center"/>
            <w:hideMark/>
          </w:tcPr>
          <w:p w14:paraId="72A0A95A" w14:textId="3FF15734"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Arial"/>
                <w:color w:val="000000"/>
                <w:sz w:val="22"/>
                <w:szCs w:val="22"/>
                <w:lang w:eastAsia="en-GB"/>
              </w:rPr>
              <w:t>31</w:t>
            </w:r>
          </w:p>
        </w:tc>
        <w:tc>
          <w:tcPr>
            <w:tcW w:w="795" w:type="dxa"/>
            <w:tcBorders>
              <w:top w:val="nil"/>
              <w:left w:val="nil"/>
              <w:bottom w:val="nil"/>
              <w:right w:val="nil"/>
            </w:tcBorders>
            <w:shd w:val="clear" w:color="auto" w:fill="auto"/>
            <w:vAlign w:val="center"/>
            <w:hideMark/>
          </w:tcPr>
          <w:p w14:paraId="188DCFEB" w14:textId="28AB34A4"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Arial"/>
                <w:color w:val="000000"/>
                <w:sz w:val="22"/>
                <w:szCs w:val="22"/>
                <w:lang w:eastAsia="en-GB"/>
              </w:rPr>
              <w:t>25</w:t>
            </w:r>
          </w:p>
        </w:tc>
        <w:tc>
          <w:tcPr>
            <w:tcW w:w="895" w:type="dxa"/>
            <w:tcBorders>
              <w:top w:val="nil"/>
              <w:left w:val="nil"/>
              <w:bottom w:val="nil"/>
              <w:right w:val="nil"/>
            </w:tcBorders>
            <w:shd w:val="clear" w:color="auto" w:fill="auto"/>
            <w:vAlign w:val="center"/>
            <w:hideMark/>
          </w:tcPr>
          <w:p w14:paraId="136E2558" w14:textId="4B0F4DBF"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Arial"/>
                <w:color w:val="000000"/>
                <w:sz w:val="22"/>
                <w:szCs w:val="22"/>
                <w:lang w:eastAsia="en-GB"/>
              </w:rPr>
              <w:t>544</w:t>
            </w:r>
          </w:p>
        </w:tc>
        <w:tc>
          <w:tcPr>
            <w:tcW w:w="867" w:type="dxa"/>
            <w:tcBorders>
              <w:top w:val="nil"/>
              <w:left w:val="nil"/>
              <w:bottom w:val="nil"/>
              <w:right w:val="nil"/>
            </w:tcBorders>
            <w:shd w:val="clear" w:color="auto" w:fill="auto"/>
            <w:vAlign w:val="center"/>
            <w:hideMark/>
          </w:tcPr>
          <w:p w14:paraId="039B5293" w14:textId="25266DE2"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Arial"/>
                <w:color w:val="000000"/>
                <w:sz w:val="22"/>
                <w:szCs w:val="22"/>
                <w:lang w:eastAsia="en-GB"/>
              </w:rPr>
              <w:t>34</w:t>
            </w:r>
          </w:p>
        </w:tc>
        <w:tc>
          <w:tcPr>
            <w:tcW w:w="1053" w:type="dxa"/>
            <w:tcBorders>
              <w:top w:val="single" w:sz="4" w:space="0" w:color="auto"/>
              <w:left w:val="nil"/>
              <w:bottom w:val="nil"/>
              <w:right w:val="nil"/>
            </w:tcBorders>
            <w:shd w:val="clear" w:color="auto" w:fill="auto"/>
            <w:vAlign w:val="center"/>
          </w:tcPr>
          <w:p w14:paraId="78BB8E51" w14:textId="4E52343E"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062</w:t>
            </w:r>
          </w:p>
        </w:tc>
        <w:tc>
          <w:tcPr>
            <w:tcW w:w="1053" w:type="dxa"/>
            <w:tcBorders>
              <w:top w:val="single" w:sz="4" w:space="0" w:color="auto"/>
              <w:left w:val="nil"/>
              <w:bottom w:val="nil"/>
              <w:right w:val="single" w:sz="4" w:space="0" w:color="auto"/>
            </w:tcBorders>
            <w:shd w:val="clear" w:color="auto" w:fill="auto"/>
            <w:vAlign w:val="center"/>
          </w:tcPr>
          <w:p w14:paraId="4E4FAD1D" w14:textId="42AB10C1"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16</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496</w:t>
            </w:r>
          </w:p>
        </w:tc>
      </w:tr>
      <w:tr w:rsidR="009D43C3" w:rsidRPr="000C156A" w14:paraId="6B441F35" w14:textId="77777777" w:rsidTr="006D490A">
        <w:trPr>
          <w:jc w:val="center"/>
        </w:trPr>
        <w:tc>
          <w:tcPr>
            <w:tcW w:w="2698" w:type="dxa"/>
            <w:tcBorders>
              <w:top w:val="nil"/>
              <w:left w:val="single" w:sz="4" w:space="0" w:color="auto"/>
              <w:bottom w:val="nil"/>
              <w:right w:val="single" w:sz="4" w:space="0" w:color="auto"/>
            </w:tcBorders>
            <w:hideMark/>
          </w:tcPr>
          <w:p w14:paraId="62A9158B" w14:textId="77777777" w:rsidR="009D43C3" w:rsidRPr="000C156A" w:rsidRDefault="009D43C3" w:rsidP="005D02F0">
            <w:pPr>
              <w:pStyle w:val="Tabletext"/>
              <w:keepNext/>
              <w:spacing w:before="20" w:after="20"/>
              <w:rPr>
                <w:rFonts w:cs="Arial"/>
                <w:color w:val="000000"/>
                <w:szCs w:val="22"/>
                <w:lang w:val="en-US"/>
              </w:rPr>
            </w:pPr>
            <w:r w:rsidRPr="000C156A">
              <w:rPr>
                <w:rFonts w:cs="Arial" w:hint="eastAsia"/>
                <w:color w:val="000000"/>
                <w:szCs w:val="22"/>
                <w:lang w:val="en-US"/>
              </w:rPr>
              <w:t>处置</w:t>
            </w:r>
          </w:p>
        </w:tc>
        <w:tc>
          <w:tcPr>
            <w:tcW w:w="940" w:type="dxa"/>
            <w:tcBorders>
              <w:top w:val="nil"/>
              <w:left w:val="nil"/>
              <w:bottom w:val="nil"/>
              <w:right w:val="nil"/>
            </w:tcBorders>
            <w:shd w:val="clear" w:color="auto" w:fill="auto"/>
            <w:vAlign w:val="center"/>
          </w:tcPr>
          <w:p w14:paraId="0BAC51E3" w14:textId="37AE9AF9"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w:t>
            </w:r>
          </w:p>
        </w:tc>
        <w:tc>
          <w:tcPr>
            <w:tcW w:w="870" w:type="dxa"/>
            <w:tcBorders>
              <w:top w:val="nil"/>
              <w:left w:val="nil"/>
              <w:bottom w:val="nil"/>
              <w:right w:val="nil"/>
            </w:tcBorders>
            <w:shd w:val="clear" w:color="auto" w:fill="auto"/>
            <w:vAlign w:val="center"/>
            <w:hideMark/>
          </w:tcPr>
          <w:p w14:paraId="6CCE2384" w14:textId="407C1AA6"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Arial"/>
                <w:color w:val="000000"/>
                <w:sz w:val="22"/>
                <w:szCs w:val="22"/>
                <w:lang w:eastAsia="en-GB"/>
              </w:rPr>
              <w:t>-46</w:t>
            </w:r>
          </w:p>
        </w:tc>
        <w:tc>
          <w:tcPr>
            <w:tcW w:w="795" w:type="dxa"/>
            <w:tcBorders>
              <w:top w:val="nil"/>
              <w:left w:val="nil"/>
              <w:bottom w:val="nil"/>
              <w:right w:val="nil"/>
            </w:tcBorders>
            <w:shd w:val="clear" w:color="auto" w:fill="auto"/>
            <w:vAlign w:val="center"/>
          </w:tcPr>
          <w:p w14:paraId="3B3565AE" w14:textId="74172420"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Arial"/>
                <w:color w:val="000000"/>
                <w:sz w:val="22"/>
                <w:szCs w:val="22"/>
                <w:lang w:eastAsia="en-GB"/>
              </w:rPr>
              <w:t>-207</w:t>
            </w:r>
          </w:p>
        </w:tc>
        <w:tc>
          <w:tcPr>
            <w:tcW w:w="895" w:type="dxa"/>
            <w:tcBorders>
              <w:top w:val="nil"/>
              <w:left w:val="nil"/>
              <w:bottom w:val="nil"/>
              <w:right w:val="nil"/>
            </w:tcBorders>
            <w:shd w:val="clear" w:color="auto" w:fill="auto"/>
            <w:vAlign w:val="center"/>
            <w:hideMark/>
          </w:tcPr>
          <w:p w14:paraId="0A8A9F41" w14:textId="36D1C6F4"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Arial"/>
                <w:color w:val="000000"/>
                <w:sz w:val="22"/>
                <w:szCs w:val="22"/>
                <w:lang w:eastAsia="en-GB"/>
              </w:rPr>
              <w:t>-168</w:t>
            </w:r>
          </w:p>
        </w:tc>
        <w:tc>
          <w:tcPr>
            <w:tcW w:w="867" w:type="dxa"/>
            <w:tcBorders>
              <w:top w:val="nil"/>
              <w:left w:val="nil"/>
              <w:bottom w:val="nil"/>
              <w:right w:val="nil"/>
            </w:tcBorders>
            <w:shd w:val="clear" w:color="auto" w:fill="auto"/>
            <w:vAlign w:val="center"/>
          </w:tcPr>
          <w:p w14:paraId="030C2854" w14:textId="28CA44B3"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Arial"/>
                <w:color w:val="000000"/>
                <w:sz w:val="22"/>
                <w:szCs w:val="22"/>
                <w:lang w:eastAsia="en-GB"/>
              </w:rPr>
              <w:t>-60</w:t>
            </w:r>
          </w:p>
        </w:tc>
        <w:tc>
          <w:tcPr>
            <w:tcW w:w="1053" w:type="dxa"/>
            <w:tcBorders>
              <w:top w:val="nil"/>
              <w:left w:val="nil"/>
              <w:bottom w:val="nil"/>
              <w:right w:val="nil"/>
            </w:tcBorders>
            <w:shd w:val="clear" w:color="auto" w:fill="auto"/>
            <w:vAlign w:val="center"/>
          </w:tcPr>
          <w:p w14:paraId="0473DC56" w14:textId="72BA5A7F"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-396</w:t>
            </w:r>
          </w:p>
        </w:tc>
        <w:tc>
          <w:tcPr>
            <w:tcW w:w="1053" w:type="dxa"/>
            <w:tcBorders>
              <w:top w:val="nil"/>
              <w:left w:val="nil"/>
              <w:bottom w:val="nil"/>
              <w:right w:val="single" w:sz="4" w:space="0" w:color="auto"/>
            </w:tcBorders>
            <w:shd w:val="clear" w:color="auto" w:fill="auto"/>
            <w:vAlign w:val="center"/>
          </w:tcPr>
          <w:p w14:paraId="6BD87D19" w14:textId="722EA14F" w:rsidR="009D43C3" w:rsidRPr="000C156A" w:rsidRDefault="009D43C3" w:rsidP="00F61821">
            <w:pPr>
              <w:keepNext/>
              <w:overflowPunct/>
              <w:autoSpaceDE/>
              <w:autoSpaceDN/>
              <w:adjustRightInd/>
              <w:spacing w:before="0"/>
              <w:jc w:val="right"/>
              <w:textAlignment w:val="auto"/>
              <w:rPr>
                <w:rFonts w:cs="Calibri"/>
                <w:bCs/>
                <w:color w:val="000000"/>
                <w:sz w:val="22"/>
                <w:szCs w:val="22"/>
                <w:lang w:eastAsia="en-GB"/>
              </w:rPr>
            </w:pPr>
            <w:r w:rsidRPr="000C156A">
              <w:rPr>
                <w:rFonts w:cs="Calibri"/>
                <w:bCs/>
                <w:color w:val="000000"/>
                <w:sz w:val="22"/>
                <w:szCs w:val="22"/>
                <w:lang w:eastAsia="en-GB"/>
              </w:rPr>
              <w:t>-878</w:t>
            </w:r>
          </w:p>
        </w:tc>
      </w:tr>
      <w:tr w:rsidR="009D43C3" w:rsidRPr="000C156A" w14:paraId="647BDB94" w14:textId="77777777" w:rsidTr="006D490A">
        <w:trPr>
          <w:jc w:val="center"/>
        </w:trPr>
        <w:tc>
          <w:tcPr>
            <w:tcW w:w="2698" w:type="dxa"/>
            <w:tcBorders>
              <w:top w:val="nil"/>
              <w:left w:val="single" w:sz="4" w:space="0" w:color="auto"/>
              <w:bottom w:val="nil"/>
              <w:right w:val="single" w:sz="4" w:space="0" w:color="auto"/>
            </w:tcBorders>
            <w:hideMark/>
          </w:tcPr>
          <w:p w14:paraId="2F6E1DFB" w14:textId="77777777" w:rsidR="009D43C3" w:rsidRPr="000C156A" w:rsidRDefault="009D43C3" w:rsidP="005D02F0">
            <w:pPr>
              <w:pStyle w:val="Tabletext"/>
              <w:keepNext/>
              <w:spacing w:before="20" w:after="20"/>
              <w:rPr>
                <w:rFonts w:cs="Arial"/>
                <w:color w:val="000000"/>
                <w:szCs w:val="22"/>
                <w:lang w:val="en-US"/>
              </w:rPr>
            </w:pPr>
            <w:r w:rsidRPr="000C156A">
              <w:rPr>
                <w:rFonts w:hint="eastAsia"/>
                <w:bCs/>
                <w:szCs w:val="22"/>
                <w:lang w:val="en-US"/>
              </w:rPr>
              <w:t>减值损失</w:t>
            </w:r>
          </w:p>
        </w:tc>
        <w:tc>
          <w:tcPr>
            <w:tcW w:w="940" w:type="dxa"/>
            <w:tcBorders>
              <w:top w:val="nil"/>
              <w:left w:val="nil"/>
              <w:bottom w:val="nil"/>
              <w:right w:val="nil"/>
            </w:tcBorders>
            <w:shd w:val="clear" w:color="auto" w:fill="auto"/>
          </w:tcPr>
          <w:p w14:paraId="2E80E50D" w14:textId="01EF588D"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w:t>
            </w:r>
          </w:p>
        </w:tc>
        <w:tc>
          <w:tcPr>
            <w:tcW w:w="870" w:type="dxa"/>
            <w:tcBorders>
              <w:top w:val="nil"/>
              <w:left w:val="nil"/>
              <w:bottom w:val="nil"/>
              <w:right w:val="nil"/>
            </w:tcBorders>
            <w:shd w:val="clear" w:color="auto" w:fill="auto"/>
          </w:tcPr>
          <w:p w14:paraId="21DFE669" w14:textId="5624CEA5" w:rsidR="009D43C3" w:rsidRPr="000C156A" w:rsidRDefault="009D43C3" w:rsidP="00F61821">
            <w:pPr>
              <w:keepNext/>
              <w:overflowPunct/>
              <w:autoSpaceDE/>
              <w:autoSpaceDN/>
              <w:adjustRightInd/>
              <w:spacing w:before="0"/>
              <w:jc w:val="right"/>
              <w:textAlignment w:val="auto"/>
              <w:rPr>
                <w:sz w:val="22"/>
                <w:szCs w:val="22"/>
                <w:lang w:eastAsia="en-GB"/>
              </w:rPr>
            </w:pPr>
            <w:r w:rsidRPr="000C156A">
              <w:rPr>
                <w:rFonts w:cs="Calibri"/>
                <w:color w:val="000000"/>
                <w:sz w:val="22"/>
                <w:szCs w:val="22"/>
                <w:lang w:eastAsia="en-GB"/>
              </w:rPr>
              <w:t>-</w:t>
            </w:r>
          </w:p>
        </w:tc>
        <w:tc>
          <w:tcPr>
            <w:tcW w:w="795" w:type="dxa"/>
            <w:tcBorders>
              <w:top w:val="nil"/>
              <w:left w:val="nil"/>
              <w:bottom w:val="nil"/>
              <w:right w:val="nil"/>
            </w:tcBorders>
            <w:shd w:val="clear" w:color="auto" w:fill="auto"/>
          </w:tcPr>
          <w:p w14:paraId="259716F3" w14:textId="5D187D56" w:rsidR="009D43C3" w:rsidRPr="000C156A" w:rsidRDefault="009D43C3" w:rsidP="00F61821">
            <w:pPr>
              <w:keepNext/>
              <w:overflowPunct/>
              <w:autoSpaceDE/>
              <w:autoSpaceDN/>
              <w:adjustRightInd/>
              <w:spacing w:before="0"/>
              <w:jc w:val="right"/>
              <w:textAlignment w:val="auto"/>
              <w:rPr>
                <w:sz w:val="22"/>
                <w:szCs w:val="22"/>
                <w:lang w:eastAsia="en-GB"/>
              </w:rPr>
            </w:pPr>
            <w:r w:rsidRPr="000C156A">
              <w:rPr>
                <w:rFonts w:cs="Calibri"/>
                <w:color w:val="000000"/>
                <w:sz w:val="22"/>
                <w:szCs w:val="22"/>
                <w:lang w:eastAsia="en-GB"/>
              </w:rPr>
              <w:t>-</w:t>
            </w:r>
          </w:p>
        </w:tc>
        <w:tc>
          <w:tcPr>
            <w:tcW w:w="895" w:type="dxa"/>
            <w:tcBorders>
              <w:top w:val="nil"/>
              <w:left w:val="nil"/>
              <w:bottom w:val="nil"/>
              <w:right w:val="nil"/>
            </w:tcBorders>
            <w:shd w:val="clear" w:color="auto" w:fill="auto"/>
          </w:tcPr>
          <w:p w14:paraId="305822B9" w14:textId="0F8D4495" w:rsidR="009D43C3" w:rsidRPr="000C156A" w:rsidRDefault="009D43C3" w:rsidP="00F61821">
            <w:pPr>
              <w:keepNext/>
              <w:overflowPunct/>
              <w:autoSpaceDE/>
              <w:autoSpaceDN/>
              <w:adjustRightInd/>
              <w:spacing w:before="0"/>
              <w:jc w:val="right"/>
              <w:textAlignment w:val="auto"/>
              <w:rPr>
                <w:sz w:val="22"/>
                <w:szCs w:val="22"/>
                <w:lang w:eastAsia="en-GB"/>
              </w:rPr>
            </w:pPr>
            <w:r w:rsidRPr="000C156A">
              <w:rPr>
                <w:rFonts w:cs="Calibri"/>
                <w:color w:val="000000"/>
                <w:sz w:val="22"/>
                <w:szCs w:val="22"/>
                <w:lang w:eastAsia="en-GB"/>
              </w:rPr>
              <w:t>-</w:t>
            </w:r>
          </w:p>
        </w:tc>
        <w:tc>
          <w:tcPr>
            <w:tcW w:w="867" w:type="dxa"/>
            <w:tcBorders>
              <w:top w:val="nil"/>
              <w:left w:val="nil"/>
              <w:bottom w:val="nil"/>
              <w:right w:val="nil"/>
            </w:tcBorders>
            <w:shd w:val="clear" w:color="auto" w:fill="auto"/>
            <w:vAlign w:val="bottom"/>
          </w:tcPr>
          <w:p w14:paraId="4038E0C2" w14:textId="398CB0AA" w:rsidR="009D43C3" w:rsidRPr="000C156A" w:rsidRDefault="009D43C3" w:rsidP="00F61821">
            <w:pPr>
              <w:keepNext/>
              <w:overflowPunct/>
              <w:autoSpaceDE/>
              <w:autoSpaceDN/>
              <w:adjustRightInd/>
              <w:spacing w:before="0"/>
              <w:jc w:val="right"/>
              <w:textAlignment w:val="auto"/>
              <w:rPr>
                <w:sz w:val="22"/>
                <w:szCs w:val="22"/>
                <w:lang w:eastAsia="en-GB"/>
              </w:rPr>
            </w:pPr>
            <w:r w:rsidRPr="000C156A">
              <w:rPr>
                <w:rFonts w:cs="Calibri"/>
                <w:color w:val="000000"/>
                <w:sz w:val="22"/>
                <w:szCs w:val="22"/>
                <w:lang w:eastAsia="en-GB"/>
              </w:rPr>
              <w:t>-</w:t>
            </w:r>
          </w:p>
        </w:tc>
        <w:tc>
          <w:tcPr>
            <w:tcW w:w="1053" w:type="dxa"/>
            <w:tcBorders>
              <w:top w:val="nil"/>
              <w:left w:val="nil"/>
              <w:bottom w:val="nil"/>
              <w:right w:val="nil"/>
            </w:tcBorders>
            <w:shd w:val="clear" w:color="auto" w:fill="auto"/>
            <w:vAlign w:val="bottom"/>
            <w:hideMark/>
          </w:tcPr>
          <w:p w14:paraId="61134C3D" w14:textId="65624DDC" w:rsidR="009D43C3" w:rsidRPr="000C156A" w:rsidRDefault="009D43C3" w:rsidP="00F61821">
            <w:pPr>
              <w:keepNext/>
              <w:overflowPunct/>
              <w:autoSpaceDE/>
              <w:autoSpaceDN/>
              <w:adjustRightInd/>
              <w:spacing w:before="0"/>
              <w:jc w:val="right"/>
              <w:textAlignment w:val="auto"/>
              <w:rPr>
                <w:sz w:val="22"/>
                <w:szCs w:val="22"/>
                <w:lang w:eastAsia="en-GB"/>
              </w:rPr>
            </w:pPr>
            <w:r w:rsidRPr="000C156A">
              <w:rPr>
                <w:rFonts w:cs="Calibri"/>
                <w:color w:val="000000"/>
                <w:sz w:val="22"/>
                <w:szCs w:val="22"/>
                <w:lang w:eastAsia="en-GB"/>
              </w:rPr>
              <w:t>-</w:t>
            </w:r>
          </w:p>
        </w:tc>
        <w:tc>
          <w:tcPr>
            <w:tcW w:w="1053" w:type="dxa"/>
            <w:tcBorders>
              <w:top w:val="nil"/>
              <w:left w:val="nil"/>
              <w:bottom w:val="nil"/>
              <w:right w:val="single" w:sz="4" w:space="0" w:color="auto"/>
            </w:tcBorders>
            <w:shd w:val="clear" w:color="auto" w:fill="auto"/>
            <w:vAlign w:val="bottom"/>
          </w:tcPr>
          <w:p w14:paraId="3C60B13A" w14:textId="0751E48A"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w:t>
            </w:r>
          </w:p>
        </w:tc>
      </w:tr>
      <w:tr w:rsidR="009D43C3" w:rsidRPr="000C156A" w14:paraId="30C7BD0D" w14:textId="77777777" w:rsidTr="006D490A">
        <w:trPr>
          <w:jc w:val="center"/>
        </w:trPr>
        <w:tc>
          <w:tcPr>
            <w:tcW w:w="2698" w:type="dxa"/>
            <w:tcBorders>
              <w:top w:val="nil"/>
              <w:left w:val="single" w:sz="4" w:space="0" w:color="auto"/>
              <w:bottom w:val="nil"/>
              <w:right w:val="single" w:sz="4" w:space="0" w:color="auto"/>
            </w:tcBorders>
            <w:hideMark/>
          </w:tcPr>
          <w:p w14:paraId="7EA3B0FA" w14:textId="77777777" w:rsidR="009D43C3" w:rsidRPr="000C156A" w:rsidRDefault="009D43C3" w:rsidP="005D02F0">
            <w:pPr>
              <w:pStyle w:val="Tabletext"/>
              <w:keepNext/>
              <w:spacing w:before="20" w:after="20"/>
              <w:rPr>
                <w:rFonts w:cs="Arial"/>
                <w:color w:val="000000"/>
                <w:szCs w:val="22"/>
                <w:lang w:val="en-US"/>
              </w:rPr>
            </w:pPr>
            <w:r w:rsidRPr="000C156A">
              <w:rPr>
                <w:rFonts w:hint="eastAsia"/>
                <w:bCs/>
                <w:szCs w:val="22"/>
                <w:lang w:val="en-US"/>
              </w:rPr>
              <w:t>重新分类与校正</w:t>
            </w:r>
          </w:p>
        </w:tc>
        <w:tc>
          <w:tcPr>
            <w:tcW w:w="940" w:type="dxa"/>
            <w:tcBorders>
              <w:top w:val="nil"/>
              <w:left w:val="nil"/>
              <w:bottom w:val="nil"/>
              <w:right w:val="nil"/>
            </w:tcBorders>
            <w:shd w:val="clear" w:color="auto" w:fill="auto"/>
            <w:vAlign w:val="center"/>
          </w:tcPr>
          <w:p w14:paraId="68C95C75" w14:textId="6BB94005"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w:t>
            </w:r>
          </w:p>
        </w:tc>
        <w:tc>
          <w:tcPr>
            <w:tcW w:w="870" w:type="dxa"/>
            <w:tcBorders>
              <w:top w:val="nil"/>
              <w:left w:val="nil"/>
              <w:bottom w:val="nil"/>
              <w:right w:val="nil"/>
            </w:tcBorders>
            <w:shd w:val="clear" w:color="auto" w:fill="auto"/>
            <w:vAlign w:val="center"/>
          </w:tcPr>
          <w:p w14:paraId="0FECD53D" w14:textId="3CDA015E" w:rsidR="009D43C3" w:rsidRPr="000C156A" w:rsidRDefault="009D43C3" w:rsidP="00F61821">
            <w:pPr>
              <w:keepNext/>
              <w:overflowPunct/>
              <w:autoSpaceDE/>
              <w:autoSpaceDN/>
              <w:adjustRightInd/>
              <w:spacing w:before="0"/>
              <w:jc w:val="right"/>
              <w:textAlignment w:val="auto"/>
              <w:rPr>
                <w:sz w:val="22"/>
                <w:szCs w:val="22"/>
                <w:lang w:eastAsia="en-GB"/>
              </w:rPr>
            </w:pPr>
            <w:r w:rsidRPr="000C156A">
              <w:rPr>
                <w:rFonts w:cs="Calibri"/>
                <w:color w:val="000000"/>
                <w:sz w:val="22"/>
                <w:szCs w:val="22"/>
                <w:lang w:eastAsia="en-GB"/>
              </w:rPr>
              <w:t>-</w:t>
            </w:r>
          </w:p>
        </w:tc>
        <w:tc>
          <w:tcPr>
            <w:tcW w:w="795" w:type="dxa"/>
            <w:tcBorders>
              <w:top w:val="nil"/>
              <w:left w:val="nil"/>
              <w:bottom w:val="nil"/>
              <w:right w:val="nil"/>
            </w:tcBorders>
            <w:shd w:val="clear" w:color="auto" w:fill="auto"/>
            <w:vAlign w:val="center"/>
          </w:tcPr>
          <w:p w14:paraId="0BBD4BBF" w14:textId="12734F3D" w:rsidR="009D43C3" w:rsidRPr="000C156A" w:rsidRDefault="009D43C3" w:rsidP="00F61821">
            <w:pPr>
              <w:keepNext/>
              <w:overflowPunct/>
              <w:autoSpaceDE/>
              <w:autoSpaceDN/>
              <w:adjustRightInd/>
              <w:spacing w:before="0"/>
              <w:jc w:val="right"/>
              <w:textAlignment w:val="auto"/>
              <w:rPr>
                <w:sz w:val="22"/>
                <w:szCs w:val="22"/>
                <w:lang w:eastAsia="en-GB"/>
              </w:rPr>
            </w:pPr>
            <w:r w:rsidRPr="000C156A">
              <w:rPr>
                <w:rFonts w:cs="Calibri"/>
                <w:color w:val="000000"/>
                <w:sz w:val="22"/>
                <w:szCs w:val="22"/>
                <w:lang w:eastAsia="en-GB"/>
              </w:rPr>
              <w:t>-</w:t>
            </w:r>
          </w:p>
        </w:tc>
        <w:tc>
          <w:tcPr>
            <w:tcW w:w="895" w:type="dxa"/>
            <w:tcBorders>
              <w:top w:val="nil"/>
              <w:left w:val="nil"/>
              <w:bottom w:val="nil"/>
              <w:right w:val="nil"/>
            </w:tcBorders>
            <w:shd w:val="clear" w:color="auto" w:fill="auto"/>
            <w:vAlign w:val="center"/>
            <w:hideMark/>
          </w:tcPr>
          <w:p w14:paraId="780F95E8" w14:textId="6CB393B3" w:rsidR="009D43C3" w:rsidRPr="000C156A" w:rsidRDefault="009D43C3" w:rsidP="00F61821">
            <w:pPr>
              <w:keepNext/>
              <w:overflowPunct/>
              <w:autoSpaceDE/>
              <w:autoSpaceDN/>
              <w:adjustRightInd/>
              <w:spacing w:before="0"/>
              <w:jc w:val="right"/>
              <w:textAlignment w:val="auto"/>
              <w:rPr>
                <w:sz w:val="22"/>
                <w:szCs w:val="22"/>
                <w:lang w:eastAsia="en-GB"/>
              </w:rPr>
            </w:pPr>
            <w:r w:rsidRPr="000C156A">
              <w:rPr>
                <w:rFonts w:cs="Calibri"/>
                <w:color w:val="000000"/>
                <w:sz w:val="22"/>
                <w:szCs w:val="22"/>
                <w:lang w:eastAsia="en-GB"/>
              </w:rPr>
              <w:t>-</w:t>
            </w:r>
          </w:p>
        </w:tc>
        <w:tc>
          <w:tcPr>
            <w:tcW w:w="867" w:type="dxa"/>
            <w:tcBorders>
              <w:top w:val="nil"/>
              <w:left w:val="nil"/>
              <w:bottom w:val="nil"/>
              <w:right w:val="nil"/>
            </w:tcBorders>
            <w:shd w:val="clear" w:color="auto" w:fill="auto"/>
            <w:vAlign w:val="center"/>
          </w:tcPr>
          <w:p w14:paraId="08F6D5FA" w14:textId="4036313D" w:rsidR="009D43C3" w:rsidRPr="000C156A" w:rsidRDefault="009D43C3" w:rsidP="00F61821">
            <w:pPr>
              <w:keepNext/>
              <w:overflowPunct/>
              <w:autoSpaceDE/>
              <w:autoSpaceDN/>
              <w:adjustRightInd/>
              <w:spacing w:before="0"/>
              <w:jc w:val="right"/>
              <w:textAlignment w:val="auto"/>
              <w:rPr>
                <w:sz w:val="22"/>
                <w:szCs w:val="22"/>
                <w:lang w:eastAsia="en-GB"/>
              </w:rPr>
            </w:pPr>
            <w:r w:rsidRPr="000C156A">
              <w:rPr>
                <w:rFonts w:cs="Calibri"/>
                <w:color w:val="000000"/>
                <w:sz w:val="22"/>
                <w:szCs w:val="22"/>
                <w:lang w:eastAsia="en-GB"/>
              </w:rPr>
              <w:t>-</w:t>
            </w:r>
          </w:p>
        </w:tc>
        <w:tc>
          <w:tcPr>
            <w:tcW w:w="1053" w:type="dxa"/>
            <w:tcBorders>
              <w:top w:val="nil"/>
              <w:left w:val="nil"/>
              <w:bottom w:val="nil"/>
              <w:right w:val="nil"/>
            </w:tcBorders>
            <w:shd w:val="clear" w:color="auto" w:fill="auto"/>
            <w:vAlign w:val="center"/>
            <w:hideMark/>
          </w:tcPr>
          <w:p w14:paraId="007B927E" w14:textId="7A0BCAB2" w:rsidR="009D43C3" w:rsidRPr="000C156A" w:rsidRDefault="009D43C3" w:rsidP="00F61821">
            <w:pPr>
              <w:keepNext/>
              <w:overflowPunct/>
              <w:autoSpaceDE/>
              <w:autoSpaceDN/>
              <w:adjustRightInd/>
              <w:spacing w:before="0"/>
              <w:jc w:val="right"/>
              <w:textAlignment w:val="auto"/>
              <w:rPr>
                <w:sz w:val="22"/>
                <w:szCs w:val="22"/>
                <w:lang w:eastAsia="en-GB"/>
              </w:rPr>
            </w:pPr>
            <w:r w:rsidRPr="000C156A">
              <w:rPr>
                <w:rFonts w:cs="Calibri"/>
                <w:color w:val="000000"/>
                <w:sz w:val="22"/>
                <w:szCs w:val="22"/>
                <w:lang w:eastAsia="en-GB"/>
              </w:rPr>
              <w:t>-</w:t>
            </w:r>
          </w:p>
        </w:tc>
        <w:tc>
          <w:tcPr>
            <w:tcW w:w="1053" w:type="dxa"/>
            <w:tcBorders>
              <w:top w:val="nil"/>
              <w:left w:val="nil"/>
              <w:bottom w:val="nil"/>
              <w:right w:val="single" w:sz="4" w:space="0" w:color="auto"/>
            </w:tcBorders>
            <w:shd w:val="clear" w:color="auto" w:fill="auto"/>
            <w:vAlign w:val="center"/>
          </w:tcPr>
          <w:p w14:paraId="1FAFA7DE" w14:textId="316C1131"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w:t>
            </w:r>
          </w:p>
        </w:tc>
      </w:tr>
      <w:tr w:rsidR="009D43C3" w:rsidRPr="000C156A" w14:paraId="4E3C21F0" w14:textId="77777777" w:rsidTr="006D490A">
        <w:trPr>
          <w:jc w:val="center"/>
        </w:trPr>
        <w:tc>
          <w:tcPr>
            <w:tcW w:w="2698" w:type="dxa"/>
            <w:tcBorders>
              <w:top w:val="nil"/>
              <w:left w:val="single" w:sz="4" w:space="0" w:color="auto"/>
              <w:bottom w:val="single" w:sz="4" w:space="0" w:color="auto"/>
              <w:right w:val="single" w:sz="4" w:space="0" w:color="auto"/>
            </w:tcBorders>
            <w:hideMark/>
          </w:tcPr>
          <w:p w14:paraId="79AC730C" w14:textId="77777777" w:rsidR="009D43C3" w:rsidRPr="000C156A" w:rsidRDefault="009D43C3" w:rsidP="005D02F0">
            <w:pPr>
              <w:pStyle w:val="Tabletext"/>
              <w:keepNext/>
              <w:spacing w:before="20" w:after="20"/>
              <w:rPr>
                <w:rFonts w:cs="Arial"/>
                <w:color w:val="000000"/>
                <w:szCs w:val="22"/>
                <w:lang w:val="en-US"/>
              </w:rPr>
            </w:pPr>
            <w:r w:rsidRPr="000C156A">
              <w:rPr>
                <w:rFonts w:hint="eastAsia"/>
                <w:bCs/>
                <w:szCs w:val="22"/>
                <w:lang w:val="en-US"/>
              </w:rPr>
              <w:t>重新估值</w:t>
            </w:r>
          </w:p>
        </w:tc>
        <w:tc>
          <w:tcPr>
            <w:tcW w:w="940" w:type="dxa"/>
            <w:tcBorders>
              <w:top w:val="nil"/>
              <w:left w:val="nil"/>
              <w:bottom w:val="nil"/>
              <w:right w:val="nil"/>
            </w:tcBorders>
            <w:shd w:val="clear" w:color="auto" w:fill="auto"/>
          </w:tcPr>
          <w:p w14:paraId="67C69B51" w14:textId="19DC4877" w:rsidR="009D43C3" w:rsidRPr="000C156A" w:rsidRDefault="009D43C3" w:rsidP="00F61821">
            <w:pPr>
              <w:keepNext/>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w:t>
            </w:r>
          </w:p>
        </w:tc>
        <w:tc>
          <w:tcPr>
            <w:tcW w:w="870" w:type="dxa"/>
            <w:tcBorders>
              <w:top w:val="nil"/>
              <w:left w:val="nil"/>
              <w:bottom w:val="nil"/>
              <w:right w:val="nil"/>
            </w:tcBorders>
            <w:shd w:val="clear" w:color="auto" w:fill="auto"/>
          </w:tcPr>
          <w:p w14:paraId="49414FB6" w14:textId="32D4B188" w:rsidR="009D43C3" w:rsidRPr="000C156A" w:rsidRDefault="009D43C3" w:rsidP="00F61821">
            <w:pPr>
              <w:keepNext/>
              <w:overflowPunct/>
              <w:autoSpaceDE/>
              <w:autoSpaceDN/>
              <w:adjustRightInd/>
              <w:spacing w:before="0"/>
              <w:jc w:val="right"/>
              <w:textAlignment w:val="auto"/>
              <w:rPr>
                <w:sz w:val="20"/>
                <w:lang w:eastAsia="en-GB"/>
              </w:rPr>
            </w:pPr>
            <w:r w:rsidRPr="000C156A">
              <w:rPr>
                <w:rFonts w:cs="Calibri"/>
                <w:color w:val="000000"/>
                <w:sz w:val="22"/>
                <w:szCs w:val="22"/>
                <w:lang w:eastAsia="en-GB"/>
              </w:rPr>
              <w:t>-</w:t>
            </w:r>
          </w:p>
        </w:tc>
        <w:tc>
          <w:tcPr>
            <w:tcW w:w="795" w:type="dxa"/>
            <w:tcBorders>
              <w:top w:val="nil"/>
              <w:left w:val="nil"/>
              <w:bottom w:val="nil"/>
              <w:right w:val="nil"/>
            </w:tcBorders>
            <w:shd w:val="clear" w:color="auto" w:fill="auto"/>
            <w:hideMark/>
          </w:tcPr>
          <w:p w14:paraId="699BD86C" w14:textId="24AB8001" w:rsidR="009D43C3" w:rsidRPr="000C156A" w:rsidRDefault="009D43C3" w:rsidP="00F61821">
            <w:pPr>
              <w:keepNext/>
              <w:overflowPunct/>
              <w:autoSpaceDE/>
              <w:autoSpaceDN/>
              <w:adjustRightInd/>
              <w:spacing w:before="0"/>
              <w:jc w:val="right"/>
              <w:textAlignment w:val="auto"/>
              <w:rPr>
                <w:sz w:val="20"/>
                <w:lang w:eastAsia="en-GB"/>
              </w:rPr>
            </w:pPr>
            <w:r w:rsidRPr="000C156A">
              <w:rPr>
                <w:rFonts w:cs="Calibri"/>
                <w:color w:val="000000"/>
                <w:sz w:val="22"/>
                <w:szCs w:val="22"/>
                <w:lang w:eastAsia="en-GB"/>
              </w:rPr>
              <w:t>-</w:t>
            </w:r>
          </w:p>
        </w:tc>
        <w:tc>
          <w:tcPr>
            <w:tcW w:w="895" w:type="dxa"/>
            <w:tcBorders>
              <w:top w:val="nil"/>
              <w:left w:val="nil"/>
              <w:bottom w:val="nil"/>
              <w:right w:val="nil"/>
            </w:tcBorders>
            <w:shd w:val="clear" w:color="auto" w:fill="auto"/>
          </w:tcPr>
          <w:p w14:paraId="1ACAA93D" w14:textId="625A78C8" w:rsidR="009D43C3" w:rsidRPr="000C156A" w:rsidRDefault="009D43C3" w:rsidP="00F61821">
            <w:pPr>
              <w:keepNext/>
              <w:overflowPunct/>
              <w:autoSpaceDE/>
              <w:autoSpaceDN/>
              <w:adjustRightInd/>
              <w:spacing w:before="0"/>
              <w:jc w:val="right"/>
              <w:textAlignment w:val="auto"/>
              <w:rPr>
                <w:sz w:val="20"/>
                <w:lang w:eastAsia="en-GB"/>
              </w:rPr>
            </w:pPr>
            <w:r w:rsidRPr="000C156A">
              <w:rPr>
                <w:rFonts w:cs="Calibri"/>
                <w:color w:val="000000"/>
                <w:sz w:val="22"/>
                <w:szCs w:val="22"/>
                <w:lang w:eastAsia="en-GB"/>
              </w:rPr>
              <w:t>-</w:t>
            </w:r>
          </w:p>
        </w:tc>
        <w:tc>
          <w:tcPr>
            <w:tcW w:w="867" w:type="dxa"/>
            <w:tcBorders>
              <w:top w:val="nil"/>
              <w:left w:val="nil"/>
              <w:bottom w:val="nil"/>
              <w:right w:val="nil"/>
            </w:tcBorders>
            <w:shd w:val="clear" w:color="auto" w:fill="auto"/>
            <w:vAlign w:val="bottom"/>
          </w:tcPr>
          <w:p w14:paraId="6BCB4241" w14:textId="43D8895E" w:rsidR="009D43C3" w:rsidRPr="000C156A" w:rsidRDefault="009D43C3" w:rsidP="00F61821">
            <w:pPr>
              <w:keepNext/>
              <w:overflowPunct/>
              <w:autoSpaceDE/>
              <w:autoSpaceDN/>
              <w:adjustRightInd/>
              <w:spacing w:before="0"/>
              <w:jc w:val="right"/>
              <w:textAlignment w:val="auto"/>
              <w:rPr>
                <w:sz w:val="20"/>
                <w:lang w:eastAsia="en-GB"/>
              </w:rPr>
            </w:pPr>
            <w:r w:rsidRPr="000C156A">
              <w:rPr>
                <w:rFonts w:cs="Calibri"/>
                <w:color w:val="000000"/>
                <w:sz w:val="22"/>
                <w:szCs w:val="22"/>
                <w:lang w:eastAsia="en-GB"/>
              </w:rPr>
              <w:t>-</w:t>
            </w:r>
          </w:p>
        </w:tc>
        <w:tc>
          <w:tcPr>
            <w:tcW w:w="1053" w:type="dxa"/>
            <w:tcBorders>
              <w:top w:val="nil"/>
              <w:left w:val="nil"/>
              <w:bottom w:val="nil"/>
              <w:right w:val="nil"/>
            </w:tcBorders>
            <w:shd w:val="clear" w:color="auto" w:fill="auto"/>
            <w:vAlign w:val="bottom"/>
            <w:hideMark/>
          </w:tcPr>
          <w:p w14:paraId="6FB9A12F" w14:textId="651AA686" w:rsidR="009D43C3" w:rsidRPr="000C156A" w:rsidRDefault="009D43C3" w:rsidP="00F61821">
            <w:pPr>
              <w:keepNext/>
              <w:overflowPunct/>
              <w:autoSpaceDE/>
              <w:autoSpaceDN/>
              <w:adjustRightInd/>
              <w:spacing w:before="0"/>
              <w:jc w:val="right"/>
              <w:textAlignment w:val="auto"/>
              <w:rPr>
                <w:sz w:val="20"/>
                <w:lang w:eastAsia="en-GB"/>
              </w:rPr>
            </w:pPr>
            <w:r w:rsidRPr="000C156A">
              <w:rPr>
                <w:rFonts w:cs="Calibri"/>
                <w:color w:val="000000"/>
                <w:sz w:val="22"/>
                <w:szCs w:val="22"/>
                <w:lang w:eastAsia="en-GB"/>
              </w:rPr>
              <w:t>-</w:t>
            </w:r>
          </w:p>
        </w:tc>
        <w:tc>
          <w:tcPr>
            <w:tcW w:w="1053" w:type="dxa"/>
            <w:tcBorders>
              <w:top w:val="nil"/>
              <w:left w:val="nil"/>
              <w:bottom w:val="nil"/>
              <w:right w:val="single" w:sz="4" w:space="0" w:color="auto"/>
            </w:tcBorders>
            <w:shd w:val="clear" w:color="auto" w:fill="auto"/>
            <w:vAlign w:val="bottom"/>
          </w:tcPr>
          <w:p w14:paraId="3F6985BB" w14:textId="4A73588B"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w:t>
            </w:r>
          </w:p>
        </w:tc>
      </w:tr>
      <w:tr w:rsidR="009D43C3" w:rsidRPr="000C156A" w14:paraId="208E4F62" w14:textId="77777777" w:rsidTr="006D490A">
        <w:trPr>
          <w:jc w:val="center"/>
        </w:trPr>
        <w:tc>
          <w:tcPr>
            <w:tcW w:w="2698" w:type="dxa"/>
            <w:tcBorders>
              <w:top w:val="single" w:sz="4" w:space="0" w:color="auto"/>
              <w:left w:val="single" w:sz="4" w:space="0" w:color="auto"/>
              <w:bottom w:val="single" w:sz="4" w:space="0" w:color="auto"/>
              <w:right w:val="single" w:sz="4" w:space="0" w:color="auto"/>
            </w:tcBorders>
            <w:hideMark/>
          </w:tcPr>
          <w:p w14:paraId="73EEC735" w14:textId="77777777" w:rsidR="009D43C3" w:rsidRPr="000C156A" w:rsidRDefault="009D43C3" w:rsidP="005D02F0">
            <w:pPr>
              <w:pStyle w:val="Tabletext"/>
              <w:keepNext/>
              <w:spacing w:before="20" w:after="20"/>
              <w:rPr>
                <w:b/>
                <w:bCs/>
                <w:szCs w:val="22"/>
                <w:lang w:val="en-US" w:eastAsia="zh-CN"/>
              </w:rPr>
            </w:pPr>
            <w:r w:rsidRPr="000C156A">
              <w:rPr>
                <w:rFonts w:cs="Arial"/>
                <w:b/>
                <w:bCs/>
                <w:color w:val="000000"/>
                <w:szCs w:val="22"/>
                <w:lang w:val="en-US"/>
              </w:rPr>
              <w:t>12</w:t>
            </w:r>
            <w:r w:rsidRPr="000C156A">
              <w:rPr>
                <w:rFonts w:cs="Arial" w:hint="eastAsia"/>
                <w:b/>
                <w:bCs/>
                <w:color w:val="000000"/>
                <w:szCs w:val="22"/>
                <w:lang w:val="en-US"/>
              </w:rPr>
              <w:t>月</w:t>
            </w:r>
            <w:r w:rsidRPr="000C156A">
              <w:rPr>
                <w:rFonts w:cs="Arial"/>
                <w:b/>
                <w:bCs/>
                <w:color w:val="000000"/>
                <w:szCs w:val="22"/>
                <w:lang w:val="en-US"/>
              </w:rPr>
              <w:t>31</w:t>
            </w:r>
            <w:r w:rsidRPr="000C156A">
              <w:rPr>
                <w:rFonts w:cs="Arial" w:hint="eastAsia"/>
                <w:b/>
                <w:bCs/>
                <w:color w:val="000000"/>
                <w:szCs w:val="22"/>
                <w:lang w:val="en-US"/>
              </w:rPr>
              <w:t>日时的折旧</w:t>
            </w:r>
          </w:p>
        </w:tc>
        <w:tc>
          <w:tcPr>
            <w:tcW w:w="940" w:type="dxa"/>
            <w:tcBorders>
              <w:top w:val="single" w:sz="4" w:space="0" w:color="auto"/>
              <w:left w:val="nil"/>
              <w:bottom w:val="single" w:sz="4" w:space="0" w:color="auto"/>
              <w:right w:val="nil"/>
            </w:tcBorders>
            <w:shd w:val="clear" w:color="auto" w:fill="auto"/>
            <w:vAlign w:val="center"/>
            <w:hideMark/>
          </w:tcPr>
          <w:p w14:paraId="2A5D1FFC" w14:textId="46189B9F"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48</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084</w:t>
            </w:r>
          </w:p>
        </w:tc>
        <w:tc>
          <w:tcPr>
            <w:tcW w:w="870" w:type="dxa"/>
            <w:tcBorders>
              <w:top w:val="single" w:sz="4" w:space="0" w:color="auto"/>
              <w:left w:val="nil"/>
              <w:bottom w:val="single" w:sz="4" w:space="0" w:color="auto"/>
              <w:right w:val="nil"/>
            </w:tcBorders>
            <w:shd w:val="clear" w:color="auto" w:fill="auto"/>
            <w:vAlign w:val="center"/>
            <w:hideMark/>
          </w:tcPr>
          <w:p w14:paraId="51A0D765" w14:textId="3916F569"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989</w:t>
            </w:r>
          </w:p>
        </w:tc>
        <w:tc>
          <w:tcPr>
            <w:tcW w:w="795" w:type="dxa"/>
            <w:tcBorders>
              <w:top w:val="single" w:sz="4" w:space="0" w:color="auto"/>
              <w:left w:val="nil"/>
              <w:bottom w:val="single" w:sz="4" w:space="0" w:color="auto"/>
              <w:right w:val="nil"/>
            </w:tcBorders>
            <w:shd w:val="clear" w:color="auto" w:fill="auto"/>
            <w:vAlign w:val="center"/>
            <w:hideMark/>
          </w:tcPr>
          <w:p w14:paraId="22741728" w14:textId="40D17E08"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449</w:t>
            </w:r>
          </w:p>
        </w:tc>
        <w:tc>
          <w:tcPr>
            <w:tcW w:w="895" w:type="dxa"/>
            <w:tcBorders>
              <w:top w:val="single" w:sz="4" w:space="0" w:color="auto"/>
              <w:left w:val="nil"/>
              <w:bottom w:val="single" w:sz="4" w:space="0" w:color="auto"/>
              <w:right w:val="nil"/>
            </w:tcBorders>
            <w:shd w:val="clear" w:color="auto" w:fill="auto"/>
            <w:vAlign w:val="center"/>
            <w:hideMark/>
          </w:tcPr>
          <w:p w14:paraId="5AA92EB9" w14:textId="3FDCDE49"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8</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582</w:t>
            </w:r>
          </w:p>
        </w:tc>
        <w:tc>
          <w:tcPr>
            <w:tcW w:w="867" w:type="dxa"/>
            <w:tcBorders>
              <w:top w:val="single" w:sz="4" w:space="0" w:color="auto"/>
              <w:left w:val="nil"/>
              <w:bottom w:val="single" w:sz="4" w:space="0" w:color="auto"/>
              <w:right w:val="nil"/>
            </w:tcBorders>
            <w:shd w:val="clear" w:color="auto" w:fill="auto"/>
            <w:vAlign w:val="center"/>
            <w:hideMark/>
          </w:tcPr>
          <w:p w14:paraId="27725D34" w14:textId="17486725"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203</w:t>
            </w:r>
          </w:p>
        </w:tc>
        <w:tc>
          <w:tcPr>
            <w:tcW w:w="1053" w:type="dxa"/>
            <w:tcBorders>
              <w:top w:val="single" w:sz="4" w:space="0" w:color="auto"/>
              <w:left w:val="nil"/>
              <w:bottom w:val="single" w:sz="4" w:space="0" w:color="auto"/>
              <w:right w:val="nil"/>
            </w:tcBorders>
            <w:shd w:val="clear" w:color="auto" w:fill="auto"/>
            <w:vAlign w:val="center"/>
            <w:hideMark/>
          </w:tcPr>
          <w:p w14:paraId="696E603E" w14:textId="4FA9BB00"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16</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154</w:t>
            </w:r>
          </w:p>
        </w:tc>
        <w:tc>
          <w:tcPr>
            <w:tcW w:w="1053" w:type="dxa"/>
            <w:tcBorders>
              <w:top w:val="single" w:sz="4" w:space="0" w:color="auto"/>
              <w:left w:val="nil"/>
              <w:bottom w:val="single" w:sz="4" w:space="0" w:color="auto"/>
              <w:right w:val="single" w:sz="4" w:space="0" w:color="auto"/>
            </w:tcBorders>
            <w:shd w:val="clear" w:color="auto" w:fill="auto"/>
            <w:vAlign w:val="center"/>
          </w:tcPr>
          <w:p w14:paraId="4A6F07E2" w14:textId="3D77D08F"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76</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461</w:t>
            </w:r>
          </w:p>
        </w:tc>
      </w:tr>
      <w:tr w:rsidR="009D43C3" w:rsidRPr="000C156A" w14:paraId="09F5B346" w14:textId="77777777" w:rsidTr="006D490A">
        <w:trPr>
          <w:jc w:val="center"/>
        </w:trPr>
        <w:tc>
          <w:tcPr>
            <w:tcW w:w="2698" w:type="dxa"/>
            <w:tcBorders>
              <w:top w:val="single" w:sz="4" w:space="0" w:color="auto"/>
              <w:left w:val="single" w:sz="4" w:space="0" w:color="auto"/>
              <w:bottom w:val="single" w:sz="4" w:space="0" w:color="auto"/>
              <w:right w:val="single" w:sz="4" w:space="0" w:color="auto"/>
            </w:tcBorders>
            <w:hideMark/>
          </w:tcPr>
          <w:p w14:paraId="0E8813C2" w14:textId="3C327DA0" w:rsidR="009D43C3" w:rsidRPr="000C156A" w:rsidRDefault="009D43C3" w:rsidP="006D490A">
            <w:pPr>
              <w:pStyle w:val="Tabletext"/>
              <w:keepNext/>
              <w:spacing w:before="20" w:after="20"/>
              <w:rPr>
                <w:b/>
                <w:bCs/>
                <w:szCs w:val="22"/>
                <w:lang w:val="en-US" w:eastAsia="zh-CN"/>
              </w:rPr>
            </w:pPr>
            <w:r w:rsidRPr="000C156A">
              <w:rPr>
                <w:rFonts w:cs="Arial"/>
                <w:b/>
                <w:bCs/>
                <w:color w:val="000000"/>
                <w:szCs w:val="22"/>
                <w:lang w:val="en-US" w:eastAsia="zh-CN"/>
              </w:rPr>
              <w:t>1</w:t>
            </w:r>
            <w:r w:rsidRPr="000C156A">
              <w:rPr>
                <w:rFonts w:cs="Arial" w:hint="eastAsia"/>
                <w:b/>
                <w:bCs/>
                <w:color w:val="000000"/>
                <w:szCs w:val="22"/>
                <w:lang w:val="en-US" w:eastAsia="zh-CN"/>
              </w:rPr>
              <w:t>月</w:t>
            </w:r>
            <w:r w:rsidRPr="000C156A">
              <w:rPr>
                <w:rFonts w:cs="Arial"/>
                <w:b/>
                <w:bCs/>
                <w:color w:val="000000"/>
                <w:szCs w:val="22"/>
                <w:lang w:val="en-US" w:eastAsia="zh-CN"/>
              </w:rPr>
              <w:t>1</w:t>
            </w:r>
            <w:r w:rsidRPr="000C156A">
              <w:rPr>
                <w:rFonts w:cs="Arial" w:hint="eastAsia"/>
                <w:b/>
                <w:bCs/>
                <w:color w:val="000000"/>
                <w:szCs w:val="22"/>
                <w:lang w:val="en-US" w:eastAsia="zh-CN"/>
              </w:rPr>
              <w:t>日时的净账面金额</w:t>
            </w:r>
          </w:p>
        </w:tc>
        <w:tc>
          <w:tcPr>
            <w:tcW w:w="940" w:type="dxa"/>
            <w:tcBorders>
              <w:top w:val="nil"/>
              <w:left w:val="nil"/>
              <w:bottom w:val="single" w:sz="4" w:space="0" w:color="auto"/>
              <w:right w:val="nil"/>
            </w:tcBorders>
            <w:shd w:val="clear" w:color="auto" w:fill="auto"/>
            <w:vAlign w:val="center"/>
            <w:hideMark/>
          </w:tcPr>
          <w:p w14:paraId="156AB2F3" w14:textId="3888C475"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91</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714</w:t>
            </w:r>
          </w:p>
        </w:tc>
        <w:tc>
          <w:tcPr>
            <w:tcW w:w="870" w:type="dxa"/>
            <w:tcBorders>
              <w:top w:val="nil"/>
              <w:left w:val="nil"/>
              <w:bottom w:val="single" w:sz="4" w:space="0" w:color="auto"/>
              <w:right w:val="nil"/>
            </w:tcBorders>
            <w:shd w:val="clear" w:color="auto" w:fill="auto"/>
            <w:vAlign w:val="center"/>
            <w:hideMark/>
          </w:tcPr>
          <w:p w14:paraId="395FD3F8" w14:textId="71E5936B"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41</w:t>
            </w:r>
          </w:p>
        </w:tc>
        <w:tc>
          <w:tcPr>
            <w:tcW w:w="795" w:type="dxa"/>
            <w:tcBorders>
              <w:top w:val="nil"/>
              <w:left w:val="nil"/>
              <w:bottom w:val="single" w:sz="4" w:space="0" w:color="auto"/>
              <w:right w:val="nil"/>
            </w:tcBorders>
            <w:shd w:val="clear" w:color="auto" w:fill="auto"/>
            <w:vAlign w:val="center"/>
            <w:hideMark/>
          </w:tcPr>
          <w:p w14:paraId="2C5393B5" w14:textId="0F5564B0"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76</w:t>
            </w:r>
          </w:p>
        </w:tc>
        <w:tc>
          <w:tcPr>
            <w:tcW w:w="895" w:type="dxa"/>
            <w:tcBorders>
              <w:top w:val="nil"/>
              <w:left w:val="nil"/>
              <w:bottom w:val="single" w:sz="4" w:space="0" w:color="auto"/>
              <w:right w:val="nil"/>
            </w:tcBorders>
            <w:shd w:val="clear" w:color="auto" w:fill="auto"/>
            <w:vAlign w:val="center"/>
            <w:hideMark/>
          </w:tcPr>
          <w:p w14:paraId="1D564C97" w14:textId="5A046E4E"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776</w:t>
            </w:r>
          </w:p>
        </w:tc>
        <w:tc>
          <w:tcPr>
            <w:tcW w:w="867" w:type="dxa"/>
            <w:tcBorders>
              <w:top w:val="nil"/>
              <w:left w:val="nil"/>
              <w:bottom w:val="single" w:sz="4" w:space="0" w:color="auto"/>
              <w:right w:val="nil"/>
            </w:tcBorders>
            <w:shd w:val="clear" w:color="auto" w:fill="auto"/>
            <w:vAlign w:val="center"/>
            <w:hideMark/>
          </w:tcPr>
          <w:p w14:paraId="12C4FB6C" w14:textId="77089347"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67</w:t>
            </w:r>
          </w:p>
        </w:tc>
        <w:tc>
          <w:tcPr>
            <w:tcW w:w="1053" w:type="dxa"/>
            <w:tcBorders>
              <w:top w:val="nil"/>
              <w:left w:val="nil"/>
              <w:bottom w:val="single" w:sz="4" w:space="0" w:color="auto"/>
              <w:right w:val="nil"/>
            </w:tcBorders>
            <w:shd w:val="clear" w:color="auto" w:fill="auto"/>
            <w:vAlign w:val="center"/>
            <w:hideMark/>
          </w:tcPr>
          <w:p w14:paraId="29EE2B6A" w14:textId="1F070F0B"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w:t>
            </w:r>
          </w:p>
        </w:tc>
        <w:tc>
          <w:tcPr>
            <w:tcW w:w="1053" w:type="dxa"/>
            <w:tcBorders>
              <w:top w:val="nil"/>
              <w:left w:val="nil"/>
              <w:bottom w:val="single" w:sz="4" w:space="0" w:color="auto"/>
              <w:right w:val="single" w:sz="4" w:space="0" w:color="auto"/>
            </w:tcBorders>
            <w:shd w:val="clear" w:color="auto" w:fill="auto"/>
            <w:vAlign w:val="center"/>
          </w:tcPr>
          <w:p w14:paraId="3104386E" w14:textId="6CD8E366" w:rsidR="009D43C3" w:rsidRPr="000C156A" w:rsidRDefault="009D43C3" w:rsidP="00F61821">
            <w:pPr>
              <w:keepNext/>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92</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675</w:t>
            </w:r>
          </w:p>
        </w:tc>
      </w:tr>
      <w:tr w:rsidR="009D43C3" w:rsidRPr="000C156A" w14:paraId="1A824F7C" w14:textId="77777777" w:rsidTr="006D490A">
        <w:trPr>
          <w:jc w:val="center"/>
        </w:trPr>
        <w:tc>
          <w:tcPr>
            <w:tcW w:w="2698" w:type="dxa"/>
            <w:tcBorders>
              <w:top w:val="single" w:sz="4" w:space="0" w:color="auto"/>
              <w:left w:val="single" w:sz="4" w:space="0" w:color="auto"/>
              <w:bottom w:val="single" w:sz="4" w:space="0" w:color="auto"/>
              <w:right w:val="single" w:sz="4" w:space="0" w:color="auto"/>
            </w:tcBorders>
            <w:hideMark/>
          </w:tcPr>
          <w:p w14:paraId="31EB39B4" w14:textId="1625CA3F" w:rsidR="009D43C3" w:rsidRPr="000C156A" w:rsidRDefault="009D43C3" w:rsidP="006D490A">
            <w:pPr>
              <w:pStyle w:val="Tabletext"/>
              <w:spacing w:before="20" w:after="20"/>
              <w:rPr>
                <w:b/>
                <w:bCs/>
                <w:szCs w:val="22"/>
                <w:lang w:val="en-US" w:eastAsia="zh-CN"/>
              </w:rPr>
            </w:pPr>
            <w:r w:rsidRPr="000C156A">
              <w:rPr>
                <w:rFonts w:cs="Arial"/>
                <w:b/>
                <w:bCs/>
                <w:color w:val="000000"/>
                <w:szCs w:val="22"/>
                <w:lang w:val="en-US" w:eastAsia="zh-CN"/>
              </w:rPr>
              <w:t>12</w:t>
            </w:r>
            <w:r w:rsidRPr="000C156A">
              <w:rPr>
                <w:rFonts w:cs="Arial" w:hint="eastAsia"/>
                <w:b/>
                <w:bCs/>
                <w:color w:val="000000"/>
                <w:szCs w:val="22"/>
                <w:lang w:val="en-US" w:eastAsia="zh-CN"/>
              </w:rPr>
              <w:t>月</w:t>
            </w:r>
            <w:r w:rsidRPr="000C156A">
              <w:rPr>
                <w:rFonts w:cs="Arial"/>
                <w:b/>
                <w:bCs/>
                <w:color w:val="000000"/>
                <w:szCs w:val="22"/>
                <w:lang w:val="en-US" w:eastAsia="zh-CN"/>
              </w:rPr>
              <w:t>31</w:t>
            </w:r>
            <w:r w:rsidRPr="000C156A">
              <w:rPr>
                <w:rFonts w:cs="Arial" w:hint="eastAsia"/>
                <w:b/>
                <w:bCs/>
                <w:color w:val="000000"/>
                <w:szCs w:val="22"/>
                <w:lang w:val="en-US" w:eastAsia="zh-CN"/>
              </w:rPr>
              <w:t>日时的净账面金额</w:t>
            </w:r>
          </w:p>
        </w:tc>
        <w:tc>
          <w:tcPr>
            <w:tcW w:w="940" w:type="dxa"/>
            <w:tcBorders>
              <w:top w:val="nil"/>
              <w:left w:val="nil"/>
              <w:bottom w:val="single" w:sz="4" w:space="0" w:color="auto"/>
              <w:right w:val="nil"/>
            </w:tcBorders>
            <w:shd w:val="clear" w:color="auto" w:fill="auto"/>
            <w:vAlign w:val="center"/>
            <w:hideMark/>
          </w:tcPr>
          <w:p w14:paraId="28118DDA" w14:textId="5798A80E" w:rsidR="009D43C3" w:rsidRPr="000C156A" w:rsidRDefault="009D43C3" w:rsidP="00F61821">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76</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985</w:t>
            </w:r>
          </w:p>
        </w:tc>
        <w:tc>
          <w:tcPr>
            <w:tcW w:w="870" w:type="dxa"/>
            <w:tcBorders>
              <w:top w:val="nil"/>
              <w:left w:val="nil"/>
              <w:bottom w:val="single" w:sz="4" w:space="0" w:color="auto"/>
              <w:right w:val="nil"/>
            </w:tcBorders>
            <w:shd w:val="clear" w:color="auto" w:fill="auto"/>
            <w:vAlign w:val="center"/>
            <w:hideMark/>
          </w:tcPr>
          <w:p w14:paraId="447BA768" w14:textId="1673FF6C" w:rsidR="009D43C3" w:rsidRPr="000C156A" w:rsidRDefault="009D43C3" w:rsidP="00F61821">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132</w:t>
            </w:r>
          </w:p>
        </w:tc>
        <w:tc>
          <w:tcPr>
            <w:tcW w:w="795" w:type="dxa"/>
            <w:tcBorders>
              <w:top w:val="nil"/>
              <w:left w:val="nil"/>
              <w:bottom w:val="single" w:sz="4" w:space="0" w:color="auto"/>
              <w:right w:val="nil"/>
            </w:tcBorders>
            <w:shd w:val="clear" w:color="auto" w:fill="auto"/>
            <w:vAlign w:val="center"/>
            <w:hideMark/>
          </w:tcPr>
          <w:p w14:paraId="56D217FF" w14:textId="7B1AA002" w:rsidR="009D43C3" w:rsidRPr="000C156A" w:rsidRDefault="009D43C3" w:rsidP="00F61821">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57</w:t>
            </w:r>
          </w:p>
        </w:tc>
        <w:tc>
          <w:tcPr>
            <w:tcW w:w="895" w:type="dxa"/>
            <w:tcBorders>
              <w:top w:val="nil"/>
              <w:left w:val="nil"/>
              <w:bottom w:val="single" w:sz="4" w:space="0" w:color="auto"/>
              <w:right w:val="nil"/>
            </w:tcBorders>
            <w:shd w:val="clear" w:color="auto" w:fill="auto"/>
            <w:vAlign w:val="center"/>
            <w:hideMark/>
          </w:tcPr>
          <w:p w14:paraId="54EF7BF6" w14:textId="47795B65" w:rsidR="009D43C3" w:rsidRPr="000C156A" w:rsidRDefault="009D43C3" w:rsidP="00F61821">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772</w:t>
            </w:r>
          </w:p>
        </w:tc>
        <w:tc>
          <w:tcPr>
            <w:tcW w:w="867" w:type="dxa"/>
            <w:tcBorders>
              <w:top w:val="nil"/>
              <w:left w:val="nil"/>
              <w:bottom w:val="single" w:sz="4" w:space="0" w:color="auto"/>
              <w:right w:val="nil"/>
            </w:tcBorders>
            <w:shd w:val="clear" w:color="auto" w:fill="auto"/>
            <w:vAlign w:val="center"/>
            <w:hideMark/>
          </w:tcPr>
          <w:p w14:paraId="02735C8B" w14:textId="15B41679" w:rsidR="009D43C3" w:rsidRPr="000C156A" w:rsidRDefault="009D43C3" w:rsidP="00F61821">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93</w:t>
            </w:r>
          </w:p>
        </w:tc>
        <w:tc>
          <w:tcPr>
            <w:tcW w:w="1053" w:type="dxa"/>
            <w:tcBorders>
              <w:top w:val="nil"/>
              <w:left w:val="nil"/>
              <w:bottom w:val="single" w:sz="4" w:space="0" w:color="auto"/>
              <w:right w:val="nil"/>
            </w:tcBorders>
            <w:shd w:val="clear" w:color="auto" w:fill="auto"/>
            <w:vAlign w:val="center"/>
            <w:hideMark/>
          </w:tcPr>
          <w:p w14:paraId="1EB2019C" w14:textId="38CEDF33" w:rsidR="009D43C3" w:rsidRPr="000C156A" w:rsidRDefault="009D43C3" w:rsidP="00F61821">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w:t>
            </w:r>
          </w:p>
        </w:tc>
        <w:tc>
          <w:tcPr>
            <w:tcW w:w="1053" w:type="dxa"/>
            <w:tcBorders>
              <w:top w:val="nil"/>
              <w:left w:val="nil"/>
              <w:bottom w:val="single" w:sz="4" w:space="0" w:color="auto"/>
              <w:right w:val="single" w:sz="4" w:space="0" w:color="auto"/>
            </w:tcBorders>
            <w:shd w:val="clear" w:color="auto" w:fill="auto"/>
            <w:vAlign w:val="center"/>
          </w:tcPr>
          <w:p w14:paraId="2DF49198" w14:textId="735566B0" w:rsidR="009D43C3" w:rsidRPr="000C156A" w:rsidRDefault="009D43C3" w:rsidP="00F61821">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78</w:t>
            </w:r>
            <w:r w:rsidR="00F61821" w:rsidRPr="000C156A">
              <w:rPr>
                <w:rFonts w:cs="Calibri"/>
                <w:b/>
                <w:bCs/>
                <w:color w:val="000000"/>
                <w:sz w:val="22"/>
                <w:szCs w:val="22"/>
                <w:lang w:eastAsia="en-GB"/>
              </w:rPr>
              <w:t xml:space="preserve"> </w:t>
            </w:r>
            <w:r w:rsidRPr="000C156A">
              <w:rPr>
                <w:rFonts w:cs="Calibri"/>
                <w:b/>
                <w:bCs/>
                <w:color w:val="000000"/>
                <w:sz w:val="22"/>
                <w:szCs w:val="22"/>
                <w:lang w:eastAsia="en-GB"/>
              </w:rPr>
              <w:t>040</w:t>
            </w:r>
          </w:p>
        </w:tc>
      </w:tr>
    </w:tbl>
    <w:p w14:paraId="112FC594" w14:textId="77777777" w:rsidR="009D43C3" w:rsidRPr="000C156A" w:rsidRDefault="009D43C3" w:rsidP="00056C6D">
      <w:pPr>
        <w:pStyle w:val="Heading1"/>
        <w:spacing w:before="240" w:after="240"/>
        <w:rPr>
          <w:rFonts w:cs="Microsoft YaHei"/>
          <w:sz w:val="24"/>
          <w:szCs w:val="24"/>
          <w:lang w:val="fr-FR"/>
        </w:rPr>
      </w:pPr>
      <w:bookmarkStart w:id="624" w:name="_Toc482870836"/>
      <w:bookmarkStart w:id="625" w:name="_Toc482892571"/>
      <w:bookmarkStart w:id="626" w:name="_Toc511813754"/>
      <w:bookmarkStart w:id="627" w:name="_Toc511817837"/>
      <w:bookmarkStart w:id="628" w:name="_Toc520280737"/>
      <w:bookmarkStart w:id="629" w:name="_Toc10536832"/>
      <w:bookmarkStart w:id="630" w:name="_Toc41905873"/>
      <w:bookmarkStart w:id="631" w:name="_Toc41906902"/>
      <w:bookmarkStart w:id="632" w:name="_Toc41907983"/>
      <w:bookmarkStart w:id="633" w:name="_Toc41908051"/>
      <w:bookmarkStart w:id="634" w:name="_Toc73518689"/>
      <w:bookmarkStart w:id="635" w:name="_Toc73518836"/>
      <w:bookmarkStart w:id="636" w:name="_Toc73519236"/>
      <w:bookmarkStart w:id="637" w:name="_Toc73636275"/>
      <w:r w:rsidRPr="000C156A">
        <w:rPr>
          <w:rFonts w:cs="Microsoft YaHei" w:hint="eastAsia"/>
          <w:sz w:val="24"/>
          <w:szCs w:val="24"/>
          <w:lang w:val="fr-FR"/>
        </w:rPr>
        <w:t>说明</w:t>
      </w:r>
      <w:r w:rsidRPr="000C156A">
        <w:rPr>
          <w:rFonts w:cs="Microsoft YaHei"/>
          <w:sz w:val="24"/>
          <w:szCs w:val="24"/>
          <w:lang w:val="fr-FR"/>
        </w:rPr>
        <w:t>12</w:t>
      </w:r>
      <w:r w:rsidRPr="000C156A">
        <w:rPr>
          <w:rFonts w:cs="Microsoft YaHei"/>
          <w:sz w:val="24"/>
          <w:szCs w:val="24"/>
          <w:lang w:val="fr-FR"/>
        </w:rPr>
        <w:tab/>
      </w:r>
      <w:r w:rsidRPr="000C156A">
        <w:rPr>
          <w:rFonts w:cs="Microsoft YaHei" w:hint="eastAsia"/>
          <w:sz w:val="24"/>
          <w:szCs w:val="24"/>
          <w:lang w:val="fr-FR"/>
        </w:rPr>
        <w:t>无形资产</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tbl>
      <w:tblPr>
        <w:tblW w:w="4922" w:type="pct"/>
        <w:jc w:val="center"/>
        <w:tblLayout w:type="fixed"/>
        <w:tblLook w:val="04A0" w:firstRow="1" w:lastRow="0" w:firstColumn="1" w:lastColumn="0" w:noHBand="0" w:noVBand="1"/>
      </w:tblPr>
      <w:tblGrid>
        <w:gridCol w:w="2662"/>
        <w:gridCol w:w="1704"/>
        <w:gridCol w:w="1704"/>
        <w:gridCol w:w="1704"/>
        <w:gridCol w:w="1705"/>
      </w:tblGrid>
      <w:tr w:rsidR="009D43C3" w:rsidRPr="000C156A" w14:paraId="558F326C" w14:textId="77777777" w:rsidTr="00C8648E">
        <w:trPr>
          <w:trHeight w:val="476"/>
          <w:jc w:val="center"/>
        </w:trPr>
        <w:tc>
          <w:tcPr>
            <w:tcW w:w="2661" w:type="dxa"/>
            <w:tcBorders>
              <w:top w:val="single" w:sz="4" w:space="0" w:color="auto"/>
              <w:left w:val="single" w:sz="4" w:space="0" w:color="auto"/>
              <w:bottom w:val="nil"/>
              <w:right w:val="nil"/>
            </w:tcBorders>
            <w:vAlign w:val="center"/>
            <w:hideMark/>
          </w:tcPr>
          <w:p w14:paraId="70BB6DBE" w14:textId="77777777" w:rsidR="009D43C3" w:rsidRPr="000C156A" w:rsidRDefault="009D43C3" w:rsidP="005D02F0">
            <w:pPr>
              <w:pStyle w:val="Tablehead"/>
              <w:keepLines/>
              <w:spacing w:before="20" w:after="20"/>
              <w:jc w:val="left"/>
              <w:rPr>
                <w:szCs w:val="22"/>
                <w:lang w:val="en-US" w:eastAsia="zh-CN"/>
              </w:rPr>
            </w:pPr>
            <w:r w:rsidRPr="000C156A">
              <w:rPr>
                <w:rFonts w:hint="eastAsia"/>
                <w:szCs w:val="22"/>
                <w:lang w:val="en-US" w:eastAsia="zh-CN"/>
              </w:rPr>
              <w:t>资产类别</w:t>
            </w:r>
          </w:p>
        </w:tc>
        <w:tc>
          <w:tcPr>
            <w:tcW w:w="1704" w:type="dxa"/>
            <w:tcBorders>
              <w:top w:val="single" w:sz="4" w:space="0" w:color="auto"/>
              <w:left w:val="single" w:sz="4" w:space="0" w:color="auto"/>
              <w:bottom w:val="single" w:sz="4" w:space="0" w:color="auto"/>
              <w:right w:val="single" w:sz="4" w:space="0" w:color="000000"/>
            </w:tcBorders>
            <w:vAlign w:val="center"/>
            <w:hideMark/>
          </w:tcPr>
          <w:p w14:paraId="616E0DF4" w14:textId="77777777" w:rsidR="009D43C3" w:rsidRPr="000C156A" w:rsidRDefault="009D43C3" w:rsidP="005D02F0">
            <w:pPr>
              <w:pStyle w:val="Tablehead"/>
              <w:keepLines/>
              <w:spacing w:before="20" w:after="20"/>
              <w:rPr>
                <w:szCs w:val="22"/>
                <w:lang w:val="en-US" w:eastAsia="zh-CN"/>
              </w:rPr>
            </w:pPr>
            <w:r w:rsidRPr="000C156A">
              <w:rPr>
                <w:rFonts w:hint="eastAsia"/>
                <w:szCs w:val="22"/>
                <w:lang w:val="en-US" w:eastAsia="zh-CN"/>
              </w:rPr>
              <w:t>内部开发</w:t>
            </w:r>
          </w:p>
        </w:tc>
        <w:tc>
          <w:tcPr>
            <w:tcW w:w="1704" w:type="dxa"/>
            <w:tcBorders>
              <w:top w:val="single" w:sz="4" w:space="0" w:color="auto"/>
              <w:left w:val="single" w:sz="4" w:space="0" w:color="000000"/>
              <w:bottom w:val="single" w:sz="4" w:space="0" w:color="auto"/>
              <w:right w:val="single" w:sz="4" w:space="0" w:color="auto"/>
            </w:tcBorders>
            <w:vAlign w:val="center"/>
            <w:hideMark/>
          </w:tcPr>
          <w:p w14:paraId="561A3443" w14:textId="77777777" w:rsidR="009D43C3" w:rsidRPr="000C156A" w:rsidRDefault="009D43C3" w:rsidP="005D02F0">
            <w:pPr>
              <w:pStyle w:val="Tablehead"/>
              <w:keepLines/>
              <w:spacing w:before="20" w:after="20"/>
              <w:rPr>
                <w:szCs w:val="22"/>
                <w:lang w:val="en-US" w:eastAsia="zh-CN"/>
              </w:rPr>
            </w:pPr>
            <w:r w:rsidRPr="000C156A">
              <w:rPr>
                <w:rFonts w:hint="eastAsia"/>
                <w:szCs w:val="22"/>
                <w:lang w:val="en-US" w:eastAsia="zh-CN"/>
              </w:rPr>
              <w:t>软件</w:t>
            </w:r>
          </w:p>
        </w:tc>
        <w:tc>
          <w:tcPr>
            <w:tcW w:w="1704" w:type="dxa"/>
            <w:tcBorders>
              <w:top w:val="single" w:sz="4" w:space="0" w:color="auto"/>
              <w:left w:val="single" w:sz="4" w:space="0" w:color="auto"/>
              <w:bottom w:val="single" w:sz="4" w:space="0" w:color="auto"/>
              <w:right w:val="single" w:sz="4" w:space="0" w:color="auto"/>
            </w:tcBorders>
            <w:vAlign w:val="center"/>
          </w:tcPr>
          <w:p w14:paraId="4653DA63" w14:textId="77777777" w:rsidR="009D43C3" w:rsidRPr="000C156A" w:rsidRDefault="009D43C3" w:rsidP="005D02F0">
            <w:pPr>
              <w:pStyle w:val="Tablehead"/>
              <w:keepLines/>
              <w:spacing w:before="20" w:after="20"/>
              <w:rPr>
                <w:szCs w:val="22"/>
                <w:lang w:val="en-US" w:eastAsia="zh-CN"/>
              </w:rPr>
            </w:pPr>
            <w:r w:rsidRPr="000C156A">
              <w:rPr>
                <w:rFonts w:cs="Arial"/>
                <w:bCs/>
                <w:color w:val="000000"/>
                <w:sz w:val="20"/>
                <w:lang w:val="en-US" w:eastAsia="zh-CN"/>
              </w:rPr>
              <w:t>LVA</w:t>
            </w:r>
            <w:r w:rsidRPr="000C156A">
              <w:rPr>
                <w:rFonts w:cs="Arial" w:hint="eastAsia"/>
                <w:bCs/>
                <w:color w:val="000000"/>
                <w:sz w:val="20"/>
                <w:lang w:val="en-US" w:eastAsia="zh-CN"/>
              </w:rPr>
              <w:t>软件</w:t>
            </w:r>
          </w:p>
        </w:tc>
        <w:tc>
          <w:tcPr>
            <w:tcW w:w="1705" w:type="dxa"/>
            <w:tcBorders>
              <w:top w:val="single" w:sz="4" w:space="0" w:color="auto"/>
              <w:left w:val="single" w:sz="4" w:space="0" w:color="auto"/>
              <w:bottom w:val="single" w:sz="4" w:space="0" w:color="auto"/>
              <w:right w:val="single" w:sz="4" w:space="0" w:color="auto"/>
            </w:tcBorders>
            <w:vAlign w:val="center"/>
            <w:hideMark/>
          </w:tcPr>
          <w:p w14:paraId="19EDDEF6" w14:textId="77777777" w:rsidR="009D43C3" w:rsidRPr="000C156A" w:rsidRDefault="009D43C3" w:rsidP="005D02F0">
            <w:pPr>
              <w:pStyle w:val="Tablehead"/>
              <w:keepLines/>
              <w:spacing w:before="20" w:after="20"/>
              <w:rPr>
                <w:szCs w:val="22"/>
                <w:lang w:val="en-US" w:eastAsia="zh-CN"/>
              </w:rPr>
            </w:pPr>
            <w:r w:rsidRPr="000C156A">
              <w:rPr>
                <w:rFonts w:hint="eastAsia"/>
                <w:szCs w:val="22"/>
                <w:lang w:val="en-US" w:eastAsia="zh-CN"/>
              </w:rPr>
              <w:t>合计</w:t>
            </w:r>
          </w:p>
        </w:tc>
      </w:tr>
      <w:tr w:rsidR="009D43C3" w:rsidRPr="000C156A" w14:paraId="18B08465" w14:textId="77777777" w:rsidTr="00C8648E">
        <w:trPr>
          <w:trHeight w:val="210"/>
          <w:jc w:val="center"/>
        </w:trPr>
        <w:tc>
          <w:tcPr>
            <w:tcW w:w="2661" w:type="dxa"/>
            <w:tcBorders>
              <w:top w:val="single" w:sz="4" w:space="0" w:color="auto"/>
              <w:left w:val="single" w:sz="4" w:space="0" w:color="auto"/>
              <w:bottom w:val="nil"/>
              <w:right w:val="nil"/>
            </w:tcBorders>
            <w:hideMark/>
          </w:tcPr>
          <w:p w14:paraId="718E35C5" w14:textId="77777777" w:rsidR="009D43C3" w:rsidRPr="000C156A" w:rsidRDefault="009D43C3" w:rsidP="005D02F0">
            <w:pPr>
              <w:pStyle w:val="Tabletext"/>
              <w:spacing w:before="20" w:after="20"/>
              <w:rPr>
                <w:rFonts w:cs="Arial"/>
                <w:b/>
                <w:bCs/>
                <w:color w:val="000000"/>
                <w:szCs w:val="22"/>
                <w:lang w:val="en-US" w:eastAsia="zh-CN"/>
              </w:rPr>
            </w:pPr>
            <w:r w:rsidRPr="000C156A">
              <w:rPr>
                <w:rFonts w:cs="Arial"/>
                <w:b/>
                <w:bCs/>
                <w:color w:val="000000"/>
                <w:szCs w:val="22"/>
                <w:lang w:val="en-US" w:eastAsia="zh-CN"/>
              </w:rPr>
              <w:t> </w:t>
            </w:r>
          </w:p>
        </w:tc>
        <w:tc>
          <w:tcPr>
            <w:tcW w:w="1704" w:type="dxa"/>
            <w:tcBorders>
              <w:top w:val="nil"/>
              <w:left w:val="single" w:sz="4" w:space="0" w:color="auto"/>
              <w:bottom w:val="single" w:sz="4" w:space="0" w:color="auto"/>
              <w:right w:val="single" w:sz="4" w:space="0" w:color="auto"/>
            </w:tcBorders>
            <w:vAlign w:val="center"/>
            <w:hideMark/>
          </w:tcPr>
          <w:p w14:paraId="77B1ACEA" w14:textId="77777777" w:rsidR="009D43C3" w:rsidRPr="000C156A" w:rsidRDefault="009D43C3" w:rsidP="005D02F0">
            <w:pPr>
              <w:keepNext/>
              <w:keepLines/>
              <w:overflowPunct/>
              <w:adjustRightInd/>
              <w:spacing w:before="0"/>
              <w:jc w:val="center"/>
              <w:rPr>
                <w:rFonts w:cs="Arial"/>
                <w:b/>
                <w:bCs/>
                <w:color w:val="000000"/>
                <w:sz w:val="22"/>
                <w:szCs w:val="22"/>
                <w:lang w:val="en-US" w:eastAsia="zh-CN"/>
              </w:rPr>
            </w:pPr>
            <w:r w:rsidRPr="000C156A">
              <w:rPr>
                <w:rFonts w:cs="Arial"/>
                <w:b/>
                <w:bCs/>
                <w:color w:val="000000"/>
                <w:sz w:val="22"/>
                <w:szCs w:val="22"/>
                <w:lang w:val="en-US" w:eastAsia="zh-CN"/>
              </w:rPr>
              <w:t>20</w:t>
            </w:r>
            <w:r w:rsidRPr="000C156A">
              <w:rPr>
                <w:rFonts w:cs="Arial" w:hint="eastAsia"/>
                <w:b/>
                <w:bCs/>
                <w:color w:val="000000"/>
                <w:sz w:val="22"/>
                <w:szCs w:val="22"/>
                <w:lang w:val="en-US" w:eastAsia="zh-CN"/>
              </w:rPr>
              <w:t>20</w:t>
            </w:r>
            <w:r w:rsidRPr="000C156A">
              <w:rPr>
                <w:rFonts w:cs="Arial" w:hint="eastAsia"/>
                <w:b/>
                <w:bCs/>
                <w:color w:val="000000"/>
                <w:sz w:val="22"/>
                <w:szCs w:val="22"/>
                <w:lang w:val="en-US" w:eastAsia="zh-CN"/>
              </w:rPr>
              <w:t>年</w:t>
            </w:r>
          </w:p>
        </w:tc>
        <w:tc>
          <w:tcPr>
            <w:tcW w:w="1704" w:type="dxa"/>
            <w:tcBorders>
              <w:top w:val="nil"/>
              <w:left w:val="nil"/>
              <w:bottom w:val="single" w:sz="4" w:space="0" w:color="auto"/>
              <w:right w:val="single" w:sz="4" w:space="0" w:color="auto"/>
            </w:tcBorders>
            <w:vAlign w:val="center"/>
            <w:hideMark/>
          </w:tcPr>
          <w:p w14:paraId="76439201" w14:textId="77777777" w:rsidR="009D43C3" w:rsidRPr="000C156A" w:rsidRDefault="009D43C3" w:rsidP="005D02F0">
            <w:pPr>
              <w:keepNext/>
              <w:keepLines/>
              <w:overflowPunct/>
              <w:adjustRightInd/>
              <w:spacing w:before="0"/>
              <w:jc w:val="center"/>
              <w:rPr>
                <w:rFonts w:cs="Arial"/>
                <w:b/>
                <w:bCs/>
                <w:color w:val="000000"/>
                <w:sz w:val="22"/>
                <w:szCs w:val="22"/>
                <w:lang w:val="en-US" w:eastAsia="zh-CN"/>
              </w:rPr>
            </w:pPr>
            <w:r w:rsidRPr="000C156A">
              <w:rPr>
                <w:rFonts w:cs="Arial"/>
                <w:b/>
                <w:bCs/>
                <w:color w:val="000000"/>
                <w:sz w:val="22"/>
                <w:szCs w:val="22"/>
                <w:lang w:val="en-US" w:eastAsia="zh-CN"/>
              </w:rPr>
              <w:t>2020</w:t>
            </w:r>
            <w:r w:rsidRPr="000C156A">
              <w:rPr>
                <w:rFonts w:cs="Arial" w:hint="eastAsia"/>
                <w:b/>
                <w:bCs/>
                <w:color w:val="000000"/>
                <w:sz w:val="22"/>
                <w:szCs w:val="22"/>
                <w:lang w:val="en-US" w:eastAsia="zh-CN"/>
              </w:rPr>
              <w:t>年</w:t>
            </w:r>
          </w:p>
        </w:tc>
        <w:tc>
          <w:tcPr>
            <w:tcW w:w="1704" w:type="dxa"/>
            <w:tcBorders>
              <w:top w:val="nil"/>
              <w:left w:val="single" w:sz="4" w:space="0" w:color="auto"/>
              <w:bottom w:val="single" w:sz="4" w:space="0" w:color="auto"/>
              <w:right w:val="single" w:sz="4" w:space="0" w:color="auto"/>
            </w:tcBorders>
            <w:vAlign w:val="center"/>
          </w:tcPr>
          <w:p w14:paraId="19451A17" w14:textId="77777777" w:rsidR="009D43C3" w:rsidRPr="000C156A" w:rsidRDefault="009D43C3" w:rsidP="005D02F0">
            <w:pPr>
              <w:keepNext/>
              <w:keepLines/>
              <w:overflowPunct/>
              <w:adjustRightInd/>
              <w:spacing w:before="0"/>
              <w:jc w:val="center"/>
              <w:rPr>
                <w:rFonts w:cs="Arial"/>
                <w:b/>
                <w:bCs/>
                <w:color w:val="000000"/>
                <w:sz w:val="22"/>
                <w:szCs w:val="22"/>
                <w:lang w:val="en-US" w:eastAsia="zh-CN"/>
              </w:rPr>
            </w:pPr>
            <w:r w:rsidRPr="000C156A">
              <w:rPr>
                <w:rFonts w:cs="Arial"/>
                <w:b/>
                <w:bCs/>
                <w:color w:val="000000"/>
                <w:sz w:val="22"/>
                <w:szCs w:val="22"/>
                <w:lang w:val="en-US" w:eastAsia="zh-CN"/>
              </w:rPr>
              <w:t>20</w:t>
            </w:r>
            <w:r w:rsidRPr="000C156A">
              <w:rPr>
                <w:rFonts w:cs="Arial" w:hint="eastAsia"/>
                <w:b/>
                <w:bCs/>
                <w:color w:val="000000"/>
                <w:sz w:val="22"/>
                <w:szCs w:val="22"/>
                <w:lang w:val="en-US" w:eastAsia="zh-CN"/>
              </w:rPr>
              <w:t>20</w:t>
            </w:r>
            <w:r w:rsidRPr="000C156A">
              <w:rPr>
                <w:rFonts w:cs="Arial" w:hint="eastAsia"/>
                <w:b/>
                <w:bCs/>
                <w:color w:val="000000"/>
                <w:sz w:val="22"/>
                <w:szCs w:val="22"/>
                <w:lang w:val="en-US" w:eastAsia="zh-CN"/>
              </w:rPr>
              <w:t>年</w:t>
            </w:r>
          </w:p>
        </w:tc>
        <w:tc>
          <w:tcPr>
            <w:tcW w:w="1705" w:type="dxa"/>
            <w:tcBorders>
              <w:top w:val="nil"/>
              <w:left w:val="single" w:sz="4" w:space="0" w:color="auto"/>
              <w:bottom w:val="single" w:sz="4" w:space="0" w:color="auto"/>
              <w:right w:val="single" w:sz="4" w:space="0" w:color="auto"/>
            </w:tcBorders>
            <w:vAlign w:val="center"/>
            <w:hideMark/>
          </w:tcPr>
          <w:p w14:paraId="0B06A339" w14:textId="77777777" w:rsidR="009D43C3" w:rsidRPr="000C156A" w:rsidRDefault="009D43C3" w:rsidP="005D02F0">
            <w:pPr>
              <w:jc w:val="center"/>
              <w:rPr>
                <w:rFonts w:cs="Arial"/>
                <w:b/>
                <w:bCs/>
                <w:color w:val="000000"/>
                <w:sz w:val="22"/>
                <w:szCs w:val="22"/>
                <w:lang w:val="en-US" w:eastAsia="zh-CN"/>
              </w:rPr>
            </w:pPr>
            <w:r w:rsidRPr="000C156A">
              <w:rPr>
                <w:rFonts w:cs="Arial"/>
                <w:b/>
                <w:bCs/>
                <w:color w:val="000000"/>
                <w:sz w:val="22"/>
                <w:szCs w:val="22"/>
                <w:lang w:val="en-US" w:eastAsia="zh-CN"/>
              </w:rPr>
              <w:t>2020</w:t>
            </w:r>
            <w:r w:rsidRPr="000C156A">
              <w:rPr>
                <w:rFonts w:cs="Arial" w:hint="eastAsia"/>
                <w:b/>
                <w:bCs/>
                <w:color w:val="000000"/>
                <w:sz w:val="22"/>
                <w:szCs w:val="22"/>
                <w:lang w:val="en-US" w:eastAsia="zh-CN"/>
              </w:rPr>
              <w:t>年</w:t>
            </w:r>
          </w:p>
        </w:tc>
      </w:tr>
      <w:tr w:rsidR="009D43C3" w:rsidRPr="000C156A" w14:paraId="63240930" w14:textId="77777777" w:rsidTr="00C8648E">
        <w:trPr>
          <w:trHeight w:val="253"/>
          <w:jc w:val="center"/>
        </w:trPr>
        <w:tc>
          <w:tcPr>
            <w:tcW w:w="2661" w:type="dxa"/>
            <w:tcBorders>
              <w:top w:val="single" w:sz="4" w:space="0" w:color="auto"/>
              <w:left w:val="single" w:sz="4" w:space="0" w:color="auto"/>
              <w:bottom w:val="single" w:sz="4" w:space="0" w:color="auto"/>
              <w:right w:val="nil"/>
            </w:tcBorders>
            <w:hideMark/>
          </w:tcPr>
          <w:p w14:paraId="46D3E37E" w14:textId="77777777" w:rsidR="009D43C3" w:rsidRPr="000C156A" w:rsidRDefault="009D43C3" w:rsidP="005D02F0">
            <w:pPr>
              <w:pStyle w:val="Tabletext"/>
              <w:spacing w:before="20" w:after="20"/>
              <w:rPr>
                <w:b/>
                <w:bCs/>
                <w:szCs w:val="22"/>
                <w:lang w:val="en-US" w:eastAsia="zh-CN"/>
              </w:rPr>
            </w:pPr>
            <w:r w:rsidRPr="000C156A">
              <w:rPr>
                <w:b/>
                <w:bCs/>
                <w:szCs w:val="22"/>
                <w:lang w:val="en-US" w:eastAsia="zh-CN"/>
              </w:rPr>
              <w:t>1</w:t>
            </w:r>
            <w:r w:rsidRPr="000C156A">
              <w:rPr>
                <w:rFonts w:hint="eastAsia"/>
                <w:b/>
                <w:bCs/>
                <w:szCs w:val="22"/>
                <w:lang w:val="en-US" w:eastAsia="zh-CN"/>
              </w:rPr>
              <w:t>月</w:t>
            </w:r>
            <w:r w:rsidRPr="000C156A">
              <w:rPr>
                <w:b/>
                <w:bCs/>
                <w:szCs w:val="22"/>
                <w:lang w:val="en-US" w:eastAsia="zh-CN"/>
              </w:rPr>
              <w:t>1</w:t>
            </w:r>
            <w:r w:rsidRPr="000C156A">
              <w:rPr>
                <w:rFonts w:hint="eastAsia"/>
                <w:b/>
                <w:bCs/>
                <w:szCs w:val="22"/>
                <w:lang w:val="en-US" w:eastAsia="zh-CN"/>
              </w:rPr>
              <w:t>日时的成本</w:t>
            </w:r>
          </w:p>
        </w:tc>
        <w:tc>
          <w:tcPr>
            <w:tcW w:w="1704" w:type="dxa"/>
            <w:tcBorders>
              <w:top w:val="nil"/>
              <w:left w:val="single" w:sz="4" w:space="0" w:color="auto"/>
              <w:bottom w:val="single" w:sz="4" w:space="0" w:color="auto"/>
              <w:right w:val="single" w:sz="4" w:space="0" w:color="auto"/>
            </w:tcBorders>
            <w:shd w:val="clear" w:color="auto" w:fill="auto"/>
            <w:vAlign w:val="center"/>
            <w:hideMark/>
          </w:tcPr>
          <w:p w14:paraId="49CB3995" w14:textId="538F6482"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3</w:t>
            </w:r>
            <w:r w:rsidR="00C8648E" w:rsidRPr="000C156A">
              <w:rPr>
                <w:rFonts w:cs="Calibri"/>
                <w:b/>
                <w:bCs/>
                <w:color w:val="000000"/>
                <w:sz w:val="22"/>
                <w:szCs w:val="22"/>
                <w:lang w:eastAsia="en-GB"/>
              </w:rPr>
              <w:t xml:space="preserve"> </w:t>
            </w:r>
            <w:r w:rsidRPr="000C156A">
              <w:rPr>
                <w:rFonts w:cs="Calibri"/>
                <w:b/>
                <w:bCs/>
                <w:color w:val="000000"/>
                <w:sz w:val="22"/>
                <w:szCs w:val="22"/>
                <w:lang w:eastAsia="en-GB"/>
              </w:rPr>
              <w:t>351</w:t>
            </w:r>
          </w:p>
        </w:tc>
        <w:tc>
          <w:tcPr>
            <w:tcW w:w="1704" w:type="dxa"/>
            <w:tcBorders>
              <w:top w:val="nil"/>
              <w:left w:val="nil"/>
              <w:bottom w:val="single" w:sz="4" w:space="0" w:color="auto"/>
              <w:right w:val="single" w:sz="4" w:space="0" w:color="auto"/>
            </w:tcBorders>
            <w:shd w:val="clear" w:color="000000" w:fill="FFFFFF"/>
            <w:noWrap/>
            <w:vAlign w:val="center"/>
            <w:hideMark/>
          </w:tcPr>
          <w:p w14:paraId="146CD6AF" w14:textId="71C8605C"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6</w:t>
            </w:r>
            <w:r w:rsidR="00C8648E" w:rsidRPr="000C156A">
              <w:rPr>
                <w:rFonts w:cs="Calibri"/>
                <w:b/>
                <w:bCs/>
                <w:color w:val="000000"/>
                <w:sz w:val="22"/>
                <w:szCs w:val="22"/>
                <w:lang w:eastAsia="en-GB"/>
              </w:rPr>
              <w:t xml:space="preserve"> </w:t>
            </w:r>
            <w:r w:rsidRPr="000C156A">
              <w:rPr>
                <w:rFonts w:cs="Calibri"/>
                <w:b/>
                <w:bCs/>
                <w:color w:val="000000"/>
                <w:sz w:val="22"/>
                <w:szCs w:val="22"/>
                <w:lang w:eastAsia="en-GB"/>
              </w:rPr>
              <w:t>746</w:t>
            </w:r>
          </w:p>
        </w:tc>
        <w:tc>
          <w:tcPr>
            <w:tcW w:w="1704" w:type="dxa"/>
            <w:tcBorders>
              <w:top w:val="nil"/>
              <w:left w:val="nil"/>
              <w:bottom w:val="single" w:sz="4" w:space="0" w:color="auto"/>
              <w:right w:val="single" w:sz="4" w:space="0" w:color="auto"/>
            </w:tcBorders>
            <w:shd w:val="clear" w:color="auto" w:fill="auto"/>
            <w:vAlign w:val="center"/>
          </w:tcPr>
          <w:p w14:paraId="2E74AAFA" w14:textId="18B6F61E"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asciiTheme="minorHAnsi" w:hAnsiTheme="minorHAnsi" w:cstheme="minorHAnsi"/>
                <w:b/>
                <w:bCs/>
                <w:color w:val="000000"/>
                <w:sz w:val="22"/>
                <w:szCs w:val="22"/>
                <w:lang w:eastAsia="en-GB"/>
              </w:rPr>
              <w:t>718</w:t>
            </w:r>
          </w:p>
        </w:tc>
        <w:tc>
          <w:tcPr>
            <w:tcW w:w="1705" w:type="dxa"/>
            <w:tcBorders>
              <w:top w:val="nil"/>
              <w:left w:val="nil"/>
              <w:bottom w:val="single" w:sz="4" w:space="0" w:color="auto"/>
              <w:right w:val="single" w:sz="4" w:space="0" w:color="auto"/>
            </w:tcBorders>
            <w:shd w:val="clear" w:color="000000" w:fill="FFFFFF"/>
            <w:noWrap/>
            <w:vAlign w:val="center"/>
            <w:hideMark/>
          </w:tcPr>
          <w:p w14:paraId="4CD00386" w14:textId="6BEFD1A9"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asciiTheme="minorHAnsi" w:hAnsiTheme="minorHAnsi" w:cstheme="minorHAnsi"/>
                <w:b/>
                <w:bCs/>
                <w:color w:val="000000"/>
                <w:sz w:val="22"/>
                <w:szCs w:val="22"/>
                <w:lang w:eastAsia="en-GB"/>
              </w:rPr>
              <w:t>10</w:t>
            </w:r>
            <w:r w:rsidR="00C8648E"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815</w:t>
            </w:r>
          </w:p>
        </w:tc>
      </w:tr>
      <w:tr w:rsidR="009D43C3" w:rsidRPr="000C156A" w14:paraId="0E7E0A36" w14:textId="77777777" w:rsidTr="00C8648E">
        <w:trPr>
          <w:trHeight w:val="253"/>
          <w:jc w:val="center"/>
        </w:trPr>
        <w:tc>
          <w:tcPr>
            <w:tcW w:w="2661" w:type="dxa"/>
            <w:tcBorders>
              <w:top w:val="nil"/>
              <w:left w:val="single" w:sz="4" w:space="0" w:color="auto"/>
              <w:bottom w:val="nil"/>
              <w:right w:val="nil"/>
            </w:tcBorders>
            <w:hideMark/>
          </w:tcPr>
          <w:p w14:paraId="78816AA6" w14:textId="77777777" w:rsidR="009D43C3" w:rsidRPr="000C156A" w:rsidRDefault="009D43C3" w:rsidP="005D02F0">
            <w:pPr>
              <w:pStyle w:val="Tabletext"/>
              <w:spacing w:before="20" w:after="20"/>
              <w:rPr>
                <w:szCs w:val="22"/>
                <w:lang w:val="en-US" w:eastAsia="zh-CN"/>
              </w:rPr>
            </w:pPr>
            <w:r w:rsidRPr="000C156A">
              <w:rPr>
                <w:rFonts w:hint="eastAsia"/>
                <w:bCs/>
                <w:szCs w:val="22"/>
                <w:lang w:val="en-US"/>
              </w:rPr>
              <w:t>增补</w:t>
            </w:r>
          </w:p>
        </w:tc>
        <w:tc>
          <w:tcPr>
            <w:tcW w:w="1704" w:type="dxa"/>
            <w:tcBorders>
              <w:top w:val="nil"/>
              <w:left w:val="single" w:sz="4" w:space="0" w:color="auto"/>
              <w:bottom w:val="nil"/>
              <w:right w:val="single" w:sz="4" w:space="0" w:color="auto"/>
            </w:tcBorders>
            <w:shd w:val="clear" w:color="auto" w:fill="auto"/>
            <w:hideMark/>
          </w:tcPr>
          <w:p w14:paraId="17E557F2" w14:textId="77777777"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p>
        </w:tc>
        <w:tc>
          <w:tcPr>
            <w:tcW w:w="1704" w:type="dxa"/>
            <w:tcBorders>
              <w:top w:val="nil"/>
              <w:left w:val="nil"/>
              <w:bottom w:val="nil"/>
              <w:right w:val="single" w:sz="4" w:space="0" w:color="auto"/>
            </w:tcBorders>
            <w:shd w:val="clear" w:color="auto" w:fill="auto"/>
            <w:noWrap/>
            <w:vAlign w:val="center"/>
            <w:hideMark/>
          </w:tcPr>
          <w:p w14:paraId="546B9948" w14:textId="041118C8"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714</w:t>
            </w:r>
          </w:p>
        </w:tc>
        <w:tc>
          <w:tcPr>
            <w:tcW w:w="1704" w:type="dxa"/>
            <w:tcBorders>
              <w:top w:val="nil"/>
              <w:left w:val="nil"/>
              <w:bottom w:val="nil"/>
              <w:right w:val="single" w:sz="4" w:space="0" w:color="auto"/>
            </w:tcBorders>
            <w:shd w:val="clear" w:color="auto" w:fill="auto"/>
            <w:vAlign w:val="center"/>
          </w:tcPr>
          <w:p w14:paraId="3EE44C1A" w14:textId="1EF06C4D"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238</w:t>
            </w:r>
          </w:p>
        </w:tc>
        <w:tc>
          <w:tcPr>
            <w:tcW w:w="1705" w:type="dxa"/>
            <w:tcBorders>
              <w:top w:val="nil"/>
              <w:left w:val="nil"/>
              <w:bottom w:val="nil"/>
              <w:right w:val="single" w:sz="4" w:space="0" w:color="auto"/>
            </w:tcBorders>
            <w:shd w:val="clear" w:color="auto" w:fill="auto"/>
            <w:noWrap/>
            <w:vAlign w:val="center"/>
            <w:hideMark/>
          </w:tcPr>
          <w:p w14:paraId="57485F54" w14:textId="08778FEE"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952</w:t>
            </w:r>
          </w:p>
        </w:tc>
      </w:tr>
      <w:tr w:rsidR="009D43C3" w:rsidRPr="000C156A" w14:paraId="70201521" w14:textId="77777777" w:rsidTr="00C8648E">
        <w:trPr>
          <w:trHeight w:val="253"/>
          <w:jc w:val="center"/>
        </w:trPr>
        <w:tc>
          <w:tcPr>
            <w:tcW w:w="2661" w:type="dxa"/>
            <w:tcBorders>
              <w:top w:val="nil"/>
              <w:left w:val="single" w:sz="4" w:space="0" w:color="auto"/>
              <w:bottom w:val="nil"/>
              <w:right w:val="nil"/>
            </w:tcBorders>
            <w:hideMark/>
          </w:tcPr>
          <w:p w14:paraId="145A744A" w14:textId="77777777" w:rsidR="009D43C3" w:rsidRPr="000C156A" w:rsidRDefault="009D43C3" w:rsidP="005D02F0">
            <w:pPr>
              <w:pStyle w:val="Tabletext"/>
              <w:spacing w:before="20" w:after="20"/>
              <w:rPr>
                <w:bCs/>
                <w:szCs w:val="22"/>
                <w:lang w:val="en-US"/>
              </w:rPr>
            </w:pPr>
            <w:r w:rsidRPr="000C156A">
              <w:rPr>
                <w:rFonts w:hint="eastAsia"/>
                <w:bCs/>
                <w:szCs w:val="22"/>
                <w:lang w:val="en-US"/>
              </w:rPr>
              <w:t>礼品</w:t>
            </w:r>
          </w:p>
        </w:tc>
        <w:tc>
          <w:tcPr>
            <w:tcW w:w="1704" w:type="dxa"/>
            <w:tcBorders>
              <w:top w:val="nil"/>
              <w:left w:val="single" w:sz="4" w:space="0" w:color="auto"/>
              <w:bottom w:val="nil"/>
              <w:right w:val="single" w:sz="4" w:space="0" w:color="auto"/>
            </w:tcBorders>
            <w:shd w:val="clear" w:color="auto" w:fill="auto"/>
            <w:hideMark/>
          </w:tcPr>
          <w:p w14:paraId="6D2BF6F9" w14:textId="77777777"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p>
        </w:tc>
        <w:tc>
          <w:tcPr>
            <w:tcW w:w="1704" w:type="dxa"/>
            <w:tcBorders>
              <w:top w:val="nil"/>
              <w:left w:val="nil"/>
              <w:bottom w:val="nil"/>
              <w:right w:val="single" w:sz="4" w:space="0" w:color="auto"/>
            </w:tcBorders>
            <w:shd w:val="clear" w:color="auto" w:fill="auto"/>
            <w:noWrap/>
            <w:vAlign w:val="center"/>
            <w:hideMark/>
          </w:tcPr>
          <w:p w14:paraId="4AAEA239" w14:textId="6DD95BA6"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w:t>
            </w:r>
          </w:p>
        </w:tc>
        <w:tc>
          <w:tcPr>
            <w:tcW w:w="1704" w:type="dxa"/>
            <w:tcBorders>
              <w:top w:val="nil"/>
              <w:left w:val="nil"/>
              <w:bottom w:val="nil"/>
              <w:right w:val="single" w:sz="4" w:space="0" w:color="auto"/>
            </w:tcBorders>
            <w:shd w:val="clear" w:color="auto" w:fill="auto"/>
            <w:vAlign w:val="center"/>
          </w:tcPr>
          <w:p w14:paraId="2892309C" w14:textId="469DE65E"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w:t>
            </w:r>
          </w:p>
        </w:tc>
        <w:tc>
          <w:tcPr>
            <w:tcW w:w="1705" w:type="dxa"/>
            <w:tcBorders>
              <w:top w:val="nil"/>
              <w:left w:val="nil"/>
              <w:bottom w:val="nil"/>
              <w:right w:val="single" w:sz="4" w:space="0" w:color="auto"/>
            </w:tcBorders>
            <w:shd w:val="clear" w:color="auto" w:fill="auto"/>
            <w:noWrap/>
            <w:vAlign w:val="center"/>
            <w:hideMark/>
          </w:tcPr>
          <w:p w14:paraId="0B5FAA97" w14:textId="101AFD28"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w:t>
            </w:r>
          </w:p>
        </w:tc>
      </w:tr>
      <w:tr w:rsidR="009D43C3" w:rsidRPr="000C156A" w14:paraId="3FC5C6BF" w14:textId="77777777" w:rsidTr="00C8648E">
        <w:trPr>
          <w:trHeight w:val="253"/>
          <w:jc w:val="center"/>
        </w:trPr>
        <w:tc>
          <w:tcPr>
            <w:tcW w:w="2661" w:type="dxa"/>
            <w:tcBorders>
              <w:top w:val="nil"/>
              <w:left w:val="single" w:sz="4" w:space="0" w:color="auto"/>
              <w:bottom w:val="nil"/>
              <w:right w:val="nil"/>
            </w:tcBorders>
            <w:hideMark/>
          </w:tcPr>
          <w:p w14:paraId="19D78E9F" w14:textId="77777777" w:rsidR="009D43C3" w:rsidRPr="000C156A" w:rsidRDefault="009D43C3" w:rsidP="005D02F0">
            <w:pPr>
              <w:pStyle w:val="Tabletext"/>
              <w:spacing w:before="20" w:after="20"/>
              <w:rPr>
                <w:bCs/>
                <w:szCs w:val="22"/>
                <w:lang w:val="en-US"/>
              </w:rPr>
            </w:pPr>
            <w:r w:rsidRPr="000C156A">
              <w:rPr>
                <w:rFonts w:hint="eastAsia"/>
                <w:bCs/>
                <w:szCs w:val="22"/>
                <w:lang w:val="en-US"/>
              </w:rPr>
              <w:t>处置</w:t>
            </w:r>
          </w:p>
        </w:tc>
        <w:tc>
          <w:tcPr>
            <w:tcW w:w="1704" w:type="dxa"/>
            <w:tcBorders>
              <w:top w:val="nil"/>
              <w:left w:val="single" w:sz="4" w:space="0" w:color="auto"/>
              <w:bottom w:val="nil"/>
              <w:right w:val="single" w:sz="4" w:space="0" w:color="auto"/>
            </w:tcBorders>
            <w:shd w:val="clear" w:color="auto" w:fill="auto"/>
            <w:hideMark/>
          </w:tcPr>
          <w:p w14:paraId="7D873882" w14:textId="77777777"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p>
        </w:tc>
        <w:tc>
          <w:tcPr>
            <w:tcW w:w="1704" w:type="dxa"/>
            <w:tcBorders>
              <w:top w:val="nil"/>
              <w:left w:val="nil"/>
              <w:bottom w:val="nil"/>
              <w:right w:val="single" w:sz="4" w:space="0" w:color="auto"/>
            </w:tcBorders>
            <w:shd w:val="clear" w:color="auto" w:fill="auto"/>
            <w:noWrap/>
            <w:vAlign w:val="center"/>
            <w:hideMark/>
          </w:tcPr>
          <w:p w14:paraId="478FCFC2" w14:textId="766EAA4A"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-443</w:t>
            </w:r>
          </w:p>
        </w:tc>
        <w:tc>
          <w:tcPr>
            <w:tcW w:w="1704" w:type="dxa"/>
            <w:tcBorders>
              <w:top w:val="nil"/>
              <w:left w:val="nil"/>
              <w:bottom w:val="nil"/>
              <w:right w:val="single" w:sz="4" w:space="0" w:color="auto"/>
            </w:tcBorders>
            <w:shd w:val="clear" w:color="auto" w:fill="auto"/>
            <w:vAlign w:val="center"/>
          </w:tcPr>
          <w:p w14:paraId="73221B1E" w14:textId="0E87D305"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-98</w:t>
            </w:r>
          </w:p>
        </w:tc>
        <w:tc>
          <w:tcPr>
            <w:tcW w:w="1705" w:type="dxa"/>
            <w:tcBorders>
              <w:top w:val="nil"/>
              <w:left w:val="nil"/>
              <w:bottom w:val="nil"/>
              <w:right w:val="single" w:sz="4" w:space="0" w:color="auto"/>
            </w:tcBorders>
            <w:shd w:val="clear" w:color="auto" w:fill="auto"/>
            <w:noWrap/>
            <w:vAlign w:val="center"/>
            <w:hideMark/>
          </w:tcPr>
          <w:p w14:paraId="7E773F56" w14:textId="0BB71D4B"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-682</w:t>
            </w:r>
          </w:p>
        </w:tc>
      </w:tr>
      <w:tr w:rsidR="009D43C3" w:rsidRPr="000C156A" w14:paraId="2B9C96AA" w14:textId="77777777" w:rsidTr="00C8648E">
        <w:trPr>
          <w:trHeight w:val="253"/>
          <w:jc w:val="center"/>
        </w:trPr>
        <w:tc>
          <w:tcPr>
            <w:tcW w:w="2661" w:type="dxa"/>
            <w:tcBorders>
              <w:top w:val="nil"/>
              <w:left w:val="single" w:sz="4" w:space="0" w:color="auto"/>
              <w:bottom w:val="nil"/>
              <w:right w:val="nil"/>
            </w:tcBorders>
            <w:hideMark/>
          </w:tcPr>
          <w:p w14:paraId="216654A5" w14:textId="77777777" w:rsidR="009D43C3" w:rsidRPr="000C156A" w:rsidRDefault="009D43C3" w:rsidP="005D02F0">
            <w:pPr>
              <w:pStyle w:val="Tabletext"/>
              <w:spacing w:before="20" w:after="20"/>
              <w:rPr>
                <w:szCs w:val="22"/>
                <w:lang w:val="en-US" w:eastAsia="zh-CN"/>
              </w:rPr>
            </w:pPr>
            <w:r w:rsidRPr="000C156A">
              <w:rPr>
                <w:rFonts w:hint="eastAsia"/>
                <w:szCs w:val="22"/>
                <w:lang w:val="en-US" w:eastAsia="zh-CN"/>
              </w:rPr>
              <w:t>减值损失</w:t>
            </w:r>
          </w:p>
        </w:tc>
        <w:tc>
          <w:tcPr>
            <w:tcW w:w="1704" w:type="dxa"/>
            <w:tcBorders>
              <w:top w:val="nil"/>
              <w:left w:val="single" w:sz="4" w:space="0" w:color="auto"/>
              <w:bottom w:val="nil"/>
              <w:right w:val="single" w:sz="4" w:space="0" w:color="auto"/>
            </w:tcBorders>
            <w:shd w:val="clear" w:color="auto" w:fill="auto"/>
            <w:hideMark/>
          </w:tcPr>
          <w:p w14:paraId="6DCA0DD0" w14:textId="77777777"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-140</w:t>
            </w:r>
          </w:p>
        </w:tc>
        <w:tc>
          <w:tcPr>
            <w:tcW w:w="1704" w:type="dxa"/>
            <w:tcBorders>
              <w:top w:val="nil"/>
              <w:left w:val="nil"/>
              <w:bottom w:val="nil"/>
              <w:right w:val="single" w:sz="4" w:space="0" w:color="auto"/>
            </w:tcBorders>
            <w:shd w:val="clear" w:color="auto" w:fill="auto"/>
            <w:noWrap/>
            <w:vAlign w:val="center"/>
            <w:hideMark/>
          </w:tcPr>
          <w:p w14:paraId="7B80D686" w14:textId="0AEB7BC0"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w:t>
            </w:r>
          </w:p>
        </w:tc>
        <w:tc>
          <w:tcPr>
            <w:tcW w:w="1704" w:type="dxa"/>
            <w:tcBorders>
              <w:top w:val="nil"/>
              <w:left w:val="nil"/>
              <w:bottom w:val="nil"/>
              <w:right w:val="single" w:sz="4" w:space="0" w:color="auto"/>
            </w:tcBorders>
            <w:shd w:val="clear" w:color="auto" w:fill="auto"/>
            <w:vAlign w:val="center"/>
          </w:tcPr>
          <w:p w14:paraId="18B2DD86" w14:textId="06F71C64"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w:t>
            </w:r>
          </w:p>
        </w:tc>
        <w:tc>
          <w:tcPr>
            <w:tcW w:w="1705" w:type="dxa"/>
            <w:tcBorders>
              <w:top w:val="nil"/>
              <w:left w:val="nil"/>
              <w:bottom w:val="nil"/>
              <w:right w:val="single" w:sz="4" w:space="0" w:color="auto"/>
            </w:tcBorders>
            <w:shd w:val="clear" w:color="auto" w:fill="auto"/>
            <w:noWrap/>
            <w:vAlign w:val="center"/>
            <w:hideMark/>
          </w:tcPr>
          <w:p w14:paraId="20E9277C" w14:textId="5108DF2D"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w:t>
            </w:r>
          </w:p>
        </w:tc>
      </w:tr>
      <w:tr w:rsidR="009D43C3" w:rsidRPr="000C156A" w14:paraId="43E28289" w14:textId="77777777" w:rsidTr="00C8648E">
        <w:trPr>
          <w:trHeight w:val="253"/>
          <w:jc w:val="center"/>
        </w:trPr>
        <w:tc>
          <w:tcPr>
            <w:tcW w:w="2661" w:type="dxa"/>
            <w:tcBorders>
              <w:top w:val="nil"/>
              <w:left w:val="single" w:sz="4" w:space="0" w:color="auto"/>
              <w:bottom w:val="nil"/>
              <w:right w:val="nil"/>
            </w:tcBorders>
            <w:hideMark/>
          </w:tcPr>
          <w:p w14:paraId="314CD0B3" w14:textId="77777777" w:rsidR="009D43C3" w:rsidRPr="000C156A" w:rsidRDefault="009D43C3" w:rsidP="005D02F0">
            <w:pPr>
              <w:pStyle w:val="Tabletext"/>
              <w:spacing w:before="20" w:after="20"/>
              <w:rPr>
                <w:szCs w:val="22"/>
                <w:lang w:val="en-US" w:eastAsia="zh-CN"/>
              </w:rPr>
            </w:pPr>
            <w:r w:rsidRPr="000C156A">
              <w:rPr>
                <w:rFonts w:hint="eastAsia"/>
                <w:bCs/>
                <w:szCs w:val="22"/>
                <w:lang w:val="en-US"/>
              </w:rPr>
              <w:t>重新分类与校正</w:t>
            </w:r>
          </w:p>
        </w:tc>
        <w:tc>
          <w:tcPr>
            <w:tcW w:w="1704" w:type="dxa"/>
            <w:tcBorders>
              <w:top w:val="nil"/>
              <w:left w:val="single" w:sz="4" w:space="0" w:color="auto"/>
              <w:bottom w:val="nil"/>
              <w:right w:val="single" w:sz="4" w:space="0" w:color="auto"/>
            </w:tcBorders>
            <w:shd w:val="clear" w:color="auto" w:fill="auto"/>
            <w:hideMark/>
          </w:tcPr>
          <w:p w14:paraId="6AEF2DCE" w14:textId="77777777"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p>
        </w:tc>
        <w:tc>
          <w:tcPr>
            <w:tcW w:w="1704" w:type="dxa"/>
            <w:tcBorders>
              <w:top w:val="nil"/>
              <w:left w:val="nil"/>
              <w:bottom w:val="nil"/>
              <w:right w:val="single" w:sz="4" w:space="0" w:color="auto"/>
            </w:tcBorders>
            <w:shd w:val="clear" w:color="auto" w:fill="auto"/>
            <w:noWrap/>
            <w:vAlign w:val="center"/>
            <w:hideMark/>
          </w:tcPr>
          <w:p w14:paraId="74BD1C50" w14:textId="5C6699B0"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8</w:t>
            </w:r>
          </w:p>
        </w:tc>
        <w:tc>
          <w:tcPr>
            <w:tcW w:w="1704" w:type="dxa"/>
            <w:tcBorders>
              <w:top w:val="nil"/>
              <w:left w:val="nil"/>
              <w:bottom w:val="nil"/>
              <w:right w:val="single" w:sz="4" w:space="0" w:color="auto"/>
            </w:tcBorders>
            <w:shd w:val="clear" w:color="auto" w:fill="auto"/>
            <w:vAlign w:val="center"/>
          </w:tcPr>
          <w:p w14:paraId="15F4193C" w14:textId="6722D4B2"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2</w:t>
            </w:r>
          </w:p>
        </w:tc>
        <w:tc>
          <w:tcPr>
            <w:tcW w:w="1705" w:type="dxa"/>
            <w:tcBorders>
              <w:top w:val="nil"/>
              <w:left w:val="nil"/>
              <w:bottom w:val="nil"/>
              <w:right w:val="single" w:sz="4" w:space="0" w:color="auto"/>
            </w:tcBorders>
            <w:shd w:val="clear" w:color="auto" w:fill="auto"/>
            <w:noWrap/>
            <w:vAlign w:val="center"/>
            <w:hideMark/>
          </w:tcPr>
          <w:p w14:paraId="5078C320" w14:textId="3E468FC0"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10</w:t>
            </w:r>
          </w:p>
        </w:tc>
      </w:tr>
      <w:tr w:rsidR="009D43C3" w:rsidRPr="000C156A" w14:paraId="2FBC1645" w14:textId="77777777" w:rsidTr="00C8648E">
        <w:trPr>
          <w:trHeight w:val="253"/>
          <w:jc w:val="center"/>
        </w:trPr>
        <w:tc>
          <w:tcPr>
            <w:tcW w:w="2661" w:type="dxa"/>
            <w:tcBorders>
              <w:top w:val="single" w:sz="4" w:space="0" w:color="auto"/>
              <w:left w:val="single" w:sz="4" w:space="0" w:color="auto"/>
              <w:bottom w:val="single" w:sz="4" w:space="0" w:color="auto"/>
              <w:right w:val="nil"/>
            </w:tcBorders>
            <w:hideMark/>
          </w:tcPr>
          <w:p w14:paraId="63B6886D" w14:textId="77777777" w:rsidR="009D43C3" w:rsidRPr="000C156A" w:rsidRDefault="009D43C3" w:rsidP="005D02F0">
            <w:pPr>
              <w:pStyle w:val="Tabletext"/>
              <w:spacing w:before="20" w:after="20"/>
              <w:rPr>
                <w:b/>
                <w:bCs/>
                <w:szCs w:val="22"/>
                <w:lang w:val="en-US" w:eastAsia="fr-FR"/>
              </w:rPr>
            </w:pPr>
            <w:r w:rsidRPr="000C156A">
              <w:rPr>
                <w:b/>
                <w:bCs/>
                <w:szCs w:val="22"/>
                <w:lang w:val="en-US" w:eastAsia="fr-FR"/>
              </w:rPr>
              <w:t>12</w:t>
            </w:r>
            <w:r w:rsidRPr="000C156A">
              <w:rPr>
                <w:rFonts w:hint="eastAsia"/>
                <w:b/>
                <w:bCs/>
                <w:szCs w:val="22"/>
                <w:lang w:val="en-US" w:eastAsia="fr-FR"/>
              </w:rPr>
              <w:t>月</w:t>
            </w:r>
            <w:r w:rsidRPr="000C156A">
              <w:rPr>
                <w:b/>
                <w:bCs/>
                <w:szCs w:val="22"/>
                <w:lang w:val="en-US" w:eastAsia="fr-FR"/>
              </w:rPr>
              <w:t>31</w:t>
            </w:r>
            <w:r w:rsidRPr="000C156A">
              <w:rPr>
                <w:rFonts w:hint="eastAsia"/>
                <w:b/>
                <w:bCs/>
                <w:szCs w:val="22"/>
                <w:lang w:val="en-US"/>
              </w:rPr>
              <w:t>日时的成本</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CA273" w14:textId="416EAC63"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asciiTheme="minorHAnsi" w:hAnsiTheme="minorHAnsi" w:cstheme="minorHAnsi"/>
                <w:b/>
                <w:bCs/>
                <w:color w:val="000000"/>
                <w:sz w:val="22"/>
                <w:szCs w:val="22"/>
                <w:lang w:eastAsia="en-GB"/>
              </w:rPr>
              <w:t>3</w:t>
            </w:r>
            <w:r w:rsidR="00C8648E"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211</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50110259" w14:textId="62BA34CC"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asciiTheme="minorHAnsi" w:hAnsiTheme="minorHAnsi" w:cstheme="minorHAnsi"/>
                <w:b/>
                <w:bCs/>
                <w:color w:val="000000"/>
                <w:sz w:val="22"/>
                <w:szCs w:val="22"/>
                <w:lang w:eastAsia="en-GB"/>
              </w:rPr>
              <w:t>7</w:t>
            </w:r>
            <w:r w:rsidR="00C8648E"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025</w:t>
            </w:r>
          </w:p>
        </w:tc>
        <w:tc>
          <w:tcPr>
            <w:tcW w:w="1704" w:type="dxa"/>
            <w:tcBorders>
              <w:top w:val="single" w:sz="4" w:space="0" w:color="auto"/>
              <w:left w:val="nil"/>
              <w:bottom w:val="single" w:sz="4" w:space="0" w:color="auto"/>
              <w:right w:val="single" w:sz="4" w:space="0" w:color="auto"/>
            </w:tcBorders>
            <w:shd w:val="clear" w:color="auto" w:fill="auto"/>
            <w:vAlign w:val="center"/>
          </w:tcPr>
          <w:p w14:paraId="3793F1D1" w14:textId="44F3A650"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asciiTheme="minorHAnsi" w:hAnsiTheme="minorHAnsi" w:cstheme="minorHAnsi"/>
                <w:b/>
                <w:bCs/>
                <w:color w:val="000000"/>
                <w:sz w:val="22"/>
                <w:szCs w:val="22"/>
                <w:lang w:eastAsia="en-GB"/>
              </w:rPr>
              <w:t>859</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41B09E77" w14:textId="33A342FF"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asciiTheme="minorHAnsi" w:hAnsiTheme="minorHAnsi" w:cstheme="minorHAnsi"/>
                <w:b/>
                <w:bCs/>
                <w:color w:val="000000"/>
                <w:sz w:val="22"/>
                <w:szCs w:val="22"/>
                <w:lang w:eastAsia="en-GB"/>
              </w:rPr>
              <w:t>11</w:t>
            </w:r>
            <w:r w:rsidR="00C8648E"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095</w:t>
            </w:r>
          </w:p>
        </w:tc>
      </w:tr>
      <w:tr w:rsidR="009D43C3" w:rsidRPr="000C156A" w14:paraId="21F5B97A" w14:textId="77777777" w:rsidTr="00C8648E">
        <w:trPr>
          <w:trHeight w:val="253"/>
          <w:jc w:val="center"/>
        </w:trPr>
        <w:tc>
          <w:tcPr>
            <w:tcW w:w="2661" w:type="dxa"/>
            <w:tcBorders>
              <w:top w:val="nil"/>
              <w:left w:val="single" w:sz="4" w:space="0" w:color="auto"/>
              <w:bottom w:val="single" w:sz="4" w:space="0" w:color="auto"/>
              <w:right w:val="nil"/>
            </w:tcBorders>
            <w:hideMark/>
          </w:tcPr>
          <w:p w14:paraId="5DAF2324" w14:textId="77777777" w:rsidR="009D43C3" w:rsidRPr="000C156A" w:rsidRDefault="009D43C3" w:rsidP="005D02F0">
            <w:pPr>
              <w:pStyle w:val="Tabletext"/>
              <w:spacing w:before="20" w:after="20"/>
              <w:rPr>
                <w:b/>
                <w:bCs/>
                <w:szCs w:val="22"/>
                <w:lang w:val="en-US" w:eastAsia="fr-FR"/>
              </w:rPr>
            </w:pPr>
            <w:r w:rsidRPr="000C156A">
              <w:rPr>
                <w:b/>
                <w:bCs/>
                <w:szCs w:val="22"/>
                <w:lang w:val="en-US" w:eastAsia="fr-FR"/>
              </w:rPr>
              <w:t>1</w:t>
            </w:r>
            <w:r w:rsidRPr="000C156A">
              <w:rPr>
                <w:rFonts w:hint="eastAsia"/>
                <w:b/>
                <w:bCs/>
                <w:szCs w:val="22"/>
                <w:lang w:val="en-US" w:eastAsia="fr-FR"/>
              </w:rPr>
              <w:t>月</w:t>
            </w:r>
            <w:r w:rsidRPr="000C156A">
              <w:rPr>
                <w:b/>
                <w:bCs/>
                <w:szCs w:val="22"/>
                <w:lang w:val="en-US" w:eastAsia="fr-FR"/>
              </w:rPr>
              <w:t>1</w:t>
            </w:r>
            <w:r w:rsidRPr="000C156A">
              <w:rPr>
                <w:rFonts w:hint="eastAsia"/>
                <w:b/>
                <w:bCs/>
                <w:szCs w:val="22"/>
                <w:lang w:val="en-US"/>
              </w:rPr>
              <w:t>日时的折旧</w:t>
            </w:r>
          </w:p>
        </w:tc>
        <w:tc>
          <w:tcPr>
            <w:tcW w:w="1704" w:type="dxa"/>
            <w:tcBorders>
              <w:top w:val="nil"/>
              <w:left w:val="single" w:sz="4" w:space="0" w:color="auto"/>
              <w:bottom w:val="single" w:sz="4" w:space="0" w:color="auto"/>
              <w:right w:val="single" w:sz="4" w:space="0" w:color="auto"/>
            </w:tcBorders>
            <w:shd w:val="clear" w:color="auto" w:fill="auto"/>
            <w:vAlign w:val="center"/>
            <w:hideMark/>
          </w:tcPr>
          <w:p w14:paraId="22E40042" w14:textId="10FAC67A"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asciiTheme="minorHAnsi" w:hAnsiTheme="minorHAnsi" w:cstheme="minorHAnsi"/>
                <w:b/>
                <w:bCs/>
                <w:color w:val="000000"/>
                <w:sz w:val="22"/>
                <w:szCs w:val="22"/>
                <w:lang w:eastAsia="en-GB"/>
              </w:rPr>
              <w:t>2</w:t>
            </w:r>
            <w:r w:rsidR="00C8648E"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195</w:t>
            </w:r>
          </w:p>
        </w:tc>
        <w:tc>
          <w:tcPr>
            <w:tcW w:w="1704" w:type="dxa"/>
            <w:tcBorders>
              <w:top w:val="nil"/>
              <w:left w:val="nil"/>
              <w:bottom w:val="single" w:sz="4" w:space="0" w:color="auto"/>
              <w:right w:val="single" w:sz="4" w:space="0" w:color="auto"/>
            </w:tcBorders>
            <w:shd w:val="clear" w:color="auto" w:fill="auto"/>
            <w:noWrap/>
            <w:vAlign w:val="center"/>
            <w:hideMark/>
          </w:tcPr>
          <w:p w14:paraId="1FEAB833" w14:textId="2B8E0CB2"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asciiTheme="minorHAnsi" w:hAnsiTheme="minorHAnsi" w:cstheme="minorHAnsi"/>
                <w:b/>
                <w:bCs/>
                <w:color w:val="000000"/>
                <w:sz w:val="22"/>
                <w:szCs w:val="22"/>
                <w:lang w:eastAsia="en-GB"/>
              </w:rPr>
              <w:t>6</w:t>
            </w:r>
            <w:r w:rsidR="00C8648E"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016</w:t>
            </w:r>
          </w:p>
        </w:tc>
        <w:tc>
          <w:tcPr>
            <w:tcW w:w="1704" w:type="dxa"/>
            <w:tcBorders>
              <w:top w:val="nil"/>
              <w:left w:val="nil"/>
              <w:bottom w:val="single" w:sz="4" w:space="0" w:color="auto"/>
              <w:right w:val="single" w:sz="4" w:space="0" w:color="auto"/>
            </w:tcBorders>
            <w:shd w:val="clear" w:color="auto" w:fill="auto"/>
            <w:vAlign w:val="center"/>
          </w:tcPr>
          <w:p w14:paraId="0AA9364D" w14:textId="2A40A19C"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asciiTheme="minorHAnsi" w:hAnsiTheme="minorHAnsi" w:cstheme="minorHAnsi"/>
                <w:b/>
                <w:bCs/>
                <w:color w:val="000000"/>
                <w:sz w:val="22"/>
                <w:szCs w:val="22"/>
                <w:lang w:eastAsia="en-GB"/>
              </w:rPr>
              <w:t>718</w:t>
            </w:r>
          </w:p>
        </w:tc>
        <w:tc>
          <w:tcPr>
            <w:tcW w:w="1705" w:type="dxa"/>
            <w:tcBorders>
              <w:top w:val="nil"/>
              <w:left w:val="nil"/>
              <w:bottom w:val="single" w:sz="4" w:space="0" w:color="auto"/>
              <w:right w:val="single" w:sz="4" w:space="0" w:color="auto"/>
            </w:tcBorders>
            <w:shd w:val="clear" w:color="auto" w:fill="auto"/>
            <w:noWrap/>
            <w:vAlign w:val="center"/>
            <w:hideMark/>
          </w:tcPr>
          <w:p w14:paraId="1894DD2D" w14:textId="233474F3"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asciiTheme="minorHAnsi" w:hAnsiTheme="minorHAnsi" w:cstheme="minorHAnsi"/>
                <w:b/>
                <w:bCs/>
                <w:color w:val="000000"/>
                <w:sz w:val="22"/>
                <w:szCs w:val="22"/>
                <w:lang w:eastAsia="en-GB"/>
              </w:rPr>
              <w:t>8</w:t>
            </w:r>
            <w:r w:rsidR="00C8648E"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929</w:t>
            </w:r>
          </w:p>
        </w:tc>
      </w:tr>
      <w:tr w:rsidR="009D43C3" w:rsidRPr="000C156A" w14:paraId="34138446" w14:textId="77777777" w:rsidTr="00C8648E">
        <w:trPr>
          <w:trHeight w:val="253"/>
          <w:jc w:val="center"/>
        </w:trPr>
        <w:tc>
          <w:tcPr>
            <w:tcW w:w="2661" w:type="dxa"/>
            <w:tcBorders>
              <w:top w:val="nil"/>
              <w:left w:val="single" w:sz="4" w:space="0" w:color="auto"/>
              <w:bottom w:val="nil"/>
              <w:right w:val="nil"/>
            </w:tcBorders>
            <w:hideMark/>
          </w:tcPr>
          <w:p w14:paraId="6AD944A6" w14:textId="77777777" w:rsidR="009D43C3" w:rsidRPr="000C156A" w:rsidRDefault="009D43C3" w:rsidP="005D02F0">
            <w:pPr>
              <w:pStyle w:val="Tabletext"/>
              <w:spacing w:before="20" w:after="20"/>
              <w:rPr>
                <w:szCs w:val="22"/>
                <w:lang w:val="en-US" w:eastAsia="fr-FR"/>
              </w:rPr>
            </w:pPr>
            <w:r w:rsidRPr="000C156A">
              <w:rPr>
                <w:rFonts w:hint="eastAsia"/>
                <w:bCs/>
                <w:szCs w:val="22"/>
                <w:lang w:val="en-US"/>
              </w:rPr>
              <w:t>年度期间得到确认</w:t>
            </w:r>
          </w:p>
        </w:tc>
        <w:tc>
          <w:tcPr>
            <w:tcW w:w="1704" w:type="dxa"/>
            <w:tcBorders>
              <w:top w:val="nil"/>
              <w:left w:val="single" w:sz="4" w:space="0" w:color="auto"/>
              <w:bottom w:val="nil"/>
              <w:right w:val="single" w:sz="4" w:space="0" w:color="auto"/>
            </w:tcBorders>
            <w:shd w:val="clear" w:color="auto" w:fill="auto"/>
            <w:vAlign w:val="center"/>
            <w:hideMark/>
          </w:tcPr>
          <w:p w14:paraId="2C2B9183" w14:textId="77777777"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535</w:t>
            </w:r>
          </w:p>
        </w:tc>
        <w:tc>
          <w:tcPr>
            <w:tcW w:w="1704" w:type="dxa"/>
            <w:tcBorders>
              <w:top w:val="nil"/>
              <w:left w:val="nil"/>
              <w:bottom w:val="nil"/>
              <w:right w:val="single" w:sz="4" w:space="0" w:color="auto"/>
            </w:tcBorders>
            <w:shd w:val="clear" w:color="auto" w:fill="auto"/>
            <w:noWrap/>
            <w:vAlign w:val="center"/>
            <w:hideMark/>
          </w:tcPr>
          <w:p w14:paraId="1E7A1626" w14:textId="57A6CF1C"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529</w:t>
            </w:r>
          </w:p>
        </w:tc>
        <w:tc>
          <w:tcPr>
            <w:tcW w:w="1704" w:type="dxa"/>
            <w:tcBorders>
              <w:top w:val="nil"/>
              <w:left w:val="nil"/>
              <w:bottom w:val="nil"/>
              <w:right w:val="single" w:sz="4" w:space="0" w:color="auto"/>
            </w:tcBorders>
            <w:shd w:val="clear" w:color="auto" w:fill="auto"/>
            <w:vAlign w:val="center"/>
          </w:tcPr>
          <w:p w14:paraId="4CB07530" w14:textId="35644980"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240</w:t>
            </w:r>
          </w:p>
        </w:tc>
        <w:tc>
          <w:tcPr>
            <w:tcW w:w="1705" w:type="dxa"/>
            <w:tcBorders>
              <w:top w:val="nil"/>
              <w:left w:val="nil"/>
              <w:bottom w:val="nil"/>
              <w:right w:val="single" w:sz="4" w:space="0" w:color="auto"/>
            </w:tcBorders>
            <w:shd w:val="clear" w:color="auto" w:fill="auto"/>
            <w:noWrap/>
            <w:vAlign w:val="center"/>
            <w:hideMark/>
          </w:tcPr>
          <w:p w14:paraId="288C93EC" w14:textId="50710D4B"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1</w:t>
            </w:r>
            <w:r w:rsidR="00C8648E" w:rsidRPr="000C156A">
              <w:rPr>
                <w:rFonts w:asciiTheme="minorHAnsi" w:hAnsiTheme="minorHAnsi" w:cstheme="minorHAnsi"/>
                <w:color w:val="000000"/>
                <w:sz w:val="22"/>
                <w:szCs w:val="22"/>
                <w:lang w:eastAsia="en-GB"/>
              </w:rPr>
              <w:t xml:space="preserve"> </w:t>
            </w:r>
            <w:r w:rsidRPr="000C156A">
              <w:rPr>
                <w:rFonts w:asciiTheme="minorHAnsi" w:hAnsiTheme="minorHAnsi" w:cstheme="minorHAnsi"/>
                <w:color w:val="000000"/>
                <w:sz w:val="22"/>
                <w:szCs w:val="22"/>
                <w:lang w:eastAsia="en-GB"/>
              </w:rPr>
              <w:t>303</w:t>
            </w:r>
          </w:p>
        </w:tc>
      </w:tr>
      <w:tr w:rsidR="009D43C3" w:rsidRPr="000C156A" w14:paraId="7E191ECA" w14:textId="77777777" w:rsidTr="00C8648E">
        <w:trPr>
          <w:trHeight w:val="253"/>
          <w:jc w:val="center"/>
        </w:trPr>
        <w:tc>
          <w:tcPr>
            <w:tcW w:w="2661" w:type="dxa"/>
            <w:tcBorders>
              <w:top w:val="nil"/>
              <w:left w:val="single" w:sz="4" w:space="0" w:color="auto"/>
              <w:bottom w:val="nil"/>
              <w:right w:val="nil"/>
            </w:tcBorders>
            <w:hideMark/>
          </w:tcPr>
          <w:p w14:paraId="6BC64C77" w14:textId="77777777" w:rsidR="009D43C3" w:rsidRPr="000C156A" w:rsidRDefault="009D43C3" w:rsidP="005D02F0">
            <w:pPr>
              <w:pStyle w:val="Tabletext"/>
              <w:spacing w:before="20" w:after="20"/>
              <w:rPr>
                <w:bCs/>
                <w:szCs w:val="22"/>
                <w:lang w:val="en-US"/>
              </w:rPr>
            </w:pPr>
            <w:r w:rsidRPr="000C156A">
              <w:rPr>
                <w:rFonts w:hint="eastAsia"/>
                <w:bCs/>
                <w:szCs w:val="22"/>
                <w:lang w:val="en-US"/>
              </w:rPr>
              <w:t>处置</w:t>
            </w:r>
          </w:p>
        </w:tc>
        <w:tc>
          <w:tcPr>
            <w:tcW w:w="1704" w:type="dxa"/>
            <w:tcBorders>
              <w:top w:val="nil"/>
              <w:left w:val="single" w:sz="4" w:space="0" w:color="auto"/>
              <w:bottom w:val="nil"/>
              <w:right w:val="single" w:sz="4" w:space="0" w:color="auto"/>
            </w:tcBorders>
            <w:shd w:val="clear" w:color="auto" w:fill="auto"/>
            <w:vAlign w:val="center"/>
            <w:hideMark/>
          </w:tcPr>
          <w:p w14:paraId="317065AC" w14:textId="77777777"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-140</w:t>
            </w:r>
          </w:p>
        </w:tc>
        <w:tc>
          <w:tcPr>
            <w:tcW w:w="1704" w:type="dxa"/>
            <w:tcBorders>
              <w:top w:val="nil"/>
              <w:left w:val="nil"/>
              <w:bottom w:val="nil"/>
              <w:right w:val="single" w:sz="4" w:space="0" w:color="auto"/>
            </w:tcBorders>
            <w:shd w:val="clear" w:color="auto" w:fill="auto"/>
            <w:noWrap/>
            <w:vAlign w:val="center"/>
            <w:hideMark/>
          </w:tcPr>
          <w:p w14:paraId="3FF93573" w14:textId="77777777"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-341</w:t>
            </w:r>
          </w:p>
        </w:tc>
        <w:tc>
          <w:tcPr>
            <w:tcW w:w="1704" w:type="dxa"/>
            <w:tcBorders>
              <w:top w:val="nil"/>
              <w:left w:val="nil"/>
              <w:bottom w:val="nil"/>
              <w:right w:val="single" w:sz="4" w:space="0" w:color="auto"/>
            </w:tcBorders>
            <w:shd w:val="clear" w:color="auto" w:fill="auto"/>
            <w:vAlign w:val="center"/>
          </w:tcPr>
          <w:p w14:paraId="56845EEF" w14:textId="77777777"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-98</w:t>
            </w:r>
          </w:p>
        </w:tc>
        <w:tc>
          <w:tcPr>
            <w:tcW w:w="1705" w:type="dxa"/>
            <w:tcBorders>
              <w:top w:val="nil"/>
              <w:left w:val="nil"/>
              <w:bottom w:val="nil"/>
              <w:right w:val="single" w:sz="4" w:space="0" w:color="auto"/>
            </w:tcBorders>
            <w:shd w:val="clear" w:color="auto" w:fill="auto"/>
            <w:noWrap/>
            <w:vAlign w:val="center"/>
            <w:hideMark/>
          </w:tcPr>
          <w:p w14:paraId="2F3ACEB7" w14:textId="77777777"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-580</w:t>
            </w:r>
          </w:p>
        </w:tc>
      </w:tr>
      <w:tr w:rsidR="009D43C3" w:rsidRPr="000C156A" w14:paraId="563108B8" w14:textId="77777777" w:rsidTr="00C8648E">
        <w:trPr>
          <w:trHeight w:val="253"/>
          <w:jc w:val="center"/>
        </w:trPr>
        <w:tc>
          <w:tcPr>
            <w:tcW w:w="2661" w:type="dxa"/>
            <w:tcBorders>
              <w:top w:val="nil"/>
              <w:left w:val="single" w:sz="4" w:space="0" w:color="auto"/>
              <w:bottom w:val="nil"/>
              <w:right w:val="nil"/>
            </w:tcBorders>
            <w:hideMark/>
          </w:tcPr>
          <w:p w14:paraId="24BF2332" w14:textId="77777777" w:rsidR="009D43C3" w:rsidRPr="000C156A" w:rsidRDefault="009D43C3" w:rsidP="005D02F0">
            <w:pPr>
              <w:pStyle w:val="Tabletext"/>
              <w:spacing w:before="20" w:after="20"/>
              <w:rPr>
                <w:bCs/>
                <w:szCs w:val="22"/>
                <w:lang w:val="en-US"/>
              </w:rPr>
            </w:pPr>
            <w:r w:rsidRPr="000C156A">
              <w:rPr>
                <w:rFonts w:hint="eastAsia"/>
                <w:bCs/>
                <w:szCs w:val="22"/>
                <w:lang w:val="en-US"/>
              </w:rPr>
              <w:t>减值损失</w:t>
            </w:r>
          </w:p>
        </w:tc>
        <w:tc>
          <w:tcPr>
            <w:tcW w:w="1704" w:type="dxa"/>
            <w:tcBorders>
              <w:top w:val="nil"/>
              <w:left w:val="single" w:sz="4" w:space="0" w:color="auto"/>
              <w:bottom w:val="nil"/>
              <w:right w:val="single" w:sz="4" w:space="0" w:color="auto"/>
            </w:tcBorders>
            <w:shd w:val="clear" w:color="auto" w:fill="auto"/>
            <w:vAlign w:val="center"/>
            <w:hideMark/>
          </w:tcPr>
          <w:p w14:paraId="53B5F9B9" w14:textId="24CE25ED"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w:t>
            </w:r>
          </w:p>
        </w:tc>
        <w:tc>
          <w:tcPr>
            <w:tcW w:w="1704" w:type="dxa"/>
            <w:tcBorders>
              <w:top w:val="nil"/>
              <w:left w:val="nil"/>
              <w:bottom w:val="nil"/>
              <w:right w:val="single" w:sz="4" w:space="0" w:color="auto"/>
            </w:tcBorders>
            <w:shd w:val="clear" w:color="auto" w:fill="auto"/>
            <w:noWrap/>
            <w:vAlign w:val="center"/>
            <w:hideMark/>
          </w:tcPr>
          <w:p w14:paraId="073A0FC4" w14:textId="1391AB0D"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w:t>
            </w:r>
          </w:p>
        </w:tc>
        <w:tc>
          <w:tcPr>
            <w:tcW w:w="1704" w:type="dxa"/>
            <w:tcBorders>
              <w:top w:val="nil"/>
              <w:left w:val="nil"/>
              <w:bottom w:val="nil"/>
              <w:right w:val="single" w:sz="4" w:space="0" w:color="auto"/>
            </w:tcBorders>
            <w:shd w:val="clear" w:color="auto" w:fill="auto"/>
            <w:vAlign w:val="center"/>
          </w:tcPr>
          <w:p w14:paraId="597B98B6" w14:textId="565BBCCE"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w:t>
            </w:r>
          </w:p>
        </w:tc>
        <w:tc>
          <w:tcPr>
            <w:tcW w:w="1705" w:type="dxa"/>
            <w:tcBorders>
              <w:top w:val="nil"/>
              <w:left w:val="nil"/>
              <w:bottom w:val="nil"/>
              <w:right w:val="single" w:sz="4" w:space="0" w:color="auto"/>
            </w:tcBorders>
            <w:shd w:val="clear" w:color="auto" w:fill="auto"/>
            <w:noWrap/>
            <w:vAlign w:val="center"/>
            <w:hideMark/>
          </w:tcPr>
          <w:p w14:paraId="759E5508" w14:textId="186715B0" w:rsidR="009D43C3" w:rsidRPr="000C156A" w:rsidRDefault="009D43C3" w:rsidP="00C8648E">
            <w:pPr>
              <w:overflowPunct/>
              <w:autoSpaceDE/>
              <w:autoSpaceDN/>
              <w:adjustRightInd/>
              <w:spacing w:before="0"/>
              <w:jc w:val="right"/>
              <w:textAlignment w:val="auto"/>
              <w:rPr>
                <w:rFonts w:cs="Calibri"/>
                <w:color w:val="000000"/>
                <w:sz w:val="22"/>
                <w:szCs w:val="22"/>
                <w:lang w:eastAsia="en-GB"/>
              </w:rPr>
            </w:pPr>
            <w:r w:rsidRPr="000C156A">
              <w:rPr>
                <w:rFonts w:asciiTheme="minorHAnsi" w:hAnsiTheme="minorHAnsi" w:cstheme="minorHAnsi"/>
                <w:color w:val="000000"/>
                <w:sz w:val="22"/>
                <w:szCs w:val="22"/>
                <w:lang w:eastAsia="en-GB"/>
              </w:rPr>
              <w:t>-</w:t>
            </w:r>
          </w:p>
        </w:tc>
      </w:tr>
      <w:tr w:rsidR="009D43C3" w:rsidRPr="000C156A" w14:paraId="6D94EA69" w14:textId="77777777" w:rsidTr="00C8648E">
        <w:trPr>
          <w:trHeight w:val="253"/>
          <w:jc w:val="center"/>
        </w:trPr>
        <w:tc>
          <w:tcPr>
            <w:tcW w:w="2661" w:type="dxa"/>
            <w:tcBorders>
              <w:top w:val="single" w:sz="4" w:space="0" w:color="auto"/>
              <w:left w:val="single" w:sz="4" w:space="0" w:color="auto"/>
              <w:bottom w:val="single" w:sz="4" w:space="0" w:color="auto"/>
              <w:right w:val="nil"/>
            </w:tcBorders>
            <w:hideMark/>
          </w:tcPr>
          <w:p w14:paraId="32285B94" w14:textId="77777777" w:rsidR="009D43C3" w:rsidRPr="000C156A" w:rsidRDefault="009D43C3" w:rsidP="005D02F0">
            <w:pPr>
              <w:pStyle w:val="Tabletext"/>
              <w:spacing w:before="20" w:after="20"/>
              <w:rPr>
                <w:b/>
                <w:bCs/>
                <w:szCs w:val="22"/>
                <w:lang w:val="en-US" w:eastAsia="fr-FR"/>
              </w:rPr>
            </w:pPr>
            <w:r w:rsidRPr="000C156A">
              <w:rPr>
                <w:b/>
                <w:bCs/>
                <w:szCs w:val="22"/>
                <w:lang w:val="en-US" w:eastAsia="fr-FR"/>
              </w:rPr>
              <w:t>12</w:t>
            </w:r>
            <w:r w:rsidRPr="000C156A">
              <w:rPr>
                <w:rFonts w:hint="eastAsia"/>
                <w:b/>
                <w:bCs/>
                <w:szCs w:val="22"/>
                <w:lang w:val="en-US" w:eastAsia="fr-FR"/>
              </w:rPr>
              <w:t>月</w:t>
            </w:r>
            <w:r w:rsidRPr="000C156A">
              <w:rPr>
                <w:b/>
                <w:bCs/>
                <w:szCs w:val="22"/>
                <w:lang w:val="en-US" w:eastAsia="fr-FR"/>
              </w:rPr>
              <w:t>31</w:t>
            </w:r>
            <w:r w:rsidRPr="000C156A">
              <w:rPr>
                <w:rFonts w:hint="eastAsia"/>
                <w:b/>
                <w:bCs/>
                <w:szCs w:val="22"/>
                <w:lang w:val="en-US"/>
              </w:rPr>
              <w:t>日时的折旧</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E0359" w14:textId="67C8027B"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asciiTheme="minorHAnsi" w:hAnsiTheme="minorHAnsi" w:cstheme="minorHAnsi"/>
                <w:b/>
                <w:bCs/>
                <w:color w:val="000000"/>
                <w:sz w:val="22"/>
                <w:szCs w:val="22"/>
                <w:lang w:eastAsia="en-GB"/>
              </w:rPr>
              <w:t>2</w:t>
            </w:r>
            <w:r w:rsidR="00C8648E"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590</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38E34B38" w14:textId="2063ECE7"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asciiTheme="minorHAnsi" w:hAnsiTheme="minorHAnsi" w:cstheme="minorHAnsi"/>
                <w:b/>
                <w:bCs/>
                <w:color w:val="000000"/>
                <w:sz w:val="22"/>
                <w:szCs w:val="22"/>
                <w:lang w:eastAsia="en-GB"/>
              </w:rPr>
              <w:t>6</w:t>
            </w:r>
            <w:r w:rsidR="00C8648E"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203</w:t>
            </w:r>
          </w:p>
        </w:tc>
        <w:tc>
          <w:tcPr>
            <w:tcW w:w="1704" w:type="dxa"/>
            <w:tcBorders>
              <w:top w:val="single" w:sz="4" w:space="0" w:color="auto"/>
              <w:left w:val="nil"/>
              <w:bottom w:val="single" w:sz="4" w:space="0" w:color="auto"/>
              <w:right w:val="single" w:sz="4" w:space="0" w:color="auto"/>
            </w:tcBorders>
            <w:shd w:val="clear" w:color="auto" w:fill="auto"/>
            <w:vAlign w:val="center"/>
          </w:tcPr>
          <w:p w14:paraId="02C96DAD" w14:textId="2F199902"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asciiTheme="minorHAnsi" w:hAnsiTheme="minorHAnsi" w:cstheme="minorHAnsi"/>
                <w:b/>
                <w:bCs/>
                <w:color w:val="000000"/>
                <w:sz w:val="22"/>
                <w:szCs w:val="22"/>
                <w:lang w:eastAsia="en-GB"/>
              </w:rPr>
              <w:t>859</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04814085" w14:textId="149AA28F"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asciiTheme="minorHAnsi" w:hAnsiTheme="minorHAnsi" w:cstheme="minorHAnsi"/>
                <w:b/>
                <w:bCs/>
                <w:color w:val="000000"/>
                <w:sz w:val="22"/>
                <w:szCs w:val="22"/>
                <w:lang w:eastAsia="en-GB"/>
              </w:rPr>
              <w:t>9</w:t>
            </w:r>
            <w:r w:rsidR="00C8648E"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653</w:t>
            </w:r>
          </w:p>
        </w:tc>
      </w:tr>
      <w:tr w:rsidR="009D43C3" w:rsidRPr="000C156A" w14:paraId="47F628DF" w14:textId="77777777" w:rsidTr="00C8648E">
        <w:trPr>
          <w:trHeight w:val="253"/>
          <w:jc w:val="center"/>
        </w:trPr>
        <w:tc>
          <w:tcPr>
            <w:tcW w:w="2661" w:type="dxa"/>
            <w:tcBorders>
              <w:top w:val="nil"/>
              <w:left w:val="single" w:sz="4" w:space="0" w:color="auto"/>
              <w:bottom w:val="single" w:sz="4" w:space="0" w:color="auto"/>
              <w:right w:val="nil"/>
            </w:tcBorders>
            <w:hideMark/>
          </w:tcPr>
          <w:p w14:paraId="04F1A28B" w14:textId="77777777" w:rsidR="009D43C3" w:rsidRPr="000C156A" w:rsidRDefault="009D43C3" w:rsidP="005D02F0">
            <w:pPr>
              <w:pStyle w:val="Tabletext"/>
              <w:spacing w:before="20" w:after="20"/>
              <w:rPr>
                <w:b/>
                <w:bCs/>
                <w:szCs w:val="22"/>
                <w:lang w:val="en-US" w:eastAsia="zh-CN"/>
              </w:rPr>
            </w:pPr>
            <w:r w:rsidRPr="000C156A">
              <w:rPr>
                <w:b/>
                <w:bCs/>
                <w:szCs w:val="22"/>
                <w:lang w:val="en-US" w:eastAsia="zh-CN"/>
              </w:rPr>
              <w:t>1</w:t>
            </w:r>
            <w:r w:rsidRPr="000C156A">
              <w:rPr>
                <w:rFonts w:hint="eastAsia"/>
                <w:b/>
                <w:bCs/>
                <w:szCs w:val="22"/>
                <w:lang w:val="en-US" w:eastAsia="zh-CN"/>
              </w:rPr>
              <w:t>月</w:t>
            </w:r>
            <w:r w:rsidRPr="000C156A">
              <w:rPr>
                <w:b/>
                <w:bCs/>
                <w:szCs w:val="22"/>
                <w:lang w:val="en-US" w:eastAsia="zh-CN"/>
              </w:rPr>
              <w:t>1</w:t>
            </w:r>
            <w:r w:rsidRPr="000C156A">
              <w:rPr>
                <w:rFonts w:hint="eastAsia"/>
                <w:b/>
                <w:bCs/>
                <w:szCs w:val="22"/>
                <w:lang w:val="en-US"/>
              </w:rPr>
              <w:t>日时的净账面金额</w:t>
            </w:r>
          </w:p>
        </w:tc>
        <w:tc>
          <w:tcPr>
            <w:tcW w:w="1704" w:type="dxa"/>
            <w:tcBorders>
              <w:top w:val="nil"/>
              <w:left w:val="single" w:sz="4" w:space="0" w:color="auto"/>
              <w:bottom w:val="single" w:sz="4" w:space="0" w:color="auto"/>
              <w:right w:val="single" w:sz="4" w:space="0" w:color="auto"/>
            </w:tcBorders>
            <w:shd w:val="clear" w:color="auto" w:fill="auto"/>
            <w:vAlign w:val="center"/>
            <w:hideMark/>
          </w:tcPr>
          <w:p w14:paraId="44F5621F" w14:textId="4573497C"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asciiTheme="minorHAnsi" w:hAnsiTheme="minorHAnsi" w:cstheme="minorHAnsi"/>
                <w:b/>
                <w:bCs/>
                <w:color w:val="000000"/>
                <w:sz w:val="22"/>
                <w:szCs w:val="22"/>
                <w:lang w:eastAsia="en-GB"/>
              </w:rPr>
              <w:t>1</w:t>
            </w:r>
            <w:r w:rsidR="00C8648E"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156</w:t>
            </w:r>
          </w:p>
        </w:tc>
        <w:tc>
          <w:tcPr>
            <w:tcW w:w="1704" w:type="dxa"/>
            <w:tcBorders>
              <w:top w:val="nil"/>
              <w:left w:val="nil"/>
              <w:bottom w:val="single" w:sz="4" w:space="0" w:color="auto"/>
              <w:right w:val="single" w:sz="4" w:space="0" w:color="auto"/>
            </w:tcBorders>
            <w:shd w:val="clear" w:color="auto" w:fill="auto"/>
            <w:vAlign w:val="center"/>
            <w:hideMark/>
          </w:tcPr>
          <w:p w14:paraId="14C21EE0" w14:textId="2EF67034"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asciiTheme="minorHAnsi" w:hAnsiTheme="minorHAnsi" w:cstheme="minorHAnsi"/>
                <w:b/>
                <w:bCs/>
                <w:color w:val="000000"/>
                <w:sz w:val="22"/>
                <w:szCs w:val="22"/>
                <w:lang w:eastAsia="en-GB"/>
              </w:rPr>
              <w:t>730</w:t>
            </w:r>
          </w:p>
        </w:tc>
        <w:tc>
          <w:tcPr>
            <w:tcW w:w="1704" w:type="dxa"/>
            <w:tcBorders>
              <w:top w:val="nil"/>
              <w:left w:val="nil"/>
              <w:bottom w:val="single" w:sz="4" w:space="0" w:color="auto"/>
              <w:right w:val="single" w:sz="4" w:space="0" w:color="auto"/>
            </w:tcBorders>
            <w:shd w:val="clear" w:color="auto" w:fill="auto"/>
            <w:vAlign w:val="center"/>
          </w:tcPr>
          <w:p w14:paraId="76272228" w14:textId="3F3B4824"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asciiTheme="minorHAnsi" w:hAnsiTheme="minorHAnsi" w:cstheme="minorHAnsi"/>
                <w:b/>
                <w:bCs/>
                <w:color w:val="000000"/>
                <w:sz w:val="22"/>
                <w:szCs w:val="22"/>
                <w:lang w:eastAsia="en-GB"/>
              </w:rPr>
              <w:t>-</w:t>
            </w:r>
          </w:p>
        </w:tc>
        <w:tc>
          <w:tcPr>
            <w:tcW w:w="1705" w:type="dxa"/>
            <w:tcBorders>
              <w:top w:val="nil"/>
              <w:left w:val="nil"/>
              <w:bottom w:val="single" w:sz="4" w:space="0" w:color="auto"/>
              <w:right w:val="single" w:sz="4" w:space="0" w:color="auto"/>
            </w:tcBorders>
            <w:shd w:val="clear" w:color="auto" w:fill="auto"/>
            <w:vAlign w:val="center"/>
            <w:hideMark/>
          </w:tcPr>
          <w:p w14:paraId="56564DDE" w14:textId="56886151"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asciiTheme="minorHAnsi" w:hAnsiTheme="minorHAnsi" w:cstheme="minorHAnsi"/>
                <w:b/>
                <w:bCs/>
                <w:color w:val="000000"/>
                <w:sz w:val="22"/>
                <w:szCs w:val="22"/>
                <w:lang w:eastAsia="en-GB"/>
              </w:rPr>
              <w:t>1</w:t>
            </w:r>
            <w:r w:rsidR="00C8648E"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886</w:t>
            </w:r>
          </w:p>
        </w:tc>
      </w:tr>
      <w:tr w:rsidR="009D43C3" w:rsidRPr="000C156A" w14:paraId="00B0074A" w14:textId="77777777" w:rsidTr="00C8648E">
        <w:trPr>
          <w:trHeight w:val="299"/>
          <w:jc w:val="center"/>
        </w:trPr>
        <w:tc>
          <w:tcPr>
            <w:tcW w:w="2661" w:type="dxa"/>
            <w:tcBorders>
              <w:top w:val="nil"/>
              <w:left w:val="single" w:sz="4" w:space="0" w:color="auto"/>
              <w:bottom w:val="single" w:sz="4" w:space="0" w:color="auto"/>
              <w:right w:val="nil"/>
            </w:tcBorders>
            <w:hideMark/>
          </w:tcPr>
          <w:p w14:paraId="498ACA14" w14:textId="77777777" w:rsidR="009D43C3" w:rsidRPr="000C156A" w:rsidRDefault="009D43C3" w:rsidP="005D02F0">
            <w:pPr>
              <w:pStyle w:val="Tabletext"/>
              <w:spacing w:before="20" w:after="20"/>
              <w:rPr>
                <w:b/>
                <w:bCs/>
                <w:szCs w:val="22"/>
                <w:lang w:val="en-US" w:eastAsia="zh-CN"/>
              </w:rPr>
            </w:pPr>
            <w:r w:rsidRPr="000C156A">
              <w:rPr>
                <w:b/>
                <w:bCs/>
                <w:szCs w:val="22"/>
                <w:lang w:val="en-US" w:eastAsia="zh-CN"/>
              </w:rPr>
              <w:t>12</w:t>
            </w:r>
            <w:r w:rsidRPr="000C156A">
              <w:rPr>
                <w:rFonts w:hint="eastAsia"/>
                <w:b/>
                <w:bCs/>
                <w:szCs w:val="22"/>
                <w:lang w:val="en-US" w:eastAsia="zh-CN"/>
              </w:rPr>
              <w:t>月</w:t>
            </w:r>
            <w:r w:rsidRPr="000C156A">
              <w:rPr>
                <w:b/>
                <w:bCs/>
                <w:szCs w:val="22"/>
                <w:lang w:val="en-US" w:eastAsia="zh-CN"/>
              </w:rPr>
              <w:t>31</w:t>
            </w:r>
            <w:r w:rsidRPr="000C156A">
              <w:rPr>
                <w:rFonts w:hint="eastAsia"/>
                <w:b/>
                <w:bCs/>
                <w:szCs w:val="22"/>
                <w:lang w:val="en-US"/>
              </w:rPr>
              <w:t>日时的净账面金额</w:t>
            </w:r>
          </w:p>
        </w:tc>
        <w:tc>
          <w:tcPr>
            <w:tcW w:w="1704" w:type="dxa"/>
            <w:tcBorders>
              <w:top w:val="nil"/>
              <w:left w:val="single" w:sz="4" w:space="0" w:color="auto"/>
              <w:bottom w:val="single" w:sz="4" w:space="0" w:color="auto"/>
              <w:right w:val="single" w:sz="4" w:space="0" w:color="auto"/>
            </w:tcBorders>
            <w:shd w:val="clear" w:color="auto" w:fill="auto"/>
            <w:vAlign w:val="center"/>
            <w:hideMark/>
          </w:tcPr>
          <w:p w14:paraId="6C773DA6" w14:textId="4947A511"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asciiTheme="minorHAnsi" w:hAnsiTheme="minorHAnsi" w:cstheme="minorHAnsi"/>
                <w:b/>
                <w:bCs/>
                <w:color w:val="000000"/>
                <w:sz w:val="22"/>
                <w:szCs w:val="22"/>
                <w:lang w:eastAsia="en-GB"/>
              </w:rPr>
              <w:t>621</w:t>
            </w:r>
          </w:p>
        </w:tc>
        <w:tc>
          <w:tcPr>
            <w:tcW w:w="1704" w:type="dxa"/>
            <w:tcBorders>
              <w:top w:val="nil"/>
              <w:left w:val="nil"/>
              <w:bottom w:val="single" w:sz="4" w:space="0" w:color="auto"/>
              <w:right w:val="single" w:sz="4" w:space="0" w:color="auto"/>
            </w:tcBorders>
            <w:shd w:val="clear" w:color="auto" w:fill="auto"/>
            <w:vAlign w:val="center"/>
            <w:hideMark/>
          </w:tcPr>
          <w:p w14:paraId="35850816" w14:textId="5C945930"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asciiTheme="minorHAnsi" w:hAnsiTheme="minorHAnsi" w:cstheme="minorHAnsi"/>
                <w:b/>
                <w:bCs/>
                <w:color w:val="000000"/>
                <w:sz w:val="22"/>
                <w:szCs w:val="22"/>
                <w:lang w:eastAsia="en-GB"/>
              </w:rPr>
              <w:t>821</w:t>
            </w:r>
          </w:p>
        </w:tc>
        <w:tc>
          <w:tcPr>
            <w:tcW w:w="1704" w:type="dxa"/>
            <w:tcBorders>
              <w:top w:val="nil"/>
              <w:left w:val="nil"/>
              <w:bottom w:val="single" w:sz="4" w:space="0" w:color="auto"/>
              <w:right w:val="single" w:sz="4" w:space="0" w:color="auto"/>
            </w:tcBorders>
            <w:shd w:val="clear" w:color="auto" w:fill="auto"/>
            <w:vAlign w:val="center"/>
          </w:tcPr>
          <w:p w14:paraId="4B93F45B" w14:textId="422E6260"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asciiTheme="minorHAnsi" w:hAnsiTheme="minorHAnsi" w:cstheme="minorHAnsi"/>
                <w:b/>
                <w:bCs/>
                <w:color w:val="000000"/>
                <w:sz w:val="22"/>
                <w:szCs w:val="22"/>
                <w:lang w:eastAsia="en-GB"/>
              </w:rPr>
              <w:t>-</w:t>
            </w:r>
          </w:p>
        </w:tc>
        <w:tc>
          <w:tcPr>
            <w:tcW w:w="1705" w:type="dxa"/>
            <w:tcBorders>
              <w:top w:val="nil"/>
              <w:left w:val="nil"/>
              <w:bottom w:val="single" w:sz="4" w:space="0" w:color="auto"/>
              <w:right w:val="single" w:sz="4" w:space="0" w:color="auto"/>
            </w:tcBorders>
            <w:shd w:val="clear" w:color="auto" w:fill="auto"/>
            <w:vAlign w:val="center"/>
            <w:hideMark/>
          </w:tcPr>
          <w:p w14:paraId="06122207" w14:textId="3DE9823F" w:rsidR="009D43C3" w:rsidRPr="000C156A" w:rsidRDefault="009D43C3" w:rsidP="00C8648E">
            <w:pPr>
              <w:overflowPunct/>
              <w:autoSpaceDE/>
              <w:autoSpaceDN/>
              <w:adjustRightInd/>
              <w:spacing w:before="0"/>
              <w:jc w:val="right"/>
              <w:textAlignment w:val="auto"/>
              <w:rPr>
                <w:rFonts w:cs="Calibri"/>
                <w:b/>
                <w:bCs/>
                <w:color w:val="000000"/>
                <w:sz w:val="22"/>
                <w:szCs w:val="22"/>
                <w:lang w:eastAsia="en-GB"/>
              </w:rPr>
            </w:pPr>
            <w:r w:rsidRPr="000C156A">
              <w:rPr>
                <w:rFonts w:asciiTheme="minorHAnsi" w:hAnsiTheme="minorHAnsi" w:cstheme="minorHAnsi"/>
                <w:b/>
                <w:bCs/>
                <w:color w:val="000000"/>
                <w:sz w:val="22"/>
                <w:szCs w:val="22"/>
                <w:lang w:eastAsia="en-GB"/>
              </w:rPr>
              <w:t>1</w:t>
            </w:r>
            <w:r w:rsidR="00C8648E"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443</w:t>
            </w:r>
          </w:p>
        </w:tc>
      </w:tr>
    </w:tbl>
    <w:p w14:paraId="7C1463D1" w14:textId="77777777" w:rsidR="009D43C3" w:rsidRPr="000C156A" w:rsidRDefault="009D43C3" w:rsidP="007F5651">
      <w:pPr>
        <w:spacing w:before="240"/>
        <w:ind w:firstLineChars="200" w:firstLine="480"/>
        <w:rPr>
          <w:lang w:val="en-US" w:eastAsia="zh-CN"/>
        </w:rPr>
      </w:pPr>
      <w:r w:rsidRPr="000C156A">
        <w:rPr>
          <w:rFonts w:hint="eastAsia"/>
          <w:lang w:eastAsia="zh-CN"/>
        </w:rPr>
        <w:t>根据</w:t>
      </w:r>
      <w:r w:rsidRPr="000C156A">
        <w:rPr>
          <w:lang w:eastAsia="zh-CN"/>
        </w:rPr>
        <w:t>IPSAS</w:t>
      </w:r>
      <w:r w:rsidRPr="000C156A">
        <w:rPr>
          <w:rFonts w:hint="eastAsia"/>
          <w:lang w:eastAsia="zh-CN"/>
        </w:rPr>
        <w:t>第</w:t>
      </w:r>
      <w:r w:rsidRPr="000C156A">
        <w:rPr>
          <w:lang w:eastAsia="zh-CN"/>
        </w:rPr>
        <w:t>31</w:t>
      </w:r>
      <w:r w:rsidRPr="000C156A">
        <w:rPr>
          <w:rFonts w:hint="eastAsia"/>
          <w:lang w:eastAsia="zh-CN"/>
        </w:rPr>
        <w:t>号要求，为改善向成员提供的服务，尤其是国际电联文件的获取、管理和存档，已对内部开发进行了资本化。资本化的软件为标准软件，升级包用于国际电联的日常活动。</w:t>
      </w:r>
    </w:p>
    <w:p w14:paraId="35464323" w14:textId="77777777" w:rsidR="009D43C3" w:rsidRPr="000C156A" w:rsidRDefault="009D43C3" w:rsidP="009207C5">
      <w:pPr>
        <w:pStyle w:val="Heading1"/>
        <w:spacing w:before="200" w:after="240"/>
        <w:rPr>
          <w:rFonts w:cs="Microsoft YaHei"/>
          <w:sz w:val="24"/>
          <w:szCs w:val="24"/>
          <w:lang w:val="fr-FR"/>
        </w:rPr>
      </w:pPr>
      <w:bookmarkStart w:id="638" w:name="_Toc511813755"/>
      <w:bookmarkStart w:id="639" w:name="_Toc511817838"/>
      <w:bookmarkStart w:id="640" w:name="_Toc520280738"/>
      <w:bookmarkStart w:id="641" w:name="_Toc10536833"/>
      <w:bookmarkStart w:id="642" w:name="_Toc41905874"/>
      <w:bookmarkStart w:id="643" w:name="_Toc41906903"/>
      <w:bookmarkStart w:id="644" w:name="_Toc41907984"/>
      <w:bookmarkStart w:id="645" w:name="_Toc41908052"/>
      <w:bookmarkStart w:id="646" w:name="_Toc73518690"/>
      <w:bookmarkStart w:id="647" w:name="_Toc73518837"/>
      <w:bookmarkStart w:id="648" w:name="_Toc73519237"/>
      <w:bookmarkStart w:id="649" w:name="_Toc73636276"/>
      <w:bookmarkStart w:id="650" w:name="_Toc482892572"/>
      <w:bookmarkStart w:id="651" w:name="_Toc482870837"/>
      <w:bookmarkStart w:id="652" w:name="_Toc329165788"/>
      <w:bookmarkStart w:id="653" w:name="_Toc305594747"/>
      <w:r w:rsidRPr="000C156A">
        <w:rPr>
          <w:rFonts w:cs="Microsoft YaHei" w:hint="eastAsia"/>
          <w:sz w:val="24"/>
          <w:szCs w:val="24"/>
          <w:lang w:val="fr-FR"/>
        </w:rPr>
        <w:lastRenderedPageBreak/>
        <w:t>说明</w:t>
      </w:r>
      <w:r w:rsidRPr="000C156A">
        <w:rPr>
          <w:rFonts w:cs="Microsoft YaHei"/>
          <w:sz w:val="24"/>
          <w:szCs w:val="24"/>
          <w:lang w:val="fr-FR"/>
        </w:rPr>
        <w:t>13</w:t>
      </w:r>
      <w:r w:rsidRPr="000C156A">
        <w:rPr>
          <w:rFonts w:cs="Microsoft YaHei"/>
          <w:sz w:val="24"/>
          <w:szCs w:val="24"/>
          <w:lang w:val="fr-FR"/>
        </w:rPr>
        <w:tab/>
      </w:r>
      <w:r w:rsidRPr="000C156A">
        <w:rPr>
          <w:rFonts w:cs="Microsoft YaHei" w:hint="eastAsia"/>
          <w:sz w:val="24"/>
          <w:szCs w:val="24"/>
          <w:lang w:val="fr-FR"/>
        </w:rPr>
        <w:t>建设中的资产</w:t>
      </w:r>
      <w:bookmarkEnd w:id="638"/>
      <w:bookmarkEnd w:id="639"/>
      <w:bookmarkEnd w:id="640"/>
      <w:bookmarkEnd w:id="641"/>
      <w:bookmarkEnd w:id="642"/>
      <w:bookmarkEnd w:id="643"/>
      <w:bookmarkEnd w:id="644"/>
      <w:bookmarkEnd w:id="645"/>
      <w:bookmarkEnd w:id="646"/>
      <w:bookmarkEnd w:id="647"/>
      <w:bookmarkEnd w:id="648"/>
      <w:bookmarkEnd w:id="649"/>
    </w:p>
    <w:tbl>
      <w:tblPr>
        <w:tblW w:w="7188"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042"/>
        <w:gridCol w:w="1520"/>
        <w:gridCol w:w="1383"/>
        <w:gridCol w:w="1243"/>
      </w:tblGrid>
      <w:tr w:rsidR="009D43C3" w:rsidRPr="000C156A" w14:paraId="45FD623C" w14:textId="77777777" w:rsidTr="005D02F0">
        <w:trPr>
          <w:trHeight w:val="226"/>
          <w:tblHeader/>
          <w:jc w:val="center"/>
        </w:trPr>
        <w:tc>
          <w:tcPr>
            <w:tcW w:w="3042" w:type="dxa"/>
            <w:tcBorders>
              <w:bottom w:val="single" w:sz="4" w:space="0" w:color="000000"/>
            </w:tcBorders>
            <w:shd w:val="clear" w:color="auto" w:fill="auto"/>
            <w:hideMark/>
          </w:tcPr>
          <w:p w14:paraId="638A5E9E" w14:textId="77777777" w:rsidR="009D43C3" w:rsidRPr="000C156A" w:rsidRDefault="009D43C3" w:rsidP="005D02F0">
            <w:pPr>
              <w:pStyle w:val="Tablehead"/>
              <w:rPr>
                <w:lang w:val="en-US" w:eastAsia="zh-CN"/>
              </w:rPr>
            </w:pPr>
            <w:r w:rsidRPr="000C156A">
              <w:rPr>
                <w:rFonts w:hint="eastAsia"/>
                <w:lang w:val="en-US" w:eastAsia="zh-CN"/>
              </w:rPr>
              <w:t>资产类别</w:t>
            </w:r>
          </w:p>
        </w:tc>
        <w:tc>
          <w:tcPr>
            <w:tcW w:w="1520" w:type="dxa"/>
            <w:tcBorders>
              <w:bottom w:val="single" w:sz="4" w:space="0" w:color="000000"/>
            </w:tcBorders>
            <w:shd w:val="clear" w:color="auto" w:fill="auto"/>
            <w:hideMark/>
          </w:tcPr>
          <w:p w14:paraId="4E5CC97C" w14:textId="77777777" w:rsidR="009D43C3" w:rsidRPr="000C156A" w:rsidRDefault="009D43C3" w:rsidP="005D02F0">
            <w:pPr>
              <w:pStyle w:val="Tablehead"/>
              <w:rPr>
                <w:lang w:val="en-US" w:eastAsia="zh-CN"/>
              </w:rPr>
            </w:pPr>
            <w:r w:rsidRPr="000C156A">
              <w:rPr>
                <w:rFonts w:hint="eastAsia"/>
                <w:lang w:val="en-US" w:eastAsia="zh-CN"/>
              </w:rPr>
              <w:t>在建楼宇</w:t>
            </w:r>
          </w:p>
        </w:tc>
        <w:tc>
          <w:tcPr>
            <w:tcW w:w="1383" w:type="dxa"/>
            <w:tcBorders>
              <w:bottom w:val="single" w:sz="4" w:space="0" w:color="000000"/>
            </w:tcBorders>
            <w:shd w:val="clear" w:color="auto" w:fill="auto"/>
            <w:hideMark/>
          </w:tcPr>
          <w:p w14:paraId="58AA7E13" w14:textId="77777777" w:rsidR="009D43C3" w:rsidRPr="000C156A" w:rsidRDefault="009D43C3" w:rsidP="005D02F0">
            <w:pPr>
              <w:pStyle w:val="Tablehead"/>
              <w:rPr>
                <w:lang w:val="en-US" w:eastAsia="zh-CN"/>
              </w:rPr>
            </w:pPr>
            <w:r w:rsidRPr="000C156A">
              <w:rPr>
                <w:rFonts w:hint="eastAsia"/>
                <w:lang w:val="en-US" w:eastAsia="zh-CN"/>
              </w:rPr>
              <w:t>其他建设</w:t>
            </w:r>
          </w:p>
        </w:tc>
        <w:tc>
          <w:tcPr>
            <w:tcW w:w="1243" w:type="dxa"/>
            <w:tcBorders>
              <w:bottom w:val="single" w:sz="4" w:space="0" w:color="000000"/>
            </w:tcBorders>
            <w:shd w:val="clear" w:color="auto" w:fill="auto"/>
            <w:hideMark/>
          </w:tcPr>
          <w:p w14:paraId="1FB38B8D" w14:textId="77777777" w:rsidR="009D43C3" w:rsidRPr="000C156A" w:rsidRDefault="009D43C3" w:rsidP="005D02F0">
            <w:pPr>
              <w:pStyle w:val="Tablehead"/>
              <w:rPr>
                <w:lang w:val="en-US" w:eastAsia="zh-CN"/>
              </w:rPr>
            </w:pPr>
            <w:r w:rsidRPr="000C156A">
              <w:rPr>
                <w:rFonts w:hint="eastAsia"/>
                <w:lang w:val="en-US" w:eastAsia="zh-CN"/>
              </w:rPr>
              <w:t>合计</w:t>
            </w:r>
          </w:p>
        </w:tc>
      </w:tr>
      <w:tr w:rsidR="009D43C3" w:rsidRPr="000C156A" w14:paraId="668299A4" w14:textId="77777777" w:rsidTr="005D02F0">
        <w:trPr>
          <w:trHeight w:val="120"/>
          <w:jc w:val="center"/>
        </w:trPr>
        <w:tc>
          <w:tcPr>
            <w:tcW w:w="3042" w:type="dxa"/>
            <w:tcBorders>
              <w:top w:val="single" w:sz="4" w:space="0" w:color="000000"/>
              <w:bottom w:val="single" w:sz="4" w:space="0" w:color="000000"/>
            </w:tcBorders>
            <w:shd w:val="clear" w:color="auto" w:fill="auto"/>
            <w:vAlign w:val="center"/>
            <w:hideMark/>
          </w:tcPr>
          <w:p w14:paraId="24AE729D" w14:textId="77777777" w:rsidR="009D43C3" w:rsidRPr="000C156A" w:rsidRDefault="009D43C3" w:rsidP="005D02F0">
            <w:pPr>
              <w:overflowPunct/>
              <w:adjustRightInd/>
              <w:spacing w:before="0"/>
              <w:textAlignment w:val="auto"/>
              <w:rPr>
                <w:rFonts w:cs="Arial"/>
                <w:b/>
                <w:bCs/>
                <w:color w:val="000000"/>
                <w:sz w:val="22"/>
                <w:szCs w:val="22"/>
                <w:lang w:val="en-US" w:eastAsia="zh-CN"/>
              </w:rPr>
            </w:pPr>
            <w:r w:rsidRPr="000C156A">
              <w:rPr>
                <w:rFonts w:cs="Arial" w:hint="eastAsia"/>
                <w:b/>
                <w:bCs/>
                <w:color w:val="000000"/>
                <w:sz w:val="22"/>
                <w:szCs w:val="22"/>
                <w:lang w:val="en-US" w:eastAsia="zh-CN"/>
              </w:rPr>
              <w:t>1</w:t>
            </w:r>
            <w:r w:rsidRPr="000C156A">
              <w:rPr>
                <w:rFonts w:cs="Arial" w:hint="eastAsia"/>
                <w:b/>
                <w:bCs/>
                <w:color w:val="000000"/>
                <w:sz w:val="22"/>
                <w:szCs w:val="22"/>
                <w:lang w:val="en-US" w:eastAsia="zh-CN"/>
              </w:rPr>
              <w:t>月</w:t>
            </w:r>
            <w:r w:rsidRPr="000C156A">
              <w:rPr>
                <w:rFonts w:cs="Arial" w:hint="eastAsia"/>
                <w:b/>
                <w:bCs/>
                <w:color w:val="000000"/>
                <w:sz w:val="22"/>
                <w:szCs w:val="22"/>
                <w:lang w:val="en-US" w:eastAsia="zh-CN"/>
              </w:rPr>
              <w:t>1</w:t>
            </w:r>
            <w:r w:rsidRPr="000C156A">
              <w:rPr>
                <w:rFonts w:cs="Arial" w:hint="eastAsia"/>
                <w:b/>
                <w:bCs/>
                <w:color w:val="000000"/>
                <w:sz w:val="22"/>
                <w:szCs w:val="22"/>
                <w:lang w:val="en-US" w:eastAsia="zh-CN"/>
              </w:rPr>
              <w:t>日时的成本</w:t>
            </w:r>
          </w:p>
        </w:tc>
        <w:tc>
          <w:tcPr>
            <w:tcW w:w="1520" w:type="dxa"/>
            <w:tcBorders>
              <w:top w:val="single" w:sz="4" w:space="0" w:color="000000"/>
              <w:bottom w:val="single" w:sz="4" w:space="0" w:color="000000"/>
            </w:tcBorders>
            <w:shd w:val="clear" w:color="auto" w:fill="auto"/>
            <w:vAlign w:val="center"/>
            <w:hideMark/>
          </w:tcPr>
          <w:p w14:paraId="536FAA34" w14:textId="2725CDB2" w:rsidR="009D43C3" w:rsidRPr="000C156A" w:rsidRDefault="009D43C3" w:rsidP="00593D2B">
            <w:pPr>
              <w:overflowPunct/>
              <w:autoSpaceDE/>
              <w:autoSpaceDN/>
              <w:adjustRightInd/>
              <w:spacing w:before="0"/>
              <w:jc w:val="right"/>
              <w:textAlignment w:val="auto"/>
              <w:rPr>
                <w:rFonts w:cstheme="minorHAnsi"/>
                <w:b/>
                <w:bCs/>
                <w:sz w:val="22"/>
                <w:szCs w:val="22"/>
                <w:lang w:eastAsia="en-GB"/>
              </w:rPr>
            </w:pPr>
            <w:r w:rsidRPr="000C156A">
              <w:rPr>
                <w:rFonts w:asciiTheme="minorHAnsi" w:hAnsiTheme="minorHAnsi" w:cstheme="minorHAnsi"/>
                <w:b/>
                <w:bCs/>
                <w:sz w:val="22"/>
                <w:szCs w:val="22"/>
                <w:lang w:eastAsia="en-GB"/>
              </w:rPr>
              <w:t>3</w:t>
            </w:r>
            <w:r w:rsidR="00593D2B" w:rsidRPr="000C156A">
              <w:rPr>
                <w:rFonts w:asciiTheme="minorHAnsi" w:hAnsiTheme="minorHAnsi" w:cstheme="minorHAnsi"/>
                <w:b/>
                <w:bCs/>
                <w:sz w:val="22"/>
                <w:szCs w:val="22"/>
                <w:lang w:eastAsia="en-GB"/>
              </w:rPr>
              <w:t xml:space="preserve"> </w:t>
            </w:r>
            <w:r w:rsidRPr="000C156A">
              <w:rPr>
                <w:rFonts w:asciiTheme="minorHAnsi" w:hAnsiTheme="minorHAnsi" w:cstheme="minorHAnsi"/>
                <w:b/>
                <w:bCs/>
                <w:sz w:val="22"/>
                <w:szCs w:val="22"/>
                <w:lang w:eastAsia="en-GB"/>
              </w:rPr>
              <w:t>948</w:t>
            </w:r>
          </w:p>
        </w:tc>
        <w:tc>
          <w:tcPr>
            <w:tcW w:w="1383" w:type="dxa"/>
            <w:tcBorders>
              <w:top w:val="single" w:sz="4" w:space="0" w:color="000000"/>
              <w:bottom w:val="single" w:sz="4" w:space="0" w:color="000000"/>
            </w:tcBorders>
            <w:shd w:val="clear" w:color="auto" w:fill="auto"/>
            <w:noWrap/>
            <w:vAlign w:val="center"/>
            <w:hideMark/>
          </w:tcPr>
          <w:p w14:paraId="7DE17D6E" w14:textId="7CF9F1CB" w:rsidR="009D43C3" w:rsidRPr="000C156A" w:rsidRDefault="009D43C3" w:rsidP="00593D2B">
            <w:pPr>
              <w:overflowPunct/>
              <w:autoSpaceDE/>
              <w:autoSpaceDN/>
              <w:adjustRightInd/>
              <w:spacing w:before="0"/>
              <w:jc w:val="right"/>
              <w:textAlignment w:val="auto"/>
              <w:rPr>
                <w:rFonts w:cstheme="minorHAnsi"/>
                <w:b/>
                <w:bCs/>
                <w:sz w:val="22"/>
                <w:szCs w:val="22"/>
                <w:lang w:eastAsia="en-GB"/>
              </w:rPr>
            </w:pPr>
            <w:r w:rsidRPr="000C156A">
              <w:rPr>
                <w:rFonts w:asciiTheme="minorHAnsi" w:hAnsiTheme="minorHAnsi" w:cstheme="minorHAnsi"/>
                <w:b/>
                <w:bCs/>
                <w:sz w:val="22"/>
                <w:szCs w:val="22"/>
                <w:lang w:eastAsia="en-GB"/>
              </w:rPr>
              <w:t>1</w:t>
            </w:r>
            <w:r w:rsidR="00593D2B" w:rsidRPr="000C156A">
              <w:rPr>
                <w:rFonts w:asciiTheme="minorHAnsi" w:hAnsiTheme="minorHAnsi" w:cstheme="minorHAnsi"/>
                <w:b/>
                <w:bCs/>
                <w:sz w:val="22"/>
                <w:szCs w:val="22"/>
                <w:lang w:eastAsia="en-GB"/>
              </w:rPr>
              <w:t xml:space="preserve"> </w:t>
            </w:r>
            <w:r w:rsidRPr="000C156A">
              <w:rPr>
                <w:rFonts w:asciiTheme="minorHAnsi" w:hAnsiTheme="minorHAnsi" w:cstheme="minorHAnsi"/>
                <w:b/>
                <w:bCs/>
                <w:sz w:val="22"/>
                <w:szCs w:val="22"/>
                <w:lang w:eastAsia="en-GB"/>
              </w:rPr>
              <w:t>243</w:t>
            </w:r>
          </w:p>
        </w:tc>
        <w:tc>
          <w:tcPr>
            <w:tcW w:w="1243" w:type="dxa"/>
            <w:tcBorders>
              <w:top w:val="single" w:sz="4" w:space="0" w:color="000000"/>
              <w:bottom w:val="single" w:sz="4" w:space="0" w:color="000000"/>
            </w:tcBorders>
            <w:shd w:val="clear" w:color="000000" w:fill="FFFFFF"/>
            <w:noWrap/>
            <w:vAlign w:val="center"/>
            <w:hideMark/>
          </w:tcPr>
          <w:p w14:paraId="4E95DE6B" w14:textId="1899BFE2" w:rsidR="009D43C3" w:rsidRPr="000C156A" w:rsidRDefault="009D43C3" w:rsidP="00593D2B">
            <w:pPr>
              <w:overflowPunct/>
              <w:autoSpaceDE/>
              <w:autoSpaceDN/>
              <w:adjustRightInd/>
              <w:spacing w:before="0"/>
              <w:jc w:val="right"/>
              <w:textAlignment w:val="auto"/>
              <w:rPr>
                <w:rFonts w:cstheme="minorHAnsi"/>
                <w:b/>
                <w:bCs/>
                <w:color w:val="000000"/>
                <w:sz w:val="22"/>
                <w:szCs w:val="22"/>
                <w:lang w:eastAsia="en-GB"/>
              </w:rPr>
            </w:pPr>
            <w:r w:rsidRPr="000C156A">
              <w:rPr>
                <w:rFonts w:asciiTheme="minorHAnsi" w:hAnsiTheme="minorHAnsi" w:cstheme="minorHAnsi"/>
                <w:b/>
                <w:bCs/>
                <w:color w:val="000000"/>
                <w:sz w:val="22"/>
                <w:szCs w:val="22"/>
                <w:lang w:eastAsia="en-GB"/>
              </w:rPr>
              <w:t>5</w:t>
            </w:r>
            <w:r w:rsidR="00593D2B"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191</w:t>
            </w:r>
          </w:p>
        </w:tc>
      </w:tr>
      <w:tr w:rsidR="009D43C3" w:rsidRPr="000C156A" w14:paraId="2C953E6E" w14:textId="77777777" w:rsidTr="005D02F0">
        <w:trPr>
          <w:trHeight w:val="120"/>
          <w:jc w:val="center"/>
        </w:trPr>
        <w:tc>
          <w:tcPr>
            <w:tcW w:w="3042" w:type="dxa"/>
            <w:tcBorders>
              <w:top w:val="single" w:sz="4" w:space="0" w:color="000000"/>
            </w:tcBorders>
            <w:hideMark/>
          </w:tcPr>
          <w:p w14:paraId="3B4D2290" w14:textId="77777777" w:rsidR="009D43C3" w:rsidRPr="000C156A" w:rsidRDefault="009D43C3" w:rsidP="005D02F0">
            <w:pPr>
              <w:pStyle w:val="Tabletext"/>
              <w:spacing w:before="20" w:after="20"/>
              <w:rPr>
                <w:szCs w:val="22"/>
                <w:lang w:val="en-US" w:eastAsia="zh-CN"/>
              </w:rPr>
            </w:pPr>
            <w:r w:rsidRPr="000C156A">
              <w:rPr>
                <w:rFonts w:hint="eastAsia"/>
                <w:bCs/>
                <w:szCs w:val="22"/>
                <w:lang w:val="en-US"/>
              </w:rPr>
              <w:t>增补</w:t>
            </w:r>
          </w:p>
        </w:tc>
        <w:tc>
          <w:tcPr>
            <w:tcW w:w="1520" w:type="dxa"/>
            <w:tcBorders>
              <w:top w:val="single" w:sz="4" w:space="0" w:color="000000"/>
            </w:tcBorders>
            <w:shd w:val="clear" w:color="auto" w:fill="auto"/>
            <w:noWrap/>
            <w:vAlign w:val="bottom"/>
            <w:hideMark/>
          </w:tcPr>
          <w:p w14:paraId="1933BD11" w14:textId="1AFB6CA2" w:rsidR="009D43C3" w:rsidRPr="000C156A" w:rsidRDefault="009D43C3" w:rsidP="00593D2B">
            <w:pPr>
              <w:overflowPunct/>
              <w:autoSpaceDE/>
              <w:autoSpaceDN/>
              <w:adjustRightInd/>
              <w:spacing w:before="0"/>
              <w:jc w:val="right"/>
              <w:textAlignment w:val="auto"/>
              <w:rPr>
                <w:rFonts w:cstheme="minorHAnsi"/>
                <w:sz w:val="22"/>
                <w:szCs w:val="22"/>
                <w:lang w:eastAsia="en-GB"/>
              </w:rPr>
            </w:pPr>
            <w:r w:rsidRPr="000C156A">
              <w:rPr>
                <w:rFonts w:asciiTheme="minorHAnsi" w:hAnsiTheme="minorHAnsi" w:cstheme="minorHAnsi"/>
                <w:sz w:val="22"/>
                <w:szCs w:val="22"/>
                <w:lang w:eastAsia="en-GB"/>
              </w:rPr>
              <w:t>4</w:t>
            </w:r>
            <w:r w:rsidR="00593D2B" w:rsidRPr="000C156A">
              <w:rPr>
                <w:rFonts w:asciiTheme="minorHAnsi" w:hAnsiTheme="minorHAnsi" w:cstheme="minorHAnsi"/>
                <w:sz w:val="22"/>
                <w:szCs w:val="22"/>
                <w:lang w:eastAsia="en-GB"/>
              </w:rPr>
              <w:t xml:space="preserve"> </w:t>
            </w:r>
            <w:r w:rsidRPr="000C156A">
              <w:rPr>
                <w:rFonts w:asciiTheme="minorHAnsi" w:hAnsiTheme="minorHAnsi" w:cstheme="minorHAnsi"/>
                <w:sz w:val="22"/>
                <w:szCs w:val="22"/>
                <w:lang w:eastAsia="en-GB"/>
              </w:rPr>
              <w:t>228</w:t>
            </w:r>
          </w:p>
        </w:tc>
        <w:tc>
          <w:tcPr>
            <w:tcW w:w="1383" w:type="dxa"/>
            <w:tcBorders>
              <w:top w:val="single" w:sz="4" w:space="0" w:color="000000"/>
            </w:tcBorders>
            <w:shd w:val="clear" w:color="auto" w:fill="auto"/>
            <w:noWrap/>
            <w:vAlign w:val="bottom"/>
            <w:hideMark/>
          </w:tcPr>
          <w:p w14:paraId="70E8E4FA" w14:textId="278FA37A"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r w:rsidRPr="000C156A">
              <w:rPr>
                <w:rFonts w:asciiTheme="minorHAnsi" w:hAnsiTheme="minorHAnsi" w:cstheme="minorHAnsi"/>
                <w:sz w:val="22"/>
                <w:szCs w:val="22"/>
                <w:lang w:eastAsia="en-GB"/>
              </w:rPr>
              <w:t>36</w:t>
            </w:r>
          </w:p>
        </w:tc>
        <w:tc>
          <w:tcPr>
            <w:tcW w:w="1243" w:type="dxa"/>
            <w:tcBorders>
              <w:top w:val="single" w:sz="4" w:space="0" w:color="000000"/>
            </w:tcBorders>
            <w:shd w:val="clear" w:color="auto" w:fill="auto"/>
            <w:noWrap/>
            <w:vAlign w:val="center"/>
            <w:hideMark/>
          </w:tcPr>
          <w:p w14:paraId="31A546AE" w14:textId="4972DB60"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r w:rsidRPr="000C156A">
              <w:rPr>
                <w:rFonts w:asciiTheme="minorHAnsi" w:hAnsiTheme="minorHAnsi" w:cstheme="minorHAnsi"/>
                <w:color w:val="000000"/>
                <w:sz w:val="22"/>
                <w:szCs w:val="22"/>
                <w:lang w:eastAsia="en-GB"/>
              </w:rPr>
              <w:t>4</w:t>
            </w:r>
            <w:r w:rsidR="00593D2B" w:rsidRPr="000C156A">
              <w:rPr>
                <w:rFonts w:asciiTheme="minorHAnsi" w:hAnsiTheme="minorHAnsi" w:cstheme="minorHAnsi"/>
                <w:color w:val="000000"/>
                <w:sz w:val="22"/>
                <w:szCs w:val="22"/>
                <w:lang w:eastAsia="en-GB"/>
              </w:rPr>
              <w:t xml:space="preserve"> </w:t>
            </w:r>
            <w:r w:rsidRPr="000C156A">
              <w:rPr>
                <w:rFonts w:asciiTheme="minorHAnsi" w:hAnsiTheme="minorHAnsi" w:cstheme="minorHAnsi"/>
                <w:color w:val="000000"/>
                <w:sz w:val="22"/>
                <w:szCs w:val="22"/>
                <w:lang w:eastAsia="en-GB"/>
              </w:rPr>
              <w:t>264</w:t>
            </w:r>
          </w:p>
        </w:tc>
      </w:tr>
      <w:tr w:rsidR="009D43C3" w:rsidRPr="000C156A" w14:paraId="68035FAB" w14:textId="77777777" w:rsidTr="005D02F0">
        <w:trPr>
          <w:trHeight w:val="120"/>
          <w:jc w:val="center"/>
        </w:trPr>
        <w:tc>
          <w:tcPr>
            <w:tcW w:w="3042" w:type="dxa"/>
            <w:hideMark/>
          </w:tcPr>
          <w:p w14:paraId="7488C4CB" w14:textId="77777777" w:rsidR="009D43C3" w:rsidRPr="000C156A" w:rsidRDefault="009D43C3" w:rsidP="005D02F0">
            <w:pPr>
              <w:pStyle w:val="Tabletext"/>
              <w:spacing w:before="20" w:after="20"/>
              <w:rPr>
                <w:bCs/>
                <w:szCs w:val="22"/>
                <w:lang w:val="en-US"/>
              </w:rPr>
            </w:pPr>
            <w:r w:rsidRPr="000C156A">
              <w:rPr>
                <w:rFonts w:hint="eastAsia"/>
                <w:bCs/>
                <w:szCs w:val="22"/>
                <w:lang w:val="en-US"/>
              </w:rPr>
              <w:t>礼品</w:t>
            </w:r>
          </w:p>
        </w:tc>
        <w:tc>
          <w:tcPr>
            <w:tcW w:w="1520" w:type="dxa"/>
            <w:shd w:val="clear" w:color="auto" w:fill="auto"/>
            <w:noWrap/>
            <w:vAlign w:val="bottom"/>
            <w:hideMark/>
          </w:tcPr>
          <w:p w14:paraId="3DF2A0D9"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p>
        </w:tc>
        <w:tc>
          <w:tcPr>
            <w:tcW w:w="1383" w:type="dxa"/>
            <w:shd w:val="clear" w:color="auto" w:fill="auto"/>
            <w:noWrap/>
            <w:vAlign w:val="bottom"/>
            <w:hideMark/>
          </w:tcPr>
          <w:p w14:paraId="20117D79"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p>
        </w:tc>
        <w:tc>
          <w:tcPr>
            <w:tcW w:w="1243" w:type="dxa"/>
            <w:shd w:val="clear" w:color="auto" w:fill="auto"/>
            <w:noWrap/>
            <w:vAlign w:val="center"/>
            <w:hideMark/>
          </w:tcPr>
          <w:p w14:paraId="5A076039"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r w:rsidRPr="000C156A">
              <w:rPr>
                <w:rFonts w:cstheme="minorHAnsi"/>
                <w:color w:val="000000"/>
                <w:sz w:val="22"/>
                <w:szCs w:val="22"/>
                <w:lang w:eastAsia="en-GB"/>
              </w:rPr>
              <w:t>-</w:t>
            </w:r>
          </w:p>
        </w:tc>
      </w:tr>
      <w:tr w:rsidR="009D43C3" w:rsidRPr="000C156A" w14:paraId="127BD6C0" w14:textId="77777777" w:rsidTr="005D02F0">
        <w:trPr>
          <w:trHeight w:val="120"/>
          <w:jc w:val="center"/>
        </w:trPr>
        <w:tc>
          <w:tcPr>
            <w:tcW w:w="3042" w:type="dxa"/>
            <w:hideMark/>
          </w:tcPr>
          <w:p w14:paraId="647A11B7" w14:textId="77777777" w:rsidR="009D43C3" w:rsidRPr="000C156A" w:rsidRDefault="009D43C3" w:rsidP="005D02F0">
            <w:pPr>
              <w:pStyle w:val="Tabletext"/>
              <w:spacing w:before="20" w:after="20"/>
              <w:rPr>
                <w:bCs/>
                <w:szCs w:val="22"/>
                <w:lang w:val="en-US"/>
              </w:rPr>
            </w:pPr>
            <w:r w:rsidRPr="000C156A">
              <w:rPr>
                <w:rFonts w:hint="eastAsia"/>
                <w:bCs/>
                <w:szCs w:val="22"/>
                <w:lang w:val="en-US"/>
              </w:rPr>
              <w:t>处置</w:t>
            </w:r>
          </w:p>
        </w:tc>
        <w:tc>
          <w:tcPr>
            <w:tcW w:w="1520" w:type="dxa"/>
            <w:shd w:val="clear" w:color="auto" w:fill="auto"/>
            <w:noWrap/>
            <w:vAlign w:val="bottom"/>
            <w:hideMark/>
          </w:tcPr>
          <w:p w14:paraId="3A067737"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p>
        </w:tc>
        <w:tc>
          <w:tcPr>
            <w:tcW w:w="1383" w:type="dxa"/>
            <w:shd w:val="clear" w:color="auto" w:fill="auto"/>
            <w:noWrap/>
            <w:vAlign w:val="bottom"/>
            <w:hideMark/>
          </w:tcPr>
          <w:p w14:paraId="25185BBD"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p>
        </w:tc>
        <w:tc>
          <w:tcPr>
            <w:tcW w:w="1243" w:type="dxa"/>
            <w:shd w:val="clear" w:color="auto" w:fill="auto"/>
            <w:noWrap/>
            <w:vAlign w:val="center"/>
            <w:hideMark/>
          </w:tcPr>
          <w:p w14:paraId="32842493"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r w:rsidRPr="000C156A">
              <w:rPr>
                <w:rFonts w:cstheme="minorHAnsi"/>
                <w:color w:val="000000"/>
                <w:sz w:val="22"/>
                <w:szCs w:val="22"/>
                <w:lang w:eastAsia="en-GB"/>
              </w:rPr>
              <w:t>-</w:t>
            </w:r>
          </w:p>
        </w:tc>
      </w:tr>
      <w:tr w:rsidR="009D43C3" w:rsidRPr="000C156A" w14:paraId="55C7287B" w14:textId="77777777" w:rsidTr="005D02F0">
        <w:trPr>
          <w:trHeight w:val="120"/>
          <w:jc w:val="center"/>
        </w:trPr>
        <w:tc>
          <w:tcPr>
            <w:tcW w:w="3042" w:type="dxa"/>
            <w:hideMark/>
          </w:tcPr>
          <w:p w14:paraId="33EA31D5" w14:textId="77777777" w:rsidR="009D43C3" w:rsidRPr="000C156A" w:rsidRDefault="009D43C3" w:rsidP="005D02F0">
            <w:pPr>
              <w:pStyle w:val="Tabletext"/>
              <w:spacing w:before="20" w:after="20"/>
              <w:rPr>
                <w:szCs w:val="22"/>
                <w:lang w:val="en-US" w:eastAsia="zh-CN"/>
              </w:rPr>
            </w:pPr>
            <w:r w:rsidRPr="000C156A">
              <w:rPr>
                <w:rFonts w:hint="eastAsia"/>
                <w:szCs w:val="22"/>
                <w:lang w:val="en-US" w:eastAsia="zh-CN"/>
              </w:rPr>
              <w:t>减值损失</w:t>
            </w:r>
          </w:p>
        </w:tc>
        <w:tc>
          <w:tcPr>
            <w:tcW w:w="1520" w:type="dxa"/>
            <w:shd w:val="clear" w:color="auto" w:fill="auto"/>
            <w:noWrap/>
            <w:vAlign w:val="bottom"/>
            <w:hideMark/>
          </w:tcPr>
          <w:p w14:paraId="3A86870E"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p>
        </w:tc>
        <w:tc>
          <w:tcPr>
            <w:tcW w:w="1383" w:type="dxa"/>
            <w:shd w:val="clear" w:color="auto" w:fill="auto"/>
            <w:noWrap/>
            <w:vAlign w:val="bottom"/>
            <w:hideMark/>
          </w:tcPr>
          <w:p w14:paraId="55F7F349"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p>
        </w:tc>
        <w:tc>
          <w:tcPr>
            <w:tcW w:w="1243" w:type="dxa"/>
            <w:shd w:val="clear" w:color="auto" w:fill="auto"/>
            <w:noWrap/>
            <w:vAlign w:val="center"/>
            <w:hideMark/>
          </w:tcPr>
          <w:p w14:paraId="243D1123"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r w:rsidRPr="000C156A">
              <w:rPr>
                <w:rFonts w:cstheme="minorHAnsi"/>
                <w:color w:val="000000"/>
                <w:sz w:val="22"/>
                <w:szCs w:val="22"/>
                <w:lang w:eastAsia="en-GB"/>
              </w:rPr>
              <w:t>-</w:t>
            </w:r>
          </w:p>
        </w:tc>
      </w:tr>
      <w:tr w:rsidR="009D43C3" w:rsidRPr="000C156A" w14:paraId="377239C4" w14:textId="77777777" w:rsidTr="005D02F0">
        <w:trPr>
          <w:trHeight w:val="120"/>
          <w:jc w:val="center"/>
        </w:trPr>
        <w:tc>
          <w:tcPr>
            <w:tcW w:w="3042" w:type="dxa"/>
            <w:hideMark/>
          </w:tcPr>
          <w:p w14:paraId="5468DC6F" w14:textId="77777777" w:rsidR="009D43C3" w:rsidRPr="000C156A" w:rsidRDefault="009D43C3" w:rsidP="005D02F0">
            <w:pPr>
              <w:pStyle w:val="Tabletext"/>
              <w:spacing w:before="20" w:after="20"/>
              <w:rPr>
                <w:szCs w:val="22"/>
                <w:lang w:val="en-US" w:eastAsia="zh-CN"/>
              </w:rPr>
            </w:pPr>
            <w:r w:rsidRPr="000C156A">
              <w:rPr>
                <w:rFonts w:hint="eastAsia"/>
                <w:bCs/>
                <w:szCs w:val="22"/>
                <w:lang w:val="en-US"/>
              </w:rPr>
              <w:t>重新分类与校正</w:t>
            </w:r>
          </w:p>
        </w:tc>
        <w:tc>
          <w:tcPr>
            <w:tcW w:w="1520" w:type="dxa"/>
            <w:shd w:val="clear" w:color="auto" w:fill="auto"/>
            <w:noWrap/>
            <w:vAlign w:val="bottom"/>
            <w:hideMark/>
          </w:tcPr>
          <w:p w14:paraId="55DD81CA" w14:textId="77777777" w:rsidR="009D43C3" w:rsidRPr="000C156A" w:rsidRDefault="009D43C3" w:rsidP="00593D2B">
            <w:pPr>
              <w:overflowPunct/>
              <w:autoSpaceDE/>
              <w:autoSpaceDN/>
              <w:adjustRightInd/>
              <w:spacing w:before="0"/>
              <w:jc w:val="right"/>
              <w:textAlignment w:val="auto"/>
              <w:rPr>
                <w:rFonts w:cstheme="minorHAnsi"/>
                <w:sz w:val="22"/>
                <w:szCs w:val="22"/>
                <w:lang w:eastAsia="en-GB"/>
              </w:rPr>
            </w:pPr>
          </w:p>
        </w:tc>
        <w:tc>
          <w:tcPr>
            <w:tcW w:w="1383" w:type="dxa"/>
            <w:shd w:val="clear" w:color="auto" w:fill="auto"/>
            <w:noWrap/>
            <w:vAlign w:val="bottom"/>
            <w:hideMark/>
          </w:tcPr>
          <w:p w14:paraId="2DC8F8B4" w14:textId="49FFC8EC"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r w:rsidRPr="000C156A">
              <w:rPr>
                <w:rFonts w:asciiTheme="minorHAnsi" w:hAnsiTheme="minorHAnsi" w:cstheme="minorHAnsi"/>
                <w:color w:val="000000"/>
                <w:sz w:val="22"/>
                <w:szCs w:val="22"/>
                <w:lang w:eastAsia="en-GB"/>
              </w:rPr>
              <w:t>-12</w:t>
            </w:r>
          </w:p>
        </w:tc>
        <w:tc>
          <w:tcPr>
            <w:tcW w:w="1243" w:type="dxa"/>
            <w:shd w:val="clear" w:color="auto" w:fill="auto"/>
            <w:noWrap/>
            <w:vAlign w:val="center"/>
            <w:hideMark/>
          </w:tcPr>
          <w:p w14:paraId="11F9CE76"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r w:rsidRPr="000C156A">
              <w:rPr>
                <w:rFonts w:asciiTheme="minorHAnsi" w:hAnsiTheme="minorHAnsi" w:cstheme="minorHAnsi"/>
                <w:color w:val="000000"/>
                <w:sz w:val="22"/>
                <w:szCs w:val="22"/>
                <w:lang w:eastAsia="en-GB"/>
              </w:rPr>
              <w:t>(12)</w:t>
            </w:r>
          </w:p>
        </w:tc>
      </w:tr>
      <w:tr w:rsidR="009D43C3" w:rsidRPr="000C156A" w14:paraId="16E1B5D9" w14:textId="77777777" w:rsidTr="005D02F0">
        <w:trPr>
          <w:trHeight w:val="120"/>
          <w:jc w:val="center"/>
        </w:trPr>
        <w:tc>
          <w:tcPr>
            <w:tcW w:w="3042" w:type="dxa"/>
            <w:tcBorders>
              <w:bottom w:val="single" w:sz="4" w:space="0" w:color="000000"/>
            </w:tcBorders>
            <w:hideMark/>
          </w:tcPr>
          <w:p w14:paraId="341EF72F" w14:textId="77777777" w:rsidR="009D43C3" w:rsidRPr="000C156A" w:rsidRDefault="009D43C3" w:rsidP="005D02F0">
            <w:pPr>
              <w:pStyle w:val="Tabletext"/>
              <w:spacing w:before="20" w:after="20"/>
              <w:rPr>
                <w:bCs/>
                <w:szCs w:val="22"/>
                <w:lang w:val="en-US"/>
              </w:rPr>
            </w:pPr>
            <w:r w:rsidRPr="000C156A">
              <w:rPr>
                <w:rFonts w:hint="eastAsia"/>
                <w:bCs/>
                <w:szCs w:val="22"/>
                <w:lang w:val="en-US"/>
              </w:rPr>
              <w:t>重新估值</w:t>
            </w:r>
          </w:p>
        </w:tc>
        <w:tc>
          <w:tcPr>
            <w:tcW w:w="1520" w:type="dxa"/>
            <w:tcBorders>
              <w:bottom w:val="single" w:sz="4" w:space="0" w:color="000000"/>
            </w:tcBorders>
            <w:shd w:val="clear" w:color="auto" w:fill="auto"/>
            <w:noWrap/>
            <w:vAlign w:val="bottom"/>
            <w:hideMark/>
          </w:tcPr>
          <w:p w14:paraId="22FD9DE4"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p>
        </w:tc>
        <w:tc>
          <w:tcPr>
            <w:tcW w:w="1383" w:type="dxa"/>
            <w:tcBorders>
              <w:bottom w:val="single" w:sz="4" w:space="0" w:color="000000"/>
            </w:tcBorders>
            <w:shd w:val="clear" w:color="auto" w:fill="auto"/>
            <w:noWrap/>
            <w:vAlign w:val="bottom"/>
            <w:hideMark/>
          </w:tcPr>
          <w:p w14:paraId="769F092B"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p>
        </w:tc>
        <w:tc>
          <w:tcPr>
            <w:tcW w:w="1243" w:type="dxa"/>
            <w:tcBorders>
              <w:bottom w:val="single" w:sz="4" w:space="0" w:color="000000"/>
            </w:tcBorders>
            <w:shd w:val="clear" w:color="auto" w:fill="auto"/>
            <w:noWrap/>
            <w:vAlign w:val="center"/>
            <w:hideMark/>
          </w:tcPr>
          <w:p w14:paraId="4E2FB28D"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r w:rsidRPr="000C156A">
              <w:rPr>
                <w:rFonts w:cstheme="minorHAnsi"/>
                <w:color w:val="000000"/>
                <w:sz w:val="22"/>
                <w:szCs w:val="22"/>
                <w:lang w:eastAsia="en-GB"/>
              </w:rPr>
              <w:t>-</w:t>
            </w:r>
          </w:p>
        </w:tc>
      </w:tr>
      <w:tr w:rsidR="009D43C3" w:rsidRPr="000C156A" w14:paraId="4A1A79C0" w14:textId="77777777" w:rsidTr="005D02F0">
        <w:trPr>
          <w:trHeight w:val="120"/>
          <w:jc w:val="center"/>
        </w:trPr>
        <w:tc>
          <w:tcPr>
            <w:tcW w:w="3042" w:type="dxa"/>
            <w:tcBorders>
              <w:top w:val="single" w:sz="4" w:space="0" w:color="000000"/>
              <w:bottom w:val="single" w:sz="4" w:space="0" w:color="000000"/>
            </w:tcBorders>
            <w:shd w:val="clear" w:color="auto" w:fill="auto"/>
            <w:vAlign w:val="center"/>
            <w:hideMark/>
          </w:tcPr>
          <w:p w14:paraId="6C0A0B83" w14:textId="77777777" w:rsidR="009D43C3" w:rsidRPr="000C156A" w:rsidRDefault="009D43C3" w:rsidP="005D02F0">
            <w:pPr>
              <w:overflowPunct/>
              <w:adjustRightInd/>
              <w:spacing w:before="0"/>
              <w:textAlignment w:val="auto"/>
              <w:rPr>
                <w:rFonts w:cs="Arial"/>
                <w:b/>
                <w:bCs/>
                <w:color w:val="000000"/>
                <w:sz w:val="22"/>
                <w:szCs w:val="22"/>
                <w:lang w:val="en-US" w:eastAsia="zh-CN"/>
              </w:rPr>
            </w:pPr>
            <w:r w:rsidRPr="000C156A">
              <w:rPr>
                <w:rFonts w:cs="Arial" w:hint="eastAsia"/>
                <w:b/>
                <w:bCs/>
                <w:color w:val="000000"/>
                <w:sz w:val="22"/>
                <w:szCs w:val="22"/>
                <w:lang w:val="en-US" w:eastAsia="zh-CN"/>
              </w:rPr>
              <w:t>12</w:t>
            </w:r>
            <w:r w:rsidRPr="000C156A">
              <w:rPr>
                <w:rFonts w:cs="Arial" w:hint="eastAsia"/>
                <w:b/>
                <w:bCs/>
                <w:color w:val="000000"/>
                <w:sz w:val="22"/>
                <w:szCs w:val="22"/>
                <w:lang w:val="en-US" w:eastAsia="zh-CN"/>
              </w:rPr>
              <w:t>月</w:t>
            </w:r>
            <w:r w:rsidRPr="000C156A">
              <w:rPr>
                <w:rFonts w:cs="Arial" w:hint="eastAsia"/>
                <w:b/>
                <w:bCs/>
                <w:color w:val="000000"/>
                <w:sz w:val="22"/>
                <w:szCs w:val="22"/>
                <w:lang w:val="en-US" w:eastAsia="zh-CN"/>
              </w:rPr>
              <w:t>31</w:t>
            </w:r>
            <w:r w:rsidRPr="000C156A">
              <w:rPr>
                <w:rFonts w:cs="Arial" w:hint="eastAsia"/>
                <w:b/>
                <w:bCs/>
                <w:color w:val="000000"/>
                <w:sz w:val="22"/>
                <w:szCs w:val="22"/>
                <w:lang w:val="en-US" w:eastAsia="zh-CN"/>
              </w:rPr>
              <w:t>日时的成本</w:t>
            </w:r>
          </w:p>
        </w:tc>
        <w:tc>
          <w:tcPr>
            <w:tcW w:w="1520" w:type="dxa"/>
            <w:tcBorders>
              <w:top w:val="single" w:sz="4" w:space="0" w:color="000000"/>
              <w:bottom w:val="single" w:sz="4" w:space="0" w:color="000000"/>
            </w:tcBorders>
            <w:shd w:val="clear" w:color="auto" w:fill="auto"/>
            <w:vAlign w:val="center"/>
            <w:hideMark/>
          </w:tcPr>
          <w:p w14:paraId="58689DF2" w14:textId="3632FE5C" w:rsidR="009D43C3" w:rsidRPr="000C156A" w:rsidRDefault="009D43C3" w:rsidP="00593D2B">
            <w:pPr>
              <w:overflowPunct/>
              <w:autoSpaceDE/>
              <w:autoSpaceDN/>
              <w:adjustRightInd/>
              <w:spacing w:before="0"/>
              <w:jc w:val="right"/>
              <w:textAlignment w:val="auto"/>
              <w:rPr>
                <w:rFonts w:cstheme="minorHAnsi"/>
                <w:b/>
                <w:bCs/>
                <w:color w:val="000000"/>
                <w:sz w:val="22"/>
                <w:szCs w:val="22"/>
                <w:lang w:eastAsia="en-GB"/>
              </w:rPr>
            </w:pPr>
            <w:r w:rsidRPr="000C156A">
              <w:rPr>
                <w:rFonts w:asciiTheme="minorHAnsi" w:hAnsiTheme="minorHAnsi" w:cstheme="minorHAnsi"/>
                <w:b/>
                <w:bCs/>
                <w:color w:val="000000"/>
                <w:sz w:val="22"/>
                <w:szCs w:val="22"/>
                <w:lang w:eastAsia="en-GB"/>
              </w:rPr>
              <w:t>8</w:t>
            </w:r>
            <w:r w:rsidR="00593D2B"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176</w:t>
            </w:r>
          </w:p>
        </w:tc>
        <w:tc>
          <w:tcPr>
            <w:tcW w:w="1383" w:type="dxa"/>
            <w:tcBorders>
              <w:top w:val="single" w:sz="4" w:space="0" w:color="000000"/>
              <w:bottom w:val="single" w:sz="4" w:space="0" w:color="000000"/>
            </w:tcBorders>
            <w:shd w:val="clear" w:color="auto" w:fill="auto"/>
            <w:vAlign w:val="center"/>
            <w:hideMark/>
          </w:tcPr>
          <w:p w14:paraId="40802268" w14:textId="185AB618" w:rsidR="009D43C3" w:rsidRPr="000C156A" w:rsidRDefault="009D43C3" w:rsidP="00593D2B">
            <w:pPr>
              <w:overflowPunct/>
              <w:autoSpaceDE/>
              <w:autoSpaceDN/>
              <w:adjustRightInd/>
              <w:spacing w:before="0"/>
              <w:jc w:val="right"/>
              <w:textAlignment w:val="auto"/>
              <w:rPr>
                <w:rFonts w:cstheme="minorHAnsi"/>
                <w:b/>
                <w:bCs/>
                <w:color w:val="000000"/>
                <w:sz w:val="22"/>
                <w:szCs w:val="22"/>
                <w:lang w:eastAsia="en-GB"/>
              </w:rPr>
            </w:pPr>
            <w:r w:rsidRPr="000C156A">
              <w:rPr>
                <w:rFonts w:asciiTheme="minorHAnsi" w:hAnsiTheme="minorHAnsi" w:cstheme="minorHAnsi"/>
                <w:b/>
                <w:bCs/>
                <w:color w:val="000000"/>
                <w:sz w:val="22"/>
                <w:szCs w:val="22"/>
                <w:lang w:eastAsia="en-GB"/>
              </w:rPr>
              <w:t>1</w:t>
            </w:r>
            <w:r w:rsidR="00593D2B"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267</w:t>
            </w:r>
          </w:p>
        </w:tc>
        <w:tc>
          <w:tcPr>
            <w:tcW w:w="1243" w:type="dxa"/>
            <w:tcBorders>
              <w:top w:val="single" w:sz="4" w:space="0" w:color="000000"/>
              <w:bottom w:val="single" w:sz="4" w:space="0" w:color="000000"/>
            </w:tcBorders>
            <w:shd w:val="clear" w:color="auto" w:fill="auto"/>
            <w:vAlign w:val="center"/>
            <w:hideMark/>
          </w:tcPr>
          <w:p w14:paraId="0EB4D34A" w14:textId="13559876" w:rsidR="009D43C3" w:rsidRPr="000C156A" w:rsidRDefault="009D43C3" w:rsidP="00593D2B">
            <w:pPr>
              <w:overflowPunct/>
              <w:autoSpaceDE/>
              <w:autoSpaceDN/>
              <w:adjustRightInd/>
              <w:spacing w:before="0"/>
              <w:jc w:val="right"/>
              <w:textAlignment w:val="auto"/>
              <w:rPr>
                <w:rFonts w:cstheme="minorHAnsi"/>
                <w:b/>
                <w:bCs/>
                <w:color w:val="000000"/>
                <w:sz w:val="22"/>
                <w:szCs w:val="22"/>
                <w:lang w:eastAsia="en-GB"/>
              </w:rPr>
            </w:pPr>
            <w:r w:rsidRPr="000C156A">
              <w:rPr>
                <w:rFonts w:asciiTheme="minorHAnsi" w:hAnsiTheme="minorHAnsi" w:cstheme="minorHAnsi"/>
                <w:b/>
                <w:bCs/>
                <w:color w:val="000000"/>
                <w:sz w:val="22"/>
                <w:szCs w:val="22"/>
                <w:lang w:eastAsia="en-GB"/>
              </w:rPr>
              <w:t>9</w:t>
            </w:r>
            <w:r w:rsidR="00593D2B"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443</w:t>
            </w:r>
          </w:p>
        </w:tc>
      </w:tr>
      <w:tr w:rsidR="009D43C3" w:rsidRPr="000C156A" w14:paraId="66A22696" w14:textId="77777777" w:rsidTr="005D02F0">
        <w:trPr>
          <w:trHeight w:val="226"/>
          <w:jc w:val="center"/>
        </w:trPr>
        <w:tc>
          <w:tcPr>
            <w:tcW w:w="3042" w:type="dxa"/>
            <w:tcBorders>
              <w:top w:val="single" w:sz="4" w:space="0" w:color="000000"/>
              <w:bottom w:val="single" w:sz="4" w:space="0" w:color="000000"/>
            </w:tcBorders>
            <w:shd w:val="clear" w:color="auto" w:fill="auto"/>
            <w:vAlign w:val="center"/>
            <w:hideMark/>
          </w:tcPr>
          <w:p w14:paraId="74BD999B" w14:textId="77777777" w:rsidR="009D43C3" w:rsidRPr="000C156A" w:rsidRDefault="009D43C3" w:rsidP="005D02F0">
            <w:pPr>
              <w:overflowPunct/>
              <w:adjustRightInd/>
              <w:spacing w:before="0"/>
              <w:textAlignment w:val="auto"/>
              <w:rPr>
                <w:rFonts w:cs="Arial"/>
                <w:b/>
                <w:bCs/>
                <w:color w:val="000000"/>
                <w:sz w:val="22"/>
                <w:szCs w:val="22"/>
                <w:lang w:val="en-US" w:eastAsia="zh-CN"/>
              </w:rPr>
            </w:pPr>
            <w:r w:rsidRPr="000C156A">
              <w:rPr>
                <w:rFonts w:cs="Arial" w:hint="eastAsia"/>
                <w:b/>
                <w:bCs/>
                <w:color w:val="000000"/>
                <w:sz w:val="22"/>
                <w:szCs w:val="22"/>
                <w:lang w:val="en-US" w:eastAsia="zh-CN"/>
              </w:rPr>
              <w:t>1</w:t>
            </w:r>
            <w:r w:rsidRPr="000C156A">
              <w:rPr>
                <w:rFonts w:cs="Arial" w:hint="eastAsia"/>
                <w:b/>
                <w:bCs/>
                <w:color w:val="000000"/>
                <w:sz w:val="22"/>
                <w:szCs w:val="22"/>
                <w:lang w:val="en-US" w:eastAsia="zh-CN"/>
              </w:rPr>
              <w:t>月</w:t>
            </w:r>
            <w:r w:rsidRPr="000C156A">
              <w:rPr>
                <w:rFonts w:cs="Arial" w:hint="eastAsia"/>
                <w:b/>
                <w:bCs/>
                <w:color w:val="000000"/>
                <w:sz w:val="22"/>
                <w:szCs w:val="22"/>
                <w:lang w:val="en-US" w:eastAsia="zh-CN"/>
              </w:rPr>
              <w:t>1</w:t>
            </w:r>
            <w:r w:rsidRPr="000C156A">
              <w:rPr>
                <w:rFonts w:cs="Arial" w:hint="eastAsia"/>
                <w:b/>
                <w:bCs/>
                <w:color w:val="000000"/>
                <w:sz w:val="22"/>
                <w:szCs w:val="22"/>
                <w:lang w:val="en-US" w:eastAsia="zh-CN"/>
              </w:rPr>
              <w:t>日时的折旧</w:t>
            </w:r>
          </w:p>
        </w:tc>
        <w:tc>
          <w:tcPr>
            <w:tcW w:w="1520" w:type="dxa"/>
            <w:tcBorders>
              <w:top w:val="single" w:sz="4" w:space="0" w:color="000000"/>
              <w:bottom w:val="single" w:sz="4" w:space="0" w:color="000000"/>
            </w:tcBorders>
            <w:shd w:val="clear" w:color="auto" w:fill="auto"/>
            <w:noWrap/>
            <w:vAlign w:val="center"/>
            <w:hideMark/>
          </w:tcPr>
          <w:p w14:paraId="28BACDDD" w14:textId="77777777" w:rsidR="009D43C3" w:rsidRPr="000C156A" w:rsidRDefault="009D43C3" w:rsidP="00593D2B">
            <w:pPr>
              <w:overflowPunct/>
              <w:autoSpaceDE/>
              <w:autoSpaceDN/>
              <w:adjustRightInd/>
              <w:spacing w:before="0"/>
              <w:jc w:val="right"/>
              <w:textAlignment w:val="auto"/>
              <w:rPr>
                <w:rFonts w:cstheme="minorHAnsi"/>
                <w:b/>
                <w:bCs/>
                <w:color w:val="000000"/>
                <w:sz w:val="22"/>
                <w:szCs w:val="22"/>
                <w:lang w:eastAsia="en-GB"/>
              </w:rPr>
            </w:pPr>
          </w:p>
        </w:tc>
        <w:tc>
          <w:tcPr>
            <w:tcW w:w="1383" w:type="dxa"/>
            <w:tcBorders>
              <w:top w:val="single" w:sz="4" w:space="0" w:color="000000"/>
              <w:bottom w:val="single" w:sz="4" w:space="0" w:color="000000"/>
            </w:tcBorders>
            <w:shd w:val="clear" w:color="auto" w:fill="auto"/>
            <w:noWrap/>
            <w:vAlign w:val="center"/>
            <w:hideMark/>
          </w:tcPr>
          <w:p w14:paraId="2178692F" w14:textId="77777777" w:rsidR="009D43C3" w:rsidRPr="000C156A" w:rsidRDefault="009D43C3" w:rsidP="00593D2B">
            <w:pPr>
              <w:overflowPunct/>
              <w:autoSpaceDE/>
              <w:autoSpaceDN/>
              <w:adjustRightInd/>
              <w:spacing w:before="0"/>
              <w:jc w:val="right"/>
              <w:textAlignment w:val="auto"/>
              <w:rPr>
                <w:rFonts w:cstheme="minorHAnsi"/>
                <w:b/>
                <w:bCs/>
                <w:color w:val="000000"/>
                <w:sz w:val="22"/>
                <w:szCs w:val="22"/>
                <w:lang w:eastAsia="en-GB"/>
              </w:rPr>
            </w:pPr>
            <w:r w:rsidRPr="000C156A">
              <w:rPr>
                <w:rFonts w:cstheme="minorHAnsi"/>
                <w:b/>
                <w:bCs/>
                <w:color w:val="000000"/>
                <w:sz w:val="22"/>
                <w:szCs w:val="22"/>
                <w:lang w:eastAsia="en-GB"/>
              </w:rPr>
              <w:t>-</w:t>
            </w:r>
          </w:p>
        </w:tc>
        <w:tc>
          <w:tcPr>
            <w:tcW w:w="1243" w:type="dxa"/>
            <w:tcBorders>
              <w:top w:val="single" w:sz="4" w:space="0" w:color="000000"/>
              <w:bottom w:val="single" w:sz="4" w:space="0" w:color="000000"/>
            </w:tcBorders>
            <w:shd w:val="clear" w:color="auto" w:fill="auto"/>
            <w:vAlign w:val="center"/>
            <w:hideMark/>
          </w:tcPr>
          <w:p w14:paraId="2367F802" w14:textId="77777777" w:rsidR="009D43C3" w:rsidRPr="000C156A" w:rsidRDefault="009D43C3" w:rsidP="00593D2B">
            <w:pPr>
              <w:overflowPunct/>
              <w:autoSpaceDE/>
              <w:autoSpaceDN/>
              <w:adjustRightInd/>
              <w:spacing w:before="0"/>
              <w:jc w:val="right"/>
              <w:textAlignment w:val="auto"/>
              <w:rPr>
                <w:rFonts w:cstheme="minorHAnsi"/>
                <w:b/>
                <w:bCs/>
                <w:color w:val="000000"/>
                <w:sz w:val="22"/>
                <w:szCs w:val="22"/>
                <w:lang w:eastAsia="en-GB"/>
              </w:rPr>
            </w:pPr>
            <w:r w:rsidRPr="000C156A">
              <w:rPr>
                <w:rFonts w:cstheme="minorHAnsi"/>
                <w:b/>
                <w:bCs/>
                <w:color w:val="000000"/>
                <w:sz w:val="22"/>
                <w:szCs w:val="22"/>
                <w:lang w:eastAsia="en-GB"/>
              </w:rPr>
              <w:t>-</w:t>
            </w:r>
          </w:p>
        </w:tc>
      </w:tr>
      <w:tr w:rsidR="009D43C3" w:rsidRPr="000C156A" w14:paraId="4D832512" w14:textId="77777777" w:rsidTr="005D02F0">
        <w:trPr>
          <w:trHeight w:val="120"/>
          <w:jc w:val="center"/>
        </w:trPr>
        <w:tc>
          <w:tcPr>
            <w:tcW w:w="3042" w:type="dxa"/>
            <w:tcBorders>
              <w:top w:val="single" w:sz="4" w:space="0" w:color="000000"/>
            </w:tcBorders>
            <w:shd w:val="clear" w:color="auto" w:fill="auto"/>
            <w:hideMark/>
          </w:tcPr>
          <w:p w14:paraId="75AF3BBB" w14:textId="77777777" w:rsidR="009D43C3" w:rsidRPr="000C156A" w:rsidRDefault="009D43C3" w:rsidP="005D02F0">
            <w:pPr>
              <w:overflowPunct/>
              <w:adjustRightInd/>
              <w:spacing w:before="0"/>
              <w:textAlignment w:val="auto"/>
              <w:rPr>
                <w:rFonts w:cs="Arial"/>
                <w:color w:val="000000"/>
                <w:sz w:val="22"/>
                <w:szCs w:val="22"/>
                <w:lang w:val="en-US" w:eastAsia="zh-CN"/>
              </w:rPr>
            </w:pPr>
            <w:r w:rsidRPr="000C156A">
              <w:rPr>
                <w:rFonts w:cs="Arial" w:hint="eastAsia"/>
                <w:color w:val="000000"/>
                <w:sz w:val="22"/>
                <w:szCs w:val="22"/>
                <w:lang w:val="en-US" w:eastAsia="zh-CN"/>
              </w:rPr>
              <w:t>年度期间得到确认</w:t>
            </w:r>
          </w:p>
        </w:tc>
        <w:tc>
          <w:tcPr>
            <w:tcW w:w="1520" w:type="dxa"/>
            <w:tcBorders>
              <w:top w:val="single" w:sz="4" w:space="0" w:color="000000"/>
            </w:tcBorders>
            <w:shd w:val="clear" w:color="auto" w:fill="auto"/>
            <w:noWrap/>
            <w:vAlign w:val="center"/>
            <w:hideMark/>
          </w:tcPr>
          <w:p w14:paraId="5E935CB5"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p>
        </w:tc>
        <w:tc>
          <w:tcPr>
            <w:tcW w:w="1383" w:type="dxa"/>
            <w:tcBorders>
              <w:top w:val="single" w:sz="4" w:space="0" w:color="000000"/>
            </w:tcBorders>
            <w:shd w:val="clear" w:color="auto" w:fill="auto"/>
            <w:noWrap/>
            <w:vAlign w:val="bottom"/>
            <w:hideMark/>
          </w:tcPr>
          <w:p w14:paraId="56587B9F"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p>
        </w:tc>
        <w:tc>
          <w:tcPr>
            <w:tcW w:w="1243" w:type="dxa"/>
            <w:tcBorders>
              <w:top w:val="single" w:sz="4" w:space="0" w:color="000000"/>
            </w:tcBorders>
            <w:shd w:val="clear" w:color="auto" w:fill="auto"/>
            <w:noWrap/>
            <w:vAlign w:val="center"/>
            <w:hideMark/>
          </w:tcPr>
          <w:p w14:paraId="1B8B63DF"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r w:rsidRPr="000C156A">
              <w:rPr>
                <w:rFonts w:cstheme="minorHAnsi"/>
                <w:color w:val="000000"/>
                <w:sz w:val="22"/>
                <w:szCs w:val="22"/>
                <w:lang w:eastAsia="en-GB"/>
              </w:rPr>
              <w:t>-</w:t>
            </w:r>
          </w:p>
        </w:tc>
      </w:tr>
      <w:tr w:rsidR="009D43C3" w:rsidRPr="000C156A" w14:paraId="0E8B0246" w14:textId="77777777" w:rsidTr="005D02F0">
        <w:trPr>
          <w:trHeight w:val="120"/>
          <w:jc w:val="center"/>
        </w:trPr>
        <w:tc>
          <w:tcPr>
            <w:tcW w:w="3042" w:type="dxa"/>
            <w:hideMark/>
          </w:tcPr>
          <w:p w14:paraId="3B32132F" w14:textId="77777777" w:rsidR="009D43C3" w:rsidRPr="000C156A" w:rsidRDefault="009D43C3" w:rsidP="005D02F0">
            <w:pPr>
              <w:pStyle w:val="Tabletext"/>
              <w:spacing w:before="20" w:after="20"/>
              <w:rPr>
                <w:bCs/>
                <w:szCs w:val="22"/>
                <w:lang w:val="en-US"/>
              </w:rPr>
            </w:pPr>
            <w:r w:rsidRPr="000C156A">
              <w:rPr>
                <w:rFonts w:hint="eastAsia"/>
                <w:bCs/>
                <w:szCs w:val="22"/>
                <w:lang w:val="en-US"/>
              </w:rPr>
              <w:t>处置</w:t>
            </w:r>
          </w:p>
        </w:tc>
        <w:tc>
          <w:tcPr>
            <w:tcW w:w="1520" w:type="dxa"/>
            <w:shd w:val="clear" w:color="auto" w:fill="auto"/>
            <w:noWrap/>
            <w:vAlign w:val="bottom"/>
            <w:hideMark/>
          </w:tcPr>
          <w:p w14:paraId="0B16BE48"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p>
        </w:tc>
        <w:tc>
          <w:tcPr>
            <w:tcW w:w="1383" w:type="dxa"/>
            <w:shd w:val="clear" w:color="auto" w:fill="auto"/>
            <w:noWrap/>
            <w:vAlign w:val="bottom"/>
            <w:hideMark/>
          </w:tcPr>
          <w:p w14:paraId="028E7939"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p>
        </w:tc>
        <w:tc>
          <w:tcPr>
            <w:tcW w:w="1243" w:type="dxa"/>
            <w:shd w:val="clear" w:color="auto" w:fill="auto"/>
            <w:noWrap/>
            <w:vAlign w:val="center"/>
            <w:hideMark/>
          </w:tcPr>
          <w:p w14:paraId="2ECD2180"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r w:rsidRPr="000C156A">
              <w:rPr>
                <w:rFonts w:cstheme="minorHAnsi"/>
                <w:color w:val="000000"/>
                <w:sz w:val="22"/>
                <w:szCs w:val="22"/>
                <w:lang w:eastAsia="en-GB"/>
              </w:rPr>
              <w:t>-</w:t>
            </w:r>
          </w:p>
        </w:tc>
      </w:tr>
      <w:tr w:rsidR="009D43C3" w:rsidRPr="000C156A" w14:paraId="7EA5197A" w14:textId="77777777" w:rsidTr="005D02F0">
        <w:trPr>
          <w:trHeight w:val="120"/>
          <w:jc w:val="center"/>
        </w:trPr>
        <w:tc>
          <w:tcPr>
            <w:tcW w:w="3042" w:type="dxa"/>
            <w:hideMark/>
          </w:tcPr>
          <w:p w14:paraId="05E2E896" w14:textId="77777777" w:rsidR="009D43C3" w:rsidRPr="000C156A" w:rsidRDefault="009D43C3" w:rsidP="005D02F0">
            <w:pPr>
              <w:pStyle w:val="Tabletext"/>
              <w:spacing w:before="20" w:after="20"/>
              <w:rPr>
                <w:szCs w:val="22"/>
                <w:lang w:val="en-US" w:eastAsia="zh-CN"/>
              </w:rPr>
            </w:pPr>
            <w:r w:rsidRPr="000C156A">
              <w:rPr>
                <w:rFonts w:hint="eastAsia"/>
                <w:szCs w:val="22"/>
                <w:lang w:val="en-US" w:eastAsia="zh-CN"/>
              </w:rPr>
              <w:t>减值损失</w:t>
            </w:r>
          </w:p>
        </w:tc>
        <w:tc>
          <w:tcPr>
            <w:tcW w:w="1520" w:type="dxa"/>
            <w:shd w:val="clear" w:color="auto" w:fill="auto"/>
            <w:noWrap/>
            <w:vAlign w:val="bottom"/>
            <w:hideMark/>
          </w:tcPr>
          <w:p w14:paraId="6D017BF6"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p>
        </w:tc>
        <w:tc>
          <w:tcPr>
            <w:tcW w:w="1383" w:type="dxa"/>
            <w:shd w:val="clear" w:color="auto" w:fill="auto"/>
            <w:noWrap/>
            <w:vAlign w:val="bottom"/>
            <w:hideMark/>
          </w:tcPr>
          <w:p w14:paraId="6CFD726B"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p>
        </w:tc>
        <w:tc>
          <w:tcPr>
            <w:tcW w:w="1243" w:type="dxa"/>
            <w:shd w:val="clear" w:color="auto" w:fill="auto"/>
            <w:noWrap/>
            <w:vAlign w:val="center"/>
            <w:hideMark/>
          </w:tcPr>
          <w:p w14:paraId="521B5BFF"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r w:rsidRPr="000C156A">
              <w:rPr>
                <w:rFonts w:cstheme="minorHAnsi"/>
                <w:color w:val="000000"/>
                <w:sz w:val="22"/>
                <w:szCs w:val="22"/>
                <w:lang w:eastAsia="en-GB"/>
              </w:rPr>
              <w:t>-</w:t>
            </w:r>
          </w:p>
        </w:tc>
      </w:tr>
      <w:tr w:rsidR="009D43C3" w:rsidRPr="000C156A" w14:paraId="24E768EB" w14:textId="77777777" w:rsidTr="005D02F0">
        <w:trPr>
          <w:trHeight w:val="120"/>
          <w:jc w:val="center"/>
        </w:trPr>
        <w:tc>
          <w:tcPr>
            <w:tcW w:w="3042" w:type="dxa"/>
            <w:hideMark/>
          </w:tcPr>
          <w:p w14:paraId="1ECF6757" w14:textId="77777777" w:rsidR="009D43C3" w:rsidRPr="000C156A" w:rsidRDefault="009D43C3" w:rsidP="005D02F0">
            <w:pPr>
              <w:pStyle w:val="Tabletext"/>
              <w:spacing w:before="20" w:after="20"/>
              <w:rPr>
                <w:szCs w:val="22"/>
                <w:lang w:val="en-US" w:eastAsia="zh-CN"/>
              </w:rPr>
            </w:pPr>
            <w:r w:rsidRPr="000C156A">
              <w:rPr>
                <w:rFonts w:hint="eastAsia"/>
                <w:bCs/>
                <w:szCs w:val="22"/>
                <w:lang w:val="en-US"/>
              </w:rPr>
              <w:t>重新分类与校正</w:t>
            </w:r>
          </w:p>
        </w:tc>
        <w:tc>
          <w:tcPr>
            <w:tcW w:w="1520" w:type="dxa"/>
            <w:shd w:val="clear" w:color="auto" w:fill="auto"/>
            <w:noWrap/>
            <w:vAlign w:val="bottom"/>
            <w:hideMark/>
          </w:tcPr>
          <w:p w14:paraId="15BC3E90"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p>
        </w:tc>
        <w:tc>
          <w:tcPr>
            <w:tcW w:w="1383" w:type="dxa"/>
            <w:shd w:val="clear" w:color="auto" w:fill="auto"/>
            <w:noWrap/>
            <w:vAlign w:val="bottom"/>
            <w:hideMark/>
          </w:tcPr>
          <w:p w14:paraId="71B8D880"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p>
        </w:tc>
        <w:tc>
          <w:tcPr>
            <w:tcW w:w="1243" w:type="dxa"/>
            <w:shd w:val="clear" w:color="auto" w:fill="auto"/>
            <w:noWrap/>
            <w:vAlign w:val="center"/>
            <w:hideMark/>
          </w:tcPr>
          <w:p w14:paraId="5B569D8F"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r w:rsidRPr="000C156A">
              <w:rPr>
                <w:rFonts w:cstheme="minorHAnsi"/>
                <w:color w:val="000000"/>
                <w:sz w:val="22"/>
                <w:szCs w:val="22"/>
                <w:lang w:eastAsia="en-GB"/>
              </w:rPr>
              <w:t>-</w:t>
            </w:r>
          </w:p>
        </w:tc>
      </w:tr>
      <w:tr w:rsidR="009D43C3" w:rsidRPr="000C156A" w14:paraId="2AC23FF7" w14:textId="77777777" w:rsidTr="005D02F0">
        <w:trPr>
          <w:trHeight w:val="120"/>
          <w:jc w:val="center"/>
        </w:trPr>
        <w:tc>
          <w:tcPr>
            <w:tcW w:w="3042" w:type="dxa"/>
            <w:tcBorders>
              <w:bottom w:val="single" w:sz="4" w:space="0" w:color="000000"/>
            </w:tcBorders>
            <w:hideMark/>
          </w:tcPr>
          <w:p w14:paraId="5CB0BD69" w14:textId="77777777" w:rsidR="009D43C3" w:rsidRPr="000C156A" w:rsidRDefault="009D43C3" w:rsidP="005D02F0">
            <w:pPr>
              <w:pStyle w:val="Tabletext"/>
              <w:spacing w:before="20" w:after="20"/>
              <w:rPr>
                <w:bCs/>
                <w:szCs w:val="22"/>
                <w:lang w:val="en-US"/>
              </w:rPr>
            </w:pPr>
            <w:r w:rsidRPr="000C156A">
              <w:rPr>
                <w:rFonts w:hint="eastAsia"/>
                <w:bCs/>
                <w:szCs w:val="22"/>
                <w:lang w:val="en-US"/>
              </w:rPr>
              <w:t>重新估值</w:t>
            </w:r>
          </w:p>
        </w:tc>
        <w:tc>
          <w:tcPr>
            <w:tcW w:w="1520" w:type="dxa"/>
            <w:tcBorders>
              <w:bottom w:val="single" w:sz="4" w:space="0" w:color="000000"/>
            </w:tcBorders>
            <w:shd w:val="clear" w:color="auto" w:fill="auto"/>
            <w:noWrap/>
            <w:vAlign w:val="bottom"/>
            <w:hideMark/>
          </w:tcPr>
          <w:p w14:paraId="035F4E46"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p>
        </w:tc>
        <w:tc>
          <w:tcPr>
            <w:tcW w:w="1383" w:type="dxa"/>
            <w:tcBorders>
              <w:bottom w:val="single" w:sz="4" w:space="0" w:color="000000"/>
            </w:tcBorders>
            <w:shd w:val="clear" w:color="auto" w:fill="auto"/>
            <w:noWrap/>
            <w:vAlign w:val="bottom"/>
            <w:hideMark/>
          </w:tcPr>
          <w:p w14:paraId="7A4A80D5"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p>
        </w:tc>
        <w:tc>
          <w:tcPr>
            <w:tcW w:w="1243" w:type="dxa"/>
            <w:tcBorders>
              <w:bottom w:val="single" w:sz="4" w:space="0" w:color="000000"/>
            </w:tcBorders>
            <w:shd w:val="clear" w:color="auto" w:fill="auto"/>
            <w:noWrap/>
            <w:vAlign w:val="center"/>
            <w:hideMark/>
          </w:tcPr>
          <w:p w14:paraId="173D6E6E" w14:textId="77777777" w:rsidR="009D43C3" w:rsidRPr="000C156A" w:rsidRDefault="009D43C3" w:rsidP="00593D2B">
            <w:pPr>
              <w:overflowPunct/>
              <w:autoSpaceDE/>
              <w:autoSpaceDN/>
              <w:adjustRightInd/>
              <w:spacing w:before="0"/>
              <w:jc w:val="right"/>
              <w:textAlignment w:val="auto"/>
              <w:rPr>
                <w:rFonts w:cstheme="minorHAnsi"/>
                <w:color w:val="000000"/>
                <w:sz w:val="22"/>
                <w:szCs w:val="22"/>
                <w:lang w:eastAsia="en-GB"/>
              </w:rPr>
            </w:pPr>
            <w:r w:rsidRPr="000C156A">
              <w:rPr>
                <w:rFonts w:cstheme="minorHAnsi"/>
                <w:color w:val="000000"/>
                <w:sz w:val="22"/>
                <w:szCs w:val="22"/>
                <w:lang w:eastAsia="en-GB"/>
              </w:rPr>
              <w:t>-</w:t>
            </w:r>
          </w:p>
        </w:tc>
      </w:tr>
      <w:tr w:rsidR="009D43C3" w:rsidRPr="000C156A" w14:paraId="7465CC76" w14:textId="77777777" w:rsidTr="005D02F0">
        <w:trPr>
          <w:trHeight w:val="226"/>
          <w:jc w:val="center"/>
        </w:trPr>
        <w:tc>
          <w:tcPr>
            <w:tcW w:w="3042" w:type="dxa"/>
            <w:tcBorders>
              <w:top w:val="single" w:sz="4" w:space="0" w:color="000000"/>
              <w:bottom w:val="single" w:sz="4" w:space="0" w:color="000000"/>
            </w:tcBorders>
            <w:shd w:val="clear" w:color="auto" w:fill="auto"/>
            <w:vAlign w:val="center"/>
            <w:hideMark/>
          </w:tcPr>
          <w:p w14:paraId="791C9D93" w14:textId="77777777" w:rsidR="009D43C3" w:rsidRPr="000C156A" w:rsidRDefault="009D43C3" w:rsidP="005D02F0">
            <w:pPr>
              <w:overflowPunct/>
              <w:adjustRightInd/>
              <w:spacing w:before="0"/>
              <w:textAlignment w:val="auto"/>
              <w:rPr>
                <w:rFonts w:cs="Arial"/>
                <w:b/>
                <w:bCs/>
                <w:color w:val="000000"/>
                <w:sz w:val="22"/>
                <w:szCs w:val="22"/>
                <w:lang w:val="en-US" w:eastAsia="zh-CN"/>
              </w:rPr>
            </w:pPr>
            <w:r w:rsidRPr="000C156A">
              <w:rPr>
                <w:rFonts w:cs="Arial" w:hint="eastAsia"/>
                <w:b/>
                <w:bCs/>
                <w:color w:val="000000"/>
                <w:sz w:val="22"/>
                <w:szCs w:val="22"/>
                <w:lang w:val="en-US" w:eastAsia="zh-CN"/>
              </w:rPr>
              <w:t>12</w:t>
            </w:r>
            <w:r w:rsidRPr="000C156A">
              <w:rPr>
                <w:rFonts w:cs="Arial" w:hint="eastAsia"/>
                <w:b/>
                <w:bCs/>
                <w:color w:val="000000"/>
                <w:sz w:val="22"/>
                <w:szCs w:val="22"/>
                <w:lang w:val="en-US" w:eastAsia="zh-CN"/>
              </w:rPr>
              <w:t>月</w:t>
            </w:r>
            <w:r w:rsidRPr="000C156A">
              <w:rPr>
                <w:rFonts w:cs="Arial" w:hint="eastAsia"/>
                <w:b/>
                <w:bCs/>
                <w:color w:val="000000"/>
                <w:sz w:val="22"/>
                <w:szCs w:val="22"/>
                <w:lang w:val="en-US" w:eastAsia="zh-CN"/>
              </w:rPr>
              <w:t>31</w:t>
            </w:r>
            <w:r w:rsidRPr="000C156A">
              <w:rPr>
                <w:rFonts w:cs="Arial" w:hint="eastAsia"/>
                <w:b/>
                <w:bCs/>
                <w:color w:val="000000"/>
                <w:sz w:val="22"/>
                <w:szCs w:val="22"/>
                <w:lang w:val="en-US" w:eastAsia="zh-CN"/>
              </w:rPr>
              <w:t>日时的折旧</w:t>
            </w:r>
          </w:p>
        </w:tc>
        <w:tc>
          <w:tcPr>
            <w:tcW w:w="1520" w:type="dxa"/>
            <w:tcBorders>
              <w:top w:val="single" w:sz="4" w:space="0" w:color="000000"/>
              <w:bottom w:val="single" w:sz="4" w:space="0" w:color="000000"/>
            </w:tcBorders>
            <w:shd w:val="clear" w:color="auto" w:fill="auto"/>
            <w:vAlign w:val="center"/>
            <w:hideMark/>
          </w:tcPr>
          <w:p w14:paraId="59D60F1B" w14:textId="77777777" w:rsidR="009D43C3" w:rsidRPr="000C156A" w:rsidRDefault="009D43C3" w:rsidP="00593D2B">
            <w:pPr>
              <w:overflowPunct/>
              <w:autoSpaceDE/>
              <w:autoSpaceDN/>
              <w:adjustRightInd/>
              <w:spacing w:before="0"/>
              <w:jc w:val="right"/>
              <w:textAlignment w:val="auto"/>
              <w:rPr>
                <w:rFonts w:cstheme="minorHAnsi"/>
                <w:b/>
                <w:bCs/>
                <w:color w:val="000000"/>
                <w:sz w:val="22"/>
                <w:szCs w:val="22"/>
                <w:lang w:eastAsia="en-GB"/>
              </w:rPr>
            </w:pPr>
            <w:r w:rsidRPr="000C156A">
              <w:rPr>
                <w:rFonts w:cstheme="minorHAnsi"/>
                <w:b/>
                <w:bCs/>
                <w:color w:val="000000"/>
                <w:sz w:val="22"/>
                <w:szCs w:val="22"/>
                <w:lang w:eastAsia="en-GB"/>
              </w:rPr>
              <w:t>-</w:t>
            </w:r>
          </w:p>
        </w:tc>
        <w:tc>
          <w:tcPr>
            <w:tcW w:w="1383" w:type="dxa"/>
            <w:tcBorders>
              <w:top w:val="single" w:sz="4" w:space="0" w:color="000000"/>
              <w:bottom w:val="single" w:sz="4" w:space="0" w:color="000000"/>
            </w:tcBorders>
            <w:shd w:val="clear" w:color="auto" w:fill="auto"/>
            <w:noWrap/>
            <w:vAlign w:val="center"/>
            <w:hideMark/>
          </w:tcPr>
          <w:p w14:paraId="040E5EA5" w14:textId="77777777" w:rsidR="009D43C3" w:rsidRPr="000C156A" w:rsidRDefault="009D43C3" w:rsidP="00593D2B">
            <w:pPr>
              <w:overflowPunct/>
              <w:autoSpaceDE/>
              <w:autoSpaceDN/>
              <w:adjustRightInd/>
              <w:spacing w:before="0"/>
              <w:jc w:val="right"/>
              <w:textAlignment w:val="auto"/>
              <w:rPr>
                <w:rFonts w:cstheme="minorHAnsi"/>
                <w:b/>
                <w:bCs/>
                <w:color w:val="000000"/>
                <w:sz w:val="22"/>
                <w:szCs w:val="22"/>
                <w:lang w:eastAsia="en-GB"/>
              </w:rPr>
            </w:pPr>
            <w:r w:rsidRPr="000C156A">
              <w:rPr>
                <w:rFonts w:cstheme="minorHAnsi"/>
                <w:b/>
                <w:bCs/>
                <w:color w:val="000000"/>
                <w:sz w:val="22"/>
                <w:szCs w:val="22"/>
                <w:lang w:eastAsia="en-GB"/>
              </w:rPr>
              <w:t>-</w:t>
            </w:r>
          </w:p>
        </w:tc>
        <w:tc>
          <w:tcPr>
            <w:tcW w:w="1243" w:type="dxa"/>
            <w:tcBorders>
              <w:top w:val="single" w:sz="4" w:space="0" w:color="000000"/>
              <w:bottom w:val="single" w:sz="4" w:space="0" w:color="000000"/>
            </w:tcBorders>
            <w:shd w:val="clear" w:color="auto" w:fill="auto"/>
            <w:vAlign w:val="center"/>
            <w:hideMark/>
          </w:tcPr>
          <w:p w14:paraId="36519FA2" w14:textId="77777777" w:rsidR="009D43C3" w:rsidRPr="000C156A" w:rsidRDefault="009D43C3" w:rsidP="00593D2B">
            <w:pPr>
              <w:overflowPunct/>
              <w:autoSpaceDE/>
              <w:autoSpaceDN/>
              <w:adjustRightInd/>
              <w:spacing w:before="0"/>
              <w:jc w:val="right"/>
              <w:textAlignment w:val="auto"/>
              <w:rPr>
                <w:rFonts w:cstheme="minorHAnsi"/>
                <w:b/>
                <w:bCs/>
                <w:color w:val="000000"/>
                <w:sz w:val="22"/>
                <w:szCs w:val="22"/>
                <w:lang w:eastAsia="en-GB"/>
              </w:rPr>
            </w:pPr>
            <w:r w:rsidRPr="000C156A">
              <w:rPr>
                <w:rFonts w:cstheme="minorHAnsi"/>
                <w:b/>
                <w:bCs/>
                <w:color w:val="000000"/>
                <w:sz w:val="22"/>
                <w:szCs w:val="22"/>
                <w:lang w:eastAsia="en-GB"/>
              </w:rPr>
              <w:t>-</w:t>
            </w:r>
          </w:p>
        </w:tc>
      </w:tr>
      <w:tr w:rsidR="009D43C3" w:rsidRPr="000C156A" w14:paraId="7C869E0A" w14:textId="77777777" w:rsidTr="005D02F0">
        <w:trPr>
          <w:trHeight w:val="240"/>
          <w:jc w:val="center"/>
        </w:trPr>
        <w:tc>
          <w:tcPr>
            <w:tcW w:w="3042" w:type="dxa"/>
            <w:tcBorders>
              <w:top w:val="single" w:sz="4" w:space="0" w:color="000000"/>
              <w:bottom w:val="single" w:sz="4" w:space="0" w:color="000000"/>
            </w:tcBorders>
            <w:shd w:val="clear" w:color="auto" w:fill="auto"/>
            <w:vAlign w:val="center"/>
            <w:hideMark/>
          </w:tcPr>
          <w:p w14:paraId="0061B711" w14:textId="77777777" w:rsidR="009D43C3" w:rsidRPr="000C156A" w:rsidRDefault="009D43C3" w:rsidP="005D02F0">
            <w:pPr>
              <w:overflowPunct/>
              <w:adjustRightInd/>
              <w:spacing w:before="0"/>
              <w:textAlignment w:val="auto"/>
              <w:rPr>
                <w:rFonts w:cs="Arial"/>
                <w:b/>
                <w:bCs/>
                <w:color w:val="000000"/>
                <w:sz w:val="22"/>
                <w:szCs w:val="22"/>
                <w:lang w:val="en-US" w:eastAsia="zh-CN"/>
              </w:rPr>
            </w:pPr>
            <w:r w:rsidRPr="000C156A">
              <w:rPr>
                <w:rFonts w:cs="Arial" w:hint="eastAsia"/>
                <w:b/>
                <w:bCs/>
                <w:color w:val="000000"/>
                <w:sz w:val="22"/>
                <w:szCs w:val="22"/>
                <w:lang w:val="en-US" w:eastAsia="zh-CN"/>
              </w:rPr>
              <w:t>1</w:t>
            </w:r>
            <w:r w:rsidRPr="000C156A">
              <w:rPr>
                <w:rFonts w:cs="Arial" w:hint="eastAsia"/>
                <w:b/>
                <w:bCs/>
                <w:color w:val="000000"/>
                <w:sz w:val="22"/>
                <w:szCs w:val="22"/>
                <w:lang w:val="en-US" w:eastAsia="zh-CN"/>
              </w:rPr>
              <w:t>月</w:t>
            </w:r>
            <w:r w:rsidRPr="000C156A">
              <w:rPr>
                <w:rFonts w:cs="Arial" w:hint="eastAsia"/>
                <w:b/>
                <w:bCs/>
                <w:color w:val="000000"/>
                <w:sz w:val="22"/>
                <w:szCs w:val="22"/>
                <w:lang w:val="en-US" w:eastAsia="zh-CN"/>
              </w:rPr>
              <w:t>1</w:t>
            </w:r>
            <w:r w:rsidRPr="000C156A">
              <w:rPr>
                <w:rFonts w:cs="Arial" w:hint="eastAsia"/>
                <w:b/>
                <w:bCs/>
                <w:color w:val="000000"/>
                <w:sz w:val="22"/>
                <w:szCs w:val="22"/>
                <w:lang w:val="en-US" w:eastAsia="zh-CN"/>
              </w:rPr>
              <w:t>日时的净账面金额</w:t>
            </w:r>
          </w:p>
        </w:tc>
        <w:tc>
          <w:tcPr>
            <w:tcW w:w="1520" w:type="dxa"/>
            <w:tcBorders>
              <w:top w:val="single" w:sz="4" w:space="0" w:color="000000"/>
              <w:bottom w:val="single" w:sz="4" w:space="0" w:color="000000"/>
            </w:tcBorders>
            <w:shd w:val="clear" w:color="auto" w:fill="auto"/>
            <w:vAlign w:val="center"/>
            <w:hideMark/>
          </w:tcPr>
          <w:p w14:paraId="3FB8C5BE" w14:textId="23262159" w:rsidR="009D43C3" w:rsidRPr="000C156A" w:rsidRDefault="009D43C3" w:rsidP="00593D2B">
            <w:pPr>
              <w:overflowPunct/>
              <w:autoSpaceDE/>
              <w:autoSpaceDN/>
              <w:adjustRightInd/>
              <w:spacing w:before="0"/>
              <w:jc w:val="right"/>
              <w:textAlignment w:val="auto"/>
              <w:rPr>
                <w:rFonts w:cstheme="minorHAnsi"/>
                <w:b/>
                <w:bCs/>
                <w:color w:val="000000"/>
                <w:sz w:val="22"/>
                <w:szCs w:val="22"/>
                <w:lang w:eastAsia="en-GB"/>
              </w:rPr>
            </w:pPr>
            <w:r w:rsidRPr="000C156A">
              <w:rPr>
                <w:rFonts w:asciiTheme="minorHAnsi" w:hAnsiTheme="minorHAnsi" w:cstheme="minorHAnsi"/>
                <w:b/>
                <w:bCs/>
                <w:color w:val="000000"/>
                <w:sz w:val="22"/>
                <w:szCs w:val="22"/>
                <w:lang w:eastAsia="en-GB"/>
              </w:rPr>
              <w:t>3</w:t>
            </w:r>
            <w:r w:rsidR="00593D2B"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948</w:t>
            </w:r>
          </w:p>
        </w:tc>
        <w:tc>
          <w:tcPr>
            <w:tcW w:w="1383" w:type="dxa"/>
            <w:tcBorders>
              <w:top w:val="single" w:sz="4" w:space="0" w:color="000000"/>
              <w:bottom w:val="single" w:sz="4" w:space="0" w:color="000000"/>
            </w:tcBorders>
            <w:shd w:val="clear" w:color="auto" w:fill="auto"/>
            <w:vAlign w:val="center"/>
            <w:hideMark/>
          </w:tcPr>
          <w:p w14:paraId="2E86D734" w14:textId="66116042" w:rsidR="009D43C3" w:rsidRPr="000C156A" w:rsidRDefault="009D43C3" w:rsidP="00593D2B">
            <w:pPr>
              <w:overflowPunct/>
              <w:autoSpaceDE/>
              <w:autoSpaceDN/>
              <w:adjustRightInd/>
              <w:spacing w:before="0"/>
              <w:jc w:val="right"/>
              <w:textAlignment w:val="auto"/>
              <w:rPr>
                <w:rFonts w:cstheme="minorHAnsi"/>
                <w:b/>
                <w:bCs/>
                <w:color w:val="000000"/>
                <w:sz w:val="22"/>
                <w:szCs w:val="22"/>
                <w:lang w:eastAsia="en-GB"/>
              </w:rPr>
            </w:pPr>
            <w:r w:rsidRPr="000C156A">
              <w:rPr>
                <w:rFonts w:asciiTheme="minorHAnsi" w:hAnsiTheme="minorHAnsi" w:cstheme="minorHAnsi"/>
                <w:b/>
                <w:bCs/>
                <w:color w:val="000000"/>
                <w:sz w:val="22"/>
                <w:szCs w:val="22"/>
                <w:lang w:eastAsia="en-GB"/>
              </w:rPr>
              <w:t>1</w:t>
            </w:r>
            <w:r w:rsidR="00593D2B"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243</w:t>
            </w:r>
          </w:p>
        </w:tc>
        <w:tc>
          <w:tcPr>
            <w:tcW w:w="1243" w:type="dxa"/>
            <w:tcBorders>
              <w:top w:val="single" w:sz="4" w:space="0" w:color="000000"/>
              <w:bottom w:val="single" w:sz="4" w:space="0" w:color="000000"/>
            </w:tcBorders>
            <w:shd w:val="clear" w:color="auto" w:fill="auto"/>
            <w:vAlign w:val="center"/>
            <w:hideMark/>
          </w:tcPr>
          <w:p w14:paraId="05FAAB34" w14:textId="50F5312A" w:rsidR="009D43C3" w:rsidRPr="000C156A" w:rsidRDefault="009D43C3" w:rsidP="00593D2B">
            <w:pPr>
              <w:overflowPunct/>
              <w:autoSpaceDE/>
              <w:autoSpaceDN/>
              <w:adjustRightInd/>
              <w:spacing w:before="0"/>
              <w:jc w:val="right"/>
              <w:textAlignment w:val="auto"/>
              <w:rPr>
                <w:rFonts w:cstheme="minorHAnsi"/>
                <w:b/>
                <w:bCs/>
                <w:color w:val="000000"/>
                <w:sz w:val="22"/>
                <w:szCs w:val="22"/>
                <w:lang w:eastAsia="en-GB"/>
              </w:rPr>
            </w:pPr>
            <w:r w:rsidRPr="000C156A">
              <w:rPr>
                <w:rFonts w:asciiTheme="minorHAnsi" w:hAnsiTheme="minorHAnsi" w:cstheme="minorHAnsi"/>
                <w:b/>
                <w:bCs/>
                <w:color w:val="000000"/>
                <w:sz w:val="22"/>
                <w:szCs w:val="22"/>
                <w:lang w:eastAsia="en-GB"/>
              </w:rPr>
              <w:t>5</w:t>
            </w:r>
            <w:r w:rsidR="00593D2B"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191</w:t>
            </w:r>
          </w:p>
        </w:tc>
      </w:tr>
      <w:tr w:rsidR="009D43C3" w:rsidRPr="000C156A" w14:paraId="64555763" w14:textId="77777777" w:rsidTr="005D02F0">
        <w:trPr>
          <w:trHeight w:val="233"/>
          <w:jc w:val="center"/>
        </w:trPr>
        <w:tc>
          <w:tcPr>
            <w:tcW w:w="3042" w:type="dxa"/>
            <w:tcBorders>
              <w:top w:val="single" w:sz="4" w:space="0" w:color="000000"/>
            </w:tcBorders>
            <w:shd w:val="clear" w:color="auto" w:fill="auto"/>
            <w:vAlign w:val="center"/>
            <w:hideMark/>
          </w:tcPr>
          <w:p w14:paraId="5369CFA8" w14:textId="77777777" w:rsidR="009D43C3" w:rsidRPr="000C156A" w:rsidRDefault="009D43C3" w:rsidP="005D02F0">
            <w:pPr>
              <w:overflowPunct/>
              <w:adjustRightInd/>
              <w:spacing w:before="0"/>
              <w:textAlignment w:val="auto"/>
              <w:rPr>
                <w:rFonts w:cs="Arial"/>
                <w:b/>
                <w:bCs/>
                <w:color w:val="000000"/>
                <w:sz w:val="22"/>
                <w:szCs w:val="22"/>
                <w:lang w:val="en-US" w:eastAsia="zh-CN"/>
              </w:rPr>
            </w:pPr>
            <w:r w:rsidRPr="000C156A">
              <w:rPr>
                <w:rFonts w:cs="Arial" w:hint="eastAsia"/>
                <w:b/>
                <w:bCs/>
                <w:color w:val="000000"/>
                <w:sz w:val="22"/>
                <w:szCs w:val="22"/>
                <w:lang w:val="en-US" w:eastAsia="zh-CN"/>
              </w:rPr>
              <w:t>12</w:t>
            </w:r>
            <w:r w:rsidRPr="000C156A">
              <w:rPr>
                <w:rFonts w:cs="Arial" w:hint="eastAsia"/>
                <w:b/>
                <w:bCs/>
                <w:color w:val="000000"/>
                <w:sz w:val="22"/>
                <w:szCs w:val="22"/>
                <w:lang w:val="en-US" w:eastAsia="zh-CN"/>
              </w:rPr>
              <w:t>月</w:t>
            </w:r>
            <w:r w:rsidRPr="000C156A">
              <w:rPr>
                <w:rFonts w:cs="Arial" w:hint="eastAsia"/>
                <w:b/>
                <w:bCs/>
                <w:color w:val="000000"/>
                <w:sz w:val="22"/>
                <w:szCs w:val="22"/>
                <w:lang w:val="en-US" w:eastAsia="zh-CN"/>
              </w:rPr>
              <w:t>31</w:t>
            </w:r>
            <w:r w:rsidRPr="000C156A">
              <w:rPr>
                <w:rFonts w:cs="Arial" w:hint="eastAsia"/>
                <w:b/>
                <w:bCs/>
                <w:color w:val="000000"/>
                <w:sz w:val="22"/>
                <w:szCs w:val="22"/>
                <w:lang w:val="en-US" w:eastAsia="zh-CN"/>
              </w:rPr>
              <w:t>时的净账面金额</w:t>
            </w:r>
          </w:p>
        </w:tc>
        <w:tc>
          <w:tcPr>
            <w:tcW w:w="1520" w:type="dxa"/>
            <w:tcBorders>
              <w:top w:val="single" w:sz="4" w:space="0" w:color="000000"/>
            </w:tcBorders>
            <w:shd w:val="clear" w:color="auto" w:fill="auto"/>
            <w:vAlign w:val="center"/>
            <w:hideMark/>
          </w:tcPr>
          <w:p w14:paraId="1D503AC6" w14:textId="1021F88C" w:rsidR="009D43C3" w:rsidRPr="000C156A" w:rsidRDefault="009D43C3" w:rsidP="00593D2B">
            <w:pPr>
              <w:overflowPunct/>
              <w:autoSpaceDE/>
              <w:autoSpaceDN/>
              <w:adjustRightInd/>
              <w:spacing w:before="0"/>
              <w:jc w:val="right"/>
              <w:textAlignment w:val="auto"/>
              <w:rPr>
                <w:rFonts w:cstheme="minorHAnsi"/>
                <w:b/>
                <w:bCs/>
                <w:color w:val="000000"/>
                <w:sz w:val="22"/>
                <w:szCs w:val="22"/>
                <w:lang w:eastAsia="en-GB"/>
              </w:rPr>
            </w:pPr>
            <w:r w:rsidRPr="000C156A">
              <w:rPr>
                <w:rFonts w:asciiTheme="minorHAnsi" w:hAnsiTheme="minorHAnsi" w:cstheme="minorHAnsi"/>
                <w:b/>
                <w:bCs/>
                <w:color w:val="000000"/>
                <w:sz w:val="22"/>
                <w:szCs w:val="22"/>
                <w:lang w:eastAsia="en-GB"/>
              </w:rPr>
              <w:t>8</w:t>
            </w:r>
            <w:r w:rsidR="00593D2B"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176</w:t>
            </w:r>
          </w:p>
        </w:tc>
        <w:tc>
          <w:tcPr>
            <w:tcW w:w="1383" w:type="dxa"/>
            <w:tcBorders>
              <w:top w:val="single" w:sz="4" w:space="0" w:color="000000"/>
            </w:tcBorders>
            <w:shd w:val="clear" w:color="auto" w:fill="auto"/>
            <w:vAlign w:val="center"/>
            <w:hideMark/>
          </w:tcPr>
          <w:p w14:paraId="29EB7022" w14:textId="0AB53F6E" w:rsidR="009D43C3" w:rsidRPr="000C156A" w:rsidRDefault="009D43C3" w:rsidP="00593D2B">
            <w:pPr>
              <w:overflowPunct/>
              <w:autoSpaceDE/>
              <w:autoSpaceDN/>
              <w:adjustRightInd/>
              <w:spacing w:before="0"/>
              <w:jc w:val="right"/>
              <w:textAlignment w:val="auto"/>
              <w:rPr>
                <w:rFonts w:cstheme="minorHAnsi"/>
                <w:b/>
                <w:bCs/>
                <w:color w:val="000000"/>
                <w:sz w:val="22"/>
                <w:szCs w:val="22"/>
                <w:lang w:eastAsia="en-GB"/>
              </w:rPr>
            </w:pPr>
            <w:r w:rsidRPr="000C156A">
              <w:rPr>
                <w:rFonts w:asciiTheme="minorHAnsi" w:hAnsiTheme="minorHAnsi" w:cstheme="minorHAnsi"/>
                <w:b/>
                <w:bCs/>
                <w:color w:val="000000"/>
                <w:sz w:val="22"/>
                <w:szCs w:val="22"/>
                <w:lang w:eastAsia="en-GB"/>
              </w:rPr>
              <w:t>1</w:t>
            </w:r>
            <w:r w:rsidR="00593D2B"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267</w:t>
            </w:r>
          </w:p>
        </w:tc>
        <w:tc>
          <w:tcPr>
            <w:tcW w:w="1243" w:type="dxa"/>
            <w:tcBorders>
              <w:top w:val="single" w:sz="4" w:space="0" w:color="000000"/>
            </w:tcBorders>
            <w:shd w:val="clear" w:color="auto" w:fill="auto"/>
            <w:vAlign w:val="center"/>
            <w:hideMark/>
          </w:tcPr>
          <w:p w14:paraId="483996A7" w14:textId="24E6114E" w:rsidR="009D43C3" w:rsidRPr="000C156A" w:rsidRDefault="009D43C3" w:rsidP="00593D2B">
            <w:pPr>
              <w:overflowPunct/>
              <w:autoSpaceDE/>
              <w:autoSpaceDN/>
              <w:adjustRightInd/>
              <w:spacing w:before="0"/>
              <w:jc w:val="right"/>
              <w:textAlignment w:val="auto"/>
              <w:rPr>
                <w:rFonts w:cstheme="minorHAnsi"/>
                <w:b/>
                <w:bCs/>
                <w:color w:val="000000"/>
                <w:sz w:val="22"/>
                <w:szCs w:val="22"/>
                <w:lang w:eastAsia="en-GB"/>
              </w:rPr>
            </w:pPr>
            <w:r w:rsidRPr="000C156A">
              <w:rPr>
                <w:rFonts w:asciiTheme="minorHAnsi" w:hAnsiTheme="minorHAnsi" w:cstheme="minorHAnsi"/>
                <w:b/>
                <w:bCs/>
                <w:color w:val="000000"/>
                <w:sz w:val="22"/>
                <w:szCs w:val="22"/>
                <w:lang w:eastAsia="en-GB"/>
              </w:rPr>
              <w:t>9</w:t>
            </w:r>
            <w:r w:rsidR="00593D2B"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443</w:t>
            </w:r>
          </w:p>
        </w:tc>
      </w:tr>
    </w:tbl>
    <w:p w14:paraId="39065F2F" w14:textId="77777777" w:rsidR="009D43C3" w:rsidRPr="000C156A" w:rsidRDefault="009D43C3" w:rsidP="0058760F">
      <w:pPr>
        <w:spacing w:before="240"/>
        <w:ind w:firstLineChars="200" w:firstLine="480"/>
        <w:rPr>
          <w:lang w:val="en-US" w:eastAsia="zh-CN"/>
        </w:rPr>
      </w:pPr>
      <w:bookmarkStart w:id="654" w:name="_Toc41905875"/>
      <w:r w:rsidRPr="000C156A">
        <w:rPr>
          <w:rFonts w:hint="eastAsia"/>
          <w:lang w:val="en-US" w:eastAsia="zh-CN"/>
        </w:rPr>
        <w:t>现已做出决定，另行披露建设中的资产，以便对新楼项目做出预期，从而在施工阶段对项目进行透明的跟进。</w:t>
      </w:r>
      <w:bookmarkEnd w:id="654"/>
    </w:p>
    <w:p w14:paraId="447E6F55" w14:textId="5633A72D" w:rsidR="009D43C3" w:rsidRPr="000C156A" w:rsidRDefault="009D43C3" w:rsidP="009D43C3">
      <w:pPr>
        <w:pStyle w:val="Heading1"/>
        <w:spacing w:after="120"/>
        <w:rPr>
          <w:rFonts w:cs="Microsoft YaHei"/>
          <w:sz w:val="24"/>
          <w:szCs w:val="24"/>
          <w:lang w:val="en-US" w:eastAsia="zh-CN"/>
        </w:rPr>
      </w:pPr>
      <w:bookmarkStart w:id="655" w:name="_Toc511813756"/>
      <w:bookmarkStart w:id="656" w:name="_Toc511817839"/>
      <w:bookmarkStart w:id="657" w:name="_Toc520280739"/>
      <w:bookmarkStart w:id="658" w:name="_Toc10536834"/>
      <w:bookmarkStart w:id="659" w:name="_Toc41905876"/>
      <w:bookmarkStart w:id="660" w:name="_Toc41906904"/>
      <w:bookmarkStart w:id="661" w:name="_Toc41907985"/>
      <w:bookmarkStart w:id="662" w:name="_Toc41908053"/>
      <w:bookmarkStart w:id="663" w:name="_Toc73518691"/>
      <w:bookmarkStart w:id="664" w:name="_Toc73518838"/>
      <w:bookmarkStart w:id="665" w:name="_Toc73519238"/>
      <w:bookmarkStart w:id="666" w:name="_Toc73636277"/>
      <w:r w:rsidRPr="000C156A">
        <w:rPr>
          <w:rFonts w:cs="Microsoft YaHei" w:hint="eastAsia"/>
          <w:sz w:val="24"/>
          <w:szCs w:val="24"/>
          <w:lang w:val="fr-FR" w:eastAsia="zh-CN"/>
        </w:rPr>
        <w:t>说明</w:t>
      </w:r>
      <w:r w:rsidRPr="000C156A">
        <w:rPr>
          <w:rFonts w:cs="Microsoft YaHei"/>
          <w:sz w:val="24"/>
          <w:szCs w:val="24"/>
          <w:lang w:val="en-US" w:eastAsia="zh-CN"/>
        </w:rPr>
        <w:t>14</w:t>
      </w:r>
      <w:r w:rsidRPr="000C156A">
        <w:rPr>
          <w:rFonts w:cs="Microsoft YaHei"/>
          <w:sz w:val="24"/>
          <w:szCs w:val="24"/>
          <w:lang w:val="en-US" w:eastAsia="zh-CN"/>
        </w:rPr>
        <w:tab/>
      </w:r>
      <w:r w:rsidRPr="000C156A">
        <w:rPr>
          <w:rFonts w:cs="Microsoft YaHei" w:hint="eastAsia"/>
          <w:sz w:val="24"/>
          <w:szCs w:val="24"/>
          <w:lang w:val="fr-FR" w:eastAsia="zh-CN"/>
        </w:rPr>
        <w:t>供货商和其它债权方</w:t>
      </w:r>
      <w:bookmarkEnd w:id="650"/>
      <w:bookmarkEnd w:id="651"/>
      <w:bookmarkEnd w:id="652"/>
      <w:bookmarkEnd w:id="653"/>
      <w:bookmarkEnd w:id="655"/>
      <w:bookmarkEnd w:id="656"/>
      <w:bookmarkEnd w:id="657"/>
      <w:bookmarkEnd w:id="658"/>
      <w:bookmarkEnd w:id="659"/>
      <w:bookmarkEnd w:id="660"/>
      <w:bookmarkEnd w:id="661"/>
      <w:bookmarkEnd w:id="662"/>
      <w:bookmarkEnd w:id="663"/>
      <w:bookmarkEnd w:id="664"/>
      <w:bookmarkEnd w:id="665"/>
      <w:bookmarkEnd w:id="666"/>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83"/>
        <w:gridCol w:w="2523"/>
        <w:gridCol w:w="2523"/>
      </w:tblGrid>
      <w:tr w:rsidR="009D43C3" w:rsidRPr="000C156A" w14:paraId="59C99444" w14:textId="77777777" w:rsidTr="005D02F0">
        <w:trPr>
          <w:trHeight w:val="499"/>
        </w:trPr>
        <w:tc>
          <w:tcPr>
            <w:tcW w:w="2380" w:type="pct"/>
            <w:tcBorders>
              <w:bottom w:val="single" w:sz="4" w:space="0" w:color="000000"/>
            </w:tcBorders>
            <w:noWrap/>
            <w:vAlign w:val="center"/>
            <w:hideMark/>
          </w:tcPr>
          <w:p w14:paraId="4181E0E0" w14:textId="77777777" w:rsidR="009D43C3" w:rsidRPr="000C156A" w:rsidRDefault="009D43C3" w:rsidP="005D02F0">
            <w:pPr>
              <w:overflowPunct/>
              <w:autoSpaceDE/>
              <w:autoSpaceDN/>
              <w:adjustRightInd/>
              <w:spacing w:before="0"/>
              <w:textAlignment w:val="auto"/>
              <w:rPr>
                <w:rFonts w:cs="Arial"/>
                <w:b/>
                <w:bCs/>
                <w:color w:val="000000"/>
                <w:sz w:val="22"/>
                <w:szCs w:val="22"/>
                <w:lang w:val="en-US" w:eastAsia="zh-CN"/>
              </w:rPr>
            </w:pPr>
            <w:bookmarkStart w:id="667" w:name="_Toc305764088"/>
            <w:r w:rsidRPr="000C156A">
              <w:rPr>
                <w:rFonts w:cs="Microsoft YaHei" w:hint="eastAsia"/>
                <w:b/>
                <w:sz w:val="22"/>
                <w:szCs w:val="22"/>
                <w:lang w:val="en-US" w:eastAsia="zh-CN"/>
              </w:rPr>
              <w:t>单位</w:t>
            </w:r>
            <w:r w:rsidRPr="000C156A">
              <w:rPr>
                <w:rFonts w:cs="Microsoft YaHei" w:hint="eastAsia"/>
                <w:b/>
                <w:sz w:val="22"/>
                <w:szCs w:val="22"/>
                <w:lang w:val="en-US"/>
              </w:rPr>
              <w:t>：千瑞郎</w:t>
            </w:r>
          </w:p>
        </w:tc>
        <w:tc>
          <w:tcPr>
            <w:tcW w:w="1310" w:type="pct"/>
            <w:tcBorders>
              <w:bottom w:val="single" w:sz="4" w:space="0" w:color="000000"/>
            </w:tcBorders>
            <w:noWrap/>
            <w:vAlign w:val="center"/>
            <w:hideMark/>
          </w:tcPr>
          <w:p w14:paraId="2E9CD8C7" w14:textId="77777777" w:rsidR="009D43C3" w:rsidRPr="000C156A" w:rsidRDefault="009D43C3" w:rsidP="005D02F0">
            <w:pPr>
              <w:pStyle w:val="Tablehead"/>
              <w:spacing w:before="0" w:after="0"/>
              <w:jc w:val="right"/>
              <w:rPr>
                <w:rFonts w:cs="Arial"/>
                <w:b w:val="0"/>
                <w:bCs/>
                <w:color w:val="000000"/>
                <w:szCs w:val="22"/>
                <w:lang w:val="en-US" w:eastAsia="zh-CN"/>
              </w:rPr>
            </w:pPr>
            <w:r w:rsidRPr="000C156A">
              <w:rPr>
                <w:szCs w:val="22"/>
                <w:lang w:val="en-US"/>
              </w:rPr>
              <w:t>20</w:t>
            </w:r>
            <w:r w:rsidRPr="000C156A">
              <w:rPr>
                <w:rFonts w:hint="eastAsia"/>
                <w:szCs w:val="22"/>
                <w:lang w:val="en-US"/>
              </w:rPr>
              <w:t>20</w:t>
            </w:r>
            <w:r w:rsidRPr="000C156A">
              <w:rPr>
                <w:rFonts w:hint="eastAsia"/>
                <w:szCs w:val="22"/>
                <w:lang w:val="en-US"/>
              </w:rPr>
              <w:t>年</w:t>
            </w:r>
            <w:r w:rsidRPr="000C156A">
              <w:rPr>
                <w:szCs w:val="22"/>
                <w:lang w:val="en-US"/>
              </w:rPr>
              <w:t>12</w:t>
            </w:r>
            <w:r w:rsidRPr="000C156A">
              <w:rPr>
                <w:rFonts w:hint="eastAsia"/>
                <w:szCs w:val="22"/>
                <w:lang w:val="en-US"/>
              </w:rPr>
              <w:t>月</w:t>
            </w:r>
            <w:r w:rsidRPr="000C156A">
              <w:rPr>
                <w:szCs w:val="22"/>
                <w:lang w:val="en-US"/>
              </w:rPr>
              <w:t>31</w:t>
            </w:r>
            <w:r w:rsidRPr="000C156A">
              <w:rPr>
                <w:rFonts w:hint="eastAsia"/>
                <w:szCs w:val="22"/>
                <w:lang w:val="en-US"/>
              </w:rPr>
              <w:t>日</w:t>
            </w:r>
          </w:p>
        </w:tc>
        <w:tc>
          <w:tcPr>
            <w:tcW w:w="1310" w:type="pct"/>
            <w:tcBorders>
              <w:bottom w:val="single" w:sz="4" w:space="0" w:color="000000"/>
            </w:tcBorders>
            <w:noWrap/>
            <w:vAlign w:val="center"/>
            <w:hideMark/>
          </w:tcPr>
          <w:p w14:paraId="5235173E" w14:textId="77777777" w:rsidR="009D43C3" w:rsidRPr="000C156A" w:rsidRDefault="009D43C3" w:rsidP="005D02F0">
            <w:pPr>
              <w:pStyle w:val="Tablehead"/>
              <w:spacing w:before="0" w:after="0"/>
              <w:jc w:val="right"/>
              <w:rPr>
                <w:szCs w:val="22"/>
                <w:lang w:val="en-US"/>
              </w:rPr>
            </w:pPr>
            <w:r w:rsidRPr="000C156A">
              <w:rPr>
                <w:szCs w:val="22"/>
                <w:lang w:val="en-US"/>
              </w:rPr>
              <w:t>201</w:t>
            </w:r>
            <w:r w:rsidRPr="000C156A">
              <w:rPr>
                <w:rFonts w:hint="eastAsia"/>
                <w:szCs w:val="22"/>
                <w:lang w:val="en-US"/>
              </w:rPr>
              <w:t>9</w:t>
            </w:r>
            <w:r w:rsidRPr="000C156A">
              <w:rPr>
                <w:rFonts w:hint="eastAsia"/>
                <w:szCs w:val="22"/>
                <w:lang w:val="en-US"/>
              </w:rPr>
              <w:t>年</w:t>
            </w:r>
            <w:r w:rsidRPr="000C156A">
              <w:rPr>
                <w:szCs w:val="22"/>
                <w:lang w:val="en-US"/>
              </w:rPr>
              <w:t>12</w:t>
            </w:r>
            <w:r w:rsidRPr="000C156A">
              <w:rPr>
                <w:rFonts w:hint="eastAsia"/>
                <w:szCs w:val="22"/>
                <w:lang w:val="en-US"/>
              </w:rPr>
              <w:t>月</w:t>
            </w:r>
            <w:r w:rsidRPr="000C156A">
              <w:rPr>
                <w:szCs w:val="22"/>
                <w:lang w:val="en-US"/>
              </w:rPr>
              <w:t>31</w:t>
            </w:r>
            <w:r w:rsidRPr="000C156A">
              <w:rPr>
                <w:rFonts w:hint="eastAsia"/>
                <w:szCs w:val="22"/>
                <w:lang w:val="en-US"/>
              </w:rPr>
              <w:t>日</w:t>
            </w:r>
          </w:p>
        </w:tc>
      </w:tr>
      <w:tr w:rsidR="009D43C3" w:rsidRPr="000C156A" w14:paraId="0B7E6C94" w14:textId="77777777" w:rsidTr="005D02F0">
        <w:trPr>
          <w:trHeight w:val="300"/>
        </w:trPr>
        <w:tc>
          <w:tcPr>
            <w:tcW w:w="2380" w:type="pct"/>
            <w:tcBorders>
              <w:top w:val="single" w:sz="4" w:space="0" w:color="000000"/>
            </w:tcBorders>
            <w:noWrap/>
            <w:vAlign w:val="center"/>
            <w:hideMark/>
          </w:tcPr>
          <w:p w14:paraId="2549E061" w14:textId="77777777" w:rsidR="009D43C3" w:rsidRPr="000C156A" w:rsidRDefault="009D43C3" w:rsidP="005D02F0">
            <w:pPr>
              <w:overflowPunct/>
              <w:autoSpaceDE/>
              <w:autoSpaceDN/>
              <w:adjustRightInd/>
              <w:spacing w:before="0"/>
              <w:textAlignment w:val="auto"/>
              <w:rPr>
                <w:rFonts w:cs="Arial"/>
                <w:color w:val="000000"/>
                <w:sz w:val="22"/>
                <w:szCs w:val="22"/>
                <w:lang w:val="en-US" w:eastAsia="zh-CN"/>
              </w:rPr>
            </w:pPr>
          </w:p>
        </w:tc>
        <w:tc>
          <w:tcPr>
            <w:tcW w:w="1310" w:type="pct"/>
            <w:tcBorders>
              <w:top w:val="single" w:sz="4" w:space="0" w:color="000000"/>
            </w:tcBorders>
            <w:shd w:val="clear" w:color="auto" w:fill="auto"/>
            <w:noWrap/>
            <w:vAlign w:val="bottom"/>
            <w:hideMark/>
          </w:tcPr>
          <w:p w14:paraId="1E319D64" w14:textId="77777777" w:rsidR="009D43C3" w:rsidRPr="000C156A" w:rsidRDefault="009D43C3" w:rsidP="005D02F0">
            <w:pPr>
              <w:overflowPunct/>
              <w:autoSpaceDE/>
              <w:autoSpaceDN/>
              <w:adjustRightInd/>
              <w:spacing w:before="0"/>
              <w:jc w:val="right"/>
              <w:textAlignment w:val="auto"/>
              <w:rPr>
                <w:rFonts w:cs="Arial"/>
                <w:color w:val="000000"/>
                <w:sz w:val="22"/>
                <w:szCs w:val="22"/>
                <w:lang w:val="en-US" w:eastAsia="zh-CN"/>
              </w:rPr>
            </w:pPr>
          </w:p>
        </w:tc>
        <w:tc>
          <w:tcPr>
            <w:tcW w:w="1310" w:type="pct"/>
            <w:tcBorders>
              <w:top w:val="single" w:sz="4" w:space="0" w:color="000000"/>
            </w:tcBorders>
            <w:shd w:val="clear" w:color="auto" w:fill="auto"/>
            <w:noWrap/>
            <w:vAlign w:val="bottom"/>
            <w:hideMark/>
          </w:tcPr>
          <w:p w14:paraId="706FC8FC" w14:textId="77777777" w:rsidR="009D43C3" w:rsidRPr="000C156A" w:rsidRDefault="009D43C3" w:rsidP="005D02F0">
            <w:pPr>
              <w:overflowPunct/>
              <w:autoSpaceDE/>
              <w:autoSpaceDN/>
              <w:adjustRightInd/>
              <w:spacing w:before="0"/>
              <w:jc w:val="right"/>
              <w:textAlignment w:val="auto"/>
              <w:rPr>
                <w:rFonts w:cs="Arial"/>
                <w:color w:val="000000"/>
                <w:sz w:val="22"/>
                <w:szCs w:val="22"/>
                <w:lang w:val="en-US" w:eastAsia="zh-CN"/>
              </w:rPr>
            </w:pPr>
          </w:p>
        </w:tc>
      </w:tr>
      <w:tr w:rsidR="009D43C3" w:rsidRPr="000C156A" w14:paraId="076667EB" w14:textId="77777777" w:rsidTr="005D02F0">
        <w:trPr>
          <w:trHeight w:val="300"/>
        </w:trPr>
        <w:tc>
          <w:tcPr>
            <w:tcW w:w="2380" w:type="pct"/>
            <w:noWrap/>
            <w:vAlign w:val="bottom"/>
            <w:hideMark/>
          </w:tcPr>
          <w:p w14:paraId="0C181527" w14:textId="77777777" w:rsidR="009D43C3" w:rsidRPr="000C156A" w:rsidRDefault="009D43C3" w:rsidP="005D02F0">
            <w:pPr>
              <w:overflowPunct/>
              <w:autoSpaceDE/>
              <w:autoSpaceDN/>
              <w:adjustRightInd/>
              <w:spacing w:before="0"/>
              <w:textAlignment w:val="auto"/>
              <w:rPr>
                <w:rFonts w:cs="Arial"/>
                <w:color w:val="000000"/>
                <w:sz w:val="22"/>
                <w:szCs w:val="22"/>
                <w:lang w:val="en-US" w:eastAsia="zh-CN"/>
              </w:rPr>
            </w:pPr>
            <w:r w:rsidRPr="000C156A">
              <w:rPr>
                <w:rFonts w:cs="Microsoft YaHei" w:hint="eastAsia"/>
                <w:color w:val="000000"/>
                <w:sz w:val="22"/>
                <w:szCs w:val="22"/>
                <w:lang w:val="en-US" w:eastAsia="zh-CN"/>
              </w:rPr>
              <w:t>供货商</w:t>
            </w:r>
          </w:p>
        </w:tc>
        <w:tc>
          <w:tcPr>
            <w:tcW w:w="1310" w:type="pct"/>
            <w:shd w:val="clear" w:color="auto" w:fill="auto"/>
            <w:noWrap/>
            <w:vAlign w:val="bottom"/>
            <w:hideMark/>
          </w:tcPr>
          <w:p w14:paraId="12F0332A" w14:textId="325194AF" w:rsidR="009D43C3" w:rsidRPr="000C156A" w:rsidRDefault="009D43C3" w:rsidP="00D21B3E">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2</w:t>
            </w:r>
            <w:r w:rsidR="00D21B3E" w:rsidRPr="000C156A">
              <w:rPr>
                <w:rFonts w:cs="Arial"/>
                <w:color w:val="000000"/>
                <w:sz w:val="22"/>
                <w:szCs w:val="22"/>
                <w:lang w:val="en-US" w:eastAsia="zh-CN"/>
              </w:rPr>
              <w:t xml:space="preserve"> </w:t>
            </w:r>
            <w:r w:rsidRPr="000C156A">
              <w:rPr>
                <w:rFonts w:cs="Arial"/>
                <w:color w:val="000000"/>
                <w:sz w:val="22"/>
                <w:szCs w:val="22"/>
                <w:lang w:val="en-US" w:eastAsia="zh-CN"/>
              </w:rPr>
              <w:t>768</w:t>
            </w:r>
          </w:p>
        </w:tc>
        <w:tc>
          <w:tcPr>
            <w:tcW w:w="1310" w:type="pct"/>
            <w:shd w:val="clear" w:color="auto" w:fill="auto"/>
            <w:noWrap/>
            <w:vAlign w:val="bottom"/>
            <w:hideMark/>
          </w:tcPr>
          <w:p w14:paraId="23E79C5D" w14:textId="0BF37523" w:rsidR="009D43C3" w:rsidRPr="000C156A" w:rsidRDefault="009D43C3" w:rsidP="00D21B3E">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4</w:t>
            </w:r>
            <w:r w:rsidR="00D21B3E" w:rsidRPr="000C156A">
              <w:rPr>
                <w:rFonts w:cs="Arial"/>
                <w:color w:val="000000"/>
                <w:sz w:val="22"/>
                <w:szCs w:val="22"/>
                <w:lang w:val="en-US" w:eastAsia="zh-CN"/>
              </w:rPr>
              <w:t xml:space="preserve"> </w:t>
            </w:r>
            <w:r w:rsidRPr="000C156A">
              <w:rPr>
                <w:rFonts w:cs="Arial"/>
                <w:color w:val="000000"/>
                <w:sz w:val="22"/>
                <w:szCs w:val="22"/>
                <w:lang w:val="en-US" w:eastAsia="zh-CN"/>
              </w:rPr>
              <w:t>772</w:t>
            </w:r>
          </w:p>
        </w:tc>
      </w:tr>
      <w:tr w:rsidR="009D43C3" w:rsidRPr="000C156A" w14:paraId="2B59818A" w14:textId="77777777" w:rsidTr="005D02F0">
        <w:trPr>
          <w:trHeight w:val="300"/>
        </w:trPr>
        <w:tc>
          <w:tcPr>
            <w:tcW w:w="2380" w:type="pct"/>
            <w:noWrap/>
            <w:vAlign w:val="bottom"/>
            <w:hideMark/>
          </w:tcPr>
          <w:p w14:paraId="7EAD4476" w14:textId="77777777" w:rsidR="009D43C3" w:rsidRPr="000C156A" w:rsidRDefault="009D43C3" w:rsidP="005D02F0">
            <w:pPr>
              <w:overflowPunct/>
              <w:autoSpaceDE/>
              <w:autoSpaceDN/>
              <w:adjustRightInd/>
              <w:spacing w:before="0"/>
              <w:textAlignment w:val="auto"/>
              <w:rPr>
                <w:rFonts w:cs="Arial"/>
                <w:color w:val="000000"/>
                <w:sz w:val="22"/>
                <w:szCs w:val="22"/>
                <w:lang w:val="en-US" w:eastAsia="zh-CN"/>
              </w:rPr>
            </w:pPr>
            <w:r w:rsidRPr="000C156A">
              <w:rPr>
                <w:rFonts w:cs="Microsoft YaHei" w:hint="eastAsia"/>
                <w:color w:val="000000"/>
                <w:sz w:val="22"/>
                <w:szCs w:val="22"/>
                <w:lang w:val="en-US" w:eastAsia="zh-CN"/>
              </w:rPr>
              <w:t>已收定金</w:t>
            </w:r>
          </w:p>
        </w:tc>
        <w:tc>
          <w:tcPr>
            <w:tcW w:w="1310" w:type="pct"/>
            <w:shd w:val="clear" w:color="auto" w:fill="auto"/>
            <w:noWrap/>
            <w:vAlign w:val="bottom"/>
            <w:hideMark/>
          </w:tcPr>
          <w:p w14:paraId="58285582" w14:textId="6C501896" w:rsidR="009D43C3" w:rsidRPr="000C156A" w:rsidRDefault="009D43C3" w:rsidP="00D21B3E">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2</w:t>
            </w:r>
            <w:r w:rsidR="00D21B3E" w:rsidRPr="000C156A">
              <w:rPr>
                <w:rFonts w:cs="Arial"/>
                <w:color w:val="000000"/>
                <w:sz w:val="22"/>
                <w:szCs w:val="22"/>
                <w:lang w:val="en-US" w:eastAsia="zh-CN"/>
              </w:rPr>
              <w:t xml:space="preserve"> </w:t>
            </w:r>
            <w:r w:rsidRPr="000C156A">
              <w:rPr>
                <w:rFonts w:cs="Arial"/>
                <w:color w:val="000000"/>
                <w:sz w:val="22"/>
                <w:szCs w:val="22"/>
                <w:lang w:val="en-US" w:eastAsia="zh-CN"/>
              </w:rPr>
              <w:t>745</w:t>
            </w:r>
          </w:p>
        </w:tc>
        <w:tc>
          <w:tcPr>
            <w:tcW w:w="1310" w:type="pct"/>
            <w:shd w:val="clear" w:color="auto" w:fill="auto"/>
            <w:noWrap/>
            <w:vAlign w:val="bottom"/>
            <w:hideMark/>
          </w:tcPr>
          <w:p w14:paraId="1E6532C5" w14:textId="06E2BC70" w:rsidR="009D43C3" w:rsidRPr="000C156A" w:rsidRDefault="009D43C3" w:rsidP="00D21B3E">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3</w:t>
            </w:r>
            <w:r w:rsidR="00D21B3E" w:rsidRPr="000C156A">
              <w:rPr>
                <w:rFonts w:cs="Arial"/>
                <w:color w:val="000000"/>
                <w:sz w:val="22"/>
                <w:szCs w:val="22"/>
                <w:lang w:val="en-US" w:eastAsia="zh-CN"/>
              </w:rPr>
              <w:t xml:space="preserve"> </w:t>
            </w:r>
            <w:r w:rsidRPr="000C156A">
              <w:rPr>
                <w:rFonts w:cs="Arial"/>
                <w:color w:val="000000"/>
                <w:sz w:val="22"/>
                <w:szCs w:val="22"/>
                <w:lang w:val="en-US" w:eastAsia="zh-CN"/>
              </w:rPr>
              <w:t>042</w:t>
            </w:r>
          </w:p>
        </w:tc>
      </w:tr>
      <w:tr w:rsidR="009D43C3" w:rsidRPr="000C156A" w14:paraId="73BDFEDB" w14:textId="77777777" w:rsidTr="005D02F0">
        <w:trPr>
          <w:trHeight w:val="300"/>
        </w:trPr>
        <w:tc>
          <w:tcPr>
            <w:tcW w:w="2380" w:type="pct"/>
            <w:noWrap/>
            <w:vAlign w:val="bottom"/>
            <w:hideMark/>
          </w:tcPr>
          <w:p w14:paraId="23CB5A09" w14:textId="77777777" w:rsidR="009D43C3" w:rsidRPr="000C156A" w:rsidRDefault="009D43C3" w:rsidP="005D02F0">
            <w:pPr>
              <w:overflowPunct/>
              <w:autoSpaceDE/>
              <w:autoSpaceDN/>
              <w:adjustRightInd/>
              <w:spacing w:before="0"/>
              <w:textAlignment w:val="auto"/>
              <w:rPr>
                <w:rFonts w:cs="Arial"/>
                <w:color w:val="000000"/>
                <w:sz w:val="22"/>
                <w:szCs w:val="22"/>
                <w:lang w:val="en-US" w:eastAsia="zh-CN"/>
              </w:rPr>
            </w:pPr>
            <w:r w:rsidRPr="000C156A">
              <w:rPr>
                <w:rFonts w:cs="Microsoft YaHei" w:hint="eastAsia"/>
                <w:color w:val="000000"/>
                <w:sz w:val="22"/>
                <w:szCs w:val="22"/>
                <w:lang w:val="en-US" w:eastAsia="zh-CN"/>
              </w:rPr>
              <w:t>已收预付款</w:t>
            </w:r>
          </w:p>
        </w:tc>
        <w:tc>
          <w:tcPr>
            <w:tcW w:w="1310" w:type="pct"/>
            <w:shd w:val="clear" w:color="auto" w:fill="auto"/>
            <w:noWrap/>
            <w:vAlign w:val="bottom"/>
            <w:hideMark/>
          </w:tcPr>
          <w:p w14:paraId="4B49C903" w14:textId="382E3028" w:rsidR="009D43C3" w:rsidRPr="000C156A" w:rsidRDefault="009D43C3" w:rsidP="00D21B3E">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502</w:t>
            </w:r>
          </w:p>
        </w:tc>
        <w:tc>
          <w:tcPr>
            <w:tcW w:w="1310" w:type="pct"/>
            <w:shd w:val="clear" w:color="auto" w:fill="auto"/>
            <w:noWrap/>
            <w:vAlign w:val="bottom"/>
            <w:hideMark/>
          </w:tcPr>
          <w:p w14:paraId="68B14557" w14:textId="5EFA32B7" w:rsidR="009D43C3" w:rsidRPr="000C156A" w:rsidRDefault="009D43C3" w:rsidP="00D21B3E">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694</w:t>
            </w:r>
          </w:p>
        </w:tc>
      </w:tr>
      <w:tr w:rsidR="009D43C3" w:rsidRPr="000C156A" w14:paraId="0A9E17F4" w14:textId="77777777" w:rsidTr="005D02F0">
        <w:trPr>
          <w:trHeight w:val="300"/>
        </w:trPr>
        <w:tc>
          <w:tcPr>
            <w:tcW w:w="2380" w:type="pct"/>
            <w:tcBorders>
              <w:bottom w:val="single" w:sz="4" w:space="0" w:color="000000"/>
            </w:tcBorders>
            <w:noWrap/>
            <w:vAlign w:val="bottom"/>
            <w:hideMark/>
          </w:tcPr>
          <w:p w14:paraId="5AE7191C" w14:textId="77777777" w:rsidR="009D43C3" w:rsidRPr="000C156A" w:rsidRDefault="009D43C3" w:rsidP="005D02F0">
            <w:pPr>
              <w:overflowPunct/>
              <w:autoSpaceDE/>
              <w:autoSpaceDN/>
              <w:adjustRightInd/>
              <w:spacing w:before="0"/>
              <w:textAlignment w:val="auto"/>
              <w:rPr>
                <w:rFonts w:cs="Arial"/>
                <w:color w:val="000000"/>
                <w:sz w:val="22"/>
                <w:szCs w:val="22"/>
                <w:lang w:val="en-US" w:eastAsia="zh-CN"/>
              </w:rPr>
            </w:pPr>
          </w:p>
        </w:tc>
        <w:tc>
          <w:tcPr>
            <w:tcW w:w="1310" w:type="pct"/>
            <w:tcBorders>
              <w:bottom w:val="single" w:sz="4" w:space="0" w:color="000000"/>
            </w:tcBorders>
            <w:shd w:val="clear" w:color="auto" w:fill="auto"/>
            <w:noWrap/>
            <w:vAlign w:val="bottom"/>
            <w:hideMark/>
          </w:tcPr>
          <w:p w14:paraId="6EBB2342" w14:textId="3F787B8F" w:rsidR="009D43C3" w:rsidRPr="000C156A" w:rsidRDefault="009D43C3" w:rsidP="00D21B3E">
            <w:pPr>
              <w:overflowPunct/>
              <w:autoSpaceDE/>
              <w:autoSpaceDN/>
              <w:adjustRightInd/>
              <w:spacing w:before="0"/>
              <w:jc w:val="right"/>
              <w:textAlignment w:val="auto"/>
              <w:rPr>
                <w:rFonts w:cs="Arial"/>
                <w:color w:val="000000"/>
                <w:sz w:val="22"/>
                <w:szCs w:val="22"/>
                <w:lang w:val="en-US" w:eastAsia="zh-CN"/>
              </w:rPr>
            </w:pPr>
          </w:p>
        </w:tc>
        <w:tc>
          <w:tcPr>
            <w:tcW w:w="1310" w:type="pct"/>
            <w:tcBorders>
              <w:bottom w:val="single" w:sz="4" w:space="0" w:color="000000"/>
            </w:tcBorders>
            <w:shd w:val="clear" w:color="auto" w:fill="auto"/>
            <w:noWrap/>
            <w:vAlign w:val="bottom"/>
            <w:hideMark/>
          </w:tcPr>
          <w:p w14:paraId="1C447DE2" w14:textId="0C28F811" w:rsidR="009D43C3" w:rsidRPr="000C156A" w:rsidRDefault="009D43C3" w:rsidP="00D21B3E">
            <w:pPr>
              <w:overflowPunct/>
              <w:autoSpaceDE/>
              <w:autoSpaceDN/>
              <w:adjustRightInd/>
              <w:spacing w:before="0"/>
              <w:jc w:val="right"/>
              <w:textAlignment w:val="auto"/>
              <w:rPr>
                <w:rFonts w:cs="Arial"/>
                <w:color w:val="000000"/>
                <w:sz w:val="22"/>
                <w:szCs w:val="22"/>
                <w:lang w:val="en-US" w:eastAsia="zh-CN"/>
              </w:rPr>
            </w:pPr>
          </w:p>
        </w:tc>
      </w:tr>
      <w:tr w:rsidR="009D43C3" w:rsidRPr="000C156A" w14:paraId="7DEC160B" w14:textId="77777777" w:rsidTr="005D02F0">
        <w:trPr>
          <w:trHeight w:val="499"/>
        </w:trPr>
        <w:tc>
          <w:tcPr>
            <w:tcW w:w="2380" w:type="pct"/>
            <w:tcBorders>
              <w:top w:val="single" w:sz="4" w:space="0" w:color="000000"/>
            </w:tcBorders>
            <w:noWrap/>
            <w:vAlign w:val="center"/>
            <w:hideMark/>
          </w:tcPr>
          <w:p w14:paraId="6E099EBD" w14:textId="77777777" w:rsidR="009D43C3" w:rsidRPr="000C156A" w:rsidRDefault="009D43C3" w:rsidP="005D02F0">
            <w:pPr>
              <w:overflowPunct/>
              <w:autoSpaceDE/>
              <w:autoSpaceDN/>
              <w:adjustRightInd/>
              <w:spacing w:before="0"/>
              <w:textAlignment w:val="auto"/>
              <w:rPr>
                <w:rFonts w:cs="Arial"/>
                <w:b/>
                <w:bCs/>
                <w:color w:val="000000"/>
                <w:sz w:val="22"/>
                <w:szCs w:val="22"/>
                <w:lang w:val="en-US" w:eastAsia="zh-CN"/>
              </w:rPr>
            </w:pPr>
            <w:r w:rsidRPr="000C156A">
              <w:rPr>
                <w:rFonts w:cs="Microsoft YaHei" w:hint="eastAsia"/>
                <w:b/>
                <w:bCs/>
                <w:color w:val="000000"/>
                <w:sz w:val="22"/>
                <w:szCs w:val="22"/>
                <w:lang w:val="en-US" w:eastAsia="zh-CN"/>
              </w:rPr>
              <w:t>供货商和其它债权方</w:t>
            </w:r>
          </w:p>
        </w:tc>
        <w:tc>
          <w:tcPr>
            <w:tcW w:w="1310" w:type="pct"/>
            <w:tcBorders>
              <w:top w:val="single" w:sz="4" w:space="0" w:color="000000"/>
            </w:tcBorders>
            <w:shd w:val="clear" w:color="auto" w:fill="auto"/>
            <w:noWrap/>
            <w:vAlign w:val="center"/>
            <w:hideMark/>
          </w:tcPr>
          <w:p w14:paraId="021BB439" w14:textId="25D55DC0" w:rsidR="009D43C3" w:rsidRPr="000C156A" w:rsidRDefault="009D43C3" w:rsidP="00D21B3E">
            <w:pPr>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6</w:t>
            </w:r>
            <w:r w:rsidR="00D21B3E" w:rsidRPr="000C156A">
              <w:rPr>
                <w:rFonts w:cs="Arial"/>
                <w:b/>
                <w:bCs/>
                <w:color w:val="000000"/>
                <w:sz w:val="22"/>
                <w:szCs w:val="22"/>
                <w:lang w:val="en-US" w:eastAsia="zh-CN"/>
              </w:rPr>
              <w:t xml:space="preserve"> </w:t>
            </w:r>
            <w:r w:rsidRPr="000C156A">
              <w:rPr>
                <w:rFonts w:cs="Arial"/>
                <w:b/>
                <w:bCs/>
                <w:color w:val="000000"/>
                <w:sz w:val="22"/>
                <w:szCs w:val="22"/>
                <w:lang w:val="en-US" w:eastAsia="zh-CN"/>
              </w:rPr>
              <w:t>015</w:t>
            </w:r>
          </w:p>
        </w:tc>
        <w:tc>
          <w:tcPr>
            <w:tcW w:w="1310" w:type="pct"/>
            <w:tcBorders>
              <w:top w:val="single" w:sz="4" w:space="0" w:color="000000"/>
            </w:tcBorders>
            <w:shd w:val="clear" w:color="auto" w:fill="auto"/>
            <w:noWrap/>
            <w:vAlign w:val="center"/>
            <w:hideMark/>
          </w:tcPr>
          <w:p w14:paraId="7BDD900C" w14:textId="77B5A150" w:rsidR="009D43C3" w:rsidRPr="000C156A" w:rsidRDefault="009D43C3" w:rsidP="00D21B3E">
            <w:pPr>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8</w:t>
            </w:r>
            <w:r w:rsidR="00D21B3E" w:rsidRPr="000C156A">
              <w:rPr>
                <w:rFonts w:cs="Arial"/>
                <w:b/>
                <w:bCs/>
                <w:color w:val="000000"/>
                <w:sz w:val="22"/>
                <w:szCs w:val="22"/>
                <w:lang w:val="en-US" w:eastAsia="zh-CN"/>
              </w:rPr>
              <w:t xml:space="preserve"> </w:t>
            </w:r>
            <w:r w:rsidRPr="000C156A">
              <w:rPr>
                <w:rFonts w:cs="Arial"/>
                <w:b/>
                <w:bCs/>
                <w:color w:val="000000"/>
                <w:sz w:val="22"/>
                <w:szCs w:val="22"/>
                <w:lang w:val="en-US" w:eastAsia="zh-CN"/>
              </w:rPr>
              <w:t>508</w:t>
            </w:r>
          </w:p>
        </w:tc>
      </w:tr>
    </w:tbl>
    <w:p w14:paraId="65169450" w14:textId="77777777" w:rsidR="009D43C3" w:rsidRPr="000C156A" w:rsidRDefault="009D43C3" w:rsidP="00986873">
      <w:pPr>
        <w:spacing w:before="240"/>
        <w:ind w:firstLineChars="200" w:firstLine="480"/>
        <w:rPr>
          <w:lang w:eastAsia="zh-CN"/>
        </w:rPr>
      </w:pPr>
      <w:r w:rsidRPr="000C156A">
        <w:rPr>
          <w:rFonts w:hint="eastAsia"/>
          <w:lang w:eastAsia="zh-CN"/>
        </w:rPr>
        <w:t>与供货商相关的金额主要涉及尚未支付的发票、人员账目以及有待与</w:t>
      </w:r>
      <w:r w:rsidRPr="000C156A">
        <w:rPr>
          <w:lang w:eastAsia="zh-CN"/>
        </w:rPr>
        <w:t>UNDP</w:t>
      </w:r>
      <w:r w:rsidRPr="000C156A">
        <w:rPr>
          <w:rFonts w:hint="eastAsia"/>
          <w:lang w:eastAsia="zh-CN"/>
        </w:rPr>
        <w:t>结算的</w:t>
      </w:r>
      <w:r w:rsidRPr="000C156A">
        <w:rPr>
          <w:lang w:eastAsia="zh-CN"/>
        </w:rPr>
        <w:t>IOV</w:t>
      </w:r>
      <w:r w:rsidRPr="000C156A">
        <w:rPr>
          <w:rFonts w:hint="eastAsia"/>
          <w:lang w:eastAsia="zh-CN"/>
        </w:rPr>
        <w:t>发票。</w:t>
      </w:r>
    </w:p>
    <w:p w14:paraId="2E44A5B1" w14:textId="77777777" w:rsidR="009D43C3" w:rsidRPr="000C156A" w:rsidRDefault="009D43C3" w:rsidP="009D43C3">
      <w:pPr>
        <w:ind w:firstLineChars="200" w:firstLine="480"/>
        <w:rPr>
          <w:lang w:eastAsia="zh-CN"/>
        </w:rPr>
      </w:pPr>
      <w:r w:rsidRPr="000C156A">
        <w:rPr>
          <w:rFonts w:hint="eastAsia"/>
          <w:lang w:eastAsia="zh-CN"/>
        </w:rPr>
        <w:t>收到的定金用于卫星网络申报和未来购买出版物或发票。这些款项将退还受益方或用于结付未来用于结付卫星网络申报和出版物的发票。</w:t>
      </w:r>
    </w:p>
    <w:p w14:paraId="1A954EF8" w14:textId="77777777" w:rsidR="009D43C3" w:rsidRPr="000C156A" w:rsidRDefault="009D43C3" w:rsidP="009D43C3">
      <w:pPr>
        <w:ind w:firstLineChars="200" w:firstLine="480"/>
        <w:rPr>
          <w:lang w:eastAsia="zh-CN"/>
        </w:rPr>
      </w:pPr>
      <w:r w:rsidRPr="000C156A">
        <w:rPr>
          <w:rFonts w:hint="eastAsia"/>
          <w:lang w:eastAsia="zh-CN"/>
        </w:rPr>
        <w:t>首期付款是为了举办世界大会等活动，由东道国预先向国际电联账户做出的预付款。</w:t>
      </w:r>
      <w:bookmarkStart w:id="668" w:name="_Toc328992862"/>
      <w:r w:rsidRPr="000C156A">
        <w:rPr>
          <w:rFonts w:hint="eastAsia"/>
          <w:lang w:eastAsia="zh-CN"/>
        </w:rPr>
        <w:t>相关</w:t>
      </w:r>
      <w:r w:rsidRPr="000C156A">
        <w:rPr>
          <w:lang w:eastAsia="zh-CN"/>
        </w:rPr>
        <w:t>活动结束后，余额将按照签署的协议</w:t>
      </w:r>
      <w:r w:rsidRPr="000C156A">
        <w:rPr>
          <w:rFonts w:hint="eastAsia"/>
          <w:lang w:eastAsia="zh-CN"/>
        </w:rPr>
        <w:t>返还</w:t>
      </w:r>
      <w:r w:rsidRPr="000C156A">
        <w:rPr>
          <w:lang w:eastAsia="zh-CN"/>
        </w:rPr>
        <w:t>东道国。</w:t>
      </w:r>
      <w:bookmarkEnd w:id="668"/>
    </w:p>
    <w:p w14:paraId="6D03477F" w14:textId="77777777" w:rsidR="009D43C3" w:rsidRPr="000C156A" w:rsidRDefault="009D43C3" w:rsidP="009D43C3">
      <w:pPr>
        <w:pStyle w:val="Heading1"/>
        <w:spacing w:after="120"/>
        <w:rPr>
          <w:rFonts w:cs="Microsoft YaHei"/>
          <w:sz w:val="24"/>
          <w:szCs w:val="24"/>
          <w:lang w:val="fr-FR"/>
        </w:rPr>
      </w:pPr>
      <w:bookmarkStart w:id="669" w:name="_Toc482892573"/>
      <w:bookmarkStart w:id="670" w:name="_Toc482870838"/>
      <w:bookmarkStart w:id="671" w:name="_Toc329165789"/>
      <w:bookmarkStart w:id="672" w:name="_Toc305594748"/>
      <w:bookmarkStart w:id="673" w:name="_Toc511813757"/>
      <w:bookmarkStart w:id="674" w:name="_Toc511817840"/>
      <w:bookmarkStart w:id="675" w:name="_Toc520280740"/>
      <w:bookmarkStart w:id="676" w:name="_Toc10536835"/>
      <w:bookmarkStart w:id="677" w:name="_Toc41905877"/>
      <w:bookmarkStart w:id="678" w:name="_Toc41906905"/>
      <w:bookmarkStart w:id="679" w:name="_Toc41907986"/>
      <w:bookmarkStart w:id="680" w:name="_Toc41908054"/>
      <w:bookmarkStart w:id="681" w:name="_Toc73518692"/>
      <w:bookmarkStart w:id="682" w:name="_Toc73518839"/>
      <w:bookmarkStart w:id="683" w:name="_Toc73519239"/>
      <w:bookmarkStart w:id="684" w:name="_Toc73636278"/>
      <w:bookmarkEnd w:id="667"/>
      <w:r w:rsidRPr="000C156A">
        <w:rPr>
          <w:rFonts w:cs="Microsoft YaHei" w:hint="eastAsia"/>
          <w:sz w:val="24"/>
          <w:szCs w:val="24"/>
          <w:lang w:val="fr-FR"/>
        </w:rPr>
        <w:lastRenderedPageBreak/>
        <w:t>说明</w:t>
      </w:r>
      <w:r w:rsidRPr="000C156A">
        <w:rPr>
          <w:rFonts w:cs="Microsoft YaHei"/>
          <w:sz w:val="24"/>
          <w:szCs w:val="24"/>
          <w:lang w:val="fr-FR"/>
        </w:rPr>
        <w:t>15</w:t>
      </w:r>
      <w:r w:rsidRPr="000C156A">
        <w:rPr>
          <w:rFonts w:cs="Microsoft YaHei"/>
          <w:sz w:val="24"/>
          <w:szCs w:val="24"/>
          <w:lang w:val="fr-FR"/>
        </w:rPr>
        <w:tab/>
      </w:r>
      <w:r w:rsidRPr="000C156A">
        <w:rPr>
          <w:rFonts w:cs="Microsoft YaHei" w:hint="eastAsia"/>
          <w:sz w:val="24"/>
          <w:szCs w:val="24"/>
          <w:lang w:val="fr-FR"/>
        </w:rPr>
        <w:t>递延收入</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tbl>
      <w:tblPr>
        <w:tblW w:w="973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68"/>
        <w:gridCol w:w="2410"/>
        <w:gridCol w:w="2457"/>
      </w:tblGrid>
      <w:tr w:rsidR="009D43C3" w:rsidRPr="000C156A" w14:paraId="3810EF0C" w14:textId="77777777" w:rsidTr="005D02F0">
        <w:trPr>
          <w:trHeight w:val="499"/>
          <w:jc w:val="center"/>
        </w:trPr>
        <w:tc>
          <w:tcPr>
            <w:tcW w:w="4868" w:type="dxa"/>
            <w:tcBorders>
              <w:bottom w:val="single" w:sz="4" w:space="0" w:color="000000"/>
            </w:tcBorders>
            <w:noWrap/>
            <w:vAlign w:val="center"/>
            <w:hideMark/>
          </w:tcPr>
          <w:p w14:paraId="31DAD750" w14:textId="77777777" w:rsidR="009D43C3" w:rsidRPr="000C156A" w:rsidRDefault="009D43C3" w:rsidP="005D02F0">
            <w:pPr>
              <w:pStyle w:val="Tablehead"/>
              <w:spacing w:before="0" w:after="0"/>
              <w:jc w:val="left"/>
              <w:rPr>
                <w:szCs w:val="22"/>
                <w:lang w:val="en-US"/>
              </w:rPr>
            </w:pPr>
            <w:r w:rsidRPr="000C156A">
              <w:rPr>
                <w:rFonts w:hint="eastAsia"/>
                <w:szCs w:val="22"/>
                <w:lang w:val="en-US"/>
              </w:rPr>
              <w:t>单位：千瑞郎</w:t>
            </w:r>
          </w:p>
        </w:tc>
        <w:tc>
          <w:tcPr>
            <w:tcW w:w="2410" w:type="dxa"/>
            <w:tcBorders>
              <w:bottom w:val="single" w:sz="4" w:space="0" w:color="000000"/>
            </w:tcBorders>
            <w:noWrap/>
            <w:vAlign w:val="center"/>
            <w:hideMark/>
          </w:tcPr>
          <w:p w14:paraId="3382DB6D" w14:textId="77777777" w:rsidR="009D43C3" w:rsidRPr="000C156A" w:rsidRDefault="009D43C3" w:rsidP="005D02F0">
            <w:pPr>
              <w:pStyle w:val="Tablehead"/>
              <w:spacing w:before="0" w:after="0"/>
              <w:jc w:val="right"/>
              <w:rPr>
                <w:szCs w:val="22"/>
                <w:lang w:val="en-US"/>
              </w:rPr>
            </w:pPr>
            <w:r w:rsidRPr="000C156A">
              <w:rPr>
                <w:szCs w:val="22"/>
                <w:lang w:val="en-US"/>
              </w:rPr>
              <w:t>20</w:t>
            </w:r>
            <w:r w:rsidRPr="000C156A">
              <w:rPr>
                <w:rFonts w:hint="eastAsia"/>
                <w:szCs w:val="22"/>
                <w:lang w:val="en-US" w:eastAsia="zh-CN"/>
              </w:rPr>
              <w:t>20</w:t>
            </w:r>
            <w:r w:rsidRPr="000C156A">
              <w:rPr>
                <w:rFonts w:hint="eastAsia"/>
                <w:szCs w:val="22"/>
                <w:lang w:val="en-US"/>
              </w:rPr>
              <w:t>年</w:t>
            </w:r>
            <w:r w:rsidRPr="000C156A">
              <w:rPr>
                <w:szCs w:val="22"/>
                <w:lang w:val="en-US"/>
              </w:rPr>
              <w:t>12</w:t>
            </w:r>
            <w:r w:rsidRPr="000C156A">
              <w:rPr>
                <w:rFonts w:hint="eastAsia"/>
                <w:szCs w:val="22"/>
                <w:lang w:val="en-US"/>
              </w:rPr>
              <w:t>月</w:t>
            </w:r>
            <w:r w:rsidRPr="000C156A">
              <w:rPr>
                <w:szCs w:val="22"/>
                <w:lang w:val="en-US"/>
              </w:rPr>
              <w:t>31</w:t>
            </w:r>
            <w:r w:rsidRPr="000C156A">
              <w:rPr>
                <w:rFonts w:hint="eastAsia"/>
                <w:szCs w:val="22"/>
                <w:lang w:val="en-US"/>
              </w:rPr>
              <w:t>日</w:t>
            </w:r>
          </w:p>
        </w:tc>
        <w:tc>
          <w:tcPr>
            <w:tcW w:w="2457" w:type="dxa"/>
            <w:tcBorders>
              <w:bottom w:val="single" w:sz="4" w:space="0" w:color="000000"/>
            </w:tcBorders>
            <w:vAlign w:val="center"/>
            <w:hideMark/>
          </w:tcPr>
          <w:p w14:paraId="3E28A363" w14:textId="77777777" w:rsidR="009D43C3" w:rsidRPr="000C156A" w:rsidRDefault="009D43C3" w:rsidP="005D02F0">
            <w:pPr>
              <w:pStyle w:val="Tablehead"/>
              <w:spacing w:before="0" w:after="0"/>
              <w:jc w:val="right"/>
              <w:rPr>
                <w:szCs w:val="22"/>
                <w:lang w:val="en-US"/>
              </w:rPr>
            </w:pPr>
            <w:r w:rsidRPr="000C156A">
              <w:rPr>
                <w:szCs w:val="22"/>
                <w:lang w:val="en-US"/>
              </w:rPr>
              <w:t>201</w:t>
            </w:r>
            <w:r w:rsidRPr="000C156A">
              <w:rPr>
                <w:rFonts w:hint="eastAsia"/>
                <w:szCs w:val="22"/>
                <w:lang w:val="en-US" w:eastAsia="zh-CN"/>
              </w:rPr>
              <w:t>9</w:t>
            </w:r>
            <w:r w:rsidRPr="000C156A">
              <w:rPr>
                <w:rFonts w:hint="eastAsia"/>
                <w:szCs w:val="22"/>
                <w:lang w:val="en-US"/>
              </w:rPr>
              <w:t>年</w:t>
            </w:r>
            <w:r w:rsidRPr="000C156A">
              <w:rPr>
                <w:szCs w:val="22"/>
                <w:lang w:val="en-US"/>
              </w:rPr>
              <w:t>12</w:t>
            </w:r>
            <w:r w:rsidRPr="000C156A">
              <w:rPr>
                <w:rFonts w:hint="eastAsia"/>
                <w:szCs w:val="22"/>
                <w:lang w:val="en-US"/>
              </w:rPr>
              <w:t>月</w:t>
            </w:r>
            <w:r w:rsidRPr="000C156A">
              <w:rPr>
                <w:szCs w:val="22"/>
                <w:lang w:val="en-US"/>
              </w:rPr>
              <w:t>31</w:t>
            </w:r>
            <w:r w:rsidRPr="000C156A">
              <w:rPr>
                <w:rFonts w:hint="eastAsia"/>
                <w:szCs w:val="22"/>
                <w:lang w:val="en-US"/>
              </w:rPr>
              <w:t>日</w:t>
            </w:r>
          </w:p>
        </w:tc>
      </w:tr>
      <w:tr w:rsidR="009D43C3" w:rsidRPr="000C156A" w14:paraId="1CDD096A" w14:textId="77777777" w:rsidTr="005D02F0">
        <w:trPr>
          <w:trHeight w:val="255"/>
          <w:jc w:val="center"/>
        </w:trPr>
        <w:tc>
          <w:tcPr>
            <w:tcW w:w="4868" w:type="dxa"/>
            <w:tcBorders>
              <w:top w:val="single" w:sz="4" w:space="0" w:color="000000"/>
            </w:tcBorders>
            <w:noWrap/>
            <w:vAlign w:val="bottom"/>
          </w:tcPr>
          <w:p w14:paraId="7CAF7047" w14:textId="77777777" w:rsidR="009D43C3" w:rsidRPr="000C156A" w:rsidRDefault="009D43C3" w:rsidP="005D02F0">
            <w:pPr>
              <w:pStyle w:val="Tabletext"/>
              <w:spacing w:before="20" w:after="20"/>
              <w:rPr>
                <w:bCs/>
                <w:szCs w:val="22"/>
                <w:lang w:val="en-US" w:eastAsia="zh-CN"/>
              </w:rPr>
            </w:pPr>
          </w:p>
        </w:tc>
        <w:tc>
          <w:tcPr>
            <w:tcW w:w="2410" w:type="dxa"/>
            <w:tcBorders>
              <w:top w:val="single" w:sz="4" w:space="0" w:color="000000"/>
            </w:tcBorders>
            <w:shd w:val="clear" w:color="auto" w:fill="auto"/>
            <w:noWrap/>
            <w:vAlign w:val="bottom"/>
            <w:hideMark/>
          </w:tcPr>
          <w:p w14:paraId="71735A96" w14:textId="77777777" w:rsidR="009D43C3" w:rsidRPr="000C156A" w:rsidRDefault="009D43C3"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 </w:t>
            </w:r>
          </w:p>
        </w:tc>
        <w:tc>
          <w:tcPr>
            <w:tcW w:w="2457" w:type="dxa"/>
            <w:tcBorders>
              <w:top w:val="single" w:sz="4" w:space="0" w:color="000000"/>
            </w:tcBorders>
            <w:shd w:val="clear" w:color="auto" w:fill="auto"/>
            <w:noWrap/>
            <w:vAlign w:val="bottom"/>
            <w:hideMark/>
          </w:tcPr>
          <w:p w14:paraId="71672400" w14:textId="77777777" w:rsidR="009D43C3" w:rsidRPr="000C156A" w:rsidRDefault="009D43C3" w:rsidP="005D02F0">
            <w:pPr>
              <w:overflowPunct/>
              <w:autoSpaceDE/>
              <w:autoSpaceDN/>
              <w:adjustRightInd/>
              <w:spacing w:before="0"/>
              <w:jc w:val="right"/>
              <w:textAlignment w:val="auto"/>
              <w:rPr>
                <w:rFonts w:cs="Arial"/>
                <w:color w:val="000000"/>
                <w:sz w:val="22"/>
                <w:szCs w:val="22"/>
                <w:lang w:val="en-US" w:eastAsia="zh-CN"/>
              </w:rPr>
            </w:pPr>
          </w:p>
        </w:tc>
      </w:tr>
      <w:tr w:rsidR="009D43C3" w:rsidRPr="000C156A" w14:paraId="6D45E437" w14:textId="77777777" w:rsidTr="005D02F0">
        <w:trPr>
          <w:trHeight w:val="20"/>
          <w:jc w:val="center"/>
        </w:trPr>
        <w:tc>
          <w:tcPr>
            <w:tcW w:w="4868" w:type="dxa"/>
            <w:noWrap/>
            <w:vAlign w:val="bottom"/>
            <w:hideMark/>
          </w:tcPr>
          <w:p w14:paraId="66BEF342" w14:textId="77777777" w:rsidR="009D43C3" w:rsidRPr="000C156A" w:rsidRDefault="009D43C3" w:rsidP="005D02F0">
            <w:pPr>
              <w:pStyle w:val="Tabletext"/>
              <w:spacing w:before="20" w:after="20"/>
              <w:rPr>
                <w:bCs/>
                <w:szCs w:val="22"/>
                <w:lang w:val="en-US" w:eastAsia="zh-CN"/>
              </w:rPr>
            </w:pPr>
            <w:r w:rsidRPr="000C156A">
              <w:rPr>
                <w:rFonts w:cs="Arial" w:hint="eastAsia"/>
                <w:szCs w:val="22"/>
                <w:lang w:val="en-US"/>
              </w:rPr>
              <w:t>会费</w:t>
            </w:r>
            <w:r w:rsidRPr="000C156A">
              <w:rPr>
                <w:rFonts w:cs="Arial"/>
                <w:szCs w:val="22"/>
                <w:lang w:val="en-US"/>
              </w:rPr>
              <w:t xml:space="preserve"> – </w:t>
            </w:r>
            <w:r w:rsidRPr="000C156A">
              <w:rPr>
                <w:rFonts w:cs="Arial" w:hint="eastAsia"/>
                <w:szCs w:val="22"/>
                <w:lang w:val="en-US" w:eastAsia="zh-CN"/>
              </w:rPr>
              <w:t>成员国</w:t>
            </w:r>
          </w:p>
        </w:tc>
        <w:tc>
          <w:tcPr>
            <w:tcW w:w="2410" w:type="dxa"/>
            <w:shd w:val="clear" w:color="auto" w:fill="auto"/>
            <w:noWrap/>
            <w:vAlign w:val="bottom"/>
            <w:hideMark/>
          </w:tcPr>
          <w:p w14:paraId="46871D51" w14:textId="6F331FDB" w:rsidR="009D43C3" w:rsidRPr="000C156A" w:rsidRDefault="009D43C3" w:rsidP="009D4784">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109</w:t>
            </w:r>
            <w:r w:rsidR="009D4784" w:rsidRPr="000C156A">
              <w:rPr>
                <w:rFonts w:cs="Arial"/>
                <w:color w:val="000000"/>
                <w:sz w:val="22"/>
                <w:szCs w:val="22"/>
                <w:lang w:val="en-US" w:eastAsia="zh-CN"/>
              </w:rPr>
              <w:t xml:space="preserve"> </w:t>
            </w:r>
            <w:r w:rsidRPr="000C156A">
              <w:rPr>
                <w:rFonts w:cs="Arial"/>
                <w:color w:val="000000"/>
                <w:sz w:val="22"/>
                <w:szCs w:val="22"/>
                <w:lang w:val="en-US" w:eastAsia="zh-CN"/>
              </w:rPr>
              <w:t>293</w:t>
            </w:r>
          </w:p>
        </w:tc>
        <w:tc>
          <w:tcPr>
            <w:tcW w:w="2457" w:type="dxa"/>
            <w:shd w:val="clear" w:color="auto" w:fill="auto"/>
            <w:noWrap/>
            <w:vAlign w:val="bottom"/>
            <w:hideMark/>
          </w:tcPr>
          <w:p w14:paraId="487C8D4F" w14:textId="20AC95F2" w:rsidR="009D43C3" w:rsidRPr="000C156A" w:rsidRDefault="009D43C3" w:rsidP="009D4784">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109</w:t>
            </w:r>
            <w:r w:rsidR="009D4784" w:rsidRPr="000C156A">
              <w:rPr>
                <w:rFonts w:cs="Arial"/>
                <w:color w:val="000000"/>
                <w:sz w:val="22"/>
                <w:szCs w:val="22"/>
                <w:lang w:val="en-US" w:eastAsia="zh-CN"/>
              </w:rPr>
              <w:t xml:space="preserve"> </w:t>
            </w:r>
            <w:r w:rsidRPr="000C156A">
              <w:rPr>
                <w:rFonts w:cs="Arial"/>
                <w:color w:val="000000"/>
                <w:sz w:val="22"/>
                <w:szCs w:val="22"/>
                <w:lang w:val="en-US" w:eastAsia="zh-CN"/>
              </w:rPr>
              <w:t>661</w:t>
            </w:r>
          </w:p>
        </w:tc>
      </w:tr>
      <w:tr w:rsidR="009D43C3" w:rsidRPr="000C156A" w14:paraId="75492D0D" w14:textId="77777777" w:rsidTr="005D02F0">
        <w:trPr>
          <w:trHeight w:val="20"/>
          <w:jc w:val="center"/>
        </w:trPr>
        <w:tc>
          <w:tcPr>
            <w:tcW w:w="4868" w:type="dxa"/>
            <w:noWrap/>
            <w:vAlign w:val="center"/>
          </w:tcPr>
          <w:p w14:paraId="2D510DFD" w14:textId="77777777" w:rsidR="009D43C3" w:rsidRPr="000C156A" w:rsidRDefault="009D43C3" w:rsidP="005D02F0">
            <w:pPr>
              <w:pStyle w:val="Tabletext"/>
              <w:spacing w:before="20" w:after="20"/>
              <w:rPr>
                <w:bCs/>
                <w:szCs w:val="22"/>
                <w:lang w:val="en-US" w:eastAsia="zh-CN"/>
              </w:rPr>
            </w:pPr>
            <w:r w:rsidRPr="000C156A">
              <w:rPr>
                <w:rFonts w:cs="Arial" w:hint="eastAsia"/>
                <w:szCs w:val="22"/>
                <w:lang w:val="en-US"/>
              </w:rPr>
              <w:t>会费</w:t>
            </w:r>
            <w:r w:rsidRPr="000C156A">
              <w:rPr>
                <w:rFonts w:cs="Arial"/>
                <w:szCs w:val="22"/>
                <w:lang w:val="en-US"/>
              </w:rPr>
              <w:t xml:space="preserve"> – </w:t>
            </w:r>
            <w:r w:rsidRPr="000C156A">
              <w:rPr>
                <w:rFonts w:cs="Arial" w:hint="eastAsia"/>
                <w:szCs w:val="22"/>
                <w:lang w:val="en-US" w:eastAsia="zh-CN"/>
              </w:rPr>
              <w:t>部门成员</w:t>
            </w:r>
          </w:p>
        </w:tc>
        <w:tc>
          <w:tcPr>
            <w:tcW w:w="2410" w:type="dxa"/>
            <w:shd w:val="clear" w:color="auto" w:fill="auto"/>
            <w:noWrap/>
            <w:vAlign w:val="bottom"/>
          </w:tcPr>
          <w:p w14:paraId="19926E11" w14:textId="7AD299AA" w:rsidR="009D43C3" w:rsidRPr="000C156A" w:rsidRDefault="009D43C3" w:rsidP="009D4784">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13</w:t>
            </w:r>
            <w:r w:rsidR="009D4784" w:rsidRPr="000C156A">
              <w:rPr>
                <w:rFonts w:cs="Arial"/>
                <w:color w:val="000000"/>
                <w:sz w:val="22"/>
                <w:szCs w:val="22"/>
                <w:lang w:val="en-US" w:eastAsia="zh-CN"/>
              </w:rPr>
              <w:t xml:space="preserve"> </w:t>
            </w:r>
            <w:r w:rsidRPr="000C156A">
              <w:rPr>
                <w:rFonts w:cs="Arial"/>
                <w:color w:val="000000"/>
                <w:sz w:val="22"/>
                <w:szCs w:val="22"/>
                <w:lang w:val="en-US" w:eastAsia="zh-CN"/>
              </w:rPr>
              <w:t>829</w:t>
            </w:r>
          </w:p>
        </w:tc>
        <w:tc>
          <w:tcPr>
            <w:tcW w:w="2457" w:type="dxa"/>
            <w:shd w:val="clear" w:color="auto" w:fill="auto"/>
            <w:noWrap/>
            <w:vAlign w:val="bottom"/>
          </w:tcPr>
          <w:p w14:paraId="21953CC6" w14:textId="2DE30447" w:rsidR="009D43C3" w:rsidRPr="000C156A" w:rsidRDefault="009D43C3" w:rsidP="009D4784">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14</w:t>
            </w:r>
            <w:r w:rsidR="009D4784" w:rsidRPr="000C156A">
              <w:rPr>
                <w:rFonts w:cs="Arial"/>
                <w:color w:val="000000"/>
                <w:sz w:val="22"/>
                <w:szCs w:val="22"/>
                <w:lang w:val="en-US" w:eastAsia="zh-CN"/>
              </w:rPr>
              <w:t xml:space="preserve"> </w:t>
            </w:r>
            <w:r w:rsidRPr="000C156A">
              <w:rPr>
                <w:rFonts w:cs="Arial"/>
                <w:color w:val="000000"/>
                <w:sz w:val="22"/>
                <w:szCs w:val="22"/>
                <w:lang w:val="en-US" w:eastAsia="zh-CN"/>
              </w:rPr>
              <w:t>166</w:t>
            </w:r>
          </w:p>
        </w:tc>
      </w:tr>
      <w:tr w:rsidR="009D43C3" w:rsidRPr="000C156A" w14:paraId="445A18B9" w14:textId="77777777" w:rsidTr="005D02F0">
        <w:trPr>
          <w:trHeight w:val="20"/>
          <w:jc w:val="center"/>
        </w:trPr>
        <w:tc>
          <w:tcPr>
            <w:tcW w:w="4868" w:type="dxa"/>
            <w:noWrap/>
            <w:vAlign w:val="center"/>
            <w:hideMark/>
          </w:tcPr>
          <w:p w14:paraId="1352439C" w14:textId="77777777" w:rsidR="009D43C3" w:rsidRPr="000C156A" w:rsidRDefault="009D43C3" w:rsidP="005D02F0">
            <w:pPr>
              <w:pStyle w:val="Tabletext"/>
              <w:spacing w:before="20" w:after="20"/>
              <w:rPr>
                <w:bCs/>
                <w:szCs w:val="22"/>
                <w:lang w:val="en-US"/>
              </w:rPr>
            </w:pPr>
            <w:r w:rsidRPr="000C156A">
              <w:rPr>
                <w:rFonts w:cs="Arial" w:hint="eastAsia"/>
                <w:szCs w:val="22"/>
                <w:lang w:val="en-US"/>
              </w:rPr>
              <w:t>会费</w:t>
            </w:r>
            <w:r w:rsidRPr="000C156A">
              <w:rPr>
                <w:rFonts w:cs="Arial"/>
                <w:szCs w:val="22"/>
                <w:lang w:val="en-US"/>
              </w:rPr>
              <w:t xml:space="preserve"> –</w:t>
            </w:r>
            <w:r w:rsidRPr="000C156A">
              <w:rPr>
                <w:rFonts w:cs="Arial"/>
                <w:szCs w:val="22"/>
                <w:lang w:val="en-US" w:eastAsia="zh-CN"/>
              </w:rPr>
              <w:t xml:space="preserve"> </w:t>
            </w:r>
            <w:r w:rsidRPr="000C156A">
              <w:rPr>
                <w:rFonts w:cs="Arial" w:hint="eastAsia"/>
                <w:szCs w:val="22"/>
                <w:lang w:val="en-US"/>
              </w:rPr>
              <w:t>部门</w:t>
            </w:r>
            <w:r w:rsidRPr="000C156A">
              <w:rPr>
                <w:rFonts w:cs="Arial" w:hint="eastAsia"/>
                <w:szCs w:val="22"/>
                <w:lang w:val="en-US" w:eastAsia="zh-CN"/>
              </w:rPr>
              <w:t>准</w:t>
            </w:r>
            <w:r w:rsidRPr="000C156A">
              <w:rPr>
                <w:rFonts w:cs="Arial" w:hint="eastAsia"/>
                <w:szCs w:val="22"/>
                <w:lang w:val="en-US"/>
              </w:rPr>
              <w:t>成员</w:t>
            </w:r>
          </w:p>
        </w:tc>
        <w:tc>
          <w:tcPr>
            <w:tcW w:w="2410" w:type="dxa"/>
            <w:shd w:val="clear" w:color="auto" w:fill="auto"/>
            <w:noWrap/>
            <w:vAlign w:val="bottom"/>
            <w:hideMark/>
          </w:tcPr>
          <w:p w14:paraId="55F88320" w14:textId="5D52C068" w:rsidR="009D43C3" w:rsidRPr="000C156A" w:rsidRDefault="009D43C3" w:rsidP="009D4784">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2</w:t>
            </w:r>
            <w:r w:rsidR="009D4784" w:rsidRPr="000C156A">
              <w:rPr>
                <w:rFonts w:cs="Arial"/>
                <w:color w:val="000000"/>
                <w:sz w:val="22"/>
                <w:szCs w:val="22"/>
                <w:lang w:val="en-US" w:eastAsia="zh-CN"/>
              </w:rPr>
              <w:t xml:space="preserve"> </w:t>
            </w:r>
            <w:r w:rsidRPr="000C156A">
              <w:rPr>
                <w:rFonts w:cs="Arial"/>
                <w:color w:val="000000"/>
                <w:sz w:val="22"/>
                <w:szCs w:val="22"/>
                <w:lang w:val="en-US" w:eastAsia="zh-CN"/>
              </w:rPr>
              <w:t>184</w:t>
            </w:r>
          </w:p>
        </w:tc>
        <w:tc>
          <w:tcPr>
            <w:tcW w:w="2457" w:type="dxa"/>
            <w:shd w:val="clear" w:color="auto" w:fill="auto"/>
            <w:noWrap/>
            <w:vAlign w:val="bottom"/>
            <w:hideMark/>
          </w:tcPr>
          <w:p w14:paraId="39CB3918" w14:textId="3F5C2169" w:rsidR="009D43C3" w:rsidRPr="000C156A" w:rsidRDefault="009D43C3" w:rsidP="009D4784">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2</w:t>
            </w:r>
            <w:r w:rsidR="009D4784" w:rsidRPr="000C156A">
              <w:rPr>
                <w:rFonts w:cs="Arial"/>
                <w:color w:val="000000"/>
                <w:sz w:val="22"/>
                <w:szCs w:val="22"/>
                <w:lang w:val="en-US" w:eastAsia="zh-CN"/>
              </w:rPr>
              <w:t xml:space="preserve"> </w:t>
            </w:r>
            <w:r w:rsidRPr="000C156A">
              <w:rPr>
                <w:rFonts w:cs="Arial"/>
                <w:color w:val="000000"/>
                <w:sz w:val="22"/>
                <w:szCs w:val="22"/>
                <w:lang w:val="en-US" w:eastAsia="zh-CN"/>
              </w:rPr>
              <w:t>123</w:t>
            </w:r>
          </w:p>
        </w:tc>
      </w:tr>
      <w:tr w:rsidR="009D43C3" w:rsidRPr="000C156A" w14:paraId="34D29062" w14:textId="77777777" w:rsidTr="005D02F0">
        <w:trPr>
          <w:trHeight w:val="20"/>
          <w:jc w:val="center"/>
        </w:trPr>
        <w:tc>
          <w:tcPr>
            <w:tcW w:w="4868" w:type="dxa"/>
            <w:noWrap/>
            <w:vAlign w:val="center"/>
            <w:hideMark/>
          </w:tcPr>
          <w:p w14:paraId="4F73443A" w14:textId="77777777" w:rsidR="009D43C3" w:rsidRPr="000C156A" w:rsidRDefault="009D43C3" w:rsidP="005D02F0">
            <w:pPr>
              <w:pStyle w:val="Tabletext"/>
              <w:spacing w:before="20" w:after="20"/>
              <w:rPr>
                <w:rFonts w:cs="Arial"/>
                <w:szCs w:val="22"/>
                <w:lang w:val="en-US" w:eastAsia="zh-CN"/>
              </w:rPr>
            </w:pPr>
            <w:r w:rsidRPr="000C156A">
              <w:rPr>
                <w:rFonts w:cs="Arial" w:hint="eastAsia"/>
                <w:szCs w:val="22"/>
                <w:lang w:val="en-US"/>
              </w:rPr>
              <w:t>会费</w:t>
            </w:r>
            <w:r w:rsidRPr="000C156A">
              <w:rPr>
                <w:rFonts w:cs="Arial"/>
                <w:szCs w:val="22"/>
                <w:lang w:val="en-US"/>
              </w:rPr>
              <w:t xml:space="preserve"> – </w:t>
            </w:r>
            <w:r w:rsidRPr="000C156A">
              <w:rPr>
                <w:rFonts w:cs="Arial" w:hint="eastAsia"/>
                <w:szCs w:val="22"/>
                <w:lang w:val="en-US" w:eastAsia="zh-CN"/>
              </w:rPr>
              <w:t>学术成员</w:t>
            </w:r>
          </w:p>
        </w:tc>
        <w:tc>
          <w:tcPr>
            <w:tcW w:w="2410" w:type="dxa"/>
            <w:shd w:val="clear" w:color="auto" w:fill="auto"/>
            <w:noWrap/>
            <w:vAlign w:val="bottom"/>
            <w:hideMark/>
          </w:tcPr>
          <w:p w14:paraId="140D48CE" w14:textId="0C56B614" w:rsidR="009D43C3" w:rsidRPr="000C156A" w:rsidRDefault="009D43C3" w:rsidP="009D4784">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399</w:t>
            </w:r>
          </w:p>
        </w:tc>
        <w:tc>
          <w:tcPr>
            <w:tcW w:w="2457" w:type="dxa"/>
            <w:shd w:val="clear" w:color="auto" w:fill="auto"/>
            <w:noWrap/>
            <w:vAlign w:val="bottom"/>
            <w:hideMark/>
          </w:tcPr>
          <w:p w14:paraId="5CAEB13E" w14:textId="77777777" w:rsidR="009D43C3" w:rsidRPr="000C156A" w:rsidRDefault="009D43C3" w:rsidP="009D4784">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381</w:t>
            </w:r>
          </w:p>
        </w:tc>
      </w:tr>
      <w:tr w:rsidR="009D43C3" w:rsidRPr="000C156A" w14:paraId="35FB9164" w14:textId="77777777" w:rsidTr="005D02F0">
        <w:trPr>
          <w:trHeight w:val="20"/>
          <w:jc w:val="center"/>
        </w:trPr>
        <w:tc>
          <w:tcPr>
            <w:tcW w:w="4868" w:type="dxa"/>
            <w:noWrap/>
            <w:vAlign w:val="center"/>
            <w:hideMark/>
          </w:tcPr>
          <w:p w14:paraId="0CF9D8EB" w14:textId="77777777" w:rsidR="009D43C3" w:rsidRPr="000C156A" w:rsidRDefault="009D43C3" w:rsidP="005D02F0">
            <w:pPr>
              <w:pStyle w:val="Tabletext"/>
              <w:spacing w:before="20" w:after="20"/>
              <w:rPr>
                <w:bCs/>
                <w:szCs w:val="22"/>
                <w:lang w:val="en-US" w:eastAsia="zh-CN"/>
              </w:rPr>
            </w:pPr>
            <w:r w:rsidRPr="000C156A">
              <w:rPr>
                <w:rFonts w:cs="Arial" w:hint="eastAsia"/>
                <w:szCs w:val="22"/>
                <w:lang w:val="en-US" w:eastAsia="zh-CN"/>
              </w:rPr>
              <w:t>其他递延收入</w:t>
            </w:r>
          </w:p>
        </w:tc>
        <w:tc>
          <w:tcPr>
            <w:tcW w:w="2410" w:type="dxa"/>
            <w:shd w:val="clear" w:color="auto" w:fill="auto"/>
            <w:noWrap/>
            <w:vAlign w:val="bottom"/>
            <w:hideMark/>
          </w:tcPr>
          <w:p w14:paraId="680376A0" w14:textId="5588C4AC" w:rsidR="009D43C3" w:rsidRPr="000C156A" w:rsidRDefault="009D43C3" w:rsidP="009D4784">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6</w:t>
            </w:r>
            <w:r w:rsidR="009D4784" w:rsidRPr="000C156A">
              <w:rPr>
                <w:rFonts w:cs="Arial"/>
                <w:color w:val="000000"/>
                <w:sz w:val="22"/>
                <w:szCs w:val="22"/>
                <w:lang w:val="en-US" w:eastAsia="zh-CN"/>
              </w:rPr>
              <w:t xml:space="preserve"> </w:t>
            </w:r>
            <w:r w:rsidRPr="000C156A">
              <w:rPr>
                <w:rFonts w:cs="Arial"/>
                <w:color w:val="000000"/>
                <w:sz w:val="22"/>
                <w:szCs w:val="22"/>
                <w:lang w:val="en-US" w:eastAsia="zh-CN"/>
              </w:rPr>
              <w:t>404</w:t>
            </w:r>
          </w:p>
        </w:tc>
        <w:tc>
          <w:tcPr>
            <w:tcW w:w="2457" w:type="dxa"/>
            <w:shd w:val="clear" w:color="auto" w:fill="auto"/>
            <w:noWrap/>
            <w:vAlign w:val="bottom"/>
            <w:hideMark/>
          </w:tcPr>
          <w:p w14:paraId="67EACE5C" w14:textId="4A0304A2" w:rsidR="009D43C3" w:rsidRPr="000C156A" w:rsidRDefault="009D43C3" w:rsidP="009D4784">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3</w:t>
            </w:r>
            <w:r w:rsidR="009D4784" w:rsidRPr="000C156A">
              <w:rPr>
                <w:rFonts w:cs="Arial"/>
                <w:color w:val="000000"/>
                <w:sz w:val="22"/>
                <w:szCs w:val="22"/>
                <w:lang w:val="en-US" w:eastAsia="zh-CN"/>
              </w:rPr>
              <w:t xml:space="preserve"> </w:t>
            </w:r>
            <w:r w:rsidRPr="000C156A">
              <w:rPr>
                <w:rFonts w:cs="Arial"/>
                <w:color w:val="000000"/>
                <w:sz w:val="22"/>
                <w:szCs w:val="22"/>
                <w:lang w:val="en-US" w:eastAsia="zh-CN"/>
              </w:rPr>
              <w:t>097</w:t>
            </w:r>
          </w:p>
        </w:tc>
      </w:tr>
      <w:tr w:rsidR="009D43C3" w:rsidRPr="000C156A" w14:paraId="489B2837" w14:textId="77777777" w:rsidTr="005D02F0">
        <w:trPr>
          <w:trHeight w:val="20"/>
          <w:jc w:val="center"/>
        </w:trPr>
        <w:tc>
          <w:tcPr>
            <w:tcW w:w="4868" w:type="dxa"/>
            <w:tcBorders>
              <w:bottom w:val="single" w:sz="4" w:space="0" w:color="000000"/>
            </w:tcBorders>
            <w:noWrap/>
            <w:vAlign w:val="center"/>
          </w:tcPr>
          <w:p w14:paraId="0F05675F" w14:textId="77777777" w:rsidR="009D43C3" w:rsidRPr="000C156A" w:rsidRDefault="009D43C3" w:rsidP="005D02F0">
            <w:pPr>
              <w:pStyle w:val="Tabletext"/>
              <w:spacing w:before="20" w:after="20"/>
              <w:rPr>
                <w:rFonts w:cs="Arial"/>
                <w:szCs w:val="22"/>
                <w:lang w:val="en-US" w:eastAsia="zh-CN"/>
              </w:rPr>
            </w:pPr>
            <w:r w:rsidRPr="000C156A">
              <w:rPr>
                <w:rFonts w:ascii="Arial" w:hAnsi="Arial" w:cs="Arial" w:hint="eastAsia"/>
                <w:color w:val="000000"/>
                <w:szCs w:val="22"/>
                <w:lang w:val="en-US" w:eastAsia="zh-CN"/>
              </w:rPr>
              <w:t>捐款</w:t>
            </w:r>
            <w:r w:rsidRPr="000C156A">
              <w:rPr>
                <w:rFonts w:ascii="Arial" w:hAnsi="Arial" w:cs="Arial"/>
                <w:color w:val="000000"/>
                <w:szCs w:val="22"/>
                <w:lang w:val="en-US" w:eastAsia="zh-CN"/>
              </w:rPr>
              <w:t xml:space="preserve"> – </w:t>
            </w:r>
            <w:r w:rsidRPr="000C156A">
              <w:rPr>
                <w:rFonts w:ascii="Arial" w:hAnsi="Arial" w:cs="Arial" w:hint="eastAsia"/>
                <w:color w:val="000000"/>
                <w:szCs w:val="22"/>
                <w:lang w:val="en-US" w:eastAsia="zh-CN"/>
              </w:rPr>
              <w:t>预算外</w:t>
            </w:r>
          </w:p>
        </w:tc>
        <w:tc>
          <w:tcPr>
            <w:tcW w:w="2410" w:type="dxa"/>
            <w:tcBorders>
              <w:bottom w:val="single" w:sz="4" w:space="0" w:color="000000"/>
            </w:tcBorders>
            <w:shd w:val="clear" w:color="auto" w:fill="auto"/>
            <w:noWrap/>
            <w:vAlign w:val="bottom"/>
          </w:tcPr>
          <w:p w14:paraId="5D5B6A45" w14:textId="42687E72" w:rsidR="009D43C3" w:rsidRPr="000C156A" w:rsidRDefault="009D43C3" w:rsidP="009D4784">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458</w:t>
            </w:r>
          </w:p>
        </w:tc>
        <w:tc>
          <w:tcPr>
            <w:tcW w:w="2457" w:type="dxa"/>
            <w:tcBorders>
              <w:bottom w:val="single" w:sz="4" w:space="0" w:color="000000"/>
            </w:tcBorders>
            <w:shd w:val="clear" w:color="auto" w:fill="auto"/>
            <w:noWrap/>
            <w:vAlign w:val="bottom"/>
          </w:tcPr>
          <w:p w14:paraId="1708D334" w14:textId="7FEFF3B6" w:rsidR="009D43C3" w:rsidRPr="000C156A" w:rsidRDefault="009D43C3" w:rsidP="009D4784">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1</w:t>
            </w:r>
            <w:r w:rsidR="009D4784" w:rsidRPr="000C156A">
              <w:rPr>
                <w:rFonts w:cs="Arial"/>
                <w:color w:val="000000"/>
                <w:sz w:val="22"/>
                <w:szCs w:val="22"/>
                <w:lang w:val="en-US" w:eastAsia="zh-CN"/>
              </w:rPr>
              <w:t xml:space="preserve"> </w:t>
            </w:r>
            <w:r w:rsidRPr="000C156A">
              <w:rPr>
                <w:rFonts w:cs="Arial"/>
                <w:color w:val="000000"/>
                <w:sz w:val="22"/>
                <w:szCs w:val="22"/>
                <w:lang w:val="en-US" w:eastAsia="zh-CN"/>
              </w:rPr>
              <w:t>263</w:t>
            </w:r>
          </w:p>
        </w:tc>
      </w:tr>
      <w:tr w:rsidR="009D43C3" w:rsidRPr="000C156A" w14:paraId="79A69A9C" w14:textId="77777777" w:rsidTr="005D02F0">
        <w:trPr>
          <w:trHeight w:val="20"/>
          <w:jc w:val="center"/>
        </w:trPr>
        <w:tc>
          <w:tcPr>
            <w:tcW w:w="4868" w:type="dxa"/>
            <w:tcBorders>
              <w:top w:val="single" w:sz="4" w:space="0" w:color="000000"/>
            </w:tcBorders>
            <w:noWrap/>
            <w:vAlign w:val="center"/>
            <w:hideMark/>
          </w:tcPr>
          <w:p w14:paraId="036293E9" w14:textId="77777777" w:rsidR="009D43C3" w:rsidRPr="000C156A" w:rsidRDefault="009D43C3" w:rsidP="005D02F0">
            <w:pPr>
              <w:pStyle w:val="Tabletext"/>
              <w:spacing w:before="20" w:after="20"/>
              <w:rPr>
                <w:b/>
                <w:szCs w:val="22"/>
                <w:lang w:val="en-US" w:eastAsia="zh-CN"/>
              </w:rPr>
            </w:pPr>
            <w:r w:rsidRPr="000C156A">
              <w:rPr>
                <w:rFonts w:cs="Arial" w:hint="eastAsia"/>
                <w:b/>
                <w:szCs w:val="22"/>
                <w:lang w:val="en-US" w:eastAsia="zh-CN"/>
              </w:rPr>
              <w:t>递延收入</w:t>
            </w:r>
          </w:p>
        </w:tc>
        <w:tc>
          <w:tcPr>
            <w:tcW w:w="2410" w:type="dxa"/>
            <w:tcBorders>
              <w:top w:val="single" w:sz="4" w:space="0" w:color="000000"/>
            </w:tcBorders>
            <w:shd w:val="clear" w:color="auto" w:fill="auto"/>
            <w:noWrap/>
            <w:vAlign w:val="center"/>
            <w:hideMark/>
          </w:tcPr>
          <w:p w14:paraId="77D10185" w14:textId="60EB8B66" w:rsidR="009D43C3" w:rsidRPr="000C156A" w:rsidRDefault="009D43C3" w:rsidP="009D4784">
            <w:pPr>
              <w:overflowPunct/>
              <w:autoSpaceDE/>
              <w:autoSpaceDN/>
              <w:adjustRightInd/>
              <w:spacing w:before="0"/>
              <w:jc w:val="right"/>
              <w:textAlignment w:val="auto"/>
              <w:rPr>
                <w:rFonts w:cs="Arial"/>
                <w:b/>
                <w:bCs/>
                <w:sz w:val="22"/>
                <w:szCs w:val="22"/>
                <w:lang w:val="en-US" w:eastAsia="zh-CN"/>
              </w:rPr>
            </w:pPr>
            <w:r w:rsidRPr="000C156A">
              <w:rPr>
                <w:rFonts w:cs="Arial"/>
                <w:b/>
                <w:bCs/>
                <w:sz w:val="22"/>
                <w:szCs w:val="22"/>
                <w:lang w:val="en-US" w:eastAsia="zh-CN"/>
              </w:rPr>
              <w:t>132</w:t>
            </w:r>
            <w:r w:rsidR="009D4784" w:rsidRPr="000C156A">
              <w:rPr>
                <w:rFonts w:cs="Arial"/>
                <w:b/>
                <w:bCs/>
                <w:sz w:val="22"/>
                <w:szCs w:val="22"/>
                <w:lang w:val="en-US" w:eastAsia="zh-CN"/>
              </w:rPr>
              <w:t xml:space="preserve"> </w:t>
            </w:r>
            <w:r w:rsidRPr="000C156A">
              <w:rPr>
                <w:rFonts w:cs="Arial"/>
                <w:b/>
                <w:bCs/>
                <w:sz w:val="22"/>
                <w:szCs w:val="22"/>
                <w:lang w:val="en-US" w:eastAsia="zh-CN"/>
              </w:rPr>
              <w:t>566</w:t>
            </w:r>
          </w:p>
        </w:tc>
        <w:tc>
          <w:tcPr>
            <w:tcW w:w="2457" w:type="dxa"/>
            <w:tcBorders>
              <w:top w:val="single" w:sz="4" w:space="0" w:color="000000"/>
            </w:tcBorders>
            <w:shd w:val="clear" w:color="auto" w:fill="auto"/>
            <w:noWrap/>
            <w:vAlign w:val="center"/>
            <w:hideMark/>
          </w:tcPr>
          <w:p w14:paraId="28344E25" w14:textId="3B040FB3" w:rsidR="009D43C3" w:rsidRPr="000C156A" w:rsidRDefault="009D43C3" w:rsidP="009D4784">
            <w:pPr>
              <w:overflowPunct/>
              <w:autoSpaceDE/>
              <w:autoSpaceDN/>
              <w:adjustRightInd/>
              <w:spacing w:before="0"/>
              <w:jc w:val="right"/>
              <w:textAlignment w:val="auto"/>
              <w:rPr>
                <w:rFonts w:cs="Arial"/>
                <w:b/>
                <w:bCs/>
                <w:sz w:val="22"/>
                <w:szCs w:val="22"/>
                <w:lang w:val="en-US" w:eastAsia="zh-CN"/>
              </w:rPr>
            </w:pPr>
            <w:r w:rsidRPr="000C156A">
              <w:rPr>
                <w:rFonts w:cs="Arial"/>
                <w:b/>
                <w:bCs/>
                <w:sz w:val="22"/>
                <w:szCs w:val="22"/>
                <w:lang w:val="en-US" w:eastAsia="zh-CN"/>
              </w:rPr>
              <w:t>135</w:t>
            </w:r>
            <w:r w:rsidR="009D4784" w:rsidRPr="000C156A">
              <w:rPr>
                <w:rFonts w:cs="Arial"/>
                <w:b/>
                <w:bCs/>
                <w:sz w:val="22"/>
                <w:szCs w:val="22"/>
                <w:lang w:val="en-US" w:eastAsia="zh-CN"/>
              </w:rPr>
              <w:t xml:space="preserve"> </w:t>
            </w:r>
            <w:r w:rsidRPr="000C156A">
              <w:rPr>
                <w:rFonts w:cs="Arial"/>
                <w:b/>
                <w:bCs/>
                <w:sz w:val="22"/>
                <w:szCs w:val="22"/>
                <w:lang w:val="en-US" w:eastAsia="zh-CN"/>
              </w:rPr>
              <w:t>642</w:t>
            </w:r>
          </w:p>
        </w:tc>
      </w:tr>
    </w:tbl>
    <w:p w14:paraId="07864338" w14:textId="77777777" w:rsidR="009D43C3" w:rsidRPr="000C156A" w:rsidRDefault="009D43C3" w:rsidP="008A3D92">
      <w:pPr>
        <w:spacing w:before="240"/>
        <w:ind w:firstLineChars="200" w:firstLine="480"/>
        <w:rPr>
          <w:lang w:eastAsia="zh-CN"/>
        </w:rPr>
      </w:pPr>
      <w:bookmarkStart w:id="685" w:name="_Toc305594749"/>
      <w:r w:rsidRPr="000C156A">
        <w:rPr>
          <w:rFonts w:hint="eastAsia"/>
          <w:lang w:eastAsia="zh-CN"/>
        </w:rPr>
        <w:t>2020</w:t>
      </w:r>
      <w:r w:rsidRPr="000C156A">
        <w:rPr>
          <w:rFonts w:hint="eastAsia"/>
          <w:lang w:eastAsia="zh-CN"/>
        </w:rPr>
        <w:t>年的会费递延收入是指与</w:t>
      </w:r>
      <w:r w:rsidRPr="000C156A">
        <w:rPr>
          <w:rFonts w:hint="eastAsia"/>
          <w:lang w:eastAsia="zh-CN"/>
        </w:rPr>
        <w:t>2021</w:t>
      </w:r>
      <w:r w:rsidRPr="000C156A">
        <w:rPr>
          <w:rFonts w:hint="eastAsia"/>
          <w:lang w:eastAsia="zh-CN"/>
        </w:rPr>
        <w:t>年会费相关的收入。</w:t>
      </w:r>
      <w:bookmarkEnd w:id="685"/>
      <w:r w:rsidRPr="000C156A">
        <w:rPr>
          <w:rFonts w:hint="eastAsia"/>
          <w:lang w:val="en-US" w:eastAsia="zh-CN"/>
        </w:rPr>
        <w:t>另一项递延收入重新组合了与</w:t>
      </w:r>
      <w:r w:rsidRPr="000C156A">
        <w:rPr>
          <w:rFonts w:hint="eastAsia"/>
          <w:lang w:val="en-US" w:eastAsia="zh-CN"/>
        </w:rPr>
        <w:t>2020</w:t>
      </w:r>
      <w:r w:rsidRPr="000C156A">
        <w:rPr>
          <w:rFonts w:hint="eastAsia"/>
          <w:lang w:val="en-US" w:eastAsia="zh-CN"/>
        </w:rPr>
        <w:t>年底编制并于</w:t>
      </w:r>
      <w:r w:rsidRPr="000C156A">
        <w:rPr>
          <w:rFonts w:hint="eastAsia"/>
          <w:lang w:val="en-US" w:eastAsia="zh-CN"/>
        </w:rPr>
        <w:t>2021</w:t>
      </w:r>
      <w:r w:rsidRPr="000C156A">
        <w:rPr>
          <w:rFonts w:hint="eastAsia"/>
          <w:lang w:val="en-US" w:eastAsia="zh-CN"/>
        </w:rPr>
        <w:t>年公布的请求有关的卫星网络申报，以及为新办公楼开具发票但尚未付款的赞助协议。</w:t>
      </w:r>
    </w:p>
    <w:p w14:paraId="5C9052CF" w14:textId="77777777" w:rsidR="009630A9" w:rsidRPr="000C156A" w:rsidRDefault="009630A9" w:rsidP="008A3D92">
      <w:pPr>
        <w:pStyle w:val="Heading1"/>
        <w:spacing w:before="360" w:after="240"/>
        <w:rPr>
          <w:rFonts w:cs="Microsoft YaHei"/>
          <w:sz w:val="24"/>
          <w:szCs w:val="24"/>
          <w:lang w:eastAsia="zh-CN"/>
        </w:rPr>
      </w:pPr>
      <w:bookmarkStart w:id="686" w:name="_Toc73518693"/>
      <w:bookmarkStart w:id="687" w:name="_Toc73518840"/>
      <w:bookmarkStart w:id="688" w:name="_Toc73519240"/>
      <w:bookmarkStart w:id="689" w:name="_Toc73636279"/>
      <w:r w:rsidRPr="000C156A">
        <w:rPr>
          <w:rFonts w:cs="Microsoft YaHei" w:hint="eastAsia"/>
          <w:sz w:val="24"/>
          <w:szCs w:val="24"/>
          <w:lang w:val="fr-FR" w:eastAsia="zh-CN"/>
        </w:rPr>
        <w:t>说明</w:t>
      </w:r>
      <w:r w:rsidRPr="000C156A">
        <w:rPr>
          <w:rFonts w:cs="Microsoft YaHei"/>
          <w:sz w:val="24"/>
          <w:szCs w:val="24"/>
          <w:lang w:eastAsia="zh-CN"/>
        </w:rPr>
        <w:t>16</w:t>
      </w:r>
      <w:r w:rsidRPr="000C156A">
        <w:rPr>
          <w:rFonts w:cs="Microsoft YaHei"/>
          <w:sz w:val="24"/>
          <w:szCs w:val="24"/>
          <w:lang w:eastAsia="zh-CN"/>
        </w:rPr>
        <w:tab/>
      </w:r>
      <w:r w:rsidRPr="000C156A">
        <w:rPr>
          <w:rFonts w:cs="Microsoft YaHei" w:hint="eastAsia"/>
          <w:sz w:val="24"/>
          <w:szCs w:val="24"/>
          <w:lang w:val="fr-FR" w:eastAsia="zh-CN"/>
        </w:rPr>
        <w:t>借款及其它</w:t>
      </w:r>
      <w:bookmarkEnd w:id="262"/>
      <w:bookmarkEnd w:id="263"/>
      <w:r w:rsidRPr="000C156A">
        <w:rPr>
          <w:rFonts w:cs="Microsoft YaHei" w:hint="eastAsia"/>
          <w:sz w:val="24"/>
          <w:szCs w:val="24"/>
          <w:lang w:val="fr-FR" w:eastAsia="zh-CN"/>
        </w:rPr>
        <w:t>财务负债</w:t>
      </w:r>
      <w:bookmarkEnd w:id="264"/>
      <w:bookmarkEnd w:id="265"/>
      <w:bookmarkEnd w:id="266"/>
      <w:bookmarkEnd w:id="267"/>
      <w:bookmarkEnd w:id="268"/>
      <w:bookmarkEnd w:id="269"/>
      <w:bookmarkEnd w:id="270"/>
      <w:bookmarkEnd w:id="271"/>
      <w:bookmarkEnd w:id="272"/>
      <w:bookmarkEnd w:id="273"/>
      <w:bookmarkEnd w:id="686"/>
      <w:bookmarkEnd w:id="687"/>
      <w:bookmarkEnd w:id="688"/>
      <w:bookmarkEnd w:id="689"/>
    </w:p>
    <w:tbl>
      <w:tblPr>
        <w:tblW w:w="8794" w:type="dxa"/>
        <w:jc w:val="center"/>
        <w:tblLook w:val="04A0" w:firstRow="1" w:lastRow="0" w:firstColumn="1" w:lastColumn="0" w:noHBand="0" w:noVBand="1"/>
      </w:tblPr>
      <w:tblGrid>
        <w:gridCol w:w="3861"/>
        <w:gridCol w:w="1276"/>
        <w:gridCol w:w="1843"/>
        <w:gridCol w:w="1814"/>
      </w:tblGrid>
      <w:tr w:rsidR="009630A9" w:rsidRPr="000C156A" w14:paraId="12047B52" w14:textId="77777777" w:rsidTr="008A3D92">
        <w:trPr>
          <w:trHeight w:val="447"/>
          <w:jc w:val="center"/>
        </w:trPr>
        <w:tc>
          <w:tcPr>
            <w:tcW w:w="3861" w:type="dxa"/>
            <w:tcBorders>
              <w:top w:val="single" w:sz="4" w:space="0" w:color="auto"/>
              <w:left w:val="single" w:sz="4" w:space="0" w:color="auto"/>
              <w:bottom w:val="single" w:sz="4" w:space="0" w:color="auto"/>
              <w:right w:val="single" w:sz="4" w:space="0" w:color="auto"/>
            </w:tcBorders>
            <w:noWrap/>
            <w:vAlign w:val="center"/>
            <w:hideMark/>
          </w:tcPr>
          <w:p w14:paraId="27C5B88D" w14:textId="77777777" w:rsidR="009630A9" w:rsidRPr="000C156A" w:rsidRDefault="009630A9" w:rsidP="005D02F0">
            <w:pPr>
              <w:keepNext/>
              <w:keepLines/>
              <w:widowControl w:val="0"/>
              <w:kinsoku w:val="0"/>
              <w:spacing w:before="40" w:after="40"/>
              <w:rPr>
                <w:b/>
                <w:color w:val="000000"/>
                <w:sz w:val="22"/>
                <w:szCs w:val="22"/>
                <w:lang w:val="en-US" w:eastAsia="zh-CN"/>
              </w:rPr>
            </w:pPr>
            <w:r w:rsidRPr="000C156A">
              <w:rPr>
                <w:rFonts w:hint="eastAsia"/>
                <w:b/>
                <w:color w:val="000000"/>
                <w:sz w:val="22"/>
                <w:szCs w:val="22"/>
                <w:lang w:val="en-US"/>
              </w:rPr>
              <w:t>单位：千瑞郎</w:t>
            </w:r>
          </w:p>
        </w:tc>
        <w:tc>
          <w:tcPr>
            <w:tcW w:w="1276" w:type="dxa"/>
            <w:tcBorders>
              <w:top w:val="single" w:sz="4" w:space="0" w:color="auto"/>
              <w:left w:val="nil"/>
              <w:bottom w:val="single" w:sz="4" w:space="0" w:color="auto"/>
              <w:right w:val="single" w:sz="4" w:space="0" w:color="auto"/>
            </w:tcBorders>
            <w:noWrap/>
            <w:vAlign w:val="center"/>
            <w:hideMark/>
          </w:tcPr>
          <w:p w14:paraId="6745BB88" w14:textId="77777777" w:rsidR="009630A9" w:rsidRPr="000C156A" w:rsidRDefault="009630A9" w:rsidP="005D02F0">
            <w:pPr>
              <w:keepNext/>
              <w:keepLines/>
              <w:widowControl w:val="0"/>
              <w:kinsoku w:val="0"/>
              <w:spacing w:before="40" w:after="40"/>
              <w:jc w:val="center"/>
              <w:rPr>
                <w:b/>
                <w:sz w:val="22"/>
                <w:szCs w:val="22"/>
                <w:lang w:val="en-US" w:eastAsia="zh-CN"/>
              </w:rPr>
            </w:pPr>
            <w:r w:rsidRPr="000C156A">
              <w:rPr>
                <w:rFonts w:hint="eastAsia"/>
                <w:b/>
                <w:color w:val="000000"/>
                <w:sz w:val="22"/>
                <w:szCs w:val="22"/>
                <w:lang w:val="en-US" w:eastAsia="zh-CN"/>
              </w:rPr>
              <w:t>到期日</w:t>
            </w:r>
          </w:p>
        </w:tc>
        <w:tc>
          <w:tcPr>
            <w:tcW w:w="1843" w:type="dxa"/>
            <w:tcBorders>
              <w:top w:val="single" w:sz="4" w:space="0" w:color="auto"/>
              <w:left w:val="nil"/>
              <w:bottom w:val="single" w:sz="4" w:space="0" w:color="auto"/>
              <w:right w:val="single" w:sz="4" w:space="0" w:color="auto"/>
            </w:tcBorders>
            <w:noWrap/>
            <w:vAlign w:val="center"/>
            <w:hideMark/>
          </w:tcPr>
          <w:p w14:paraId="79384717" w14:textId="77777777" w:rsidR="009630A9" w:rsidRPr="000C156A" w:rsidRDefault="009630A9" w:rsidP="005D02F0">
            <w:pPr>
              <w:keepNext/>
              <w:keepLines/>
              <w:widowControl w:val="0"/>
              <w:kinsoku w:val="0"/>
              <w:spacing w:before="40" w:after="40"/>
              <w:jc w:val="center"/>
              <w:rPr>
                <w:b/>
                <w:sz w:val="22"/>
                <w:szCs w:val="22"/>
                <w:lang w:val="en-US" w:eastAsia="zh-CN"/>
              </w:rPr>
            </w:pPr>
            <w:r w:rsidRPr="000C156A">
              <w:rPr>
                <w:b/>
                <w:color w:val="000000"/>
                <w:sz w:val="22"/>
                <w:szCs w:val="22"/>
                <w:lang w:val="en-US" w:eastAsia="zh-CN"/>
              </w:rPr>
              <w:t>2020</w:t>
            </w:r>
            <w:r w:rsidRPr="000C156A">
              <w:rPr>
                <w:rFonts w:hint="eastAsia"/>
                <w:b/>
                <w:color w:val="000000"/>
                <w:sz w:val="22"/>
                <w:szCs w:val="22"/>
                <w:lang w:val="en-US" w:eastAsia="zh-CN"/>
              </w:rPr>
              <w:t>年</w:t>
            </w:r>
            <w:r w:rsidRPr="000C156A">
              <w:rPr>
                <w:b/>
                <w:color w:val="000000"/>
                <w:sz w:val="22"/>
                <w:szCs w:val="22"/>
                <w:lang w:val="en-US" w:eastAsia="zh-CN"/>
              </w:rPr>
              <w:t>12</w:t>
            </w:r>
            <w:r w:rsidRPr="000C156A">
              <w:rPr>
                <w:rFonts w:hint="eastAsia"/>
                <w:b/>
                <w:color w:val="000000"/>
                <w:sz w:val="22"/>
                <w:szCs w:val="22"/>
                <w:lang w:val="en-US" w:eastAsia="zh-CN"/>
              </w:rPr>
              <w:t>月</w:t>
            </w:r>
            <w:r w:rsidRPr="000C156A">
              <w:rPr>
                <w:b/>
                <w:color w:val="000000"/>
                <w:sz w:val="22"/>
                <w:szCs w:val="22"/>
                <w:lang w:val="en-US" w:eastAsia="zh-CN"/>
              </w:rPr>
              <w:t>31</w:t>
            </w:r>
            <w:r w:rsidRPr="000C156A">
              <w:rPr>
                <w:rFonts w:hint="eastAsia"/>
                <w:b/>
                <w:color w:val="000000"/>
                <w:sz w:val="22"/>
                <w:szCs w:val="22"/>
                <w:lang w:val="en-US" w:eastAsia="zh-CN"/>
              </w:rPr>
              <w:t>日</w:t>
            </w:r>
          </w:p>
        </w:tc>
        <w:tc>
          <w:tcPr>
            <w:tcW w:w="1814" w:type="dxa"/>
            <w:tcBorders>
              <w:top w:val="single" w:sz="4" w:space="0" w:color="auto"/>
              <w:left w:val="nil"/>
              <w:bottom w:val="single" w:sz="4" w:space="0" w:color="auto"/>
              <w:right w:val="single" w:sz="4" w:space="0" w:color="auto"/>
            </w:tcBorders>
            <w:noWrap/>
            <w:vAlign w:val="center"/>
            <w:hideMark/>
          </w:tcPr>
          <w:p w14:paraId="7F0C32C4" w14:textId="77777777" w:rsidR="009630A9" w:rsidRPr="000C156A" w:rsidRDefault="009630A9" w:rsidP="005D02F0">
            <w:pPr>
              <w:keepNext/>
              <w:keepLines/>
              <w:widowControl w:val="0"/>
              <w:kinsoku w:val="0"/>
              <w:spacing w:before="40" w:after="40"/>
              <w:jc w:val="center"/>
              <w:rPr>
                <w:b/>
                <w:color w:val="000000"/>
                <w:sz w:val="22"/>
                <w:szCs w:val="22"/>
                <w:lang w:val="en-US" w:eastAsia="zh-CN"/>
              </w:rPr>
            </w:pPr>
            <w:r w:rsidRPr="000C156A">
              <w:rPr>
                <w:b/>
                <w:color w:val="000000"/>
                <w:sz w:val="22"/>
                <w:szCs w:val="22"/>
                <w:lang w:val="en-US" w:eastAsia="zh-CN"/>
              </w:rPr>
              <w:t>2019</w:t>
            </w:r>
            <w:r w:rsidRPr="000C156A">
              <w:rPr>
                <w:rFonts w:hint="eastAsia"/>
                <w:b/>
                <w:color w:val="000000"/>
                <w:sz w:val="22"/>
                <w:szCs w:val="22"/>
                <w:lang w:val="en-US" w:eastAsia="zh-CN"/>
              </w:rPr>
              <w:t>年</w:t>
            </w:r>
            <w:r w:rsidRPr="000C156A">
              <w:rPr>
                <w:b/>
                <w:color w:val="000000"/>
                <w:sz w:val="22"/>
                <w:szCs w:val="22"/>
                <w:lang w:val="en-US" w:eastAsia="zh-CN"/>
              </w:rPr>
              <w:t>12</w:t>
            </w:r>
            <w:r w:rsidRPr="000C156A">
              <w:rPr>
                <w:rFonts w:hint="eastAsia"/>
                <w:b/>
                <w:color w:val="000000"/>
                <w:sz w:val="22"/>
                <w:szCs w:val="22"/>
                <w:lang w:val="en-US" w:eastAsia="zh-CN"/>
              </w:rPr>
              <w:t>月</w:t>
            </w:r>
            <w:r w:rsidRPr="000C156A">
              <w:rPr>
                <w:b/>
                <w:color w:val="000000"/>
                <w:sz w:val="22"/>
                <w:szCs w:val="22"/>
                <w:lang w:val="en-US" w:eastAsia="zh-CN"/>
              </w:rPr>
              <w:t>31</w:t>
            </w:r>
            <w:r w:rsidRPr="000C156A">
              <w:rPr>
                <w:rFonts w:hint="eastAsia"/>
                <w:b/>
                <w:color w:val="000000"/>
                <w:sz w:val="22"/>
                <w:szCs w:val="22"/>
                <w:lang w:val="en-US" w:eastAsia="zh-CN"/>
              </w:rPr>
              <w:t>日</w:t>
            </w:r>
          </w:p>
        </w:tc>
      </w:tr>
      <w:tr w:rsidR="009630A9" w:rsidRPr="000C156A" w14:paraId="08AF3F3F" w14:textId="77777777" w:rsidTr="005D02F0">
        <w:trPr>
          <w:trHeight w:val="255"/>
          <w:jc w:val="center"/>
        </w:trPr>
        <w:tc>
          <w:tcPr>
            <w:tcW w:w="3861" w:type="dxa"/>
            <w:tcBorders>
              <w:top w:val="nil"/>
              <w:left w:val="single" w:sz="4" w:space="0" w:color="auto"/>
              <w:bottom w:val="nil"/>
              <w:right w:val="single" w:sz="4" w:space="0" w:color="auto"/>
            </w:tcBorders>
            <w:noWrap/>
            <w:vAlign w:val="bottom"/>
            <w:hideMark/>
          </w:tcPr>
          <w:p w14:paraId="50FBC4D7" w14:textId="77777777" w:rsidR="009630A9" w:rsidRPr="000C156A" w:rsidRDefault="009630A9" w:rsidP="005D02F0">
            <w:pPr>
              <w:keepNext/>
              <w:keepLines/>
              <w:widowControl w:val="0"/>
              <w:kinsoku w:val="0"/>
              <w:spacing w:before="20" w:after="20"/>
              <w:rPr>
                <w:b/>
                <w:color w:val="000000"/>
                <w:sz w:val="22"/>
                <w:szCs w:val="22"/>
                <w:u w:val="single"/>
                <w:lang w:val="en-US" w:eastAsia="zh-CN"/>
              </w:rPr>
            </w:pPr>
            <w:r w:rsidRPr="000C156A">
              <w:rPr>
                <w:rFonts w:hint="eastAsia"/>
                <w:color w:val="000000"/>
                <w:sz w:val="22"/>
                <w:szCs w:val="22"/>
                <w:u w:val="single"/>
                <w:lang w:val="en-US" w:eastAsia="zh-CN"/>
              </w:rPr>
              <w:t>从</w:t>
            </w:r>
            <w:r w:rsidRPr="000C156A">
              <w:rPr>
                <w:color w:val="000000"/>
                <w:sz w:val="22"/>
                <w:szCs w:val="22"/>
                <w:u w:val="single"/>
                <w:lang w:val="en-US" w:eastAsia="zh-CN"/>
              </w:rPr>
              <w:t>FIPOI</w:t>
            </w:r>
            <w:r w:rsidRPr="000C156A">
              <w:rPr>
                <w:rFonts w:hint="eastAsia"/>
                <w:color w:val="000000"/>
                <w:sz w:val="22"/>
                <w:szCs w:val="22"/>
                <w:u w:val="single"/>
                <w:lang w:val="en-US" w:eastAsia="zh-CN"/>
              </w:rPr>
              <w:t>获得的初始借款数额</w:t>
            </w:r>
          </w:p>
        </w:tc>
        <w:tc>
          <w:tcPr>
            <w:tcW w:w="1276" w:type="dxa"/>
            <w:tcBorders>
              <w:top w:val="nil"/>
              <w:left w:val="nil"/>
              <w:bottom w:val="nil"/>
              <w:right w:val="single" w:sz="4" w:space="0" w:color="auto"/>
            </w:tcBorders>
            <w:shd w:val="clear" w:color="auto" w:fill="auto"/>
            <w:noWrap/>
            <w:vAlign w:val="bottom"/>
            <w:hideMark/>
          </w:tcPr>
          <w:p w14:paraId="65BB53F4"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p>
        </w:tc>
        <w:tc>
          <w:tcPr>
            <w:tcW w:w="1843" w:type="dxa"/>
            <w:tcBorders>
              <w:top w:val="nil"/>
              <w:left w:val="nil"/>
              <w:bottom w:val="nil"/>
              <w:right w:val="single" w:sz="4" w:space="0" w:color="auto"/>
            </w:tcBorders>
            <w:shd w:val="clear" w:color="auto" w:fill="auto"/>
            <w:noWrap/>
            <w:vAlign w:val="bottom"/>
            <w:hideMark/>
          </w:tcPr>
          <w:p w14:paraId="5E90AE67"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p>
        </w:tc>
        <w:tc>
          <w:tcPr>
            <w:tcW w:w="1814" w:type="dxa"/>
            <w:tcBorders>
              <w:top w:val="nil"/>
              <w:left w:val="nil"/>
              <w:bottom w:val="nil"/>
              <w:right w:val="single" w:sz="4" w:space="0" w:color="auto"/>
            </w:tcBorders>
            <w:shd w:val="clear" w:color="auto" w:fill="auto"/>
            <w:noWrap/>
            <w:vAlign w:val="bottom"/>
            <w:hideMark/>
          </w:tcPr>
          <w:p w14:paraId="6F7F7B6F"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p>
        </w:tc>
      </w:tr>
      <w:tr w:rsidR="009630A9" w:rsidRPr="000C156A" w14:paraId="5D77850D" w14:textId="77777777" w:rsidTr="005D02F0">
        <w:trPr>
          <w:trHeight w:val="255"/>
          <w:jc w:val="center"/>
        </w:trPr>
        <w:tc>
          <w:tcPr>
            <w:tcW w:w="3861" w:type="dxa"/>
            <w:tcBorders>
              <w:top w:val="nil"/>
              <w:left w:val="single" w:sz="4" w:space="0" w:color="auto"/>
              <w:bottom w:val="nil"/>
              <w:right w:val="single" w:sz="4" w:space="0" w:color="auto"/>
            </w:tcBorders>
            <w:noWrap/>
            <w:vAlign w:val="bottom"/>
          </w:tcPr>
          <w:p w14:paraId="461A1958" w14:textId="77777777" w:rsidR="009630A9" w:rsidRPr="000C156A" w:rsidRDefault="009630A9" w:rsidP="005D02F0">
            <w:pPr>
              <w:keepNext/>
              <w:keepLines/>
              <w:widowControl w:val="0"/>
              <w:kinsoku w:val="0"/>
              <w:spacing w:before="20" w:after="20"/>
              <w:rPr>
                <w:color w:val="000000"/>
                <w:sz w:val="22"/>
                <w:szCs w:val="22"/>
                <w:u w:val="single"/>
                <w:lang w:val="en-US" w:eastAsia="zh-CN"/>
              </w:rPr>
            </w:pPr>
          </w:p>
        </w:tc>
        <w:tc>
          <w:tcPr>
            <w:tcW w:w="1276" w:type="dxa"/>
            <w:tcBorders>
              <w:top w:val="nil"/>
              <w:left w:val="nil"/>
              <w:bottom w:val="nil"/>
              <w:right w:val="single" w:sz="4" w:space="0" w:color="auto"/>
            </w:tcBorders>
            <w:shd w:val="clear" w:color="auto" w:fill="auto"/>
            <w:noWrap/>
            <w:vAlign w:val="bottom"/>
          </w:tcPr>
          <w:p w14:paraId="724B2D6B"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p>
        </w:tc>
        <w:tc>
          <w:tcPr>
            <w:tcW w:w="1843" w:type="dxa"/>
            <w:tcBorders>
              <w:top w:val="nil"/>
              <w:left w:val="nil"/>
              <w:bottom w:val="nil"/>
              <w:right w:val="single" w:sz="4" w:space="0" w:color="auto"/>
            </w:tcBorders>
            <w:shd w:val="clear" w:color="auto" w:fill="auto"/>
            <w:noWrap/>
            <w:vAlign w:val="bottom"/>
          </w:tcPr>
          <w:p w14:paraId="491A43A7"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p>
        </w:tc>
        <w:tc>
          <w:tcPr>
            <w:tcW w:w="1814" w:type="dxa"/>
            <w:tcBorders>
              <w:top w:val="nil"/>
              <w:left w:val="nil"/>
              <w:bottom w:val="nil"/>
              <w:right w:val="single" w:sz="4" w:space="0" w:color="auto"/>
            </w:tcBorders>
            <w:shd w:val="clear" w:color="auto" w:fill="auto"/>
            <w:noWrap/>
            <w:vAlign w:val="bottom"/>
          </w:tcPr>
          <w:p w14:paraId="0FA23929"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p>
        </w:tc>
      </w:tr>
      <w:tr w:rsidR="009630A9" w:rsidRPr="000C156A" w14:paraId="0216A2D8" w14:textId="77777777" w:rsidTr="005D02F0">
        <w:trPr>
          <w:trHeight w:val="255"/>
          <w:jc w:val="center"/>
        </w:trPr>
        <w:tc>
          <w:tcPr>
            <w:tcW w:w="3861" w:type="dxa"/>
            <w:tcBorders>
              <w:top w:val="nil"/>
              <w:left w:val="single" w:sz="4" w:space="0" w:color="auto"/>
              <w:bottom w:val="nil"/>
              <w:right w:val="single" w:sz="4" w:space="0" w:color="auto"/>
            </w:tcBorders>
            <w:noWrap/>
            <w:vAlign w:val="bottom"/>
            <w:hideMark/>
          </w:tcPr>
          <w:p w14:paraId="4D38358A" w14:textId="77777777" w:rsidR="009630A9" w:rsidRPr="000C156A" w:rsidRDefault="009630A9" w:rsidP="005D02F0">
            <w:pPr>
              <w:widowControl w:val="0"/>
              <w:kinsoku w:val="0"/>
              <w:spacing w:before="20" w:after="20"/>
              <w:rPr>
                <w:b/>
                <w:color w:val="000000"/>
                <w:sz w:val="22"/>
                <w:szCs w:val="22"/>
                <w:lang w:val="fr-CH" w:eastAsia="zh-CN"/>
              </w:rPr>
            </w:pPr>
            <w:r w:rsidRPr="000C156A">
              <w:rPr>
                <w:color w:val="000000"/>
                <w:sz w:val="22"/>
                <w:szCs w:val="22"/>
                <w:lang w:val="fr-CH" w:eastAsia="zh-CN"/>
              </w:rPr>
              <w:t>2 634 780</w:t>
            </w:r>
            <w:r w:rsidRPr="000C156A">
              <w:rPr>
                <w:rFonts w:hint="eastAsia"/>
                <w:color w:val="000000"/>
                <w:sz w:val="22"/>
                <w:szCs w:val="22"/>
                <w:lang w:val="en-US" w:eastAsia="zh-CN"/>
              </w:rPr>
              <w:t>瑞郎</w:t>
            </w:r>
            <w:r w:rsidRPr="000C156A">
              <w:rPr>
                <w:color w:val="000000"/>
                <w:sz w:val="22"/>
                <w:szCs w:val="22"/>
                <w:lang w:val="fr-CH" w:eastAsia="zh-CN"/>
              </w:rPr>
              <w:t xml:space="preserve"> – </w:t>
            </w:r>
            <w:r w:rsidRPr="000C156A">
              <w:rPr>
                <w:rFonts w:ascii="Arial" w:hAnsi="Arial" w:cs="Arial" w:hint="eastAsia"/>
                <w:color w:val="000000"/>
                <w:sz w:val="22"/>
                <w:szCs w:val="22"/>
                <w:lang w:val="fr-CH" w:eastAsia="zh-CN"/>
              </w:rPr>
              <w:t>从</w:t>
            </w:r>
            <w:r w:rsidRPr="000C156A">
              <w:rPr>
                <w:color w:val="000000"/>
                <w:sz w:val="22"/>
                <w:szCs w:val="22"/>
                <w:lang w:val="fr-CH"/>
              </w:rPr>
              <w:t>1990</w:t>
            </w:r>
            <w:r w:rsidRPr="000C156A">
              <w:rPr>
                <w:rFonts w:hint="eastAsia"/>
                <w:color w:val="000000"/>
                <w:sz w:val="22"/>
                <w:szCs w:val="22"/>
                <w:lang w:val="fr-CH" w:eastAsia="zh-CN"/>
              </w:rPr>
              <w:t>年起</w:t>
            </w:r>
          </w:p>
        </w:tc>
        <w:tc>
          <w:tcPr>
            <w:tcW w:w="1276" w:type="dxa"/>
            <w:tcBorders>
              <w:top w:val="nil"/>
              <w:left w:val="nil"/>
              <w:bottom w:val="nil"/>
              <w:right w:val="single" w:sz="4" w:space="0" w:color="auto"/>
            </w:tcBorders>
            <w:shd w:val="clear" w:color="auto" w:fill="auto"/>
            <w:noWrap/>
            <w:vAlign w:val="bottom"/>
            <w:hideMark/>
          </w:tcPr>
          <w:p w14:paraId="006AC59B"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2020</w:t>
            </w:r>
          </w:p>
        </w:tc>
        <w:tc>
          <w:tcPr>
            <w:tcW w:w="1843" w:type="dxa"/>
            <w:tcBorders>
              <w:top w:val="nil"/>
              <w:left w:val="nil"/>
              <w:bottom w:val="nil"/>
              <w:right w:val="single" w:sz="4" w:space="0" w:color="auto"/>
            </w:tcBorders>
            <w:shd w:val="clear" w:color="auto" w:fill="auto"/>
            <w:noWrap/>
            <w:vAlign w:val="bottom"/>
            <w:hideMark/>
          </w:tcPr>
          <w:p w14:paraId="1B2B6FF3"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Calibri"/>
                <w:color w:val="000000"/>
                <w:sz w:val="22"/>
                <w:szCs w:val="22"/>
              </w:rPr>
              <w:t>-</w:t>
            </w:r>
          </w:p>
        </w:tc>
        <w:tc>
          <w:tcPr>
            <w:tcW w:w="1814" w:type="dxa"/>
            <w:tcBorders>
              <w:top w:val="nil"/>
              <w:left w:val="nil"/>
              <w:bottom w:val="nil"/>
              <w:right w:val="single" w:sz="4" w:space="0" w:color="auto"/>
            </w:tcBorders>
            <w:shd w:val="clear" w:color="auto" w:fill="auto"/>
            <w:noWrap/>
            <w:vAlign w:val="bottom"/>
            <w:hideMark/>
          </w:tcPr>
          <w:p w14:paraId="6C72904C"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asciiTheme="minorHAnsi" w:hAnsiTheme="minorHAnsi" w:cstheme="minorHAnsi"/>
                <w:color w:val="000000"/>
                <w:sz w:val="22"/>
                <w:szCs w:val="22"/>
                <w:lang w:val="en-US" w:eastAsia="zh-CN"/>
              </w:rPr>
              <w:t>102</w:t>
            </w:r>
          </w:p>
        </w:tc>
      </w:tr>
      <w:tr w:rsidR="009630A9" w:rsidRPr="000C156A" w14:paraId="39B539BF" w14:textId="77777777" w:rsidTr="005D02F0">
        <w:trPr>
          <w:trHeight w:val="255"/>
          <w:jc w:val="center"/>
        </w:trPr>
        <w:tc>
          <w:tcPr>
            <w:tcW w:w="3861" w:type="dxa"/>
            <w:tcBorders>
              <w:top w:val="nil"/>
              <w:left w:val="single" w:sz="4" w:space="0" w:color="auto"/>
              <w:bottom w:val="nil"/>
              <w:right w:val="single" w:sz="4" w:space="0" w:color="auto"/>
            </w:tcBorders>
            <w:noWrap/>
            <w:vAlign w:val="bottom"/>
            <w:hideMark/>
          </w:tcPr>
          <w:p w14:paraId="3971F1A4" w14:textId="77777777" w:rsidR="009630A9" w:rsidRPr="000C156A" w:rsidRDefault="009630A9" w:rsidP="005D02F0">
            <w:pPr>
              <w:widowControl w:val="0"/>
              <w:kinsoku w:val="0"/>
              <w:spacing w:before="20" w:after="20"/>
              <w:rPr>
                <w:b/>
                <w:color w:val="000000"/>
                <w:sz w:val="22"/>
                <w:szCs w:val="22"/>
                <w:lang w:val="fr-CH" w:eastAsia="zh-CN"/>
              </w:rPr>
            </w:pPr>
            <w:r w:rsidRPr="000C156A">
              <w:rPr>
                <w:color w:val="000000"/>
                <w:sz w:val="22"/>
                <w:szCs w:val="22"/>
                <w:lang w:val="fr-CH" w:eastAsia="zh-CN"/>
              </w:rPr>
              <w:t>19 627 590</w:t>
            </w:r>
            <w:r w:rsidRPr="000C156A">
              <w:rPr>
                <w:rFonts w:hint="eastAsia"/>
                <w:color w:val="000000"/>
                <w:sz w:val="22"/>
                <w:szCs w:val="22"/>
                <w:lang w:val="en-US" w:eastAsia="zh-CN"/>
              </w:rPr>
              <w:t>瑞郎</w:t>
            </w:r>
            <w:r w:rsidRPr="000C156A">
              <w:rPr>
                <w:rFonts w:hint="eastAsia"/>
                <w:color w:val="000000"/>
                <w:sz w:val="22"/>
                <w:szCs w:val="22"/>
                <w:lang w:val="fr-CH" w:eastAsia="zh-CN"/>
              </w:rPr>
              <w:t xml:space="preserve"> </w:t>
            </w:r>
            <w:r w:rsidRPr="000C156A">
              <w:rPr>
                <w:color w:val="000000"/>
                <w:sz w:val="22"/>
                <w:szCs w:val="22"/>
                <w:lang w:val="fr-CH" w:eastAsia="zh-CN"/>
              </w:rPr>
              <w:t xml:space="preserve">– </w:t>
            </w:r>
            <w:r w:rsidRPr="000C156A">
              <w:rPr>
                <w:rFonts w:ascii="Arial" w:hAnsi="Arial" w:cs="Arial" w:hint="eastAsia"/>
                <w:color w:val="000000"/>
                <w:sz w:val="22"/>
                <w:szCs w:val="22"/>
                <w:lang w:val="fr-CH" w:eastAsia="zh-CN"/>
              </w:rPr>
              <w:t>从</w:t>
            </w:r>
            <w:r w:rsidRPr="000C156A">
              <w:rPr>
                <w:color w:val="000000"/>
                <w:sz w:val="22"/>
                <w:szCs w:val="22"/>
                <w:lang w:val="fr-CH"/>
              </w:rPr>
              <w:t>1990</w:t>
            </w:r>
            <w:r w:rsidRPr="000C156A">
              <w:rPr>
                <w:rFonts w:hint="eastAsia"/>
                <w:color w:val="000000"/>
                <w:sz w:val="22"/>
                <w:szCs w:val="22"/>
                <w:lang w:val="fr-CH" w:eastAsia="zh-CN"/>
              </w:rPr>
              <w:t>年起</w:t>
            </w:r>
          </w:p>
        </w:tc>
        <w:tc>
          <w:tcPr>
            <w:tcW w:w="1276" w:type="dxa"/>
            <w:tcBorders>
              <w:top w:val="nil"/>
              <w:left w:val="nil"/>
              <w:bottom w:val="nil"/>
              <w:right w:val="single" w:sz="4" w:space="0" w:color="auto"/>
            </w:tcBorders>
            <w:shd w:val="clear" w:color="auto" w:fill="auto"/>
            <w:noWrap/>
            <w:vAlign w:val="bottom"/>
            <w:hideMark/>
          </w:tcPr>
          <w:p w14:paraId="634FEAC2"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2039</w:t>
            </w:r>
          </w:p>
        </w:tc>
        <w:tc>
          <w:tcPr>
            <w:tcW w:w="1843" w:type="dxa"/>
            <w:tcBorders>
              <w:top w:val="nil"/>
              <w:left w:val="nil"/>
              <w:bottom w:val="nil"/>
              <w:right w:val="single" w:sz="4" w:space="0" w:color="auto"/>
            </w:tcBorders>
            <w:shd w:val="clear" w:color="auto" w:fill="auto"/>
            <w:noWrap/>
            <w:vAlign w:val="bottom"/>
            <w:hideMark/>
          </w:tcPr>
          <w:p w14:paraId="0BEDFE94" w14:textId="77531013"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asciiTheme="minorHAnsi" w:hAnsiTheme="minorHAnsi" w:cstheme="minorHAnsi"/>
                <w:color w:val="000000"/>
                <w:sz w:val="22"/>
                <w:szCs w:val="22"/>
                <w:lang w:val="en-US" w:eastAsia="zh-CN"/>
              </w:rPr>
              <w:t>8</w:t>
            </w:r>
            <w:r w:rsidR="008A3D92" w:rsidRPr="000C156A">
              <w:rPr>
                <w:rFonts w:asciiTheme="minorHAnsi" w:hAnsiTheme="minorHAnsi" w:cstheme="minorHAnsi"/>
                <w:color w:val="000000"/>
                <w:sz w:val="22"/>
                <w:szCs w:val="22"/>
                <w:lang w:val="en-US" w:eastAsia="zh-CN"/>
              </w:rPr>
              <w:t xml:space="preserve"> </w:t>
            </w:r>
            <w:r w:rsidRPr="000C156A">
              <w:rPr>
                <w:rFonts w:asciiTheme="minorHAnsi" w:hAnsiTheme="minorHAnsi" w:cstheme="minorHAnsi"/>
                <w:color w:val="000000"/>
                <w:sz w:val="22"/>
                <w:szCs w:val="22"/>
                <w:lang w:val="en-US" w:eastAsia="zh-CN"/>
              </w:rPr>
              <w:t>513</w:t>
            </w:r>
          </w:p>
        </w:tc>
        <w:tc>
          <w:tcPr>
            <w:tcW w:w="1814" w:type="dxa"/>
            <w:tcBorders>
              <w:top w:val="nil"/>
              <w:left w:val="nil"/>
              <w:bottom w:val="nil"/>
              <w:right w:val="single" w:sz="4" w:space="0" w:color="auto"/>
            </w:tcBorders>
            <w:shd w:val="clear" w:color="auto" w:fill="auto"/>
            <w:noWrap/>
            <w:vAlign w:val="bottom"/>
            <w:hideMark/>
          </w:tcPr>
          <w:p w14:paraId="444C2F09" w14:textId="39E886F9"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asciiTheme="minorHAnsi" w:hAnsiTheme="minorHAnsi" w:cstheme="minorHAnsi"/>
                <w:color w:val="000000"/>
                <w:sz w:val="22"/>
                <w:szCs w:val="22"/>
                <w:lang w:val="en-US" w:eastAsia="zh-CN"/>
              </w:rPr>
              <w:t>8</w:t>
            </w:r>
            <w:r w:rsidR="008A3D92" w:rsidRPr="000C156A">
              <w:rPr>
                <w:rFonts w:asciiTheme="minorHAnsi" w:hAnsiTheme="minorHAnsi" w:cstheme="minorHAnsi"/>
                <w:color w:val="000000"/>
                <w:sz w:val="22"/>
                <w:szCs w:val="22"/>
                <w:lang w:val="en-US" w:eastAsia="zh-CN"/>
              </w:rPr>
              <w:t xml:space="preserve"> </w:t>
            </w:r>
            <w:r w:rsidRPr="000C156A">
              <w:rPr>
                <w:rFonts w:asciiTheme="minorHAnsi" w:hAnsiTheme="minorHAnsi" w:cstheme="minorHAnsi"/>
                <w:color w:val="000000"/>
                <w:sz w:val="22"/>
                <w:szCs w:val="22"/>
                <w:lang w:val="en-US" w:eastAsia="zh-CN"/>
              </w:rPr>
              <w:t>856</w:t>
            </w:r>
          </w:p>
        </w:tc>
      </w:tr>
      <w:tr w:rsidR="009630A9" w:rsidRPr="000C156A" w14:paraId="02C94D5E" w14:textId="77777777" w:rsidTr="005D02F0">
        <w:trPr>
          <w:trHeight w:val="255"/>
          <w:jc w:val="center"/>
        </w:trPr>
        <w:tc>
          <w:tcPr>
            <w:tcW w:w="3861" w:type="dxa"/>
            <w:tcBorders>
              <w:top w:val="nil"/>
              <w:left w:val="single" w:sz="4" w:space="0" w:color="auto"/>
              <w:bottom w:val="nil"/>
              <w:right w:val="single" w:sz="4" w:space="0" w:color="auto"/>
            </w:tcBorders>
            <w:noWrap/>
            <w:vAlign w:val="bottom"/>
            <w:hideMark/>
          </w:tcPr>
          <w:p w14:paraId="7875272E" w14:textId="77777777" w:rsidR="009630A9" w:rsidRPr="000C156A" w:rsidRDefault="009630A9" w:rsidP="005D02F0">
            <w:pPr>
              <w:widowControl w:val="0"/>
              <w:kinsoku w:val="0"/>
              <w:spacing w:before="20" w:after="20"/>
              <w:rPr>
                <w:b/>
                <w:color w:val="000000"/>
                <w:sz w:val="22"/>
                <w:szCs w:val="22"/>
                <w:lang w:val="fr-CH" w:eastAsia="zh-CN"/>
              </w:rPr>
            </w:pPr>
            <w:r w:rsidRPr="000C156A">
              <w:rPr>
                <w:color w:val="000000"/>
                <w:sz w:val="22"/>
                <w:szCs w:val="22"/>
                <w:lang w:val="fr-CH" w:eastAsia="zh-CN"/>
              </w:rPr>
              <w:t>45 427 250</w:t>
            </w:r>
            <w:r w:rsidRPr="000C156A">
              <w:rPr>
                <w:rFonts w:hint="eastAsia"/>
                <w:color w:val="000000"/>
                <w:sz w:val="22"/>
                <w:szCs w:val="22"/>
                <w:lang w:val="en-US" w:eastAsia="zh-CN"/>
              </w:rPr>
              <w:t>瑞郎</w:t>
            </w:r>
            <w:r w:rsidRPr="000C156A">
              <w:rPr>
                <w:rFonts w:hint="eastAsia"/>
                <w:color w:val="000000"/>
                <w:sz w:val="22"/>
                <w:szCs w:val="22"/>
                <w:lang w:val="fr-CH" w:eastAsia="zh-CN"/>
              </w:rPr>
              <w:t xml:space="preserve"> </w:t>
            </w:r>
            <w:r w:rsidRPr="000C156A">
              <w:rPr>
                <w:color w:val="000000"/>
                <w:sz w:val="22"/>
                <w:szCs w:val="22"/>
                <w:lang w:val="fr-CH" w:eastAsia="zh-CN"/>
              </w:rPr>
              <w:t xml:space="preserve">– </w:t>
            </w:r>
            <w:r w:rsidRPr="000C156A">
              <w:rPr>
                <w:rFonts w:ascii="Arial" w:hAnsi="Arial" w:cs="Arial" w:hint="eastAsia"/>
                <w:color w:val="000000"/>
                <w:sz w:val="22"/>
                <w:szCs w:val="22"/>
                <w:lang w:val="fr-CH" w:eastAsia="zh-CN"/>
              </w:rPr>
              <w:t>从</w:t>
            </w:r>
            <w:r w:rsidRPr="000C156A">
              <w:rPr>
                <w:color w:val="000000"/>
                <w:sz w:val="22"/>
                <w:szCs w:val="22"/>
                <w:lang w:val="fr-CH"/>
              </w:rPr>
              <w:t>2002</w:t>
            </w:r>
            <w:r w:rsidRPr="000C156A">
              <w:rPr>
                <w:rFonts w:hint="eastAsia"/>
                <w:color w:val="000000"/>
                <w:sz w:val="22"/>
                <w:szCs w:val="22"/>
                <w:lang w:val="fr-CH" w:eastAsia="zh-CN"/>
              </w:rPr>
              <w:t>年起</w:t>
            </w:r>
          </w:p>
        </w:tc>
        <w:tc>
          <w:tcPr>
            <w:tcW w:w="1276" w:type="dxa"/>
            <w:tcBorders>
              <w:top w:val="nil"/>
              <w:left w:val="nil"/>
              <w:bottom w:val="nil"/>
              <w:right w:val="single" w:sz="4" w:space="0" w:color="auto"/>
            </w:tcBorders>
            <w:shd w:val="clear" w:color="auto" w:fill="auto"/>
            <w:noWrap/>
            <w:vAlign w:val="bottom"/>
            <w:hideMark/>
          </w:tcPr>
          <w:p w14:paraId="416D04E6"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2051</w:t>
            </w:r>
          </w:p>
        </w:tc>
        <w:tc>
          <w:tcPr>
            <w:tcW w:w="1843" w:type="dxa"/>
            <w:tcBorders>
              <w:top w:val="nil"/>
              <w:left w:val="nil"/>
              <w:bottom w:val="nil"/>
              <w:right w:val="single" w:sz="4" w:space="0" w:color="auto"/>
            </w:tcBorders>
            <w:shd w:val="clear" w:color="auto" w:fill="auto"/>
            <w:noWrap/>
            <w:vAlign w:val="bottom"/>
            <w:hideMark/>
          </w:tcPr>
          <w:p w14:paraId="0E61C8B2" w14:textId="08636BEF"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asciiTheme="minorHAnsi" w:hAnsiTheme="minorHAnsi" w:cstheme="minorHAnsi"/>
                <w:color w:val="000000"/>
                <w:sz w:val="22"/>
                <w:szCs w:val="22"/>
                <w:lang w:val="en-US" w:eastAsia="zh-CN"/>
              </w:rPr>
              <w:t>28</w:t>
            </w:r>
            <w:r w:rsidR="008A3D92" w:rsidRPr="000C156A">
              <w:rPr>
                <w:rFonts w:asciiTheme="minorHAnsi" w:hAnsiTheme="minorHAnsi" w:cstheme="minorHAnsi"/>
                <w:color w:val="000000"/>
                <w:sz w:val="22"/>
                <w:szCs w:val="22"/>
                <w:lang w:val="en-US" w:eastAsia="zh-CN"/>
              </w:rPr>
              <w:t xml:space="preserve"> </w:t>
            </w:r>
            <w:r w:rsidRPr="000C156A">
              <w:rPr>
                <w:rFonts w:asciiTheme="minorHAnsi" w:hAnsiTheme="minorHAnsi" w:cstheme="minorHAnsi"/>
                <w:color w:val="000000"/>
                <w:sz w:val="22"/>
                <w:szCs w:val="22"/>
                <w:lang w:val="en-US" w:eastAsia="zh-CN"/>
              </w:rPr>
              <w:t>166</w:t>
            </w:r>
          </w:p>
        </w:tc>
        <w:tc>
          <w:tcPr>
            <w:tcW w:w="1814" w:type="dxa"/>
            <w:tcBorders>
              <w:top w:val="nil"/>
              <w:left w:val="nil"/>
              <w:bottom w:val="nil"/>
              <w:right w:val="single" w:sz="4" w:space="0" w:color="auto"/>
            </w:tcBorders>
            <w:shd w:val="clear" w:color="auto" w:fill="auto"/>
            <w:noWrap/>
            <w:vAlign w:val="bottom"/>
            <w:hideMark/>
          </w:tcPr>
          <w:p w14:paraId="585CFFAC" w14:textId="02F09508"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asciiTheme="minorHAnsi" w:hAnsiTheme="minorHAnsi" w:cstheme="minorHAnsi"/>
                <w:color w:val="000000"/>
                <w:sz w:val="22"/>
                <w:szCs w:val="22"/>
                <w:lang w:val="en-US" w:eastAsia="zh-CN"/>
              </w:rPr>
              <w:t>29</w:t>
            </w:r>
            <w:r w:rsidR="008A3D92" w:rsidRPr="000C156A">
              <w:rPr>
                <w:rFonts w:asciiTheme="minorHAnsi" w:hAnsiTheme="minorHAnsi" w:cstheme="minorHAnsi"/>
                <w:color w:val="000000"/>
                <w:sz w:val="22"/>
                <w:szCs w:val="22"/>
                <w:lang w:val="en-US" w:eastAsia="zh-CN"/>
              </w:rPr>
              <w:t xml:space="preserve"> </w:t>
            </w:r>
            <w:r w:rsidRPr="000C156A">
              <w:rPr>
                <w:rFonts w:asciiTheme="minorHAnsi" w:hAnsiTheme="minorHAnsi" w:cstheme="minorHAnsi"/>
                <w:color w:val="000000"/>
                <w:sz w:val="22"/>
                <w:szCs w:val="22"/>
                <w:lang w:val="en-US" w:eastAsia="zh-CN"/>
              </w:rPr>
              <w:t>074</w:t>
            </w:r>
          </w:p>
        </w:tc>
      </w:tr>
      <w:tr w:rsidR="009630A9" w:rsidRPr="000C156A" w14:paraId="38823EBE" w14:textId="77777777" w:rsidTr="005D02F0">
        <w:trPr>
          <w:trHeight w:val="255"/>
          <w:jc w:val="center"/>
        </w:trPr>
        <w:tc>
          <w:tcPr>
            <w:tcW w:w="3861" w:type="dxa"/>
            <w:tcBorders>
              <w:top w:val="nil"/>
              <w:left w:val="single" w:sz="4" w:space="0" w:color="auto"/>
              <w:bottom w:val="nil"/>
              <w:right w:val="single" w:sz="4" w:space="0" w:color="auto"/>
            </w:tcBorders>
            <w:noWrap/>
            <w:vAlign w:val="bottom"/>
            <w:hideMark/>
          </w:tcPr>
          <w:p w14:paraId="7FA9C77E" w14:textId="77777777" w:rsidR="009630A9" w:rsidRPr="000C156A" w:rsidRDefault="009630A9" w:rsidP="005D02F0">
            <w:pPr>
              <w:widowControl w:val="0"/>
              <w:kinsoku w:val="0"/>
              <w:spacing w:before="20" w:after="20"/>
              <w:rPr>
                <w:b/>
                <w:color w:val="000000"/>
                <w:sz w:val="22"/>
                <w:szCs w:val="22"/>
                <w:lang w:val="fr-CH" w:eastAsia="zh-CN"/>
              </w:rPr>
            </w:pPr>
            <w:r w:rsidRPr="000C156A">
              <w:rPr>
                <w:color w:val="000000"/>
                <w:sz w:val="22"/>
                <w:szCs w:val="22"/>
                <w:lang w:val="fr-CH"/>
              </w:rPr>
              <w:t>2 000 000</w:t>
            </w:r>
            <w:r w:rsidRPr="000C156A">
              <w:rPr>
                <w:rFonts w:hint="eastAsia"/>
                <w:color w:val="000000"/>
                <w:sz w:val="22"/>
                <w:szCs w:val="22"/>
                <w:lang w:val="en-US" w:eastAsia="zh-CN"/>
              </w:rPr>
              <w:t>瑞郎</w:t>
            </w:r>
            <w:r w:rsidRPr="000C156A">
              <w:rPr>
                <w:rFonts w:hint="eastAsia"/>
                <w:color w:val="000000"/>
                <w:sz w:val="22"/>
                <w:szCs w:val="22"/>
                <w:lang w:val="fr-CH" w:eastAsia="zh-CN"/>
              </w:rPr>
              <w:t xml:space="preserve"> </w:t>
            </w:r>
            <w:r w:rsidRPr="000C156A">
              <w:rPr>
                <w:color w:val="000000"/>
                <w:sz w:val="22"/>
                <w:szCs w:val="22"/>
                <w:lang w:val="fr-CH"/>
              </w:rPr>
              <w:t xml:space="preserve">– </w:t>
            </w:r>
            <w:r w:rsidRPr="000C156A">
              <w:rPr>
                <w:rFonts w:ascii="Arial" w:hAnsi="Arial" w:cs="Arial" w:hint="eastAsia"/>
                <w:color w:val="000000"/>
                <w:sz w:val="22"/>
                <w:szCs w:val="22"/>
                <w:lang w:val="fr-CH" w:eastAsia="zh-CN"/>
              </w:rPr>
              <w:t>从</w:t>
            </w:r>
            <w:r w:rsidRPr="000C156A">
              <w:rPr>
                <w:color w:val="000000"/>
                <w:sz w:val="22"/>
                <w:szCs w:val="22"/>
                <w:lang w:val="fr-CH"/>
              </w:rPr>
              <w:t>2002</w:t>
            </w:r>
            <w:r w:rsidRPr="000C156A">
              <w:rPr>
                <w:rFonts w:hint="eastAsia"/>
                <w:color w:val="000000"/>
                <w:sz w:val="22"/>
                <w:szCs w:val="22"/>
                <w:lang w:val="fr-CH" w:eastAsia="zh-CN"/>
              </w:rPr>
              <w:t>年起</w:t>
            </w:r>
          </w:p>
        </w:tc>
        <w:tc>
          <w:tcPr>
            <w:tcW w:w="1276" w:type="dxa"/>
            <w:tcBorders>
              <w:top w:val="nil"/>
              <w:left w:val="nil"/>
              <w:bottom w:val="nil"/>
              <w:right w:val="single" w:sz="4" w:space="0" w:color="auto"/>
            </w:tcBorders>
            <w:shd w:val="clear" w:color="auto" w:fill="auto"/>
            <w:noWrap/>
            <w:vAlign w:val="bottom"/>
            <w:hideMark/>
          </w:tcPr>
          <w:p w14:paraId="2F571D65"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2051</w:t>
            </w:r>
          </w:p>
        </w:tc>
        <w:tc>
          <w:tcPr>
            <w:tcW w:w="1843" w:type="dxa"/>
            <w:tcBorders>
              <w:top w:val="nil"/>
              <w:left w:val="nil"/>
              <w:bottom w:val="nil"/>
              <w:right w:val="single" w:sz="4" w:space="0" w:color="auto"/>
            </w:tcBorders>
            <w:shd w:val="clear" w:color="auto" w:fill="auto"/>
            <w:noWrap/>
            <w:vAlign w:val="bottom"/>
            <w:hideMark/>
          </w:tcPr>
          <w:p w14:paraId="3C0F7665" w14:textId="196E128B"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asciiTheme="minorHAnsi" w:hAnsiTheme="minorHAnsi" w:cstheme="minorHAnsi"/>
                <w:color w:val="000000"/>
                <w:sz w:val="22"/>
                <w:szCs w:val="22"/>
                <w:lang w:val="en-US" w:eastAsia="zh-CN"/>
              </w:rPr>
              <w:t>1</w:t>
            </w:r>
            <w:r w:rsidR="008A3D92" w:rsidRPr="000C156A">
              <w:rPr>
                <w:rFonts w:asciiTheme="minorHAnsi" w:hAnsiTheme="minorHAnsi" w:cstheme="minorHAnsi"/>
                <w:color w:val="000000"/>
                <w:sz w:val="22"/>
                <w:szCs w:val="22"/>
                <w:lang w:val="en-US" w:eastAsia="zh-CN"/>
              </w:rPr>
              <w:t xml:space="preserve"> </w:t>
            </w:r>
            <w:r w:rsidRPr="000C156A">
              <w:rPr>
                <w:rFonts w:asciiTheme="minorHAnsi" w:hAnsiTheme="minorHAnsi" w:cstheme="minorHAnsi"/>
                <w:color w:val="000000"/>
                <w:sz w:val="22"/>
                <w:szCs w:val="22"/>
                <w:lang w:val="en-US" w:eastAsia="zh-CN"/>
              </w:rPr>
              <w:t>240</w:t>
            </w:r>
          </w:p>
        </w:tc>
        <w:tc>
          <w:tcPr>
            <w:tcW w:w="1814" w:type="dxa"/>
            <w:tcBorders>
              <w:top w:val="nil"/>
              <w:left w:val="nil"/>
              <w:bottom w:val="nil"/>
              <w:right w:val="single" w:sz="4" w:space="0" w:color="auto"/>
            </w:tcBorders>
            <w:shd w:val="clear" w:color="auto" w:fill="auto"/>
            <w:noWrap/>
            <w:vAlign w:val="bottom"/>
            <w:hideMark/>
          </w:tcPr>
          <w:p w14:paraId="383DDE34" w14:textId="1A56C12A"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asciiTheme="minorHAnsi" w:hAnsiTheme="minorHAnsi" w:cstheme="minorHAnsi"/>
                <w:color w:val="000000"/>
                <w:sz w:val="22"/>
                <w:szCs w:val="22"/>
                <w:lang w:val="en-US" w:eastAsia="zh-CN"/>
              </w:rPr>
              <w:t>1</w:t>
            </w:r>
            <w:r w:rsidR="008A3D92" w:rsidRPr="000C156A">
              <w:rPr>
                <w:rFonts w:asciiTheme="minorHAnsi" w:hAnsiTheme="minorHAnsi" w:cstheme="minorHAnsi"/>
                <w:color w:val="000000"/>
                <w:sz w:val="22"/>
                <w:szCs w:val="22"/>
                <w:lang w:val="en-US" w:eastAsia="zh-CN"/>
              </w:rPr>
              <w:t xml:space="preserve"> </w:t>
            </w:r>
            <w:r w:rsidRPr="000C156A">
              <w:rPr>
                <w:rFonts w:asciiTheme="minorHAnsi" w:hAnsiTheme="minorHAnsi" w:cstheme="minorHAnsi"/>
                <w:color w:val="000000"/>
                <w:sz w:val="22"/>
                <w:szCs w:val="22"/>
                <w:lang w:val="en-US" w:eastAsia="zh-CN"/>
              </w:rPr>
              <w:t>280</w:t>
            </w:r>
          </w:p>
        </w:tc>
      </w:tr>
      <w:tr w:rsidR="009630A9" w:rsidRPr="000C156A" w14:paraId="515310FC" w14:textId="77777777" w:rsidTr="005D02F0">
        <w:trPr>
          <w:trHeight w:val="255"/>
          <w:jc w:val="center"/>
        </w:trPr>
        <w:tc>
          <w:tcPr>
            <w:tcW w:w="3861" w:type="dxa"/>
            <w:tcBorders>
              <w:top w:val="nil"/>
              <w:left w:val="single" w:sz="4" w:space="0" w:color="auto"/>
              <w:bottom w:val="nil"/>
              <w:right w:val="single" w:sz="4" w:space="0" w:color="auto"/>
            </w:tcBorders>
            <w:noWrap/>
            <w:vAlign w:val="bottom"/>
          </w:tcPr>
          <w:p w14:paraId="77ADCE4B" w14:textId="77777777" w:rsidR="009630A9" w:rsidRPr="000C156A" w:rsidRDefault="009630A9" w:rsidP="005D02F0">
            <w:pPr>
              <w:overflowPunct/>
              <w:adjustRightInd/>
              <w:spacing w:before="0"/>
              <w:textAlignment w:val="auto"/>
              <w:rPr>
                <w:rFonts w:ascii="Arial" w:hAnsi="Arial" w:cs="Arial"/>
                <w:color w:val="000000"/>
                <w:sz w:val="22"/>
                <w:szCs w:val="22"/>
                <w:lang w:val="en-US" w:eastAsia="zh-CN"/>
              </w:rPr>
            </w:pPr>
            <w:r w:rsidRPr="000C156A">
              <w:rPr>
                <w:rFonts w:ascii="Arial" w:hAnsi="Arial" w:cs="Arial" w:hint="eastAsia"/>
                <w:color w:val="000000"/>
                <w:sz w:val="22"/>
                <w:szCs w:val="22"/>
                <w:lang w:val="en-US" w:eastAsia="zh-CN"/>
              </w:rPr>
              <w:t>新办公楼项目</w:t>
            </w:r>
          </w:p>
        </w:tc>
        <w:tc>
          <w:tcPr>
            <w:tcW w:w="1276" w:type="dxa"/>
            <w:tcBorders>
              <w:top w:val="nil"/>
              <w:left w:val="nil"/>
              <w:bottom w:val="nil"/>
              <w:right w:val="single" w:sz="4" w:space="0" w:color="auto"/>
            </w:tcBorders>
            <w:shd w:val="clear" w:color="auto" w:fill="auto"/>
            <w:noWrap/>
            <w:vAlign w:val="bottom"/>
          </w:tcPr>
          <w:p w14:paraId="61D01A31"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p>
        </w:tc>
        <w:tc>
          <w:tcPr>
            <w:tcW w:w="1843" w:type="dxa"/>
            <w:tcBorders>
              <w:top w:val="nil"/>
              <w:left w:val="nil"/>
              <w:bottom w:val="nil"/>
              <w:right w:val="single" w:sz="4" w:space="0" w:color="auto"/>
            </w:tcBorders>
            <w:shd w:val="clear" w:color="auto" w:fill="auto"/>
            <w:noWrap/>
            <w:vAlign w:val="bottom"/>
          </w:tcPr>
          <w:p w14:paraId="0789A8E3" w14:textId="7E96F35C"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asciiTheme="minorHAnsi" w:hAnsiTheme="minorHAnsi" w:cstheme="minorHAnsi"/>
                <w:color w:val="000000"/>
                <w:sz w:val="22"/>
                <w:szCs w:val="22"/>
                <w:lang w:val="en-US" w:eastAsia="zh-CN"/>
              </w:rPr>
              <w:t>9</w:t>
            </w:r>
            <w:r w:rsidR="008A3D92" w:rsidRPr="000C156A">
              <w:rPr>
                <w:rFonts w:asciiTheme="minorHAnsi" w:hAnsiTheme="minorHAnsi" w:cstheme="minorHAnsi"/>
                <w:color w:val="000000"/>
                <w:sz w:val="22"/>
                <w:szCs w:val="22"/>
                <w:lang w:val="en-US" w:eastAsia="zh-CN"/>
              </w:rPr>
              <w:t xml:space="preserve"> </w:t>
            </w:r>
            <w:r w:rsidRPr="000C156A">
              <w:rPr>
                <w:rFonts w:asciiTheme="minorHAnsi" w:hAnsiTheme="minorHAnsi" w:cstheme="minorHAnsi"/>
                <w:color w:val="000000"/>
                <w:sz w:val="22"/>
                <w:szCs w:val="22"/>
                <w:lang w:val="en-US" w:eastAsia="zh-CN"/>
              </w:rPr>
              <w:t>291</w:t>
            </w:r>
          </w:p>
        </w:tc>
        <w:tc>
          <w:tcPr>
            <w:tcW w:w="1814" w:type="dxa"/>
            <w:tcBorders>
              <w:top w:val="nil"/>
              <w:left w:val="nil"/>
              <w:bottom w:val="nil"/>
              <w:right w:val="single" w:sz="4" w:space="0" w:color="auto"/>
            </w:tcBorders>
            <w:shd w:val="clear" w:color="auto" w:fill="auto"/>
            <w:noWrap/>
            <w:vAlign w:val="bottom"/>
          </w:tcPr>
          <w:p w14:paraId="4720D332" w14:textId="0F03AE7F"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asciiTheme="minorHAnsi" w:hAnsiTheme="minorHAnsi" w:cstheme="minorHAnsi"/>
                <w:color w:val="000000"/>
                <w:sz w:val="22"/>
                <w:szCs w:val="22"/>
                <w:lang w:val="en-US" w:eastAsia="zh-CN"/>
              </w:rPr>
              <w:t>5</w:t>
            </w:r>
            <w:r w:rsidR="008A3D92" w:rsidRPr="000C156A">
              <w:rPr>
                <w:rFonts w:asciiTheme="minorHAnsi" w:hAnsiTheme="minorHAnsi" w:cstheme="minorHAnsi"/>
                <w:color w:val="000000"/>
                <w:sz w:val="22"/>
                <w:szCs w:val="22"/>
                <w:lang w:val="en-US" w:eastAsia="zh-CN"/>
              </w:rPr>
              <w:t xml:space="preserve"> </w:t>
            </w:r>
            <w:r w:rsidRPr="000C156A">
              <w:rPr>
                <w:rFonts w:asciiTheme="minorHAnsi" w:hAnsiTheme="minorHAnsi" w:cstheme="minorHAnsi"/>
                <w:color w:val="000000"/>
                <w:sz w:val="22"/>
                <w:szCs w:val="22"/>
                <w:lang w:val="en-US" w:eastAsia="zh-CN"/>
              </w:rPr>
              <w:t>637</w:t>
            </w:r>
          </w:p>
        </w:tc>
      </w:tr>
      <w:tr w:rsidR="009630A9" w:rsidRPr="000C156A" w14:paraId="7C49E85D" w14:textId="77777777" w:rsidTr="005D02F0">
        <w:trPr>
          <w:trHeight w:val="499"/>
          <w:jc w:val="center"/>
        </w:trPr>
        <w:tc>
          <w:tcPr>
            <w:tcW w:w="3861" w:type="dxa"/>
            <w:tcBorders>
              <w:top w:val="single" w:sz="4" w:space="0" w:color="auto"/>
              <w:left w:val="single" w:sz="4" w:space="0" w:color="auto"/>
              <w:bottom w:val="single" w:sz="4" w:space="0" w:color="auto"/>
              <w:right w:val="single" w:sz="4" w:space="0" w:color="auto"/>
            </w:tcBorders>
            <w:noWrap/>
            <w:vAlign w:val="center"/>
            <w:hideMark/>
          </w:tcPr>
          <w:p w14:paraId="7ABF7BFE" w14:textId="77777777" w:rsidR="009630A9" w:rsidRPr="000C156A" w:rsidRDefault="009630A9" w:rsidP="005D02F0">
            <w:pPr>
              <w:widowControl w:val="0"/>
              <w:kinsoku w:val="0"/>
              <w:spacing w:before="20" w:after="20"/>
              <w:rPr>
                <w:b/>
                <w:color w:val="000000"/>
                <w:sz w:val="22"/>
                <w:szCs w:val="22"/>
                <w:lang w:val="en-US" w:eastAsia="zh-CN"/>
              </w:rPr>
            </w:pPr>
            <w:r w:rsidRPr="000C156A">
              <w:rPr>
                <w:rFonts w:hint="eastAsia"/>
                <w:b/>
                <w:color w:val="000000"/>
                <w:sz w:val="22"/>
                <w:szCs w:val="22"/>
                <w:lang w:val="en-US" w:eastAsia="zh-CN"/>
              </w:rPr>
              <w:t>借款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04C76C" w14:textId="77777777"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5632F5D" w14:textId="0272E93F"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asciiTheme="minorHAnsi" w:hAnsiTheme="minorHAnsi" w:cstheme="minorHAnsi"/>
                <w:b/>
                <w:bCs/>
                <w:color w:val="000000"/>
                <w:sz w:val="22"/>
                <w:szCs w:val="22"/>
                <w:lang w:val="en-US" w:eastAsia="zh-CN"/>
              </w:rPr>
              <w:t>47</w:t>
            </w:r>
            <w:r w:rsidR="008A3D92" w:rsidRPr="000C156A">
              <w:rPr>
                <w:rFonts w:asciiTheme="minorHAnsi" w:hAnsiTheme="minorHAnsi" w:cstheme="minorHAnsi"/>
                <w:b/>
                <w:bCs/>
                <w:color w:val="000000"/>
                <w:sz w:val="22"/>
                <w:szCs w:val="22"/>
                <w:lang w:val="en-US" w:eastAsia="zh-CN"/>
              </w:rPr>
              <w:t xml:space="preserve"> </w:t>
            </w:r>
            <w:r w:rsidRPr="000C156A">
              <w:rPr>
                <w:rFonts w:asciiTheme="minorHAnsi" w:hAnsiTheme="minorHAnsi" w:cstheme="minorHAnsi"/>
                <w:b/>
                <w:bCs/>
                <w:color w:val="000000"/>
                <w:sz w:val="22"/>
                <w:szCs w:val="22"/>
                <w:lang w:val="en-US" w:eastAsia="zh-CN"/>
              </w:rPr>
              <w:t>110</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191CADF2" w14:textId="54025ECD"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asciiTheme="minorHAnsi" w:hAnsiTheme="minorHAnsi" w:cstheme="minorHAnsi"/>
                <w:b/>
                <w:bCs/>
                <w:color w:val="000000"/>
                <w:sz w:val="22"/>
                <w:szCs w:val="22"/>
                <w:lang w:val="en-US" w:eastAsia="zh-CN"/>
              </w:rPr>
              <w:t>44</w:t>
            </w:r>
            <w:r w:rsidR="008A3D92" w:rsidRPr="000C156A">
              <w:rPr>
                <w:rFonts w:asciiTheme="minorHAnsi" w:hAnsiTheme="minorHAnsi" w:cstheme="minorHAnsi"/>
                <w:b/>
                <w:bCs/>
                <w:color w:val="000000"/>
                <w:sz w:val="22"/>
                <w:szCs w:val="22"/>
                <w:lang w:val="en-US" w:eastAsia="zh-CN"/>
              </w:rPr>
              <w:t xml:space="preserve"> </w:t>
            </w:r>
            <w:r w:rsidRPr="000C156A">
              <w:rPr>
                <w:rFonts w:asciiTheme="minorHAnsi" w:hAnsiTheme="minorHAnsi" w:cstheme="minorHAnsi"/>
                <w:b/>
                <w:bCs/>
                <w:color w:val="000000"/>
                <w:sz w:val="22"/>
                <w:szCs w:val="22"/>
                <w:lang w:val="en-US" w:eastAsia="zh-CN"/>
              </w:rPr>
              <w:t>949</w:t>
            </w:r>
          </w:p>
        </w:tc>
      </w:tr>
      <w:tr w:rsidR="009630A9" w:rsidRPr="000C156A" w14:paraId="311F940D" w14:textId="77777777" w:rsidTr="005D02F0">
        <w:trPr>
          <w:trHeight w:val="255"/>
          <w:jc w:val="center"/>
        </w:trPr>
        <w:tc>
          <w:tcPr>
            <w:tcW w:w="3861" w:type="dxa"/>
            <w:tcBorders>
              <w:left w:val="single" w:sz="4" w:space="0" w:color="auto"/>
              <w:bottom w:val="nil"/>
              <w:right w:val="single" w:sz="4" w:space="0" w:color="auto"/>
            </w:tcBorders>
            <w:noWrap/>
            <w:vAlign w:val="bottom"/>
            <w:hideMark/>
          </w:tcPr>
          <w:p w14:paraId="3A64349E" w14:textId="77777777" w:rsidR="009630A9" w:rsidRPr="000C156A" w:rsidRDefault="009630A9" w:rsidP="005D02F0">
            <w:pPr>
              <w:widowControl w:val="0"/>
              <w:kinsoku w:val="0"/>
              <w:spacing w:before="20" w:after="20"/>
              <w:rPr>
                <w:b/>
                <w:color w:val="000000"/>
                <w:sz w:val="22"/>
                <w:szCs w:val="22"/>
                <w:lang w:val="en-US"/>
              </w:rPr>
            </w:pPr>
            <w:r w:rsidRPr="000C156A">
              <w:rPr>
                <w:rFonts w:hint="eastAsia"/>
                <w:color w:val="000000"/>
                <w:sz w:val="22"/>
                <w:szCs w:val="22"/>
                <w:lang w:val="en-US"/>
              </w:rPr>
              <w:t>短期借款</w:t>
            </w:r>
          </w:p>
        </w:tc>
        <w:tc>
          <w:tcPr>
            <w:tcW w:w="1276" w:type="dxa"/>
            <w:tcBorders>
              <w:top w:val="nil"/>
              <w:left w:val="nil"/>
              <w:bottom w:val="nil"/>
              <w:right w:val="single" w:sz="4" w:space="0" w:color="auto"/>
            </w:tcBorders>
            <w:shd w:val="clear" w:color="auto" w:fill="auto"/>
            <w:noWrap/>
            <w:vAlign w:val="bottom"/>
            <w:hideMark/>
          </w:tcPr>
          <w:p w14:paraId="31435C8E"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p>
        </w:tc>
        <w:tc>
          <w:tcPr>
            <w:tcW w:w="1843" w:type="dxa"/>
            <w:tcBorders>
              <w:top w:val="nil"/>
              <w:left w:val="nil"/>
              <w:bottom w:val="nil"/>
              <w:right w:val="single" w:sz="4" w:space="0" w:color="auto"/>
            </w:tcBorders>
            <w:shd w:val="clear" w:color="auto" w:fill="auto"/>
            <w:noWrap/>
            <w:vAlign w:val="bottom"/>
            <w:hideMark/>
          </w:tcPr>
          <w:p w14:paraId="00426E2F" w14:textId="48F31599"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asciiTheme="minorHAnsi" w:hAnsiTheme="minorHAnsi" w:cstheme="minorHAnsi"/>
                <w:color w:val="000000"/>
                <w:sz w:val="22"/>
                <w:szCs w:val="22"/>
                <w:lang w:val="en-US" w:eastAsia="zh-CN"/>
              </w:rPr>
              <w:t>1</w:t>
            </w:r>
            <w:r w:rsidR="008A3D92" w:rsidRPr="000C156A">
              <w:rPr>
                <w:rFonts w:asciiTheme="minorHAnsi" w:hAnsiTheme="minorHAnsi" w:cstheme="minorHAnsi"/>
                <w:color w:val="000000"/>
                <w:sz w:val="22"/>
                <w:szCs w:val="22"/>
                <w:lang w:val="en-US" w:eastAsia="zh-CN"/>
              </w:rPr>
              <w:t xml:space="preserve"> </w:t>
            </w:r>
            <w:r w:rsidRPr="000C156A">
              <w:rPr>
                <w:rFonts w:asciiTheme="minorHAnsi" w:hAnsiTheme="minorHAnsi" w:cstheme="minorHAnsi"/>
                <w:color w:val="000000"/>
                <w:sz w:val="22"/>
                <w:szCs w:val="22"/>
                <w:lang w:val="en-US" w:eastAsia="zh-CN"/>
              </w:rPr>
              <w:t>391</w:t>
            </w:r>
          </w:p>
        </w:tc>
        <w:tc>
          <w:tcPr>
            <w:tcW w:w="1814" w:type="dxa"/>
            <w:tcBorders>
              <w:top w:val="nil"/>
              <w:left w:val="nil"/>
              <w:bottom w:val="nil"/>
              <w:right w:val="single" w:sz="4" w:space="0" w:color="auto"/>
            </w:tcBorders>
            <w:shd w:val="clear" w:color="auto" w:fill="auto"/>
            <w:noWrap/>
            <w:vAlign w:val="bottom"/>
            <w:hideMark/>
          </w:tcPr>
          <w:p w14:paraId="0F89B634" w14:textId="2EEBC9F1"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asciiTheme="minorHAnsi" w:hAnsiTheme="minorHAnsi" w:cstheme="minorHAnsi"/>
                <w:color w:val="000000"/>
                <w:sz w:val="22"/>
                <w:szCs w:val="22"/>
                <w:lang w:val="en-US" w:eastAsia="zh-CN"/>
              </w:rPr>
              <w:t>1</w:t>
            </w:r>
            <w:r w:rsidR="008A3D92" w:rsidRPr="000C156A">
              <w:rPr>
                <w:rFonts w:asciiTheme="minorHAnsi" w:hAnsiTheme="minorHAnsi" w:cstheme="minorHAnsi"/>
                <w:color w:val="000000"/>
                <w:sz w:val="22"/>
                <w:szCs w:val="22"/>
                <w:lang w:val="en-US" w:eastAsia="zh-CN"/>
              </w:rPr>
              <w:t xml:space="preserve"> </w:t>
            </w:r>
            <w:r w:rsidRPr="000C156A">
              <w:rPr>
                <w:rFonts w:asciiTheme="minorHAnsi" w:hAnsiTheme="minorHAnsi" w:cstheme="minorHAnsi"/>
                <w:color w:val="000000"/>
                <w:sz w:val="22"/>
                <w:szCs w:val="22"/>
                <w:lang w:val="en-US" w:eastAsia="zh-CN"/>
              </w:rPr>
              <w:t>493</w:t>
            </w:r>
          </w:p>
        </w:tc>
      </w:tr>
      <w:tr w:rsidR="009630A9" w:rsidRPr="000C156A" w14:paraId="27D3E249" w14:textId="77777777" w:rsidTr="005D02F0">
        <w:trPr>
          <w:trHeight w:val="255"/>
          <w:jc w:val="center"/>
        </w:trPr>
        <w:tc>
          <w:tcPr>
            <w:tcW w:w="3861" w:type="dxa"/>
            <w:tcBorders>
              <w:top w:val="nil"/>
              <w:left w:val="single" w:sz="4" w:space="0" w:color="auto"/>
              <w:bottom w:val="nil"/>
              <w:right w:val="single" w:sz="4" w:space="0" w:color="auto"/>
            </w:tcBorders>
            <w:noWrap/>
            <w:vAlign w:val="bottom"/>
            <w:hideMark/>
          </w:tcPr>
          <w:p w14:paraId="237F908C" w14:textId="77777777" w:rsidR="009630A9" w:rsidRPr="000C156A" w:rsidRDefault="009630A9" w:rsidP="005D02F0">
            <w:pPr>
              <w:widowControl w:val="0"/>
              <w:kinsoku w:val="0"/>
              <w:spacing w:before="20" w:after="20"/>
              <w:rPr>
                <w:b/>
                <w:color w:val="000000"/>
                <w:sz w:val="22"/>
                <w:szCs w:val="22"/>
                <w:lang w:val="en-US"/>
              </w:rPr>
            </w:pPr>
            <w:r w:rsidRPr="000C156A">
              <w:rPr>
                <w:rFonts w:hint="eastAsia"/>
                <w:color w:val="000000"/>
                <w:sz w:val="22"/>
                <w:szCs w:val="22"/>
                <w:lang w:val="en-US"/>
              </w:rPr>
              <w:t>长期借款</w:t>
            </w:r>
          </w:p>
        </w:tc>
        <w:tc>
          <w:tcPr>
            <w:tcW w:w="1276" w:type="dxa"/>
            <w:tcBorders>
              <w:top w:val="nil"/>
              <w:left w:val="nil"/>
              <w:bottom w:val="nil"/>
              <w:right w:val="single" w:sz="4" w:space="0" w:color="auto"/>
            </w:tcBorders>
            <w:shd w:val="clear" w:color="auto" w:fill="auto"/>
            <w:noWrap/>
            <w:vAlign w:val="bottom"/>
            <w:hideMark/>
          </w:tcPr>
          <w:p w14:paraId="6FD8FE08"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p>
        </w:tc>
        <w:tc>
          <w:tcPr>
            <w:tcW w:w="1843" w:type="dxa"/>
            <w:tcBorders>
              <w:top w:val="nil"/>
              <w:left w:val="nil"/>
              <w:bottom w:val="nil"/>
              <w:right w:val="single" w:sz="4" w:space="0" w:color="auto"/>
            </w:tcBorders>
            <w:shd w:val="clear" w:color="auto" w:fill="auto"/>
            <w:noWrap/>
            <w:vAlign w:val="bottom"/>
            <w:hideMark/>
          </w:tcPr>
          <w:p w14:paraId="72967B6E" w14:textId="2135241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asciiTheme="minorHAnsi" w:hAnsiTheme="minorHAnsi" w:cstheme="minorHAnsi"/>
                <w:color w:val="000000"/>
                <w:sz w:val="22"/>
                <w:szCs w:val="22"/>
                <w:lang w:val="en-US" w:eastAsia="zh-CN"/>
              </w:rPr>
              <w:t>45</w:t>
            </w:r>
            <w:r w:rsidR="008A3D92" w:rsidRPr="000C156A">
              <w:rPr>
                <w:rFonts w:asciiTheme="minorHAnsi" w:hAnsiTheme="minorHAnsi" w:cstheme="minorHAnsi"/>
                <w:color w:val="000000"/>
                <w:sz w:val="22"/>
                <w:szCs w:val="22"/>
                <w:lang w:val="en-US" w:eastAsia="zh-CN"/>
              </w:rPr>
              <w:t xml:space="preserve"> </w:t>
            </w:r>
            <w:r w:rsidRPr="000C156A">
              <w:rPr>
                <w:rFonts w:asciiTheme="minorHAnsi" w:hAnsiTheme="minorHAnsi" w:cstheme="minorHAnsi"/>
                <w:color w:val="000000"/>
                <w:sz w:val="22"/>
                <w:szCs w:val="22"/>
                <w:lang w:val="en-US" w:eastAsia="zh-CN"/>
              </w:rPr>
              <w:t>718</w:t>
            </w:r>
          </w:p>
        </w:tc>
        <w:tc>
          <w:tcPr>
            <w:tcW w:w="1814" w:type="dxa"/>
            <w:tcBorders>
              <w:top w:val="nil"/>
              <w:left w:val="nil"/>
              <w:bottom w:val="nil"/>
              <w:right w:val="single" w:sz="4" w:space="0" w:color="auto"/>
            </w:tcBorders>
            <w:shd w:val="clear" w:color="auto" w:fill="auto"/>
            <w:noWrap/>
            <w:vAlign w:val="bottom"/>
            <w:hideMark/>
          </w:tcPr>
          <w:p w14:paraId="120A14FD" w14:textId="01F1D9BE"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asciiTheme="minorHAnsi" w:hAnsiTheme="minorHAnsi" w:cstheme="minorHAnsi"/>
                <w:color w:val="000000"/>
                <w:sz w:val="22"/>
                <w:szCs w:val="22"/>
                <w:lang w:val="en-US" w:eastAsia="zh-CN"/>
              </w:rPr>
              <w:t>43</w:t>
            </w:r>
            <w:r w:rsidR="008A3D92" w:rsidRPr="000C156A">
              <w:rPr>
                <w:rFonts w:asciiTheme="minorHAnsi" w:hAnsiTheme="minorHAnsi" w:cstheme="minorHAnsi"/>
                <w:color w:val="000000"/>
                <w:sz w:val="22"/>
                <w:szCs w:val="22"/>
                <w:lang w:val="en-US" w:eastAsia="zh-CN"/>
              </w:rPr>
              <w:t xml:space="preserve"> </w:t>
            </w:r>
            <w:r w:rsidRPr="000C156A">
              <w:rPr>
                <w:rFonts w:asciiTheme="minorHAnsi" w:hAnsiTheme="minorHAnsi" w:cstheme="minorHAnsi"/>
                <w:color w:val="000000"/>
                <w:sz w:val="22"/>
                <w:szCs w:val="22"/>
                <w:lang w:val="en-US" w:eastAsia="zh-CN"/>
              </w:rPr>
              <w:t>456</w:t>
            </w:r>
          </w:p>
        </w:tc>
      </w:tr>
      <w:tr w:rsidR="009630A9" w:rsidRPr="000C156A" w14:paraId="0F1D748A" w14:textId="77777777" w:rsidTr="005D02F0">
        <w:trPr>
          <w:trHeight w:val="499"/>
          <w:jc w:val="center"/>
        </w:trPr>
        <w:tc>
          <w:tcPr>
            <w:tcW w:w="3861" w:type="dxa"/>
            <w:tcBorders>
              <w:top w:val="single" w:sz="4" w:space="0" w:color="auto"/>
              <w:left w:val="single" w:sz="4" w:space="0" w:color="auto"/>
              <w:bottom w:val="single" w:sz="4" w:space="0" w:color="auto"/>
              <w:right w:val="single" w:sz="4" w:space="0" w:color="auto"/>
            </w:tcBorders>
            <w:noWrap/>
            <w:vAlign w:val="center"/>
            <w:hideMark/>
          </w:tcPr>
          <w:p w14:paraId="069CE317" w14:textId="77777777" w:rsidR="009630A9" w:rsidRPr="000C156A" w:rsidRDefault="009630A9" w:rsidP="005D02F0">
            <w:pPr>
              <w:overflowPunct/>
              <w:adjustRightInd/>
              <w:spacing w:before="0"/>
              <w:rPr>
                <w:rFonts w:asciiTheme="minorHAnsi" w:hAnsiTheme="minorHAnsi" w:cs="Arial"/>
                <w:b/>
                <w:bCs/>
                <w:color w:val="000000"/>
                <w:sz w:val="22"/>
                <w:szCs w:val="22"/>
                <w:lang w:val="en-US" w:eastAsia="zh-CN"/>
              </w:rPr>
            </w:pPr>
            <w:r w:rsidRPr="000C156A">
              <w:rPr>
                <w:rFonts w:hint="eastAsia"/>
                <w:b/>
                <w:color w:val="000000"/>
                <w:sz w:val="22"/>
                <w:szCs w:val="22"/>
                <w:lang w:val="en-US" w:eastAsia="zh-CN"/>
              </w:rPr>
              <w:t>借款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BC0914B" w14:textId="77777777"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592BCF8" w14:textId="0F84AAE3"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asciiTheme="minorHAnsi" w:hAnsiTheme="minorHAnsi" w:cstheme="minorHAnsi"/>
                <w:b/>
                <w:bCs/>
                <w:color w:val="000000"/>
                <w:sz w:val="22"/>
                <w:szCs w:val="22"/>
                <w:lang w:val="en-US" w:eastAsia="zh-CN"/>
              </w:rPr>
              <w:t>47</w:t>
            </w:r>
            <w:r w:rsidR="008A3D92" w:rsidRPr="000C156A">
              <w:rPr>
                <w:rFonts w:asciiTheme="minorHAnsi" w:hAnsiTheme="minorHAnsi" w:cstheme="minorHAnsi"/>
                <w:b/>
                <w:bCs/>
                <w:color w:val="000000"/>
                <w:sz w:val="22"/>
                <w:szCs w:val="22"/>
                <w:lang w:val="en-US" w:eastAsia="zh-CN"/>
              </w:rPr>
              <w:t xml:space="preserve"> </w:t>
            </w:r>
            <w:r w:rsidRPr="000C156A">
              <w:rPr>
                <w:rFonts w:asciiTheme="minorHAnsi" w:hAnsiTheme="minorHAnsi" w:cstheme="minorHAnsi"/>
                <w:b/>
                <w:bCs/>
                <w:color w:val="000000"/>
                <w:sz w:val="22"/>
                <w:szCs w:val="22"/>
                <w:lang w:val="en-US" w:eastAsia="zh-CN"/>
              </w:rPr>
              <w:t>110</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59683DF3" w14:textId="60D985E7"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asciiTheme="minorHAnsi" w:hAnsiTheme="minorHAnsi" w:cstheme="minorHAnsi"/>
                <w:b/>
                <w:bCs/>
                <w:color w:val="000000"/>
                <w:sz w:val="22"/>
                <w:szCs w:val="22"/>
                <w:lang w:val="en-US" w:eastAsia="zh-CN"/>
              </w:rPr>
              <w:t>44</w:t>
            </w:r>
            <w:r w:rsidR="008A3D92" w:rsidRPr="000C156A">
              <w:rPr>
                <w:rFonts w:asciiTheme="minorHAnsi" w:hAnsiTheme="minorHAnsi" w:cstheme="minorHAnsi"/>
                <w:b/>
                <w:bCs/>
                <w:color w:val="000000"/>
                <w:sz w:val="22"/>
                <w:szCs w:val="22"/>
                <w:lang w:val="en-US" w:eastAsia="zh-CN"/>
              </w:rPr>
              <w:t xml:space="preserve"> </w:t>
            </w:r>
            <w:r w:rsidRPr="000C156A">
              <w:rPr>
                <w:rFonts w:asciiTheme="minorHAnsi" w:hAnsiTheme="minorHAnsi" w:cstheme="minorHAnsi"/>
                <w:b/>
                <w:bCs/>
                <w:color w:val="000000"/>
                <w:sz w:val="22"/>
                <w:szCs w:val="22"/>
                <w:lang w:val="en-US" w:eastAsia="zh-CN"/>
              </w:rPr>
              <w:t>949</w:t>
            </w:r>
          </w:p>
        </w:tc>
      </w:tr>
      <w:tr w:rsidR="009630A9" w:rsidRPr="000C156A" w14:paraId="3FABE184" w14:textId="77777777" w:rsidTr="005D02F0">
        <w:trPr>
          <w:trHeight w:val="255"/>
          <w:jc w:val="center"/>
        </w:trPr>
        <w:tc>
          <w:tcPr>
            <w:tcW w:w="3861" w:type="dxa"/>
            <w:tcBorders>
              <w:left w:val="single" w:sz="4" w:space="0" w:color="auto"/>
              <w:bottom w:val="nil"/>
              <w:right w:val="single" w:sz="4" w:space="0" w:color="auto"/>
            </w:tcBorders>
            <w:noWrap/>
            <w:vAlign w:val="bottom"/>
            <w:hideMark/>
          </w:tcPr>
          <w:p w14:paraId="780C7CC4" w14:textId="77777777" w:rsidR="009630A9" w:rsidRPr="000C156A" w:rsidRDefault="009630A9" w:rsidP="005D02F0">
            <w:pPr>
              <w:overflowPunct/>
              <w:adjustRightInd/>
              <w:spacing w:before="0"/>
              <w:rPr>
                <w:rFonts w:asciiTheme="minorHAnsi" w:hAnsiTheme="minorHAnsi" w:cs="Arial"/>
                <w:color w:val="000000"/>
                <w:sz w:val="22"/>
                <w:szCs w:val="22"/>
                <w:lang w:val="en-US" w:eastAsia="zh-CN"/>
              </w:rPr>
            </w:pPr>
            <w:r w:rsidRPr="000C156A">
              <w:rPr>
                <w:rFonts w:asciiTheme="minorHAnsi" w:hAnsiTheme="minorHAnsi" w:cs="Arial" w:hint="eastAsia"/>
                <w:color w:val="000000"/>
                <w:sz w:val="22"/>
                <w:szCs w:val="22"/>
                <w:lang w:val="en-US" w:eastAsia="zh-CN"/>
              </w:rPr>
              <w:t>借款</w:t>
            </w:r>
            <w:r w:rsidRPr="000C156A">
              <w:rPr>
                <w:rFonts w:asciiTheme="minorHAnsi" w:hAnsiTheme="minorHAnsi" w:cs="Arial" w:hint="eastAsia"/>
                <w:color w:val="000000"/>
                <w:sz w:val="22"/>
                <w:szCs w:val="22"/>
                <w:lang w:val="en-US" w:eastAsia="zh-CN"/>
              </w:rPr>
              <w:t xml:space="preserve"> </w:t>
            </w:r>
            <w:r w:rsidRPr="000C156A">
              <w:rPr>
                <w:rFonts w:asciiTheme="minorHAnsi" w:hAnsiTheme="minorHAnsi" w:cs="Arial"/>
                <w:color w:val="000000"/>
                <w:sz w:val="22"/>
                <w:szCs w:val="22"/>
                <w:lang w:val="en-US" w:eastAsia="zh-CN"/>
              </w:rPr>
              <w:t xml:space="preserve">– </w:t>
            </w:r>
            <w:r w:rsidRPr="000C156A">
              <w:rPr>
                <w:rFonts w:asciiTheme="minorHAnsi" w:hAnsiTheme="minorHAnsi" w:cs="Arial" w:hint="eastAsia"/>
                <w:color w:val="000000"/>
                <w:sz w:val="22"/>
                <w:szCs w:val="22"/>
                <w:lang w:val="en-US" w:eastAsia="zh-CN"/>
              </w:rPr>
              <w:t>短期</w:t>
            </w:r>
          </w:p>
        </w:tc>
        <w:tc>
          <w:tcPr>
            <w:tcW w:w="1276" w:type="dxa"/>
            <w:tcBorders>
              <w:top w:val="nil"/>
              <w:left w:val="nil"/>
              <w:bottom w:val="nil"/>
              <w:right w:val="single" w:sz="4" w:space="0" w:color="auto"/>
            </w:tcBorders>
            <w:shd w:val="clear" w:color="auto" w:fill="auto"/>
            <w:noWrap/>
            <w:vAlign w:val="bottom"/>
            <w:hideMark/>
          </w:tcPr>
          <w:p w14:paraId="121B529B"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p>
        </w:tc>
        <w:tc>
          <w:tcPr>
            <w:tcW w:w="1843" w:type="dxa"/>
            <w:tcBorders>
              <w:top w:val="nil"/>
              <w:left w:val="nil"/>
              <w:bottom w:val="nil"/>
              <w:right w:val="single" w:sz="4" w:space="0" w:color="auto"/>
            </w:tcBorders>
            <w:shd w:val="clear" w:color="auto" w:fill="auto"/>
            <w:noWrap/>
            <w:vAlign w:val="bottom"/>
            <w:hideMark/>
          </w:tcPr>
          <w:p w14:paraId="3D3CD143" w14:textId="6645B28A"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asciiTheme="minorHAnsi" w:hAnsiTheme="minorHAnsi" w:cstheme="minorHAnsi"/>
                <w:color w:val="000000"/>
                <w:sz w:val="22"/>
                <w:szCs w:val="22"/>
                <w:lang w:val="en-US" w:eastAsia="zh-CN"/>
              </w:rPr>
              <w:t>1</w:t>
            </w:r>
            <w:r w:rsidR="008A3D92" w:rsidRPr="000C156A">
              <w:rPr>
                <w:rFonts w:asciiTheme="minorHAnsi" w:hAnsiTheme="minorHAnsi" w:cstheme="minorHAnsi"/>
                <w:color w:val="000000"/>
                <w:sz w:val="22"/>
                <w:szCs w:val="22"/>
                <w:lang w:val="en-US" w:eastAsia="zh-CN"/>
              </w:rPr>
              <w:t xml:space="preserve"> </w:t>
            </w:r>
            <w:r w:rsidRPr="000C156A">
              <w:rPr>
                <w:rFonts w:asciiTheme="minorHAnsi" w:hAnsiTheme="minorHAnsi" w:cstheme="minorHAnsi"/>
                <w:color w:val="000000"/>
                <w:sz w:val="22"/>
                <w:szCs w:val="22"/>
                <w:lang w:val="en-US" w:eastAsia="zh-CN"/>
              </w:rPr>
              <w:t>391</w:t>
            </w:r>
          </w:p>
        </w:tc>
        <w:tc>
          <w:tcPr>
            <w:tcW w:w="1814" w:type="dxa"/>
            <w:tcBorders>
              <w:top w:val="nil"/>
              <w:left w:val="nil"/>
              <w:bottom w:val="nil"/>
              <w:right w:val="single" w:sz="4" w:space="0" w:color="auto"/>
            </w:tcBorders>
            <w:shd w:val="clear" w:color="auto" w:fill="auto"/>
            <w:noWrap/>
            <w:vAlign w:val="bottom"/>
            <w:hideMark/>
          </w:tcPr>
          <w:p w14:paraId="6134BFB8" w14:textId="03AEBF8A"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asciiTheme="minorHAnsi" w:hAnsiTheme="minorHAnsi" w:cstheme="minorHAnsi"/>
                <w:color w:val="000000"/>
                <w:sz w:val="22"/>
                <w:szCs w:val="22"/>
                <w:lang w:val="en-US" w:eastAsia="zh-CN"/>
              </w:rPr>
              <w:t>1</w:t>
            </w:r>
            <w:r w:rsidR="008A3D92" w:rsidRPr="000C156A">
              <w:rPr>
                <w:rFonts w:asciiTheme="minorHAnsi" w:hAnsiTheme="minorHAnsi" w:cstheme="minorHAnsi"/>
                <w:color w:val="000000"/>
                <w:sz w:val="22"/>
                <w:szCs w:val="22"/>
                <w:lang w:val="en-US" w:eastAsia="zh-CN"/>
              </w:rPr>
              <w:t xml:space="preserve"> </w:t>
            </w:r>
            <w:r w:rsidRPr="000C156A">
              <w:rPr>
                <w:rFonts w:asciiTheme="minorHAnsi" w:hAnsiTheme="minorHAnsi" w:cstheme="minorHAnsi"/>
                <w:color w:val="000000"/>
                <w:sz w:val="22"/>
                <w:szCs w:val="22"/>
                <w:lang w:val="en-US" w:eastAsia="zh-CN"/>
              </w:rPr>
              <w:t>493</w:t>
            </w:r>
          </w:p>
        </w:tc>
      </w:tr>
      <w:tr w:rsidR="009630A9" w:rsidRPr="000C156A" w14:paraId="62F3F1BF" w14:textId="77777777" w:rsidTr="005D02F0">
        <w:trPr>
          <w:trHeight w:val="255"/>
          <w:jc w:val="center"/>
        </w:trPr>
        <w:tc>
          <w:tcPr>
            <w:tcW w:w="38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F75F78" w14:textId="77777777" w:rsidR="009630A9" w:rsidRPr="000C156A" w:rsidRDefault="009630A9" w:rsidP="005D02F0">
            <w:pPr>
              <w:overflowPunct/>
              <w:adjustRightInd/>
              <w:spacing w:before="0"/>
              <w:rPr>
                <w:rFonts w:asciiTheme="minorHAnsi" w:hAnsiTheme="minorHAnsi" w:cs="Arial"/>
                <w:b/>
                <w:bCs/>
                <w:color w:val="000000"/>
                <w:sz w:val="22"/>
                <w:szCs w:val="22"/>
                <w:lang w:val="en-US" w:eastAsia="zh-CN"/>
              </w:rPr>
            </w:pPr>
            <w:r w:rsidRPr="000C156A">
              <w:rPr>
                <w:rFonts w:hint="eastAsia"/>
                <w:b/>
                <w:color w:val="000000"/>
                <w:sz w:val="22"/>
                <w:szCs w:val="22"/>
                <w:lang w:val="en-US" w:eastAsia="zh-CN"/>
              </w:rPr>
              <w:t>借款</w:t>
            </w:r>
            <w:r w:rsidRPr="000C156A">
              <w:rPr>
                <w:rFonts w:hint="eastAsia"/>
                <w:b/>
                <w:color w:val="000000"/>
                <w:sz w:val="22"/>
                <w:szCs w:val="22"/>
                <w:lang w:val="en-US" w:eastAsia="zh-CN"/>
              </w:rPr>
              <w:t xml:space="preserve"> </w:t>
            </w:r>
            <w:r w:rsidRPr="000C156A">
              <w:rPr>
                <w:rFonts w:asciiTheme="minorHAnsi" w:hAnsiTheme="minorHAnsi" w:cs="Arial"/>
                <w:b/>
                <w:bCs/>
                <w:color w:val="000000"/>
                <w:sz w:val="22"/>
                <w:szCs w:val="22"/>
                <w:lang w:val="en-US" w:eastAsia="zh-CN"/>
              </w:rPr>
              <w:t xml:space="preserve">– </w:t>
            </w:r>
            <w:r w:rsidRPr="000C156A">
              <w:rPr>
                <w:rFonts w:asciiTheme="minorHAnsi" w:hAnsiTheme="minorHAnsi" w:cs="Arial" w:hint="eastAsia"/>
                <w:b/>
                <w:bCs/>
                <w:color w:val="000000"/>
                <w:sz w:val="22"/>
                <w:szCs w:val="22"/>
                <w:lang w:val="en-US" w:eastAsia="zh-CN"/>
              </w:rPr>
              <w:t>流动</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0164242" w14:textId="77777777"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0F89247" w14:textId="55820815"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asciiTheme="minorHAnsi" w:hAnsiTheme="minorHAnsi" w:cstheme="minorHAnsi"/>
                <w:b/>
                <w:bCs/>
                <w:color w:val="000000"/>
                <w:sz w:val="22"/>
                <w:szCs w:val="22"/>
                <w:lang w:val="en-US" w:eastAsia="zh-CN"/>
              </w:rPr>
              <w:t>1</w:t>
            </w:r>
            <w:r w:rsidR="008A3D92" w:rsidRPr="000C156A">
              <w:rPr>
                <w:rFonts w:asciiTheme="minorHAnsi" w:hAnsiTheme="minorHAnsi" w:cstheme="minorHAnsi"/>
                <w:b/>
                <w:bCs/>
                <w:color w:val="000000"/>
                <w:sz w:val="22"/>
                <w:szCs w:val="22"/>
                <w:lang w:val="en-US" w:eastAsia="zh-CN"/>
              </w:rPr>
              <w:t xml:space="preserve"> </w:t>
            </w:r>
            <w:r w:rsidRPr="000C156A">
              <w:rPr>
                <w:rFonts w:asciiTheme="minorHAnsi" w:hAnsiTheme="minorHAnsi" w:cstheme="minorHAnsi"/>
                <w:b/>
                <w:bCs/>
                <w:color w:val="000000"/>
                <w:sz w:val="22"/>
                <w:szCs w:val="22"/>
                <w:lang w:val="en-US" w:eastAsia="zh-CN"/>
              </w:rPr>
              <w:t>393</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1B107F64" w14:textId="69EE4218"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asciiTheme="minorHAnsi" w:hAnsiTheme="minorHAnsi" w:cstheme="minorHAnsi"/>
                <w:b/>
                <w:bCs/>
                <w:color w:val="000000"/>
                <w:sz w:val="22"/>
                <w:szCs w:val="22"/>
                <w:lang w:val="en-US" w:eastAsia="zh-CN"/>
              </w:rPr>
              <w:t>1</w:t>
            </w:r>
            <w:r w:rsidR="008A3D92" w:rsidRPr="000C156A">
              <w:rPr>
                <w:rFonts w:asciiTheme="minorHAnsi" w:hAnsiTheme="minorHAnsi" w:cstheme="minorHAnsi"/>
                <w:b/>
                <w:bCs/>
                <w:color w:val="000000"/>
                <w:sz w:val="22"/>
                <w:szCs w:val="22"/>
                <w:lang w:val="en-US" w:eastAsia="zh-CN"/>
              </w:rPr>
              <w:t xml:space="preserve"> </w:t>
            </w:r>
            <w:r w:rsidRPr="000C156A">
              <w:rPr>
                <w:rFonts w:asciiTheme="minorHAnsi" w:hAnsiTheme="minorHAnsi" w:cstheme="minorHAnsi"/>
                <w:b/>
                <w:bCs/>
                <w:color w:val="000000"/>
                <w:sz w:val="22"/>
                <w:szCs w:val="22"/>
                <w:lang w:val="en-US" w:eastAsia="zh-CN"/>
              </w:rPr>
              <w:t>493</w:t>
            </w:r>
          </w:p>
        </w:tc>
      </w:tr>
      <w:tr w:rsidR="009630A9" w:rsidRPr="000C156A" w14:paraId="6AE35613" w14:textId="77777777" w:rsidTr="005D02F0">
        <w:trPr>
          <w:trHeight w:val="255"/>
          <w:jc w:val="center"/>
        </w:trPr>
        <w:tc>
          <w:tcPr>
            <w:tcW w:w="3861" w:type="dxa"/>
            <w:tcBorders>
              <w:top w:val="nil"/>
              <w:left w:val="single" w:sz="4" w:space="0" w:color="auto"/>
              <w:bottom w:val="nil"/>
              <w:right w:val="single" w:sz="4" w:space="0" w:color="auto"/>
            </w:tcBorders>
            <w:shd w:val="clear" w:color="auto" w:fill="FFFFFF"/>
            <w:noWrap/>
            <w:vAlign w:val="bottom"/>
          </w:tcPr>
          <w:p w14:paraId="438E2519" w14:textId="77777777" w:rsidR="009630A9" w:rsidRPr="000C156A" w:rsidRDefault="009630A9" w:rsidP="005D02F0">
            <w:pPr>
              <w:overflowPunct/>
              <w:adjustRightInd/>
              <w:spacing w:before="0"/>
              <w:rPr>
                <w:rFonts w:asciiTheme="minorHAnsi" w:hAnsiTheme="minorHAnsi" w:cs="Arial"/>
                <w:color w:val="000000"/>
                <w:sz w:val="22"/>
                <w:szCs w:val="22"/>
                <w:lang w:val="en-US" w:eastAsia="zh-CN"/>
              </w:rPr>
            </w:pPr>
            <w:r w:rsidRPr="000C156A">
              <w:rPr>
                <w:rFonts w:asciiTheme="minorHAnsi" w:hAnsiTheme="minorHAnsi" w:cs="Arial" w:hint="eastAsia"/>
                <w:color w:val="000000"/>
                <w:sz w:val="22"/>
                <w:szCs w:val="22"/>
                <w:lang w:val="en-US" w:eastAsia="zh-CN"/>
              </w:rPr>
              <w:t>借款</w:t>
            </w:r>
            <w:r w:rsidRPr="000C156A">
              <w:rPr>
                <w:rFonts w:asciiTheme="minorHAnsi" w:hAnsiTheme="minorHAnsi" w:cs="Arial" w:hint="eastAsia"/>
                <w:color w:val="000000"/>
                <w:sz w:val="22"/>
                <w:szCs w:val="22"/>
                <w:lang w:val="en-US" w:eastAsia="zh-CN"/>
              </w:rPr>
              <w:t xml:space="preserve"> </w:t>
            </w:r>
            <w:r w:rsidRPr="000C156A">
              <w:rPr>
                <w:rFonts w:asciiTheme="minorHAnsi" w:hAnsiTheme="minorHAnsi" w:cs="Arial"/>
                <w:color w:val="000000"/>
                <w:sz w:val="22"/>
                <w:szCs w:val="22"/>
                <w:lang w:val="en-US" w:eastAsia="zh-CN"/>
              </w:rPr>
              <w:t xml:space="preserve">– </w:t>
            </w:r>
            <w:r w:rsidRPr="000C156A">
              <w:rPr>
                <w:rFonts w:asciiTheme="minorHAnsi" w:hAnsiTheme="minorHAnsi" w:cs="Arial" w:hint="eastAsia"/>
                <w:color w:val="000000"/>
                <w:sz w:val="22"/>
                <w:szCs w:val="22"/>
                <w:lang w:val="en-US" w:eastAsia="zh-CN"/>
              </w:rPr>
              <w:t>长期</w:t>
            </w:r>
          </w:p>
        </w:tc>
        <w:tc>
          <w:tcPr>
            <w:tcW w:w="1276" w:type="dxa"/>
            <w:tcBorders>
              <w:top w:val="nil"/>
              <w:left w:val="nil"/>
              <w:bottom w:val="nil"/>
              <w:right w:val="single" w:sz="4" w:space="0" w:color="auto"/>
            </w:tcBorders>
            <w:shd w:val="clear" w:color="auto" w:fill="auto"/>
            <w:noWrap/>
            <w:vAlign w:val="bottom"/>
          </w:tcPr>
          <w:p w14:paraId="3F31FB76"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p>
        </w:tc>
        <w:tc>
          <w:tcPr>
            <w:tcW w:w="1843" w:type="dxa"/>
            <w:tcBorders>
              <w:top w:val="nil"/>
              <w:left w:val="nil"/>
              <w:bottom w:val="nil"/>
              <w:right w:val="single" w:sz="4" w:space="0" w:color="auto"/>
            </w:tcBorders>
            <w:shd w:val="clear" w:color="auto" w:fill="auto"/>
            <w:noWrap/>
            <w:vAlign w:val="bottom"/>
          </w:tcPr>
          <w:p w14:paraId="7B88AD5D" w14:textId="32B9714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asciiTheme="minorHAnsi" w:hAnsiTheme="minorHAnsi" w:cstheme="minorHAnsi"/>
                <w:color w:val="000000"/>
                <w:sz w:val="22"/>
                <w:szCs w:val="22"/>
                <w:lang w:val="en-US" w:eastAsia="zh-CN"/>
              </w:rPr>
              <w:t>45</w:t>
            </w:r>
            <w:r w:rsidR="008A3D92" w:rsidRPr="000C156A">
              <w:rPr>
                <w:rFonts w:asciiTheme="minorHAnsi" w:hAnsiTheme="minorHAnsi" w:cstheme="minorHAnsi"/>
                <w:color w:val="000000"/>
                <w:sz w:val="22"/>
                <w:szCs w:val="22"/>
                <w:lang w:val="en-US" w:eastAsia="zh-CN"/>
              </w:rPr>
              <w:t xml:space="preserve"> </w:t>
            </w:r>
            <w:r w:rsidRPr="000C156A">
              <w:rPr>
                <w:rFonts w:asciiTheme="minorHAnsi" w:hAnsiTheme="minorHAnsi" w:cstheme="minorHAnsi"/>
                <w:color w:val="000000"/>
                <w:sz w:val="22"/>
                <w:szCs w:val="22"/>
                <w:lang w:val="en-US" w:eastAsia="zh-CN"/>
              </w:rPr>
              <w:t>718</w:t>
            </w:r>
          </w:p>
        </w:tc>
        <w:tc>
          <w:tcPr>
            <w:tcW w:w="1814" w:type="dxa"/>
            <w:tcBorders>
              <w:top w:val="nil"/>
              <w:left w:val="nil"/>
              <w:bottom w:val="nil"/>
              <w:right w:val="single" w:sz="4" w:space="0" w:color="auto"/>
            </w:tcBorders>
            <w:shd w:val="clear" w:color="auto" w:fill="auto"/>
            <w:noWrap/>
            <w:vAlign w:val="bottom"/>
          </w:tcPr>
          <w:p w14:paraId="456FBE46" w14:textId="76CCE25A"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asciiTheme="minorHAnsi" w:hAnsiTheme="minorHAnsi" w:cstheme="minorHAnsi"/>
                <w:color w:val="000000"/>
                <w:sz w:val="22"/>
                <w:szCs w:val="22"/>
                <w:lang w:val="en-US" w:eastAsia="zh-CN"/>
              </w:rPr>
              <w:t>43</w:t>
            </w:r>
            <w:r w:rsidR="008A3D92" w:rsidRPr="000C156A">
              <w:rPr>
                <w:rFonts w:asciiTheme="minorHAnsi" w:hAnsiTheme="minorHAnsi" w:cstheme="minorHAnsi"/>
                <w:color w:val="000000"/>
                <w:sz w:val="22"/>
                <w:szCs w:val="22"/>
                <w:lang w:val="en-US" w:eastAsia="zh-CN"/>
              </w:rPr>
              <w:t xml:space="preserve"> </w:t>
            </w:r>
            <w:r w:rsidRPr="000C156A">
              <w:rPr>
                <w:rFonts w:asciiTheme="minorHAnsi" w:hAnsiTheme="minorHAnsi" w:cstheme="minorHAnsi"/>
                <w:color w:val="000000"/>
                <w:sz w:val="22"/>
                <w:szCs w:val="22"/>
                <w:lang w:val="en-US" w:eastAsia="zh-CN"/>
              </w:rPr>
              <w:t>456</w:t>
            </w:r>
          </w:p>
        </w:tc>
      </w:tr>
      <w:tr w:rsidR="009630A9" w:rsidRPr="000C156A" w14:paraId="147D8359" w14:textId="77777777" w:rsidTr="005D02F0">
        <w:trPr>
          <w:trHeight w:val="255"/>
          <w:jc w:val="center"/>
        </w:trPr>
        <w:tc>
          <w:tcPr>
            <w:tcW w:w="38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69FE28" w14:textId="77777777" w:rsidR="009630A9" w:rsidRPr="000C156A" w:rsidRDefault="009630A9" w:rsidP="005D02F0">
            <w:pPr>
              <w:overflowPunct/>
              <w:adjustRightInd/>
              <w:spacing w:before="0"/>
              <w:rPr>
                <w:rFonts w:asciiTheme="minorHAnsi" w:hAnsiTheme="minorHAnsi" w:cs="Arial"/>
                <w:b/>
                <w:bCs/>
                <w:color w:val="000000"/>
                <w:sz w:val="22"/>
                <w:szCs w:val="22"/>
                <w:lang w:val="en-US" w:eastAsia="zh-CN"/>
              </w:rPr>
            </w:pPr>
            <w:r w:rsidRPr="000C156A">
              <w:rPr>
                <w:rFonts w:hint="eastAsia"/>
                <w:b/>
                <w:color w:val="000000"/>
                <w:sz w:val="22"/>
                <w:szCs w:val="22"/>
                <w:lang w:val="en-US" w:eastAsia="zh-CN"/>
              </w:rPr>
              <w:t>借款</w:t>
            </w:r>
            <w:r w:rsidRPr="000C156A">
              <w:rPr>
                <w:rFonts w:asciiTheme="minorHAnsi" w:hAnsiTheme="minorHAnsi" w:cs="Arial" w:hint="eastAsia"/>
                <w:b/>
                <w:bCs/>
                <w:color w:val="000000"/>
                <w:sz w:val="22"/>
                <w:szCs w:val="22"/>
                <w:lang w:val="en-US" w:eastAsia="zh-CN"/>
              </w:rPr>
              <w:t xml:space="preserve"> </w:t>
            </w:r>
            <w:r w:rsidRPr="000C156A">
              <w:rPr>
                <w:rFonts w:asciiTheme="minorHAnsi" w:hAnsiTheme="minorHAnsi" w:cs="Arial"/>
                <w:b/>
                <w:bCs/>
                <w:color w:val="000000"/>
                <w:sz w:val="22"/>
                <w:szCs w:val="22"/>
                <w:lang w:val="en-US" w:eastAsia="zh-CN"/>
              </w:rPr>
              <w:t xml:space="preserve">– </w:t>
            </w:r>
            <w:r w:rsidRPr="000C156A">
              <w:rPr>
                <w:rFonts w:asciiTheme="minorHAnsi" w:hAnsiTheme="minorHAnsi" w:cs="Arial" w:hint="eastAsia"/>
                <w:b/>
                <w:bCs/>
                <w:color w:val="000000"/>
                <w:sz w:val="22"/>
                <w:szCs w:val="22"/>
                <w:lang w:val="en-US" w:eastAsia="zh-CN"/>
              </w:rPr>
              <w:t>非流动</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34803B2" w14:textId="77777777"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CC2A239" w14:textId="0A5B0264"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asciiTheme="minorHAnsi" w:hAnsiTheme="minorHAnsi" w:cstheme="minorHAnsi"/>
                <w:b/>
                <w:bCs/>
                <w:color w:val="000000"/>
                <w:sz w:val="22"/>
                <w:szCs w:val="22"/>
                <w:lang w:val="en-US" w:eastAsia="zh-CN"/>
              </w:rPr>
              <w:t>45</w:t>
            </w:r>
            <w:r w:rsidR="008A3D92" w:rsidRPr="000C156A">
              <w:rPr>
                <w:rFonts w:asciiTheme="minorHAnsi" w:hAnsiTheme="minorHAnsi" w:cstheme="minorHAnsi"/>
                <w:b/>
                <w:bCs/>
                <w:color w:val="000000"/>
                <w:sz w:val="22"/>
                <w:szCs w:val="22"/>
                <w:lang w:val="en-US" w:eastAsia="zh-CN"/>
              </w:rPr>
              <w:t xml:space="preserve"> </w:t>
            </w:r>
            <w:r w:rsidRPr="000C156A">
              <w:rPr>
                <w:rFonts w:asciiTheme="minorHAnsi" w:hAnsiTheme="minorHAnsi" w:cstheme="minorHAnsi"/>
                <w:b/>
                <w:bCs/>
                <w:color w:val="000000"/>
                <w:sz w:val="22"/>
                <w:szCs w:val="22"/>
                <w:lang w:val="en-US" w:eastAsia="zh-CN"/>
              </w:rPr>
              <w:t>718</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01D64764" w14:textId="60A42FB0"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asciiTheme="minorHAnsi" w:hAnsiTheme="minorHAnsi" w:cstheme="minorHAnsi"/>
                <w:b/>
                <w:bCs/>
                <w:color w:val="000000"/>
                <w:sz w:val="22"/>
                <w:szCs w:val="22"/>
                <w:lang w:val="en-US" w:eastAsia="zh-CN"/>
              </w:rPr>
              <w:t>43</w:t>
            </w:r>
            <w:r w:rsidR="008A3D92" w:rsidRPr="000C156A">
              <w:rPr>
                <w:rFonts w:asciiTheme="minorHAnsi" w:hAnsiTheme="minorHAnsi" w:cstheme="minorHAnsi"/>
                <w:b/>
                <w:bCs/>
                <w:color w:val="000000"/>
                <w:sz w:val="22"/>
                <w:szCs w:val="22"/>
                <w:lang w:val="en-US" w:eastAsia="zh-CN"/>
              </w:rPr>
              <w:t xml:space="preserve"> </w:t>
            </w:r>
            <w:r w:rsidRPr="000C156A">
              <w:rPr>
                <w:rFonts w:asciiTheme="minorHAnsi" w:hAnsiTheme="minorHAnsi" w:cstheme="minorHAnsi"/>
                <w:b/>
                <w:bCs/>
                <w:color w:val="000000"/>
                <w:sz w:val="22"/>
                <w:szCs w:val="22"/>
                <w:lang w:val="en-US" w:eastAsia="zh-CN"/>
              </w:rPr>
              <w:t>456</w:t>
            </w:r>
          </w:p>
        </w:tc>
      </w:tr>
    </w:tbl>
    <w:p w14:paraId="2E24B3C5" w14:textId="77777777" w:rsidR="009630A9" w:rsidRPr="000C156A" w:rsidRDefault="009630A9" w:rsidP="009630A9">
      <w:pPr>
        <w:spacing w:before="240"/>
        <w:ind w:firstLineChars="200" w:firstLine="480"/>
        <w:jc w:val="both"/>
        <w:rPr>
          <w:lang w:val="en-US" w:eastAsia="zh-CN"/>
        </w:rPr>
      </w:pPr>
      <w:bookmarkStart w:id="690" w:name="_Toc329011641"/>
      <w:bookmarkStart w:id="691" w:name="_Toc305764090"/>
      <w:r w:rsidRPr="000C156A">
        <w:rPr>
          <w:rFonts w:hint="eastAsia"/>
          <w:lang w:val="en-US" w:eastAsia="zh-CN"/>
        </w:rPr>
        <w:t>新办公楼最早要到</w:t>
      </w:r>
      <w:r w:rsidRPr="000C156A">
        <w:rPr>
          <w:rFonts w:hint="eastAsia"/>
          <w:lang w:val="en-US" w:eastAsia="zh-CN"/>
        </w:rPr>
        <w:t>2026</w:t>
      </w:r>
      <w:r w:rsidRPr="000C156A">
        <w:rPr>
          <w:rFonts w:hint="eastAsia"/>
          <w:lang w:val="en-US" w:eastAsia="zh-CN"/>
        </w:rPr>
        <w:t>年初才能交付。顺利交付后，国际电联开始偿还新楼贷款。</w:t>
      </w:r>
    </w:p>
    <w:p w14:paraId="51114D27" w14:textId="77777777" w:rsidR="009630A9" w:rsidRPr="000C156A" w:rsidRDefault="009630A9" w:rsidP="009630A9">
      <w:pPr>
        <w:spacing w:before="240"/>
        <w:ind w:firstLineChars="200" w:firstLine="480"/>
        <w:rPr>
          <w:lang w:eastAsia="zh-CN"/>
        </w:rPr>
      </w:pPr>
      <w:r w:rsidRPr="000C156A">
        <w:rPr>
          <w:rFonts w:hint="eastAsia"/>
          <w:lang w:eastAsia="zh-CN"/>
        </w:rPr>
        <w:t>截至</w:t>
      </w:r>
      <w:r w:rsidRPr="000C156A">
        <w:rPr>
          <w:lang w:eastAsia="zh-CN"/>
        </w:rPr>
        <w:t>2020</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日的借款现值为</w:t>
      </w:r>
      <w:r w:rsidRPr="000C156A">
        <w:rPr>
          <w:lang w:eastAsia="zh-CN"/>
        </w:rPr>
        <w:t>2</w:t>
      </w:r>
      <w:r w:rsidRPr="000C156A">
        <w:rPr>
          <w:lang w:val="en-US" w:eastAsia="zh-CN"/>
        </w:rPr>
        <w:t> </w:t>
      </w:r>
      <w:r w:rsidRPr="000C156A">
        <w:rPr>
          <w:lang w:eastAsia="zh-CN"/>
        </w:rPr>
        <w:t>450</w:t>
      </w:r>
      <w:r w:rsidRPr="000C156A">
        <w:rPr>
          <w:rFonts w:hint="eastAsia"/>
          <w:lang w:eastAsia="zh-CN"/>
        </w:rPr>
        <w:t>万瑞郎，</w:t>
      </w:r>
      <w:r w:rsidRPr="000C156A">
        <w:rPr>
          <w:lang w:eastAsia="zh-CN"/>
        </w:rPr>
        <w:t>2019</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日为</w:t>
      </w:r>
      <w:r w:rsidRPr="000C156A">
        <w:rPr>
          <w:lang w:eastAsia="zh-CN"/>
        </w:rPr>
        <w:t>2</w:t>
      </w:r>
      <w:r w:rsidRPr="000C156A">
        <w:rPr>
          <w:lang w:val="en-US" w:eastAsia="zh-CN"/>
        </w:rPr>
        <w:t> </w:t>
      </w:r>
      <w:r w:rsidRPr="000C156A">
        <w:rPr>
          <w:lang w:eastAsia="zh-CN"/>
        </w:rPr>
        <w:t>520</w:t>
      </w:r>
      <w:r w:rsidRPr="000C156A">
        <w:rPr>
          <w:rFonts w:hint="eastAsia"/>
          <w:lang w:eastAsia="zh-CN"/>
        </w:rPr>
        <w:t>万瑞郎，该值与毛额（</w:t>
      </w:r>
      <w:r w:rsidRPr="000C156A">
        <w:rPr>
          <w:lang w:eastAsia="zh-CN"/>
        </w:rPr>
        <w:t>gross amount</w:t>
      </w:r>
      <w:r w:rsidRPr="000C156A">
        <w:rPr>
          <w:rFonts w:hint="eastAsia"/>
          <w:lang w:eastAsia="zh-CN"/>
        </w:rPr>
        <w:t>）之间的差额为借款期结束之前的总未付利息现值。</w:t>
      </w:r>
    </w:p>
    <w:p w14:paraId="1FC9C10A" w14:textId="38DCEDFA" w:rsidR="009630A9" w:rsidRPr="000C156A" w:rsidRDefault="009630A9" w:rsidP="009630A9">
      <w:pPr>
        <w:pStyle w:val="Heading1"/>
        <w:spacing w:before="360"/>
        <w:rPr>
          <w:rFonts w:cs="Microsoft YaHei"/>
          <w:sz w:val="24"/>
          <w:szCs w:val="24"/>
          <w:lang w:eastAsia="zh-CN"/>
        </w:rPr>
      </w:pPr>
      <w:bookmarkStart w:id="692" w:name="_Toc482892575"/>
      <w:bookmarkStart w:id="693" w:name="_Toc482870840"/>
      <w:bookmarkStart w:id="694" w:name="_Toc329165791"/>
      <w:bookmarkStart w:id="695" w:name="_Toc305594751"/>
      <w:bookmarkStart w:id="696" w:name="_Toc511813759"/>
      <w:bookmarkStart w:id="697" w:name="_Toc511817842"/>
      <w:bookmarkStart w:id="698" w:name="_Toc520280742"/>
      <w:bookmarkStart w:id="699" w:name="_Toc10536837"/>
      <w:bookmarkStart w:id="700" w:name="_Toc41905879"/>
      <w:bookmarkStart w:id="701" w:name="_Toc41906907"/>
      <w:bookmarkStart w:id="702" w:name="_Toc41907988"/>
      <w:bookmarkStart w:id="703" w:name="_Toc41908056"/>
      <w:bookmarkStart w:id="704" w:name="_Toc73518694"/>
      <w:bookmarkStart w:id="705" w:name="_Toc73518841"/>
      <w:bookmarkStart w:id="706" w:name="_Toc73519241"/>
      <w:bookmarkStart w:id="707" w:name="_Toc73636280"/>
      <w:bookmarkEnd w:id="690"/>
      <w:bookmarkEnd w:id="691"/>
      <w:r w:rsidRPr="000C156A">
        <w:rPr>
          <w:rFonts w:cs="Microsoft YaHei" w:hint="eastAsia"/>
          <w:sz w:val="24"/>
          <w:szCs w:val="24"/>
          <w:lang w:val="fr-FR" w:eastAsia="zh-CN"/>
        </w:rPr>
        <w:lastRenderedPageBreak/>
        <w:t>说明</w:t>
      </w:r>
      <w:r w:rsidRPr="000C156A">
        <w:rPr>
          <w:rFonts w:cs="Microsoft YaHei"/>
          <w:sz w:val="24"/>
          <w:szCs w:val="24"/>
          <w:lang w:eastAsia="zh-CN"/>
        </w:rPr>
        <w:t>17</w:t>
      </w:r>
      <w:r w:rsidRPr="000C156A">
        <w:rPr>
          <w:rFonts w:cs="Microsoft YaHei"/>
          <w:sz w:val="24"/>
          <w:szCs w:val="24"/>
          <w:lang w:eastAsia="zh-CN"/>
        </w:rPr>
        <w:tab/>
      </w:r>
      <w:r w:rsidRPr="000C156A">
        <w:rPr>
          <w:rFonts w:cs="Microsoft YaHei" w:hint="eastAsia"/>
          <w:sz w:val="24"/>
          <w:szCs w:val="24"/>
          <w:lang w:val="fr-FR" w:eastAsia="zh-CN"/>
        </w:rPr>
        <w:t>职员福利</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19FF5761" w14:textId="77777777" w:rsidR="009630A9" w:rsidRPr="000C156A" w:rsidRDefault="009630A9" w:rsidP="009630A9">
      <w:pPr>
        <w:keepNext/>
        <w:keepLines/>
        <w:ind w:firstLineChars="200" w:firstLine="480"/>
        <w:rPr>
          <w:szCs w:val="24"/>
          <w:lang w:val="en-US" w:eastAsia="zh-CN"/>
        </w:rPr>
      </w:pPr>
      <w:r w:rsidRPr="000C156A">
        <w:rPr>
          <w:rFonts w:hint="eastAsia"/>
          <w:lang w:eastAsia="zh-CN"/>
        </w:rPr>
        <w:t>职员福利系指国际电联为职员所提供服务而回报的各种形式的补偿，</w:t>
      </w:r>
      <w:bookmarkStart w:id="708" w:name="_Toc329011642"/>
      <w:bookmarkStart w:id="709" w:name="_Toc305764091"/>
      <w:r w:rsidRPr="000C156A">
        <w:rPr>
          <w:rFonts w:hint="eastAsia"/>
          <w:lang w:eastAsia="zh-CN"/>
        </w:rPr>
        <w:t>雇员获得这些补偿即表示他们的工作得到认可。</w:t>
      </w:r>
    </w:p>
    <w:p w14:paraId="73C7E74C" w14:textId="77777777" w:rsidR="009630A9" w:rsidRPr="000C156A" w:rsidRDefault="009630A9" w:rsidP="009630A9">
      <w:pPr>
        <w:pStyle w:val="Heading2"/>
        <w:spacing w:before="240"/>
        <w:rPr>
          <w:lang w:eastAsia="zh-CN"/>
        </w:rPr>
      </w:pPr>
      <w:bookmarkStart w:id="710" w:name="_Toc482870841"/>
      <w:bookmarkStart w:id="711" w:name="_Toc482892576"/>
      <w:bookmarkStart w:id="712" w:name="_Toc511813760"/>
      <w:bookmarkStart w:id="713" w:name="_Toc511817843"/>
      <w:bookmarkStart w:id="714" w:name="_Toc520280743"/>
      <w:bookmarkStart w:id="715" w:name="_Toc10536838"/>
      <w:bookmarkStart w:id="716" w:name="_Toc41905880"/>
      <w:bookmarkStart w:id="717" w:name="_Toc41906908"/>
      <w:bookmarkStart w:id="718" w:name="_Toc41907989"/>
      <w:bookmarkStart w:id="719" w:name="_Toc41908057"/>
      <w:bookmarkStart w:id="720" w:name="_Toc73518695"/>
      <w:bookmarkStart w:id="721" w:name="_Toc73518842"/>
      <w:bookmarkStart w:id="722" w:name="_Toc73519242"/>
      <w:bookmarkStart w:id="723" w:name="_Toc73636281"/>
      <w:r w:rsidRPr="000C156A">
        <w:rPr>
          <w:lang w:eastAsia="zh-CN"/>
        </w:rPr>
        <w:t>17.1</w:t>
      </w:r>
      <w:r w:rsidRPr="000C156A">
        <w:rPr>
          <w:lang w:eastAsia="zh-CN"/>
        </w:rPr>
        <w:tab/>
      </w:r>
      <w:bookmarkStart w:id="724" w:name="_Toc329165792"/>
      <w:bookmarkEnd w:id="708"/>
      <w:bookmarkEnd w:id="709"/>
      <w:r w:rsidRPr="000C156A">
        <w:rPr>
          <w:rFonts w:hint="eastAsia"/>
          <w:lang w:eastAsia="zh-CN"/>
        </w:rPr>
        <w:t>短期职员福利</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14:paraId="57013E40" w14:textId="77777777" w:rsidR="009630A9" w:rsidRPr="000C156A" w:rsidRDefault="009630A9" w:rsidP="004B6A22">
      <w:pPr>
        <w:pStyle w:val="Headingb"/>
        <w:spacing w:before="120" w:after="240"/>
        <w:rPr>
          <w:lang w:val="en-US" w:eastAsia="zh-CN"/>
        </w:rPr>
      </w:pPr>
      <w:bookmarkStart w:id="725" w:name="_Toc41905881"/>
      <w:bookmarkStart w:id="726" w:name="_Toc73518696"/>
      <w:bookmarkStart w:id="727" w:name="_Toc73518843"/>
      <w:bookmarkStart w:id="728" w:name="_Toc73519243"/>
      <w:bookmarkStart w:id="729" w:name="_Toc73636282"/>
      <w:r w:rsidRPr="000C156A">
        <w:rPr>
          <w:lang w:val="en-US" w:eastAsia="zh-CN"/>
        </w:rPr>
        <w:t>2020</w:t>
      </w:r>
      <w:r w:rsidRPr="000C156A">
        <w:rPr>
          <w:rFonts w:cs="Microsoft YaHei" w:hint="eastAsia"/>
          <w:lang w:val="fr-FR" w:eastAsia="zh-CN"/>
        </w:rPr>
        <w:t>年</w:t>
      </w:r>
      <w:r w:rsidRPr="000C156A">
        <w:rPr>
          <w:lang w:val="en-US" w:eastAsia="zh-CN"/>
        </w:rPr>
        <w:t>12</w:t>
      </w:r>
      <w:r w:rsidRPr="000C156A">
        <w:rPr>
          <w:rFonts w:cs="Microsoft YaHei" w:hint="eastAsia"/>
          <w:lang w:val="fr-FR" w:eastAsia="zh-CN"/>
        </w:rPr>
        <w:t>月</w:t>
      </w:r>
      <w:r w:rsidRPr="000C156A">
        <w:rPr>
          <w:lang w:val="en-US" w:eastAsia="zh-CN"/>
        </w:rPr>
        <w:t>31</w:t>
      </w:r>
      <w:r w:rsidRPr="000C156A">
        <w:rPr>
          <w:rFonts w:cs="Microsoft YaHei" w:hint="eastAsia"/>
          <w:lang w:val="fr-FR" w:eastAsia="zh-CN"/>
        </w:rPr>
        <w:t>日的数字</w:t>
      </w:r>
      <w:bookmarkEnd w:id="725"/>
      <w:bookmarkEnd w:id="726"/>
      <w:bookmarkEnd w:id="727"/>
      <w:bookmarkEnd w:id="728"/>
      <w:bookmarkEnd w:id="7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gridCol w:w="1985"/>
        <w:gridCol w:w="2404"/>
      </w:tblGrid>
      <w:tr w:rsidR="009630A9" w:rsidRPr="000C156A" w14:paraId="47E1DCA2" w14:textId="77777777" w:rsidTr="003B486D">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65BE0FF7" w14:textId="77777777" w:rsidR="009630A9" w:rsidRPr="000C156A" w:rsidRDefault="009630A9" w:rsidP="005D02F0">
            <w:pPr>
              <w:pStyle w:val="Tablehead"/>
              <w:jc w:val="left"/>
              <w:rPr>
                <w:szCs w:val="22"/>
                <w:lang w:val="en-US" w:eastAsia="zh-CN"/>
              </w:rPr>
            </w:pPr>
          </w:p>
        </w:tc>
        <w:tc>
          <w:tcPr>
            <w:tcW w:w="6515" w:type="dxa"/>
            <w:gridSpan w:val="3"/>
            <w:tcBorders>
              <w:top w:val="single" w:sz="4" w:space="0" w:color="auto"/>
              <w:left w:val="single" w:sz="4" w:space="0" w:color="auto"/>
              <w:bottom w:val="single" w:sz="4" w:space="0" w:color="auto"/>
              <w:right w:val="single" w:sz="4" w:space="0" w:color="auto"/>
            </w:tcBorders>
            <w:hideMark/>
          </w:tcPr>
          <w:p w14:paraId="47775417" w14:textId="77777777" w:rsidR="009630A9" w:rsidRPr="000C156A" w:rsidRDefault="009630A9" w:rsidP="005D02F0">
            <w:pPr>
              <w:pStyle w:val="Tablehead"/>
              <w:rPr>
                <w:szCs w:val="22"/>
                <w:lang w:val="en-US"/>
              </w:rPr>
            </w:pPr>
            <w:r w:rsidRPr="000C156A">
              <w:rPr>
                <w:rFonts w:hint="eastAsia"/>
                <w:szCs w:val="22"/>
                <w:lang w:val="en-US"/>
              </w:rPr>
              <w:t>职员福利</w:t>
            </w:r>
            <w:r w:rsidRPr="000C156A">
              <w:rPr>
                <w:szCs w:val="22"/>
                <w:lang w:val="en-US"/>
              </w:rPr>
              <w:t xml:space="preserve"> – </w:t>
            </w:r>
            <w:r w:rsidRPr="000C156A">
              <w:rPr>
                <w:rFonts w:hint="eastAsia"/>
                <w:szCs w:val="22"/>
                <w:lang w:val="en-US"/>
              </w:rPr>
              <w:t>短期</w:t>
            </w:r>
          </w:p>
        </w:tc>
      </w:tr>
      <w:tr w:rsidR="009630A9" w:rsidRPr="000C156A" w14:paraId="6499CDC3" w14:textId="77777777" w:rsidTr="003B486D">
        <w:trPr>
          <w:jc w:val="center"/>
        </w:trPr>
        <w:tc>
          <w:tcPr>
            <w:tcW w:w="3114" w:type="dxa"/>
            <w:tcBorders>
              <w:top w:val="single" w:sz="4" w:space="0" w:color="auto"/>
              <w:left w:val="single" w:sz="4" w:space="0" w:color="000000"/>
              <w:bottom w:val="single" w:sz="4" w:space="0" w:color="000000"/>
              <w:right w:val="single" w:sz="4" w:space="0" w:color="auto"/>
            </w:tcBorders>
            <w:hideMark/>
          </w:tcPr>
          <w:p w14:paraId="3EDA0A5E" w14:textId="77777777" w:rsidR="009630A9" w:rsidRPr="000C156A" w:rsidRDefault="009630A9" w:rsidP="005D02F0">
            <w:pPr>
              <w:pStyle w:val="Tablehead"/>
              <w:jc w:val="left"/>
              <w:rPr>
                <w:szCs w:val="22"/>
                <w:lang w:val="en-US"/>
              </w:rPr>
            </w:pPr>
            <w:r w:rsidRPr="000C156A">
              <w:rPr>
                <w:rFonts w:hint="eastAsia"/>
                <w:szCs w:val="22"/>
                <w:lang w:val="en-US" w:eastAsia="zh-CN"/>
              </w:rPr>
              <w:t>单位：</w:t>
            </w:r>
            <w:r w:rsidRPr="000C156A">
              <w:rPr>
                <w:rFonts w:hint="eastAsia"/>
                <w:szCs w:val="22"/>
                <w:lang w:val="en-US"/>
              </w:rPr>
              <w:t>千瑞郎</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CC97FB" w14:textId="77777777" w:rsidR="009630A9" w:rsidRPr="000C156A" w:rsidRDefault="009630A9" w:rsidP="005D02F0">
            <w:pPr>
              <w:pStyle w:val="Tablehead"/>
              <w:snapToGrid w:val="0"/>
              <w:spacing w:before="0" w:after="0"/>
              <w:rPr>
                <w:szCs w:val="22"/>
                <w:lang w:val="en-US" w:eastAsia="zh-CN"/>
              </w:rPr>
            </w:pPr>
            <w:r w:rsidRPr="000C156A">
              <w:rPr>
                <w:rFonts w:hint="eastAsia"/>
                <w:szCs w:val="22"/>
                <w:lang w:val="en-US" w:eastAsia="zh-CN"/>
              </w:rPr>
              <w:t>加班</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CEF5E3D" w14:textId="77777777" w:rsidR="009630A9" w:rsidRPr="000C156A" w:rsidRDefault="009630A9" w:rsidP="005D02F0">
            <w:pPr>
              <w:pStyle w:val="Tablehead"/>
              <w:snapToGrid w:val="0"/>
              <w:spacing w:before="0" w:after="0"/>
              <w:rPr>
                <w:szCs w:val="22"/>
                <w:lang w:val="en-US" w:eastAsia="zh-CN"/>
              </w:rPr>
            </w:pPr>
            <w:r w:rsidRPr="000C156A">
              <w:rPr>
                <w:rFonts w:hint="eastAsia"/>
                <w:szCs w:val="22"/>
                <w:lang w:val="en-US" w:eastAsia="zh-CN"/>
              </w:rPr>
              <w:t>应计休假</w:t>
            </w:r>
          </w:p>
        </w:tc>
        <w:tc>
          <w:tcPr>
            <w:tcW w:w="2404" w:type="dxa"/>
            <w:tcBorders>
              <w:top w:val="single" w:sz="4" w:space="0" w:color="auto"/>
              <w:left w:val="single" w:sz="4" w:space="0" w:color="auto"/>
              <w:bottom w:val="single" w:sz="4" w:space="0" w:color="auto"/>
              <w:right w:val="single" w:sz="4" w:space="0" w:color="auto"/>
            </w:tcBorders>
            <w:vAlign w:val="center"/>
            <w:hideMark/>
          </w:tcPr>
          <w:p w14:paraId="45FF0CC5" w14:textId="08C4DB60" w:rsidR="009630A9" w:rsidRPr="000C156A" w:rsidRDefault="009630A9" w:rsidP="003B486D">
            <w:pPr>
              <w:pStyle w:val="Tablehead"/>
              <w:snapToGrid w:val="0"/>
              <w:spacing w:before="0" w:after="0"/>
              <w:rPr>
                <w:szCs w:val="22"/>
                <w:lang w:val="en-US" w:eastAsia="zh-CN"/>
              </w:rPr>
            </w:pPr>
            <w:r w:rsidRPr="000C156A">
              <w:rPr>
                <w:rFonts w:hint="eastAsia"/>
                <w:szCs w:val="22"/>
                <w:lang w:val="en-US"/>
              </w:rPr>
              <w:t>职员福利</w:t>
            </w:r>
            <w:r w:rsidRPr="000C156A">
              <w:rPr>
                <w:szCs w:val="22"/>
                <w:lang w:val="en-US"/>
              </w:rPr>
              <w:t xml:space="preserve"> – </w:t>
            </w:r>
            <w:r w:rsidRPr="000C156A">
              <w:rPr>
                <w:rFonts w:hint="eastAsia"/>
                <w:szCs w:val="22"/>
                <w:lang w:val="en-US"/>
              </w:rPr>
              <w:t>短期</w:t>
            </w:r>
            <w:r w:rsidRPr="000C156A">
              <w:rPr>
                <w:rFonts w:hint="eastAsia"/>
                <w:szCs w:val="22"/>
                <w:lang w:val="en-US" w:eastAsia="zh-CN"/>
              </w:rPr>
              <w:t>合计</w:t>
            </w:r>
          </w:p>
        </w:tc>
      </w:tr>
      <w:tr w:rsidR="009630A9" w:rsidRPr="000C156A" w14:paraId="5469B025" w14:textId="77777777" w:rsidTr="003B486D">
        <w:trPr>
          <w:jc w:val="center"/>
        </w:trPr>
        <w:tc>
          <w:tcPr>
            <w:tcW w:w="3114" w:type="dxa"/>
            <w:tcBorders>
              <w:top w:val="single" w:sz="4" w:space="0" w:color="000000"/>
              <w:left w:val="single" w:sz="4" w:space="0" w:color="000000"/>
              <w:bottom w:val="single" w:sz="4" w:space="0" w:color="000000"/>
              <w:right w:val="single" w:sz="4" w:space="0" w:color="auto"/>
            </w:tcBorders>
            <w:hideMark/>
          </w:tcPr>
          <w:p w14:paraId="7B7796C4" w14:textId="77777777" w:rsidR="009630A9" w:rsidRPr="000C156A" w:rsidRDefault="009630A9" w:rsidP="005D02F0">
            <w:pPr>
              <w:pStyle w:val="Tabletext"/>
              <w:ind w:right="208"/>
              <w:rPr>
                <w:szCs w:val="22"/>
                <w:lang w:val="en-US" w:eastAsia="zh-CN"/>
              </w:rPr>
            </w:pPr>
            <w:r w:rsidRPr="000C156A">
              <w:rPr>
                <w:rFonts w:hint="eastAsia"/>
                <w:b/>
                <w:bCs/>
                <w:szCs w:val="22"/>
                <w:lang w:val="en-US" w:eastAsia="zh-CN"/>
              </w:rPr>
              <w:t>期初余额</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FD0BE" w14:textId="77777777"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46</w:t>
            </w:r>
          </w:p>
        </w:tc>
        <w:tc>
          <w:tcPr>
            <w:tcW w:w="1985" w:type="dxa"/>
            <w:tcBorders>
              <w:top w:val="nil"/>
              <w:left w:val="nil"/>
              <w:bottom w:val="single" w:sz="4" w:space="0" w:color="auto"/>
              <w:right w:val="single" w:sz="4" w:space="0" w:color="auto"/>
            </w:tcBorders>
            <w:shd w:val="clear" w:color="auto" w:fill="auto"/>
            <w:vAlign w:val="center"/>
            <w:hideMark/>
          </w:tcPr>
          <w:p w14:paraId="6657E675" w14:textId="77777777"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132</w:t>
            </w:r>
          </w:p>
        </w:tc>
        <w:tc>
          <w:tcPr>
            <w:tcW w:w="2404" w:type="dxa"/>
            <w:tcBorders>
              <w:top w:val="nil"/>
              <w:left w:val="nil"/>
              <w:bottom w:val="single" w:sz="4" w:space="0" w:color="auto"/>
              <w:right w:val="single" w:sz="4" w:space="0" w:color="auto"/>
            </w:tcBorders>
            <w:shd w:val="clear" w:color="auto" w:fill="auto"/>
            <w:vAlign w:val="center"/>
            <w:hideMark/>
          </w:tcPr>
          <w:p w14:paraId="553103C0" w14:textId="77777777"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178</w:t>
            </w:r>
          </w:p>
        </w:tc>
      </w:tr>
      <w:tr w:rsidR="009630A9" w:rsidRPr="000C156A" w14:paraId="32DED2BC" w14:textId="77777777" w:rsidTr="003B486D">
        <w:trPr>
          <w:jc w:val="center"/>
        </w:trPr>
        <w:tc>
          <w:tcPr>
            <w:tcW w:w="3114" w:type="dxa"/>
            <w:tcBorders>
              <w:top w:val="single" w:sz="4" w:space="0" w:color="000000"/>
              <w:left w:val="single" w:sz="4" w:space="0" w:color="000000"/>
              <w:bottom w:val="nil"/>
              <w:right w:val="single" w:sz="4" w:space="0" w:color="auto"/>
            </w:tcBorders>
            <w:hideMark/>
          </w:tcPr>
          <w:p w14:paraId="75975BA5" w14:textId="77777777" w:rsidR="009630A9" w:rsidRPr="000C156A" w:rsidRDefault="009630A9" w:rsidP="005D02F0">
            <w:pPr>
              <w:tabs>
                <w:tab w:val="left" w:pos="720"/>
              </w:tabs>
              <w:overflowPunct/>
              <w:adjustRightInd/>
              <w:spacing w:before="0"/>
              <w:rPr>
                <w:sz w:val="22"/>
                <w:szCs w:val="22"/>
                <w:lang w:val="en-US"/>
              </w:rPr>
            </w:pPr>
            <w:r w:rsidRPr="000C156A">
              <w:rPr>
                <w:rFonts w:hint="eastAsia"/>
                <w:sz w:val="22"/>
                <w:szCs w:val="22"/>
                <w:lang w:val="en-US"/>
              </w:rPr>
              <w:t>增长</w:t>
            </w:r>
          </w:p>
        </w:tc>
        <w:tc>
          <w:tcPr>
            <w:tcW w:w="2126" w:type="dxa"/>
            <w:tcBorders>
              <w:top w:val="nil"/>
              <w:left w:val="single" w:sz="4" w:space="0" w:color="auto"/>
              <w:bottom w:val="nil"/>
              <w:right w:val="single" w:sz="4" w:space="0" w:color="auto"/>
            </w:tcBorders>
            <w:shd w:val="clear" w:color="auto" w:fill="auto"/>
            <w:vAlign w:val="bottom"/>
            <w:hideMark/>
          </w:tcPr>
          <w:p w14:paraId="4AA3D1D6" w14:textId="77777777" w:rsidR="009630A9" w:rsidRPr="000C156A" w:rsidRDefault="009630A9" w:rsidP="005D02F0">
            <w:pPr>
              <w:overflowPunct/>
              <w:autoSpaceDE/>
              <w:autoSpaceDN/>
              <w:adjustRightInd/>
              <w:spacing w:before="0"/>
              <w:jc w:val="right"/>
              <w:textAlignment w:val="auto"/>
              <w:rPr>
                <w:rFonts w:cs="Arial"/>
                <w:sz w:val="22"/>
                <w:szCs w:val="22"/>
                <w:lang w:val="en-US" w:eastAsia="zh-CN"/>
              </w:rPr>
            </w:pPr>
            <w:r w:rsidRPr="000C156A">
              <w:rPr>
                <w:rFonts w:cs="Arial"/>
                <w:sz w:val="22"/>
                <w:szCs w:val="22"/>
                <w:lang w:val="en-US" w:eastAsia="zh-CN"/>
              </w:rPr>
              <w:t>10</w:t>
            </w:r>
          </w:p>
        </w:tc>
        <w:tc>
          <w:tcPr>
            <w:tcW w:w="1985" w:type="dxa"/>
            <w:tcBorders>
              <w:top w:val="nil"/>
              <w:left w:val="nil"/>
              <w:bottom w:val="nil"/>
              <w:right w:val="single" w:sz="4" w:space="0" w:color="auto"/>
            </w:tcBorders>
            <w:shd w:val="clear" w:color="auto" w:fill="auto"/>
            <w:vAlign w:val="bottom"/>
            <w:hideMark/>
          </w:tcPr>
          <w:p w14:paraId="09B5D331"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w:t>
            </w:r>
          </w:p>
        </w:tc>
        <w:tc>
          <w:tcPr>
            <w:tcW w:w="2404" w:type="dxa"/>
            <w:tcBorders>
              <w:top w:val="nil"/>
              <w:left w:val="nil"/>
              <w:bottom w:val="nil"/>
              <w:right w:val="single" w:sz="4" w:space="0" w:color="auto"/>
            </w:tcBorders>
            <w:shd w:val="clear" w:color="auto" w:fill="auto"/>
            <w:vAlign w:val="bottom"/>
            <w:hideMark/>
          </w:tcPr>
          <w:p w14:paraId="1F73A71D"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10</w:t>
            </w:r>
          </w:p>
        </w:tc>
      </w:tr>
      <w:tr w:rsidR="009630A9" w:rsidRPr="000C156A" w14:paraId="4EC84A2A" w14:textId="77777777" w:rsidTr="003B486D">
        <w:trPr>
          <w:jc w:val="center"/>
        </w:trPr>
        <w:tc>
          <w:tcPr>
            <w:tcW w:w="3114" w:type="dxa"/>
            <w:tcBorders>
              <w:top w:val="nil"/>
              <w:left w:val="single" w:sz="4" w:space="0" w:color="000000"/>
              <w:bottom w:val="nil"/>
              <w:right w:val="single" w:sz="4" w:space="0" w:color="auto"/>
            </w:tcBorders>
            <w:hideMark/>
          </w:tcPr>
          <w:p w14:paraId="29474FEA" w14:textId="77777777" w:rsidR="009630A9" w:rsidRPr="000C156A" w:rsidRDefault="009630A9" w:rsidP="005D02F0">
            <w:pPr>
              <w:tabs>
                <w:tab w:val="left" w:pos="720"/>
              </w:tabs>
              <w:overflowPunct/>
              <w:adjustRightInd/>
              <w:spacing w:before="0"/>
              <w:rPr>
                <w:sz w:val="22"/>
                <w:szCs w:val="22"/>
                <w:lang w:val="en-US" w:eastAsia="zh-CN"/>
              </w:rPr>
            </w:pPr>
            <w:r w:rsidRPr="000C156A">
              <w:rPr>
                <w:rFonts w:hint="eastAsia"/>
                <w:sz w:val="22"/>
                <w:szCs w:val="22"/>
                <w:lang w:val="en-US" w:eastAsia="zh-CN"/>
              </w:rPr>
              <w:t>年内使用</w:t>
            </w:r>
          </w:p>
        </w:tc>
        <w:tc>
          <w:tcPr>
            <w:tcW w:w="2126" w:type="dxa"/>
            <w:tcBorders>
              <w:top w:val="nil"/>
              <w:left w:val="single" w:sz="4" w:space="0" w:color="auto"/>
              <w:bottom w:val="nil"/>
              <w:right w:val="single" w:sz="4" w:space="0" w:color="auto"/>
            </w:tcBorders>
            <w:shd w:val="clear" w:color="auto" w:fill="auto"/>
            <w:vAlign w:val="bottom"/>
            <w:hideMark/>
          </w:tcPr>
          <w:p w14:paraId="2FD180C7"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-42</w:t>
            </w:r>
          </w:p>
        </w:tc>
        <w:tc>
          <w:tcPr>
            <w:tcW w:w="1985" w:type="dxa"/>
            <w:tcBorders>
              <w:top w:val="nil"/>
              <w:left w:val="nil"/>
              <w:bottom w:val="nil"/>
              <w:right w:val="single" w:sz="4" w:space="0" w:color="auto"/>
            </w:tcBorders>
            <w:shd w:val="clear" w:color="auto" w:fill="auto"/>
            <w:vAlign w:val="bottom"/>
            <w:hideMark/>
          </w:tcPr>
          <w:p w14:paraId="134611AF"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-2</w:t>
            </w:r>
          </w:p>
        </w:tc>
        <w:tc>
          <w:tcPr>
            <w:tcW w:w="2404" w:type="dxa"/>
            <w:tcBorders>
              <w:top w:val="nil"/>
              <w:left w:val="nil"/>
              <w:bottom w:val="nil"/>
              <w:right w:val="single" w:sz="4" w:space="0" w:color="auto"/>
            </w:tcBorders>
            <w:shd w:val="clear" w:color="auto" w:fill="auto"/>
            <w:vAlign w:val="bottom"/>
            <w:hideMark/>
          </w:tcPr>
          <w:p w14:paraId="022133AE"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-44</w:t>
            </w:r>
          </w:p>
        </w:tc>
      </w:tr>
      <w:tr w:rsidR="009630A9" w:rsidRPr="000C156A" w14:paraId="7B7D707A" w14:textId="77777777" w:rsidTr="003B486D">
        <w:trPr>
          <w:jc w:val="center"/>
        </w:trPr>
        <w:tc>
          <w:tcPr>
            <w:tcW w:w="3114" w:type="dxa"/>
            <w:tcBorders>
              <w:top w:val="nil"/>
              <w:left w:val="single" w:sz="4" w:space="0" w:color="000000"/>
              <w:bottom w:val="nil"/>
              <w:right w:val="single" w:sz="4" w:space="0" w:color="auto"/>
            </w:tcBorders>
            <w:hideMark/>
          </w:tcPr>
          <w:p w14:paraId="74D210B0" w14:textId="77777777" w:rsidR="009630A9" w:rsidRPr="000C156A" w:rsidRDefault="009630A9" w:rsidP="005D02F0">
            <w:pPr>
              <w:tabs>
                <w:tab w:val="left" w:pos="720"/>
              </w:tabs>
              <w:overflowPunct/>
              <w:adjustRightInd/>
              <w:spacing w:before="0"/>
              <w:rPr>
                <w:sz w:val="22"/>
                <w:szCs w:val="22"/>
                <w:lang w:val="en-US"/>
              </w:rPr>
            </w:pPr>
            <w:r w:rsidRPr="000C156A">
              <w:rPr>
                <w:rFonts w:hint="eastAsia"/>
                <w:sz w:val="22"/>
                <w:szCs w:val="22"/>
                <w:lang w:val="en-US" w:eastAsia="zh-CN"/>
              </w:rPr>
              <w:t>免除</w:t>
            </w:r>
          </w:p>
        </w:tc>
        <w:tc>
          <w:tcPr>
            <w:tcW w:w="2126" w:type="dxa"/>
            <w:tcBorders>
              <w:top w:val="nil"/>
              <w:left w:val="single" w:sz="4" w:space="0" w:color="auto"/>
              <w:bottom w:val="nil"/>
              <w:right w:val="single" w:sz="4" w:space="0" w:color="auto"/>
            </w:tcBorders>
            <w:shd w:val="clear" w:color="auto" w:fill="auto"/>
            <w:vAlign w:val="bottom"/>
            <w:hideMark/>
          </w:tcPr>
          <w:p w14:paraId="39D72234"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-4 </w:t>
            </w:r>
          </w:p>
        </w:tc>
        <w:tc>
          <w:tcPr>
            <w:tcW w:w="1985" w:type="dxa"/>
            <w:tcBorders>
              <w:top w:val="nil"/>
              <w:left w:val="nil"/>
              <w:bottom w:val="nil"/>
              <w:right w:val="single" w:sz="4" w:space="0" w:color="auto"/>
            </w:tcBorders>
            <w:shd w:val="clear" w:color="auto" w:fill="auto"/>
            <w:vAlign w:val="bottom"/>
            <w:hideMark/>
          </w:tcPr>
          <w:p w14:paraId="0D47FEE2"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-33</w:t>
            </w:r>
          </w:p>
        </w:tc>
        <w:tc>
          <w:tcPr>
            <w:tcW w:w="2404" w:type="dxa"/>
            <w:tcBorders>
              <w:top w:val="nil"/>
              <w:left w:val="nil"/>
              <w:bottom w:val="nil"/>
              <w:right w:val="single" w:sz="4" w:space="0" w:color="auto"/>
            </w:tcBorders>
            <w:shd w:val="clear" w:color="auto" w:fill="auto"/>
            <w:vAlign w:val="bottom"/>
            <w:hideMark/>
          </w:tcPr>
          <w:p w14:paraId="1E09DD59"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-37</w:t>
            </w:r>
          </w:p>
        </w:tc>
      </w:tr>
      <w:tr w:rsidR="009630A9" w:rsidRPr="000C156A" w14:paraId="15ABC200" w14:textId="77777777" w:rsidTr="003B486D">
        <w:trPr>
          <w:jc w:val="center"/>
        </w:trPr>
        <w:tc>
          <w:tcPr>
            <w:tcW w:w="3114" w:type="dxa"/>
            <w:tcBorders>
              <w:top w:val="nil"/>
              <w:left w:val="single" w:sz="4" w:space="0" w:color="000000"/>
              <w:bottom w:val="nil"/>
              <w:right w:val="single" w:sz="4" w:space="0" w:color="auto"/>
            </w:tcBorders>
            <w:hideMark/>
          </w:tcPr>
          <w:p w14:paraId="1650EDA9" w14:textId="77777777" w:rsidR="009630A9" w:rsidRPr="000C156A" w:rsidRDefault="009630A9" w:rsidP="005D02F0">
            <w:pPr>
              <w:tabs>
                <w:tab w:val="left" w:pos="720"/>
              </w:tabs>
              <w:overflowPunct/>
              <w:adjustRightInd/>
              <w:spacing w:before="0"/>
              <w:rPr>
                <w:sz w:val="22"/>
                <w:szCs w:val="22"/>
                <w:lang w:val="en-US" w:eastAsia="zh-CN"/>
              </w:rPr>
            </w:pPr>
            <w:r w:rsidRPr="000C156A">
              <w:rPr>
                <w:rFonts w:hint="eastAsia"/>
                <w:sz w:val="22"/>
                <w:szCs w:val="22"/>
                <w:lang w:val="en-US" w:eastAsia="zh-CN"/>
              </w:rPr>
              <w:t>转账</w:t>
            </w:r>
          </w:p>
        </w:tc>
        <w:tc>
          <w:tcPr>
            <w:tcW w:w="2126" w:type="dxa"/>
            <w:tcBorders>
              <w:top w:val="nil"/>
              <w:left w:val="single" w:sz="4" w:space="0" w:color="auto"/>
              <w:bottom w:val="nil"/>
              <w:right w:val="single" w:sz="4" w:space="0" w:color="auto"/>
            </w:tcBorders>
            <w:shd w:val="clear" w:color="auto" w:fill="auto"/>
            <w:vAlign w:val="bottom"/>
            <w:hideMark/>
          </w:tcPr>
          <w:p w14:paraId="39BA3141"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 </w:t>
            </w:r>
          </w:p>
        </w:tc>
        <w:tc>
          <w:tcPr>
            <w:tcW w:w="1985" w:type="dxa"/>
            <w:tcBorders>
              <w:top w:val="nil"/>
              <w:left w:val="nil"/>
              <w:bottom w:val="nil"/>
              <w:right w:val="single" w:sz="4" w:space="0" w:color="auto"/>
            </w:tcBorders>
            <w:shd w:val="clear" w:color="auto" w:fill="auto"/>
            <w:vAlign w:val="bottom"/>
            <w:hideMark/>
          </w:tcPr>
          <w:p w14:paraId="370061AE"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-97</w:t>
            </w:r>
          </w:p>
        </w:tc>
        <w:tc>
          <w:tcPr>
            <w:tcW w:w="2404" w:type="dxa"/>
            <w:tcBorders>
              <w:top w:val="nil"/>
              <w:left w:val="nil"/>
              <w:bottom w:val="nil"/>
              <w:right w:val="single" w:sz="4" w:space="0" w:color="auto"/>
            </w:tcBorders>
            <w:shd w:val="clear" w:color="auto" w:fill="auto"/>
            <w:vAlign w:val="bottom"/>
            <w:hideMark/>
          </w:tcPr>
          <w:p w14:paraId="24B02C99"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-97</w:t>
            </w:r>
          </w:p>
        </w:tc>
      </w:tr>
      <w:tr w:rsidR="009630A9" w:rsidRPr="000C156A" w14:paraId="4D410C8C" w14:textId="77777777" w:rsidTr="003B486D">
        <w:trPr>
          <w:jc w:val="center"/>
        </w:trPr>
        <w:tc>
          <w:tcPr>
            <w:tcW w:w="3114" w:type="dxa"/>
            <w:tcBorders>
              <w:top w:val="nil"/>
              <w:left w:val="single" w:sz="4" w:space="0" w:color="000000"/>
              <w:bottom w:val="single" w:sz="4" w:space="0" w:color="000000"/>
              <w:right w:val="single" w:sz="4" w:space="0" w:color="auto"/>
            </w:tcBorders>
          </w:tcPr>
          <w:p w14:paraId="793E3A5C" w14:textId="77777777" w:rsidR="009630A9" w:rsidRPr="000C156A" w:rsidRDefault="009630A9" w:rsidP="005D02F0">
            <w:pPr>
              <w:tabs>
                <w:tab w:val="left" w:pos="720"/>
              </w:tabs>
              <w:overflowPunct/>
              <w:adjustRightInd/>
              <w:spacing w:before="0"/>
              <w:rPr>
                <w:sz w:val="22"/>
                <w:szCs w:val="22"/>
                <w:lang w:val="en-US" w:eastAsia="zh-CN"/>
              </w:rPr>
            </w:pPr>
            <w:r w:rsidRPr="000C156A">
              <w:rPr>
                <w:rFonts w:hint="eastAsia"/>
                <w:sz w:val="22"/>
                <w:szCs w:val="22"/>
                <w:lang w:val="en-US" w:eastAsia="zh-CN"/>
              </w:rPr>
              <w:t>未实现的外汇收益</w:t>
            </w:r>
          </w:p>
        </w:tc>
        <w:tc>
          <w:tcPr>
            <w:tcW w:w="2126" w:type="dxa"/>
            <w:tcBorders>
              <w:top w:val="nil"/>
              <w:left w:val="single" w:sz="4" w:space="0" w:color="auto"/>
              <w:bottom w:val="single" w:sz="4" w:space="0" w:color="auto"/>
              <w:right w:val="single" w:sz="4" w:space="0" w:color="auto"/>
            </w:tcBorders>
            <w:shd w:val="clear" w:color="auto" w:fill="auto"/>
            <w:vAlign w:val="bottom"/>
          </w:tcPr>
          <w:p w14:paraId="6351DCBF"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w:t>
            </w:r>
          </w:p>
        </w:tc>
        <w:tc>
          <w:tcPr>
            <w:tcW w:w="1985" w:type="dxa"/>
            <w:tcBorders>
              <w:top w:val="nil"/>
              <w:left w:val="nil"/>
              <w:bottom w:val="nil"/>
              <w:right w:val="single" w:sz="4" w:space="0" w:color="auto"/>
            </w:tcBorders>
            <w:shd w:val="clear" w:color="auto" w:fill="auto"/>
            <w:vAlign w:val="bottom"/>
          </w:tcPr>
          <w:p w14:paraId="568E7901"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w:t>
            </w:r>
          </w:p>
        </w:tc>
        <w:tc>
          <w:tcPr>
            <w:tcW w:w="2404" w:type="dxa"/>
            <w:tcBorders>
              <w:top w:val="nil"/>
              <w:left w:val="nil"/>
              <w:bottom w:val="nil"/>
              <w:right w:val="single" w:sz="4" w:space="0" w:color="auto"/>
            </w:tcBorders>
            <w:shd w:val="clear" w:color="auto" w:fill="auto"/>
            <w:vAlign w:val="bottom"/>
          </w:tcPr>
          <w:p w14:paraId="32C5119A"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w:t>
            </w:r>
          </w:p>
        </w:tc>
      </w:tr>
      <w:tr w:rsidR="009630A9" w:rsidRPr="000C156A" w14:paraId="3405B4DD" w14:textId="77777777" w:rsidTr="003B486D">
        <w:trPr>
          <w:jc w:val="center"/>
        </w:trPr>
        <w:tc>
          <w:tcPr>
            <w:tcW w:w="3114" w:type="dxa"/>
            <w:tcBorders>
              <w:top w:val="single" w:sz="4" w:space="0" w:color="000000"/>
              <w:left w:val="single" w:sz="4" w:space="0" w:color="auto"/>
              <w:bottom w:val="single" w:sz="4" w:space="0" w:color="auto"/>
              <w:right w:val="single" w:sz="4" w:space="0" w:color="auto"/>
            </w:tcBorders>
            <w:hideMark/>
          </w:tcPr>
          <w:p w14:paraId="538B3B43" w14:textId="77777777" w:rsidR="009630A9" w:rsidRPr="000C156A" w:rsidRDefault="009630A9" w:rsidP="005D02F0">
            <w:pPr>
              <w:pStyle w:val="Tabletext"/>
              <w:ind w:right="208"/>
              <w:rPr>
                <w:szCs w:val="22"/>
                <w:lang w:val="en-US"/>
              </w:rPr>
            </w:pPr>
            <w:r w:rsidRPr="000C156A">
              <w:rPr>
                <w:rFonts w:ascii="SimSun" w:hAnsi="SimSun" w:cs="SimSun" w:hint="eastAsia"/>
                <w:b/>
                <w:bCs/>
                <w:szCs w:val="22"/>
                <w:lang w:val="en-US"/>
              </w:rPr>
              <w:t>期</w:t>
            </w:r>
            <w:r w:rsidRPr="000C156A">
              <w:rPr>
                <w:rFonts w:ascii="SimSun" w:hAnsi="SimSun" w:cs="SimSun" w:hint="eastAsia"/>
                <w:b/>
                <w:bCs/>
                <w:szCs w:val="22"/>
                <w:lang w:val="en-US" w:eastAsia="zh-CN"/>
              </w:rPr>
              <w:t>终</w:t>
            </w:r>
            <w:r w:rsidRPr="000C156A">
              <w:rPr>
                <w:rFonts w:ascii="SimSun" w:hAnsi="SimSun" w:cs="SimSun" w:hint="eastAsia"/>
                <w:b/>
                <w:bCs/>
                <w:szCs w:val="22"/>
                <w:lang w:val="en-US"/>
              </w:rPr>
              <w:t>余额</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F6D6277" w14:textId="77777777"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10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2674300" w14:textId="77777777"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w:t>
            </w:r>
          </w:p>
        </w:tc>
        <w:tc>
          <w:tcPr>
            <w:tcW w:w="2404" w:type="dxa"/>
            <w:tcBorders>
              <w:top w:val="single" w:sz="4" w:space="0" w:color="auto"/>
              <w:left w:val="nil"/>
              <w:bottom w:val="single" w:sz="4" w:space="0" w:color="auto"/>
              <w:right w:val="single" w:sz="4" w:space="0" w:color="auto"/>
            </w:tcBorders>
            <w:shd w:val="clear" w:color="auto" w:fill="auto"/>
            <w:vAlign w:val="center"/>
            <w:hideMark/>
          </w:tcPr>
          <w:p w14:paraId="0E8233B1" w14:textId="77777777"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10</w:t>
            </w:r>
          </w:p>
        </w:tc>
      </w:tr>
    </w:tbl>
    <w:p w14:paraId="59F85887" w14:textId="77777777" w:rsidR="009630A9" w:rsidRPr="000C156A" w:rsidRDefault="009630A9" w:rsidP="00722E16">
      <w:pPr>
        <w:spacing w:before="240"/>
        <w:ind w:firstLineChars="200" w:firstLine="480"/>
        <w:rPr>
          <w:lang w:eastAsia="zh-CN"/>
        </w:rPr>
      </w:pPr>
      <w:r w:rsidRPr="000C156A">
        <w:rPr>
          <w:rFonts w:hint="eastAsia"/>
          <w:lang w:eastAsia="zh-CN"/>
        </w:rPr>
        <w:t>加班是按照《人事规则和人事细则》，以联合国共同制度内当地组织拥有的当地条件和做法为基础计算的。</w:t>
      </w:r>
    </w:p>
    <w:p w14:paraId="27690F82" w14:textId="77777777" w:rsidR="009630A9" w:rsidRPr="000C156A" w:rsidRDefault="009630A9" w:rsidP="009630A9">
      <w:pPr>
        <w:pStyle w:val="Heading2"/>
        <w:spacing w:before="240"/>
        <w:rPr>
          <w:lang w:eastAsia="zh-CN"/>
        </w:rPr>
      </w:pPr>
      <w:bookmarkStart w:id="730" w:name="_Toc329011643"/>
      <w:bookmarkStart w:id="731" w:name="_Toc305764092"/>
      <w:bookmarkStart w:id="732" w:name="_Toc482892577"/>
      <w:bookmarkStart w:id="733" w:name="_Toc482870842"/>
      <w:bookmarkStart w:id="734" w:name="_Toc511813761"/>
      <w:bookmarkStart w:id="735" w:name="_Toc511817844"/>
      <w:bookmarkStart w:id="736" w:name="_Toc520280744"/>
      <w:bookmarkStart w:id="737" w:name="_Toc10536839"/>
      <w:bookmarkStart w:id="738" w:name="_Toc41905882"/>
      <w:bookmarkStart w:id="739" w:name="_Toc41906909"/>
      <w:bookmarkStart w:id="740" w:name="_Toc41907990"/>
      <w:bookmarkStart w:id="741" w:name="_Toc41908058"/>
      <w:bookmarkStart w:id="742" w:name="_Toc73518697"/>
      <w:bookmarkStart w:id="743" w:name="_Toc73518844"/>
      <w:bookmarkStart w:id="744" w:name="_Toc73519244"/>
      <w:bookmarkStart w:id="745" w:name="_Toc73636283"/>
      <w:r w:rsidRPr="000C156A">
        <w:rPr>
          <w:lang w:eastAsia="zh-CN"/>
        </w:rPr>
        <w:t>17.2</w:t>
      </w:r>
      <w:r w:rsidRPr="000C156A">
        <w:rPr>
          <w:lang w:eastAsia="zh-CN"/>
        </w:rPr>
        <w:tab/>
      </w:r>
      <w:bookmarkEnd w:id="730"/>
      <w:bookmarkEnd w:id="731"/>
      <w:r w:rsidRPr="000C156A">
        <w:rPr>
          <w:rFonts w:hint="eastAsia"/>
          <w:lang w:eastAsia="zh-CN"/>
        </w:rPr>
        <w:t>长期职员福利</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0484A740" w14:textId="77777777" w:rsidR="009630A9" w:rsidRPr="000C156A" w:rsidRDefault="009630A9" w:rsidP="00DF3E1D">
      <w:pPr>
        <w:pStyle w:val="Headingb"/>
        <w:spacing w:before="120" w:after="240"/>
        <w:rPr>
          <w:lang w:val="en-US" w:eastAsia="zh-CN"/>
        </w:rPr>
      </w:pPr>
      <w:bookmarkStart w:id="746" w:name="_Toc41905883"/>
      <w:bookmarkStart w:id="747" w:name="_Toc41906910"/>
      <w:bookmarkStart w:id="748" w:name="_Toc41907991"/>
      <w:bookmarkStart w:id="749" w:name="_Toc41908059"/>
      <w:bookmarkStart w:id="750" w:name="_Toc73518698"/>
      <w:bookmarkStart w:id="751" w:name="_Toc73518845"/>
      <w:bookmarkStart w:id="752" w:name="_Toc73519245"/>
      <w:bookmarkStart w:id="753" w:name="_Toc73636284"/>
      <w:r w:rsidRPr="000C156A">
        <w:rPr>
          <w:lang w:val="en-US" w:eastAsia="zh-CN"/>
        </w:rPr>
        <w:t>2020</w:t>
      </w:r>
      <w:r w:rsidRPr="000C156A">
        <w:rPr>
          <w:rFonts w:cs="Microsoft YaHei" w:hint="eastAsia"/>
          <w:lang w:val="fr-FR" w:eastAsia="zh-CN"/>
        </w:rPr>
        <w:t>年</w:t>
      </w:r>
      <w:r w:rsidRPr="000C156A">
        <w:rPr>
          <w:lang w:val="en-US" w:eastAsia="zh-CN"/>
        </w:rPr>
        <w:t>12</w:t>
      </w:r>
      <w:r w:rsidRPr="000C156A">
        <w:rPr>
          <w:rFonts w:cs="Microsoft YaHei" w:hint="eastAsia"/>
          <w:lang w:val="fr-FR" w:eastAsia="zh-CN"/>
        </w:rPr>
        <w:t>月</w:t>
      </w:r>
      <w:r w:rsidRPr="000C156A">
        <w:rPr>
          <w:lang w:val="en-US" w:eastAsia="zh-CN"/>
        </w:rPr>
        <w:t>31</w:t>
      </w:r>
      <w:r w:rsidRPr="000C156A">
        <w:rPr>
          <w:rFonts w:cs="Microsoft YaHei" w:hint="eastAsia"/>
          <w:lang w:val="fr-FR" w:eastAsia="zh-CN"/>
        </w:rPr>
        <w:t>日的数字</w:t>
      </w:r>
      <w:bookmarkEnd w:id="746"/>
      <w:bookmarkEnd w:id="747"/>
      <w:bookmarkEnd w:id="748"/>
      <w:bookmarkEnd w:id="749"/>
      <w:bookmarkEnd w:id="750"/>
      <w:bookmarkEnd w:id="751"/>
      <w:bookmarkEnd w:id="752"/>
      <w:bookmarkEnd w:id="753"/>
    </w:p>
    <w:tbl>
      <w:tblPr>
        <w:tblW w:w="9517" w:type="dxa"/>
        <w:tblLook w:val="04A0" w:firstRow="1" w:lastRow="0" w:firstColumn="1" w:lastColumn="0" w:noHBand="0" w:noVBand="1"/>
      </w:tblPr>
      <w:tblGrid>
        <w:gridCol w:w="2503"/>
        <w:gridCol w:w="1126"/>
        <w:gridCol w:w="1186"/>
        <w:gridCol w:w="1328"/>
        <w:gridCol w:w="1600"/>
        <w:gridCol w:w="1774"/>
      </w:tblGrid>
      <w:tr w:rsidR="009630A9" w:rsidRPr="000C156A" w14:paraId="36843332" w14:textId="77777777" w:rsidTr="00FC0977">
        <w:trPr>
          <w:trHeight w:val="505"/>
        </w:trPr>
        <w:tc>
          <w:tcPr>
            <w:tcW w:w="2503" w:type="dxa"/>
            <w:noWrap/>
            <w:vAlign w:val="bottom"/>
            <w:hideMark/>
          </w:tcPr>
          <w:p w14:paraId="7010FE7D" w14:textId="77777777" w:rsidR="009630A9" w:rsidRPr="000C156A" w:rsidRDefault="009630A9" w:rsidP="005D02F0">
            <w:pPr>
              <w:rPr>
                <w:b/>
                <w:bCs/>
                <w:lang w:val="en-US" w:eastAsia="zh-CN"/>
              </w:rPr>
            </w:pPr>
          </w:p>
        </w:tc>
        <w:tc>
          <w:tcPr>
            <w:tcW w:w="7014" w:type="dxa"/>
            <w:gridSpan w:val="5"/>
            <w:tcBorders>
              <w:top w:val="single" w:sz="4" w:space="0" w:color="auto"/>
              <w:left w:val="single" w:sz="4" w:space="0" w:color="auto"/>
              <w:bottom w:val="single" w:sz="4" w:space="0" w:color="auto"/>
              <w:right w:val="single" w:sz="4" w:space="0" w:color="000000"/>
            </w:tcBorders>
            <w:vAlign w:val="center"/>
            <w:hideMark/>
          </w:tcPr>
          <w:p w14:paraId="5700031C" w14:textId="77777777" w:rsidR="009630A9" w:rsidRPr="000C156A" w:rsidRDefault="009630A9" w:rsidP="005D02F0">
            <w:pPr>
              <w:overflowPunct/>
              <w:adjustRightInd/>
              <w:spacing w:before="0"/>
              <w:jc w:val="center"/>
              <w:rPr>
                <w:rFonts w:ascii="Arial" w:hAnsi="Arial" w:cs="Arial"/>
                <w:b/>
                <w:bCs/>
                <w:color w:val="000000"/>
                <w:sz w:val="20"/>
                <w:lang w:val="en-US" w:eastAsia="zh-CN"/>
              </w:rPr>
            </w:pPr>
            <w:r w:rsidRPr="000C156A">
              <w:rPr>
                <w:rFonts w:hint="eastAsia"/>
                <w:b/>
                <w:bCs/>
                <w:lang w:eastAsia="zh-CN"/>
              </w:rPr>
              <w:t>职员福利</w:t>
            </w:r>
            <w:r w:rsidRPr="000C156A">
              <w:rPr>
                <w:rFonts w:hint="eastAsia"/>
                <w:b/>
                <w:bCs/>
                <w:lang w:val="en-US" w:eastAsia="zh-CN"/>
              </w:rPr>
              <w:t xml:space="preserve"> </w:t>
            </w:r>
            <w:r w:rsidRPr="000C156A">
              <w:rPr>
                <w:b/>
                <w:bCs/>
                <w:lang w:val="en-US" w:eastAsia="zh-CN"/>
              </w:rPr>
              <w:t xml:space="preserve">– </w:t>
            </w:r>
            <w:r w:rsidRPr="000C156A">
              <w:rPr>
                <w:rFonts w:hint="eastAsia"/>
                <w:b/>
                <w:bCs/>
                <w:lang w:eastAsia="zh-CN"/>
              </w:rPr>
              <w:t>长期</w:t>
            </w:r>
          </w:p>
        </w:tc>
      </w:tr>
      <w:tr w:rsidR="009630A9" w:rsidRPr="000C156A" w14:paraId="6B4EE10A" w14:textId="77777777" w:rsidTr="00FC0977">
        <w:trPr>
          <w:trHeight w:val="413"/>
        </w:trPr>
        <w:tc>
          <w:tcPr>
            <w:tcW w:w="2503" w:type="dxa"/>
            <w:tcBorders>
              <w:top w:val="single" w:sz="4" w:space="0" w:color="auto"/>
              <w:left w:val="single" w:sz="4" w:space="0" w:color="auto"/>
              <w:bottom w:val="single" w:sz="4" w:space="0" w:color="auto"/>
              <w:right w:val="nil"/>
            </w:tcBorders>
            <w:noWrap/>
            <w:vAlign w:val="center"/>
            <w:hideMark/>
          </w:tcPr>
          <w:p w14:paraId="08ACDFD5" w14:textId="77777777" w:rsidR="009630A9" w:rsidRPr="000C156A" w:rsidRDefault="009630A9" w:rsidP="005D02F0">
            <w:pPr>
              <w:pStyle w:val="Tablehead"/>
              <w:jc w:val="left"/>
              <w:rPr>
                <w:lang w:val="en-US" w:eastAsia="zh-CN"/>
              </w:rPr>
            </w:pPr>
            <w:r w:rsidRPr="000C156A">
              <w:rPr>
                <w:rFonts w:hint="eastAsia"/>
                <w:lang w:val="en-US" w:eastAsia="zh-CN"/>
              </w:rPr>
              <w:t>单位：千瑞郎</w:t>
            </w:r>
          </w:p>
        </w:tc>
        <w:tc>
          <w:tcPr>
            <w:tcW w:w="1126" w:type="dxa"/>
            <w:tcBorders>
              <w:top w:val="nil"/>
              <w:left w:val="single" w:sz="4" w:space="0" w:color="auto"/>
              <w:bottom w:val="single" w:sz="4" w:space="0" w:color="auto"/>
              <w:right w:val="single" w:sz="4" w:space="0" w:color="auto"/>
            </w:tcBorders>
            <w:vAlign w:val="center"/>
            <w:hideMark/>
          </w:tcPr>
          <w:p w14:paraId="6B13999C" w14:textId="77777777" w:rsidR="009630A9" w:rsidRPr="000C156A" w:rsidRDefault="009630A9" w:rsidP="005D02F0">
            <w:pPr>
              <w:pStyle w:val="Tablehead"/>
              <w:snapToGrid w:val="0"/>
              <w:spacing w:before="0" w:after="0"/>
              <w:rPr>
                <w:lang w:val="en-US" w:eastAsia="zh-CN"/>
              </w:rPr>
            </w:pPr>
            <w:r w:rsidRPr="000C156A">
              <w:rPr>
                <w:rFonts w:hint="eastAsia"/>
                <w:lang w:val="en-US" w:eastAsia="zh-CN"/>
              </w:rPr>
              <w:t>离职后</w:t>
            </w:r>
            <w:r w:rsidRPr="000C156A">
              <w:rPr>
                <w:lang w:val="en-US" w:eastAsia="zh-CN"/>
              </w:rPr>
              <w:br/>
            </w:r>
            <w:r w:rsidRPr="000C156A">
              <w:rPr>
                <w:rFonts w:hint="eastAsia"/>
                <w:lang w:val="en-US" w:eastAsia="zh-CN"/>
              </w:rPr>
              <w:t>健康保险</w:t>
            </w:r>
          </w:p>
        </w:tc>
        <w:tc>
          <w:tcPr>
            <w:tcW w:w="1186" w:type="dxa"/>
            <w:tcBorders>
              <w:top w:val="nil"/>
              <w:left w:val="nil"/>
              <w:bottom w:val="single" w:sz="4" w:space="0" w:color="auto"/>
              <w:right w:val="single" w:sz="4" w:space="0" w:color="auto"/>
            </w:tcBorders>
            <w:vAlign w:val="center"/>
            <w:hideMark/>
          </w:tcPr>
          <w:p w14:paraId="69F8EE74" w14:textId="77777777" w:rsidR="009630A9" w:rsidRPr="000C156A" w:rsidRDefault="009630A9" w:rsidP="005D02F0">
            <w:pPr>
              <w:pStyle w:val="Tablehead"/>
              <w:snapToGrid w:val="0"/>
              <w:spacing w:before="0" w:after="0"/>
              <w:rPr>
                <w:lang w:val="en-US" w:eastAsia="zh-CN"/>
              </w:rPr>
            </w:pPr>
            <w:r w:rsidRPr="000C156A">
              <w:rPr>
                <w:rFonts w:hint="eastAsia"/>
                <w:lang w:val="en-US" w:eastAsia="zh-CN"/>
              </w:rPr>
              <w:t>养恤金</w:t>
            </w:r>
          </w:p>
        </w:tc>
        <w:tc>
          <w:tcPr>
            <w:tcW w:w="1328" w:type="dxa"/>
            <w:tcBorders>
              <w:top w:val="nil"/>
              <w:left w:val="nil"/>
              <w:bottom w:val="single" w:sz="4" w:space="0" w:color="auto"/>
              <w:right w:val="single" w:sz="4" w:space="0" w:color="auto"/>
            </w:tcBorders>
            <w:vAlign w:val="center"/>
            <w:hideMark/>
          </w:tcPr>
          <w:p w14:paraId="0DE0D0DA" w14:textId="77777777" w:rsidR="009630A9" w:rsidRPr="000C156A" w:rsidRDefault="009630A9" w:rsidP="005D02F0">
            <w:pPr>
              <w:pStyle w:val="Tablehead"/>
              <w:snapToGrid w:val="0"/>
              <w:spacing w:before="0" w:after="0"/>
              <w:rPr>
                <w:lang w:val="en-US" w:eastAsia="zh-CN"/>
              </w:rPr>
            </w:pPr>
            <w:r w:rsidRPr="000C156A">
              <w:rPr>
                <w:rFonts w:hint="eastAsia"/>
                <w:lang w:val="en-US" w:eastAsia="zh-CN"/>
              </w:rPr>
              <w:t>安置</w:t>
            </w:r>
            <w:r w:rsidRPr="000C156A">
              <w:rPr>
                <w:lang w:val="en-US"/>
              </w:rPr>
              <w:t>/</w:t>
            </w:r>
            <w:r w:rsidRPr="000C156A">
              <w:rPr>
                <w:rFonts w:hint="eastAsia"/>
                <w:lang w:val="en-US"/>
              </w:rPr>
              <w:t>归国</w:t>
            </w:r>
          </w:p>
        </w:tc>
        <w:tc>
          <w:tcPr>
            <w:tcW w:w="1600" w:type="dxa"/>
            <w:tcBorders>
              <w:top w:val="nil"/>
              <w:left w:val="nil"/>
              <w:bottom w:val="single" w:sz="4" w:space="0" w:color="auto"/>
              <w:right w:val="single" w:sz="4" w:space="0" w:color="auto"/>
            </w:tcBorders>
            <w:vAlign w:val="center"/>
            <w:hideMark/>
          </w:tcPr>
          <w:p w14:paraId="04B90694" w14:textId="77777777" w:rsidR="009630A9" w:rsidRPr="000C156A" w:rsidRDefault="009630A9" w:rsidP="005D02F0">
            <w:pPr>
              <w:pStyle w:val="Tablehead"/>
              <w:snapToGrid w:val="0"/>
              <w:spacing w:before="0" w:after="0"/>
              <w:rPr>
                <w:szCs w:val="24"/>
                <w:lang w:val="en-US" w:eastAsia="zh-CN"/>
              </w:rPr>
            </w:pPr>
            <w:r w:rsidRPr="000C156A">
              <w:rPr>
                <w:rFonts w:hint="eastAsia"/>
                <w:szCs w:val="24"/>
                <w:lang w:val="en-US" w:eastAsia="zh-CN"/>
              </w:rPr>
              <w:t>累积休假</w:t>
            </w:r>
          </w:p>
        </w:tc>
        <w:tc>
          <w:tcPr>
            <w:tcW w:w="1774" w:type="dxa"/>
            <w:tcBorders>
              <w:top w:val="nil"/>
              <w:left w:val="nil"/>
              <w:bottom w:val="single" w:sz="4" w:space="0" w:color="auto"/>
              <w:right w:val="single" w:sz="4" w:space="0" w:color="auto"/>
            </w:tcBorders>
            <w:vAlign w:val="center"/>
            <w:hideMark/>
          </w:tcPr>
          <w:p w14:paraId="493E04E7" w14:textId="77777777" w:rsidR="009630A9" w:rsidRPr="000C156A" w:rsidRDefault="009630A9" w:rsidP="005D02F0">
            <w:pPr>
              <w:pStyle w:val="Tablehead"/>
              <w:snapToGrid w:val="0"/>
              <w:spacing w:before="40"/>
              <w:rPr>
                <w:lang w:val="en-US" w:eastAsia="zh-CN"/>
              </w:rPr>
            </w:pPr>
            <w:r w:rsidRPr="000C156A">
              <w:rPr>
                <w:rFonts w:hint="eastAsia"/>
                <w:szCs w:val="24"/>
                <w:lang w:val="en-US" w:eastAsia="zh-CN"/>
              </w:rPr>
              <w:t>职员福利</w:t>
            </w:r>
            <w:r w:rsidRPr="000C156A">
              <w:rPr>
                <w:rFonts w:hint="eastAsia"/>
                <w:szCs w:val="24"/>
                <w:lang w:val="en-US" w:eastAsia="zh-CN"/>
              </w:rPr>
              <w:t xml:space="preserve"> </w:t>
            </w:r>
            <w:r w:rsidRPr="000C156A">
              <w:rPr>
                <w:szCs w:val="24"/>
                <w:lang w:val="en-US" w:eastAsia="zh-CN"/>
              </w:rPr>
              <w:t xml:space="preserve">– </w:t>
            </w:r>
            <w:r w:rsidRPr="000C156A">
              <w:rPr>
                <w:szCs w:val="24"/>
                <w:lang w:val="en-US" w:eastAsia="zh-CN"/>
              </w:rPr>
              <w:br/>
            </w:r>
            <w:r w:rsidRPr="000C156A">
              <w:rPr>
                <w:rFonts w:hint="eastAsia"/>
                <w:szCs w:val="24"/>
                <w:lang w:val="en-US" w:eastAsia="zh-CN"/>
              </w:rPr>
              <w:t>长期合计</w:t>
            </w:r>
          </w:p>
        </w:tc>
      </w:tr>
      <w:tr w:rsidR="009630A9" w:rsidRPr="000C156A" w14:paraId="5667ADA1" w14:textId="77777777" w:rsidTr="00FC0977">
        <w:trPr>
          <w:trHeight w:val="361"/>
        </w:trPr>
        <w:tc>
          <w:tcPr>
            <w:tcW w:w="2503" w:type="dxa"/>
            <w:tcBorders>
              <w:top w:val="nil"/>
              <w:left w:val="single" w:sz="4" w:space="0" w:color="auto"/>
              <w:bottom w:val="single" w:sz="4" w:space="0" w:color="auto"/>
              <w:right w:val="nil"/>
            </w:tcBorders>
            <w:noWrap/>
            <w:hideMark/>
          </w:tcPr>
          <w:p w14:paraId="4C1C35A4" w14:textId="77777777" w:rsidR="009630A9" w:rsidRPr="000C156A" w:rsidRDefault="009630A9" w:rsidP="005D02F0">
            <w:pPr>
              <w:pStyle w:val="Tabletext"/>
              <w:ind w:right="208"/>
              <w:rPr>
                <w:lang w:val="en-US" w:eastAsia="zh-CN"/>
              </w:rPr>
            </w:pPr>
            <w:r w:rsidRPr="000C156A">
              <w:rPr>
                <w:rFonts w:hint="eastAsia"/>
                <w:b/>
                <w:bCs/>
                <w:szCs w:val="18"/>
                <w:lang w:val="en-US" w:eastAsia="zh-CN"/>
              </w:rPr>
              <w:t>期初余额</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7142BBE7" w14:textId="6097593D"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611</w:t>
            </w:r>
            <w:r w:rsidR="00FC0977" w:rsidRPr="000C156A">
              <w:rPr>
                <w:rFonts w:cs="Arial"/>
                <w:b/>
                <w:bCs/>
                <w:color w:val="000000"/>
                <w:sz w:val="22"/>
                <w:szCs w:val="22"/>
                <w:lang w:val="en-US" w:eastAsia="zh-CN"/>
              </w:rPr>
              <w:t xml:space="preserve"> </w:t>
            </w:r>
            <w:r w:rsidRPr="000C156A">
              <w:rPr>
                <w:rFonts w:cs="Arial"/>
                <w:b/>
                <w:bCs/>
                <w:color w:val="000000"/>
                <w:sz w:val="22"/>
                <w:szCs w:val="22"/>
                <w:lang w:val="en-US" w:eastAsia="zh-CN"/>
              </w:rPr>
              <w:t>896</w:t>
            </w:r>
          </w:p>
        </w:tc>
        <w:tc>
          <w:tcPr>
            <w:tcW w:w="1186" w:type="dxa"/>
            <w:tcBorders>
              <w:top w:val="nil"/>
              <w:left w:val="nil"/>
              <w:bottom w:val="single" w:sz="4" w:space="0" w:color="auto"/>
              <w:right w:val="single" w:sz="4" w:space="0" w:color="auto"/>
            </w:tcBorders>
            <w:shd w:val="clear" w:color="auto" w:fill="auto"/>
            <w:noWrap/>
            <w:vAlign w:val="center"/>
            <w:hideMark/>
          </w:tcPr>
          <w:p w14:paraId="282F7944" w14:textId="77777777"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54</w:t>
            </w:r>
          </w:p>
        </w:tc>
        <w:tc>
          <w:tcPr>
            <w:tcW w:w="1328" w:type="dxa"/>
            <w:tcBorders>
              <w:top w:val="nil"/>
              <w:left w:val="nil"/>
              <w:bottom w:val="single" w:sz="4" w:space="0" w:color="auto"/>
              <w:right w:val="single" w:sz="4" w:space="0" w:color="auto"/>
            </w:tcBorders>
            <w:shd w:val="clear" w:color="auto" w:fill="auto"/>
            <w:noWrap/>
            <w:vAlign w:val="center"/>
            <w:hideMark/>
          </w:tcPr>
          <w:p w14:paraId="404BF25B" w14:textId="328C9E8D"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13</w:t>
            </w:r>
            <w:r w:rsidR="00FC0977" w:rsidRPr="000C156A">
              <w:rPr>
                <w:rFonts w:cs="Arial"/>
                <w:b/>
                <w:bCs/>
                <w:color w:val="000000"/>
                <w:sz w:val="22"/>
                <w:szCs w:val="22"/>
                <w:lang w:val="en-US" w:eastAsia="zh-CN"/>
              </w:rPr>
              <w:t xml:space="preserve"> </w:t>
            </w:r>
            <w:r w:rsidRPr="000C156A">
              <w:rPr>
                <w:rFonts w:cs="Arial"/>
                <w:b/>
                <w:bCs/>
                <w:color w:val="000000"/>
                <w:sz w:val="22"/>
                <w:szCs w:val="22"/>
                <w:lang w:val="en-US" w:eastAsia="zh-CN"/>
              </w:rPr>
              <w:t>500</w:t>
            </w:r>
          </w:p>
        </w:tc>
        <w:tc>
          <w:tcPr>
            <w:tcW w:w="1600" w:type="dxa"/>
            <w:tcBorders>
              <w:top w:val="nil"/>
              <w:left w:val="nil"/>
              <w:bottom w:val="single" w:sz="4" w:space="0" w:color="auto"/>
              <w:right w:val="single" w:sz="4" w:space="0" w:color="auto"/>
            </w:tcBorders>
            <w:shd w:val="clear" w:color="auto" w:fill="auto"/>
            <w:noWrap/>
            <w:vAlign w:val="center"/>
            <w:hideMark/>
          </w:tcPr>
          <w:p w14:paraId="3C9D5FEE" w14:textId="60A1238F"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9</w:t>
            </w:r>
            <w:r w:rsidR="00FC0977" w:rsidRPr="000C156A">
              <w:rPr>
                <w:rFonts w:cs="Arial"/>
                <w:b/>
                <w:bCs/>
                <w:color w:val="000000"/>
                <w:sz w:val="22"/>
                <w:szCs w:val="22"/>
                <w:lang w:val="en-US" w:eastAsia="zh-CN"/>
              </w:rPr>
              <w:t xml:space="preserve"> </w:t>
            </w:r>
            <w:r w:rsidRPr="000C156A">
              <w:rPr>
                <w:rFonts w:cs="Arial"/>
                <w:b/>
                <w:bCs/>
                <w:color w:val="000000"/>
                <w:sz w:val="22"/>
                <w:szCs w:val="22"/>
                <w:lang w:val="en-US" w:eastAsia="zh-CN"/>
              </w:rPr>
              <w:t>407</w:t>
            </w:r>
          </w:p>
        </w:tc>
        <w:tc>
          <w:tcPr>
            <w:tcW w:w="1774" w:type="dxa"/>
            <w:tcBorders>
              <w:top w:val="nil"/>
              <w:left w:val="nil"/>
              <w:bottom w:val="single" w:sz="4" w:space="0" w:color="auto"/>
              <w:right w:val="single" w:sz="4" w:space="0" w:color="auto"/>
            </w:tcBorders>
            <w:shd w:val="clear" w:color="auto" w:fill="auto"/>
            <w:noWrap/>
            <w:vAlign w:val="center"/>
            <w:hideMark/>
          </w:tcPr>
          <w:p w14:paraId="7C760340" w14:textId="0008971C"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634</w:t>
            </w:r>
            <w:r w:rsidR="00FC0977" w:rsidRPr="000C156A">
              <w:rPr>
                <w:rFonts w:cs="Arial"/>
                <w:b/>
                <w:bCs/>
                <w:color w:val="000000"/>
                <w:sz w:val="22"/>
                <w:szCs w:val="22"/>
                <w:lang w:val="en-US" w:eastAsia="zh-CN"/>
              </w:rPr>
              <w:t xml:space="preserve"> </w:t>
            </w:r>
            <w:r w:rsidRPr="000C156A">
              <w:rPr>
                <w:rFonts w:cs="Arial"/>
                <w:b/>
                <w:bCs/>
                <w:color w:val="000000"/>
                <w:sz w:val="22"/>
                <w:szCs w:val="22"/>
                <w:lang w:val="en-US" w:eastAsia="zh-CN"/>
              </w:rPr>
              <w:t>857</w:t>
            </w:r>
          </w:p>
        </w:tc>
      </w:tr>
      <w:tr w:rsidR="009630A9" w:rsidRPr="000C156A" w14:paraId="039AF1C6" w14:textId="77777777" w:rsidTr="00FC0977">
        <w:trPr>
          <w:trHeight w:val="361"/>
        </w:trPr>
        <w:tc>
          <w:tcPr>
            <w:tcW w:w="2503" w:type="dxa"/>
            <w:tcBorders>
              <w:top w:val="nil"/>
              <w:left w:val="single" w:sz="4" w:space="0" w:color="auto"/>
              <w:bottom w:val="nil"/>
              <w:right w:val="single" w:sz="4" w:space="0" w:color="auto"/>
            </w:tcBorders>
            <w:noWrap/>
            <w:hideMark/>
          </w:tcPr>
          <w:p w14:paraId="627CCB3C" w14:textId="77777777" w:rsidR="009630A9" w:rsidRPr="000C156A" w:rsidRDefault="009630A9" w:rsidP="005D02F0">
            <w:pPr>
              <w:tabs>
                <w:tab w:val="left" w:pos="720"/>
              </w:tabs>
              <w:overflowPunct/>
              <w:adjustRightInd/>
              <w:spacing w:before="0"/>
              <w:rPr>
                <w:sz w:val="22"/>
                <w:szCs w:val="22"/>
                <w:lang w:val="en-US"/>
              </w:rPr>
            </w:pPr>
            <w:r w:rsidRPr="000C156A">
              <w:rPr>
                <w:rFonts w:hint="eastAsia"/>
                <w:sz w:val="22"/>
                <w:szCs w:val="22"/>
                <w:lang w:val="en-US"/>
              </w:rPr>
              <w:t>增长</w:t>
            </w:r>
          </w:p>
        </w:tc>
        <w:tc>
          <w:tcPr>
            <w:tcW w:w="1126" w:type="dxa"/>
            <w:tcBorders>
              <w:top w:val="nil"/>
              <w:left w:val="nil"/>
              <w:bottom w:val="nil"/>
              <w:right w:val="single" w:sz="4" w:space="0" w:color="auto"/>
            </w:tcBorders>
            <w:shd w:val="clear" w:color="auto" w:fill="auto"/>
            <w:noWrap/>
            <w:vAlign w:val="center"/>
            <w:hideMark/>
          </w:tcPr>
          <w:p w14:paraId="688D9D27" w14:textId="79C56EDF"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eastAsia="Times New Roman" w:cs="Arial"/>
                <w:color w:val="000000"/>
                <w:sz w:val="22"/>
                <w:szCs w:val="22"/>
                <w:lang w:val="en-US" w:eastAsia="zh-CN"/>
              </w:rPr>
              <w:t>19</w:t>
            </w:r>
            <w:r w:rsidR="00FC0977" w:rsidRPr="000C156A">
              <w:rPr>
                <w:rFonts w:eastAsia="Times New Roman" w:cs="Arial"/>
                <w:color w:val="000000"/>
                <w:sz w:val="22"/>
                <w:szCs w:val="22"/>
                <w:lang w:val="en-US" w:eastAsia="zh-CN"/>
              </w:rPr>
              <w:t xml:space="preserve"> </w:t>
            </w:r>
            <w:r w:rsidRPr="000C156A">
              <w:rPr>
                <w:rFonts w:eastAsia="Times New Roman" w:cs="Arial"/>
                <w:color w:val="000000"/>
                <w:sz w:val="22"/>
                <w:szCs w:val="22"/>
                <w:lang w:val="en-US" w:eastAsia="zh-CN"/>
              </w:rPr>
              <w:t>974</w:t>
            </w:r>
          </w:p>
        </w:tc>
        <w:tc>
          <w:tcPr>
            <w:tcW w:w="1186" w:type="dxa"/>
            <w:tcBorders>
              <w:top w:val="nil"/>
              <w:left w:val="nil"/>
              <w:bottom w:val="nil"/>
              <w:right w:val="single" w:sz="4" w:space="0" w:color="auto"/>
            </w:tcBorders>
            <w:shd w:val="clear" w:color="auto" w:fill="auto"/>
            <w:noWrap/>
            <w:vAlign w:val="center"/>
            <w:hideMark/>
          </w:tcPr>
          <w:p w14:paraId="1BD2D1A3"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w:t>
            </w:r>
          </w:p>
        </w:tc>
        <w:tc>
          <w:tcPr>
            <w:tcW w:w="1328" w:type="dxa"/>
            <w:tcBorders>
              <w:top w:val="nil"/>
              <w:left w:val="nil"/>
              <w:bottom w:val="nil"/>
              <w:right w:val="single" w:sz="4" w:space="0" w:color="auto"/>
            </w:tcBorders>
            <w:shd w:val="clear" w:color="auto" w:fill="auto"/>
            <w:noWrap/>
            <w:vAlign w:val="center"/>
            <w:hideMark/>
          </w:tcPr>
          <w:p w14:paraId="01C12659"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821</w:t>
            </w:r>
          </w:p>
        </w:tc>
        <w:tc>
          <w:tcPr>
            <w:tcW w:w="1600" w:type="dxa"/>
            <w:tcBorders>
              <w:top w:val="nil"/>
              <w:left w:val="nil"/>
              <w:bottom w:val="nil"/>
              <w:right w:val="single" w:sz="4" w:space="0" w:color="auto"/>
            </w:tcBorders>
            <w:shd w:val="clear" w:color="auto" w:fill="auto"/>
            <w:noWrap/>
            <w:vAlign w:val="center"/>
            <w:hideMark/>
          </w:tcPr>
          <w:p w14:paraId="69E8C66C"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2513</w:t>
            </w:r>
          </w:p>
        </w:tc>
        <w:tc>
          <w:tcPr>
            <w:tcW w:w="1774" w:type="dxa"/>
            <w:tcBorders>
              <w:top w:val="nil"/>
              <w:left w:val="nil"/>
              <w:bottom w:val="nil"/>
              <w:right w:val="single" w:sz="4" w:space="0" w:color="auto"/>
            </w:tcBorders>
            <w:shd w:val="clear" w:color="auto" w:fill="auto"/>
            <w:noWrap/>
            <w:vAlign w:val="center"/>
            <w:hideMark/>
          </w:tcPr>
          <w:p w14:paraId="22110FE1" w14:textId="4DB45C3F"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23</w:t>
            </w:r>
            <w:r w:rsidR="00FC0977" w:rsidRPr="000C156A">
              <w:rPr>
                <w:rFonts w:cs="Arial"/>
                <w:color w:val="000000"/>
                <w:sz w:val="22"/>
                <w:szCs w:val="22"/>
                <w:lang w:val="en-US" w:eastAsia="zh-CN"/>
              </w:rPr>
              <w:t xml:space="preserve"> </w:t>
            </w:r>
            <w:r w:rsidRPr="000C156A">
              <w:rPr>
                <w:rFonts w:cs="Arial"/>
                <w:color w:val="000000"/>
                <w:sz w:val="22"/>
                <w:szCs w:val="22"/>
                <w:lang w:val="en-US" w:eastAsia="zh-CN"/>
              </w:rPr>
              <w:t>308</w:t>
            </w:r>
          </w:p>
        </w:tc>
      </w:tr>
      <w:tr w:rsidR="009630A9" w:rsidRPr="000C156A" w14:paraId="61B2ADD9" w14:textId="77777777" w:rsidTr="00FC0977">
        <w:trPr>
          <w:trHeight w:val="361"/>
        </w:trPr>
        <w:tc>
          <w:tcPr>
            <w:tcW w:w="2503" w:type="dxa"/>
            <w:tcBorders>
              <w:top w:val="nil"/>
              <w:left w:val="single" w:sz="4" w:space="0" w:color="auto"/>
              <w:bottom w:val="nil"/>
              <w:right w:val="single" w:sz="4" w:space="0" w:color="auto"/>
            </w:tcBorders>
            <w:noWrap/>
            <w:hideMark/>
          </w:tcPr>
          <w:p w14:paraId="6A39F3E5" w14:textId="77777777" w:rsidR="009630A9" w:rsidRPr="000C156A" w:rsidRDefault="009630A9" w:rsidP="005D02F0">
            <w:pPr>
              <w:tabs>
                <w:tab w:val="left" w:pos="720"/>
              </w:tabs>
              <w:overflowPunct/>
              <w:adjustRightInd/>
              <w:spacing w:before="0"/>
              <w:rPr>
                <w:sz w:val="22"/>
                <w:szCs w:val="22"/>
                <w:lang w:val="en-US"/>
              </w:rPr>
            </w:pPr>
            <w:r w:rsidRPr="000C156A">
              <w:rPr>
                <w:rFonts w:hint="eastAsia"/>
                <w:sz w:val="22"/>
                <w:szCs w:val="22"/>
                <w:lang w:val="en-US"/>
              </w:rPr>
              <w:t>年内使用</w:t>
            </w:r>
          </w:p>
        </w:tc>
        <w:tc>
          <w:tcPr>
            <w:tcW w:w="1126" w:type="dxa"/>
            <w:tcBorders>
              <w:top w:val="nil"/>
              <w:left w:val="nil"/>
              <w:bottom w:val="nil"/>
              <w:right w:val="single" w:sz="4" w:space="0" w:color="auto"/>
            </w:tcBorders>
            <w:shd w:val="clear" w:color="auto" w:fill="auto"/>
            <w:noWrap/>
            <w:vAlign w:val="center"/>
            <w:hideMark/>
          </w:tcPr>
          <w:p w14:paraId="4C4E9685"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w:t>
            </w:r>
          </w:p>
        </w:tc>
        <w:tc>
          <w:tcPr>
            <w:tcW w:w="1186" w:type="dxa"/>
            <w:tcBorders>
              <w:top w:val="nil"/>
              <w:left w:val="nil"/>
              <w:bottom w:val="nil"/>
              <w:right w:val="single" w:sz="4" w:space="0" w:color="auto"/>
            </w:tcBorders>
            <w:shd w:val="clear" w:color="auto" w:fill="auto"/>
            <w:noWrap/>
            <w:vAlign w:val="center"/>
            <w:hideMark/>
          </w:tcPr>
          <w:p w14:paraId="7DF14F98"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w:t>
            </w:r>
          </w:p>
        </w:tc>
        <w:tc>
          <w:tcPr>
            <w:tcW w:w="1328" w:type="dxa"/>
            <w:tcBorders>
              <w:top w:val="nil"/>
              <w:left w:val="nil"/>
              <w:bottom w:val="nil"/>
              <w:right w:val="single" w:sz="4" w:space="0" w:color="auto"/>
            </w:tcBorders>
            <w:shd w:val="clear" w:color="auto" w:fill="auto"/>
            <w:noWrap/>
            <w:vAlign w:val="center"/>
            <w:hideMark/>
          </w:tcPr>
          <w:p w14:paraId="2D876DE9"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-265</w:t>
            </w:r>
          </w:p>
        </w:tc>
        <w:tc>
          <w:tcPr>
            <w:tcW w:w="1600" w:type="dxa"/>
            <w:tcBorders>
              <w:top w:val="nil"/>
              <w:left w:val="nil"/>
              <w:bottom w:val="nil"/>
              <w:right w:val="single" w:sz="4" w:space="0" w:color="auto"/>
            </w:tcBorders>
            <w:shd w:val="clear" w:color="auto" w:fill="auto"/>
            <w:noWrap/>
            <w:vAlign w:val="center"/>
            <w:hideMark/>
          </w:tcPr>
          <w:p w14:paraId="3F904881"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-597</w:t>
            </w:r>
          </w:p>
        </w:tc>
        <w:tc>
          <w:tcPr>
            <w:tcW w:w="1774" w:type="dxa"/>
            <w:tcBorders>
              <w:top w:val="nil"/>
              <w:left w:val="nil"/>
              <w:bottom w:val="nil"/>
              <w:right w:val="single" w:sz="4" w:space="0" w:color="auto"/>
            </w:tcBorders>
            <w:shd w:val="clear" w:color="auto" w:fill="auto"/>
            <w:noWrap/>
            <w:vAlign w:val="center"/>
            <w:hideMark/>
          </w:tcPr>
          <w:p w14:paraId="1D3A53EF"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-862</w:t>
            </w:r>
          </w:p>
        </w:tc>
      </w:tr>
      <w:tr w:rsidR="009630A9" w:rsidRPr="000C156A" w14:paraId="7409F51B" w14:textId="77777777" w:rsidTr="00FC0977">
        <w:trPr>
          <w:trHeight w:val="361"/>
        </w:trPr>
        <w:tc>
          <w:tcPr>
            <w:tcW w:w="2503" w:type="dxa"/>
            <w:tcBorders>
              <w:top w:val="nil"/>
              <w:left w:val="single" w:sz="4" w:space="0" w:color="auto"/>
              <w:bottom w:val="nil"/>
              <w:right w:val="single" w:sz="4" w:space="0" w:color="auto"/>
            </w:tcBorders>
            <w:noWrap/>
            <w:hideMark/>
          </w:tcPr>
          <w:p w14:paraId="1EC43640" w14:textId="77777777" w:rsidR="009630A9" w:rsidRPr="000C156A" w:rsidRDefault="009630A9" w:rsidP="005D02F0">
            <w:pPr>
              <w:tabs>
                <w:tab w:val="left" w:pos="720"/>
              </w:tabs>
              <w:overflowPunct/>
              <w:adjustRightInd/>
              <w:spacing w:before="0"/>
              <w:rPr>
                <w:sz w:val="22"/>
                <w:szCs w:val="22"/>
                <w:lang w:val="en-US"/>
              </w:rPr>
            </w:pPr>
            <w:r w:rsidRPr="000C156A">
              <w:rPr>
                <w:rFonts w:hint="eastAsia"/>
                <w:sz w:val="22"/>
                <w:szCs w:val="22"/>
                <w:lang w:val="en-US"/>
              </w:rPr>
              <w:t>免除</w:t>
            </w:r>
          </w:p>
        </w:tc>
        <w:tc>
          <w:tcPr>
            <w:tcW w:w="1126" w:type="dxa"/>
            <w:tcBorders>
              <w:top w:val="nil"/>
              <w:left w:val="nil"/>
              <w:bottom w:val="nil"/>
              <w:right w:val="single" w:sz="4" w:space="0" w:color="auto"/>
            </w:tcBorders>
            <w:shd w:val="clear" w:color="auto" w:fill="auto"/>
            <w:noWrap/>
            <w:vAlign w:val="center"/>
            <w:hideMark/>
          </w:tcPr>
          <w:p w14:paraId="6861F59C"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w:t>
            </w:r>
          </w:p>
        </w:tc>
        <w:tc>
          <w:tcPr>
            <w:tcW w:w="1186" w:type="dxa"/>
            <w:tcBorders>
              <w:top w:val="nil"/>
              <w:left w:val="nil"/>
              <w:bottom w:val="nil"/>
              <w:right w:val="single" w:sz="4" w:space="0" w:color="auto"/>
            </w:tcBorders>
            <w:shd w:val="clear" w:color="auto" w:fill="auto"/>
            <w:noWrap/>
            <w:vAlign w:val="center"/>
            <w:hideMark/>
          </w:tcPr>
          <w:p w14:paraId="11186300"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w:t>
            </w:r>
          </w:p>
        </w:tc>
        <w:tc>
          <w:tcPr>
            <w:tcW w:w="1328" w:type="dxa"/>
            <w:tcBorders>
              <w:top w:val="nil"/>
              <w:left w:val="nil"/>
              <w:bottom w:val="nil"/>
              <w:right w:val="single" w:sz="4" w:space="0" w:color="auto"/>
            </w:tcBorders>
            <w:shd w:val="clear" w:color="auto" w:fill="auto"/>
            <w:noWrap/>
            <w:vAlign w:val="center"/>
            <w:hideMark/>
          </w:tcPr>
          <w:p w14:paraId="6F9ABE1B" w14:textId="101EEB3C"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eastAsia="Times New Roman" w:cs="Arial"/>
                <w:color w:val="000000"/>
                <w:sz w:val="22"/>
                <w:szCs w:val="22"/>
                <w:lang w:val="en-US" w:eastAsia="zh-CN"/>
              </w:rPr>
              <w:t>-1</w:t>
            </w:r>
            <w:r w:rsidR="00FC0977" w:rsidRPr="000C156A">
              <w:rPr>
                <w:rFonts w:eastAsia="Times New Roman" w:cs="Arial"/>
                <w:color w:val="000000"/>
                <w:sz w:val="22"/>
                <w:szCs w:val="22"/>
                <w:lang w:val="en-US" w:eastAsia="zh-CN"/>
              </w:rPr>
              <w:t xml:space="preserve"> </w:t>
            </w:r>
            <w:r w:rsidRPr="000C156A">
              <w:rPr>
                <w:rFonts w:eastAsia="Times New Roman" w:cs="Arial"/>
                <w:color w:val="000000"/>
                <w:sz w:val="22"/>
                <w:szCs w:val="22"/>
                <w:lang w:val="en-US" w:eastAsia="zh-CN"/>
              </w:rPr>
              <w:t>339</w:t>
            </w:r>
          </w:p>
        </w:tc>
        <w:tc>
          <w:tcPr>
            <w:tcW w:w="1600" w:type="dxa"/>
            <w:tcBorders>
              <w:top w:val="nil"/>
              <w:left w:val="nil"/>
              <w:bottom w:val="nil"/>
              <w:right w:val="single" w:sz="4" w:space="0" w:color="auto"/>
            </w:tcBorders>
            <w:shd w:val="clear" w:color="auto" w:fill="auto"/>
            <w:noWrap/>
            <w:vAlign w:val="center"/>
            <w:hideMark/>
          </w:tcPr>
          <w:p w14:paraId="1E7BFA1C"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-40</w:t>
            </w:r>
          </w:p>
        </w:tc>
        <w:tc>
          <w:tcPr>
            <w:tcW w:w="1774" w:type="dxa"/>
            <w:tcBorders>
              <w:top w:val="nil"/>
              <w:left w:val="nil"/>
              <w:bottom w:val="nil"/>
              <w:right w:val="single" w:sz="4" w:space="0" w:color="auto"/>
            </w:tcBorders>
            <w:shd w:val="clear" w:color="auto" w:fill="auto"/>
            <w:noWrap/>
            <w:vAlign w:val="center"/>
            <w:hideMark/>
          </w:tcPr>
          <w:p w14:paraId="1536D805" w14:textId="7ECCD384"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eastAsia="Times New Roman" w:cs="Arial"/>
                <w:color w:val="000000"/>
                <w:sz w:val="22"/>
                <w:szCs w:val="22"/>
                <w:lang w:val="en-US" w:eastAsia="zh-CN"/>
              </w:rPr>
              <w:t>-1</w:t>
            </w:r>
            <w:r w:rsidR="00FC0977" w:rsidRPr="000C156A">
              <w:rPr>
                <w:rFonts w:eastAsia="Times New Roman" w:cs="Arial"/>
                <w:color w:val="000000"/>
                <w:sz w:val="22"/>
                <w:szCs w:val="22"/>
                <w:lang w:val="en-US" w:eastAsia="zh-CN"/>
              </w:rPr>
              <w:t xml:space="preserve"> </w:t>
            </w:r>
            <w:r w:rsidRPr="000C156A">
              <w:rPr>
                <w:rFonts w:eastAsia="Times New Roman" w:cs="Arial"/>
                <w:color w:val="000000"/>
                <w:sz w:val="22"/>
                <w:szCs w:val="22"/>
                <w:lang w:val="en-US" w:eastAsia="zh-CN"/>
              </w:rPr>
              <w:t>379</w:t>
            </w:r>
          </w:p>
        </w:tc>
      </w:tr>
      <w:tr w:rsidR="009630A9" w:rsidRPr="000C156A" w14:paraId="368EC948" w14:textId="77777777" w:rsidTr="00FC0977">
        <w:trPr>
          <w:trHeight w:val="298"/>
        </w:trPr>
        <w:tc>
          <w:tcPr>
            <w:tcW w:w="2503" w:type="dxa"/>
            <w:tcBorders>
              <w:top w:val="nil"/>
              <w:left w:val="single" w:sz="4" w:space="0" w:color="auto"/>
              <w:bottom w:val="nil"/>
              <w:right w:val="nil"/>
            </w:tcBorders>
            <w:noWrap/>
            <w:hideMark/>
          </w:tcPr>
          <w:p w14:paraId="3D0CFCFA" w14:textId="77777777" w:rsidR="009630A9" w:rsidRPr="000C156A" w:rsidRDefault="009630A9" w:rsidP="005D02F0">
            <w:pPr>
              <w:tabs>
                <w:tab w:val="left" w:pos="720"/>
              </w:tabs>
              <w:overflowPunct/>
              <w:adjustRightInd/>
              <w:spacing w:before="0"/>
              <w:rPr>
                <w:sz w:val="22"/>
                <w:szCs w:val="22"/>
                <w:lang w:val="en-US" w:eastAsia="zh-CN"/>
              </w:rPr>
            </w:pPr>
            <w:r w:rsidRPr="000C156A">
              <w:rPr>
                <w:rFonts w:hint="eastAsia"/>
                <w:sz w:val="22"/>
                <w:szCs w:val="22"/>
                <w:lang w:val="en-US"/>
              </w:rPr>
              <w:t>转入短期</w:t>
            </w:r>
            <w:r w:rsidRPr="000C156A">
              <w:rPr>
                <w:rFonts w:hint="eastAsia"/>
                <w:sz w:val="22"/>
                <w:szCs w:val="22"/>
                <w:lang w:val="en-US" w:eastAsia="zh-CN"/>
              </w:rPr>
              <w:t>/</w:t>
            </w:r>
            <w:r w:rsidRPr="000C156A">
              <w:rPr>
                <w:rFonts w:hint="eastAsia"/>
                <w:sz w:val="22"/>
                <w:szCs w:val="22"/>
                <w:lang w:val="en-US" w:eastAsia="zh-CN"/>
              </w:rPr>
              <w:t>由短期转出</w:t>
            </w:r>
          </w:p>
        </w:tc>
        <w:tc>
          <w:tcPr>
            <w:tcW w:w="1126" w:type="dxa"/>
            <w:tcBorders>
              <w:top w:val="nil"/>
              <w:left w:val="single" w:sz="4" w:space="0" w:color="auto"/>
              <w:bottom w:val="nil"/>
              <w:right w:val="single" w:sz="4" w:space="0" w:color="auto"/>
            </w:tcBorders>
            <w:shd w:val="clear" w:color="auto" w:fill="auto"/>
            <w:noWrap/>
            <w:vAlign w:val="center"/>
            <w:hideMark/>
          </w:tcPr>
          <w:p w14:paraId="3651D983"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w:t>
            </w:r>
          </w:p>
        </w:tc>
        <w:tc>
          <w:tcPr>
            <w:tcW w:w="1186" w:type="dxa"/>
            <w:tcBorders>
              <w:top w:val="nil"/>
              <w:left w:val="nil"/>
              <w:bottom w:val="nil"/>
              <w:right w:val="single" w:sz="4" w:space="0" w:color="auto"/>
            </w:tcBorders>
            <w:shd w:val="clear" w:color="auto" w:fill="auto"/>
            <w:noWrap/>
            <w:vAlign w:val="center"/>
            <w:hideMark/>
          </w:tcPr>
          <w:p w14:paraId="7D12567F"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w:t>
            </w:r>
          </w:p>
        </w:tc>
        <w:tc>
          <w:tcPr>
            <w:tcW w:w="1328" w:type="dxa"/>
            <w:tcBorders>
              <w:top w:val="nil"/>
              <w:left w:val="nil"/>
              <w:bottom w:val="nil"/>
              <w:right w:val="single" w:sz="4" w:space="0" w:color="auto"/>
            </w:tcBorders>
            <w:shd w:val="clear" w:color="auto" w:fill="auto"/>
            <w:noWrap/>
            <w:vAlign w:val="center"/>
            <w:hideMark/>
          </w:tcPr>
          <w:p w14:paraId="438D3328"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w:t>
            </w:r>
          </w:p>
        </w:tc>
        <w:tc>
          <w:tcPr>
            <w:tcW w:w="1600" w:type="dxa"/>
            <w:tcBorders>
              <w:top w:val="nil"/>
              <w:left w:val="nil"/>
              <w:bottom w:val="nil"/>
              <w:right w:val="single" w:sz="4" w:space="0" w:color="auto"/>
            </w:tcBorders>
            <w:shd w:val="clear" w:color="auto" w:fill="auto"/>
            <w:noWrap/>
            <w:vAlign w:val="center"/>
            <w:hideMark/>
          </w:tcPr>
          <w:p w14:paraId="1AF06A76"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97</w:t>
            </w:r>
          </w:p>
        </w:tc>
        <w:tc>
          <w:tcPr>
            <w:tcW w:w="1774" w:type="dxa"/>
            <w:tcBorders>
              <w:top w:val="nil"/>
              <w:left w:val="nil"/>
              <w:bottom w:val="nil"/>
              <w:right w:val="single" w:sz="4" w:space="0" w:color="auto"/>
            </w:tcBorders>
            <w:shd w:val="clear" w:color="auto" w:fill="auto"/>
            <w:noWrap/>
            <w:vAlign w:val="center"/>
            <w:hideMark/>
          </w:tcPr>
          <w:p w14:paraId="1430FE0C"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97</w:t>
            </w:r>
          </w:p>
        </w:tc>
      </w:tr>
      <w:tr w:rsidR="009630A9" w:rsidRPr="000C156A" w14:paraId="10849B6C" w14:textId="77777777" w:rsidTr="00FC0977">
        <w:trPr>
          <w:trHeight w:val="361"/>
        </w:trPr>
        <w:tc>
          <w:tcPr>
            <w:tcW w:w="2503" w:type="dxa"/>
            <w:tcBorders>
              <w:top w:val="single" w:sz="4" w:space="0" w:color="auto"/>
              <w:left w:val="single" w:sz="4" w:space="0" w:color="auto"/>
              <w:bottom w:val="single" w:sz="4" w:space="0" w:color="auto"/>
              <w:right w:val="nil"/>
            </w:tcBorders>
            <w:noWrap/>
            <w:vAlign w:val="center"/>
            <w:hideMark/>
          </w:tcPr>
          <w:p w14:paraId="1ECCAE78" w14:textId="77777777" w:rsidR="009630A9" w:rsidRPr="000C156A" w:rsidRDefault="009630A9" w:rsidP="005D02F0">
            <w:pPr>
              <w:pStyle w:val="Tabletext"/>
              <w:rPr>
                <w:b/>
                <w:bCs/>
                <w:lang w:val="en-US"/>
              </w:rPr>
            </w:pPr>
            <w:r w:rsidRPr="000C156A">
              <w:rPr>
                <w:rFonts w:hint="eastAsia"/>
                <w:b/>
                <w:bCs/>
                <w:szCs w:val="24"/>
                <w:lang w:val="en-US"/>
              </w:rPr>
              <w:t>期终余额</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D4DE6DF" w14:textId="060AD174" w:rsidR="009630A9" w:rsidRPr="000C156A" w:rsidRDefault="009630A9" w:rsidP="005D02F0">
            <w:pPr>
              <w:overflowPunct/>
              <w:autoSpaceDE/>
              <w:autoSpaceDN/>
              <w:adjustRightInd/>
              <w:spacing w:before="0"/>
              <w:ind w:right="110"/>
              <w:jc w:val="right"/>
              <w:textAlignment w:val="auto"/>
              <w:rPr>
                <w:rFonts w:cs="Arial"/>
                <w:b/>
                <w:bCs/>
                <w:color w:val="000000"/>
                <w:sz w:val="22"/>
                <w:szCs w:val="22"/>
                <w:lang w:val="en-US" w:eastAsia="zh-CN"/>
              </w:rPr>
            </w:pPr>
            <w:r w:rsidRPr="000C156A">
              <w:rPr>
                <w:rFonts w:eastAsia="Times New Roman" w:cs="Arial"/>
                <w:b/>
                <w:bCs/>
                <w:color w:val="000000"/>
                <w:sz w:val="22"/>
                <w:szCs w:val="22"/>
                <w:lang w:val="en-US" w:eastAsia="zh-CN"/>
              </w:rPr>
              <w:t>631</w:t>
            </w:r>
            <w:r w:rsidR="00FC0977" w:rsidRPr="000C156A">
              <w:rPr>
                <w:rFonts w:eastAsia="Times New Roman" w:cs="Arial"/>
                <w:b/>
                <w:bCs/>
                <w:color w:val="000000"/>
                <w:sz w:val="22"/>
                <w:szCs w:val="22"/>
                <w:lang w:val="en-US" w:eastAsia="zh-CN"/>
              </w:rPr>
              <w:t xml:space="preserve"> </w:t>
            </w:r>
            <w:r w:rsidRPr="000C156A">
              <w:rPr>
                <w:rFonts w:eastAsia="Times New Roman" w:cs="Arial"/>
                <w:b/>
                <w:bCs/>
                <w:color w:val="000000"/>
                <w:sz w:val="22"/>
                <w:szCs w:val="22"/>
                <w:lang w:val="en-US" w:eastAsia="zh-CN"/>
              </w:rPr>
              <w:t>870</w:t>
            </w:r>
          </w:p>
        </w:tc>
        <w:tc>
          <w:tcPr>
            <w:tcW w:w="1186" w:type="dxa"/>
            <w:tcBorders>
              <w:top w:val="nil"/>
              <w:left w:val="nil"/>
              <w:bottom w:val="single" w:sz="4" w:space="0" w:color="auto"/>
              <w:right w:val="single" w:sz="4" w:space="0" w:color="auto"/>
            </w:tcBorders>
            <w:shd w:val="clear" w:color="auto" w:fill="auto"/>
            <w:noWrap/>
            <w:vAlign w:val="center"/>
            <w:hideMark/>
          </w:tcPr>
          <w:p w14:paraId="209EB21C" w14:textId="77777777"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54</w:t>
            </w:r>
          </w:p>
        </w:tc>
        <w:tc>
          <w:tcPr>
            <w:tcW w:w="1328" w:type="dxa"/>
            <w:tcBorders>
              <w:top w:val="nil"/>
              <w:left w:val="nil"/>
              <w:bottom w:val="single" w:sz="4" w:space="0" w:color="auto"/>
              <w:right w:val="single" w:sz="4" w:space="0" w:color="auto"/>
            </w:tcBorders>
            <w:shd w:val="clear" w:color="auto" w:fill="auto"/>
            <w:noWrap/>
            <w:vAlign w:val="center"/>
            <w:hideMark/>
          </w:tcPr>
          <w:p w14:paraId="03239F63" w14:textId="16545510"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eastAsia="Times New Roman" w:cs="Arial"/>
                <w:b/>
                <w:bCs/>
                <w:color w:val="000000"/>
                <w:sz w:val="22"/>
                <w:szCs w:val="22"/>
                <w:lang w:val="en-US" w:eastAsia="zh-CN"/>
              </w:rPr>
              <w:t>12</w:t>
            </w:r>
            <w:r w:rsidR="00FC0977" w:rsidRPr="000C156A">
              <w:rPr>
                <w:rFonts w:eastAsia="Times New Roman" w:cs="Arial"/>
                <w:b/>
                <w:bCs/>
                <w:color w:val="000000"/>
                <w:sz w:val="22"/>
                <w:szCs w:val="22"/>
                <w:lang w:val="en-US" w:eastAsia="zh-CN"/>
              </w:rPr>
              <w:t xml:space="preserve"> </w:t>
            </w:r>
            <w:r w:rsidRPr="000C156A">
              <w:rPr>
                <w:rFonts w:eastAsia="Times New Roman" w:cs="Arial"/>
                <w:b/>
                <w:bCs/>
                <w:color w:val="000000"/>
                <w:sz w:val="22"/>
                <w:szCs w:val="22"/>
                <w:lang w:val="en-US" w:eastAsia="zh-CN"/>
              </w:rPr>
              <w:t>717</w:t>
            </w:r>
          </w:p>
        </w:tc>
        <w:tc>
          <w:tcPr>
            <w:tcW w:w="1600" w:type="dxa"/>
            <w:tcBorders>
              <w:top w:val="nil"/>
              <w:left w:val="nil"/>
              <w:bottom w:val="single" w:sz="4" w:space="0" w:color="auto"/>
              <w:right w:val="single" w:sz="4" w:space="0" w:color="auto"/>
            </w:tcBorders>
            <w:shd w:val="clear" w:color="auto" w:fill="auto"/>
            <w:noWrap/>
            <w:vAlign w:val="center"/>
            <w:hideMark/>
          </w:tcPr>
          <w:p w14:paraId="08A649D2" w14:textId="670A6EF8"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eastAsia="Times New Roman" w:cs="Arial"/>
                <w:b/>
                <w:bCs/>
                <w:color w:val="000000"/>
                <w:sz w:val="22"/>
                <w:szCs w:val="22"/>
                <w:lang w:val="en-US" w:eastAsia="zh-CN"/>
              </w:rPr>
              <w:t>11</w:t>
            </w:r>
            <w:r w:rsidR="00FC0977" w:rsidRPr="000C156A">
              <w:rPr>
                <w:rFonts w:eastAsia="Times New Roman" w:cs="Arial"/>
                <w:b/>
                <w:bCs/>
                <w:color w:val="000000"/>
                <w:sz w:val="22"/>
                <w:szCs w:val="22"/>
                <w:lang w:val="en-US" w:eastAsia="zh-CN"/>
              </w:rPr>
              <w:t xml:space="preserve"> </w:t>
            </w:r>
            <w:r w:rsidRPr="000C156A">
              <w:rPr>
                <w:rFonts w:eastAsia="Times New Roman" w:cs="Arial"/>
                <w:b/>
                <w:bCs/>
                <w:color w:val="000000"/>
                <w:sz w:val="22"/>
                <w:szCs w:val="22"/>
                <w:lang w:val="en-US" w:eastAsia="zh-CN"/>
              </w:rPr>
              <w:t>380</w:t>
            </w:r>
          </w:p>
        </w:tc>
        <w:tc>
          <w:tcPr>
            <w:tcW w:w="1774" w:type="dxa"/>
            <w:tcBorders>
              <w:top w:val="nil"/>
              <w:left w:val="nil"/>
              <w:bottom w:val="single" w:sz="4" w:space="0" w:color="auto"/>
              <w:right w:val="single" w:sz="4" w:space="0" w:color="auto"/>
            </w:tcBorders>
            <w:shd w:val="clear" w:color="auto" w:fill="auto"/>
            <w:noWrap/>
            <w:vAlign w:val="center"/>
            <w:hideMark/>
          </w:tcPr>
          <w:p w14:paraId="6E6AC140" w14:textId="19BA8361"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eastAsia="Times New Roman" w:cs="Arial"/>
                <w:b/>
                <w:bCs/>
                <w:color w:val="000000"/>
                <w:sz w:val="22"/>
                <w:szCs w:val="22"/>
                <w:lang w:val="en-US" w:eastAsia="zh-CN"/>
              </w:rPr>
              <w:t>656</w:t>
            </w:r>
            <w:r w:rsidR="00FC0977" w:rsidRPr="000C156A">
              <w:rPr>
                <w:rFonts w:eastAsia="Times New Roman" w:cs="Arial"/>
                <w:b/>
                <w:bCs/>
                <w:color w:val="000000"/>
                <w:sz w:val="22"/>
                <w:szCs w:val="22"/>
                <w:lang w:val="en-US" w:eastAsia="zh-CN"/>
              </w:rPr>
              <w:t xml:space="preserve"> </w:t>
            </w:r>
            <w:r w:rsidRPr="000C156A">
              <w:rPr>
                <w:rFonts w:eastAsia="Times New Roman" w:cs="Arial"/>
                <w:b/>
                <w:bCs/>
                <w:color w:val="000000"/>
                <w:sz w:val="22"/>
                <w:szCs w:val="22"/>
                <w:lang w:val="en-US" w:eastAsia="zh-CN"/>
              </w:rPr>
              <w:t>021</w:t>
            </w:r>
          </w:p>
        </w:tc>
      </w:tr>
    </w:tbl>
    <w:p w14:paraId="4A4B2712" w14:textId="77777777" w:rsidR="009630A9" w:rsidRPr="000C156A" w:rsidRDefault="009630A9" w:rsidP="003839AE">
      <w:pPr>
        <w:spacing w:before="240"/>
        <w:ind w:firstLineChars="200" w:firstLine="480"/>
        <w:rPr>
          <w:lang w:eastAsia="zh-CN"/>
        </w:rPr>
      </w:pPr>
      <w:r w:rsidRPr="000C156A">
        <w:rPr>
          <w:rFonts w:hint="eastAsia"/>
          <w:lang w:eastAsia="zh-CN"/>
        </w:rPr>
        <w:t>长期福利系指离职后福利，主要为离职后健康保险（</w:t>
      </w:r>
      <w:r w:rsidRPr="000C156A">
        <w:rPr>
          <w:lang w:eastAsia="zh-CN"/>
        </w:rPr>
        <w:t>ASHI</w:t>
      </w:r>
      <w:r w:rsidRPr="000C156A">
        <w:rPr>
          <w:rFonts w:hint="eastAsia"/>
          <w:lang w:eastAsia="zh-CN"/>
        </w:rPr>
        <w:t>）计划、归国补助金、应计休假，以及对国际电联部分前职员的先前养恤金和医疗保险计划的承付款项。</w:t>
      </w:r>
    </w:p>
    <w:p w14:paraId="4026B727" w14:textId="77777777" w:rsidR="009630A9" w:rsidRPr="000C156A" w:rsidRDefault="009630A9" w:rsidP="009630A9">
      <w:pPr>
        <w:ind w:firstLineChars="200" w:firstLine="480"/>
        <w:rPr>
          <w:lang w:eastAsia="zh-CN"/>
        </w:rPr>
      </w:pPr>
      <w:r w:rsidRPr="000C156A">
        <w:rPr>
          <w:rFonts w:hint="eastAsia"/>
          <w:lang w:eastAsia="zh-CN"/>
        </w:rPr>
        <w:t>累积休假增加了</w:t>
      </w:r>
      <w:r w:rsidRPr="000C156A">
        <w:rPr>
          <w:rFonts w:hint="eastAsia"/>
          <w:lang w:eastAsia="zh-CN"/>
        </w:rPr>
        <w:t>21%</w:t>
      </w:r>
      <w:r w:rsidRPr="000C156A">
        <w:rPr>
          <w:rFonts w:hint="eastAsia"/>
          <w:lang w:eastAsia="zh-CN"/>
        </w:rPr>
        <w:t>，</w:t>
      </w:r>
      <w:r w:rsidRPr="000C156A">
        <w:rPr>
          <w:rFonts w:hint="eastAsia"/>
          <w:lang w:eastAsia="zh-CN"/>
        </w:rPr>
        <w:t>2020</w:t>
      </w:r>
      <w:r w:rsidRPr="000C156A">
        <w:rPr>
          <w:rFonts w:hint="eastAsia"/>
          <w:lang w:eastAsia="zh-CN"/>
        </w:rPr>
        <w:t>年为</w:t>
      </w:r>
      <w:r w:rsidRPr="000C156A">
        <w:rPr>
          <w:rFonts w:hint="eastAsia"/>
          <w:lang w:eastAsia="zh-CN"/>
        </w:rPr>
        <w:t>1</w:t>
      </w:r>
      <w:r w:rsidRPr="000C156A">
        <w:rPr>
          <w:lang w:eastAsia="zh-CN"/>
        </w:rPr>
        <w:t xml:space="preserve"> </w:t>
      </w:r>
      <w:r w:rsidRPr="000C156A">
        <w:rPr>
          <w:rFonts w:hint="eastAsia"/>
          <w:lang w:eastAsia="zh-CN"/>
        </w:rPr>
        <w:t>138</w:t>
      </w:r>
      <w:r w:rsidRPr="000C156A">
        <w:rPr>
          <w:rFonts w:hint="eastAsia"/>
          <w:lang w:eastAsia="zh-CN"/>
        </w:rPr>
        <w:t>万瑞郎（</w:t>
      </w:r>
      <w:r w:rsidRPr="000C156A">
        <w:rPr>
          <w:rFonts w:hint="eastAsia"/>
          <w:lang w:eastAsia="zh-CN"/>
        </w:rPr>
        <w:t>2019</w:t>
      </w:r>
      <w:r w:rsidRPr="000C156A">
        <w:rPr>
          <w:rFonts w:hint="eastAsia"/>
          <w:lang w:eastAsia="zh-CN"/>
        </w:rPr>
        <w:t>年为</w:t>
      </w:r>
      <w:r w:rsidRPr="000C156A">
        <w:rPr>
          <w:rFonts w:hint="eastAsia"/>
          <w:lang w:eastAsia="zh-CN"/>
        </w:rPr>
        <w:t>940</w:t>
      </w:r>
      <w:r w:rsidRPr="000C156A">
        <w:rPr>
          <w:rFonts w:hint="eastAsia"/>
          <w:lang w:eastAsia="zh-CN"/>
        </w:rPr>
        <w:t>万瑞郎）。由于</w:t>
      </w:r>
      <w:r w:rsidRPr="000C156A">
        <w:rPr>
          <w:rFonts w:hint="eastAsia"/>
          <w:lang w:eastAsia="zh-CN"/>
        </w:rPr>
        <w:t>2020</w:t>
      </w:r>
      <w:r w:rsidRPr="000C156A">
        <w:rPr>
          <w:rFonts w:hint="eastAsia"/>
          <w:lang w:eastAsia="zh-CN"/>
        </w:rPr>
        <w:t>年的疫情大流行和世界范围的旅行限制，年假未得到利用。作为例外，秘书长已授权将最多</w:t>
      </w:r>
      <w:r w:rsidRPr="000C156A">
        <w:rPr>
          <w:rFonts w:hint="eastAsia"/>
          <w:lang w:eastAsia="zh-CN"/>
        </w:rPr>
        <w:t>60</w:t>
      </w:r>
      <w:r w:rsidRPr="000C156A">
        <w:rPr>
          <w:rFonts w:hint="eastAsia"/>
          <w:lang w:eastAsia="zh-CN"/>
        </w:rPr>
        <w:t>天的年假结转至</w:t>
      </w:r>
      <w:r w:rsidRPr="000C156A">
        <w:rPr>
          <w:rFonts w:hint="eastAsia"/>
          <w:lang w:eastAsia="zh-CN"/>
        </w:rPr>
        <w:t>2021</w:t>
      </w:r>
      <w:r w:rsidRPr="000C156A">
        <w:rPr>
          <w:rFonts w:hint="eastAsia"/>
          <w:lang w:eastAsia="zh-CN"/>
        </w:rPr>
        <w:t>年。</w:t>
      </w:r>
    </w:p>
    <w:p w14:paraId="284D364D" w14:textId="77777777" w:rsidR="009630A9" w:rsidRPr="000C156A" w:rsidRDefault="009630A9" w:rsidP="009630A9">
      <w:pPr>
        <w:pStyle w:val="Heading3"/>
        <w:ind w:left="1134" w:hanging="1134"/>
        <w:rPr>
          <w:b w:val="0"/>
          <w:bCs/>
          <w:i/>
          <w:iCs/>
          <w:lang w:eastAsia="zh-CN"/>
        </w:rPr>
      </w:pPr>
      <w:bookmarkStart w:id="754" w:name="_Toc41905884"/>
      <w:bookmarkStart w:id="755" w:name="_Toc73518699"/>
      <w:bookmarkStart w:id="756" w:name="_Toc73518846"/>
      <w:bookmarkStart w:id="757" w:name="_Toc73519246"/>
      <w:bookmarkStart w:id="758" w:name="_Toc73636285"/>
      <w:r w:rsidRPr="000C156A">
        <w:rPr>
          <w:b w:val="0"/>
          <w:bCs/>
          <w:iCs/>
          <w:lang w:eastAsia="zh-CN"/>
        </w:rPr>
        <w:lastRenderedPageBreak/>
        <w:t>17.2.1</w:t>
      </w:r>
      <w:r w:rsidRPr="000C156A">
        <w:rPr>
          <w:b w:val="0"/>
          <w:bCs/>
          <w:iCs/>
          <w:lang w:eastAsia="zh-CN"/>
        </w:rPr>
        <w:tab/>
        <w:t>ASHI</w:t>
      </w:r>
      <w:r w:rsidRPr="000C156A">
        <w:rPr>
          <w:rFonts w:eastAsia="STKaiti" w:cs="Microsoft YaHei" w:hint="eastAsia"/>
          <w:b w:val="0"/>
          <w:bCs/>
          <w:iCs/>
          <w:lang w:val="fr-FR" w:eastAsia="zh-CN"/>
        </w:rPr>
        <w:t>计划的离职后福利的精算估值</w:t>
      </w:r>
      <w:bookmarkEnd w:id="754"/>
      <w:bookmarkEnd w:id="755"/>
      <w:bookmarkEnd w:id="756"/>
      <w:bookmarkEnd w:id="757"/>
      <w:bookmarkEnd w:id="758"/>
    </w:p>
    <w:p w14:paraId="3528E75D" w14:textId="77777777" w:rsidR="009630A9" w:rsidRPr="000C156A" w:rsidRDefault="009630A9" w:rsidP="009630A9">
      <w:pPr>
        <w:keepNext/>
        <w:keepLines/>
        <w:ind w:firstLineChars="200" w:firstLine="480"/>
        <w:rPr>
          <w:lang w:eastAsia="zh-CN"/>
        </w:rPr>
      </w:pPr>
      <w:r w:rsidRPr="000C156A">
        <w:rPr>
          <w:rFonts w:hint="eastAsia"/>
          <w:lang w:eastAsia="zh-CN"/>
        </w:rPr>
        <w:t>承付款项结算通过一家独立咨询公司进行的年度精算研究确定。最近于</w:t>
      </w:r>
      <w:r w:rsidRPr="000C156A">
        <w:rPr>
          <w:lang w:eastAsia="zh-CN"/>
        </w:rPr>
        <w:t>2021</w:t>
      </w:r>
      <w:r w:rsidRPr="000C156A">
        <w:rPr>
          <w:rFonts w:hint="eastAsia"/>
          <w:lang w:eastAsia="zh-CN"/>
        </w:rPr>
        <w:t>年</w:t>
      </w:r>
      <w:r w:rsidRPr="000C156A">
        <w:rPr>
          <w:lang w:eastAsia="zh-CN"/>
        </w:rPr>
        <w:t>1</w:t>
      </w:r>
      <w:r w:rsidRPr="000C156A">
        <w:rPr>
          <w:rFonts w:hint="eastAsia"/>
          <w:lang w:eastAsia="zh-CN"/>
        </w:rPr>
        <w:t>月进行的估值符合</w:t>
      </w:r>
      <w:r w:rsidRPr="000C156A">
        <w:rPr>
          <w:lang w:eastAsia="zh-CN"/>
        </w:rPr>
        <w:t>2020</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日特定条件的职员离职后医疗保险福利的国际电联承付款项确定为</w:t>
      </w:r>
      <w:r w:rsidRPr="000C156A">
        <w:rPr>
          <w:lang w:eastAsia="zh-CN"/>
        </w:rPr>
        <w:t>6.3189</w:t>
      </w:r>
      <w:r w:rsidRPr="000C156A">
        <w:rPr>
          <w:rFonts w:hint="eastAsia"/>
          <w:lang w:eastAsia="zh-CN"/>
        </w:rPr>
        <w:t>亿瑞郎。精算研究基于国际电联提供的数据。</w:t>
      </w:r>
    </w:p>
    <w:p w14:paraId="7D40A7E2" w14:textId="77777777" w:rsidR="009630A9" w:rsidRPr="000C156A" w:rsidRDefault="009630A9" w:rsidP="009630A9">
      <w:pPr>
        <w:pStyle w:val="Heading3"/>
        <w:ind w:left="1134" w:hanging="1134"/>
        <w:rPr>
          <w:b w:val="0"/>
          <w:bCs/>
          <w:i/>
          <w:iCs/>
          <w:lang w:val="fr-FR" w:eastAsia="zh-CN"/>
        </w:rPr>
      </w:pPr>
      <w:bookmarkStart w:id="759" w:name="_Toc41905885"/>
      <w:bookmarkStart w:id="760" w:name="_Toc73518700"/>
      <w:bookmarkStart w:id="761" w:name="_Toc73518847"/>
      <w:bookmarkStart w:id="762" w:name="_Toc73519247"/>
      <w:bookmarkStart w:id="763" w:name="_Toc73636286"/>
      <w:r w:rsidRPr="000C156A">
        <w:rPr>
          <w:b w:val="0"/>
          <w:bCs/>
          <w:iCs/>
          <w:lang w:val="fr-FR" w:eastAsia="zh-CN"/>
        </w:rPr>
        <w:t>17.2.2</w:t>
      </w:r>
      <w:r w:rsidRPr="000C156A">
        <w:rPr>
          <w:b w:val="0"/>
          <w:bCs/>
          <w:iCs/>
          <w:lang w:val="fr-FR" w:eastAsia="zh-CN"/>
        </w:rPr>
        <w:tab/>
      </w:r>
      <w:r w:rsidRPr="000C156A">
        <w:rPr>
          <w:rFonts w:ascii="STKaiti" w:eastAsia="STKaiti" w:hAnsi="STKaiti" w:hint="eastAsia"/>
          <w:b w:val="0"/>
          <w:bCs/>
          <w:iCs/>
          <w:lang w:val="fr-FR" w:eastAsia="zh-CN"/>
        </w:rPr>
        <w:t>精算估值</w:t>
      </w:r>
      <w:r w:rsidRPr="000C156A">
        <w:rPr>
          <w:rFonts w:asciiTheme="minorHAnsi" w:eastAsia="STKaiti" w:hAnsiTheme="minorHAnsi"/>
          <w:b w:val="0"/>
          <w:bCs/>
          <w:iCs/>
          <w:lang w:val="fr-FR" w:eastAsia="zh-CN"/>
        </w:rPr>
        <w:t xml:space="preserve"> – </w:t>
      </w:r>
      <w:r w:rsidRPr="000C156A">
        <w:rPr>
          <w:rFonts w:ascii="STKaiti" w:eastAsia="STKaiti" w:hAnsi="STKaiti" w:hint="eastAsia"/>
          <w:b w:val="0"/>
          <w:bCs/>
          <w:iCs/>
          <w:lang w:val="fr-FR" w:eastAsia="zh-CN"/>
        </w:rPr>
        <w:t>假设和方法</w:t>
      </w:r>
      <w:bookmarkEnd w:id="759"/>
      <w:bookmarkEnd w:id="760"/>
      <w:bookmarkEnd w:id="761"/>
      <w:bookmarkEnd w:id="762"/>
      <w:bookmarkEnd w:id="763"/>
    </w:p>
    <w:p w14:paraId="347585C9" w14:textId="77777777" w:rsidR="009630A9" w:rsidRPr="000C156A" w:rsidRDefault="009630A9" w:rsidP="00617541">
      <w:pPr>
        <w:spacing w:after="240"/>
        <w:ind w:firstLineChars="200" w:firstLine="480"/>
        <w:rPr>
          <w:lang w:eastAsia="zh-CN"/>
        </w:rPr>
      </w:pPr>
      <w:r w:rsidRPr="000C156A">
        <w:rPr>
          <w:rFonts w:hint="eastAsia"/>
          <w:lang w:eastAsia="zh-CN"/>
        </w:rPr>
        <w:t>在</w:t>
      </w:r>
      <w:r w:rsidRPr="000C156A">
        <w:rPr>
          <w:lang w:val="fr-FR" w:eastAsia="zh-CN"/>
        </w:rPr>
        <w:t>20</w:t>
      </w:r>
      <w:r w:rsidRPr="000C156A">
        <w:rPr>
          <w:lang w:eastAsia="zh-CN"/>
        </w:rPr>
        <w:t>20</w:t>
      </w:r>
      <w:r w:rsidRPr="000C156A">
        <w:rPr>
          <w:rFonts w:hint="eastAsia"/>
          <w:lang w:eastAsia="zh-CN"/>
        </w:rPr>
        <w:t>年</w:t>
      </w:r>
      <w:r w:rsidRPr="000C156A">
        <w:rPr>
          <w:lang w:val="fr-FR" w:eastAsia="zh-CN"/>
        </w:rPr>
        <w:t>12</w:t>
      </w:r>
      <w:r w:rsidRPr="000C156A">
        <w:rPr>
          <w:rFonts w:hint="eastAsia"/>
          <w:lang w:eastAsia="zh-CN"/>
        </w:rPr>
        <w:t>月</w:t>
      </w:r>
      <w:r w:rsidRPr="000C156A">
        <w:rPr>
          <w:lang w:val="fr-FR" w:eastAsia="zh-CN"/>
        </w:rPr>
        <w:t>31</w:t>
      </w:r>
      <w:r w:rsidRPr="000C156A">
        <w:rPr>
          <w:rFonts w:hint="eastAsia"/>
          <w:lang w:eastAsia="zh-CN"/>
        </w:rPr>
        <w:t>日与</w:t>
      </w:r>
      <w:r w:rsidRPr="000C156A">
        <w:rPr>
          <w:lang w:val="fr-FR" w:eastAsia="zh-CN"/>
        </w:rPr>
        <w:t>ASHI</w:t>
      </w:r>
      <w:r w:rsidRPr="000C156A">
        <w:rPr>
          <w:rFonts w:hint="eastAsia"/>
          <w:lang w:eastAsia="zh-CN"/>
        </w:rPr>
        <w:t>计划相关承付款项估值以及</w:t>
      </w:r>
      <w:r w:rsidRPr="000C156A">
        <w:rPr>
          <w:lang w:val="fr-FR" w:eastAsia="zh-CN"/>
        </w:rPr>
        <w:t>20</w:t>
      </w:r>
      <w:r w:rsidRPr="000C156A">
        <w:rPr>
          <w:lang w:eastAsia="zh-CN"/>
        </w:rPr>
        <w:t>20</w:t>
      </w:r>
      <w:r w:rsidRPr="000C156A">
        <w:rPr>
          <w:rFonts w:hint="eastAsia"/>
          <w:lang w:eastAsia="zh-CN"/>
        </w:rPr>
        <w:t>年间缴费相关的框架范围内</w:t>
      </w:r>
      <w:r w:rsidRPr="000C156A">
        <w:rPr>
          <w:rFonts w:hint="eastAsia"/>
          <w:lang w:val="fr-FR" w:eastAsia="zh-CN"/>
        </w:rPr>
        <w:t>，</w:t>
      </w:r>
      <w:r w:rsidRPr="000C156A">
        <w:rPr>
          <w:rFonts w:hint="eastAsia"/>
          <w:lang w:eastAsia="zh-CN"/>
        </w:rPr>
        <w:t>国际电联对精算师使用的假设和方法进行证实。下述为</w:t>
      </w:r>
      <w:r w:rsidRPr="000C156A">
        <w:rPr>
          <w:lang w:eastAsia="zh-CN"/>
        </w:rPr>
        <w:t>2020</w:t>
      </w:r>
      <w:r w:rsidRPr="000C156A">
        <w:rPr>
          <w:rFonts w:hint="eastAsia"/>
          <w:lang w:eastAsia="zh-CN"/>
        </w:rPr>
        <w:t>年期间估值所采用的假设与方法。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657"/>
      </w:tblGrid>
      <w:tr w:rsidR="009630A9" w:rsidRPr="000C156A" w14:paraId="68052097" w14:textId="77777777" w:rsidTr="005D02F0">
        <w:tc>
          <w:tcPr>
            <w:tcW w:w="2864" w:type="dxa"/>
            <w:tcBorders>
              <w:top w:val="single" w:sz="4" w:space="0" w:color="auto"/>
              <w:left w:val="single" w:sz="4" w:space="0" w:color="auto"/>
              <w:bottom w:val="single" w:sz="4" w:space="0" w:color="auto"/>
              <w:right w:val="single" w:sz="4" w:space="0" w:color="auto"/>
            </w:tcBorders>
            <w:hideMark/>
          </w:tcPr>
          <w:p w14:paraId="1B9A2D17" w14:textId="77777777" w:rsidR="009630A9" w:rsidRPr="000C156A" w:rsidRDefault="009630A9" w:rsidP="00617541">
            <w:pPr>
              <w:pStyle w:val="Tabletext"/>
              <w:rPr>
                <w:sz w:val="20"/>
                <w:lang w:val="en-US"/>
              </w:rPr>
            </w:pPr>
            <w:r w:rsidRPr="000C156A">
              <w:rPr>
                <w:rFonts w:hint="eastAsia"/>
                <w:sz w:val="20"/>
                <w:lang w:val="en-US"/>
              </w:rPr>
              <w:t>贴现率</w:t>
            </w:r>
          </w:p>
        </w:tc>
        <w:tc>
          <w:tcPr>
            <w:tcW w:w="6657" w:type="dxa"/>
            <w:tcBorders>
              <w:top w:val="single" w:sz="4" w:space="0" w:color="auto"/>
              <w:left w:val="single" w:sz="4" w:space="0" w:color="auto"/>
              <w:bottom w:val="single" w:sz="4" w:space="0" w:color="auto"/>
              <w:right w:val="single" w:sz="4" w:space="0" w:color="auto"/>
            </w:tcBorders>
            <w:hideMark/>
          </w:tcPr>
          <w:p w14:paraId="04C08042" w14:textId="77777777" w:rsidR="009630A9" w:rsidRPr="000C156A" w:rsidRDefault="009630A9" w:rsidP="005D02F0">
            <w:pPr>
              <w:pStyle w:val="Tabletext"/>
              <w:pageBreakBefore/>
              <w:rPr>
                <w:sz w:val="20"/>
                <w:lang w:val="en-US" w:eastAsia="zh-CN"/>
              </w:rPr>
            </w:pPr>
            <w:r w:rsidRPr="000C156A">
              <w:rPr>
                <w:sz w:val="20"/>
                <w:lang w:val="en-US" w:eastAsia="zh-CN"/>
              </w:rPr>
              <w:t>2020</w:t>
            </w:r>
            <w:r w:rsidRPr="000C156A">
              <w:rPr>
                <w:rFonts w:hint="eastAsia"/>
                <w:sz w:val="20"/>
                <w:lang w:val="en-US" w:eastAsia="zh-CN"/>
              </w:rPr>
              <w:t>年</w:t>
            </w:r>
            <w:r w:rsidRPr="000C156A">
              <w:rPr>
                <w:sz w:val="20"/>
                <w:lang w:val="en-US" w:eastAsia="zh-CN"/>
              </w:rPr>
              <w:t>0.2</w:t>
            </w:r>
            <w:r w:rsidRPr="000C156A">
              <w:rPr>
                <w:rFonts w:hint="eastAsia"/>
                <w:sz w:val="20"/>
                <w:lang w:val="en-US" w:eastAsia="zh-CN"/>
              </w:rPr>
              <w:t>0</w:t>
            </w:r>
            <w:r w:rsidRPr="000C156A">
              <w:rPr>
                <w:sz w:val="20"/>
                <w:lang w:val="en-US" w:eastAsia="zh-CN"/>
              </w:rPr>
              <w:t>%</w:t>
            </w:r>
            <w:r w:rsidRPr="000C156A">
              <w:rPr>
                <w:sz w:val="20"/>
                <w:lang w:val="en-US" w:eastAsia="zh-CN"/>
              </w:rPr>
              <w:t>，</w:t>
            </w:r>
            <w:r w:rsidRPr="000C156A">
              <w:rPr>
                <w:sz w:val="20"/>
                <w:lang w:val="en-US" w:eastAsia="zh-CN"/>
              </w:rPr>
              <w:t>2019</w:t>
            </w:r>
            <w:r w:rsidRPr="000C156A">
              <w:rPr>
                <w:rFonts w:hint="eastAsia"/>
                <w:sz w:val="20"/>
                <w:lang w:val="en-US" w:eastAsia="zh-CN"/>
              </w:rPr>
              <w:t>年</w:t>
            </w:r>
            <w:r w:rsidRPr="000C156A">
              <w:rPr>
                <w:rFonts w:hint="eastAsia"/>
                <w:sz w:val="20"/>
                <w:lang w:val="en-US" w:eastAsia="zh-CN"/>
              </w:rPr>
              <w:t>0</w:t>
            </w:r>
            <w:r w:rsidRPr="000C156A">
              <w:rPr>
                <w:sz w:val="20"/>
                <w:lang w:val="en-US" w:eastAsia="zh-CN"/>
              </w:rPr>
              <w:t>.60%</w:t>
            </w:r>
          </w:p>
        </w:tc>
      </w:tr>
      <w:tr w:rsidR="009630A9" w:rsidRPr="000C156A" w14:paraId="2F93899B" w14:textId="77777777" w:rsidTr="005D02F0">
        <w:tc>
          <w:tcPr>
            <w:tcW w:w="2864" w:type="dxa"/>
            <w:tcBorders>
              <w:top w:val="single" w:sz="4" w:space="0" w:color="auto"/>
              <w:left w:val="single" w:sz="4" w:space="0" w:color="auto"/>
              <w:bottom w:val="single" w:sz="4" w:space="0" w:color="auto"/>
              <w:right w:val="single" w:sz="4" w:space="0" w:color="auto"/>
            </w:tcBorders>
            <w:hideMark/>
          </w:tcPr>
          <w:p w14:paraId="27C03F09" w14:textId="77777777" w:rsidR="009630A9" w:rsidRPr="000C156A" w:rsidRDefault="009630A9" w:rsidP="005D02F0">
            <w:pPr>
              <w:pStyle w:val="Tabletext"/>
              <w:rPr>
                <w:sz w:val="20"/>
                <w:lang w:val="en-US" w:eastAsia="zh-CN"/>
              </w:rPr>
            </w:pPr>
            <w:r w:rsidRPr="000C156A">
              <w:rPr>
                <w:rFonts w:hint="eastAsia"/>
                <w:sz w:val="20"/>
                <w:lang w:val="en-US" w:eastAsia="zh-CN"/>
              </w:rPr>
              <w:t>医疗费用增长</w:t>
            </w:r>
          </w:p>
        </w:tc>
        <w:tc>
          <w:tcPr>
            <w:tcW w:w="6657" w:type="dxa"/>
            <w:tcBorders>
              <w:top w:val="single" w:sz="4" w:space="0" w:color="auto"/>
              <w:left w:val="single" w:sz="4" w:space="0" w:color="auto"/>
              <w:bottom w:val="single" w:sz="4" w:space="0" w:color="auto"/>
              <w:right w:val="single" w:sz="4" w:space="0" w:color="auto"/>
            </w:tcBorders>
            <w:hideMark/>
          </w:tcPr>
          <w:p w14:paraId="153F119E" w14:textId="77777777" w:rsidR="009630A9" w:rsidRPr="000C156A" w:rsidRDefault="009630A9" w:rsidP="005D02F0">
            <w:pPr>
              <w:pStyle w:val="Tabletext"/>
              <w:rPr>
                <w:sz w:val="20"/>
                <w:lang w:val="en-US" w:eastAsia="zh-CN"/>
              </w:rPr>
            </w:pPr>
            <w:r w:rsidRPr="000C156A">
              <w:rPr>
                <w:sz w:val="20"/>
                <w:lang w:val="en-US" w:eastAsia="zh-CN"/>
              </w:rPr>
              <w:t>2020</w:t>
            </w:r>
            <w:r w:rsidRPr="000C156A">
              <w:rPr>
                <w:rFonts w:hint="eastAsia"/>
                <w:sz w:val="20"/>
                <w:lang w:val="en-US" w:eastAsia="zh-CN"/>
              </w:rPr>
              <w:t>年</w:t>
            </w:r>
            <w:r w:rsidRPr="000C156A">
              <w:rPr>
                <w:sz w:val="20"/>
                <w:lang w:val="en-US" w:eastAsia="zh-CN"/>
              </w:rPr>
              <w:t>2.80%</w:t>
            </w:r>
            <w:r w:rsidRPr="000C156A">
              <w:rPr>
                <w:rFonts w:hint="eastAsia"/>
                <w:sz w:val="20"/>
                <w:lang w:val="en-US" w:eastAsia="zh-CN"/>
              </w:rPr>
              <w:t>，</w:t>
            </w:r>
            <w:r w:rsidRPr="000C156A">
              <w:rPr>
                <w:rFonts w:hint="eastAsia"/>
                <w:sz w:val="20"/>
                <w:lang w:val="en-US" w:eastAsia="zh-CN"/>
              </w:rPr>
              <w:t>2</w:t>
            </w:r>
            <w:r w:rsidRPr="000C156A">
              <w:rPr>
                <w:sz w:val="20"/>
                <w:lang w:val="en-US" w:eastAsia="zh-CN"/>
              </w:rPr>
              <w:t>019</w:t>
            </w:r>
            <w:r w:rsidRPr="000C156A">
              <w:rPr>
                <w:rFonts w:hint="eastAsia"/>
                <w:sz w:val="20"/>
                <w:lang w:val="en-US" w:eastAsia="zh-CN"/>
              </w:rPr>
              <w:t>年</w:t>
            </w:r>
            <w:r w:rsidRPr="000C156A">
              <w:rPr>
                <w:sz w:val="20"/>
                <w:lang w:val="en-US" w:eastAsia="zh-CN"/>
              </w:rPr>
              <w:t>3%</w:t>
            </w:r>
          </w:p>
        </w:tc>
      </w:tr>
      <w:tr w:rsidR="009630A9" w:rsidRPr="000C156A" w14:paraId="3E88256B" w14:textId="77777777" w:rsidTr="005D02F0">
        <w:tc>
          <w:tcPr>
            <w:tcW w:w="2864" w:type="dxa"/>
            <w:tcBorders>
              <w:top w:val="single" w:sz="4" w:space="0" w:color="auto"/>
              <w:left w:val="single" w:sz="4" w:space="0" w:color="auto"/>
              <w:bottom w:val="single" w:sz="4" w:space="0" w:color="auto"/>
              <w:right w:val="single" w:sz="4" w:space="0" w:color="auto"/>
            </w:tcBorders>
            <w:hideMark/>
          </w:tcPr>
          <w:p w14:paraId="4A12C36B" w14:textId="77777777" w:rsidR="009630A9" w:rsidRPr="000C156A" w:rsidRDefault="009630A9" w:rsidP="005D02F0">
            <w:pPr>
              <w:pStyle w:val="Tabletext"/>
              <w:rPr>
                <w:sz w:val="20"/>
                <w:lang w:val="en-US" w:eastAsia="zh-CN"/>
              </w:rPr>
            </w:pPr>
            <w:r w:rsidRPr="000C156A">
              <w:rPr>
                <w:rFonts w:hint="eastAsia"/>
                <w:sz w:val="20"/>
                <w:lang w:val="en-US" w:eastAsia="zh-CN"/>
              </w:rPr>
              <w:t>资产的预期会计收益率</w:t>
            </w:r>
          </w:p>
        </w:tc>
        <w:tc>
          <w:tcPr>
            <w:tcW w:w="6657" w:type="dxa"/>
            <w:tcBorders>
              <w:top w:val="single" w:sz="4" w:space="0" w:color="auto"/>
              <w:left w:val="single" w:sz="4" w:space="0" w:color="auto"/>
              <w:bottom w:val="single" w:sz="4" w:space="0" w:color="auto"/>
              <w:right w:val="single" w:sz="4" w:space="0" w:color="auto"/>
            </w:tcBorders>
            <w:hideMark/>
          </w:tcPr>
          <w:p w14:paraId="4CDFBDFB" w14:textId="77777777" w:rsidR="009630A9" w:rsidRPr="000C156A" w:rsidRDefault="009630A9" w:rsidP="005D02F0">
            <w:pPr>
              <w:pStyle w:val="Tabletext"/>
              <w:rPr>
                <w:sz w:val="20"/>
                <w:lang w:val="en-US" w:eastAsia="zh-CN"/>
              </w:rPr>
            </w:pPr>
            <w:r w:rsidRPr="000C156A">
              <w:rPr>
                <w:sz w:val="20"/>
                <w:lang w:val="en-US" w:eastAsia="zh-CN"/>
              </w:rPr>
              <w:t>2020</w:t>
            </w:r>
            <w:r w:rsidRPr="000C156A">
              <w:rPr>
                <w:rFonts w:hint="eastAsia"/>
                <w:sz w:val="20"/>
                <w:lang w:val="en-US" w:eastAsia="zh-CN"/>
              </w:rPr>
              <w:t>年不适用</w:t>
            </w:r>
          </w:p>
        </w:tc>
      </w:tr>
      <w:tr w:rsidR="009630A9" w:rsidRPr="000C156A" w14:paraId="02431A52" w14:textId="77777777" w:rsidTr="005D02F0">
        <w:tc>
          <w:tcPr>
            <w:tcW w:w="2864" w:type="dxa"/>
            <w:tcBorders>
              <w:top w:val="single" w:sz="4" w:space="0" w:color="auto"/>
              <w:left w:val="single" w:sz="4" w:space="0" w:color="auto"/>
              <w:bottom w:val="single" w:sz="4" w:space="0" w:color="auto"/>
              <w:right w:val="single" w:sz="4" w:space="0" w:color="auto"/>
            </w:tcBorders>
            <w:hideMark/>
          </w:tcPr>
          <w:p w14:paraId="08104E8B" w14:textId="77777777" w:rsidR="009630A9" w:rsidRPr="000C156A" w:rsidRDefault="009630A9" w:rsidP="005D02F0">
            <w:pPr>
              <w:pStyle w:val="Tabletext"/>
              <w:rPr>
                <w:sz w:val="20"/>
                <w:lang w:val="en-US" w:eastAsia="zh-CN"/>
              </w:rPr>
            </w:pPr>
            <w:r w:rsidRPr="000C156A">
              <w:rPr>
                <w:rFonts w:hint="eastAsia"/>
                <w:sz w:val="20"/>
                <w:lang w:val="en-US" w:eastAsia="zh-CN"/>
              </w:rPr>
              <w:t>薪酬增长</w:t>
            </w:r>
          </w:p>
        </w:tc>
        <w:tc>
          <w:tcPr>
            <w:tcW w:w="6657" w:type="dxa"/>
            <w:tcBorders>
              <w:top w:val="single" w:sz="4" w:space="0" w:color="auto"/>
              <w:left w:val="single" w:sz="4" w:space="0" w:color="auto"/>
              <w:bottom w:val="single" w:sz="4" w:space="0" w:color="auto"/>
              <w:right w:val="single" w:sz="4" w:space="0" w:color="auto"/>
            </w:tcBorders>
            <w:hideMark/>
          </w:tcPr>
          <w:p w14:paraId="74A1E7B6" w14:textId="77777777" w:rsidR="009630A9" w:rsidRPr="000C156A" w:rsidRDefault="009630A9" w:rsidP="005D02F0">
            <w:pPr>
              <w:pStyle w:val="Tabletext"/>
              <w:rPr>
                <w:sz w:val="20"/>
                <w:lang w:val="en-US" w:eastAsia="zh-CN"/>
              </w:rPr>
            </w:pPr>
            <w:r w:rsidRPr="000C156A">
              <w:rPr>
                <w:sz w:val="20"/>
                <w:lang w:val="en-US" w:eastAsia="zh-CN"/>
              </w:rPr>
              <w:t>3%</w:t>
            </w:r>
            <w:r w:rsidRPr="000C156A">
              <w:rPr>
                <w:rFonts w:hint="eastAsia"/>
                <w:sz w:val="20"/>
                <w:lang w:val="en-US" w:eastAsia="zh-CN"/>
              </w:rPr>
              <w:t>加上</w:t>
            </w:r>
            <w:r w:rsidRPr="000C156A">
              <w:rPr>
                <w:rFonts w:hint="eastAsia"/>
                <w:sz w:val="20"/>
                <w:lang w:val="en-US" w:eastAsia="zh-CN"/>
              </w:rPr>
              <w:t>2</w:t>
            </w:r>
            <w:r w:rsidRPr="000C156A">
              <w:rPr>
                <w:sz w:val="20"/>
                <w:lang w:val="en-US" w:eastAsia="zh-CN"/>
              </w:rPr>
              <w:t>019</w:t>
            </w:r>
            <w:r w:rsidRPr="000C156A">
              <w:rPr>
                <w:rFonts w:hint="eastAsia"/>
                <w:sz w:val="20"/>
                <w:lang w:val="en-US" w:eastAsia="zh-CN"/>
              </w:rPr>
              <w:t>年</w:t>
            </w:r>
            <w:r w:rsidRPr="000C156A">
              <w:rPr>
                <w:sz w:val="20"/>
                <w:lang w:val="en-US" w:eastAsia="zh-CN"/>
              </w:rPr>
              <w:t>UNJSPF</w:t>
            </w:r>
            <w:r w:rsidRPr="000C156A">
              <w:rPr>
                <w:sz w:val="20"/>
                <w:lang w:eastAsia="zh-CN"/>
              </w:rPr>
              <w:t>静态薪金表</w:t>
            </w:r>
          </w:p>
        </w:tc>
      </w:tr>
      <w:tr w:rsidR="009630A9" w:rsidRPr="000C156A" w14:paraId="6A172AF4" w14:textId="77777777" w:rsidTr="005D02F0">
        <w:tc>
          <w:tcPr>
            <w:tcW w:w="2864" w:type="dxa"/>
            <w:tcBorders>
              <w:top w:val="single" w:sz="4" w:space="0" w:color="auto"/>
              <w:left w:val="single" w:sz="4" w:space="0" w:color="auto"/>
              <w:bottom w:val="single" w:sz="4" w:space="0" w:color="auto"/>
              <w:right w:val="single" w:sz="4" w:space="0" w:color="auto"/>
            </w:tcBorders>
            <w:hideMark/>
          </w:tcPr>
          <w:p w14:paraId="6355702A" w14:textId="77777777" w:rsidR="009630A9" w:rsidRPr="000C156A" w:rsidRDefault="009630A9" w:rsidP="005D02F0">
            <w:pPr>
              <w:pStyle w:val="Tabletext"/>
              <w:rPr>
                <w:sz w:val="20"/>
                <w:lang w:val="en-US" w:eastAsia="zh-CN"/>
              </w:rPr>
            </w:pPr>
            <w:r w:rsidRPr="000C156A">
              <w:rPr>
                <w:rFonts w:hint="eastAsia"/>
                <w:sz w:val="20"/>
                <w:lang w:val="en-US" w:eastAsia="zh-CN"/>
              </w:rPr>
              <w:t>养恤金增长</w:t>
            </w:r>
          </w:p>
        </w:tc>
        <w:tc>
          <w:tcPr>
            <w:tcW w:w="6657" w:type="dxa"/>
            <w:tcBorders>
              <w:top w:val="single" w:sz="4" w:space="0" w:color="auto"/>
              <w:left w:val="single" w:sz="4" w:space="0" w:color="auto"/>
              <w:bottom w:val="single" w:sz="4" w:space="0" w:color="auto"/>
              <w:right w:val="single" w:sz="4" w:space="0" w:color="auto"/>
            </w:tcBorders>
            <w:hideMark/>
          </w:tcPr>
          <w:p w14:paraId="5FBCD3D3" w14:textId="77777777" w:rsidR="009630A9" w:rsidRPr="000C156A" w:rsidRDefault="009630A9" w:rsidP="005D02F0">
            <w:pPr>
              <w:pStyle w:val="Tabletext"/>
              <w:rPr>
                <w:sz w:val="20"/>
                <w:lang w:val="en-US" w:eastAsia="zh-CN"/>
              </w:rPr>
            </w:pPr>
            <w:r w:rsidRPr="000C156A">
              <w:rPr>
                <w:sz w:val="20"/>
                <w:lang w:val="en-US" w:eastAsia="zh-CN"/>
              </w:rPr>
              <w:t>2020</w:t>
            </w:r>
            <w:r w:rsidRPr="000C156A">
              <w:rPr>
                <w:rFonts w:hint="eastAsia"/>
                <w:sz w:val="20"/>
                <w:lang w:val="en-US" w:eastAsia="zh-CN"/>
              </w:rPr>
              <w:t>和</w:t>
            </w:r>
            <w:r w:rsidRPr="000C156A">
              <w:rPr>
                <w:sz w:val="20"/>
                <w:lang w:val="en-US" w:eastAsia="zh-CN"/>
              </w:rPr>
              <w:t>2019</w:t>
            </w:r>
            <w:r w:rsidRPr="000C156A">
              <w:rPr>
                <w:rFonts w:hint="eastAsia"/>
                <w:sz w:val="20"/>
                <w:lang w:val="en-US" w:eastAsia="zh-CN"/>
              </w:rPr>
              <w:t>年均为</w:t>
            </w:r>
            <w:r w:rsidRPr="000C156A">
              <w:rPr>
                <w:sz w:val="20"/>
                <w:lang w:val="en-US" w:eastAsia="zh-CN"/>
              </w:rPr>
              <w:t>2.50%</w:t>
            </w:r>
          </w:p>
        </w:tc>
      </w:tr>
      <w:tr w:rsidR="009630A9" w:rsidRPr="000C156A" w14:paraId="4EB13815" w14:textId="77777777" w:rsidTr="005D02F0">
        <w:tc>
          <w:tcPr>
            <w:tcW w:w="2864" w:type="dxa"/>
            <w:tcBorders>
              <w:top w:val="single" w:sz="4" w:space="0" w:color="auto"/>
              <w:left w:val="single" w:sz="4" w:space="0" w:color="auto"/>
              <w:bottom w:val="single" w:sz="4" w:space="0" w:color="auto"/>
              <w:right w:val="single" w:sz="4" w:space="0" w:color="auto"/>
            </w:tcBorders>
            <w:hideMark/>
          </w:tcPr>
          <w:p w14:paraId="15D7C2A9" w14:textId="77777777" w:rsidR="009630A9" w:rsidRPr="000C156A" w:rsidRDefault="009630A9" w:rsidP="005D02F0">
            <w:pPr>
              <w:pStyle w:val="Tabletext"/>
              <w:rPr>
                <w:sz w:val="20"/>
                <w:lang w:val="en-US" w:eastAsia="zh-CN"/>
              </w:rPr>
            </w:pPr>
            <w:r w:rsidRPr="000C156A">
              <w:rPr>
                <w:sz w:val="20"/>
                <w:lang w:val="en-US" w:eastAsia="zh-CN"/>
              </w:rPr>
              <w:t>201</w:t>
            </w:r>
            <w:r w:rsidRPr="000C156A">
              <w:rPr>
                <w:rFonts w:hint="eastAsia"/>
                <w:sz w:val="20"/>
                <w:lang w:val="en-US" w:eastAsia="zh-CN"/>
              </w:rPr>
              <w:t>8</w:t>
            </w:r>
            <w:r w:rsidRPr="000C156A">
              <w:rPr>
                <w:rFonts w:hint="eastAsia"/>
                <w:sz w:val="20"/>
                <w:lang w:val="en-US" w:eastAsia="zh-CN"/>
              </w:rPr>
              <w:t>年医疗费用报销申请年预期平均成本和不同年龄的医疗费用变化</w:t>
            </w:r>
          </w:p>
        </w:tc>
        <w:tc>
          <w:tcPr>
            <w:tcW w:w="6657" w:type="dxa"/>
            <w:tcBorders>
              <w:top w:val="single" w:sz="4" w:space="0" w:color="auto"/>
              <w:left w:val="single" w:sz="4" w:space="0" w:color="auto"/>
              <w:bottom w:val="single" w:sz="4" w:space="0" w:color="auto"/>
              <w:right w:val="single" w:sz="4" w:space="0" w:color="auto"/>
            </w:tcBorders>
            <w:hideMark/>
          </w:tcPr>
          <w:p w14:paraId="11539614" w14:textId="057695C3" w:rsidR="009630A9" w:rsidRPr="000C156A" w:rsidRDefault="009630A9" w:rsidP="005D02F0">
            <w:pPr>
              <w:pStyle w:val="Tabletext"/>
              <w:rPr>
                <w:sz w:val="20"/>
                <w:lang w:val="en-US" w:eastAsia="zh-CN"/>
              </w:rPr>
            </w:pPr>
            <w:r w:rsidRPr="000C156A">
              <w:rPr>
                <w:sz w:val="20"/>
                <w:lang w:val="en-US" w:eastAsia="zh-CN"/>
              </w:rPr>
              <w:t>2020</w:t>
            </w:r>
            <w:r w:rsidRPr="000C156A">
              <w:rPr>
                <w:rFonts w:hint="eastAsia"/>
                <w:sz w:val="20"/>
                <w:lang w:val="en-US" w:eastAsia="zh-CN"/>
              </w:rPr>
              <w:t>年精算报告基于</w:t>
            </w:r>
            <w:r w:rsidRPr="000C156A">
              <w:rPr>
                <w:sz w:val="20"/>
                <w:lang w:val="en-US" w:eastAsia="zh-CN"/>
              </w:rPr>
              <w:t>2020</w:t>
            </w:r>
            <w:r w:rsidRPr="000C156A">
              <w:rPr>
                <w:rFonts w:hint="eastAsia"/>
                <w:sz w:val="20"/>
                <w:lang w:val="en-US" w:eastAsia="zh-CN"/>
              </w:rPr>
              <w:t>年底年龄分别为</w:t>
            </w:r>
            <w:r w:rsidRPr="000C156A">
              <w:rPr>
                <w:sz w:val="20"/>
                <w:lang w:val="en-US" w:eastAsia="zh-CN"/>
              </w:rPr>
              <w:t>50</w:t>
            </w:r>
            <w:r w:rsidRPr="000C156A">
              <w:rPr>
                <w:rFonts w:hint="eastAsia"/>
                <w:sz w:val="20"/>
                <w:lang w:val="en-US" w:eastAsia="zh-CN"/>
              </w:rPr>
              <w:t>、</w:t>
            </w:r>
            <w:r w:rsidRPr="000C156A">
              <w:rPr>
                <w:sz w:val="20"/>
                <w:lang w:val="en-US" w:eastAsia="zh-CN"/>
              </w:rPr>
              <w:t>55</w:t>
            </w:r>
            <w:r w:rsidRPr="000C156A">
              <w:rPr>
                <w:rFonts w:hint="eastAsia"/>
                <w:sz w:val="20"/>
                <w:lang w:val="en-US" w:eastAsia="zh-CN"/>
              </w:rPr>
              <w:t>、</w:t>
            </w:r>
            <w:r w:rsidRPr="000C156A">
              <w:rPr>
                <w:sz w:val="20"/>
                <w:lang w:val="en-US" w:eastAsia="zh-CN"/>
              </w:rPr>
              <w:t>60</w:t>
            </w:r>
            <w:r w:rsidRPr="000C156A">
              <w:rPr>
                <w:rFonts w:hint="eastAsia"/>
                <w:sz w:val="20"/>
                <w:lang w:val="en-US" w:eastAsia="zh-CN"/>
              </w:rPr>
              <w:t>、</w:t>
            </w:r>
            <w:r w:rsidRPr="000C156A">
              <w:rPr>
                <w:sz w:val="20"/>
                <w:lang w:val="en-US" w:eastAsia="zh-CN"/>
              </w:rPr>
              <w:t>65</w:t>
            </w:r>
            <w:r w:rsidRPr="000C156A">
              <w:rPr>
                <w:rFonts w:hint="eastAsia"/>
                <w:sz w:val="20"/>
                <w:lang w:val="en-US" w:eastAsia="zh-CN"/>
              </w:rPr>
              <w:t>、</w:t>
            </w:r>
            <w:r w:rsidRPr="000C156A">
              <w:rPr>
                <w:sz w:val="20"/>
                <w:lang w:val="en-US" w:eastAsia="zh-CN"/>
              </w:rPr>
              <w:t>70</w:t>
            </w:r>
            <w:r w:rsidRPr="000C156A">
              <w:rPr>
                <w:rFonts w:hint="eastAsia"/>
                <w:sz w:val="20"/>
                <w:lang w:val="en-US" w:eastAsia="zh-CN"/>
              </w:rPr>
              <w:t>、</w:t>
            </w:r>
            <w:r w:rsidRPr="000C156A">
              <w:rPr>
                <w:sz w:val="20"/>
                <w:lang w:val="en-US" w:eastAsia="zh-CN"/>
              </w:rPr>
              <w:t>75</w:t>
            </w:r>
            <w:r w:rsidRPr="000C156A">
              <w:rPr>
                <w:rFonts w:hint="eastAsia"/>
                <w:sz w:val="20"/>
                <w:lang w:val="en-US" w:eastAsia="zh-CN"/>
              </w:rPr>
              <w:t>和</w:t>
            </w:r>
            <w:r w:rsidRPr="000C156A">
              <w:rPr>
                <w:sz w:val="20"/>
                <w:lang w:val="en-US" w:eastAsia="zh-CN"/>
              </w:rPr>
              <w:t>80</w:t>
            </w:r>
            <w:r w:rsidRPr="000C156A">
              <w:rPr>
                <w:rFonts w:hint="eastAsia"/>
                <w:sz w:val="20"/>
                <w:lang w:val="en-US" w:eastAsia="zh-CN"/>
              </w:rPr>
              <w:t>岁的人员估算的平均年龄段报销申请平均费用（瑞郎）：</w:t>
            </w:r>
            <w:r w:rsidRPr="000C156A">
              <w:rPr>
                <w:rFonts w:hint="eastAsia"/>
                <w:sz w:val="20"/>
                <w:lang w:val="en-US" w:eastAsia="zh-CN"/>
              </w:rPr>
              <w:t>3</w:t>
            </w:r>
            <w:r w:rsidRPr="000C156A">
              <w:rPr>
                <w:sz w:val="20"/>
                <w:lang w:val="en-US" w:eastAsia="zh-CN"/>
              </w:rPr>
              <w:t> 487</w:t>
            </w:r>
            <w:r w:rsidRPr="000C156A">
              <w:rPr>
                <w:rFonts w:hint="eastAsia"/>
                <w:sz w:val="20"/>
                <w:lang w:val="en-US" w:eastAsia="zh-CN"/>
              </w:rPr>
              <w:t>瑞郎、</w:t>
            </w:r>
            <w:r w:rsidRPr="000C156A">
              <w:rPr>
                <w:rFonts w:hint="eastAsia"/>
                <w:sz w:val="20"/>
                <w:lang w:val="en-US" w:eastAsia="zh-CN"/>
              </w:rPr>
              <w:t>4</w:t>
            </w:r>
            <w:r w:rsidRPr="000C156A">
              <w:rPr>
                <w:sz w:val="20"/>
                <w:lang w:val="en-US" w:eastAsia="zh-CN"/>
              </w:rPr>
              <w:t> 365</w:t>
            </w:r>
            <w:r w:rsidRPr="000C156A">
              <w:rPr>
                <w:rFonts w:hint="eastAsia"/>
                <w:sz w:val="20"/>
                <w:lang w:val="en-US" w:eastAsia="zh-CN"/>
              </w:rPr>
              <w:t>瑞郎、</w:t>
            </w:r>
            <w:r w:rsidRPr="000C156A">
              <w:rPr>
                <w:rFonts w:hint="eastAsia"/>
                <w:sz w:val="20"/>
                <w:lang w:val="en-US" w:eastAsia="zh-CN"/>
              </w:rPr>
              <w:t>5</w:t>
            </w:r>
            <w:r w:rsidRPr="000C156A">
              <w:rPr>
                <w:sz w:val="20"/>
                <w:lang w:val="en-US" w:eastAsia="zh-CN"/>
              </w:rPr>
              <w:t> 472</w:t>
            </w:r>
            <w:r w:rsidRPr="000C156A">
              <w:rPr>
                <w:rFonts w:hint="eastAsia"/>
                <w:sz w:val="20"/>
                <w:lang w:val="en-US" w:eastAsia="zh-CN"/>
              </w:rPr>
              <w:t>瑞郎、</w:t>
            </w:r>
            <w:r w:rsidRPr="000C156A">
              <w:rPr>
                <w:rFonts w:hint="eastAsia"/>
                <w:sz w:val="20"/>
                <w:lang w:val="en-US" w:eastAsia="zh-CN"/>
              </w:rPr>
              <w:t>6</w:t>
            </w:r>
            <w:r w:rsidRPr="000C156A">
              <w:rPr>
                <w:sz w:val="20"/>
                <w:lang w:val="en-US" w:eastAsia="zh-CN"/>
              </w:rPr>
              <w:t> 871</w:t>
            </w:r>
            <w:r w:rsidRPr="000C156A">
              <w:rPr>
                <w:rFonts w:hint="eastAsia"/>
                <w:sz w:val="20"/>
                <w:lang w:val="en-US" w:eastAsia="zh-CN"/>
              </w:rPr>
              <w:t>瑞郎、</w:t>
            </w:r>
            <w:r w:rsidRPr="000C156A">
              <w:rPr>
                <w:rFonts w:hint="eastAsia"/>
                <w:sz w:val="20"/>
                <w:lang w:val="en-US" w:eastAsia="zh-CN"/>
              </w:rPr>
              <w:t>8</w:t>
            </w:r>
            <w:r w:rsidRPr="000C156A">
              <w:rPr>
                <w:sz w:val="20"/>
                <w:lang w:val="en-US" w:eastAsia="zh-CN"/>
              </w:rPr>
              <w:t> 641</w:t>
            </w:r>
            <w:r w:rsidRPr="000C156A">
              <w:rPr>
                <w:rFonts w:hint="eastAsia"/>
                <w:sz w:val="20"/>
                <w:lang w:val="en-US" w:eastAsia="zh-CN"/>
              </w:rPr>
              <w:t>瑞郎、</w:t>
            </w:r>
            <w:r w:rsidRPr="000C156A">
              <w:rPr>
                <w:sz w:val="20"/>
                <w:lang w:val="en-US" w:eastAsia="zh-CN"/>
              </w:rPr>
              <w:t>10 889</w:t>
            </w:r>
            <w:r w:rsidRPr="000C156A">
              <w:rPr>
                <w:rFonts w:hint="eastAsia"/>
                <w:sz w:val="20"/>
                <w:lang w:val="en-US" w:eastAsia="zh-CN"/>
              </w:rPr>
              <w:t>瑞郎、</w:t>
            </w:r>
            <w:r w:rsidRPr="000C156A">
              <w:rPr>
                <w:sz w:val="20"/>
                <w:lang w:val="en-US" w:eastAsia="zh-CN"/>
              </w:rPr>
              <w:t>13</w:t>
            </w:r>
            <w:r w:rsidR="00C36F43" w:rsidRPr="000C156A">
              <w:rPr>
                <w:sz w:val="20"/>
                <w:lang w:val="en-US" w:eastAsia="zh-CN"/>
              </w:rPr>
              <w:t> </w:t>
            </w:r>
            <w:r w:rsidRPr="000C156A">
              <w:rPr>
                <w:sz w:val="20"/>
                <w:lang w:val="en-US" w:eastAsia="zh-CN"/>
              </w:rPr>
              <w:t>743</w:t>
            </w:r>
            <w:r w:rsidRPr="000C156A">
              <w:rPr>
                <w:rFonts w:hint="eastAsia"/>
                <w:sz w:val="20"/>
                <w:lang w:val="en-US" w:eastAsia="zh-CN"/>
              </w:rPr>
              <w:t>瑞郎。</w:t>
            </w:r>
          </w:p>
        </w:tc>
      </w:tr>
      <w:tr w:rsidR="009630A9" w:rsidRPr="000C156A" w14:paraId="25885342" w14:textId="77777777" w:rsidTr="005D02F0">
        <w:tc>
          <w:tcPr>
            <w:tcW w:w="2864" w:type="dxa"/>
            <w:tcBorders>
              <w:top w:val="single" w:sz="4" w:space="0" w:color="auto"/>
              <w:left w:val="single" w:sz="4" w:space="0" w:color="auto"/>
              <w:bottom w:val="single" w:sz="4" w:space="0" w:color="auto"/>
              <w:right w:val="single" w:sz="4" w:space="0" w:color="auto"/>
            </w:tcBorders>
            <w:hideMark/>
          </w:tcPr>
          <w:p w14:paraId="7FC16E05" w14:textId="77777777" w:rsidR="009630A9" w:rsidRPr="000C156A" w:rsidRDefault="009630A9" w:rsidP="005D02F0">
            <w:pPr>
              <w:pStyle w:val="Tabletext"/>
              <w:rPr>
                <w:sz w:val="20"/>
                <w:lang w:val="en-US"/>
              </w:rPr>
            </w:pPr>
            <w:r w:rsidRPr="000C156A">
              <w:rPr>
                <w:rFonts w:hint="eastAsia"/>
                <w:sz w:val="20"/>
                <w:lang w:val="en-US"/>
              </w:rPr>
              <w:t>行政费用</w:t>
            </w:r>
          </w:p>
        </w:tc>
        <w:tc>
          <w:tcPr>
            <w:tcW w:w="6657" w:type="dxa"/>
            <w:tcBorders>
              <w:top w:val="single" w:sz="4" w:space="0" w:color="auto"/>
              <w:left w:val="single" w:sz="4" w:space="0" w:color="auto"/>
              <w:bottom w:val="single" w:sz="4" w:space="0" w:color="auto"/>
              <w:right w:val="single" w:sz="4" w:space="0" w:color="auto"/>
            </w:tcBorders>
            <w:hideMark/>
          </w:tcPr>
          <w:p w14:paraId="3AA6A157" w14:textId="77777777" w:rsidR="009630A9" w:rsidRPr="000C156A" w:rsidRDefault="009630A9" w:rsidP="005D02F0">
            <w:pPr>
              <w:pStyle w:val="Tabletext"/>
              <w:rPr>
                <w:sz w:val="20"/>
                <w:lang w:val="en-US" w:eastAsia="zh-CN"/>
              </w:rPr>
            </w:pPr>
            <w:r w:rsidRPr="000C156A">
              <w:rPr>
                <w:rFonts w:hint="eastAsia"/>
                <w:sz w:val="20"/>
                <w:lang w:val="en-US" w:eastAsia="zh-CN"/>
              </w:rPr>
              <w:t>每人年平均行政费用为</w:t>
            </w:r>
            <w:r w:rsidRPr="000C156A">
              <w:rPr>
                <w:sz w:val="20"/>
                <w:lang w:val="en-US" w:eastAsia="zh-CN"/>
              </w:rPr>
              <w:t>161</w:t>
            </w:r>
            <w:r w:rsidRPr="000C156A">
              <w:rPr>
                <w:rFonts w:hint="eastAsia"/>
                <w:sz w:val="20"/>
                <w:lang w:val="en-US" w:eastAsia="zh-CN"/>
              </w:rPr>
              <w:t>瑞郎。</w:t>
            </w:r>
          </w:p>
        </w:tc>
      </w:tr>
      <w:tr w:rsidR="009630A9" w:rsidRPr="000C156A" w14:paraId="2EAF0A37" w14:textId="77777777" w:rsidTr="005D02F0">
        <w:tc>
          <w:tcPr>
            <w:tcW w:w="2864" w:type="dxa"/>
            <w:tcBorders>
              <w:top w:val="single" w:sz="4" w:space="0" w:color="auto"/>
              <w:left w:val="single" w:sz="4" w:space="0" w:color="auto"/>
              <w:bottom w:val="single" w:sz="4" w:space="0" w:color="auto"/>
              <w:right w:val="single" w:sz="4" w:space="0" w:color="auto"/>
            </w:tcBorders>
            <w:hideMark/>
          </w:tcPr>
          <w:p w14:paraId="79EEDDD8" w14:textId="77777777" w:rsidR="009630A9" w:rsidRPr="000C156A" w:rsidRDefault="009630A9" w:rsidP="005D02F0">
            <w:pPr>
              <w:pStyle w:val="Tabletext"/>
              <w:rPr>
                <w:sz w:val="20"/>
                <w:lang w:val="en-US"/>
              </w:rPr>
            </w:pPr>
            <w:r w:rsidRPr="000C156A">
              <w:rPr>
                <w:rFonts w:hint="eastAsia"/>
                <w:sz w:val="20"/>
                <w:lang w:val="en-US"/>
              </w:rPr>
              <w:t>死亡率</w:t>
            </w:r>
          </w:p>
        </w:tc>
        <w:tc>
          <w:tcPr>
            <w:tcW w:w="6657" w:type="dxa"/>
            <w:tcBorders>
              <w:top w:val="single" w:sz="4" w:space="0" w:color="auto"/>
              <w:left w:val="single" w:sz="4" w:space="0" w:color="auto"/>
              <w:bottom w:val="single" w:sz="4" w:space="0" w:color="auto"/>
              <w:right w:val="single" w:sz="4" w:space="0" w:color="auto"/>
            </w:tcBorders>
            <w:hideMark/>
          </w:tcPr>
          <w:p w14:paraId="5BC1A3A0" w14:textId="77777777" w:rsidR="009630A9" w:rsidRPr="000C156A" w:rsidRDefault="009630A9" w:rsidP="005D02F0">
            <w:pPr>
              <w:pStyle w:val="Tabletext"/>
              <w:rPr>
                <w:sz w:val="20"/>
                <w:lang w:val="en-US" w:eastAsia="zh-CN"/>
              </w:rPr>
            </w:pPr>
            <w:r w:rsidRPr="000C156A">
              <w:rPr>
                <w:sz w:val="20"/>
                <w:lang w:eastAsia="zh-CN"/>
              </w:rPr>
              <w:t>死亡率基于上一份按性别分列的联合国死亡率表</w:t>
            </w:r>
            <w:r w:rsidRPr="000C156A">
              <w:rPr>
                <w:rFonts w:hint="eastAsia"/>
                <w:sz w:val="20"/>
                <w:lang w:eastAsia="zh-CN"/>
              </w:rPr>
              <w:t>（</w:t>
            </w:r>
            <w:r w:rsidRPr="000C156A">
              <w:rPr>
                <w:sz w:val="20"/>
                <w:lang w:eastAsia="zh-CN"/>
              </w:rPr>
              <w:t>2021</w:t>
            </w:r>
            <w:r w:rsidRPr="000C156A">
              <w:rPr>
                <w:sz w:val="20"/>
                <w:lang w:eastAsia="zh-CN"/>
              </w:rPr>
              <w:t>年</w:t>
            </w:r>
            <w:r w:rsidRPr="000C156A">
              <w:rPr>
                <w:rFonts w:hint="eastAsia"/>
                <w:sz w:val="20"/>
                <w:lang w:eastAsia="zh-CN"/>
              </w:rPr>
              <w:t>1</w:t>
            </w:r>
            <w:r w:rsidRPr="000C156A">
              <w:rPr>
                <w:sz w:val="20"/>
                <w:lang w:eastAsia="zh-CN"/>
              </w:rPr>
              <w:t>月</w:t>
            </w:r>
            <w:r w:rsidRPr="000C156A">
              <w:rPr>
                <w:rFonts w:hint="eastAsia"/>
                <w:sz w:val="20"/>
                <w:lang w:eastAsia="zh-CN"/>
              </w:rPr>
              <w:t>）</w:t>
            </w:r>
            <w:r w:rsidRPr="000C156A">
              <w:rPr>
                <w:sz w:val="20"/>
                <w:lang w:eastAsia="zh-CN"/>
              </w:rPr>
              <w:t>，</w:t>
            </w:r>
            <w:r w:rsidRPr="000C156A">
              <w:rPr>
                <w:rFonts w:hint="eastAsia"/>
                <w:sz w:val="20"/>
                <w:lang w:eastAsia="zh-CN"/>
              </w:rPr>
              <w:t>现职</w:t>
            </w:r>
            <w:r w:rsidRPr="000C156A">
              <w:rPr>
                <w:sz w:val="20"/>
                <w:lang w:eastAsia="zh-CN"/>
              </w:rPr>
              <w:t>人员和残疾退休人员的寿命没有</w:t>
            </w:r>
            <w:r w:rsidRPr="000C156A">
              <w:rPr>
                <w:rFonts w:hint="eastAsia"/>
                <w:sz w:val="20"/>
                <w:lang w:eastAsia="zh-CN"/>
              </w:rPr>
              <w:t>延长</w:t>
            </w:r>
            <w:r w:rsidRPr="000C156A">
              <w:rPr>
                <w:sz w:val="20"/>
                <w:lang w:eastAsia="zh-CN"/>
              </w:rPr>
              <w:t>，</w:t>
            </w:r>
            <w:r w:rsidRPr="000C156A">
              <w:rPr>
                <w:rFonts w:hint="eastAsia"/>
                <w:sz w:val="20"/>
                <w:lang w:val="en-US" w:eastAsia="zh-CN"/>
              </w:rPr>
              <w:t>养恤金领取人员、遗属</w:t>
            </w:r>
            <w:r w:rsidRPr="000C156A">
              <w:rPr>
                <w:sz w:val="20"/>
                <w:lang w:eastAsia="zh-CN"/>
              </w:rPr>
              <w:t>的寿命在</w:t>
            </w:r>
            <w:r w:rsidRPr="000C156A">
              <w:rPr>
                <w:sz w:val="20"/>
                <w:lang w:eastAsia="zh-CN"/>
              </w:rPr>
              <w:t>2040</w:t>
            </w:r>
            <w:r w:rsidRPr="000C156A">
              <w:rPr>
                <w:sz w:val="20"/>
                <w:lang w:eastAsia="zh-CN"/>
              </w:rPr>
              <w:t>年之前一直保持</w:t>
            </w:r>
            <w:r w:rsidRPr="000C156A">
              <w:rPr>
                <w:rFonts w:hint="eastAsia"/>
                <w:sz w:val="20"/>
                <w:lang w:eastAsia="zh-CN"/>
              </w:rPr>
              <w:t>总体延长</w:t>
            </w:r>
            <w:r w:rsidRPr="000C156A">
              <w:rPr>
                <w:sz w:val="20"/>
                <w:lang w:eastAsia="zh-CN"/>
              </w:rPr>
              <w:t>。</w:t>
            </w:r>
            <w:r w:rsidRPr="000C156A">
              <w:rPr>
                <w:rFonts w:hint="eastAsia"/>
                <w:sz w:val="20"/>
                <w:lang w:val="en-US" w:eastAsia="zh-CN"/>
              </w:rPr>
              <w:t>基础年份为</w:t>
            </w:r>
            <w:r w:rsidRPr="000C156A">
              <w:rPr>
                <w:sz w:val="20"/>
                <w:lang w:val="en-US" w:eastAsia="zh-CN"/>
              </w:rPr>
              <w:t>2017</w:t>
            </w:r>
            <w:r w:rsidRPr="000C156A">
              <w:rPr>
                <w:rFonts w:hint="eastAsia"/>
                <w:sz w:val="20"/>
                <w:lang w:val="en-US" w:eastAsia="zh-CN"/>
              </w:rPr>
              <w:t>年，采用</w:t>
            </w:r>
            <w:r w:rsidRPr="000C156A">
              <w:rPr>
                <w:sz w:val="20"/>
                <w:lang w:val="en-US" w:eastAsia="zh-CN"/>
              </w:rPr>
              <w:t>2040</w:t>
            </w:r>
            <w:r w:rsidRPr="000C156A">
              <w:rPr>
                <w:rFonts w:hint="eastAsia"/>
                <w:sz w:val="20"/>
                <w:lang w:val="en-US" w:eastAsia="zh-CN"/>
              </w:rPr>
              <w:t>年前适用于当前健康非在职人员的总体寿命延长（</w:t>
            </w:r>
            <w:r w:rsidRPr="000C156A">
              <w:rPr>
                <w:sz w:val="20"/>
                <w:lang w:val="en-US" w:eastAsia="zh-CN"/>
              </w:rPr>
              <w:t>generational improvement</w:t>
            </w:r>
            <w:r w:rsidRPr="000C156A">
              <w:rPr>
                <w:rFonts w:hint="eastAsia"/>
                <w:sz w:val="20"/>
                <w:lang w:val="en-US" w:eastAsia="zh-CN"/>
              </w:rPr>
              <w:t>）。</w:t>
            </w:r>
          </w:p>
        </w:tc>
      </w:tr>
      <w:tr w:rsidR="009630A9" w:rsidRPr="000C156A" w14:paraId="7CC34865" w14:textId="77777777" w:rsidTr="005D02F0">
        <w:tc>
          <w:tcPr>
            <w:tcW w:w="2864" w:type="dxa"/>
            <w:tcBorders>
              <w:top w:val="single" w:sz="4" w:space="0" w:color="auto"/>
              <w:left w:val="single" w:sz="4" w:space="0" w:color="auto"/>
              <w:bottom w:val="single" w:sz="4" w:space="0" w:color="auto"/>
              <w:right w:val="single" w:sz="4" w:space="0" w:color="auto"/>
            </w:tcBorders>
            <w:hideMark/>
          </w:tcPr>
          <w:p w14:paraId="0C27B8B3" w14:textId="77777777" w:rsidR="009630A9" w:rsidRPr="000C156A" w:rsidRDefault="009630A9" w:rsidP="005D02F0">
            <w:pPr>
              <w:pStyle w:val="Tabletext"/>
              <w:rPr>
                <w:sz w:val="20"/>
                <w:lang w:val="en-US"/>
              </w:rPr>
            </w:pPr>
            <w:r w:rsidRPr="000C156A">
              <w:rPr>
                <w:rFonts w:hint="eastAsia"/>
                <w:sz w:val="20"/>
                <w:lang w:val="en-US"/>
              </w:rPr>
              <w:t>资产估值</w:t>
            </w:r>
          </w:p>
        </w:tc>
        <w:tc>
          <w:tcPr>
            <w:tcW w:w="6657" w:type="dxa"/>
            <w:tcBorders>
              <w:top w:val="single" w:sz="4" w:space="0" w:color="auto"/>
              <w:left w:val="single" w:sz="4" w:space="0" w:color="auto"/>
              <w:bottom w:val="single" w:sz="4" w:space="0" w:color="auto"/>
              <w:right w:val="single" w:sz="4" w:space="0" w:color="auto"/>
            </w:tcBorders>
            <w:hideMark/>
          </w:tcPr>
          <w:p w14:paraId="6AE560E6" w14:textId="77777777" w:rsidR="009630A9" w:rsidRPr="000C156A" w:rsidRDefault="009630A9" w:rsidP="005D02F0">
            <w:pPr>
              <w:pStyle w:val="Tabletext"/>
              <w:rPr>
                <w:sz w:val="20"/>
                <w:lang w:val="en-US" w:eastAsia="zh-CN"/>
              </w:rPr>
            </w:pPr>
            <w:r w:rsidRPr="000C156A">
              <w:rPr>
                <w:rFonts w:hint="eastAsia"/>
                <w:sz w:val="20"/>
                <w:lang w:val="en-US" w:eastAsia="zh-CN"/>
              </w:rPr>
              <w:t>截至</w:t>
            </w:r>
            <w:r w:rsidRPr="000C156A">
              <w:rPr>
                <w:sz w:val="20"/>
                <w:lang w:val="en-US" w:eastAsia="zh-CN"/>
              </w:rPr>
              <w:t>20</w:t>
            </w:r>
            <w:r w:rsidRPr="000C156A">
              <w:rPr>
                <w:rFonts w:hint="eastAsia"/>
                <w:sz w:val="20"/>
                <w:lang w:val="en-US" w:eastAsia="zh-CN"/>
              </w:rPr>
              <w:t>20</w:t>
            </w:r>
            <w:r w:rsidRPr="000C156A">
              <w:rPr>
                <w:rFonts w:hint="eastAsia"/>
                <w:sz w:val="20"/>
                <w:lang w:val="en-US" w:eastAsia="zh-CN"/>
              </w:rPr>
              <w:t>年</w:t>
            </w:r>
            <w:r w:rsidRPr="000C156A">
              <w:rPr>
                <w:sz w:val="20"/>
                <w:lang w:val="en-US" w:eastAsia="zh-CN"/>
              </w:rPr>
              <w:t>12</w:t>
            </w:r>
            <w:r w:rsidRPr="000C156A">
              <w:rPr>
                <w:rFonts w:hint="eastAsia"/>
                <w:sz w:val="20"/>
                <w:lang w:val="en-US" w:eastAsia="zh-CN"/>
              </w:rPr>
              <w:t>月</w:t>
            </w:r>
            <w:r w:rsidRPr="000C156A">
              <w:rPr>
                <w:sz w:val="20"/>
                <w:lang w:val="en-US" w:eastAsia="zh-CN"/>
              </w:rPr>
              <w:t>31</w:t>
            </w:r>
            <w:r w:rsidRPr="000C156A">
              <w:rPr>
                <w:rFonts w:hint="eastAsia"/>
                <w:sz w:val="20"/>
                <w:lang w:val="en-US" w:eastAsia="zh-CN"/>
              </w:rPr>
              <w:t>日，国际电联在保障基金下无财产。</w:t>
            </w:r>
          </w:p>
        </w:tc>
      </w:tr>
      <w:tr w:rsidR="009630A9" w:rsidRPr="000C156A" w14:paraId="07E6FC7A" w14:textId="77777777" w:rsidTr="005D02F0">
        <w:tc>
          <w:tcPr>
            <w:tcW w:w="2864" w:type="dxa"/>
            <w:tcBorders>
              <w:top w:val="single" w:sz="4" w:space="0" w:color="auto"/>
              <w:left w:val="single" w:sz="4" w:space="0" w:color="auto"/>
              <w:bottom w:val="single" w:sz="4" w:space="0" w:color="auto"/>
              <w:right w:val="single" w:sz="4" w:space="0" w:color="auto"/>
            </w:tcBorders>
            <w:hideMark/>
          </w:tcPr>
          <w:p w14:paraId="6ABD39CF" w14:textId="77777777" w:rsidR="009630A9" w:rsidRPr="000C156A" w:rsidRDefault="009630A9" w:rsidP="005D02F0">
            <w:pPr>
              <w:pStyle w:val="Tabletext"/>
              <w:rPr>
                <w:sz w:val="20"/>
                <w:lang w:val="en-US" w:eastAsia="zh-CN"/>
              </w:rPr>
            </w:pPr>
            <w:r w:rsidRPr="000C156A">
              <w:rPr>
                <w:rFonts w:hint="eastAsia"/>
                <w:sz w:val="20"/>
                <w:lang w:val="en-US" w:eastAsia="zh-CN"/>
              </w:rPr>
              <w:t>残疾率</w:t>
            </w:r>
          </w:p>
        </w:tc>
        <w:tc>
          <w:tcPr>
            <w:tcW w:w="6657" w:type="dxa"/>
            <w:tcBorders>
              <w:top w:val="single" w:sz="4" w:space="0" w:color="auto"/>
              <w:left w:val="single" w:sz="4" w:space="0" w:color="auto"/>
              <w:bottom w:val="single" w:sz="4" w:space="0" w:color="auto"/>
              <w:right w:val="single" w:sz="4" w:space="0" w:color="auto"/>
            </w:tcBorders>
            <w:hideMark/>
          </w:tcPr>
          <w:p w14:paraId="785FA26C" w14:textId="77777777" w:rsidR="009630A9" w:rsidRPr="000C156A" w:rsidRDefault="009630A9" w:rsidP="005D02F0">
            <w:pPr>
              <w:pStyle w:val="Tabletext"/>
              <w:rPr>
                <w:sz w:val="20"/>
                <w:lang w:val="en-US" w:eastAsia="zh-CN"/>
              </w:rPr>
            </w:pPr>
            <w:r w:rsidRPr="000C156A">
              <w:rPr>
                <w:rFonts w:hint="eastAsia"/>
                <w:sz w:val="20"/>
                <w:lang w:val="en-US" w:eastAsia="zh-CN"/>
              </w:rPr>
              <w:t>该数字随年龄和性别以及专业类职员和一般事务类职员的不同而不同，并随年龄的增长而增加。残疾率以</w:t>
            </w:r>
            <w:r w:rsidRPr="000C156A">
              <w:rPr>
                <w:rFonts w:hint="eastAsia"/>
                <w:sz w:val="20"/>
                <w:lang w:val="en-US" w:eastAsia="zh-CN"/>
              </w:rPr>
              <w:t>2</w:t>
            </w:r>
            <w:r w:rsidRPr="000C156A">
              <w:rPr>
                <w:sz w:val="20"/>
                <w:lang w:val="en-US" w:eastAsia="zh-CN"/>
              </w:rPr>
              <w:t>020</w:t>
            </w:r>
            <w:r w:rsidRPr="000C156A">
              <w:rPr>
                <w:rFonts w:hint="eastAsia"/>
                <w:sz w:val="20"/>
                <w:lang w:val="en-US" w:eastAsia="zh-CN"/>
              </w:rPr>
              <w:t>年</w:t>
            </w:r>
            <w:r w:rsidRPr="000C156A">
              <w:rPr>
                <w:rFonts w:hint="eastAsia"/>
                <w:sz w:val="20"/>
                <w:lang w:val="en-US" w:eastAsia="zh-CN"/>
              </w:rPr>
              <w:t>2</w:t>
            </w:r>
            <w:r w:rsidRPr="000C156A">
              <w:rPr>
                <w:rFonts w:hint="eastAsia"/>
                <w:sz w:val="20"/>
                <w:lang w:val="en-US" w:eastAsia="zh-CN"/>
              </w:rPr>
              <w:t>月通报的联合国残疾表为基础。</w:t>
            </w:r>
          </w:p>
        </w:tc>
      </w:tr>
      <w:tr w:rsidR="009630A9" w:rsidRPr="000C156A" w14:paraId="265A8B7E" w14:textId="77777777" w:rsidTr="005D02F0">
        <w:tc>
          <w:tcPr>
            <w:tcW w:w="2864" w:type="dxa"/>
            <w:tcBorders>
              <w:top w:val="single" w:sz="4" w:space="0" w:color="auto"/>
              <w:left w:val="single" w:sz="4" w:space="0" w:color="auto"/>
              <w:bottom w:val="single" w:sz="4" w:space="0" w:color="auto"/>
              <w:right w:val="single" w:sz="4" w:space="0" w:color="auto"/>
            </w:tcBorders>
            <w:hideMark/>
          </w:tcPr>
          <w:p w14:paraId="437095E2" w14:textId="77777777" w:rsidR="009630A9" w:rsidRPr="000C156A" w:rsidRDefault="009630A9" w:rsidP="005D02F0">
            <w:pPr>
              <w:pStyle w:val="Tabletext"/>
              <w:rPr>
                <w:sz w:val="20"/>
                <w:lang w:val="en-US" w:eastAsia="zh-CN"/>
              </w:rPr>
            </w:pPr>
            <w:r w:rsidRPr="000C156A">
              <w:rPr>
                <w:rFonts w:hint="eastAsia"/>
                <w:sz w:val="20"/>
                <w:lang w:val="en-US" w:eastAsia="zh-CN"/>
              </w:rPr>
              <w:t>福利权利转换率</w:t>
            </w:r>
          </w:p>
        </w:tc>
        <w:tc>
          <w:tcPr>
            <w:tcW w:w="6657" w:type="dxa"/>
            <w:tcBorders>
              <w:top w:val="single" w:sz="4" w:space="0" w:color="auto"/>
              <w:left w:val="single" w:sz="4" w:space="0" w:color="auto"/>
              <w:bottom w:val="single" w:sz="4" w:space="0" w:color="auto"/>
              <w:right w:val="single" w:sz="4" w:space="0" w:color="auto"/>
            </w:tcBorders>
            <w:hideMark/>
          </w:tcPr>
          <w:p w14:paraId="5132D678" w14:textId="77777777" w:rsidR="009630A9" w:rsidRPr="000C156A" w:rsidRDefault="009630A9" w:rsidP="005D02F0">
            <w:pPr>
              <w:pStyle w:val="Tabletext"/>
              <w:rPr>
                <w:sz w:val="20"/>
                <w:lang w:val="en-US" w:eastAsia="zh-CN"/>
              </w:rPr>
            </w:pPr>
            <w:r w:rsidRPr="000C156A">
              <w:rPr>
                <w:rFonts w:hint="eastAsia"/>
                <w:sz w:val="20"/>
                <w:lang w:val="en-US" w:eastAsia="zh-CN"/>
              </w:rPr>
              <w:t>该转换率随着年龄和服务年限的不同而不同，头一年提出的转换申请更多。</w:t>
            </w:r>
          </w:p>
        </w:tc>
      </w:tr>
      <w:tr w:rsidR="009630A9" w:rsidRPr="000C156A" w14:paraId="34049F5A" w14:textId="77777777" w:rsidTr="005D02F0">
        <w:tc>
          <w:tcPr>
            <w:tcW w:w="2864" w:type="dxa"/>
            <w:tcBorders>
              <w:top w:val="single" w:sz="4" w:space="0" w:color="auto"/>
              <w:left w:val="single" w:sz="4" w:space="0" w:color="auto"/>
              <w:bottom w:val="single" w:sz="4" w:space="0" w:color="auto"/>
              <w:right w:val="single" w:sz="4" w:space="0" w:color="auto"/>
            </w:tcBorders>
            <w:hideMark/>
          </w:tcPr>
          <w:p w14:paraId="7AA628B4" w14:textId="77777777" w:rsidR="009630A9" w:rsidRPr="000C156A" w:rsidRDefault="009630A9" w:rsidP="005D02F0">
            <w:pPr>
              <w:pStyle w:val="Tabletext"/>
              <w:rPr>
                <w:sz w:val="20"/>
                <w:lang w:val="en-US" w:eastAsia="zh-CN"/>
              </w:rPr>
            </w:pPr>
            <w:r w:rsidRPr="000C156A">
              <w:rPr>
                <w:rFonts w:hint="eastAsia"/>
                <w:sz w:val="20"/>
                <w:lang w:val="en-US" w:eastAsia="zh-CN"/>
              </w:rPr>
              <w:t>职员流动</w:t>
            </w:r>
          </w:p>
        </w:tc>
        <w:tc>
          <w:tcPr>
            <w:tcW w:w="6657" w:type="dxa"/>
            <w:tcBorders>
              <w:top w:val="single" w:sz="4" w:space="0" w:color="auto"/>
              <w:left w:val="single" w:sz="4" w:space="0" w:color="auto"/>
              <w:bottom w:val="single" w:sz="4" w:space="0" w:color="auto"/>
              <w:right w:val="single" w:sz="4" w:space="0" w:color="auto"/>
            </w:tcBorders>
            <w:hideMark/>
          </w:tcPr>
          <w:p w14:paraId="5374699D" w14:textId="77777777" w:rsidR="009630A9" w:rsidRPr="000C156A" w:rsidRDefault="009630A9" w:rsidP="005D02F0">
            <w:pPr>
              <w:pStyle w:val="Tabletext"/>
              <w:rPr>
                <w:sz w:val="20"/>
                <w:lang w:val="en-US" w:eastAsia="zh-CN"/>
              </w:rPr>
            </w:pPr>
            <w:r w:rsidRPr="000C156A">
              <w:rPr>
                <w:rFonts w:hint="eastAsia"/>
                <w:sz w:val="20"/>
                <w:lang w:val="en-US" w:eastAsia="zh-CN"/>
              </w:rPr>
              <w:t>估值中被考虑的、离开组织的职员离职率随年龄和性别的不同而不同。</w:t>
            </w:r>
          </w:p>
        </w:tc>
      </w:tr>
      <w:tr w:rsidR="009630A9" w:rsidRPr="000C156A" w14:paraId="1BD55DEB" w14:textId="77777777" w:rsidTr="005D02F0">
        <w:tc>
          <w:tcPr>
            <w:tcW w:w="2864" w:type="dxa"/>
            <w:tcBorders>
              <w:top w:val="single" w:sz="4" w:space="0" w:color="auto"/>
              <w:left w:val="single" w:sz="4" w:space="0" w:color="auto"/>
              <w:bottom w:val="single" w:sz="4" w:space="0" w:color="auto"/>
              <w:right w:val="single" w:sz="4" w:space="0" w:color="auto"/>
            </w:tcBorders>
            <w:hideMark/>
          </w:tcPr>
          <w:p w14:paraId="30620814" w14:textId="77777777" w:rsidR="009630A9" w:rsidRPr="000C156A" w:rsidRDefault="009630A9" w:rsidP="005D02F0">
            <w:pPr>
              <w:pStyle w:val="Tabletext"/>
              <w:rPr>
                <w:sz w:val="20"/>
                <w:lang w:val="en-US"/>
              </w:rPr>
            </w:pPr>
            <w:r w:rsidRPr="000C156A">
              <w:rPr>
                <w:rFonts w:hint="eastAsia"/>
                <w:sz w:val="20"/>
                <w:lang w:val="en-US"/>
              </w:rPr>
              <w:t>退休率</w:t>
            </w:r>
          </w:p>
        </w:tc>
        <w:tc>
          <w:tcPr>
            <w:tcW w:w="6657" w:type="dxa"/>
            <w:tcBorders>
              <w:top w:val="single" w:sz="4" w:space="0" w:color="auto"/>
              <w:left w:val="single" w:sz="4" w:space="0" w:color="auto"/>
              <w:bottom w:val="single" w:sz="4" w:space="0" w:color="auto"/>
              <w:right w:val="single" w:sz="4" w:space="0" w:color="auto"/>
            </w:tcBorders>
            <w:hideMark/>
          </w:tcPr>
          <w:p w14:paraId="3BDCAC93" w14:textId="77777777" w:rsidR="009630A9" w:rsidRPr="000C156A" w:rsidRDefault="009630A9" w:rsidP="005D02F0">
            <w:pPr>
              <w:pStyle w:val="Tabletext"/>
              <w:rPr>
                <w:sz w:val="20"/>
                <w:lang w:val="en-US" w:eastAsia="zh-CN"/>
              </w:rPr>
            </w:pPr>
            <w:r w:rsidRPr="000C156A">
              <w:rPr>
                <w:rFonts w:hint="eastAsia"/>
                <w:sz w:val="20"/>
                <w:lang w:val="en-US" w:eastAsia="zh-CN"/>
              </w:rPr>
              <w:t>所有职员的退休率设定为与</w:t>
            </w:r>
            <w:r w:rsidRPr="000C156A">
              <w:rPr>
                <w:rFonts w:hint="eastAsia"/>
                <w:sz w:val="20"/>
                <w:lang w:val="en-US" w:eastAsia="zh-CN"/>
              </w:rPr>
              <w:t>2</w:t>
            </w:r>
            <w:r w:rsidRPr="000C156A">
              <w:rPr>
                <w:sz w:val="20"/>
                <w:lang w:val="en-US" w:eastAsia="zh-CN"/>
              </w:rPr>
              <w:t>020</w:t>
            </w:r>
            <w:r w:rsidRPr="000C156A">
              <w:rPr>
                <w:rFonts w:hint="eastAsia"/>
                <w:sz w:val="20"/>
                <w:lang w:val="en-US" w:eastAsia="zh-CN"/>
              </w:rPr>
              <w:t>年</w:t>
            </w:r>
            <w:r w:rsidRPr="000C156A">
              <w:rPr>
                <w:rFonts w:hint="eastAsia"/>
                <w:sz w:val="20"/>
                <w:lang w:val="en-US" w:eastAsia="zh-CN"/>
              </w:rPr>
              <w:t>2</w:t>
            </w:r>
            <w:r w:rsidRPr="000C156A">
              <w:rPr>
                <w:rFonts w:hint="eastAsia"/>
                <w:sz w:val="20"/>
                <w:lang w:val="en-US" w:eastAsia="zh-CN"/>
              </w:rPr>
              <w:t>月联合国任务组提供的比率相同。退休率随年龄、服务年限和专业职位的不同而不同。</w:t>
            </w:r>
          </w:p>
        </w:tc>
      </w:tr>
      <w:tr w:rsidR="009630A9" w:rsidRPr="000C156A" w14:paraId="71F94FA2" w14:textId="77777777" w:rsidTr="005D02F0">
        <w:tc>
          <w:tcPr>
            <w:tcW w:w="2864" w:type="dxa"/>
            <w:tcBorders>
              <w:top w:val="single" w:sz="4" w:space="0" w:color="auto"/>
              <w:left w:val="single" w:sz="4" w:space="0" w:color="auto"/>
              <w:bottom w:val="single" w:sz="4" w:space="0" w:color="auto"/>
              <w:right w:val="single" w:sz="4" w:space="0" w:color="auto"/>
            </w:tcBorders>
            <w:hideMark/>
          </w:tcPr>
          <w:p w14:paraId="6380C408" w14:textId="77777777" w:rsidR="009630A9" w:rsidRPr="000C156A" w:rsidRDefault="009630A9" w:rsidP="005D02F0">
            <w:pPr>
              <w:pStyle w:val="Tabletext"/>
              <w:rPr>
                <w:sz w:val="20"/>
                <w:lang w:val="en-US"/>
              </w:rPr>
            </w:pPr>
            <w:r w:rsidRPr="000C156A">
              <w:rPr>
                <w:rFonts w:hint="eastAsia"/>
                <w:sz w:val="20"/>
                <w:lang w:val="en-US"/>
              </w:rPr>
              <w:t>加入率</w:t>
            </w:r>
          </w:p>
        </w:tc>
        <w:tc>
          <w:tcPr>
            <w:tcW w:w="6657" w:type="dxa"/>
            <w:tcBorders>
              <w:top w:val="single" w:sz="4" w:space="0" w:color="auto"/>
              <w:left w:val="single" w:sz="4" w:space="0" w:color="auto"/>
              <w:bottom w:val="single" w:sz="4" w:space="0" w:color="auto"/>
              <w:right w:val="single" w:sz="4" w:space="0" w:color="auto"/>
            </w:tcBorders>
            <w:hideMark/>
          </w:tcPr>
          <w:p w14:paraId="5DED4191" w14:textId="77777777" w:rsidR="009630A9" w:rsidRPr="000C156A" w:rsidRDefault="009630A9" w:rsidP="005D02F0">
            <w:pPr>
              <w:pStyle w:val="Tabletext"/>
              <w:rPr>
                <w:sz w:val="20"/>
                <w:lang w:val="en-US" w:eastAsia="zh-CN"/>
              </w:rPr>
            </w:pPr>
            <w:r w:rsidRPr="000C156A">
              <w:rPr>
                <w:sz w:val="20"/>
                <w:lang w:val="en-US" w:eastAsia="zh-CN"/>
              </w:rPr>
              <w:t>97.5%</w:t>
            </w:r>
            <w:r w:rsidRPr="000C156A">
              <w:rPr>
                <w:rFonts w:hint="eastAsia"/>
                <w:sz w:val="20"/>
                <w:lang w:val="en-US" w:eastAsia="zh-CN"/>
              </w:rPr>
              <w:t>的未来退休人员将选择参加</w:t>
            </w:r>
            <w:r w:rsidRPr="000C156A">
              <w:rPr>
                <w:sz w:val="20"/>
                <w:lang w:val="en-US" w:eastAsia="zh-CN"/>
              </w:rPr>
              <w:t>ASHI</w:t>
            </w:r>
            <w:r w:rsidRPr="000C156A">
              <w:rPr>
                <w:rFonts w:hint="eastAsia"/>
                <w:sz w:val="20"/>
                <w:lang w:val="en-US" w:eastAsia="zh-CN"/>
              </w:rPr>
              <w:t>计划。</w:t>
            </w:r>
          </w:p>
        </w:tc>
      </w:tr>
      <w:tr w:rsidR="009630A9" w:rsidRPr="000C156A" w14:paraId="6C5C44B0" w14:textId="77777777" w:rsidTr="005D02F0">
        <w:tc>
          <w:tcPr>
            <w:tcW w:w="2864" w:type="dxa"/>
            <w:tcBorders>
              <w:top w:val="single" w:sz="4" w:space="0" w:color="auto"/>
              <w:left w:val="single" w:sz="4" w:space="0" w:color="auto"/>
              <w:bottom w:val="single" w:sz="4" w:space="0" w:color="auto"/>
              <w:right w:val="single" w:sz="4" w:space="0" w:color="auto"/>
            </w:tcBorders>
            <w:hideMark/>
          </w:tcPr>
          <w:p w14:paraId="0470F2A4" w14:textId="77777777" w:rsidR="009630A9" w:rsidRPr="000C156A" w:rsidRDefault="009630A9" w:rsidP="005D02F0">
            <w:pPr>
              <w:pStyle w:val="Tabletext"/>
              <w:rPr>
                <w:sz w:val="20"/>
                <w:lang w:val="en-US"/>
              </w:rPr>
            </w:pPr>
            <w:r w:rsidRPr="000C156A">
              <w:rPr>
                <w:rFonts w:hint="eastAsia"/>
                <w:sz w:val="20"/>
                <w:lang w:val="en-US"/>
              </w:rPr>
              <w:t>配偶覆盖</w:t>
            </w:r>
          </w:p>
        </w:tc>
        <w:tc>
          <w:tcPr>
            <w:tcW w:w="6657" w:type="dxa"/>
            <w:tcBorders>
              <w:top w:val="single" w:sz="4" w:space="0" w:color="auto"/>
              <w:left w:val="single" w:sz="4" w:space="0" w:color="auto"/>
              <w:bottom w:val="single" w:sz="4" w:space="0" w:color="auto"/>
              <w:right w:val="single" w:sz="4" w:space="0" w:color="auto"/>
            </w:tcBorders>
            <w:hideMark/>
          </w:tcPr>
          <w:p w14:paraId="7C19298F" w14:textId="77777777" w:rsidR="009630A9" w:rsidRPr="000C156A" w:rsidRDefault="009630A9" w:rsidP="005D02F0">
            <w:pPr>
              <w:pStyle w:val="Tabletext"/>
              <w:rPr>
                <w:sz w:val="20"/>
                <w:lang w:val="en-US" w:eastAsia="zh-CN"/>
              </w:rPr>
            </w:pPr>
            <w:r w:rsidRPr="000C156A">
              <w:rPr>
                <w:sz w:val="20"/>
                <w:lang w:val="en-US" w:eastAsia="zh-CN"/>
              </w:rPr>
              <w:t>75%</w:t>
            </w:r>
            <w:r w:rsidRPr="000C156A">
              <w:rPr>
                <w:rFonts w:hint="eastAsia"/>
                <w:sz w:val="20"/>
                <w:lang w:val="en-US" w:eastAsia="zh-CN"/>
              </w:rPr>
              <w:t>的男性和</w:t>
            </w:r>
            <w:r w:rsidRPr="000C156A">
              <w:rPr>
                <w:sz w:val="20"/>
                <w:lang w:val="en-US" w:eastAsia="zh-CN"/>
              </w:rPr>
              <w:t>25%</w:t>
            </w:r>
            <w:r w:rsidRPr="000C156A">
              <w:rPr>
                <w:rFonts w:hint="eastAsia"/>
                <w:sz w:val="20"/>
                <w:lang w:val="en-US" w:eastAsia="zh-CN"/>
              </w:rPr>
              <w:t>的女性退休职员均有将要求加入</w:t>
            </w:r>
            <w:r w:rsidRPr="000C156A">
              <w:rPr>
                <w:sz w:val="20"/>
                <w:lang w:val="en-US" w:eastAsia="zh-CN"/>
              </w:rPr>
              <w:t>ASHI</w:t>
            </w:r>
            <w:r w:rsidRPr="000C156A">
              <w:rPr>
                <w:rFonts w:hint="eastAsia"/>
                <w:sz w:val="20"/>
                <w:lang w:val="en-US" w:eastAsia="zh-CN"/>
              </w:rPr>
              <w:t>保险方案的配偶。假设男性比其配偶年长五岁。</w:t>
            </w:r>
          </w:p>
        </w:tc>
      </w:tr>
      <w:tr w:rsidR="009630A9" w:rsidRPr="000C156A" w14:paraId="521D8FE1" w14:textId="77777777" w:rsidTr="005D02F0">
        <w:tc>
          <w:tcPr>
            <w:tcW w:w="2864" w:type="dxa"/>
            <w:tcBorders>
              <w:top w:val="single" w:sz="4" w:space="0" w:color="auto"/>
              <w:left w:val="single" w:sz="4" w:space="0" w:color="auto"/>
              <w:bottom w:val="single" w:sz="4" w:space="0" w:color="auto"/>
              <w:right w:val="single" w:sz="4" w:space="0" w:color="auto"/>
            </w:tcBorders>
            <w:hideMark/>
          </w:tcPr>
          <w:p w14:paraId="2AC409F4" w14:textId="77777777" w:rsidR="009630A9" w:rsidRPr="000C156A" w:rsidRDefault="009630A9" w:rsidP="005D02F0">
            <w:pPr>
              <w:pStyle w:val="Tabletext"/>
              <w:rPr>
                <w:sz w:val="20"/>
                <w:lang w:val="en-US"/>
              </w:rPr>
            </w:pPr>
            <w:r w:rsidRPr="000C156A">
              <w:rPr>
                <w:rFonts w:hint="eastAsia"/>
                <w:sz w:val="20"/>
                <w:lang w:val="en-US"/>
              </w:rPr>
              <w:t>精算方法</w:t>
            </w:r>
          </w:p>
        </w:tc>
        <w:tc>
          <w:tcPr>
            <w:tcW w:w="6657" w:type="dxa"/>
            <w:tcBorders>
              <w:top w:val="single" w:sz="4" w:space="0" w:color="auto"/>
              <w:left w:val="single" w:sz="4" w:space="0" w:color="auto"/>
              <w:bottom w:val="single" w:sz="4" w:space="0" w:color="auto"/>
              <w:right w:val="single" w:sz="4" w:space="0" w:color="auto"/>
            </w:tcBorders>
            <w:hideMark/>
          </w:tcPr>
          <w:p w14:paraId="3DBE8C6A" w14:textId="77777777" w:rsidR="009630A9" w:rsidRPr="000C156A" w:rsidRDefault="009630A9" w:rsidP="005D02F0">
            <w:pPr>
              <w:pStyle w:val="Tabletext"/>
              <w:rPr>
                <w:sz w:val="20"/>
                <w:lang w:val="en-US" w:eastAsia="zh-CN"/>
              </w:rPr>
            </w:pPr>
            <w:r w:rsidRPr="000C156A">
              <w:rPr>
                <w:sz w:val="20"/>
                <w:lang w:eastAsia="zh-CN"/>
              </w:rPr>
              <w:t>服务按比例分配的预计单位信用法。分配期从</w:t>
            </w:r>
            <w:r w:rsidRPr="000C156A">
              <w:rPr>
                <w:sz w:val="20"/>
                <w:lang w:eastAsia="zh-CN"/>
              </w:rPr>
              <w:t>45</w:t>
            </w:r>
            <w:r w:rsidRPr="000C156A">
              <w:rPr>
                <w:sz w:val="20"/>
                <w:lang w:eastAsia="zh-CN"/>
              </w:rPr>
              <w:t>岁开始，</w:t>
            </w:r>
            <w:r w:rsidRPr="000C156A">
              <w:rPr>
                <w:rFonts w:hint="eastAsia"/>
                <w:sz w:val="20"/>
                <w:lang w:val="en-US" w:eastAsia="zh-CN"/>
              </w:rPr>
              <w:t>从而反映出这样的事实，即，职员必须</w:t>
            </w:r>
            <w:r w:rsidRPr="000C156A">
              <w:rPr>
                <w:sz w:val="20"/>
                <w:lang w:eastAsia="zh-CN"/>
              </w:rPr>
              <w:t>年满</w:t>
            </w:r>
            <w:r w:rsidRPr="000C156A">
              <w:rPr>
                <w:sz w:val="20"/>
                <w:lang w:eastAsia="zh-CN"/>
              </w:rPr>
              <w:t>55</w:t>
            </w:r>
            <w:r w:rsidRPr="000C156A">
              <w:rPr>
                <w:sz w:val="20"/>
                <w:lang w:eastAsia="zh-CN"/>
              </w:rPr>
              <w:t>岁且服务满</w:t>
            </w:r>
            <w:r w:rsidRPr="000C156A">
              <w:rPr>
                <w:sz w:val="20"/>
                <w:lang w:eastAsia="zh-CN"/>
              </w:rPr>
              <w:t>10</w:t>
            </w:r>
            <w:r w:rsidRPr="000C156A">
              <w:rPr>
                <w:sz w:val="20"/>
                <w:lang w:eastAsia="zh-CN"/>
              </w:rPr>
              <w:t>年</w:t>
            </w:r>
            <w:r w:rsidRPr="000C156A">
              <w:rPr>
                <w:rFonts w:hint="eastAsia"/>
                <w:sz w:val="20"/>
                <w:lang w:val="en-US" w:eastAsia="zh-CN"/>
              </w:rPr>
              <w:t>才有资格享受该计划的福利。</w:t>
            </w:r>
          </w:p>
        </w:tc>
      </w:tr>
      <w:tr w:rsidR="009630A9" w:rsidRPr="000C156A" w14:paraId="5872566D" w14:textId="77777777" w:rsidTr="005D02F0">
        <w:tc>
          <w:tcPr>
            <w:tcW w:w="2864" w:type="dxa"/>
            <w:tcBorders>
              <w:top w:val="single" w:sz="4" w:space="0" w:color="auto"/>
              <w:left w:val="single" w:sz="4" w:space="0" w:color="auto"/>
              <w:bottom w:val="single" w:sz="4" w:space="0" w:color="auto"/>
              <w:right w:val="single" w:sz="4" w:space="0" w:color="auto"/>
            </w:tcBorders>
            <w:hideMark/>
          </w:tcPr>
          <w:p w14:paraId="53258E9E" w14:textId="77777777" w:rsidR="009630A9" w:rsidRPr="000C156A" w:rsidRDefault="009630A9" w:rsidP="005D02F0">
            <w:pPr>
              <w:pStyle w:val="Tabletext"/>
              <w:rPr>
                <w:sz w:val="20"/>
                <w:lang w:val="en-US" w:eastAsia="zh-CN"/>
              </w:rPr>
            </w:pPr>
            <w:r w:rsidRPr="000C156A">
              <w:rPr>
                <w:rFonts w:hint="eastAsia"/>
                <w:sz w:val="20"/>
                <w:lang w:val="en-US" w:eastAsia="zh-CN"/>
              </w:rPr>
              <w:t>其他全面收益（</w:t>
            </w:r>
            <w:r w:rsidRPr="000C156A">
              <w:rPr>
                <w:sz w:val="20"/>
                <w:lang w:val="en-US" w:eastAsia="zh-CN"/>
              </w:rPr>
              <w:t>OCI</w:t>
            </w:r>
            <w:r w:rsidRPr="000C156A">
              <w:rPr>
                <w:rFonts w:hint="eastAsia"/>
                <w:sz w:val="20"/>
                <w:lang w:val="en-US" w:eastAsia="zh-CN"/>
              </w:rPr>
              <w:t>）方式</w:t>
            </w:r>
          </w:p>
        </w:tc>
        <w:tc>
          <w:tcPr>
            <w:tcW w:w="6657" w:type="dxa"/>
            <w:tcBorders>
              <w:top w:val="single" w:sz="4" w:space="0" w:color="auto"/>
              <w:left w:val="single" w:sz="4" w:space="0" w:color="auto"/>
              <w:bottom w:val="single" w:sz="4" w:space="0" w:color="auto"/>
              <w:right w:val="single" w:sz="4" w:space="0" w:color="auto"/>
            </w:tcBorders>
            <w:hideMark/>
          </w:tcPr>
          <w:p w14:paraId="62DD221B" w14:textId="77777777" w:rsidR="009630A9" w:rsidRPr="000C156A" w:rsidRDefault="009630A9" w:rsidP="005D02F0">
            <w:pPr>
              <w:pStyle w:val="Tabletext"/>
              <w:rPr>
                <w:sz w:val="20"/>
                <w:lang w:val="en-US" w:eastAsia="zh-CN"/>
              </w:rPr>
            </w:pPr>
            <w:r w:rsidRPr="000C156A">
              <w:rPr>
                <w:rFonts w:hint="eastAsia"/>
                <w:sz w:val="20"/>
                <w:lang w:val="en-US" w:eastAsia="zh-CN"/>
              </w:rPr>
              <w:t>所有收益</w:t>
            </w:r>
            <w:r w:rsidRPr="000C156A">
              <w:rPr>
                <w:rFonts w:hint="eastAsia"/>
                <w:sz w:val="20"/>
                <w:lang w:val="en-US" w:eastAsia="zh-CN"/>
              </w:rPr>
              <w:t>/</w:t>
            </w:r>
            <w:r w:rsidRPr="000C156A">
              <w:rPr>
                <w:rFonts w:hint="eastAsia"/>
                <w:sz w:val="20"/>
                <w:lang w:val="en-US" w:eastAsia="zh-CN"/>
              </w:rPr>
              <w:t>损失都通过综合净收入报表（</w:t>
            </w:r>
            <w:r w:rsidRPr="000C156A">
              <w:rPr>
                <w:rFonts w:hint="eastAsia"/>
                <w:sz w:val="20"/>
                <w:lang w:val="en-US" w:eastAsia="zh-CN"/>
              </w:rPr>
              <w:t>SoCI</w:t>
            </w:r>
            <w:r w:rsidRPr="000C156A">
              <w:rPr>
                <w:rFonts w:hint="eastAsia"/>
                <w:sz w:val="20"/>
                <w:lang w:val="en-US" w:eastAsia="zh-CN"/>
              </w:rPr>
              <w:t>）在发生年度立即得到全部确认，但在利润和损失之外。</w:t>
            </w:r>
          </w:p>
        </w:tc>
      </w:tr>
    </w:tbl>
    <w:p w14:paraId="356A6DAA" w14:textId="77777777" w:rsidR="009630A9" w:rsidRPr="000C156A" w:rsidRDefault="009630A9" w:rsidP="00CB0E87">
      <w:pPr>
        <w:spacing w:before="240"/>
        <w:ind w:firstLineChars="200" w:firstLine="480"/>
        <w:rPr>
          <w:lang w:eastAsia="zh-CN"/>
        </w:rPr>
      </w:pPr>
      <w:bookmarkStart w:id="764" w:name="_MON_1396085038"/>
      <w:bookmarkStart w:id="765" w:name="_MON_1402733319"/>
      <w:bookmarkStart w:id="766" w:name="_MON_1402733477"/>
      <w:bookmarkEnd w:id="764"/>
      <w:bookmarkEnd w:id="765"/>
      <w:bookmarkEnd w:id="766"/>
      <w:r w:rsidRPr="000C156A">
        <w:rPr>
          <w:lang w:eastAsia="zh-CN"/>
        </w:rPr>
        <w:t>55</w:t>
      </w:r>
      <w:r w:rsidRPr="000C156A">
        <w:rPr>
          <w:rFonts w:hint="eastAsia"/>
          <w:lang w:eastAsia="zh-CN"/>
        </w:rPr>
        <w:t>岁或</w:t>
      </w:r>
      <w:r w:rsidRPr="000C156A">
        <w:rPr>
          <w:lang w:eastAsia="zh-CN"/>
        </w:rPr>
        <w:t>55</w:t>
      </w:r>
      <w:r w:rsidRPr="000C156A">
        <w:rPr>
          <w:rFonts w:hint="eastAsia"/>
          <w:lang w:eastAsia="zh-CN"/>
        </w:rPr>
        <w:t>岁以上的离职人员（及其配偶、受抚养子女和遗属）有资格享受离职后健康保险，前提是他们至少已在联合国或联合国某一专门机构服务了十年，且在离职前的五年内一</w:t>
      </w:r>
      <w:r w:rsidRPr="000C156A">
        <w:rPr>
          <w:rFonts w:hint="eastAsia"/>
          <w:lang w:eastAsia="zh-CN"/>
        </w:rPr>
        <w:lastRenderedPageBreak/>
        <w:t>直得到</w:t>
      </w:r>
      <w:r w:rsidRPr="000C156A">
        <w:rPr>
          <w:rFonts w:eastAsia="Times New Roman"/>
          <w:lang w:val="en-US" w:eastAsia="zh-CN"/>
        </w:rPr>
        <w:t>UNSMIS</w:t>
      </w:r>
      <w:r w:rsidRPr="000C156A">
        <w:rPr>
          <w:rFonts w:ascii="SimSun" w:hAnsi="SimSun" w:cs="SimSun" w:hint="eastAsia"/>
          <w:lang w:val="en-US" w:eastAsia="zh-CN"/>
        </w:rPr>
        <w:t>健康保险计划</w:t>
      </w:r>
      <w:r w:rsidRPr="000C156A">
        <w:rPr>
          <w:rFonts w:hint="eastAsia"/>
          <w:lang w:eastAsia="zh-CN"/>
        </w:rPr>
        <w:t>的保险。同样的福利亦适用于按照联合国合办职员养恤基金接收残疾津贴的职员。上述体制为联合出资体制</w:t>
      </w:r>
      <w:r w:rsidRPr="000C156A">
        <w:rPr>
          <w:rFonts w:hint="eastAsia"/>
          <w:lang w:eastAsia="zh-CN"/>
        </w:rPr>
        <w:t xml:space="preserve"> </w:t>
      </w:r>
      <w:r w:rsidRPr="000C156A">
        <w:rPr>
          <w:lang w:eastAsia="zh-CN"/>
        </w:rPr>
        <w:t xml:space="preserve">– </w:t>
      </w:r>
      <w:r w:rsidRPr="000C156A">
        <w:rPr>
          <w:rFonts w:hint="eastAsia"/>
          <w:lang w:eastAsia="zh-CN"/>
        </w:rPr>
        <w:t>国际电联缴费</w:t>
      </w:r>
      <w:r w:rsidRPr="000C156A">
        <w:rPr>
          <w:lang w:eastAsia="zh-CN"/>
        </w:rPr>
        <w:t>2/3</w:t>
      </w:r>
      <w:r w:rsidRPr="000C156A">
        <w:rPr>
          <w:rFonts w:hint="eastAsia"/>
          <w:lang w:eastAsia="zh-CN"/>
        </w:rPr>
        <w:t>，被保人缴费</w:t>
      </w:r>
      <w:r w:rsidRPr="000C156A">
        <w:rPr>
          <w:lang w:eastAsia="zh-CN"/>
        </w:rPr>
        <w:t>1/3</w:t>
      </w:r>
      <w:r w:rsidRPr="000C156A">
        <w:rPr>
          <w:rFonts w:hint="eastAsia"/>
          <w:lang w:eastAsia="zh-CN"/>
        </w:rPr>
        <w:t>。</w:t>
      </w:r>
    </w:p>
    <w:p w14:paraId="4EFDD2F9" w14:textId="1AC51A54" w:rsidR="009630A9" w:rsidRPr="000C156A" w:rsidRDefault="009630A9" w:rsidP="00101D46">
      <w:pPr>
        <w:spacing w:after="240"/>
        <w:ind w:firstLineChars="200" w:firstLine="480"/>
        <w:rPr>
          <w:lang w:eastAsia="zh-CN"/>
        </w:rPr>
      </w:pPr>
      <w:r w:rsidRPr="000C156A">
        <w:rPr>
          <w:rFonts w:hint="eastAsia"/>
          <w:lang w:eastAsia="zh-CN"/>
        </w:rPr>
        <w:t>下表为为获得截至</w:t>
      </w:r>
      <w:r w:rsidRPr="000C156A">
        <w:rPr>
          <w:lang w:eastAsia="zh-CN"/>
        </w:rPr>
        <w:t>2020</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日的金额而开展的精算</w:t>
      </w:r>
      <w:r w:rsidRPr="000C156A">
        <w:rPr>
          <w:rFonts w:hint="eastAsia"/>
          <w:lang w:val="en-US" w:eastAsia="zh-CN"/>
        </w:rPr>
        <w:t>研究得出</w:t>
      </w:r>
      <w:r w:rsidRPr="000C156A">
        <w:rPr>
          <w:rFonts w:hint="eastAsia"/>
          <w:lang w:eastAsia="zh-CN"/>
        </w:rPr>
        <w:t>的有关职员津贴造成的负债的更多信息和分析以及该基金所持有的资产的估值。</w:t>
      </w:r>
    </w:p>
    <w:tbl>
      <w:tblPr>
        <w:tblW w:w="9541" w:type="dxa"/>
        <w:jc w:val="center"/>
        <w:tblLook w:val="04A0" w:firstRow="1" w:lastRow="0" w:firstColumn="1" w:lastColumn="0" w:noHBand="0" w:noVBand="1"/>
      </w:tblPr>
      <w:tblGrid>
        <w:gridCol w:w="5573"/>
        <w:gridCol w:w="1984"/>
        <w:gridCol w:w="1984"/>
      </w:tblGrid>
      <w:tr w:rsidR="009630A9" w:rsidRPr="000C156A" w14:paraId="24972E49" w14:textId="77777777" w:rsidTr="005D02F0">
        <w:trPr>
          <w:trHeight w:val="528"/>
          <w:jc w:val="center"/>
        </w:trPr>
        <w:tc>
          <w:tcPr>
            <w:tcW w:w="5573" w:type="dxa"/>
            <w:tcBorders>
              <w:top w:val="single" w:sz="4" w:space="0" w:color="auto"/>
              <w:left w:val="single" w:sz="4" w:space="0" w:color="auto"/>
              <w:bottom w:val="single" w:sz="4" w:space="0" w:color="auto"/>
              <w:right w:val="nil"/>
            </w:tcBorders>
            <w:vAlign w:val="center"/>
            <w:hideMark/>
          </w:tcPr>
          <w:p w14:paraId="7A93677B" w14:textId="77777777" w:rsidR="009630A9" w:rsidRPr="000C156A" w:rsidRDefault="009630A9" w:rsidP="00F16ACC">
            <w:pPr>
              <w:widowControl w:val="0"/>
              <w:kinsoku w:val="0"/>
              <w:rPr>
                <w:bCs/>
                <w:color w:val="000000"/>
                <w:sz w:val="22"/>
                <w:szCs w:val="18"/>
                <w:lang w:val="en-US" w:eastAsia="zh-CN"/>
              </w:rPr>
            </w:pPr>
            <w:r w:rsidRPr="000C156A">
              <w:rPr>
                <w:rFonts w:hint="eastAsia"/>
                <w:b/>
                <w:color w:val="000000"/>
                <w:sz w:val="22"/>
                <w:szCs w:val="18"/>
                <w:lang w:val="en-US" w:eastAsia="zh-CN"/>
              </w:rPr>
              <w:t>财务状况报表中截至</w:t>
            </w:r>
            <w:r w:rsidRPr="000C156A">
              <w:rPr>
                <w:b/>
                <w:color w:val="000000"/>
                <w:sz w:val="22"/>
                <w:szCs w:val="18"/>
                <w:lang w:val="en-US" w:eastAsia="zh-CN"/>
              </w:rPr>
              <w:t>2020</w:t>
            </w:r>
            <w:r w:rsidRPr="000C156A">
              <w:rPr>
                <w:rFonts w:hint="eastAsia"/>
                <w:b/>
                <w:color w:val="000000"/>
                <w:sz w:val="22"/>
                <w:szCs w:val="18"/>
                <w:lang w:val="en-US" w:eastAsia="zh-CN"/>
              </w:rPr>
              <w:t>年和</w:t>
            </w:r>
            <w:r w:rsidRPr="000C156A">
              <w:rPr>
                <w:b/>
                <w:color w:val="000000"/>
                <w:sz w:val="22"/>
                <w:szCs w:val="18"/>
                <w:lang w:val="en-US" w:eastAsia="zh-CN"/>
              </w:rPr>
              <w:t>2019</w:t>
            </w:r>
            <w:r w:rsidRPr="000C156A">
              <w:rPr>
                <w:rFonts w:hint="eastAsia"/>
                <w:b/>
                <w:color w:val="000000"/>
                <w:sz w:val="22"/>
                <w:szCs w:val="18"/>
                <w:lang w:val="en-US" w:eastAsia="zh-CN"/>
              </w:rPr>
              <w:t>年</w:t>
            </w:r>
            <w:r w:rsidRPr="000C156A">
              <w:rPr>
                <w:b/>
                <w:color w:val="000000"/>
                <w:sz w:val="22"/>
                <w:szCs w:val="18"/>
                <w:lang w:val="en-US" w:eastAsia="zh-CN"/>
              </w:rPr>
              <w:t>12</w:t>
            </w:r>
            <w:r w:rsidRPr="000C156A">
              <w:rPr>
                <w:rFonts w:hint="eastAsia"/>
                <w:b/>
                <w:color w:val="000000"/>
                <w:sz w:val="22"/>
                <w:szCs w:val="18"/>
                <w:lang w:val="en-US" w:eastAsia="zh-CN"/>
              </w:rPr>
              <w:t>月</w:t>
            </w:r>
            <w:r w:rsidRPr="000C156A">
              <w:rPr>
                <w:b/>
                <w:color w:val="000000"/>
                <w:sz w:val="22"/>
                <w:szCs w:val="18"/>
                <w:lang w:val="en-US" w:eastAsia="zh-CN"/>
              </w:rPr>
              <w:t>31</w:t>
            </w:r>
            <w:r w:rsidRPr="000C156A">
              <w:rPr>
                <w:rFonts w:hint="eastAsia"/>
                <w:b/>
                <w:color w:val="000000"/>
                <w:sz w:val="22"/>
                <w:szCs w:val="18"/>
                <w:lang w:val="en-US" w:eastAsia="zh-CN"/>
              </w:rPr>
              <w:t>日</w:t>
            </w:r>
            <w:r w:rsidRPr="000C156A">
              <w:rPr>
                <w:b/>
                <w:color w:val="000000"/>
                <w:sz w:val="22"/>
                <w:szCs w:val="18"/>
                <w:lang w:val="en-US" w:eastAsia="zh-CN"/>
              </w:rPr>
              <w:br/>
            </w:r>
            <w:r w:rsidRPr="000C156A">
              <w:rPr>
                <w:rFonts w:hint="eastAsia"/>
                <w:b/>
                <w:color w:val="000000"/>
                <w:sz w:val="22"/>
                <w:szCs w:val="18"/>
                <w:lang w:val="en-US" w:eastAsia="zh-CN"/>
              </w:rPr>
              <w:t>离职后保险计划中的承付款项金额</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03F5CF66" w14:textId="77777777" w:rsidR="009630A9" w:rsidRPr="000C156A" w:rsidRDefault="009630A9" w:rsidP="005D02F0">
            <w:pPr>
              <w:widowControl w:val="0"/>
              <w:kinsoku w:val="0"/>
              <w:spacing w:before="60"/>
              <w:jc w:val="center"/>
              <w:rPr>
                <w:b/>
                <w:color w:val="000000"/>
                <w:sz w:val="22"/>
                <w:szCs w:val="18"/>
                <w:lang w:val="en-US" w:eastAsia="zh-CN"/>
              </w:rPr>
            </w:pPr>
            <w:r w:rsidRPr="000C156A">
              <w:rPr>
                <w:rFonts w:ascii="STKaiti" w:eastAsia="STKaiti" w:hAnsi="STKaiti" w:cs="SimSun" w:hint="eastAsia"/>
                <w:b/>
                <w:bCs/>
                <w:color w:val="000000"/>
                <w:sz w:val="22"/>
                <w:szCs w:val="18"/>
                <w:lang w:val="en-US"/>
              </w:rPr>
              <w:t>单位：千瑞郎</w:t>
            </w:r>
            <w:r w:rsidRPr="000C156A">
              <w:rPr>
                <w:b/>
                <w:bCs/>
                <w:i/>
                <w:iCs/>
                <w:color w:val="000000"/>
                <w:sz w:val="22"/>
                <w:szCs w:val="18"/>
                <w:lang w:val="en-US"/>
              </w:rPr>
              <w:br/>
            </w:r>
            <w:r w:rsidRPr="000C156A">
              <w:rPr>
                <w:b/>
                <w:bCs/>
                <w:color w:val="000000"/>
                <w:sz w:val="22"/>
                <w:szCs w:val="18"/>
                <w:lang w:val="en-US"/>
              </w:rPr>
              <w:t>2020</w:t>
            </w:r>
            <w:r w:rsidRPr="000C156A">
              <w:rPr>
                <w:rFonts w:ascii="SimSun" w:hAnsi="SimSun" w:cs="SimSun" w:hint="eastAsia"/>
                <w:b/>
                <w:bCs/>
                <w:color w:val="000000"/>
                <w:sz w:val="22"/>
                <w:szCs w:val="18"/>
                <w:lang w:val="en-US"/>
              </w:rPr>
              <w:t>年</w:t>
            </w:r>
            <w:r w:rsidRPr="000C156A">
              <w:rPr>
                <w:b/>
                <w:bCs/>
                <w:color w:val="000000"/>
                <w:sz w:val="22"/>
                <w:szCs w:val="18"/>
                <w:lang w:val="en-US"/>
              </w:rPr>
              <w:t>12</w:t>
            </w:r>
            <w:r w:rsidRPr="000C156A">
              <w:rPr>
                <w:rFonts w:ascii="SimSun" w:hAnsi="SimSun" w:cs="SimSun" w:hint="eastAsia"/>
                <w:b/>
                <w:bCs/>
                <w:color w:val="000000"/>
                <w:sz w:val="22"/>
                <w:szCs w:val="18"/>
                <w:lang w:val="en-US"/>
              </w:rPr>
              <w:t>月</w:t>
            </w:r>
            <w:r w:rsidRPr="000C156A">
              <w:rPr>
                <w:b/>
                <w:bCs/>
                <w:color w:val="000000"/>
                <w:sz w:val="22"/>
                <w:szCs w:val="18"/>
                <w:lang w:val="en-US"/>
              </w:rPr>
              <w:t>31</w:t>
            </w:r>
            <w:r w:rsidRPr="000C156A">
              <w:rPr>
                <w:rFonts w:ascii="SimSun" w:hAnsi="SimSun" w:cs="SimSun" w:hint="eastAsia"/>
                <w:b/>
                <w:bCs/>
                <w:color w:val="000000"/>
                <w:sz w:val="22"/>
                <w:szCs w:val="18"/>
                <w:lang w:val="en-US"/>
              </w:rPr>
              <w:t>日</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8223D52" w14:textId="77777777" w:rsidR="009630A9" w:rsidRPr="000C156A" w:rsidRDefault="009630A9" w:rsidP="005D02F0">
            <w:pPr>
              <w:widowControl w:val="0"/>
              <w:kinsoku w:val="0"/>
              <w:spacing w:before="60"/>
              <w:jc w:val="center"/>
              <w:rPr>
                <w:b/>
                <w:color w:val="000000"/>
                <w:sz w:val="22"/>
                <w:szCs w:val="18"/>
                <w:lang w:val="en-US"/>
              </w:rPr>
            </w:pPr>
            <w:r w:rsidRPr="000C156A">
              <w:rPr>
                <w:rFonts w:ascii="STKaiti" w:eastAsia="STKaiti" w:hAnsi="STKaiti" w:cs="SimSun" w:hint="eastAsia"/>
                <w:b/>
                <w:bCs/>
                <w:color w:val="000000"/>
                <w:sz w:val="22"/>
                <w:szCs w:val="18"/>
                <w:lang w:val="en-US"/>
              </w:rPr>
              <w:t>单位：千瑞郎</w:t>
            </w:r>
            <w:r w:rsidRPr="000C156A">
              <w:rPr>
                <w:b/>
                <w:bCs/>
                <w:i/>
                <w:iCs/>
                <w:color w:val="000000"/>
                <w:sz w:val="22"/>
                <w:szCs w:val="18"/>
                <w:lang w:val="en-US"/>
              </w:rPr>
              <w:br/>
            </w:r>
            <w:r w:rsidRPr="000C156A">
              <w:rPr>
                <w:b/>
                <w:bCs/>
                <w:color w:val="000000"/>
                <w:sz w:val="22"/>
                <w:szCs w:val="18"/>
                <w:lang w:val="en-US"/>
              </w:rPr>
              <w:t>201</w:t>
            </w:r>
            <w:r w:rsidRPr="000C156A">
              <w:rPr>
                <w:b/>
                <w:bCs/>
                <w:color w:val="000000"/>
                <w:sz w:val="22"/>
                <w:szCs w:val="18"/>
                <w:lang w:val="en-US" w:eastAsia="zh-CN"/>
              </w:rPr>
              <w:t>9</w:t>
            </w:r>
            <w:r w:rsidRPr="000C156A">
              <w:rPr>
                <w:rFonts w:ascii="SimSun" w:hAnsi="SimSun" w:cs="SimSun" w:hint="eastAsia"/>
                <w:b/>
                <w:bCs/>
                <w:color w:val="000000"/>
                <w:sz w:val="22"/>
                <w:szCs w:val="18"/>
                <w:lang w:val="en-US"/>
              </w:rPr>
              <w:t>年</w:t>
            </w:r>
            <w:r w:rsidRPr="000C156A">
              <w:rPr>
                <w:b/>
                <w:bCs/>
                <w:color w:val="000000"/>
                <w:sz w:val="22"/>
                <w:szCs w:val="18"/>
                <w:lang w:val="en-US"/>
              </w:rPr>
              <w:t>12</w:t>
            </w:r>
            <w:r w:rsidRPr="000C156A">
              <w:rPr>
                <w:rFonts w:ascii="SimSun" w:hAnsi="SimSun" w:cs="SimSun" w:hint="eastAsia"/>
                <w:b/>
                <w:bCs/>
                <w:color w:val="000000"/>
                <w:sz w:val="22"/>
                <w:szCs w:val="18"/>
                <w:lang w:val="en-US"/>
              </w:rPr>
              <w:t>月</w:t>
            </w:r>
            <w:r w:rsidRPr="000C156A">
              <w:rPr>
                <w:b/>
                <w:bCs/>
                <w:color w:val="000000"/>
                <w:sz w:val="22"/>
                <w:szCs w:val="18"/>
                <w:lang w:val="en-US"/>
              </w:rPr>
              <w:t>31</w:t>
            </w:r>
            <w:r w:rsidRPr="000C156A">
              <w:rPr>
                <w:rFonts w:ascii="SimSun" w:hAnsi="SimSun" w:cs="SimSun" w:hint="eastAsia"/>
                <w:b/>
                <w:bCs/>
                <w:color w:val="000000"/>
                <w:sz w:val="22"/>
                <w:szCs w:val="18"/>
                <w:lang w:val="en-US"/>
              </w:rPr>
              <w:t>日</w:t>
            </w:r>
          </w:p>
        </w:tc>
      </w:tr>
      <w:tr w:rsidR="009630A9" w:rsidRPr="000C156A" w14:paraId="5FD9ECB2" w14:textId="77777777" w:rsidTr="005D02F0">
        <w:trPr>
          <w:trHeight w:val="264"/>
          <w:jc w:val="center"/>
        </w:trPr>
        <w:tc>
          <w:tcPr>
            <w:tcW w:w="5573" w:type="dxa"/>
            <w:tcBorders>
              <w:top w:val="nil"/>
              <w:left w:val="single" w:sz="4" w:space="0" w:color="auto"/>
              <w:bottom w:val="nil"/>
              <w:right w:val="single" w:sz="4" w:space="0" w:color="auto"/>
            </w:tcBorders>
            <w:hideMark/>
          </w:tcPr>
          <w:p w14:paraId="56D76289" w14:textId="77777777" w:rsidR="009630A9" w:rsidRPr="000C156A" w:rsidRDefault="009630A9" w:rsidP="005D02F0">
            <w:pPr>
              <w:widowControl w:val="0"/>
              <w:kinsoku w:val="0"/>
              <w:spacing w:before="60" w:after="60"/>
              <w:rPr>
                <w:b/>
                <w:color w:val="000000"/>
                <w:sz w:val="22"/>
                <w:szCs w:val="18"/>
                <w:lang w:val="en-US" w:eastAsia="zh-CN"/>
              </w:rPr>
            </w:pPr>
            <w:r w:rsidRPr="000C156A">
              <w:rPr>
                <w:rFonts w:hint="eastAsia"/>
                <w:bCs/>
                <w:color w:val="000000"/>
                <w:sz w:val="22"/>
                <w:szCs w:val="18"/>
                <w:lang w:val="en-US" w:eastAsia="zh-CN"/>
              </w:rPr>
              <w:t>分别截至</w:t>
            </w:r>
            <w:r w:rsidRPr="000C156A">
              <w:rPr>
                <w:bCs/>
                <w:color w:val="000000"/>
                <w:sz w:val="22"/>
                <w:szCs w:val="18"/>
                <w:lang w:val="en-US" w:eastAsia="zh-CN"/>
              </w:rPr>
              <w:t>2020-2019</w:t>
            </w:r>
            <w:r w:rsidRPr="000C156A">
              <w:rPr>
                <w:rFonts w:hint="eastAsia"/>
                <w:bCs/>
                <w:color w:val="000000"/>
                <w:sz w:val="22"/>
                <w:szCs w:val="18"/>
                <w:lang w:val="en-US" w:eastAsia="zh-CN"/>
              </w:rPr>
              <w:t>年</w:t>
            </w:r>
            <w:r w:rsidRPr="000C156A">
              <w:rPr>
                <w:bCs/>
                <w:color w:val="000000"/>
                <w:sz w:val="22"/>
                <w:szCs w:val="18"/>
                <w:lang w:val="en-US" w:eastAsia="zh-CN"/>
              </w:rPr>
              <w:t>12</w:t>
            </w:r>
            <w:r w:rsidRPr="000C156A">
              <w:rPr>
                <w:rFonts w:hint="eastAsia"/>
                <w:bCs/>
                <w:color w:val="000000"/>
                <w:sz w:val="22"/>
                <w:szCs w:val="18"/>
                <w:lang w:val="en-US" w:eastAsia="zh-CN"/>
              </w:rPr>
              <w:t>月</w:t>
            </w:r>
            <w:r w:rsidRPr="000C156A">
              <w:rPr>
                <w:bCs/>
                <w:color w:val="000000"/>
                <w:sz w:val="22"/>
                <w:szCs w:val="18"/>
                <w:lang w:val="en-US" w:eastAsia="zh-CN"/>
              </w:rPr>
              <w:t>31</w:t>
            </w:r>
            <w:r w:rsidRPr="000C156A">
              <w:rPr>
                <w:rFonts w:hint="eastAsia"/>
                <w:bCs/>
                <w:color w:val="000000"/>
                <w:sz w:val="22"/>
                <w:szCs w:val="18"/>
                <w:lang w:val="en-US" w:eastAsia="zh-CN"/>
              </w:rPr>
              <w:t>日的余额</w:t>
            </w:r>
          </w:p>
        </w:tc>
        <w:tc>
          <w:tcPr>
            <w:tcW w:w="1984" w:type="dxa"/>
            <w:tcBorders>
              <w:top w:val="single" w:sz="4" w:space="0" w:color="auto"/>
              <w:left w:val="single" w:sz="4" w:space="0" w:color="auto"/>
              <w:bottom w:val="nil"/>
              <w:right w:val="single" w:sz="4" w:space="0" w:color="auto"/>
            </w:tcBorders>
            <w:shd w:val="clear" w:color="auto" w:fill="auto"/>
            <w:hideMark/>
          </w:tcPr>
          <w:p w14:paraId="1FEC0E91" w14:textId="464142FD" w:rsidR="009630A9" w:rsidRPr="000C156A" w:rsidRDefault="009630A9" w:rsidP="005D02F0">
            <w:pPr>
              <w:widowControl w:val="0"/>
              <w:kinsoku w:val="0"/>
              <w:ind w:right="210"/>
              <w:jc w:val="right"/>
              <w:rPr>
                <w:iCs/>
                <w:color w:val="000000"/>
                <w:sz w:val="22"/>
                <w:szCs w:val="18"/>
                <w:lang w:val="en-US"/>
              </w:rPr>
            </w:pPr>
            <w:r w:rsidRPr="000C156A">
              <w:rPr>
                <w:i/>
                <w:iCs/>
                <w:color w:val="000000"/>
                <w:sz w:val="22"/>
                <w:szCs w:val="18"/>
                <w:lang w:val="en-US"/>
              </w:rPr>
              <w:t>611</w:t>
            </w:r>
            <w:r w:rsidR="00261BAD" w:rsidRPr="000C156A">
              <w:rPr>
                <w:i/>
                <w:iCs/>
                <w:color w:val="000000"/>
                <w:sz w:val="22"/>
                <w:szCs w:val="18"/>
                <w:lang w:val="en-US"/>
              </w:rPr>
              <w:t xml:space="preserve"> </w:t>
            </w:r>
            <w:r w:rsidRPr="000C156A">
              <w:rPr>
                <w:i/>
                <w:iCs/>
                <w:color w:val="000000"/>
                <w:sz w:val="22"/>
                <w:szCs w:val="18"/>
                <w:lang w:val="en-US"/>
              </w:rPr>
              <w:t>896</w:t>
            </w:r>
          </w:p>
        </w:tc>
        <w:tc>
          <w:tcPr>
            <w:tcW w:w="1984" w:type="dxa"/>
            <w:tcBorders>
              <w:top w:val="single" w:sz="4" w:space="0" w:color="auto"/>
              <w:left w:val="single" w:sz="4" w:space="0" w:color="auto"/>
              <w:bottom w:val="nil"/>
              <w:right w:val="single" w:sz="4" w:space="0" w:color="auto"/>
            </w:tcBorders>
            <w:hideMark/>
          </w:tcPr>
          <w:p w14:paraId="3DF7A0A0" w14:textId="35532C0A" w:rsidR="009630A9" w:rsidRPr="000C156A" w:rsidRDefault="009630A9" w:rsidP="005D02F0">
            <w:pPr>
              <w:widowControl w:val="0"/>
              <w:kinsoku w:val="0"/>
              <w:ind w:right="210"/>
              <w:jc w:val="right"/>
              <w:rPr>
                <w:iCs/>
                <w:color w:val="000000"/>
                <w:sz w:val="22"/>
                <w:szCs w:val="18"/>
                <w:lang w:val="en-US"/>
              </w:rPr>
            </w:pPr>
            <w:r w:rsidRPr="000C156A">
              <w:rPr>
                <w:i/>
                <w:iCs/>
                <w:color w:val="000000"/>
                <w:sz w:val="22"/>
                <w:szCs w:val="18"/>
                <w:lang w:val="en-US"/>
              </w:rPr>
              <w:t>552</w:t>
            </w:r>
            <w:r w:rsidR="00261BAD" w:rsidRPr="000C156A">
              <w:rPr>
                <w:i/>
                <w:iCs/>
                <w:color w:val="000000"/>
                <w:sz w:val="22"/>
                <w:szCs w:val="18"/>
                <w:lang w:val="en-US"/>
              </w:rPr>
              <w:t xml:space="preserve"> </w:t>
            </w:r>
            <w:r w:rsidRPr="000C156A">
              <w:rPr>
                <w:i/>
                <w:iCs/>
                <w:color w:val="000000"/>
                <w:sz w:val="22"/>
                <w:szCs w:val="18"/>
                <w:lang w:val="en-US"/>
              </w:rPr>
              <w:t>240</w:t>
            </w:r>
          </w:p>
        </w:tc>
      </w:tr>
      <w:tr w:rsidR="009630A9" w:rsidRPr="000C156A" w14:paraId="31DB418F" w14:textId="77777777" w:rsidTr="005D02F0">
        <w:trPr>
          <w:trHeight w:val="336"/>
          <w:jc w:val="center"/>
        </w:trPr>
        <w:tc>
          <w:tcPr>
            <w:tcW w:w="5573" w:type="dxa"/>
            <w:tcBorders>
              <w:top w:val="nil"/>
              <w:left w:val="single" w:sz="4" w:space="0" w:color="auto"/>
              <w:bottom w:val="nil"/>
              <w:right w:val="single" w:sz="4" w:space="0" w:color="auto"/>
            </w:tcBorders>
            <w:hideMark/>
          </w:tcPr>
          <w:p w14:paraId="465A48F2" w14:textId="77777777" w:rsidR="009630A9" w:rsidRPr="000C156A" w:rsidRDefault="009630A9" w:rsidP="005D02F0">
            <w:pPr>
              <w:widowControl w:val="0"/>
              <w:kinsoku w:val="0"/>
              <w:spacing w:before="60" w:after="60"/>
              <w:rPr>
                <w:bCs/>
                <w:color w:val="000000"/>
                <w:sz w:val="22"/>
                <w:szCs w:val="18"/>
                <w:lang w:val="en-US" w:eastAsia="zh-CN"/>
              </w:rPr>
            </w:pPr>
            <w:r w:rsidRPr="000C156A">
              <w:rPr>
                <w:rFonts w:hint="eastAsia"/>
                <w:bCs/>
                <w:color w:val="000000"/>
                <w:sz w:val="22"/>
                <w:szCs w:val="18"/>
                <w:lang w:val="en-US" w:eastAsia="zh-CN"/>
              </w:rPr>
              <w:t>财务业绩报表中确认的费用合计</w:t>
            </w:r>
          </w:p>
        </w:tc>
        <w:tc>
          <w:tcPr>
            <w:tcW w:w="1984" w:type="dxa"/>
            <w:tcBorders>
              <w:top w:val="nil"/>
              <w:left w:val="single" w:sz="4" w:space="0" w:color="auto"/>
              <w:bottom w:val="nil"/>
              <w:right w:val="single" w:sz="4" w:space="0" w:color="auto"/>
            </w:tcBorders>
            <w:shd w:val="clear" w:color="auto" w:fill="auto"/>
            <w:hideMark/>
          </w:tcPr>
          <w:p w14:paraId="10AD556B" w14:textId="5450A3B9" w:rsidR="009630A9" w:rsidRPr="000C156A" w:rsidRDefault="009630A9" w:rsidP="005D02F0">
            <w:pPr>
              <w:widowControl w:val="0"/>
              <w:kinsoku w:val="0"/>
              <w:ind w:right="210"/>
              <w:jc w:val="right"/>
              <w:rPr>
                <w:iCs/>
                <w:color w:val="000000"/>
                <w:sz w:val="22"/>
                <w:szCs w:val="18"/>
                <w:lang w:val="en-US"/>
              </w:rPr>
            </w:pPr>
            <w:r w:rsidRPr="000C156A">
              <w:rPr>
                <w:i/>
                <w:iCs/>
                <w:color w:val="000000"/>
                <w:sz w:val="22"/>
                <w:szCs w:val="18"/>
                <w:lang w:val="en-US"/>
              </w:rPr>
              <w:t>27</w:t>
            </w:r>
            <w:r w:rsidR="00261BAD" w:rsidRPr="000C156A">
              <w:rPr>
                <w:i/>
                <w:iCs/>
                <w:color w:val="000000"/>
                <w:sz w:val="22"/>
                <w:szCs w:val="18"/>
                <w:lang w:val="en-US"/>
              </w:rPr>
              <w:t xml:space="preserve"> </w:t>
            </w:r>
            <w:r w:rsidRPr="000C156A">
              <w:rPr>
                <w:i/>
                <w:iCs/>
                <w:color w:val="000000"/>
                <w:sz w:val="22"/>
                <w:szCs w:val="18"/>
                <w:lang w:val="en-US"/>
              </w:rPr>
              <w:t>667</w:t>
            </w:r>
          </w:p>
        </w:tc>
        <w:tc>
          <w:tcPr>
            <w:tcW w:w="1984" w:type="dxa"/>
            <w:tcBorders>
              <w:top w:val="nil"/>
              <w:left w:val="single" w:sz="4" w:space="0" w:color="auto"/>
              <w:bottom w:val="nil"/>
              <w:right w:val="single" w:sz="4" w:space="0" w:color="auto"/>
            </w:tcBorders>
            <w:hideMark/>
          </w:tcPr>
          <w:p w14:paraId="64B293C1" w14:textId="46CCCE55" w:rsidR="009630A9" w:rsidRPr="000C156A" w:rsidRDefault="009630A9" w:rsidP="005D02F0">
            <w:pPr>
              <w:widowControl w:val="0"/>
              <w:kinsoku w:val="0"/>
              <w:ind w:right="210"/>
              <w:jc w:val="right"/>
              <w:rPr>
                <w:iCs/>
                <w:color w:val="000000"/>
                <w:sz w:val="22"/>
                <w:szCs w:val="18"/>
                <w:lang w:val="en-US"/>
              </w:rPr>
            </w:pPr>
            <w:r w:rsidRPr="000C156A">
              <w:rPr>
                <w:i/>
                <w:iCs/>
                <w:color w:val="000000"/>
                <w:sz w:val="22"/>
                <w:szCs w:val="18"/>
                <w:lang w:val="en-US"/>
              </w:rPr>
              <w:t>78</w:t>
            </w:r>
            <w:r w:rsidR="00261BAD" w:rsidRPr="000C156A">
              <w:rPr>
                <w:i/>
                <w:iCs/>
                <w:color w:val="000000"/>
                <w:sz w:val="22"/>
                <w:szCs w:val="18"/>
                <w:lang w:val="en-US"/>
              </w:rPr>
              <w:t xml:space="preserve"> </w:t>
            </w:r>
            <w:r w:rsidRPr="000C156A">
              <w:rPr>
                <w:i/>
                <w:iCs/>
                <w:color w:val="000000"/>
                <w:sz w:val="22"/>
                <w:szCs w:val="18"/>
                <w:lang w:val="en-US"/>
              </w:rPr>
              <w:t>357</w:t>
            </w:r>
          </w:p>
        </w:tc>
      </w:tr>
      <w:tr w:rsidR="009630A9" w:rsidRPr="000C156A" w14:paraId="1AA18861" w14:textId="77777777" w:rsidTr="005D02F0">
        <w:trPr>
          <w:trHeight w:val="264"/>
          <w:jc w:val="center"/>
        </w:trPr>
        <w:tc>
          <w:tcPr>
            <w:tcW w:w="5573" w:type="dxa"/>
            <w:tcBorders>
              <w:top w:val="nil"/>
              <w:left w:val="single" w:sz="4" w:space="0" w:color="auto"/>
              <w:bottom w:val="nil"/>
              <w:right w:val="single" w:sz="4" w:space="0" w:color="auto"/>
            </w:tcBorders>
            <w:hideMark/>
          </w:tcPr>
          <w:p w14:paraId="436EDABF" w14:textId="77777777" w:rsidR="009630A9" w:rsidRPr="000C156A" w:rsidRDefault="009630A9" w:rsidP="005D02F0">
            <w:pPr>
              <w:widowControl w:val="0"/>
              <w:kinsoku w:val="0"/>
              <w:spacing w:before="60" w:after="60"/>
              <w:rPr>
                <w:bCs/>
                <w:color w:val="000000"/>
                <w:sz w:val="22"/>
                <w:szCs w:val="18"/>
                <w:lang w:val="en-US" w:eastAsia="zh-CN"/>
              </w:rPr>
            </w:pPr>
            <w:r w:rsidRPr="000C156A">
              <w:rPr>
                <w:rFonts w:hint="eastAsia"/>
                <w:bCs/>
                <w:color w:val="000000"/>
                <w:sz w:val="22"/>
                <w:szCs w:val="18"/>
                <w:lang w:val="en-US" w:eastAsia="zh-CN"/>
              </w:rPr>
              <w:t>确认为净资产的精算损失</w:t>
            </w:r>
          </w:p>
        </w:tc>
        <w:tc>
          <w:tcPr>
            <w:tcW w:w="1984" w:type="dxa"/>
            <w:tcBorders>
              <w:top w:val="nil"/>
              <w:left w:val="single" w:sz="4" w:space="0" w:color="auto"/>
              <w:bottom w:val="nil"/>
              <w:right w:val="single" w:sz="4" w:space="0" w:color="auto"/>
            </w:tcBorders>
            <w:shd w:val="clear" w:color="auto" w:fill="auto"/>
            <w:hideMark/>
          </w:tcPr>
          <w:p w14:paraId="0ECABC63" w14:textId="29E9CC57" w:rsidR="009630A9" w:rsidRPr="000C156A" w:rsidRDefault="009630A9" w:rsidP="005D02F0">
            <w:pPr>
              <w:widowControl w:val="0"/>
              <w:kinsoku w:val="0"/>
              <w:ind w:right="210"/>
              <w:jc w:val="right"/>
              <w:rPr>
                <w:iCs/>
                <w:color w:val="000000"/>
                <w:sz w:val="22"/>
                <w:szCs w:val="18"/>
                <w:lang w:val="en-US"/>
              </w:rPr>
            </w:pPr>
            <w:r w:rsidRPr="000C156A">
              <w:rPr>
                <w:i/>
                <w:iCs/>
                <w:color w:val="000000"/>
                <w:sz w:val="22"/>
                <w:szCs w:val="18"/>
                <w:lang w:val="en-US"/>
              </w:rPr>
              <w:t>-2</w:t>
            </w:r>
            <w:r w:rsidR="00261BAD" w:rsidRPr="000C156A">
              <w:rPr>
                <w:i/>
                <w:iCs/>
                <w:color w:val="000000"/>
                <w:sz w:val="22"/>
                <w:szCs w:val="18"/>
                <w:lang w:val="en-US"/>
              </w:rPr>
              <w:t xml:space="preserve"> </w:t>
            </w:r>
            <w:r w:rsidRPr="000C156A">
              <w:rPr>
                <w:i/>
                <w:iCs/>
                <w:color w:val="000000"/>
                <w:sz w:val="22"/>
                <w:szCs w:val="18"/>
                <w:lang w:val="en-US"/>
              </w:rPr>
              <w:t>815</w:t>
            </w:r>
          </w:p>
        </w:tc>
        <w:tc>
          <w:tcPr>
            <w:tcW w:w="1984" w:type="dxa"/>
            <w:tcBorders>
              <w:top w:val="nil"/>
              <w:left w:val="single" w:sz="4" w:space="0" w:color="auto"/>
              <w:bottom w:val="nil"/>
              <w:right w:val="single" w:sz="4" w:space="0" w:color="auto"/>
            </w:tcBorders>
            <w:hideMark/>
          </w:tcPr>
          <w:p w14:paraId="12A9E421" w14:textId="54E5E033" w:rsidR="009630A9" w:rsidRPr="000C156A" w:rsidRDefault="009630A9" w:rsidP="005D02F0">
            <w:pPr>
              <w:widowControl w:val="0"/>
              <w:kinsoku w:val="0"/>
              <w:ind w:right="210"/>
              <w:jc w:val="right"/>
              <w:rPr>
                <w:iCs/>
                <w:color w:val="000000"/>
                <w:sz w:val="22"/>
                <w:szCs w:val="18"/>
                <w:lang w:val="en-US"/>
              </w:rPr>
            </w:pPr>
            <w:r w:rsidRPr="000C156A">
              <w:rPr>
                <w:i/>
                <w:iCs/>
                <w:color w:val="000000"/>
                <w:sz w:val="22"/>
                <w:szCs w:val="18"/>
                <w:lang w:val="en-US"/>
              </w:rPr>
              <w:t>-12</w:t>
            </w:r>
            <w:r w:rsidR="00261BAD" w:rsidRPr="000C156A">
              <w:rPr>
                <w:i/>
                <w:iCs/>
                <w:color w:val="000000"/>
                <w:sz w:val="22"/>
                <w:szCs w:val="18"/>
                <w:lang w:val="en-US"/>
              </w:rPr>
              <w:t xml:space="preserve"> </w:t>
            </w:r>
            <w:r w:rsidRPr="000C156A">
              <w:rPr>
                <w:i/>
                <w:iCs/>
                <w:color w:val="000000"/>
                <w:sz w:val="22"/>
                <w:szCs w:val="18"/>
                <w:lang w:val="en-US"/>
              </w:rPr>
              <w:t>038</w:t>
            </w:r>
          </w:p>
        </w:tc>
      </w:tr>
      <w:tr w:rsidR="009630A9" w:rsidRPr="000C156A" w14:paraId="0F6EC449" w14:textId="77777777" w:rsidTr="005D02F0">
        <w:trPr>
          <w:trHeight w:val="264"/>
          <w:jc w:val="center"/>
        </w:trPr>
        <w:tc>
          <w:tcPr>
            <w:tcW w:w="5573" w:type="dxa"/>
            <w:tcBorders>
              <w:top w:val="nil"/>
              <w:left w:val="single" w:sz="4" w:space="0" w:color="auto"/>
              <w:bottom w:val="nil"/>
              <w:right w:val="single" w:sz="4" w:space="0" w:color="auto"/>
            </w:tcBorders>
            <w:vAlign w:val="bottom"/>
            <w:hideMark/>
          </w:tcPr>
          <w:p w14:paraId="41F9A22B" w14:textId="77777777" w:rsidR="009630A9" w:rsidRPr="000C156A" w:rsidRDefault="009630A9" w:rsidP="005D02F0">
            <w:pPr>
              <w:widowControl w:val="0"/>
              <w:kinsoku w:val="0"/>
              <w:spacing w:before="60" w:after="60"/>
              <w:rPr>
                <w:bCs/>
                <w:color w:val="000000"/>
                <w:sz w:val="22"/>
                <w:szCs w:val="18"/>
                <w:lang w:val="en-US" w:eastAsia="zh-CN"/>
              </w:rPr>
            </w:pPr>
            <w:r w:rsidRPr="000C156A">
              <w:rPr>
                <w:rFonts w:hint="eastAsia"/>
                <w:bCs/>
                <w:color w:val="000000"/>
                <w:sz w:val="22"/>
                <w:szCs w:val="18"/>
                <w:lang w:val="en-US" w:eastAsia="zh-CN"/>
              </w:rPr>
              <w:t>该期的缴款</w:t>
            </w:r>
          </w:p>
        </w:tc>
        <w:tc>
          <w:tcPr>
            <w:tcW w:w="1984" w:type="dxa"/>
            <w:tcBorders>
              <w:top w:val="nil"/>
              <w:left w:val="single" w:sz="4" w:space="0" w:color="auto"/>
              <w:bottom w:val="nil"/>
              <w:right w:val="single" w:sz="4" w:space="0" w:color="auto"/>
            </w:tcBorders>
            <w:shd w:val="clear" w:color="auto" w:fill="auto"/>
            <w:hideMark/>
          </w:tcPr>
          <w:p w14:paraId="20CF168D" w14:textId="2ABC73B2" w:rsidR="009630A9" w:rsidRPr="000C156A" w:rsidRDefault="009630A9" w:rsidP="005D02F0">
            <w:pPr>
              <w:widowControl w:val="0"/>
              <w:kinsoku w:val="0"/>
              <w:ind w:right="210"/>
              <w:jc w:val="right"/>
              <w:rPr>
                <w:iCs/>
                <w:color w:val="000000"/>
                <w:sz w:val="22"/>
                <w:szCs w:val="18"/>
                <w:lang w:val="en-US"/>
              </w:rPr>
            </w:pPr>
            <w:r w:rsidRPr="000C156A">
              <w:rPr>
                <w:i/>
                <w:iCs/>
                <w:color w:val="000000"/>
                <w:sz w:val="22"/>
                <w:szCs w:val="18"/>
                <w:lang w:val="en-US"/>
              </w:rPr>
              <w:t>-4</w:t>
            </w:r>
            <w:r w:rsidR="00261BAD" w:rsidRPr="000C156A">
              <w:rPr>
                <w:i/>
                <w:iCs/>
                <w:color w:val="000000"/>
                <w:sz w:val="22"/>
                <w:szCs w:val="18"/>
                <w:lang w:val="en-US"/>
              </w:rPr>
              <w:t xml:space="preserve"> </w:t>
            </w:r>
            <w:r w:rsidRPr="000C156A">
              <w:rPr>
                <w:i/>
                <w:iCs/>
                <w:color w:val="000000"/>
                <w:sz w:val="22"/>
                <w:szCs w:val="18"/>
                <w:lang w:val="en-US"/>
              </w:rPr>
              <w:t>878</w:t>
            </w:r>
          </w:p>
        </w:tc>
        <w:tc>
          <w:tcPr>
            <w:tcW w:w="1984" w:type="dxa"/>
            <w:tcBorders>
              <w:top w:val="nil"/>
              <w:left w:val="single" w:sz="4" w:space="0" w:color="auto"/>
              <w:bottom w:val="nil"/>
              <w:right w:val="single" w:sz="4" w:space="0" w:color="auto"/>
            </w:tcBorders>
            <w:hideMark/>
          </w:tcPr>
          <w:p w14:paraId="43A0EB46" w14:textId="754D4EDC" w:rsidR="009630A9" w:rsidRPr="000C156A" w:rsidRDefault="009630A9" w:rsidP="005D02F0">
            <w:pPr>
              <w:widowControl w:val="0"/>
              <w:kinsoku w:val="0"/>
              <w:ind w:right="210"/>
              <w:jc w:val="right"/>
              <w:rPr>
                <w:iCs/>
                <w:color w:val="000000"/>
                <w:sz w:val="22"/>
                <w:szCs w:val="18"/>
                <w:lang w:val="en-US"/>
              </w:rPr>
            </w:pPr>
            <w:r w:rsidRPr="000C156A">
              <w:rPr>
                <w:i/>
                <w:iCs/>
                <w:color w:val="000000"/>
                <w:sz w:val="22"/>
                <w:szCs w:val="18"/>
                <w:lang w:val="en-US"/>
              </w:rPr>
              <w:t>-6</w:t>
            </w:r>
            <w:r w:rsidR="00261BAD" w:rsidRPr="000C156A">
              <w:rPr>
                <w:i/>
                <w:iCs/>
                <w:color w:val="000000"/>
                <w:sz w:val="22"/>
                <w:szCs w:val="18"/>
                <w:lang w:val="en-US"/>
              </w:rPr>
              <w:t xml:space="preserve"> </w:t>
            </w:r>
            <w:r w:rsidRPr="000C156A">
              <w:rPr>
                <w:i/>
                <w:iCs/>
                <w:color w:val="000000"/>
                <w:sz w:val="22"/>
                <w:szCs w:val="18"/>
                <w:lang w:val="en-US"/>
              </w:rPr>
              <w:t>663</w:t>
            </w:r>
          </w:p>
        </w:tc>
      </w:tr>
      <w:tr w:rsidR="009630A9" w:rsidRPr="000C156A" w14:paraId="7FAA3207" w14:textId="77777777" w:rsidTr="005D02F0">
        <w:trPr>
          <w:trHeight w:val="264"/>
          <w:jc w:val="center"/>
        </w:trPr>
        <w:tc>
          <w:tcPr>
            <w:tcW w:w="5573" w:type="dxa"/>
            <w:tcBorders>
              <w:top w:val="nil"/>
              <w:left w:val="single" w:sz="4" w:space="0" w:color="auto"/>
              <w:bottom w:val="nil"/>
              <w:right w:val="single" w:sz="4" w:space="0" w:color="auto"/>
            </w:tcBorders>
            <w:hideMark/>
          </w:tcPr>
          <w:p w14:paraId="276CCE8E" w14:textId="77777777" w:rsidR="009630A9" w:rsidRPr="000C156A" w:rsidRDefault="009630A9" w:rsidP="005D02F0">
            <w:pPr>
              <w:widowControl w:val="0"/>
              <w:kinsoku w:val="0"/>
              <w:spacing w:before="60" w:after="60"/>
              <w:rPr>
                <w:bCs/>
                <w:color w:val="000000"/>
                <w:sz w:val="22"/>
                <w:szCs w:val="18"/>
                <w:lang w:val="en-US" w:eastAsia="zh-CN"/>
              </w:rPr>
            </w:pPr>
            <w:r w:rsidRPr="000C156A">
              <w:rPr>
                <w:rFonts w:hint="eastAsia"/>
                <w:bCs/>
                <w:color w:val="000000"/>
                <w:sz w:val="22"/>
                <w:szCs w:val="18"/>
                <w:lang w:val="en-US" w:eastAsia="zh-CN"/>
              </w:rPr>
              <w:t>未实现的汇率损</w:t>
            </w:r>
            <w:r w:rsidRPr="000C156A">
              <w:rPr>
                <w:bCs/>
                <w:color w:val="000000"/>
                <w:sz w:val="22"/>
                <w:szCs w:val="18"/>
                <w:lang w:val="en-US" w:eastAsia="zh-CN"/>
              </w:rPr>
              <w:t>/</w:t>
            </w:r>
            <w:r w:rsidRPr="000C156A">
              <w:rPr>
                <w:rFonts w:hint="eastAsia"/>
                <w:bCs/>
                <w:color w:val="000000"/>
                <w:sz w:val="22"/>
                <w:szCs w:val="18"/>
                <w:lang w:val="en-US" w:eastAsia="zh-CN"/>
              </w:rPr>
              <w:t>（益）</w:t>
            </w:r>
          </w:p>
        </w:tc>
        <w:tc>
          <w:tcPr>
            <w:tcW w:w="1984" w:type="dxa"/>
            <w:tcBorders>
              <w:top w:val="nil"/>
              <w:left w:val="single" w:sz="4" w:space="0" w:color="auto"/>
              <w:right w:val="single" w:sz="4" w:space="0" w:color="auto"/>
            </w:tcBorders>
            <w:shd w:val="clear" w:color="auto" w:fill="auto"/>
            <w:hideMark/>
          </w:tcPr>
          <w:p w14:paraId="143CF39B" w14:textId="77777777" w:rsidR="009630A9" w:rsidRPr="000C156A" w:rsidRDefault="009630A9" w:rsidP="005D02F0">
            <w:pPr>
              <w:widowControl w:val="0"/>
              <w:kinsoku w:val="0"/>
              <w:ind w:right="210"/>
              <w:jc w:val="right"/>
              <w:rPr>
                <w:iCs/>
                <w:color w:val="000000"/>
                <w:sz w:val="22"/>
                <w:szCs w:val="18"/>
                <w:lang w:val="en-US"/>
              </w:rPr>
            </w:pPr>
            <w:r w:rsidRPr="000C156A">
              <w:rPr>
                <w:i/>
                <w:iCs/>
                <w:color w:val="000000"/>
                <w:sz w:val="22"/>
                <w:szCs w:val="18"/>
                <w:lang w:val="en-US"/>
              </w:rPr>
              <w:t>0</w:t>
            </w:r>
          </w:p>
        </w:tc>
        <w:tc>
          <w:tcPr>
            <w:tcW w:w="1984" w:type="dxa"/>
            <w:tcBorders>
              <w:top w:val="nil"/>
              <w:left w:val="single" w:sz="4" w:space="0" w:color="auto"/>
              <w:right w:val="single" w:sz="4" w:space="0" w:color="auto"/>
            </w:tcBorders>
            <w:hideMark/>
          </w:tcPr>
          <w:p w14:paraId="015A48DF" w14:textId="77777777" w:rsidR="009630A9" w:rsidRPr="000C156A" w:rsidRDefault="009630A9" w:rsidP="005D02F0">
            <w:pPr>
              <w:widowControl w:val="0"/>
              <w:kinsoku w:val="0"/>
              <w:ind w:right="210"/>
              <w:jc w:val="right"/>
              <w:rPr>
                <w:iCs/>
                <w:color w:val="000000"/>
                <w:sz w:val="22"/>
                <w:szCs w:val="18"/>
                <w:lang w:val="en-US"/>
              </w:rPr>
            </w:pPr>
            <w:r w:rsidRPr="000C156A">
              <w:rPr>
                <w:i/>
                <w:iCs/>
                <w:color w:val="000000"/>
                <w:sz w:val="22"/>
                <w:szCs w:val="18"/>
                <w:lang w:val="en-US"/>
              </w:rPr>
              <w:t>0</w:t>
            </w:r>
          </w:p>
        </w:tc>
      </w:tr>
      <w:tr w:rsidR="009630A9" w:rsidRPr="000C156A" w14:paraId="55F09711" w14:textId="77777777" w:rsidTr="005D02F0">
        <w:trPr>
          <w:trHeight w:val="336"/>
          <w:jc w:val="center"/>
        </w:trPr>
        <w:tc>
          <w:tcPr>
            <w:tcW w:w="5573" w:type="dxa"/>
            <w:tcBorders>
              <w:top w:val="nil"/>
              <w:left w:val="single" w:sz="4" w:space="0" w:color="auto"/>
              <w:bottom w:val="single" w:sz="4" w:space="0" w:color="auto"/>
              <w:right w:val="single" w:sz="4" w:space="0" w:color="auto"/>
            </w:tcBorders>
            <w:hideMark/>
          </w:tcPr>
          <w:p w14:paraId="3F4E3E64" w14:textId="77777777" w:rsidR="009630A9" w:rsidRPr="000C156A" w:rsidRDefault="009630A9" w:rsidP="005D02F0">
            <w:pPr>
              <w:widowControl w:val="0"/>
              <w:kinsoku w:val="0"/>
              <w:rPr>
                <w:bCs/>
                <w:color w:val="000000"/>
                <w:sz w:val="22"/>
                <w:szCs w:val="18"/>
                <w:lang w:val="en-US" w:eastAsia="zh-CN"/>
              </w:rPr>
            </w:pPr>
            <w:r w:rsidRPr="000C156A">
              <w:rPr>
                <w:rFonts w:hint="eastAsia"/>
                <w:bCs/>
                <w:color w:val="000000"/>
                <w:sz w:val="22"/>
                <w:szCs w:val="18"/>
                <w:lang w:val="en-US" w:eastAsia="zh-CN"/>
              </w:rPr>
              <w:t>分别截至</w:t>
            </w:r>
            <w:r w:rsidRPr="000C156A">
              <w:rPr>
                <w:rFonts w:hint="eastAsia"/>
                <w:bCs/>
                <w:color w:val="000000"/>
                <w:sz w:val="22"/>
                <w:szCs w:val="18"/>
                <w:lang w:val="en-US" w:eastAsia="zh-CN"/>
              </w:rPr>
              <w:t>20</w:t>
            </w:r>
            <w:r w:rsidRPr="000C156A">
              <w:rPr>
                <w:bCs/>
                <w:color w:val="000000"/>
                <w:sz w:val="22"/>
                <w:szCs w:val="18"/>
                <w:lang w:val="en-US" w:eastAsia="zh-CN"/>
              </w:rPr>
              <w:t>20</w:t>
            </w:r>
            <w:r w:rsidRPr="000C156A">
              <w:rPr>
                <w:rFonts w:hint="eastAsia"/>
                <w:bCs/>
                <w:color w:val="000000"/>
                <w:sz w:val="22"/>
                <w:szCs w:val="18"/>
                <w:lang w:val="en-US" w:eastAsia="zh-CN"/>
              </w:rPr>
              <w:t>-201</w:t>
            </w:r>
            <w:r w:rsidRPr="000C156A">
              <w:rPr>
                <w:bCs/>
                <w:color w:val="000000"/>
                <w:sz w:val="22"/>
                <w:szCs w:val="18"/>
                <w:lang w:val="en-US" w:eastAsia="zh-CN"/>
              </w:rPr>
              <w:t>9</w:t>
            </w:r>
            <w:r w:rsidRPr="000C156A">
              <w:rPr>
                <w:rFonts w:hint="eastAsia"/>
                <w:bCs/>
                <w:color w:val="000000"/>
                <w:sz w:val="22"/>
                <w:szCs w:val="18"/>
                <w:lang w:val="en-US" w:eastAsia="zh-CN"/>
              </w:rPr>
              <w:t>年</w:t>
            </w:r>
            <w:r w:rsidRPr="000C156A">
              <w:rPr>
                <w:bCs/>
                <w:color w:val="000000"/>
                <w:sz w:val="22"/>
                <w:szCs w:val="18"/>
                <w:lang w:val="en-US" w:eastAsia="zh-CN"/>
              </w:rPr>
              <w:t>12</w:t>
            </w:r>
            <w:r w:rsidRPr="000C156A">
              <w:rPr>
                <w:rFonts w:hint="eastAsia"/>
                <w:bCs/>
                <w:color w:val="000000"/>
                <w:sz w:val="22"/>
                <w:szCs w:val="18"/>
                <w:lang w:val="en-US" w:eastAsia="zh-CN"/>
              </w:rPr>
              <w:t>月</w:t>
            </w:r>
            <w:r w:rsidRPr="000C156A">
              <w:rPr>
                <w:bCs/>
                <w:color w:val="000000"/>
                <w:sz w:val="22"/>
                <w:szCs w:val="18"/>
                <w:lang w:val="en-US" w:eastAsia="zh-CN"/>
              </w:rPr>
              <w:t>31</w:t>
            </w:r>
            <w:r w:rsidRPr="000C156A">
              <w:rPr>
                <w:rFonts w:hint="eastAsia"/>
                <w:bCs/>
                <w:color w:val="000000"/>
                <w:sz w:val="22"/>
                <w:szCs w:val="18"/>
                <w:lang w:val="en-US" w:eastAsia="zh-CN"/>
              </w:rPr>
              <w:t>日的</w:t>
            </w:r>
            <w:r w:rsidRPr="000C156A">
              <w:rPr>
                <w:bCs/>
                <w:color w:val="000000"/>
                <w:sz w:val="22"/>
                <w:szCs w:val="18"/>
                <w:lang w:val="en-US" w:eastAsia="zh-CN"/>
              </w:rPr>
              <w:t>ASHI</w:t>
            </w:r>
            <w:r w:rsidRPr="000C156A">
              <w:rPr>
                <w:rFonts w:hint="eastAsia"/>
                <w:bCs/>
                <w:color w:val="000000"/>
                <w:sz w:val="22"/>
                <w:szCs w:val="18"/>
                <w:lang w:val="en-US" w:eastAsia="zh-CN"/>
              </w:rPr>
              <w:t>计划中的</w:t>
            </w:r>
            <w:r w:rsidRPr="000C156A">
              <w:rPr>
                <w:bCs/>
                <w:color w:val="000000"/>
                <w:sz w:val="22"/>
                <w:szCs w:val="18"/>
                <w:lang w:val="en-US" w:eastAsia="zh-CN"/>
              </w:rPr>
              <w:br/>
            </w:r>
            <w:r w:rsidRPr="000C156A">
              <w:rPr>
                <w:rFonts w:hint="eastAsia"/>
                <w:bCs/>
                <w:color w:val="000000"/>
                <w:sz w:val="22"/>
                <w:szCs w:val="18"/>
                <w:lang w:val="en-US" w:eastAsia="zh-CN"/>
              </w:rPr>
              <w:t>承付款项金额</w:t>
            </w:r>
          </w:p>
        </w:tc>
        <w:tc>
          <w:tcPr>
            <w:tcW w:w="1984" w:type="dxa"/>
            <w:tcBorders>
              <w:top w:val="nil"/>
              <w:left w:val="single" w:sz="4" w:space="0" w:color="auto"/>
              <w:bottom w:val="single" w:sz="4" w:space="0" w:color="auto"/>
              <w:right w:val="single" w:sz="4" w:space="0" w:color="auto"/>
            </w:tcBorders>
            <w:shd w:val="clear" w:color="auto" w:fill="auto"/>
            <w:hideMark/>
          </w:tcPr>
          <w:p w14:paraId="37BC4D7B" w14:textId="74353528" w:rsidR="009630A9" w:rsidRPr="000C156A" w:rsidRDefault="009630A9" w:rsidP="005D02F0">
            <w:pPr>
              <w:widowControl w:val="0"/>
              <w:kinsoku w:val="0"/>
              <w:ind w:right="210"/>
              <w:jc w:val="right"/>
              <w:rPr>
                <w:iCs/>
                <w:color w:val="000000"/>
                <w:sz w:val="22"/>
                <w:szCs w:val="18"/>
                <w:lang w:val="en-US"/>
              </w:rPr>
            </w:pPr>
            <w:r w:rsidRPr="000C156A">
              <w:rPr>
                <w:i/>
                <w:iCs/>
                <w:color w:val="000000"/>
                <w:sz w:val="22"/>
                <w:szCs w:val="18"/>
                <w:lang w:val="en-US"/>
              </w:rPr>
              <w:t>631</w:t>
            </w:r>
            <w:r w:rsidR="00261BAD" w:rsidRPr="000C156A">
              <w:rPr>
                <w:i/>
                <w:iCs/>
                <w:color w:val="000000"/>
                <w:sz w:val="22"/>
                <w:szCs w:val="18"/>
                <w:lang w:val="en-US"/>
              </w:rPr>
              <w:t xml:space="preserve"> </w:t>
            </w:r>
            <w:r w:rsidRPr="000C156A">
              <w:rPr>
                <w:i/>
                <w:iCs/>
                <w:color w:val="000000"/>
                <w:sz w:val="22"/>
                <w:szCs w:val="18"/>
                <w:lang w:val="en-US"/>
              </w:rPr>
              <w:t>870</w:t>
            </w:r>
          </w:p>
        </w:tc>
        <w:tc>
          <w:tcPr>
            <w:tcW w:w="1984" w:type="dxa"/>
            <w:tcBorders>
              <w:top w:val="nil"/>
              <w:left w:val="single" w:sz="4" w:space="0" w:color="auto"/>
              <w:bottom w:val="single" w:sz="4" w:space="0" w:color="auto"/>
              <w:right w:val="single" w:sz="4" w:space="0" w:color="auto"/>
            </w:tcBorders>
            <w:hideMark/>
          </w:tcPr>
          <w:p w14:paraId="4DF548A4" w14:textId="47D5DD30" w:rsidR="009630A9" w:rsidRPr="000C156A" w:rsidRDefault="009630A9" w:rsidP="005D02F0">
            <w:pPr>
              <w:widowControl w:val="0"/>
              <w:kinsoku w:val="0"/>
              <w:ind w:right="210"/>
              <w:jc w:val="right"/>
              <w:rPr>
                <w:iCs/>
                <w:color w:val="000000"/>
                <w:sz w:val="22"/>
                <w:szCs w:val="18"/>
                <w:lang w:val="en-US"/>
              </w:rPr>
            </w:pPr>
            <w:r w:rsidRPr="000C156A">
              <w:rPr>
                <w:i/>
                <w:iCs/>
                <w:color w:val="000000"/>
                <w:sz w:val="22"/>
                <w:szCs w:val="18"/>
                <w:lang w:val="en-US"/>
              </w:rPr>
              <w:t>611</w:t>
            </w:r>
            <w:r w:rsidR="00261BAD" w:rsidRPr="000C156A">
              <w:rPr>
                <w:i/>
                <w:iCs/>
                <w:color w:val="000000"/>
                <w:sz w:val="22"/>
                <w:szCs w:val="18"/>
                <w:lang w:val="en-US"/>
              </w:rPr>
              <w:t xml:space="preserve"> </w:t>
            </w:r>
            <w:r w:rsidRPr="000C156A">
              <w:rPr>
                <w:i/>
                <w:iCs/>
                <w:color w:val="000000"/>
                <w:sz w:val="22"/>
                <w:szCs w:val="18"/>
                <w:lang w:val="en-US"/>
              </w:rPr>
              <w:t>896</w:t>
            </w:r>
          </w:p>
        </w:tc>
      </w:tr>
    </w:tbl>
    <w:p w14:paraId="09E038B4" w14:textId="77777777" w:rsidR="009630A9" w:rsidRPr="000C156A" w:rsidRDefault="009630A9" w:rsidP="008C278D">
      <w:pPr>
        <w:spacing w:before="240"/>
        <w:ind w:firstLineChars="200" w:firstLine="480"/>
        <w:rPr>
          <w:lang w:eastAsia="zh-CN"/>
        </w:rPr>
      </w:pPr>
      <w:r w:rsidRPr="000C156A">
        <w:rPr>
          <w:rFonts w:hint="eastAsia"/>
          <w:lang w:eastAsia="zh-CN"/>
        </w:rPr>
        <w:t>截至</w:t>
      </w:r>
      <w:r w:rsidRPr="000C156A">
        <w:rPr>
          <w:rFonts w:hint="eastAsia"/>
          <w:lang w:eastAsia="zh-CN"/>
        </w:rPr>
        <w:t>2020</w:t>
      </w:r>
      <w:r w:rsidRPr="000C156A">
        <w:rPr>
          <w:rFonts w:hint="eastAsia"/>
          <w:lang w:eastAsia="zh-CN"/>
        </w:rPr>
        <w:t>年</w:t>
      </w:r>
      <w:r w:rsidRPr="000C156A">
        <w:rPr>
          <w:rFonts w:hint="eastAsia"/>
          <w:lang w:eastAsia="zh-CN"/>
        </w:rPr>
        <w:t>12</w:t>
      </w:r>
      <w:r w:rsidRPr="000C156A">
        <w:rPr>
          <w:rFonts w:hint="eastAsia"/>
          <w:lang w:eastAsia="zh-CN"/>
        </w:rPr>
        <w:t>月</w:t>
      </w:r>
      <w:r w:rsidRPr="000C156A">
        <w:rPr>
          <w:rFonts w:hint="eastAsia"/>
          <w:lang w:eastAsia="zh-CN"/>
        </w:rPr>
        <w:t>31</w:t>
      </w:r>
      <w:r w:rsidRPr="000C156A">
        <w:rPr>
          <w:rFonts w:hint="eastAsia"/>
          <w:lang w:eastAsia="zh-CN"/>
        </w:rPr>
        <w:t>日，与</w:t>
      </w:r>
      <w:r w:rsidRPr="000C156A">
        <w:rPr>
          <w:rFonts w:hint="eastAsia"/>
          <w:lang w:eastAsia="zh-CN"/>
        </w:rPr>
        <w:t>ASHI</w:t>
      </w:r>
      <w:r w:rsidRPr="000C156A">
        <w:rPr>
          <w:rFonts w:hint="eastAsia"/>
          <w:lang w:eastAsia="zh-CN"/>
        </w:rPr>
        <w:t>有关的承付款项为</w:t>
      </w:r>
      <w:r w:rsidRPr="000C156A">
        <w:rPr>
          <w:rFonts w:hint="eastAsia"/>
          <w:lang w:eastAsia="zh-CN"/>
        </w:rPr>
        <w:t>6.3187</w:t>
      </w:r>
      <w:r w:rsidRPr="000C156A">
        <w:rPr>
          <w:rFonts w:hint="eastAsia"/>
          <w:lang w:eastAsia="zh-CN"/>
        </w:rPr>
        <w:t>亿瑞郎。从</w:t>
      </w:r>
      <w:r w:rsidRPr="000C156A">
        <w:rPr>
          <w:rFonts w:hint="eastAsia"/>
          <w:lang w:eastAsia="zh-CN"/>
        </w:rPr>
        <w:t>2019</w:t>
      </w:r>
      <w:r w:rsidRPr="000C156A">
        <w:rPr>
          <w:rFonts w:hint="eastAsia"/>
          <w:lang w:eastAsia="zh-CN"/>
        </w:rPr>
        <w:t>年底的</w:t>
      </w:r>
      <w:r w:rsidRPr="000C156A">
        <w:rPr>
          <w:rFonts w:hint="eastAsia"/>
          <w:lang w:eastAsia="zh-CN"/>
        </w:rPr>
        <w:t>6.1189</w:t>
      </w:r>
      <w:r w:rsidRPr="000C156A">
        <w:rPr>
          <w:rFonts w:hint="eastAsia"/>
          <w:lang w:eastAsia="zh-CN"/>
        </w:rPr>
        <w:t>亿瑞郎增加到</w:t>
      </w:r>
      <w:r w:rsidRPr="000C156A">
        <w:rPr>
          <w:rFonts w:hint="eastAsia"/>
          <w:lang w:eastAsia="zh-CN"/>
        </w:rPr>
        <w:t>2020</w:t>
      </w:r>
      <w:r w:rsidRPr="000C156A">
        <w:rPr>
          <w:rFonts w:hint="eastAsia"/>
          <w:lang w:eastAsia="zh-CN"/>
        </w:rPr>
        <w:t>年的</w:t>
      </w:r>
      <w:r w:rsidRPr="000C156A">
        <w:rPr>
          <w:rFonts w:hint="eastAsia"/>
          <w:lang w:eastAsia="zh-CN"/>
        </w:rPr>
        <w:t>6.3187</w:t>
      </w:r>
      <w:r w:rsidRPr="000C156A">
        <w:rPr>
          <w:rFonts w:hint="eastAsia"/>
          <w:lang w:eastAsia="zh-CN"/>
        </w:rPr>
        <w:t>亿瑞郎，由多种不同的因素造成。影响</w:t>
      </w:r>
      <w:r w:rsidRPr="000C156A">
        <w:rPr>
          <w:rFonts w:hint="eastAsia"/>
          <w:lang w:eastAsia="zh-CN"/>
        </w:rPr>
        <w:t>ASHI</w:t>
      </w:r>
      <w:r w:rsidRPr="000C156A">
        <w:rPr>
          <w:rFonts w:hint="eastAsia"/>
          <w:lang w:eastAsia="zh-CN"/>
        </w:rPr>
        <w:t>估值的主要因素是用于计算未来累积索赔现值的贴现率。</w:t>
      </w:r>
      <w:r w:rsidRPr="000C156A">
        <w:rPr>
          <w:rFonts w:hint="eastAsia"/>
          <w:lang w:eastAsia="zh-CN"/>
        </w:rPr>
        <w:t>2020</w:t>
      </w:r>
      <w:r w:rsidRPr="000C156A">
        <w:rPr>
          <w:rFonts w:hint="eastAsia"/>
          <w:lang w:eastAsia="zh-CN"/>
        </w:rPr>
        <w:t>年，贴现率从</w:t>
      </w:r>
      <w:r w:rsidRPr="000C156A">
        <w:rPr>
          <w:rFonts w:hint="eastAsia"/>
          <w:lang w:eastAsia="zh-CN"/>
        </w:rPr>
        <w:t>0.6%</w:t>
      </w:r>
      <w:r w:rsidRPr="000C156A">
        <w:rPr>
          <w:rFonts w:hint="eastAsia"/>
          <w:lang w:eastAsia="zh-CN"/>
        </w:rPr>
        <w:t>降至</w:t>
      </w:r>
      <w:r w:rsidRPr="000C156A">
        <w:rPr>
          <w:rFonts w:hint="eastAsia"/>
          <w:lang w:eastAsia="zh-CN"/>
        </w:rPr>
        <w:t>0.2%</w:t>
      </w:r>
      <w:r w:rsidRPr="000C156A">
        <w:rPr>
          <w:rFonts w:hint="eastAsia"/>
          <w:lang w:eastAsia="zh-CN"/>
        </w:rPr>
        <w:t>。本次估值使用的贴现率是通过使用怡安</w:t>
      </w:r>
      <w:r w:rsidRPr="000C156A">
        <w:rPr>
          <w:rFonts w:hint="eastAsia"/>
          <w:lang w:eastAsia="zh-CN"/>
        </w:rPr>
        <w:t>AA</w:t>
      </w:r>
      <w:r w:rsidRPr="000C156A">
        <w:rPr>
          <w:rFonts w:hint="eastAsia"/>
          <w:lang w:eastAsia="zh-CN"/>
        </w:rPr>
        <w:t>公司债券收益率曲线（截至</w:t>
      </w:r>
      <w:r w:rsidRPr="000C156A">
        <w:rPr>
          <w:rFonts w:hint="eastAsia"/>
          <w:lang w:eastAsia="zh-CN"/>
        </w:rPr>
        <w:t>2020</w:t>
      </w:r>
      <w:r w:rsidRPr="000C156A">
        <w:rPr>
          <w:rFonts w:hint="eastAsia"/>
          <w:lang w:eastAsia="zh-CN"/>
        </w:rPr>
        <w:t>年</w:t>
      </w:r>
      <w:r w:rsidRPr="000C156A">
        <w:rPr>
          <w:rFonts w:hint="eastAsia"/>
          <w:lang w:eastAsia="zh-CN"/>
        </w:rPr>
        <w:t>12</w:t>
      </w:r>
      <w:r w:rsidRPr="000C156A">
        <w:rPr>
          <w:rFonts w:hint="eastAsia"/>
          <w:lang w:eastAsia="zh-CN"/>
        </w:rPr>
        <w:t>月</w:t>
      </w:r>
      <w:r w:rsidRPr="000C156A">
        <w:rPr>
          <w:rFonts w:hint="eastAsia"/>
          <w:lang w:eastAsia="zh-CN"/>
        </w:rPr>
        <w:t>31</w:t>
      </w:r>
      <w:r w:rsidRPr="000C156A">
        <w:rPr>
          <w:rFonts w:hint="eastAsia"/>
          <w:lang w:eastAsia="zh-CN"/>
        </w:rPr>
        <w:t>日）确定的。</w:t>
      </w:r>
    </w:p>
    <w:p w14:paraId="79EBF67A" w14:textId="77777777" w:rsidR="009630A9" w:rsidRPr="000C156A" w:rsidRDefault="009630A9" w:rsidP="009630A9">
      <w:pPr>
        <w:spacing w:before="240"/>
        <w:ind w:firstLineChars="200" w:firstLine="480"/>
        <w:jc w:val="both"/>
        <w:rPr>
          <w:sz w:val="22"/>
          <w:lang w:eastAsia="zh-CN"/>
        </w:rPr>
      </w:pPr>
      <w:r w:rsidRPr="000C156A">
        <w:rPr>
          <w:lang w:eastAsia="zh-CN"/>
        </w:rPr>
        <w:t>根据外部审计</w:t>
      </w:r>
      <w:r w:rsidRPr="000C156A">
        <w:rPr>
          <w:rFonts w:hint="eastAsia"/>
          <w:lang w:eastAsia="zh-CN"/>
        </w:rPr>
        <w:t>员</w:t>
      </w:r>
      <w:r w:rsidRPr="000C156A">
        <w:rPr>
          <w:lang w:eastAsia="zh-CN"/>
        </w:rPr>
        <w:t>的要求</w:t>
      </w:r>
      <w:r w:rsidRPr="000C156A">
        <w:rPr>
          <w:rFonts w:hint="eastAsia"/>
          <w:lang w:eastAsia="zh-CN"/>
        </w:rPr>
        <w:t>并为了通报情况</w:t>
      </w:r>
      <w:r w:rsidRPr="000C156A">
        <w:rPr>
          <w:lang w:eastAsia="zh-CN"/>
        </w:rPr>
        <w:t>，已经要求使用怡安瑞士政府债券收益率曲线进行估值。</w:t>
      </w:r>
      <w:r w:rsidRPr="000C156A">
        <w:rPr>
          <w:rFonts w:hint="eastAsia"/>
          <w:lang w:eastAsia="zh-CN"/>
        </w:rPr>
        <w:t>该</w:t>
      </w:r>
      <w:r w:rsidRPr="000C156A">
        <w:rPr>
          <w:lang w:eastAsia="zh-CN"/>
        </w:rPr>
        <w:t>政府债券的贴现率为</w:t>
      </w:r>
      <w:r w:rsidRPr="000C156A">
        <w:rPr>
          <w:lang w:eastAsia="zh-CN"/>
        </w:rPr>
        <w:t>0.2%</w:t>
      </w:r>
      <w:r w:rsidRPr="000C156A">
        <w:rPr>
          <w:lang w:eastAsia="zh-CN"/>
        </w:rPr>
        <w:t>，这将使</w:t>
      </w:r>
      <w:r w:rsidRPr="000C156A">
        <w:rPr>
          <w:lang w:eastAsia="zh-CN"/>
        </w:rPr>
        <w:t>ASHI</w:t>
      </w:r>
      <w:r w:rsidRPr="000C156A">
        <w:rPr>
          <w:rFonts w:hint="eastAsia"/>
          <w:lang w:eastAsia="zh-CN"/>
        </w:rPr>
        <w:t>承付款项</w:t>
      </w:r>
      <w:r w:rsidRPr="000C156A">
        <w:rPr>
          <w:lang w:eastAsia="zh-CN"/>
        </w:rPr>
        <w:t>增加到约</w:t>
      </w:r>
      <w:r w:rsidRPr="000C156A">
        <w:rPr>
          <w:lang w:eastAsia="zh-CN"/>
        </w:rPr>
        <w:t>6</w:t>
      </w:r>
      <w:r w:rsidRPr="000C156A">
        <w:rPr>
          <w:rFonts w:hint="eastAsia"/>
          <w:lang w:eastAsia="zh-CN"/>
        </w:rPr>
        <w:t>0</w:t>
      </w:r>
      <w:r w:rsidRPr="000C156A">
        <w:rPr>
          <w:lang w:eastAsia="zh-CN"/>
        </w:rPr>
        <w:t>00</w:t>
      </w:r>
      <w:r w:rsidRPr="000C156A">
        <w:rPr>
          <w:rFonts w:hint="eastAsia"/>
          <w:lang w:eastAsia="zh-CN"/>
        </w:rPr>
        <w:t>万</w:t>
      </w:r>
      <w:r w:rsidRPr="000C156A">
        <w:rPr>
          <w:lang w:eastAsia="zh-CN"/>
        </w:rPr>
        <w:t>瑞郎</w:t>
      </w:r>
      <w:r w:rsidRPr="000C156A">
        <w:rPr>
          <w:rFonts w:ascii="SimSun" w:hAnsi="SimSun" w:cs="SimSun" w:hint="eastAsia"/>
          <w:lang w:eastAsia="zh-CN"/>
        </w:rPr>
        <w:t>。</w:t>
      </w:r>
    </w:p>
    <w:p w14:paraId="6C5BA326" w14:textId="77777777" w:rsidR="009630A9" w:rsidRPr="000C156A" w:rsidRDefault="009630A9" w:rsidP="009630A9">
      <w:pPr>
        <w:spacing w:after="120"/>
        <w:ind w:firstLineChars="200" w:firstLine="480"/>
        <w:rPr>
          <w:lang w:val="en-US" w:eastAsia="zh-CN"/>
        </w:rPr>
      </w:pPr>
      <w:bookmarkStart w:id="767" w:name="_Toc305764095"/>
      <w:r w:rsidRPr="000C156A">
        <w:rPr>
          <w:rFonts w:hint="eastAsia"/>
          <w:lang w:val="en-US" w:eastAsia="zh-CN"/>
        </w:rPr>
        <w:t>由于精算估算</w:t>
      </w:r>
      <w:r w:rsidRPr="000C156A">
        <w:rPr>
          <w:rFonts w:hint="eastAsia"/>
          <w:lang w:eastAsia="zh-CN"/>
        </w:rPr>
        <w:t>变化</w:t>
      </w:r>
      <w:r w:rsidRPr="000C156A">
        <w:rPr>
          <w:rFonts w:hint="eastAsia"/>
          <w:lang w:val="en-US" w:eastAsia="zh-CN"/>
        </w:rPr>
        <w:t>造成的精算损失在净资产中使用其他全面收益方法（</w:t>
      </w:r>
      <w:r w:rsidRPr="000C156A">
        <w:rPr>
          <w:lang w:val="en-US" w:eastAsia="zh-CN"/>
        </w:rPr>
        <w:t>OCI</w:t>
      </w:r>
      <w:r w:rsidRPr="000C156A">
        <w:rPr>
          <w:rFonts w:hint="eastAsia"/>
          <w:lang w:val="en-US" w:eastAsia="zh-CN"/>
        </w:rPr>
        <w:t>）予以确认。</w:t>
      </w:r>
    </w:p>
    <w:p w14:paraId="128EDA53" w14:textId="77777777" w:rsidR="009630A9" w:rsidRPr="000C156A" w:rsidRDefault="009630A9" w:rsidP="00861EDA">
      <w:pPr>
        <w:spacing w:after="240"/>
        <w:ind w:firstLineChars="200" w:firstLine="480"/>
        <w:rPr>
          <w:lang w:eastAsia="zh-CN"/>
        </w:rPr>
      </w:pPr>
      <w:r w:rsidRPr="000C156A">
        <w:rPr>
          <w:lang w:eastAsia="zh-CN"/>
        </w:rPr>
        <w:t>下表显示</w:t>
      </w:r>
      <w:r w:rsidRPr="000C156A">
        <w:rPr>
          <w:rFonts w:hint="eastAsia"/>
          <w:lang w:eastAsia="zh-CN"/>
        </w:rPr>
        <w:t>本财务</w:t>
      </w:r>
      <w:r w:rsidRPr="000C156A">
        <w:rPr>
          <w:lang w:eastAsia="zh-CN"/>
        </w:rPr>
        <w:t>期结束时的</w:t>
      </w:r>
      <w:r w:rsidRPr="000C156A">
        <w:rPr>
          <w:rFonts w:hint="eastAsia"/>
          <w:lang w:val="en-US" w:eastAsia="zh-CN"/>
        </w:rPr>
        <w:t>承付款项</w:t>
      </w:r>
      <w:r w:rsidRPr="000C156A">
        <w:rPr>
          <w:lang w:eastAsia="zh-CN"/>
        </w:rPr>
        <w:t>净额</w:t>
      </w:r>
      <w:r w:rsidRPr="000C156A">
        <w:rPr>
          <w:rFonts w:hint="eastAsia"/>
          <w:lang w:eastAsia="zh-CN"/>
        </w:rPr>
        <w:t>：</w:t>
      </w:r>
    </w:p>
    <w:tbl>
      <w:tblPr>
        <w:tblW w:w="952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65"/>
        <w:gridCol w:w="2001"/>
        <w:gridCol w:w="1855"/>
      </w:tblGrid>
      <w:tr w:rsidR="009630A9" w:rsidRPr="000C156A" w14:paraId="65805AC9" w14:textId="77777777" w:rsidTr="007172E9">
        <w:trPr>
          <w:trHeight w:val="297"/>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0D5A5CD3" w14:textId="77777777" w:rsidR="009630A9" w:rsidRPr="000C156A" w:rsidRDefault="009630A9" w:rsidP="007E6FB8">
            <w:pPr>
              <w:widowControl w:val="0"/>
              <w:kinsoku w:val="0"/>
              <w:spacing w:before="0"/>
              <w:rPr>
                <w:b/>
                <w:sz w:val="22"/>
                <w:szCs w:val="22"/>
                <w:lang w:val="en-US" w:eastAsia="zh-CN"/>
              </w:rPr>
            </w:pPr>
            <w:r w:rsidRPr="000C156A">
              <w:rPr>
                <w:rFonts w:hint="eastAsia"/>
                <w:b/>
                <w:color w:val="000000"/>
                <w:sz w:val="22"/>
                <w:szCs w:val="22"/>
                <w:lang w:val="en-US" w:eastAsia="zh-CN"/>
              </w:rPr>
              <w:t>在净资产中得到确认的精算损失分析</w:t>
            </w: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14:paraId="5EA7C6BE" w14:textId="77777777" w:rsidR="009630A9" w:rsidRPr="000C156A" w:rsidRDefault="009630A9" w:rsidP="005D02F0">
            <w:pPr>
              <w:spacing w:after="120"/>
              <w:ind w:firstLineChars="200" w:firstLine="440"/>
              <w:jc w:val="center"/>
              <w:rPr>
                <w:rFonts w:ascii="STKaiti" w:eastAsia="STKaiti" w:hAnsi="STKaiti"/>
                <w:b/>
                <w:bCs/>
                <w:sz w:val="22"/>
                <w:szCs w:val="22"/>
                <w:lang w:val="en-US" w:eastAsia="zh-CN"/>
              </w:rPr>
            </w:pPr>
            <w:r w:rsidRPr="000C156A">
              <w:rPr>
                <w:rFonts w:ascii="STKaiti" w:eastAsia="STKaiti" w:hAnsi="STKaiti" w:hint="eastAsia"/>
                <w:b/>
                <w:bCs/>
                <w:sz w:val="22"/>
                <w:szCs w:val="22"/>
                <w:lang w:val="en-US" w:eastAsia="zh-CN"/>
              </w:rPr>
              <w:t>单位：千瑞郎</w:t>
            </w:r>
          </w:p>
        </w:tc>
      </w:tr>
      <w:tr w:rsidR="009630A9" w:rsidRPr="000C156A" w14:paraId="4FA543F2" w14:textId="77777777" w:rsidTr="005D02F0">
        <w:trPr>
          <w:trHeight w:val="264"/>
          <w:jc w:val="center"/>
        </w:trPr>
        <w:tc>
          <w:tcPr>
            <w:tcW w:w="5665" w:type="dxa"/>
            <w:tcBorders>
              <w:top w:val="single" w:sz="4" w:space="0" w:color="auto"/>
              <w:left w:val="single" w:sz="4" w:space="0" w:color="auto"/>
              <w:bottom w:val="nil"/>
              <w:right w:val="single" w:sz="4" w:space="0" w:color="auto"/>
            </w:tcBorders>
            <w:hideMark/>
          </w:tcPr>
          <w:p w14:paraId="0827C337" w14:textId="77777777" w:rsidR="009630A9" w:rsidRPr="000C156A" w:rsidRDefault="009630A9" w:rsidP="005D02F0">
            <w:pPr>
              <w:rPr>
                <w:rFonts w:ascii="STKaiti" w:eastAsia="STKaiti" w:hAnsi="STKaiti"/>
                <w:b/>
                <w:bCs/>
                <w:sz w:val="22"/>
                <w:szCs w:val="22"/>
                <w:lang w:val="en-US" w:eastAsia="zh-CN"/>
              </w:rPr>
            </w:pPr>
          </w:p>
        </w:tc>
        <w:tc>
          <w:tcPr>
            <w:tcW w:w="2001" w:type="dxa"/>
            <w:tcBorders>
              <w:top w:val="single" w:sz="4" w:space="0" w:color="auto"/>
              <w:left w:val="single" w:sz="4" w:space="0" w:color="auto"/>
              <w:bottom w:val="nil"/>
              <w:right w:val="nil"/>
            </w:tcBorders>
            <w:vAlign w:val="bottom"/>
            <w:hideMark/>
          </w:tcPr>
          <w:p w14:paraId="7878C18F" w14:textId="77777777" w:rsidR="009630A9" w:rsidRPr="000C156A" w:rsidRDefault="009630A9" w:rsidP="005D02F0">
            <w:pPr>
              <w:pageBreakBefore/>
              <w:widowControl w:val="0"/>
              <w:kinsoku w:val="0"/>
              <w:spacing w:before="60"/>
              <w:jc w:val="center"/>
              <w:rPr>
                <w:b/>
                <w:bCs/>
                <w:color w:val="000000"/>
                <w:sz w:val="22"/>
                <w:szCs w:val="22"/>
                <w:lang w:val="en-US" w:eastAsia="zh-CN"/>
              </w:rPr>
            </w:pPr>
            <w:r w:rsidRPr="000C156A">
              <w:rPr>
                <w:b/>
                <w:bCs/>
                <w:color w:val="000000"/>
                <w:sz w:val="22"/>
                <w:szCs w:val="22"/>
                <w:lang w:val="en-US" w:eastAsia="zh-CN"/>
              </w:rPr>
              <w:t>2020</w:t>
            </w:r>
            <w:r w:rsidRPr="000C156A">
              <w:rPr>
                <w:rFonts w:hint="eastAsia"/>
                <w:b/>
                <w:bCs/>
                <w:color w:val="000000"/>
                <w:sz w:val="22"/>
                <w:szCs w:val="22"/>
                <w:lang w:val="en-US" w:eastAsia="zh-CN"/>
              </w:rPr>
              <w:t>年</w:t>
            </w:r>
            <w:r w:rsidRPr="000C156A">
              <w:rPr>
                <w:b/>
                <w:bCs/>
                <w:color w:val="000000"/>
                <w:sz w:val="22"/>
                <w:szCs w:val="22"/>
                <w:lang w:val="en-US" w:eastAsia="zh-CN"/>
              </w:rPr>
              <w:t>12</w:t>
            </w:r>
            <w:r w:rsidRPr="000C156A">
              <w:rPr>
                <w:rFonts w:hint="eastAsia"/>
                <w:b/>
                <w:bCs/>
                <w:color w:val="000000"/>
                <w:sz w:val="22"/>
                <w:szCs w:val="22"/>
                <w:lang w:val="en-US" w:eastAsia="zh-CN"/>
              </w:rPr>
              <w:t>月</w:t>
            </w:r>
            <w:r w:rsidRPr="000C156A">
              <w:rPr>
                <w:b/>
                <w:bCs/>
                <w:color w:val="000000"/>
                <w:sz w:val="22"/>
                <w:szCs w:val="22"/>
                <w:lang w:val="en-US" w:eastAsia="zh-CN"/>
              </w:rPr>
              <w:t>31</w:t>
            </w:r>
            <w:r w:rsidRPr="000C156A">
              <w:rPr>
                <w:rFonts w:hint="eastAsia"/>
                <w:b/>
                <w:bCs/>
                <w:color w:val="000000"/>
                <w:sz w:val="22"/>
                <w:szCs w:val="22"/>
                <w:lang w:val="en-US" w:eastAsia="zh-CN"/>
              </w:rPr>
              <w:t>日</w:t>
            </w:r>
          </w:p>
        </w:tc>
        <w:tc>
          <w:tcPr>
            <w:tcW w:w="1855" w:type="dxa"/>
            <w:tcBorders>
              <w:top w:val="single" w:sz="4" w:space="0" w:color="auto"/>
              <w:left w:val="single" w:sz="4" w:space="0" w:color="auto"/>
              <w:bottom w:val="nil"/>
              <w:right w:val="single" w:sz="4" w:space="0" w:color="auto"/>
            </w:tcBorders>
            <w:vAlign w:val="bottom"/>
            <w:hideMark/>
          </w:tcPr>
          <w:p w14:paraId="4BA68E13" w14:textId="77777777" w:rsidR="009630A9" w:rsidRPr="000C156A" w:rsidRDefault="009630A9" w:rsidP="005D02F0">
            <w:pPr>
              <w:pageBreakBefore/>
              <w:widowControl w:val="0"/>
              <w:kinsoku w:val="0"/>
              <w:spacing w:before="60"/>
              <w:ind w:firstLineChars="8" w:firstLine="18"/>
              <w:jc w:val="center"/>
              <w:rPr>
                <w:b/>
                <w:bCs/>
                <w:color w:val="000000"/>
                <w:sz w:val="22"/>
                <w:szCs w:val="22"/>
                <w:lang w:val="en-US" w:eastAsia="zh-CN"/>
              </w:rPr>
            </w:pPr>
            <w:r w:rsidRPr="000C156A">
              <w:rPr>
                <w:b/>
                <w:bCs/>
                <w:color w:val="000000"/>
                <w:sz w:val="22"/>
                <w:szCs w:val="22"/>
                <w:lang w:val="en-US" w:eastAsia="zh-CN"/>
              </w:rPr>
              <w:t>2019</w:t>
            </w:r>
            <w:r w:rsidRPr="000C156A">
              <w:rPr>
                <w:rFonts w:hint="eastAsia"/>
                <w:b/>
                <w:bCs/>
                <w:color w:val="000000"/>
                <w:sz w:val="22"/>
                <w:szCs w:val="22"/>
                <w:lang w:val="en-US" w:eastAsia="zh-CN"/>
              </w:rPr>
              <w:t>年</w:t>
            </w:r>
            <w:r w:rsidRPr="000C156A">
              <w:rPr>
                <w:b/>
                <w:bCs/>
                <w:color w:val="000000"/>
                <w:sz w:val="22"/>
                <w:szCs w:val="22"/>
                <w:lang w:val="en-US" w:eastAsia="zh-CN"/>
              </w:rPr>
              <w:t>12</w:t>
            </w:r>
            <w:r w:rsidRPr="000C156A">
              <w:rPr>
                <w:rFonts w:hint="eastAsia"/>
                <w:b/>
                <w:bCs/>
                <w:color w:val="000000"/>
                <w:sz w:val="22"/>
                <w:szCs w:val="22"/>
                <w:lang w:val="en-US" w:eastAsia="zh-CN"/>
              </w:rPr>
              <w:t>月</w:t>
            </w:r>
            <w:r w:rsidRPr="000C156A">
              <w:rPr>
                <w:b/>
                <w:bCs/>
                <w:color w:val="000000"/>
                <w:sz w:val="22"/>
                <w:szCs w:val="22"/>
                <w:lang w:val="en-US" w:eastAsia="zh-CN"/>
              </w:rPr>
              <w:t>31</w:t>
            </w:r>
            <w:r w:rsidRPr="000C156A">
              <w:rPr>
                <w:rFonts w:hint="eastAsia"/>
                <w:b/>
                <w:bCs/>
                <w:color w:val="000000"/>
                <w:sz w:val="22"/>
                <w:szCs w:val="22"/>
                <w:lang w:val="en-US" w:eastAsia="zh-CN"/>
              </w:rPr>
              <w:t>日</w:t>
            </w:r>
          </w:p>
        </w:tc>
      </w:tr>
      <w:tr w:rsidR="009630A9" w:rsidRPr="000C156A" w14:paraId="45134C33" w14:textId="77777777" w:rsidTr="00B5475F">
        <w:trPr>
          <w:trHeight w:val="264"/>
          <w:jc w:val="center"/>
        </w:trPr>
        <w:tc>
          <w:tcPr>
            <w:tcW w:w="5665" w:type="dxa"/>
            <w:tcBorders>
              <w:top w:val="nil"/>
              <w:left w:val="single" w:sz="4" w:space="0" w:color="auto"/>
              <w:bottom w:val="nil"/>
              <w:right w:val="single" w:sz="4" w:space="0" w:color="auto"/>
            </w:tcBorders>
            <w:vAlign w:val="center"/>
            <w:hideMark/>
          </w:tcPr>
          <w:p w14:paraId="122C7AFA" w14:textId="77777777" w:rsidR="009630A9" w:rsidRPr="000C156A" w:rsidRDefault="009630A9" w:rsidP="005D02F0">
            <w:pPr>
              <w:widowControl w:val="0"/>
              <w:kinsoku w:val="0"/>
              <w:spacing w:before="60" w:after="60"/>
              <w:rPr>
                <w:bCs/>
                <w:color w:val="000000"/>
                <w:sz w:val="22"/>
                <w:szCs w:val="22"/>
                <w:lang w:val="en-US" w:eastAsia="zh-CN"/>
              </w:rPr>
            </w:pPr>
            <w:r w:rsidRPr="000C156A">
              <w:rPr>
                <w:rFonts w:hint="eastAsia"/>
                <w:bCs/>
                <w:color w:val="000000"/>
                <w:sz w:val="22"/>
                <w:szCs w:val="22"/>
                <w:lang w:val="en-US" w:eastAsia="zh-CN"/>
              </w:rPr>
              <w:t>假设变化造成的承付款项</w:t>
            </w:r>
          </w:p>
        </w:tc>
        <w:tc>
          <w:tcPr>
            <w:tcW w:w="2001" w:type="dxa"/>
            <w:tcBorders>
              <w:top w:val="nil"/>
              <w:left w:val="nil"/>
              <w:bottom w:val="nil"/>
              <w:right w:val="nil"/>
            </w:tcBorders>
            <w:shd w:val="clear" w:color="auto" w:fill="auto"/>
            <w:vAlign w:val="center"/>
            <w:hideMark/>
          </w:tcPr>
          <w:p w14:paraId="4F76770D" w14:textId="28573812"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C156A">
              <w:rPr>
                <w:rFonts w:asciiTheme="minorHAnsi" w:hAnsiTheme="minorHAnsi" w:cstheme="minorHAnsi"/>
                <w:color w:val="000000"/>
                <w:sz w:val="22"/>
                <w:szCs w:val="22"/>
                <w:lang w:val="en-US" w:eastAsia="zh-CN"/>
              </w:rPr>
              <w:t>-5</w:t>
            </w:r>
            <w:r w:rsidR="007172E9" w:rsidRPr="000C156A">
              <w:rPr>
                <w:rFonts w:asciiTheme="minorHAnsi" w:hAnsiTheme="minorHAnsi" w:cstheme="minorHAnsi"/>
                <w:color w:val="000000"/>
                <w:sz w:val="22"/>
                <w:szCs w:val="22"/>
                <w:lang w:val="en-US" w:eastAsia="zh-CN"/>
              </w:rPr>
              <w:t xml:space="preserve"> </w:t>
            </w:r>
            <w:r w:rsidRPr="000C156A">
              <w:rPr>
                <w:rFonts w:asciiTheme="minorHAnsi" w:hAnsiTheme="minorHAnsi" w:cstheme="minorHAnsi"/>
                <w:color w:val="000000"/>
                <w:sz w:val="22"/>
                <w:szCs w:val="22"/>
                <w:lang w:val="en-US" w:eastAsia="zh-CN"/>
              </w:rPr>
              <w:t>547</w:t>
            </w:r>
          </w:p>
        </w:tc>
        <w:tc>
          <w:tcPr>
            <w:tcW w:w="1855" w:type="dxa"/>
            <w:tcBorders>
              <w:top w:val="nil"/>
              <w:left w:val="single" w:sz="8" w:space="0" w:color="auto"/>
              <w:bottom w:val="nil"/>
              <w:right w:val="single" w:sz="8" w:space="0" w:color="auto"/>
            </w:tcBorders>
            <w:shd w:val="clear" w:color="auto" w:fill="auto"/>
            <w:vAlign w:val="center"/>
            <w:hideMark/>
          </w:tcPr>
          <w:p w14:paraId="0EC20A56" w14:textId="6C687CAA"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C156A">
              <w:rPr>
                <w:rFonts w:asciiTheme="minorHAnsi" w:hAnsiTheme="minorHAnsi" w:cstheme="minorHAnsi"/>
                <w:color w:val="000000"/>
                <w:sz w:val="22"/>
                <w:szCs w:val="22"/>
                <w:lang w:val="en-US" w:eastAsia="zh-CN"/>
              </w:rPr>
              <w:t>-12</w:t>
            </w:r>
            <w:r w:rsidR="007172E9" w:rsidRPr="000C156A">
              <w:rPr>
                <w:rFonts w:asciiTheme="minorHAnsi" w:hAnsiTheme="minorHAnsi" w:cstheme="minorHAnsi"/>
                <w:color w:val="000000"/>
                <w:sz w:val="22"/>
                <w:szCs w:val="22"/>
                <w:lang w:val="en-US" w:eastAsia="zh-CN"/>
              </w:rPr>
              <w:t xml:space="preserve"> </w:t>
            </w:r>
            <w:r w:rsidRPr="000C156A">
              <w:rPr>
                <w:rFonts w:asciiTheme="minorHAnsi" w:hAnsiTheme="minorHAnsi" w:cstheme="minorHAnsi"/>
                <w:color w:val="000000"/>
                <w:sz w:val="22"/>
                <w:szCs w:val="22"/>
                <w:lang w:val="en-US" w:eastAsia="zh-CN"/>
              </w:rPr>
              <w:t>038</w:t>
            </w:r>
          </w:p>
        </w:tc>
      </w:tr>
      <w:tr w:rsidR="009630A9" w:rsidRPr="000C156A" w14:paraId="2F3260DB" w14:textId="77777777" w:rsidTr="00B5475F">
        <w:trPr>
          <w:trHeight w:val="264"/>
          <w:jc w:val="center"/>
        </w:trPr>
        <w:tc>
          <w:tcPr>
            <w:tcW w:w="5665" w:type="dxa"/>
            <w:tcBorders>
              <w:top w:val="nil"/>
              <w:left w:val="single" w:sz="4" w:space="0" w:color="auto"/>
              <w:bottom w:val="nil"/>
              <w:right w:val="single" w:sz="4" w:space="0" w:color="auto"/>
            </w:tcBorders>
            <w:vAlign w:val="center"/>
            <w:hideMark/>
          </w:tcPr>
          <w:p w14:paraId="105F1AE5" w14:textId="77777777" w:rsidR="009630A9" w:rsidRPr="000C156A" w:rsidRDefault="009630A9" w:rsidP="005D02F0">
            <w:pPr>
              <w:widowControl w:val="0"/>
              <w:kinsoku w:val="0"/>
              <w:spacing w:before="60" w:after="60"/>
              <w:rPr>
                <w:bCs/>
                <w:color w:val="000000"/>
                <w:sz w:val="22"/>
                <w:szCs w:val="22"/>
                <w:lang w:val="en-US" w:eastAsia="zh-CN"/>
              </w:rPr>
            </w:pPr>
            <w:r w:rsidRPr="000C156A">
              <w:rPr>
                <w:rFonts w:hint="eastAsia"/>
                <w:bCs/>
                <w:color w:val="000000"/>
                <w:sz w:val="22"/>
                <w:szCs w:val="22"/>
                <w:lang w:val="en-US" w:eastAsia="zh-CN"/>
              </w:rPr>
              <w:t>该期内经验造成的承付款项</w:t>
            </w:r>
          </w:p>
        </w:tc>
        <w:tc>
          <w:tcPr>
            <w:tcW w:w="2001" w:type="dxa"/>
            <w:tcBorders>
              <w:top w:val="nil"/>
              <w:left w:val="nil"/>
              <w:bottom w:val="nil"/>
              <w:right w:val="nil"/>
            </w:tcBorders>
            <w:shd w:val="clear" w:color="auto" w:fill="auto"/>
            <w:vAlign w:val="center"/>
            <w:hideMark/>
          </w:tcPr>
          <w:p w14:paraId="2B9778EB" w14:textId="7E0D7D44"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C156A">
              <w:rPr>
                <w:rFonts w:asciiTheme="minorHAnsi" w:hAnsiTheme="minorHAnsi" w:cstheme="minorHAnsi"/>
                <w:color w:val="000000"/>
                <w:sz w:val="22"/>
                <w:szCs w:val="22"/>
                <w:lang w:val="en-US" w:eastAsia="zh-CN"/>
              </w:rPr>
              <w:t>2</w:t>
            </w:r>
            <w:r w:rsidR="007172E9" w:rsidRPr="000C156A">
              <w:rPr>
                <w:rFonts w:asciiTheme="minorHAnsi" w:hAnsiTheme="minorHAnsi" w:cstheme="minorHAnsi"/>
                <w:color w:val="000000"/>
                <w:sz w:val="22"/>
                <w:szCs w:val="22"/>
                <w:lang w:val="en-US" w:eastAsia="zh-CN"/>
              </w:rPr>
              <w:t xml:space="preserve"> </w:t>
            </w:r>
            <w:r w:rsidRPr="000C156A">
              <w:rPr>
                <w:rFonts w:asciiTheme="minorHAnsi" w:hAnsiTheme="minorHAnsi" w:cstheme="minorHAnsi"/>
                <w:color w:val="000000"/>
                <w:sz w:val="22"/>
                <w:szCs w:val="22"/>
                <w:lang w:val="en-US" w:eastAsia="zh-CN"/>
              </w:rPr>
              <w:t>732</w:t>
            </w:r>
          </w:p>
        </w:tc>
        <w:tc>
          <w:tcPr>
            <w:tcW w:w="1855" w:type="dxa"/>
            <w:tcBorders>
              <w:top w:val="nil"/>
              <w:left w:val="single" w:sz="8" w:space="0" w:color="auto"/>
              <w:bottom w:val="nil"/>
              <w:right w:val="single" w:sz="8" w:space="0" w:color="auto"/>
            </w:tcBorders>
            <w:shd w:val="clear" w:color="auto" w:fill="auto"/>
            <w:vAlign w:val="center"/>
            <w:hideMark/>
          </w:tcPr>
          <w:p w14:paraId="6D068BE9"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C156A">
              <w:rPr>
                <w:rFonts w:asciiTheme="minorHAnsi" w:hAnsiTheme="minorHAnsi" w:cstheme="minorHAnsi"/>
                <w:color w:val="000000"/>
                <w:sz w:val="22"/>
                <w:szCs w:val="22"/>
                <w:lang w:val="en-US" w:eastAsia="zh-CN"/>
              </w:rPr>
              <w:t>-</w:t>
            </w:r>
          </w:p>
        </w:tc>
      </w:tr>
      <w:tr w:rsidR="009630A9" w:rsidRPr="000C156A" w14:paraId="589A63C8" w14:textId="77777777" w:rsidTr="00B5475F">
        <w:trPr>
          <w:trHeight w:val="264"/>
          <w:jc w:val="center"/>
        </w:trPr>
        <w:tc>
          <w:tcPr>
            <w:tcW w:w="5665" w:type="dxa"/>
            <w:tcBorders>
              <w:top w:val="nil"/>
              <w:left w:val="single" w:sz="4" w:space="0" w:color="auto"/>
              <w:bottom w:val="nil"/>
              <w:right w:val="single" w:sz="4" w:space="0" w:color="auto"/>
            </w:tcBorders>
            <w:vAlign w:val="center"/>
            <w:hideMark/>
          </w:tcPr>
          <w:p w14:paraId="3ABA8B19" w14:textId="77777777" w:rsidR="009630A9" w:rsidRPr="000C156A" w:rsidRDefault="009630A9" w:rsidP="005D02F0">
            <w:pPr>
              <w:widowControl w:val="0"/>
              <w:kinsoku w:val="0"/>
              <w:spacing w:before="60" w:after="60"/>
              <w:rPr>
                <w:bCs/>
                <w:color w:val="000000"/>
                <w:sz w:val="22"/>
                <w:szCs w:val="22"/>
                <w:lang w:val="en-US" w:eastAsia="zh-CN"/>
              </w:rPr>
            </w:pPr>
            <w:r w:rsidRPr="000C156A">
              <w:rPr>
                <w:rFonts w:hint="eastAsia"/>
                <w:bCs/>
                <w:color w:val="000000"/>
                <w:sz w:val="22"/>
                <w:szCs w:val="22"/>
                <w:lang w:val="en-US" w:eastAsia="zh-CN"/>
              </w:rPr>
              <w:t>本期差异</w:t>
            </w:r>
          </w:p>
        </w:tc>
        <w:tc>
          <w:tcPr>
            <w:tcW w:w="2001" w:type="dxa"/>
            <w:tcBorders>
              <w:top w:val="nil"/>
              <w:left w:val="nil"/>
              <w:bottom w:val="nil"/>
              <w:right w:val="nil"/>
            </w:tcBorders>
            <w:shd w:val="clear" w:color="auto" w:fill="auto"/>
            <w:vAlign w:val="center"/>
            <w:hideMark/>
          </w:tcPr>
          <w:p w14:paraId="21771A3F" w14:textId="1BC35B67" w:rsidR="009630A9" w:rsidRPr="000C156A" w:rsidRDefault="009630A9" w:rsidP="005D02F0">
            <w:pPr>
              <w:overflowPunct/>
              <w:autoSpaceDE/>
              <w:autoSpaceDN/>
              <w:adjustRightInd/>
              <w:spacing w:before="0"/>
              <w:jc w:val="right"/>
              <w:textAlignment w:val="auto"/>
              <w:rPr>
                <w:rFonts w:asciiTheme="minorHAnsi" w:hAnsiTheme="minorHAnsi" w:cstheme="minorHAnsi"/>
                <w:b/>
                <w:bCs/>
                <w:color w:val="000000"/>
                <w:sz w:val="22"/>
                <w:szCs w:val="22"/>
                <w:lang w:val="en-US" w:eastAsia="zh-CN"/>
              </w:rPr>
            </w:pPr>
            <w:r w:rsidRPr="000C156A">
              <w:rPr>
                <w:rFonts w:asciiTheme="minorHAnsi" w:hAnsiTheme="minorHAnsi" w:cstheme="minorHAnsi"/>
                <w:b/>
                <w:bCs/>
                <w:color w:val="000000"/>
                <w:sz w:val="22"/>
                <w:szCs w:val="22"/>
                <w:lang w:val="en-US" w:eastAsia="zh-CN"/>
              </w:rPr>
              <w:t>-2</w:t>
            </w:r>
            <w:r w:rsidR="007172E9" w:rsidRPr="000C156A">
              <w:rPr>
                <w:rFonts w:asciiTheme="minorHAnsi" w:hAnsiTheme="minorHAnsi" w:cstheme="minorHAnsi"/>
                <w:b/>
                <w:bCs/>
                <w:color w:val="000000"/>
                <w:sz w:val="22"/>
                <w:szCs w:val="22"/>
                <w:lang w:val="en-US" w:eastAsia="zh-CN"/>
              </w:rPr>
              <w:t xml:space="preserve"> </w:t>
            </w:r>
            <w:r w:rsidRPr="000C156A">
              <w:rPr>
                <w:rFonts w:asciiTheme="minorHAnsi" w:hAnsiTheme="minorHAnsi" w:cstheme="minorHAnsi"/>
                <w:b/>
                <w:bCs/>
                <w:color w:val="000000"/>
                <w:sz w:val="22"/>
                <w:szCs w:val="22"/>
                <w:lang w:val="en-US" w:eastAsia="zh-CN"/>
              </w:rPr>
              <w:t>815</w:t>
            </w:r>
          </w:p>
        </w:tc>
        <w:tc>
          <w:tcPr>
            <w:tcW w:w="1855" w:type="dxa"/>
            <w:tcBorders>
              <w:top w:val="nil"/>
              <w:left w:val="single" w:sz="8" w:space="0" w:color="auto"/>
              <w:bottom w:val="nil"/>
              <w:right w:val="single" w:sz="8" w:space="0" w:color="auto"/>
            </w:tcBorders>
            <w:shd w:val="clear" w:color="auto" w:fill="auto"/>
            <w:vAlign w:val="center"/>
            <w:hideMark/>
          </w:tcPr>
          <w:p w14:paraId="7136A665" w14:textId="2BB7EEF9" w:rsidR="009630A9" w:rsidRPr="000C156A" w:rsidRDefault="009630A9" w:rsidP="005D02F0">
            <w:pPr>
              <w:overflowPunct/>
              <w:autoSpaceDE/>
              <w:autoSpaceDN/>
              <w:adjustRightInd/>
              <w:spacing w:before="0"/>
              <w:jc w:val="right"/>
              <w:textAlignment w:val="auto"/>
              <w:rPr>
                <w:rFonts w:asciiTheme="minorHAnsi" w:hAnsiTheme="minorHAnsi" w:cstheme="minorHAnsi"/>
                <w:b/>
                <w:bCs/>
                <w:color w:val="000000"/>
                <w:sz w:val="22"/>
                <w:szCs w:val="22"/>
                <w:lang w:val="en-US" w:eastAsia="zh-CN"/>
              </w:rPr>
            </w:pPr>
            <w:r w:rsidRPr="000C156A">
              <w:rPr>
                <w:rFonts w:asciiTheme="minorHAnsi" w:hAnsiTheme="minorHAnsi" w:cstheme="minorHAnsi"/>
                <w:b/>
                <w:bCs/>
                <w:color w:val="000000"/>
                <w:sz w:val="22"/>
                <w:szCs w:val="22"/>
                <w:lang w:val="en-US" w:eastAsia="zh-CN"/>
              </w:rPr>
              <w:t>-12</w:t>
            </w:r>
            <w:r w:rsidR="007172E9" w:rsidRPr="000C156A">
              <w:rPr>
                <w:rFonts w:asciiTheme="minorHAnsi" w:hAnsiTheme="minorHAnsi" w:cstheme="minorHAnsi"/>
                <w:b/>
                <w:bCs/>
                <w:color w:val="000000"/>
                <w:sz w:val="22"/>
                <w:szCs w:val="22"/>
                <w:lang w:val="en-US" w:eastAsia="zh-CN"/>
              </w:rPr>
              <w:t xml:space="preserve"> </w:t>
            </w:r>
            <w:r w:rsidRPr="000C156A">
              <w:rPr>
                <w:rFonts w:asciiTheme="minorHAnsi" w:hAnsiTheme="minorHAnsi" w:cstheme="minorHAnsi"/>
                <w:b/>
                <w:bCs/>
                <w:color w:val="000000"/>
                <w:sz w:val="22"/>
                <w:szCs w:val="22"/>
                <w:lang w:val="en-US" w:eastAsia="zh-CN"/>
              </w:rPr>
              <w:t>038</w:t>
            </w:r>
          </w:p>
        </w:tc>
      </w:tr>
      <w:tr w:rsidR="009630A9" w:rsidRPr="000C156A" w14:paraId="19036315" w14:textId="77777777" w:rsidTr="00B5475F">
        <w:trPr>
          <w:trHeight w:val="264"/>
          <w:jc w:val="center"/>
        </w:trPr>
        <w:tc>
          <w:tcPr>
            <w:tcW w:w="5665" w:type="dxa"/>
            <w:tcBorders>
              <w:top w:val="nil"/>
              <w:left w:val="single" w:sz="4" w:space="0" w:color="auto"/>
              <w:bottom w:val="single" w:sz="4" w:space="0" w:color="auto"/>
              <w:right w:val="single" w:sz="4" w:space="0" w:color="auto"/>
            </w:tcBorders>
            <w:vAlign w:val="center"/>
            <w:hideMark/>
          </w:tcPr>
          <w:p w14:paraId="35F2C97F" w14:textId="77777777" w:rsidR="009630A9" w:rsidRPr="000C156A" w:rsidRDefault="009630A9" w:rsidP="005D02F0">
            <w:pPr>
              <w:widowControl w:val="0"/>
              <w:kinsoku w:val="0"/>
              <w:spacing w:before="60" w:after="60"/>
              <w:rPr>
                <w:bCs/>
                <w:color w:val="000000"/>
                <w:sz w:val="22"/>
                <w:szCs w:val="22"/>
                <w:lang w:val="en-US" w:eastAsia="zh-CN"/>
              </w:rPr>
            </w:pPr>
            <w:r w:rsidRPr="000C156A">
              <w:rPr>
                <w:rFonts w:hint="eastAsia"/>
                <w:bCs/>
                <w:color w:val="000000"/>
                <w:sz w:val="22"/>
                <w:szCs w:val="22"/>
                <w:lang w:val="en-US" w:eastAsia="zh-CN"/>
              </w:rPr>
              <w:t>净资产中确认的分别截至</w:t>
            </w:r>
            <w:r w:rsidRPr="000C156A">
              <w:rPr>
                <w:bCs/>
                <w:color w:val="000000"/>
                <w:sz w:val="22"/>
                <w:szCs w:val="22"/>
                <w:lang w:val="en-US" w:eastAsia="zh-CN"/>
              </w:rPr>
              <w:t>12</w:t>
            </w:r>
            <w:r w:rsidRPr="000C156A">
              <w:rPr>
                <w:rFonts w:hint="eastAsia"/>
                <w:bCs/>
                <w:color w:val="000000"/>
                <w:sz w:val="22"/>
                <w:szCs w:val="22"/>
                <w:lang w:val="en-US" w:eastAsia="zh-CN"/>
              </w:rPr>
              <w:t>月</w:t>
            </w:r>
            <w:r w:rsidRPr="000C156A">
              <w:rPr>
                <w:bCs/>
                <w:color w:val="000000"/>
                <w:sz w:val="22"/>
                <w:szCs w:val="22"/>
                <w:lang w:val="en-US" w:eastAsia="zh-CN"/>
              </w:rPr>
              <w:t>31</w:t>
            </w:r>
            <w:r w:rsidRPr="000C156A">
              <w:rPr>
                <w:rFonts w:hint="eastAsia"/>
                <w:bCs/>
                <w:color w:val="000000"/>
                <w:sz w:val="22"/>
                <w:szCs w:val="22"/>
                <w:lang w:val="en-US" w:eastAsia="zh-CN"/>
              </w:rPr>
              <w:t>日的积累金额</w:t>
            </w:r>
          </w:p>
        </w:tc>
        <w:tc>
          <w:tcPr>
            <w:tcW w:w="2001" w:type="dxa"/>
            <w:tcBorders>
              <w:top w:val="nil"/>
              <w:left w:val="nil"/>
              <w:bottom w:val="single" w:sz="8" w:space="0" w:color="auto"/>
              <w:right w:val="nil"/>
            </w:tcBorders>
            <w:shd w:val="clear" w:color="auto" w:fill="auto"/>
            <w:vAlign w:val="center"/>
            <w:hideMark/>
          </w:tcPr>
          <w:p w14:paraId="3E28DECF" w14:textId="1A0E7834"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C156A">
              <w:rPr>
                <w:rFonts w:asciiTheme="minorHAnsi" w:hAnsiTheme="minorHAnsi" w:cstheme="minorHAnsi"/>
                <w:color w:val="000000"/>
                <w:sz w:val="22"/>
                <w:szCs w:val="22"/>
              </w:rPr>
              <w:t>267</w:t>
            </w:r>
            <w:r w:rsidR="007172E9" w:rsidRPr="000C156A">
              <w:rPr>
                <w:rFonts w:asciiTheme="minorHAnsi" w:hAnsiTheme="minorHAnsi" w:cstheme="minorHAnsi"/>
                <w:color w:val="000000"/>
                <w:sz w:val="22"/>
                <w:szCs w:val="22"/>
              </w:rPr>
              <w:t xml:space="preserve"> </w:t>
            </w:r>
            <w:r w:rsidRPr="000C156A">
              <w:rPr>
                <w:rFonts w:asciiTheme="minorHAnsi" w:hAnsiTheme="minorHAnsi" w:cstheme="minorHAnsi"/>
                <w:color w:val="000000"/>
                <w:sz w:val="22"/>
                <w:szCs w:val="22"/>
              </w:rPr>
              <w:t>574</w:t>
            </w:r>
          </w:p>
        </w:tc>
        <w:tc>
          <w:tcPr>
            <w:tcW w:w="1855" w:type="dxa"/>
            <w:tcBorders>
              <w:top w:val="nil"/>
              <w:left w:val="single" w:sz="8" w:space="0" w:color="auto"/>
              <w:bottom w:val="single" w:sz="8" w:space="0" w:color="auto"/>
              <w:right w:val="single" w:sz="8" w:space="0" w:color="auto"/>
            </w:tcBorders>
            <w:shd w:val="clear" w:color="auto" w:fill="auto"/>
            <w:vAlign w:val="center"/>
            <w:hideMark/>
          </w:tcPr>
          <w:p w14:paraId="40F88497" w14:textId="1C493490"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C156A">
              <w:rPr>
                <w:rFonts w:asciiTheme="minorHAnsi" w:hAnsiTheme="minorHAnsi" w:cstheme="minorHAnsi"/>
                <w:color w:val="000000"/>
                <w:sz w:val="22"/>
                <w:szCs w:val="22"/>
              </w:rPr>
              <w:t>270</w:t>
            </w:r>
            <w:r w:rsidR="007172E9" w:rsidRPr="000C156A">
              <w:rPr>
                <w:rFonts w:asciiTheme="minorHAnsi" w:hAnsiTheme="minorHAnsi" w:cstheme="minorHAnsi"/>
                <w:color w:val="000000"/>
                <w:sz w:val="22"/>
                <w:szCs w:val="22"/>
              </w:rPr>
              <w:t xml:space="preserve"> </w:t>
            </w:r>
            <w:r w:rsidRPr="000C156A">
              <w:rPr>
                <w:rFonts w:asciiTheme="minorHAnsi" w:hAnsiTheme="minorHAnsi" w:cstheme="minorHAnsi"/>
                <w:color w:val="000000"/>
                <w:sz w:val="22"/>
                <w:szCs w:val="22"/>
              </w:rPr>
              <w:t>389</w:t>
            </w:r>
          </w:p>
        </w:tc>
      </w:tr>
    </w:tbl>
    <w:p w14:paraId="5E13ACC9" w14:textId="77777777" w:rsidR="00935A79" w:rsidRPr="000C156A" w:rsidRDefault="00935A79" w:rsidP="009630A9">
      <w:pPr>
        <w:keepNext/>
        <w:keepLines/>
        <w:spacing w:before="240" w:after="240"/>
        <w:ind w:firstLineChars="200" w:firstLine="480"/>
        <w:rPr>
          <w:lang w:val="en-US" w:eastAsia="zh-CN"/>
        </w:rPr>
      </w:pPr>
      <w:r w:rsidRPr="000C156A">
        <w:rPr>
          <w:lang w:val="en-US" w:eastAsia="zh-CN"/>
        </w:rPr>
        <w:br w:type="page"/>
      </w:r>
    </w:p>
    <w:p w14:paraId="31FCE862" w14:textId="41F1388F" w:rsidR="009630A9" w:rsidRPr="000C156A" w:rsidRDefault="009630A9" w:rsidP="009630A9">
      <w:pPr>
        <w:keepNext/>
        <w:keepLines/>
        <w:spacing w:before="240" w:after="240"/>
        <w:ind w:firstLineChars="200" w:firstLine="480"/>
        <w:rPr>
          <w:lang w:eastAsia="zh-CN"/>
        </w:rPr>
      </w:pPr>
      <w:r w:rsidRPr="000C156A">
        <w:rPr>
          <w:rFonts w:hint="eastAsia"/>
          <w:lang w:val="en-US" w:eastAsia="zh-CN"/>
        </w:rPr>
        <w:lastRenderedPageBreak/>
        <w:t>下表</w:t>
      </w:r>
      <w:r w:rsidRPr="000C156A">
        <w:rPr>
          <w:lang w:eastAsia="zh-CN"/>
        </w:rPr>
        <w:t>显示对</w:t>
      </w:r>
      <w:r w:rsidRPr="000C156A">
        <w:rPr>
          <w:rFonts w:hint="eastAsia"/>
          <w:lang w:eastAsia="zh-CN"/>
        </w:rPr>
        <w:t>本</w:t>
      </w:r>
      <w:r w:rsidRPr="000C156A">
        <w:rPr>
          <w:lang w:eastAsia="zh-CN"/>
        </w:rPr>
        <w:t>财务期</w:t>
      </w:r>
      <w:r w:rsidRPr="000C156A">
        <w:rPr>
          <w:rFonts w:hint="eastAsia"/>
          <w:lang w:eastAsia="zh-CN"/>
        </w:rPr>
        <w:t>末</w:t>
      </w:r>
      <w:r w:rsidRPr="000C156A">
        <w:rPr>
          <w:lang w:eastAsia="zh-CN"/>
        </w:rPr>
        <w:t>损益费用或结余的分析</w:t>
      </w:r>
      <w:r w:rsidRPr="000C156A">
        <w:rPr>
          <w:rFonts w:hint="eastAsia"/>
          <w:lang w:val="en-US" w:eastAsia="zh-CN"/>
        </w:rPr>
        <w:t>。</w:t>
      </w:r>
    </w:p>
    <w:tbl>
      <w:tblPr>
        <w:tblW w:w="9533" w:type="dxa"/>
        <w:jc w:val="center"/>
        <w:tblLook w:val="04A0" w:firstRow="1" w:lastRow="0" w:firstColumn="1" w:lastColumn="0" w:noHBand="0" w:noVBand="1"/>
      </w:tblPr>
      <w:tblGrid>
        <w:gridCol w:w="5811"/>
        <w:gridCol w:w="1861"/>
        <w:gridCol w:w="1861"/>
      </w:tblGrid>
      <w:tr w:rsidR="009630A9" w:rsidRPr="000C156A" w14:paraId="4988E5D3" w14:textId="77777777" w:rsidTr="005D02F0">
        <w:trPr>
          <w:trHeight w:val="567"/>
          <w:jc w:val="center"/>
        </w:trPr>
        <w:tc>
          <w:tcPr>
            <w:tcW w:w="5811" w:type="dxa"/>
            <w:tcBorders>
              <w:top w:val="single" w:sz="4" w:space="0" w:color="auto"/>
              <w:left w:val="single" w:sz="4" w:space="0" w:color="auto"/>
              <w:bottom w:val="single" w:sz="4" w:space="0" w:color="auto"/>
              <w:right w:val="single" w:sz="4" w:space="0" w:color="auto"/>
            </w:tcBorders>
            <w:vAlign w:val="center"/>
            <w:hideMark/>
          </w:tcPr>
          <w:p w14:paraId="4E6BC394" w14:textId="77777777" w:rsidR="009630A9" w:rsidRPr="000C156A" w:rsidRDefault="009630A9" w:rsidP="005D02F0">
            <w:pPr>
              <w:widowControl w:val="0"/>
              <w:kinsoku w:val="0"/>
              <w:spacing w:before="20" w:after="60"/>
              <w:rPr>
                <w:b/>
                <w:color w:val="000000"/>
                <w:sz w:val="22"/>
                <w:szCs w:val="18"/>
                <w:lang w:val="en-US" w:eastAsia="zh-CN"/>
              </w:rPr>
            </w:pPr>
            <w:r w:rsidRPr="000C156A">
              <w:rPr>
                <w:rFonts w:hint="eastAsia"/>
                <w:b/>
                <w:color w:val="000000"/>
                <w:sz w:val="22"/>
                <w:szCs w:val="18"/>
                <w:lang w:val="en-US" w:eastAsia="zh-CN"/>
              </w:rPr>
              <w:t>在财务业绩报表中确认的金额</w:t>
            </w:r>
          </w:p>
        </w:tc>
        <w:tc>
          <w:tcPr>
            <w:tcW w:w="3722" w:type="dxa"/>
            <w:gridSpan w:val="2"/>
            <w:tcBorders>
              <w:top w:val="single" w:sz="4" w:space="0" w:color="auto"/>
              <w:left w:val="nil"/>
              <w:bottom w:val="single" w:sz="4" w:space="0" w:color="auto"/>
              <w:right w:val="single" w:sz="4" w:space="0" w:color="auto"/>
            </w:tcBorders>
            <w:noWrap/>
            <w:vAlign w:val="center"/>
            <w:hideMark/>
          </w:tcPr>
          <w:p w14:paraId="173AE5A7" w14:textId="77777777" w:rsidR="009630A9" w:rsidRPr="000C156A" w:rsidRDefault="009630A9" w:rsidP="005D02F0">
            <w:pPr>
              <w:keepNext/>
              <w:keepLines/>
              <w:widowControl w:val="0"/>
              <w:kinsoku w:val="0"/>
              <w:spacing w:before="20"/>
              <w:jc w:val="center"/>
              <w:rPr>
                <w:rFonts w:ascii="STKaiti" w:eastAsia="STKaiti" w:hAnsi="STKaiti"/>
                <w:b/>
                <w:bCs/>
                <w:color w:val="000000"/>
                <w:sz w:val="22"/>
                <w:szCs w:val="18"/>
                <w:lang w:val="en-US" w:eastAsia="zh-CN"/>
              </w:rPr>
            </w:pPr>
            <w:r w:rsidRPr="000C156A">
              <w:rPr>
                <w:rFonts w:ascii="STKaiti" w:eastAsia="STKaiti" w:hAnsi="STKaiti" w:cs="SimSun" w:hint="eastAsia"/>
                <w:b/>
                <w:bCs/>
                <w:color w:val="000000"/>
                <w:sz w:val="22"/>
                <w:szCs w:val="18"/>
                <w:lang w:val="en-US" w:eastAsia="zh-CN"/>
              </w:rPr>
              <w:t>单位：千瑞郎</w:t>
            </w:r>
          </w:p>
        </w:tc>
      </w:tr>
      <w:tr w:rsidR="009630A9" w:rsidRPr="000C156A" w14:paraId="583C6FB4" w14:textId="77777777" w:rsidTr="005D02F0">
        <w:trPr>
          <w:trHeight w:val="264"/>
          <w:jc w:val="center"/>
        </w:trPr>
        <w:tc>
          <w:tcPr>
            <w:tcW w:w="5811" w:type="dxa"/>
            <w:tcBorders>
              <w:top w:val="single" w:sz="4" w:space="0" w:color="auto"/>
              <w:left w:val="single" w:sz="4" w:space="0" w:color="auto"/>
              <w:bottom w:val="nil"/>
              <w:right w:val="single" w:sz="4" w:space="0" w:color="auto"/>
            </w:tcBorders>
            <w:hideMark/>
          </w:tcPr>
          <w:p w14:paraId="23E5A54C" w14:textId="77777777" w:rsidR="009630A9" w:rsidRPr="000C156A" w:rsidRDefault="009630A9" w:rsidP="005D02F0">
            <w:pPr>
              <w:rPr>
                <w:rFonts w:ascii="STKaiti" w:eastAsia="STKaiti" w:hAnsi="STKaiti"/>
                <w:b/>
                <w:bCs/>
                <w:color w:val="000000"/>
                <w:sz w:val="22"/>
                <w:szCs w:val="18"/>
                <w:lang w:val="en-US" w:eastAsia="zh-CN"/>
              </w:rPr>
            </w:pPr>
          </w:p>
        </w:tc>
        <w:tc>
          <w:tcPr>
            <w:tcW w:w="1861" w:type="dxa"/>
            <w:tcBorders>
              <w:top w:val="single" w:sz="4" w:space="0" w:color="auto"/>
              <w:left w:val="nil"/>
              <w:bottom w:val="nil"/>
              <w:right w:val="single" w:sz="4" w:space="0" w:color="auto"/>
            </w:tcBorders>
            <w:noWrap/>
            <w:vAlign w:val="bottom"/>
            <w:hideMark/>
          </w:tcPr>
          <w:p w14:paraId="3C031FB0" w14:textId="77777777" w:rsidR="009630A9" w:rsidRPr="000C156A" w:rsidRDefault="009630A9" w:rsidP="005D02F0">
            <w:pPr>
              <w:keepNext/>
              <w:keepLines/>
              <w:widowControl w:val="0"/>
              <w:kinsoku w:val="0"/>
              <w:spacing w:before="20"/>
              <w:jc w:val="center"/>
              <w:rPr>
                <w:b/>
                <w:color w:val="000000"/>
                <w:sz w:val="22"/>
                <w:szCs w:val="18"/>
                <w:lang w:val="en-US" w:eastAsia="zh-CN"/>
              </w:rPr>
            </w:pPr>
            <w:r w:rsidRPr="000C156A">
              <w:rPr>
                <w:b/>
                <w:bCs/>
                <w:color w:val="000000"/>
                <w:sz w:val="22"/>
                <w:szCs w:val="18"/>
                <w:lang w:val="en-US" w:eastAsia="zh-CN"/>
              </w:rPr>
              <w:t>2020</w:t>
            </w:r>
            <w:r w:rsidRPr="000C156A">
              <w:rPr>
                <w:rFonts w:ascii="SimSun" w:hAnsi="SimSun" w:cs="SimSun" w:hint="eastAsia"/>
                <w:b/>
                <w:bCs/>
                <w:color w:val="000000"/>
                <w:sz w:val="22"/>
                <w:szCs w:val="18"/>
                <w:lang w:val="en-US" w:eastAsia="zh-CN"/>
              </w:rPr>
              <w:t>年</w:t>
            </w:r>
            <w:r w:rsidRPr="000C156A">
              <w:rPr>
                <w:b/>
                <w:bCs/>
                <w:color w:val="000000"/>
                <w:sz w:val="22"/>
                <w:szCs w:val="18"/>
                <w:lang w:val="en-US" w:eastAsia="zh-CN"/>
              </w:rPr>
              <w:t>12</w:t>
            </w:r>
            <w:r w:rsidRPr="000C156A">
              <w:rPr>
                <w:rFonts w:ascii="SimSun" w:hAnsi="SimSun" w:cs="SimSun" w:hint="eastAsia"/>
                <w:b/>
                <w:bCs/>
                <w:color w:val="000000"/>
                <w:sz w:val="22"/>
                <w:szCs w:val="18"/>
                <w:lang w:val="en-US" w:eastAsia="zh-CN"/>
              </w:rPr>
              <w:t>月</w:t>
            </w:r>
            <w:r w:rsidRPr="000C156A">
              <w:rPr>
                <w:b/>
                <w:bCs/>
                <w:color w:val="000000"/>
                <w:sz w:val="22"/>
                <w:szCs w:val="18"/>
                <w:lang w:val="en-US" w:eastAsia="zh-CN"/>
              </w:rPr>
              <w:t>31</w:t>
            </w:r>
            <w:r w:rsidRPr="000C156A">
              <w:rPr>
                <w:rFonts w:ascii="SimSun" w:hAnsi="SimSun" w:cs="SimSun" w:hint="eastAsia"/>
                <w:b/>
                <w:bCs/>
                <w:color w:val="000000"/>
                <w:sz w:val="22"/>
                <w:szCs w:val="18"/>
                <w:lang w:val="en-US" w:eastAsia="zh-CN"/>
              </w:rPr>
              <w:t>日</w:t>
            </w:r>
          </w:p>
        </w:tc>
        <w:tc>
          <w:tcPr>
            <w:tcW w:w="1861" w:type="dxa"/>
            <w:tcBorders>
              <w:top w:val="single" w:sz="4" w:space="0" w:color="auto"/>
              <w:left w:val="nil"/>
              <w:bottom w:val="nil"/>
              <w:right w:val="single" w:sz="4" w:space="0" w:color="auto"/>
            </w:tcBorders>
            <w:vAlign w:val="bottom"/>
            <w:hideMark/>
          </w:tcPr>
          <w:p w14:paraId="5EE37CED" w14:textId="77777777" w:rsidR="009630A9" w:rsidRPr="000C156A" w:rsidRDefault="009630A9" w:rsidP="005D02F0">
            <w:pPr>
              <w:keepNext/>
              <w:keepLines/>
              <w:widowControl w:val="0"/>
              <w:kinsoku w:val="0"/>
              <w:spacing w:before="20"/>
              <w:jc w:val="center"/>
              <w:rPr>
                <w:b/>
                <w:color w:val="000000"/>
                <w:sz w:val="22"/>
                <w:szCs w:val="18"/>
                <w:lang w:val="en-US" w:eastAsia="zh-CN"/>
              </w:rPr>
            </w:pPr>
            <w:r w:rsidRPr="000C156A">
              <w:rPr>
                <w:b/>
                <w:bCs/>
                <w:color w:val="000000"/>
                <w:sz w:val="22"/>
                <w:szCs w:val="18"/>
                <w:lang w:val="en-US" w:eastAsia="zh-CN"/>
              </w:rPr>
              <w:t>2019</w:t>
            </w:r>
            <w:r w:rsidRPr="000C156A">
              <w:rPr>
                <w:rFonts w:ascii="SimSun" w:hAnsi="SimSun" w:cs="SimSun" w:hint="eastAsia"/>
                <w:b/>
                <w:bCs/>
                <w:color w:val="000000"/>
                <w:sz w:val="22"/>
                <w:szCs w:val="18"/>
                <w:lang w:val="en-US" w:eastAsia="zh-CN"/>
              </w:rPr>
              <w:t>年</w:t>
            </w:r>
            <w:r w:rsidRPr="000C156A">
              <w:rPr>
                <w:b/>
                <w:bCs/>
                <w:color w:val="000000"/>
                <w:sz w:val="22"/>
                <w:szCs w:val="18"/>
                <w:lang w:val="en-US" w:eastAsia="zh-CN"/>
              </w:rPr>
              <w:t>12</w:t>
            </w:r>
            <w:r w:rsidRPr="000C156A">
              <w:rPr>
                <w:rFonts w:ascii="SimSun" w:hAnsi="SimSun" w:cs="SimSun" w:hint="eastAsia"/>
                <w:b/>
                <w:bCs/>
                <w:color w:val="000000"/>
                <w:sz w:val="22"/>
                <w:szCs w:val="18"/>
                <w:lang w:val="en-US" w:eastAsia="zh-CN"/>
              </w:rPr>
              <w:t>月</w:t>
            </w:r>
            <w:r w:rsidRPr="000C156A">
              <w:rPr>
                <w:b/>
                <w:bCs/>
                <w:color w:val="000000"/>
                <w:sz w:val="22"/>
                <w:szCs w:val="18"/>
                <w:lang w:val="en-US" w:eastAsia="zh-CN"/>
              </w:rPr>
              <w:t>31</w:t>
            </w:r>
            <w:r w:rsidRPr="000C156A">
              <w:rPr>
                <w:rFonts w:ascii="SimSun" w:hAnsi="SimSun" w:cs="SimSun" w:hint="eastAsia"/>
                <w:b/>
                <w:bCs/>
                <w:color w:val="000000"/>
                <w:sz w:val="22"/>
                <w:szCs w:val="18"/>
                <w:lang w:val="en-US" w:eastAsia="zh-CN"/>
              </w:rPr>
              <w:t>日</w:t>
            </w:r>
          </w:p>
        </w:tc>
      </w:tr>
      <w:tr w:rsidR="009630A9" w:rsidRPr="000C156A" w14:paraId="2CA7230D" w14:textId="77777777" w:rsidTr="005D02F0">
        <w:trPr>
          <w:trHeight w:val="336"/>
          <w:jc w:val="center"/>
        </w:trPr>
        <w:tc>
          <w:tcPr>
            <w:tcW w:w="5811" w:type="dxa"/>
            <w:tcBorders>
              <w:top w:val="nil"/>
              <w:left w:val="single" w:sz="4" w:space="0" w:color="auto"/>
              <w:bottom w:val="nil"/>
              <w:right w:val="single" w:sz="4" w:space="0" w:color="auto"/>
            </w:tcBorders>
            <w:hideMark/>
          </w:tcPr>
          <w:p w14:paraId="219643E7" w14:textId="77777777" w:rsidR="009630A9" w:rsidRPr="000C156A" w:rsidRDefault="009630A9" w:rsidP="005D02F0">
            <w:pPr>
              <w:widowControl w:val="0"/>
              <w:kinsoku w:val="0"/>
              <w:spacing w:before="20" w:after="60"/>
              <w:rPr>
                <w:bCs/>
                <w:color w:val="000000"/>
                <w:sz w:val="22"/>
                <w:szCs w:val="18"/>
                <w:lang w:val="en-US" w:eastAsia="zh-CN"/>
              </w:rPr>
            </w:pPr>
            <w:r w:rsidRPr="000C156A">
              <w:rPr>
                <w:rFonts w:hint="eastAsia"/>
                <w:bCs/>
                <w:color w:val="000000"/>
                <w:sz w:val="22"/>
                <w:szCs w:val="18"/>
                <w:lang w:val="en-US" w:eastAsia="zh-CN"/>
              </w:rPr>
              <w:t>该期承付款项和缴款更新</w:t>
            </w:r>
          </w:p>
        </w:tc>
        <w:tc>
          <w:tcPr>
            <w:tcW w:w="1861" w:type="dxa"/>
            <w:tcBorders>
              <w:top w:val="nil"/>
              <w:left w:val="nil"/>
              <w:bottom w:val="nil"/>
              <w:right w:val="single" w:sz="4" w:space="0" w:color="auto"/>
            </w:tcBorders>
            <w:noWrap/>
            <w:vAlign w:val="bottom"/>
          </w:tcPr>
          <w:p w14:paraId="1CB7C3E5" w14:textId="77777777" w:rsidR="009630A9" w:rsidRPr="000C156A" w:rsidRDefault="009630A9" w:rsidP="005D02F0">
            <w:pPr>
              <w:widowControl w:val="0"/>
              <w:kinsoku w:val="0"/>
              <w:spacing w:before="20"/>
              <w:ind w:right="60"/>
              <w:jc w:val="right"/>
              <w:rPr>
                <w:bCs/>
                <w:i/>
                <w:iCs/>
                <w:color w:val="000000"/>
                <w:sz w:val="22"/>
                <w:szCs w:val="22"/>
                <w:lang w:val="en-US" w:eastAsia="zh-CN"/>
              </w:rPr>
            </w:pPr>
          </w:p>
        </w:tc>
        <w:tc>
          <w:tcPr>
            <w:tcW w:w="1861" w:type="dxa"/>
            <w:tcBorders>
              <w:top w:val="nil"/>
              <w:left w:val="nil"/>
              <w:bottom w:val="nil"/>
              <w:right w:val="single" w:sz="4" w:space="0" w:color="auto"/>
            </w:tcBorders>
            <w:vAlign w:val="bottom"/>
          </w:tcPr>
          <w:p w14:paraId="50E2ECE6" w14:textId="77777777" w:rsidR="009630A9" w:rsidRPr="000C156A" w:rsidRDefault="009630A9" w:rsidP="005D02F0">
            <w:pPr>
              <w:widowControl w:val="0"/>
              <w:kinsoku w:val="0"/>
              <w:spacing w:before="20"/>
              <w:ind w:right="60"/>
              <w:jc w:val="right"/>
              <w:rPr>
                <w:bCs/>
                <w:i/>
                <w:iCs/>
                <w:color w:val="000000"/>
                <w:sz w:val="22"/>
                <w:szCs w:val="22"/>
                <w:lang w:val="en-US" w:eastAsia="zh-CN"/>
              </w:rPr>
            </w:pPr>
          </w:p>
        </w:tc>
      </w:tr>
      <w:tr w:rsidR="009630A9" w:rsidRPr="000C156A" w14:paraId="1DCD02CC" w14:textId="77777777" w:rsidTr="005D02F0">
        <w:trPr>
          <w:trHeight w:val="264"/>
          <w:jc w:val="center"/>
        </w:trPr>
        <w:tc>
          <w:tcPr>
            <w:tcW w:w="5811" w:type="dxa"/>
            <w:tcBorders>
              <w:top w:val="nil"/>
              <w:left w:val="single" w:sz="4" w:space="0" w:color="auto"/>
              <w:bottom w:val="nil"/>
              <w:right w:val="single" w:sz="4" w:space="0" w:color="auto"/>
            </w:tcBorders>
            <w:vAlign w:val="bottom"/>
            <w:hideMark/>
          </w:tcPr>
          <w:p w14:paraId="22F867FD" w14:textId="77777777" w:rsidR="009630A9" w:rsidRPr="000C156A" w:rsidRDefault="009630A9" w:rsidP="005D02F0">
            <w:pPr>
              <w:widowControl w:val="0"/>
              <w:kinsoku w:val="0"/>
              <w:spacing w:before="20" w:after="60"/>
              <w:rPr>
                <w:b/>
                <w:color w:val="000000"/>
                <w:sz w:val="22"/>
                <w:szCs w:val="18"/>
                <w:lang w:val="en-US" w:eastAsia="zh-CN"/>
              </w:rPr>
            </w:pPr>
            <w:r w:rsidRPr="000C156A">
              <w:rPr>
                <w:rFonts w:hint="eastAsia"/>
                <w:bCs/>
                <w:color w:val="000000"/>
                <w:sz w:val="22"/>
                <w:szCs w:val="18"/>
                <w:lang w:val="en-US" w:eastAsia="zh-CN"/>
              </w:rPr>
              <w:t>服务费用</w:t>
            </w:r>
          </w:p>
        </w:tc>
        <w:tc>
          <w:tcPr>
            <w:tcW w:w="1861" w:type="dxa"/>
            <w:tcBorders>
              <w:top w:val="nil"/>
              <w:left w:val="nil"/>
              <w:bottom w:val="nil"/>
              <w:right w:val="single" w:sz="4" w:space="0" w:color="auto"/>
            </w:tcBorders>
            <w:shd w:val="clear" w:color="auto" w:fill="auto"/>
            <w:vAlign w:val="bottom"/>
            <w:hideMark/>
          </w:tcPr>
          <w:p w14:paraId="2EBA2C94" w14:textId="645B20D4" w:rsidR="009630A9" w:rsidRPr="000C156A" w:rsidRDefault="009630A9" w:rsidP="005D02F0">
            <w:pPr>
              <w:overflowPunct/>
              <w:autoSpaceDE/>
              <w:autoSpaceDN/>
              <w:adjustRightInd/>
              <w:spacing w:before="0"/>
              <w:jc w:val="right"/>
              <w:textAlignment w:val="auto"/>
              <w:rPr>
                <w:bCs/>
                <w:color w:val="000000"/>
                <w:sz w:val="22"/>
                <w:szCs w:val="22"/>
                <w:lang w:val="en-US"/>
              </w:rPr>
            </w:pPr>
            <w:r w:rsidRPr="000C156A">
              <w:rPr>
                <w:bCs/>
                <w:color w:val="000000"/>
                <w:sz w:val="22"/>
                <w:szCs w:val="22"/>
                <w:lang w:val="en-US"/>
              </w:rPr>
              <w:t>24</w:t>
            </w:r>
            <w:r w:rsidR="00935A79" w:rsidRPr="000C156A">
              <w:rPr>
                <w:bCs/>
                <w:color w:val="000000"/>
                <w:sz w:val="22"/>
                <w:szCs w:val="22"/>
                <w:lang w:val="en-US"/>
              </w:rPr>
              <w:t xml:space="preserve"> </w:t>
            </w:r>
            <w:r w:rsidRPr="000C156A">
              <w:rPr>
                <w:bCs/>
                <w:color w:val="000000"/>
                <w:sz w:val="22"/>
                <w:szCs w:val="22"/>
                <w:lang w:val="en-US"/>
              </w:rPr>
              <w:t>026</w:t>
            </w:r>
          </w:p>
        </w:tc>
        <w:tc>
          <w:tcPr>
            <w:tcW w:w="1861" w:type="dxa"/>
            <w:tcBorders>
              <w:top w:val="nil"/>
              <w:left w:val="nil"/>
              <w:bottom w:val="nil"/>
              <w:right w:val="single" w:sz="4" w:space="0" w:color="auto"/>
            </w:tcBorders>
            <w:vAlign w:val="bottom"/>
            <w:hideMark/>
          </w:tcPr>
          <w:p w14:paraId="374CF12C" w14:textId="105B972F" w:rsidR="009630A9" w:rsidRPr="000C156A" w:rsidRDefault="009630A9" w:rsidP="005D02F0">
            <w:pPr>
              <w:overflowPunct/>
              <w:autoSpaceDE/>
              <w:autoSpaceDN/>
              <w:adjustRightInd/>
              <w:spacing w:before="0"/>
              <w:jc w:val="right"/>
              <w:textAlignment w:val="auto"/>
              <w:rPr>
                <w:bCs/>
                <w:color w:val="000000"/>
                <w:sz w:val="22"/>
                <w:szCs w:val="22"/>
                <w:lang w:val="en-US"/>
              </w:rPr>
            </w:pPr>
            <w:r w:rsidRPr="000C156A">
              <w:rPr>
                <w:bCs/>
                <w:color w:val="000000"/>
                <w:sz w:val="22"/>
                <w:szCs w:val="22"/>
                <w:lang w:val="en-US"/>
              </w:rPr>
              <w:t>21</w:t>
            </w:r>
            <w:r w:rsidR="00935A79" w:rsidRPr="000C156A">
              <w:rPr>
                <w:bCs/>
                <w:color w:val="000000"/>
                <w:sz w:val="22"/>
                <w:szCs w:val="22"/>
                <w:lang w:val="en-US"/>
              </w:rPr>
              <w:t xml:space="preserve"> </w:t>
            </w:r>
            <w:r w:rsidRPr="000C156A">
              <w:rPr>
                <w:bCs/>
                <w:color w:val="000000"/>
                <w:sz w:val="22"/>
                <w:szCs w:val="22"/>
                <w:lang w:val="en-US"/>
              </w:rPr>
              <w:t>759</w:t>
            </w:r>
          </w:p>
        </w:tc>
      </w:tr>
      <w:tr w:rsidR="009630A9" w:rsidRPr="000C156A" w14:paraId="5A63D484" w14:textId="77777777" w:rsidTr="005D02F0">
        <w:trPr>
          <w:trHeight w:val="264"/>
          <w:jc w:val="center"/>
        </w:trPr>
        <w:tc>
          <w:tcPr>
            <w:tcW w:w="5811" w:type="dxa"/>
            <w:tcBorders>
              <w:top w:val="nil"/>
              <w:left w:val="single" w:sz="4" w:space="0" w:color="auto"/>
              <w:bottom w:val="nil"/>
              <w:right w:val="single" w:sz="4" w:space="0" w:color="auto"/>
            </w:tcBorders>
            <w:vAlign w:val="bottom"/>
          </w:tcPr>
          <w:p w14:paraId="5CF10F78" w14:textId="77777777" w:rsidR="009630A9" w:rsidRPr="000C156A" w:rsidRDefault="009630A9" w:rsidP="005D02F0">
            <w:pPr>
              <w:widowControl w:val="0"/>
              <w:kinsoku w:val="0"/>
              <w:spacing w:before="20" w:after="60"/>
              <w:rPr>
                <w:color w:val="000000"/>
                <w:sz w:val="22"/>
                <w:szCs w:val="22"/>
                <w:lang w:val="en-US"/>
              </w:rPr>
            </w:pPr>
            <w:r w:rsidRPr="000C156A">
              <w:rPr>
                <w:rFonts w:hint="eastAsia"/>
                <w:color w:val="000000"/>
                <w:sz w:val="22"/>
                <w:szCs w:val="22"/>
                <w:lang w:val="en-US" w:eastAsia="zh-CN"/>
              </w:rPr>
              <w:t>以往服务费用</w:t>
            </w:r>
          </w:p>
        </w:tc>
        <w:tc>
          <w:tcPr>
            <w:tcW w:w="1861" w:type="dxa"/>
            <w:tcBorders>
              <w:top w:val="nil"/>
              <w:left w:val="nil"/>
              <w:bottom w:val="nil"/>
              <w:right w:val="single" w:sz="4" w:space="0" w:color="auto"/>
            </w:tcBorders>
            <w:shd w:val="clear" w:color="auto" w:fill="auto"/>
            <w:vAlign w:val="bottom"/>
          </w:tcPr>
          <w:p w14:paraId="26EB53C0" w14:textId="77777777" w:rsidR="009630A9" w:rsidRPr="000C156A" w:rsidRDefault="009630A9" w:rsidP="005D02F0">
            <w:pPr>
              <w:overflowPunct/>
              <w:autoSpaceDE/>
              <w:autoSpaceDN/>
              <w:adjustRightInd/>
              <w:spacing w:before="0"/>
              <w:jc w:val="right"/>
              <w:textAlignment w:val="auto"/>
              <w:rPr>
                <w:bCs/>
                <w:color w:val="000000"/>
                <w:sz w:val="22"/>
                <w:szCs w:val="22"/>
                <w:lang w:val="en-US"/>
              </w:rPr>
            </w:pPr>
            <w:r w:rsidRPr="000C156A">
              <w:rPr>
                <w:bCs/>
                <w:color w:val="000000"/>
                <w:sz w:val="22"/>
                <w:szCs w:val="22"/>
                <w:lang w:val="en-US"/>
              </w:rPr>
              <w:t>0</w:t>
            </w:r>
          </w:p>
        </w:tc>
        <w:tc>
          <w:tcPr>
            <w:tcW w:w="1861" w:type="dxa"/>
            <w:tcBorders>
              <w:top w:val="nil"/>
              <w:left w:val="nil"/>
              <w:bottom w:val="nil"/>
              <w:right w:val="single" w:sz="4" w:space="0" w:color="auto"/>
            </w:tcBorders>
            <w:vAlign w:val="bottom"/>
          </w:tcPr>
          <w:p w14:paraId="2CF8A878" w14:textId="014ACC5A" w:rsidR="009630A9" w:rsidRPr="000C156A" w:rsidRDefault="009630A9" w:rsidP="005D02F0">
            <w:pPr>
              <w:overflowPunct/>
              <w:autoSpaceDE/>
              <w:autoSpaceDN/>
              <w:adjustRightInd/>
              <w:spacing w:before="0"/>
              <w:jc w:val="right"/>
              <w:textAlignment w:val="auto"/>
              <w:rPr>
                <w:bCs/>
                <w:color w:val="000000"/>
                <w:sz w:val="22"/>
                <w:szCs w:val="22"/>
                <w:lang w:val="en-US"/>
              </w:rPr>
            </w:pPr>
            <w:r w:rsidRPr="000C156A">
              <w:rPr>
                <w:bCs/>
                <w:color w:val="000000"/>
                <w:sz w:val="22"/>
                <w:szCs w:val="22"/>
                <w:lang w:val="en-US"/>
              </w:rPr>
              <w:t>50</w:t>
            </w:r>
            <w:r w:rsidR="00935A79" w:rsidRPr="000C156A">
              <w:rPr>
                <w:bCs/>
                <w:color w:val="000000"/>
                <w:sz w:val="22"/>
                <w:szCs w:val="22"/>
                <w:lang w:val="en-US"/>
              </w:rPr>
              <w:t xml:space="preserve"> </w:t>
            </w:r>
            <w:r w:rsidRPr="000C156A">
              <w:rPr>
                <w:bCs/>
                <w:color w:val="000000"/>
                <w:sz w:val="22"/>
                <w:szCs w:val="22"/>
                <w:lang w:val="en-US"/>
              </w:rPr>
              <w:t>029</w:t>
            </w:r>
          </w:p>
        </w:tc>
      </w:tr>
      <w:tr w:rsidR="009630A9" w:rsidRPr="000C156A" w14:paraId="528FA268" w14:textId="77777777" w:rsidTr="00935A79">
        <w:trPr>
          <w:trHeight w:val="264"/>
          <w:jc w:val="center"/>
        </w:trPr>
        <w:tc>
          <w:tcPr>
            <w:tcW w:w="5811" w:type="dxa"/>
            <w:tcBorders>
              <w:top w:val="nil"/>
              <w:left w:val="single" w:sz="4" w:space="0" w:color="auto"/>
              <w:bottom w:val="nil"/>
              <w:right w:val="single" w:sz="4" w:space="0" w:color="auto"/>
            </w:tcBorders>
            <w:vAlign w:val="bottom"/>
            <w:hideMark/>
          </w:tcPr>
          <w:p w14:paraId="42DCAC63" w14:textId="77777777" w:rsidR="009630A9" w:rsidRPr="000C156A" w:rsidRDefault="009630A9" w:rsidP="005D02F0">
            <w:pPr>
              <w:widowControl w:val="0"/>
              <w:kinsoku w:val="0"/>
              <w:spacing w:before="20" w:after="60"/>
              <w:rPr>
                <w:b/>
                <w:color w:val="000000"/>
                <w:sz w:val="22"/>
                <w:szCs w:val="18"/>
                <w:lang w:val="en-US" w:eastAsia="zh-CN"/>
              </w:rPr>
            </w:pPr>
            <w:r w:rsidRPr="000C156A">
              <w:rPr>
                <w:rFonts w:hint="eastAsia"/>
                <w:bCs/>
                <w:color w:val="000000"/>
                <w:sz w:val="22"/>
                <w:szCs w:val="18"/>
                <w:lang w:val="en-US" w:eastAsia="zh-CN"/>
              </w:rPr>
              <w:t>财务收费</w:t>
            </w:r>
          </w:p>
        </w:tc>
        <w:tc>
          <w:tcPr>
            <w:tcW w:w="1861" w:type="dxa"/>
            <w:tcBorders>
              <w:top w:val="nil"/>
              <w:left w:val="nil"/>
              <w:bottom w:val="nil"/>
              <w:right w:val="single" w:sz="4" w:space="0" w:color="auto"/>
            </w:tcBorders>
            <w:shd w:val="clear" w:color="auto" w:fill="auto"/>
            <w:vAlign w:val="center"/>
            <w:hideMark/>
          </w:tcPr>
          <w:p w14:paraId="26CE230A" w14:textId="3D2B2BFC" w:rsidR="009630A9" w:rsidRPr="000C156A" w:rsidRDefault="009630A9" w:rsidP="005D02F0">
            <w:pPr>
              <w:overflowPunct/>
              <w:autoSpaceDE/>
              <w:autoSpaceDN/>
              <w:adjustRightInd/>
              <w:spacing w:before="0"/>
              <w:jc w:val="right"/>
              <w:textAlignment w:val="auto"/>
              <w:rPr>
                <w:bCs/>
                <w:color w:val="000000"/>
                <w:sz w:val="22"/>
                <w:szCs w:val="22"/>
                <w:lang w:val="en-US"/>
              </w:rPr>
            </w:pPr>
            <w:r w:rsidRPr="000C156A">
              <w:rPr>
                <w:bCs/>
                <w:color w:val="000000"/>
                <w:sz w:val="22"/>
                <w:szCs w:val="22"/>
                <w:lang w:val="en-US"/>
              </w:rPr>
              <w:t>3</w:t>
            </w:r>
            <w:r w:rsidR="00935A79" w:rsidRPr="000C156A">
              <w:rPr>
                <w:bCs/>
                <w:color w:val="000000"/>
                <w:sz w:val="22"/>
                <w:szCs w:val="22"/>
                <w:lang w:val="en-US"/>
              </w:rPr>
              <w:t xml:space="preserve"> </w:t>
            </w:r>
            <w:r w:rsidRPr="000C156A">
              <w:rPr>
                <w:bCs/>
                <w:color w:val="000000"/>
                <w:sz w:val="22"/>
                <w:szCs w:val="22"/>
                <w:lang w:val="en-US"/>
              </w:rPr>
              <w:t>641</w:t>
            </w:r>
          </w:p>
        </w:tc>
        <w:tc>
          <w:tcPr>
            <w:tcW w:w="1861" w:type="dxa"/>
            <w:tcBorders>
              <w:top w:val="nil"/>
              <w:left w:val="nil"/>
              <w:bottom w:val="nil"/>
              <w:right w:val="single" w:sz="4" w:space="0" w:color="auto"/>
            </w:tcBorders>
            <w:vAlign w:val="center"/>
            <w:hideMark/>
          </w:tcPr>
          <w:p w14:paraId="4D22FEA3" w14:textId="7BC0C481" w:rsidR="009630A9" w:rsidRPr="000C156A" w:rsidRDefault="009630A9" w:rsidP="005D02F0">
            <w:pPr>
              <w:overflowPunct/>
              <w:autoSpaceDE/>
              <w:autoSpaceDN/>
              <w:adjustRightInd/>
              <w:spacing w:before="0"/>
              <w:jc w:val="right"/>
              <w:textAlignment w:val="auto"/>
              <w:rPr>
                <w:bCs/>
                <w:color w:val="000000"/>
                <w:sz w:val="22"/>
                <w:szCs w:val="22"/>
                <w:lang w:val="en-US"/>
              </w:rPr>
            </w:pPr>
            <w:r w:rsidRPr="000C156A">
              <w:rPr>
                <w:bCs/>
                <w:color w:val="000000"/>
                <w:sz w:val="22"/>
                <w:szCs w:val="22"/>
                <w:lang w:val="en-US"/>
              </w:rPr>
              <w:t>6</w:t>
            </w:r>
            <w:r w:rsidR="00935A79" w:rsidRPr="000C156A">
              <w:rPr>
                <w:bCs/>
                <w:color w:val="000000"/>
                <w:sz w:val="22"/>
                <w:szCs w:val="22"/>
                <w:lang w:val="en-US"/>
              </w:rPr>
              <w:t xml:space="preserve"> </w:t>
            </w:r>
            <w:r w:rsidRPr="000C156A">
              <w:rPr>
                <w:bCs/>
                <w:color w:val="000000"/>
                <w:sz w:val="22"/>
                <w:szCs w:val="22"/>
                <w:lang w:val="en-US"/>
              </w:rPr>
              <w:t>569</w:t>
            </w:r>
          </w:p>
        </w:tc>
      </w:tr>
      <w:tr w:rsidR="009630A9" w:rsidRPr="000C156A" w14:paraId="231C9D1C" w14:textId="77777777" w:rsidTr="00935A79">
        <w:trPr>
          <w:trHeight w:val="264"/>
          <w:jc w:val="center"/>
        </w:trPr>
        <w:tc>
          <w:tcPr>
            <w:tcW w:w="5811" w:type="dxa"/>
            <w:tcBorders>
              <w:top w:val="nil"/>
              <w:left w:val="single" w:sz="4" w:space="0" w:color="auto"/>
              <w:right w:val="single" w:sz="4" w:space="0" w:color="auto"/>
            </w:tcBorders>
            <w:vAlign w:val="bottom"/>
            <w:hideMark/>
          </w:tcPr>
          <w:p w14:paraId="6B565EE6" w14:textId="77777777" w:rsidR="009630A9" w:rsidRPr="000C156A" w:rsidRDefault="009630A9" w:rsidP="005D02F0">
            <w:pPr>
              <w:widowControl w:val="0"/>
              <w:kinsoku w:val="0"/>
              <w:spacing w:before="20" w:after="60"/>
              <w:rPr>
                <w:b/>
                <w:color w:val="000000"/>
                <w:sz w:val="22"/>
                <w:szCs w:val="18"/>
                <w:lang w:val="en-US" w:eastAsia="zh-CN"/>
              </w:rPr>
            </w:pPr>
            <w:r w:rsidRPr="000C156A">
              <w:rPr>
                <w:color w:val="000000"/>
                <w:sz w:val="22"/>
                <w:szCs w:val="18"/>
                <w:lang w:val="en-US" w:eastAsia="zh-CN"/>
              </w:rPr>
              <w:t>ASHI</w:t>
            </w:r>
            <w:r w:rsidRPr="000C156A">
              <w:rPr>
                <w:rFonts w:hint="eastAsia"/>
                <w:color w:val="000000"/>
                <w:sz w:val="22"/>
                <w:szCs w:val="18"/>
                <w:lang w:val="en-US" w:eastAsia="zh-CN"/>
              </w:rPr>
              <w:t>计划资产的预期回报</w:t>
            </w:r>
          </w:p>
        </w:tc>
        <w:tc>
          <w:tcPr>
            <w:tcW w:w="1861" w:type="dxa"/>
            <w:tcBorders>
              <w:top w:val="nil"/>
              <w:left w:val="nil"/>
              <w:right w:val="single" w:sz="4" w:space="0" w:color="auto"/>
            </w:tcBorders>
            <w:shd w:val="clear" w:color="auto" w:fill="auto"/>
            <w:vAlign w:val="center"/>
            <w:hideMark/>
          </w:tcPr>
          <w:p w14:paraId="6B8385B4" w14:textId="77777777" w:rsidR="009630A9" w:rsidRPr="000C156A" w:rsidRDefault="009630A9" w:rsidP="005D02F0">
            <w:pPr>
              <w:widowControl w:val="0"/>
              <w:kinsoku w:val="0"/>
              <w:spacing w:before="20"/>
              <w:ind w:right="60"/>
              <w:jc w:val="right"/>
              <w:rPr>
                <w:bCs/>
                <w:color w:val="000000"/>
                <w:sz w:val="22"/>
                <w:szCs w:val="22"/>
                <w:lang w:val="en-US"/>
              </w:rPr>
            </w:pPr>
            <w:r w:rsidRPr="000C156A">
              <w:rPr>
                <w:bCs/>
                <w:color w:val="000000"/>
                <w:sz w:val="22"/>
                <w:szCs w:val="22"/>
                <w:lang w:val="en-US"/>
              </w:rPr>
              <w:t>0</w:t>
            </w:r>
          </w:p>
        </w:tc>
        <w:tc>
          <w:tcPr>
            <w:tcW w:w="1861" w:type="dxa"/>
            <w:tcBorders>
              <w:top w:val="nil"/>
              <w:left w:val="nil"/>
              <w:right w:val="single" w:sz="4" w:space="0" w:color="auto"/>
            </w:tcBorders>
            <w:vAlign w:val="center"/>
            <w:hideMark/>
          </w:tcPr>
          <w:p w14:paraId="2FAD36D0" w14:textId="77777777" w:rsidR="009630A9" w:rsidRPr="000C156A" w:rsidRDefault="009630A9" w:rsidP="005D02F0">
            <w:pPr>
              <w:widowControl w:val="0"/>
              <w:kinsoku w:val="0"/>
              <w:spacing w:before="20"/>
              <w:ind w:right="60"/>
              <w:jc w:val="right"/>
              <w:rPr>
                <w:bCs/>
                <w:color w:val="000000"/>
                <w:sz w:val="22"/>
                <w:szCs w:val="22"/>
                <w:lang w:val="en-US"/>
              </w:rPr>
            </w:pPr>
            <w:r w:rsidRPr="000C156A">
              <w:rPr>
                <w:bCs/>
                <w:color w:val="000000"/>
                <w:sz w:val="22"/>
                <w:szCs w:val="22"/>
                <w:lang w:val="en-US"/>
              </w:rPr>
              <w:t>0</w:t>
            </w:r>
          </w:p>
        </w:tc>
      </w:tr>
      <w:tr w:rsidR="009630A9" w:rsidRPr="000C156A" w14:paraId="6C0D7BCA" w14:textId="77777777" w:rsidTr="00935A79">
        <w:trPr>
          <w:trHeight w:val="300"/>
          <w:jc w:val="center"/>
        </w:trPr>
        <w:tc>
          <w:tcPr>
            <w:tcW w:w="5811" w:type="dxa"/>
            <w:tcBorders>
              <w:left w:val="single" w:sz="4" w:space="0" w:color="auto"/>
              <w:bottom w:val="single" w:sz="4" w:space="0" w:color="auto"/>
              <w:right w:val="single" w:sz="4" w:space="0" w:color="auto"/>
            </w:tcBorders>
            <w:vAlign w:val="center"/>
            <w:hideMark/>
          </w:tcPr>
          <w:p w14:paraId="1BC402F5" w14:textId="77777777" w:rsidR="009630A9" w:rsidRPr="000C156A" w:rsidRDefault="009630A9" w:rsidP="005D02F0">
            <w:pPr>
              <w:widowControl w:val="0"/>
              <w:kinsoku w:val="0"/>
              <w:spacing w:before="20" w:after="60"/>
              <w:rPr>
                <w:b/>
                <w:color w:val="000000"/>
                <w:sz w:val="22"/>
                <w:szCs w:val="18"/>
                <w:lang w:val="en-US"/>
              </w:rPr>
            </w:pPr>
            <w:r w:rsidRPr="000C156A">
              <w:rPr>
                <w:rFonts w:hint="eastAsia"/>
                <w:bCs/>
                <w:color w:val="000000"/>
                <w:sz w:val="22"/>
                <w:szCs w:val="18"/>
                <w:lang w:val="en-US" w:eastAsia="zh-CN"/>
              </w:rPr>
              <w:t>合计</w:t>
            </w:r>
          </w:p>
        </w:tc>
        <w:tc>
          <w:tcPr>
            <w:tcW w:w="1861" w:type="dxa"/>
            <w:tcBorders>
              <w:left w:val="nil"/>
              <w:bottom w:val="single" w:sz="4" w:space="0" w:color="auto"/>
              <w:right w:val="single" w:sz="4" w:space="0" w:color="auto"/>
            </w:tcBorders>
            <w:shd w:val="clear" w:color="auto" w:fill="auto"/>
            <w:vAlign w:val="center"/>
            <w:hideMark/>
          </w:tcPr>
          <w:p w14:paraId="49B224EE" w14:textId="7624696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rPr>
              <w:t>27</w:t>
            </w:r>
            <w:r w:rsidR="00935A79" w:rsidRPr="000C156A">
              <w:rPr>
                <w:rFonts w:cs="Arial"/>
                <w:color w:val="000000"/>
                <w:sz w:val="22"/>
                <w:szCs w:val="22"/>
              </w:rPr>
              <w:t xml:space="preserve"> </w:t>
            </w:r>
            <w:r w:rsidRPr="000C156A">
              <w:rPr>
                <w:rFonts w:cs="Arial"/>
                <w:color w:val="000000"/>
                <w:sz w:val="22"/>
                <w:szCs w:val="22"/>
              </w:rPr>
              <w:t>667</w:t>
            </w:r>
          </w:p>
        </w:tc>
        <w:tc>
          <w:tcPr>
            <w:tcW w:w="1861" w:type="dxa"/>
            <w:tcBorders>
              <w:left w:val="nil"/>
              <w:bottom w:val="single" w:sz="4" w:space="0" w:color="auto"/>
              <w:right w:val="single" w:sz="4" w:space="0" w:color="auto"/>
            </w:tcBorders>
            <w:vAlign w:val="center"/>
            <w:hideMark/>
          </w:tcPr>
          <w:p w14:paraId="523F9394" w14:textId="2986F8A5"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rPr>
              <w:t>78</w:t>
            </w:r>
            <w:r w:rsidR="00935A79" w:rsidRPr="000C156A">
              <w:rPr>
                <w:rFonts w:cs="Arial"/>
                <w:color w:val="000000"/>
                <w:sz w:val="22"/>
                <w:szCs w:val="22"/>
              </w:rPr>
              <w:t xml:space="preserve"> </w:t>
            </w:r>
            <w:r w:rsidRPr="000C156A">
              <w:rPr>
                <w:rFonts w:cs="Arial"/>
                <w:color w:val="000000"/>
                <w:sz w:val="22"/>
                <w:szCs w:val="22"/>
              </w:rPr>
              <w:t>357</w:t>
            </w:r>
          </w:p>
        </w:tc>
      </w:tr>
    </w:tbl>
    <w:p w14:paraId="5C52EB38" w14:textId="77777777" w:rsidR="009630A9" w:rsidRPr="000C156A" w:rsidRDefault="009630A9" w:rsidP="00E84696">
      <w:pPr>
        <w:spacing w:before="240"/>
        <w:ind w:firstLineChars="200" w:firstLine="480"/>
        <w:rPr>
          <w:lang w:eastAsia="zh-CN"/>
        </w:rPr>
      </w:pPr>
      <w:bookmarkStart w:id="768" w:name="_Toc41905886"/>
      <w:bookmarkStart w:id="769" w:name="_Toc41906911"/>
      <w:bookmarkStart w:id="770" w:name="_Toc41907992"/>
      <w:bookmarkStart w:id="771" w:name="_Toc41908060"/>
      <w:bookmarkStart w:id="772" w:name="_Hlk40424823"/>
      <w:bookmarkEnd w:id="767"/>
      <w:r w:rsidRPr="000C156A">
        <w:rPr>
          <w:rFonts w:hint="eastAsia"/>
          <w:lang w:val="en-US" w:eastAsia="zh-CN"/>
        </w:rPr>
        <w:t>2020</w:t>
      </w:r>
      <w:r w:rsidRPr="000C156A">
        <w:rPr>
          <w:rFonts w:hint="eastAsia"/>
          <w:lang w:val="en-US" w:eastAsia="zh-CN"/>
        </w:rPr>
        <w:t>年</w:t>
      </w:r>
      <w:r w:rsidRPr="000C156A">
        <w:rPr>
          <w:rFonts w:hint="eastAsia"/>
          <w:lang w:val="en-US" w:eastAsia="zh-CN"/>
        </w:rPr>
        <w:t>1</w:t>
      </w:r>
      <w:r w:rsidRPr="000C156A">
        <w:rPr>
          <w:rFonts w:hint="eastAsia"/>
          <w:lang w:val="en-US" w:eastAsia="zh-CN"/>
        </w:rPr>
        <w:t>月，国际电联加入了（</w:t>
      </w:r>
      <w:r w:rsidRPr="000C156A">
        <w:rPr>
          <w:szCs w:val="24"/>
          <w:lang w:eastAsia="zh-CN"/>
        </w:rPr>
        <w:t>UNSMIS</w:t>
      </w:r>
      <w:r w:rsidRPr="000C156A">
        <w:rPr>
          <w:rFonts w:hint="eastAsia"/>
          <w:szCs w:val="24"/>
          <w:lang w:eastAsia="zh-CN"/>
        </w:rPr>
        <w:t>）（</w:t>
      </w:r>
      <w:r w:rsidRPr="000C156A">
        <w:rPr>
          <w:lang w:val="en-US" w:eastAsia="zh-CN"/>
        </w:rPr>
        <w:t>联合国工作人员疾病和事故互助保险协</w:t>
      </w:r>
      <w:r w:rsidRPr="000C156A">
        <w:rPr>
          <w:rFonts w:hint="eastAsia"/>
          <w:lang w:val="en-US" w:eastAsia="zh-CN"/>
        </w:rPr>
        <w:t>会</w:t>
      </w:r>
      <w:r w:rsidRPr="000C156A">
        <w:rPr>
          <w:rFonts w:ascii="Microsoft YaHei" w:eastAsia="Microsoft YaHei" w:hAnsi="Microsoft YaHei" w:cs="Microsoft YaHei" w:hint="eastAsia"/>
          <w:color w:val="000000"/>
          <w:sz w:val="20"/>
          <w:shd w:val="clear" w:color="auto" w:fill="FFFFFF"/>
          <w:lang w:eastAsia="zh-CN"/>
        </w:rPr>
        <w:t>）</w:t>
      </w:r>
      <w:r w:rsidRPr="000C156A">
        <w:rPr>
          <w:rFonts w:hint="eastAsia"/>
          <w:lang w:val="en-US" w:eastAsia="zh-CN"/>
        </w:rPr>
        <w:t>。加入这一联合国医保计划对工作人员来说是有利的，因为缴费率已降低，免赔额被取消，且由于这一计划的规模，从长期来看对国际电联来说也是有利的。该计划汇集了总部设在日内瓦的若干联合国组织和专门机构。该健康保险计划包括联合国日内瓦办事处、难民署和气象组织的工作人员。</w:t>
      </w:r>
    </w:p>
    <w:p w14:paraId="7416A07A" w14:textId="77777777" w:rsidR="009630A9" w:rsidRPr="000C156A" w:rsidRDefault="009630A9" w:rsidP="00E84696">
      <w:pPr>
        <w:tabs>
          <w:tab w:val="left" w:pos="0"/>
        </w:tabs>
        <w:ind w:firstLineChars="200" w:firstLine="480"/>
        <w:rPr>
          <w:rFonts w:eastAsia="Times New Roman"/>
          <w:lang w:val="en-US" w:eastAsia="zh-CN"/>
        </w:rPr>
      </w:pPr>
      <w:bookmarkStart w:id="773" w:name="_Toc73518701"/>
      <w:bookmarkStart w:id="774" w:name="_Toc73518848"/>
      <w:bookmarkStart w:id="775" w:name="_Toc73519248"/>
      <w:bookmarkStart w:id="776" w:name="_Toc73636287"/>
      <w:bookmarkEnd w:id="768"/>
      <w:bookmarkEnd w:id="769"/>
      <w:bookmarkEnd w:id="770"/>
      <w:bookmarkEnd w:id="771"/>
      <w:r w:rsidRPr="000C156A">
        <w:rPr>
          <w:rFonts w:hint="eastAsia"/>
          <w:lang w:val="en-US" w:eastAsia="zh-CN"/>
        </w:rPr>
        <w:t>为了在</w:t>
      </w:r>
      <w:r w:rsidRPr="000C156A">
        <w:rPr>
          <w:rFonts w:hint="eastAsia"/>
          <w:lang w:val="en-US" w:eastAsia="zh-CN"/>
        </w:rPr>
        <w:t>2020</w:t>
      </w:r>
      <w:r w:rsidRPr="000C156A">
        <w:rPr>
          <w:rFonts w:hint="eastAsia"/>
          <w:lang w:val="en-US" w:eastAsia="zh-CN"/>
        </w:rPr>
        <w:t>年</w:t>
      </w:r>
      <w:r w:rsidRPr="000C156A">
        <w:rPr>
          <w:rFonts w:hint="eastAsia"/>
          <w:lang w:val="en-US" w:eastAsia="zh-CN"/>
        </w:rPr>
        <w:t>1</w:t>
      </w:r>
      <w:r w:rsidRPr="000C156A">
        <w:rPr>
          <w:rFonts w:hint="eastAsia"/>
          <w:lang w:val="en-US" w:eastAsia="zh-CN"/>
        </w:rPr>
        <w:t>月加入</w:t>
      </w:r>
      <w:r w:rsidRPr="000C156A">
        <w:rPr>
          <w:szCs w:val="24"/>
          <w:lang w:val="en-US" w:eastAsia="zh-CN"/>
        </w:rPr>
        <w:t>UNSMIS</w:t>
      </w:r>
      <w:r w:rsidRPr="000C156A">
        <w:rPr>
          <w:rFonts w:hint="eastAsia"/>
          <w:lang w:val="en-US" w:eastAsia="zh-CN"/>
        </w:rPr>
        <w:t>医疗保险计划，国际电联参加了该计划的平准储备基金。商定的参加缴款额为</w:t>
      </w:r>
      <w:r w:rsidRPr="000C156A">
        <w:rPr>
          <w:rFonts w:hint="eastAsia"/>
          <w:lang w:val="en-US" w:eastAsia="zh-CN"/>
        </w:rPr>
        <w:t>1</w:t>
      </w:r>
      <w:r w:rsidRPr="000C156A">
        <w:rPr>
          <w:lang w:val="en-US" w:eastAsia="zh-CN"/>
        </w:rPr>
        <w:t xml:space="preserve"> </w:t>
      </w:r>
      <w:r w:rsidRPr="000C156A">
        <w:rPr>
          <w:rFonts w:hint="eastAsia"/>
          <w:lang w:val="en-US" w:eastAsia="zh-CN"/>
        </w:rPr>
        <w:t>953</w:t>
      </w:r>
      <w:r w:rsidRPr="000C156A">
        <w:rPr>
          <w:rFonts w:hint="eastAsia"/>
          <w:lang w:val="en-US" w:eastAsia="zh-CN"/>
        </w:rPr>
        <w:t>万美元，并已于</w:t>
      </w:r>
      <w:r w:rsidRPr="000C156A">
        <w:rPr>
          <w:rFonts w:hint="eastAsia"/>
          <w:lang w:val="en-US" w:eastAsia="zh-CN"/>
        </w:rPr>
        <w:t>2020</w:t>
      </w:r>
      <w:r w:rsidRPr="000C156A">
        <w:rPr>
          <w:rFonts w:hint="eastAsia"/>
          <w:lang w:val="en-US" w:eastAsia="zh-CN"/>
        </w:rPr>
        <w:t>年初由</w:t>
      </w:r>
      <w:r w:rsidRPr="000C156A">
        <w:rPr>
          <w:rFonts w:hint="eastAsia"/>
          <w:lang w:val="en-US" w:eastAsia="zh-CN"/>
        </w:rPr>
        <w:t>CMIP</w:t>
      </w:r>
      <w:r w:rsidRPr="000C156A">
        <w:rPr>
          <w:rFonts w:hint="eastAsia"/>
          <w:lang w:val="en-US" w:eastAsia="zh-CN"/>
        </w:rPr>
        <w:t>保障基金支付。</w:t>
      </w:r>
      <w:bookmarkEnd w:id="773"/>
      <w:bookmarkEnd w:id="774"/>
      <w:bookmarkEnd w:id="775"/>
      <w:bookmarkEnd w:id="776"/>
    </w:p>
    <w:p w14:paraId="2317600F" w14:textId="77777777" w:rsidR="009630A9" w:rsidRPr="000C156A" w:rsidRDefault="009630A9" w:rsidP="00E84696">
      <w:pPr>
        <w:tabs>
          <w:tab w:val="left" w:pos="0"/>
        </w:tabs>
        <w:ind w:firstLineChars="200" w:firstLine="480"/>
        <w:rPr>
          <w:rFonts w:eastAsia="Times New Roman"/>
          <w:lang w:val="en-US" w:eastAsia="zh-CN"/>
        </w:rPr>
      </w:pPr>
      <w:bookmarkStart w:id="777" w:name="_Toc73518702"/>
      <w:bookmarkStart w:id="778" w:name="_Toc73518849"/>
      <w:bookmarkStart w:id="779" w:name="_Toc73519249"/>
      <w:bookmarkStart w:id="780" w:name="_Toc73636288"/>
      <w:r w:rsidRPr="000C156A">
        <w:rPr>
          <w:rFonts w:hint="eastAsia"/>
          <w:lang w:val="en-US" w:eastAsia="zh-CN"/>
        </w:rPr>
        <w:t>此外，从</w:t>
      </w:r>
      <w:r w:rsidRPr="000C156A">
        <w:rPr>
          <w:rFonts w:hint="eastAsia"/>
          <w:lang w:val="en-US" w:eastAsia="zh-CN"/>
        </w:rPr>
        <w:t>2020</w:t>
      </w:r>
      <w:r w:rsidRPr="000C156A">
        <w:rPr>
          <w:rFonts w:hint="eastAsia"/>
          <w:lang w:val="en-US" w:eastAsia="zh-CN"/>
        </w:rPr>
        <w:t>年开始，将在</w:t>
      </w:r>
      <w:r w:rsidRPr="000C156A">
        <w:rPr>
          <w:rFonts w:hint="eastAsia"/>
          <w:lang w:val="en-US" w:eastAsia="zh-CN"/>
        </w:rPr>
        <w:t>13</w:t>
      </w:r>
      <w:r w:rsidRPr="000C156A">
        <w:rPr>
          <w:rFonts w:hint="eastAsia"/>
          <w:lang w:val="en-US" w:eastAsia="zh-CN"/>
        </w:rPr>
        <w:t>年内每年向这一储备基金支付一笔额外缴款。这笔额外缴款旨在补偿国际电联人员的参加对该总体计划的影响。这笔额外缴款的总额共计</w:t>
      </w:r>
      <w:r w:rsidRPr="000C156A">
        <w:rPr>
          <w:rFonts w:hint="eastAsia"/>
          <w:lang w:val="en-US" w:eastAsia="zh-CN"/>
        </w:rPr>
        <w:t>2</w:t>
      </w:r>
      <w:r w:rsidRPr="000C156A">
        <w:rPr>
          <w:lang w:val="en-US" w:eastAsia="zh-CN"/>
        </w:rPr>
        <w:t xml:space="preserve"> </w:t>
      </w:r>
      <w:r w:rsidRPr="000C156A">
        <w:rPr>
          <w:rFonts w:hint="eastAsia"/>
          <w:lang w:val="en-US" w:eastAsia="zh-CN"/>
        </w:rPr>
        <w:t>253</w:t>
      </w:r>
      <w:r w:rsidRPr="000C156A">
        <w:rPr>
          <w:rFonts w:hint="eastAsia"/>
          <w:lang w:val="en-US" w:eastAsia="zh-CN"/>
        </w:rPr>
        <w:t>万美元，分</w:t>
      </w:r>
      <w:r w:rsidRPr="000C156A">
        <w:rPr>
          <w:rFonts w:hint="eastAsia"/>
          <w:lang w:val="en-US" w:eastAsia="zh-CN"/>
        </w:rPr>
        <w:t>13</w:t>
      </w:r>
      <w:r w:rsidRPr="000C156A">
        <w:rPr>
          <w:rFonts w:hint="eastAsia"/>
          <w:lang w:val="en-US" w:eastAsia="zh-CN"/>
        </w:rPr>
        <w:t>年支付。</w:t>
      </w:r>
      <w:bookmarkEnd w:id="777"/>
      <w:bookmarkEnd w:id="778"/>
      <w:bookmarkEnd w:id="779"/>
      <w:bookmarkEnd w:id="780"/>
    </w:p>
    <w:p w14:paraId="52CCDD1D" w14:textId="77777777" w:rsidR="009630A9" w:rsidRPr="000C156A" w:rsidRDefault="009630A9" w:rsidP="00E84696">
      <w:pPr>
        <w:tabs>
          <w:tab w:val="left" w:pos="0"/>
        </w:tabs>
        <w:ind w:firstLineChars="200" w:firstLine="480"/>
        <w:rPr>
          <w:lang w:eastAsia="zh-CN"/>
        </w:rPr>
      </w:pPr>
      <w:bookmarkStart w:id="781" w:name="_Toc73518703"/>
      <w:bookmarkStart w:id="782" w:name="_Toc73518850"/>
      <w:bookmarkStart w:id="783" w:name="_Toc73519250"/>
      <w:bookmarkStart w:id="784" w:name="_Toc73636289"/>
      <w:r w:rsidRPr="000C156A">
        <w:rPr>
          <w:rFonts w:hint="eastAsia"/>
          <w:lang w:eastAsia="zh-CN"/>
        </w:rPr>
        <w:t>计划的基础是从</w:t>
      </w:r>
      <w:r w:rsidRPr="000C156A">
        <w:rPr>
          <w:rFonts w:hint="eastAsia"/>
          <w:lang w:eastAsia="zh-CN"/>
        </w:rPr>
        <w:t>2020</w:t>
      </w:r>
      <w:r w:rsidRPr="000C156A">
        <w:rPr>
          <w:rFonts w:hint="eastAsia"/>
          <w:lang w:eastAsia="zh-CN"/>
        </w:rPr>
        <w:t>年</w:t>
      </w:r>
      <w:r w:rsidRPr="000C156A">
        <w:rPr>
          <w:rFonts w:hint="eastAsia"/>
          <w:lang w:eastAsia="zh-CN"/>
        </w:rPr>
        <w:t>1</w:t>
      </w:r>
      <w:r w:rsidRPr="000C156A">
        <w:rPr>
          <w:rFonts w:hint="eastAsia"/>
          <w:lang w:eastAsia="zh-CN"/>
        </w:rPr>
        <w:t>月</w:t>
      </w:r>
      <w:r w:rsidRPr="000C156A">
        <w:rPr>
          <w:rFonts w:hint="eastAsia"/>
          <w:lang w:eastAsia="zh-CN"/>
        </w:rPr>
        <w:t>1</w:t>
      </w:r>
      <w:r w:rsidRPr="000C156A">
        <w:rPr>
          <w:rFonts w:hint="eastAsia"/>
          <w:lang w:eastAsia="zh-CN"/>
        </w:rPr>
        <w:t>日起实行的基于薪金的</w:t>
      </w:r>
      <w:r w:rsidRPr="000C156A">
        <w:rPr>
          <w:rFonts w:hint="eastAsia"/>
          <w:lang w:eastAsia="zh-CN"/>
        </w:rPr>
        <w:t>3.4%</w:t>
      </w:r>
      <w:r w:rsidRPr="000C156A">
        <w:rPr>
          <w:rFonts w:hint="eastAsia"/>
          <w:lang w:eastAsia="zh-CN"/>
        </w:rPr>
        <w:t>缴款。费用控制的后续工作由</w:t>
      </w:r>
      <w:r w:rsidRPr="000C156A">
        <w:rPr>
          <w:rFonts w:eastAsia="Times New Roman" w:cs="Calibri"/>
          <w:szCs w:val="24"/>
          <w:lang w:eastAsia="zh-CN"/>
        </w:rPr>
        <w:t>UNSMIS</w:t>
      </w:r>
      <w:r w:rsidRPr="000C156A">
        <w:rPr>
          <w:rFonts w:hint="eastAsia"/>
          <w:lang w:eastAsia="zh-CN"/>
        </w:rPr>
        <w:t>委员会管理，国际电联将作为新成员在该委员会占有一席之地。</w:t>
      </w:r>
      <w:bookmarkEnd w:id="781"/>
      <w:bookmarkEnd w:id="782"/>
      <w:bookmarkEnd w:id="783"/>
      <w:bookmarkEnd w:id="784"/>
    </w:p>
    <w:p w14:paraId="184B8E2F" w14:textId="3485307A" w:rsidR="009630A9" w:rsidRPr="000C156A" w:rsidRDefault="009630A9" w:rsidP="00B8199D">
      <w:pPr>
        <w:tabs>
          <w:tab w:val="left" w:pos="0"/>
        </w:tabs>
        <w:spacing w:before="240"/>
        <w:ind w:firstLineChars="200" w:firstLine="480"/>
        <w:outlineLvl w:val="0"/>
        <w:rPr>
          <w:lang w:eastAsia="zh-CN"/>
        </w:rPr>
      </w:pPr>
      <w:bookmarkStart w:id="785" w:name="_Toc73518704"/>
      <w:bookmarkStart w:id="786" w:name="_Toc73518851"/>
      <w:bookmarkStart w:id="787" w:name="_Toc73519251"/>
      <w:bookmarkStart w:id="788" w:name="_Toc73636290"/>
      <w:r w:rsidRPr="000C156A">
        <w:rPr>
          <w:rFonts w:hint="eastAsia"/>
          <w:lang w:eastAsia="zh-CN"/>
        </w:rPr>
        <w:t>为便于参考，请参阅关于</w:t>
      </w:r>
      <w:r w:rsidRPr="000C156A">
        <w:rPr>
          <w:rFonts w:hint="eastAsia"/>
          <w:lang w:eastAsia="zh-CN"/>
        </w:rPr>
        <w:t>ASHI</w:t>
      </w:r>
      <w:r w:rsidRPr="000C156A">
        <w:rPr>
          <w:rFonts w:hint="eastAsia"/>
          <w:lang w:eastAsia="zh-CN"/>
        </w:rPr>
        <w:t>年度报告的</w:t>
      </w:r>
      <w:hyperlink r:id="rId38" w:history="1">
        <w:r w:rsidR="001C1B8E" w:rsidRPr="000C156A">
          <w:rPr>
            <w:rFonts w:eastAsia="Times New Roman" w:cs="Calibri"/>
            <w:iCs/>
            <w:color w:val="0000FF"/>
            <w:szCs w:val="24"/>
            <w:u w:val="single"/>
            <w:lang w:val="en-US" w:eastAsia="zh-CN"/>
          </w:rPr>
          <w:t>C21/46</w:t>
        </w:r>
        <w:r w:rsidR="001C1B8E" w:rsidRPr="000C156A">
          <w:rPr>
            <w:rFonts w:asciiTheme="majorEastAsia" w:eastAsiaTheme="majorEastAsia" w:hAnsiTheme="majorEastAsia" w:cs="Microsoft YaHei" w:hint="eastAsia"/>
            <w:iCs/>
            <w:color w:val="0000FF"/>
            <w:szCs w:val="24"/>
            <w:u w:val="single"/>
            <w:lang w:val="en-US" w:eastAsia="zh-CN"/>
          </w:rPr>
          <w:t>号文件</w:t>
        </w:r>
      </w:hyperlink>
      <w:r w:rsidRPr="000C156A">
        <w:rPr>
          <w:rFonts w:hint="eastAsia"/>
          <w:lang w:eastAsia="zh-CN"/>
        </w:rPr>
        <w:t>。</w:t>
      </w:r>
      <w:bookmarkEnd w:id="785"/>
      <w:bookmarkEnd w:id="786"/>
      <w:bookmarkEnd w:id="787"/>
      <w:bookmarkEnd w:id="788"/>
    </w:p>
    <w:p w14:paraId="259A6317" w14:textId="77777777" w:rsidR="009630A9" w:rsidRPr="000C156A" w:rsidRDefault="009630A9" w:rsidP="009630A9">
      <w:pPr>
        <w:pStyle w:val="Heading3"/>
        <w:ind w:left="1134" w:hanging="1134"/>
        <w:rPr>
          <w:b w:val="0"/>
          <w:bCs/>
          <w:i/>
          <w:iCs/>
          <w:lang w:val="en-US" w:eastAsia="zh-CN"/>
        </w:rPr>
      </w:pPr>
      <w:bookmarkStart w:id="789" w:name="_Toc41905887"/>
      <w:bookmarkStart w:id="790" w:name="_Toc73518705"/>
      <w:bookmarkStart w:id="791" w:name="_Toc73518852"/>
      <w:bookmarkStart w:id="792" w:name="_Toc73519252"/>
      <w:bookmarkStart w:id="793" w:name="_Toc73636291"/>
      <w:bookmarkEnd w:id="772"/>
      <w:r w:rsidRPr="000C156A">
        <w:rPr>
          <w:b w:val="0"/>
          <w:bCs/>
          <w:iCs/>
          <w:lang w:val="en-US" w:eastAsia="zh-CN"/>
        </w:rPr>
        <w:t>17.2.3</w:t>
      </w:r>
      <w:r w:rsidRPr="000C156A">
        <w:rPr>
          <w:b w:val="0"/>
          <w:bCs/>
          <w:iCs/>
          <w:lang w:val="en-US" w:eastAsia="zh-CN"/>
        </w:rPr>
        <w:tab/>
        <w:t>2020</w:t>
      </w:r>
      <w:r w:rsidRPr="000C156A">
        <w:rPr>
          <w:rFonts w:eastAsia="STKaiti" w:hint="eastAsia"/>
          <w:b w:val="0"/>
          <w:bCs/>
          <w:iCs/>
          <w:lang w:val="fr-FR" w:eastAsia="zh-CN"/>
        </w:rPr>
        <w:t>年期</w:t>
      </w:r>
      <w:r w:rsidRPr="000C156A">
        <w:rPr>
          <w:b w:val="0"/>
          <w:bCs/>
          <w:iCs/>
          <w:lang w:val="en-US" w:eastAsia="zh-CN"/>
        </w:rPr>
        <w:t>ASHI</w:t>
      </w:r>
      <w:r w:rsidRPr="000C156A">
        <w:rPr>
          <w:rFonts w:eastAsia="STKaiti" w:hint="eastAsia"/>
          <w:b w:val="0"/>
          <w:bCs/>
          <w:iCs/>
          <w:lang w:val="fr-FR" w:eastAsia="zh-CN"/>
        </w:rPr>
        <w:t>计划的成本估算</w:t>
      </w:r>
      <w:bookmarkEnd w:id="789"/>
      <w:bookmarkEnd w:id="790"/>
      <w:bookmarkEnd w:id="791"/>
      <w:bookmarkEnd w:id="792"/>
      <w:bookmarkEnd w:id="793"/>
    </w:p>
    <w:p w14:paraId="2ED81DCF" w14:textId="77777777" w:rsidR="009630A9" w:rsidRPr="000C156A" w:rsidRDefault="009630A9" w:rsidP="009630A9">
      <w:pPr>
        <w:ind w:firstLineChars="200" w:firstLine="480"/>
        <w:rPr>
          <w:lang w:eastAsia="zh-CN"/>
        </w:rPr>
      </w:pPr>
      <w:r w:rsidRPr="000C156A">
        <w:rPr>
          <w:rFonts w:hint="eastAsia"/>
          <w:lang w:val="en-US" w:eastAsia="zh-CN"/>
        </w:rPr>
        <w:t>每当医疗费率增长</w:t>
      </w:r>
      <w:r w:rsidRPr="000C156A">
        <w:rPr>
          <w:rFonts w:hint="eastAsia"/>
          <w:lang w:val="en-US" w:eastAsia="zh-CN"/>
        </w:rPr>
        <w:t>1%</w:t>
      </w:r>
      <w:r w:rsidRPr="000C156A">
        <w:rPr>
          <w:rFonts w:hint="eastAsia"/>
          <w:lang w:val="en-US" w:eastAsia="zh-CN"/>
        </w:rPr>
        <w:t>，即带来</w:t>
      </w:r>
      <w:r w:rsidRPr="000C156A">
        <w:rPr>
          <w:rFonts w:hint="eastAsia"/>
          <w:lang w:val="en-US" w:eastAsia="zh-CN"/>
        </w:rPr>
        <w:t>1</w:t>
      </w:r>
      <w:r w:rsidRPr="000C156A">
        <w:rPr>
          <w:lang w:val="en-US" w:eastAsia="zh-CN"/>
        </w:rPr>
        <w:t xml:space="preserve"> 228</w:t>
      </w:r>
      <w:r w:rsidRPr="000C156A">
        <w:rPr>
          <w:rFonts w:hint="eastAsia"/>
          <w:lang w:val="en-US" w:eastAsia="zh-CN"/>
        </w:rPr>
        <w:t>万</w:t>
      </w:r>
      <w:r w:rsidRPr="000C156A">
        <w:rPr>
          <w:rFonts w:hint="eastAsia"/>
          <w:lang w:eastAsia="zh-CN"/>
        </w:rPr>
        <w:t>瑞郎的综合服务费用和利息上涨，并对固定收益承付款项带来</w:t>
      </w:r>
      <w:r w:rsidRPr="000C156A">
        <w:rPr>
          <w:lang w:eastAsia="zh-CN"/>
        </w:rPr>
        <w:t>1</w:t>
      </w:r>
      <w:r w:rsidRPr="000C156A">
        <w:rPr>
          <w:lang w:val="en-US" w:eastAsia="zh-CN"/>
        </w:rPr>
        <w:t>.7756</w:t>
      </w:r>
      <w:r w:rsidRPr="000C156A">
        <w:rPr>
          <w:rFonts w:hint="eastAsia"/>
          <w:lang w:eastAsia="zh-CN"/>
        </w:rPr>
        <w:t>亿瑞郎的影响。如果减少</w:t>
      </w:r>
      <w:r w:rsidRPr="000C156A">
        <w:rPr>
          <w:lang w:eastAsia="zh-CN"/>
        </w:rPr>
        <w:t>1%</w:t>
      </w:r>
      <w:r w:rsidRPr="000C156A">
        <w:rPr>
          <w:rFonts w:hint="eastAsia"/>
          <w:lang w:eastAsia="zh-CN"/>
        </w:rPr>
        <w:t>，服务费用和利息会下降</w:t>
      </w:r>
      <w:r w:rsidRPr="000C156A">
        <w:rPr>
          <w:rFonts w:hint="eastAsia"/>
          <w:lang w:eastAsia="zh-CN"/>
        </w:rPr>
        <w:t>8</w:t>
      </w:r>
      <w:r w:rsidRPr="000C156A">
        <w:rPr>
          <w:lang w:eastAsia="zh-CN"/>
        </w:rPr>
        <w:t>62</w:t>
      </w:r>
      <w:r w:rsidRPr="000C156A">
        <w:rPr>
          <w:rFonts w:hint="eastAsia"/>
          <w:lang w:eastAsia="zh-CN"/>
        </w:rPr>
        <w:t>万瑞郎，并使固定收益承付款项减少</w:t>
      </w:r>
      <w:r w:rsidRPr="000C156A">
        <w:rPr>
          <w:lang w:eastAsia="zh-CN"/>
        </w:rPr>
        <w:t>1.3457</w:t>
      </w:r>
      <w:r w:rsidRPr="000C156A">
        <w:rPr>
          <w:rFonts w:hint="eastAsia"/>
          <w:lang w:eastAsia="zh-CN"/>
        </w:rPr>
        <w:t>亿瑞郎。</w:t>
      </w:r>
    </w:p>
    <w:p w14:paraId="33FC475F" w14:textId="77777777" w:rsidR="009630A9" w:rsidRPr="000C156A" w:rsidRDefault="009630A9" w:rsidP="009630A9">
      <w:pPr>
        <w:pStyle w:val="Heading3"/>
        <w:ind w:left="1134" w:hanging="1134"/>
        <w:rPr>
          <w:rFonts w:ascii="STKaiti" w:eastAsia="STKaiti" w:hAnsi="STKaiti"/>
          <w:b w:val="0"/>
          <w:i/>
          <w:lang w:eastAsia="zh-CN"/>
        </w:rPr>
      </w:pPr>
      <w:bookmarkStart w:id="794" w:name="_Toc41905888"/>
      <w:bookmarkStart w:id="795" w:name="_Toc73518706"/>
      <w:bookmarkStart w:id="796" w:name="_Toc73518853"/>
      <w:bookmarkStart w:id="797" w:name="_Toc73519253"/>
      <w:bookmarkStart w:id="798" w:name="_Toc73636292"/>
      <w:r w:rsidRPr="000C156A">
        <w:rPr>
          <w:b w:val="0"/>
          <w:lang w:eastAsia="zh-CN"/>
        </w:rPr>
        <w:t>17.2.4</w:t>
      </w:r>
      <w:r w:rsidRPr="000C156A">
        <w:rPr>
          <w:b w:val="0"/>
          <w:lang w:eastAsia="zh-CN"/>
        </w:rPr>
        <w:tab/>
      </w:r>
      <w:r w:rsidRPr="000C156A">
        <w:rPr>
          <w:rFonts w:ascii="STKaiti" w:eastAsia="STKaiti" w:hAnsi="STKaiti" w:hint="eastAsia"/>
          <w:b w:val="0"/>
          <w:lang w:eastAsia="zh-CN"/>
        </w:rPr>
        <w:t>归国</w:t>
      </w:r>
      <w:bookmarkEnd w:id="794"/>
      <w:bookmarkEnd w:id="795"/>
      <w:bookmarkEnd w:id="796"/>
      <w:bookmarkEnd w:id="797"/>
      <w:bookmarkEnd w:id="798"/>
    </w:p>
    <w:p w14:paraId="704AD1B0" w14:textId="77777777" w:rsidR="009630A9" w:rsidRPr="000C156A" w:rsidRDefault="009630A9" w:rsidP="009630A9">
      <w:pPr>
        <w:ind w:firstLineChars="200" w:firstLine="480"/>
        <w:rPr>
          <w:lang w:eastAsia="zh-CN"/>
        </w:rPr>
      </w:pPr>
      <w:r w:rsidRPr="000C156A">
        <w:rPr>
          <w:rFonts w:hint="eastAsia"/>
          <w:lang w:eastAsia="zh-CN"/>
        </w:rPr>
        <w:t>原则上，国际电联须向其归国的职员支付归国补助金。须由秘书长确定享受该补助金的资格以及所需相关证据方面的详细条件和定义。</w:t>
      </w:r>
    </w:p>
    <w:p w14:paraId="015B4667" w14:textId="77777777" w:rsidR="009630A9" w:rsidRPr="000C156A" w:rsidRDefault="009630A9" w:rsidP="009630A9">
      <w:pPr>
        <w:ind w:firstLineChars="200" w:firstLine="480"/>
        <w:rPr>
          <w:lang w:eastAsia="zh-CN"/>
        </w:rPr>
      </w:pPr>
      <w:r w:rsidRPr="000C156A">
        <w:rPr>
          <w:rFonts w:hint="eastAsia"/>
          <w:lang w:eastAsia="zh-CN"/>
        </w:rPr>
        <w:t>在计算截至</w:t>
      </w:r>
      <w:r w:rsidRPr="000C156A">
        <w:rPr>
          <w:lang w:eastAsia="zh-CN"/>
        </w:rPr>
        <w:t>2020</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日的总承付款项时考虑到了服务年限、基薪和语言津贴。所采用的经济假设为</w:t>
      </w:r>
      <w:r w:rsidRPr="000C156A">
        <w:rPr>
          <w:lang w:eastAsia="zh-CN"/>
        </w:rPr>
        <w:t>0.2%</w:t>
      </w:r>
      <w:r w:rsidRPr="000C156A">
        <w:rPr>
          <w:rFonts w:hint="eastAsia"/>
          <w:lang w:eastAsia="zh-CN"/>
        </w:rPr>
        <w:t>的贴现率（</w:t>
      </w:r>
      <w:r w:rsidRPr="000C156A">
        <w:rPr>
          <w:lang w:eastAsia="zh-CN"/>
        </w:rPr>
        <w:t>2019</w:t>
      </w:r>
      <w:r w:rsidRPr="000C156A">
        <w:rPr>
          <w:rFonts w:hint="eastAsia"/>
          <w:lang w:eastAsia="zh-CN"/>
        </w:rPr>
        <w:t>年为</w:t>
      </w:r>
      <w:r w:rsidRPr="000C156A">
        <w:rPr>
          <w:lang w:eastAsia="zh-CN"/>
        </w:rPr>
        <w:t>0.6%</w:t>
      </w:r>
      <w:r w:rsidRPr="000C156A">
        <w:rPr>
          <w:rFonts w:hint="eastAsia"/>
          <w:lang w:eastAsia="zh-CN"/>
        </w:rPr>
        <w:t>）和</w:t>
      </w:r>
      <w:r w:rsidRPr="000C156A">
        <w:rPr>
          <w:lang w:eastAsia="zh-CN"/>
        </w:rPr>
        <w:t>3.0%</w:t>
      </w:r>
      <w:r w:rsidRPr="000C156A">
        <w:rPr>
          <w:rFonts w:hint="eastAsia"/>
          <w:lang w:eastAsia="zh-CN"/>
        </w:rPr>
        <w:t>的薪酬增长率。在</w:t>
      </w:r>
      <w:r w:rsidRPr="000C156A">
        <w:rPr>
          <w:lang w:eastAsia="zh-CN"/>
        </w:rPr>
        <w:t>2020</w:t>
      </w:r>
      <w:r w:rsidRPr="000C156A">
        <w:rPr>
          <w:rFonts w:hint="eastAsia"/>
          <w:lang w:eastAsia="zh-CN"/>
        </w:rPr>
        <w:t>年的估值中，用于归国补助金精算研究的假设与</w:t>
      </w:r>
      <w:r w:rsidRPr="000C156A">
        <w:rPr>
          <w:lang w:eastAsia="zh-CN"/>
        </w:rPr>
        <w:t>ASHI</w:t>
      </w:r>
      <w:r w:rsidRPr="000C156A">
        <w:rPr>
          <w:rFonts w:hint="eastAsia"/>
          <w:lang w:eastAsia="zh-CN"/>
        </w:rPr>
        <w:t>假设保持一致。</w:t>
      </w:r>
    </w:p>
    <w:p w14:paraId="25A87B77" w14:textId="77777777" w:rsidR="009630A9" w:rsidRPr="000C156A" w:rsidRDefault="009630A9" w:rsidP="009630A9">
      <w:pPr>
        <w:pStyle w:val="Heading3"/>
        <w:ind w:left="1134" w:hanging="1134"/>
        <w:rPr>
          <w:rFonts w:ascii="STKaiti" w:eastAsia="STKaiti" w:hAnsi="STKaiti"/>
          <w:b w:val="0"/>
          <w:i/>
          <w:lang w:eastAsia="zh-CN"/>
        </w:rPr>
      </w:pPr>
      <w:bookmarkStart w:id="799" w:name="_Toc41905889"/>
      <w:bookmarkStart w:id="800" w:name="_Toc73518707"/>
      <w:bookmarkStart w:id="801" w:name="_Toc73518854"/>
      <w:bookmarkStart w:id="802" w:name="_Toc73519254"/>
      <w:bookmarkStart w:id="803" w:name="_Toc73636293"/>
      <w:r w:rsidRPr="000C156A">
        <w:rPr>
          <w:b w:val="0"/>
          <w:lang w:eastAsia="zh-CN"/>
        </w:rPr>
        <w:lastRenderedPageBreak/>
        <w:t>17.2.5</w:t>
      </w:r>
      <w:r w:rsidRPr="000C156A">
        <w:rPr>
          <w:b w:val="0"/>
          <w:lang w:eastAsia="zh-CN"/>
        </w:rPr>
        <w:tab/>
      </w:r>
      <w:r w:rsidRPr="000C156A">
        <w:rPr>
          <w:rFonts w:ascii="STKaiti" w:eastAsia="STKaiti" w:hAnsi="STKaiti" w:hint="eastAsia"/>
          <w:b w:val="0"/>
          <w:lang w:eastAsia="zh-CN"/>
        </w:rPr>
        <w:t>归国补助金的支付</w:t>
      </w:r>
      <w:bookmarkEnd w:id="799"/>
      <w:bookmarkEnd w:id="800"/>
      <w:bookmarkEnd w:id="801"/>
      <w:bookmarkEnd w:id="802"/>
      <w:bookmarkEnd w:id="803"/>
    </w:p>
    <w:p w14:paraId="4B9557DA" w14:textId="77777777" w:rsidR="009630A9" w:rsidRPr="000C156A" w:rsidRDefault="009630A9" w:rsidP="009630A9">
      <w:pPr>
        <w:ind w:firstLineChars="200" w:firstLine="480"/>
        <w:rPr>
          <w:lang w:eastAsia="zh-CN"/>
        </w:rPr>
      </w:pPr>
      <w:r w:rsidRPr="000C156A">
        <w:rPr>
          <w:rFonts w:hint="eastAsia"/>
          <w:lang w:val="en-US" w:eastAsia="zh-CN"/>
        </w:rPr>
        <w:t>离职归国补助金的支付须遵守</w:t>
      </w:r>
      <w:r w:rsidRPr="000C156A">
        <w:rPr>
          <w:rFonts w:hint="eastAsia"/>
          <w:lang w:eastAsia="zh-CN"/>
        </w:rPr>
        <w:t>《人事规则和人事细则》</w:t>
      </w:r>
      <w:r w:rsidRPr="000C156A">
        <w:rPr>
          <w:rFonts w:hint="eastAsia"/>
          <w:lang w:val="en-US" w:eastAsia="zh-CN"/>
        </w:rPr>
        <w:t>规定的条件和定义。截至</w:t>
      </w:r>
      <w:r w:rsidRPr="000C156A">
        <w:rPr>
          <w:rFonts w:hint="eastAsia"/>
          <w:lang w:val="en-US" w:eastAsia="zh-CN"/>
        </w:rPr>
        <w:t>2020</w:t>
      </w:r>
      <w:r w:rsidRPr="000C156A">
        <w:rPr>
          <w:rFonts w:hint="eastAsia"/>
          <w:lang w:val="en-US" w:eastAsia="zh-CN"/>
        </w:rPr>
        <w:t>年</w:t>
      </w:r>
      <w:r w:rsidRPr="000C156A">
        <w:rPr>
          <w:rFonts w:hint="eastAsia"/>
          <w:lang w:val="en-US" w:eastAsia="zh-CN"/>
        </w:rPr>
        <w:t>12</w:t>
      </w:r>
      <w:r w:rsidRPr="000C156A">
        <w:rPr>
          <w:rFonts w:hint="eastAsia"/>
          <w:lang w:val="en-US" w:eastAsia="zh-CN"/>
        </w:rPr>
        <w:t>月，准备金为</w:t>
      </w:r>
      <w:r w:rsidRPr="000C156A">
        <w:rPr>
          <w:rFonts w:hint="eastAsia"/>
          <w:lang w:val="en-US" w:eastAsia="zh-CN"/>
        </w:rPr>
        <w:t>1</w:t>
      </w:r>
      <w:r w:rsidRPr="000C156A">
        <w:rPr>
          <w:lang w:val="en-US" w:eastAsia="zh-CN"/>
        </w:rPr>
        <w:t xml:space="preserve"> </w:t>
      </w:r>
      <w:r w:rsidRPr="000C156A">
        <w:rPr>
          <w:rFonts w:hint="eastAsia"/>
          <w:lang w:val="en-US" w:eastAsia="zh-CN"/>
        </w:rPr>
        <w:t>271</w:t>
      </w:r>
      <w:r w:rsidRPr="000C156A">
        <w:rPr>
          <w:rFonts w:hint="eastAsia"/>
          <w:lang w:val="en-US" w:eastAsia="zh-CN"/>
        </w:rPr>
        <w:t>万瑞郎，而</w:t>
      </w:r>
      <w:r w:rsidRPr="000C156A">
        <w:rPr>
          <w:rFonts w:hint="eastAsia"/>
          <w:lang w:val="en-US" w:eastAsia="zh-CN"/>
        </w:rPr>
        <w:t>2019</w:t>
      </w:r>
      <w:r w:rsidRPr="000C156A">
        <w:rPr>
          <w:rFonts w:hint="eastAsia"/>
          <w:lang w:val="en-US" w:eastAsia="zh-CN"/>
        </w:rPr>
        <w:t>年为</w:t>
      </w:r>
      <w:r w:rsidRPr="000C156A">
        <w:rPr>
          <w:rFonts w:hint="eastAsia"/>
          <w:lang w:val="en-US" w:eastAsia="zh-CN"/>
        </w:rPr>
        <w:t>1</w:t>
      </w:r>
      <w:r w:rsidRPr="000C156A">
        <w:rPr>
          <w:lang w:val="en-US" w:eastAsia="zh-CN"/>
        </w:rPr>
        <w:t xml:space="preserve"> </w:t>
      </w:r>
      <w:r w:rsidRPr="000C156A">
        <w:rPr>
          <w:rFonts w:hint="eastAsia"/>
          <w:lang w:val="en-US" w:eastAsia="zh-CN"/>
        </w:rPr>
        <w:t>333</w:t>
      </w:r>
      <w:r w:rsidRPr="000C156A">
        <w:rPr>
          <w:rFonts w:hint="eastAsia"/>
          <w:lang w:val="en-US" w:eastAsia="zh-CN"/>
        </w:rPr>
        <w:t>万瑞郎。略有下降的原因可能是以瑞郎计值的平均薪金低于</w:t>
      </w:r>
      <w:r w:rsidRPr="000C156A">
        <w:rPr>
          <w:rFonts w:hint="eastAsia"/>
          <w:lang w:val="en-US" w:eastAsia="zh-CN"/>
        </w:rPr>
        <w:t>2018</w:t>
      </w:r>
      <w:r w:rsidRPr="000C156A">
        <w:rPr>
          <w:rFonts w:hint="eastAsia"/>
          <w:lang w:val="en-US" w:eastAsia="zh-CN"/>
        </w:rPr>
        <w:t>年最后一次全面估值，导致离职归国福利增加。</w:t>
      </w:r>
    </w:p>
    <w:p w14:paraId="3B582072" w14:textId="77777777" w:rsidR="009630A9" w:rsidRPr="000C156A" w:rsidRDefault="009630A9" w:rsidP="009630A9">
      <w:pPr>
        <w:ind w:firstLineChars="200" w:firstLine="480"/>
        <w:rPr>
          <w:lang w:eastAsia="zh-CN"/>
        </w:rPr>
      </w:pPr>
      <w:r w:rsidRPr="000C156A">
        <w:rPr>
          <w:rFonts w:hint="eastAsia"/>
          <w:lang w:eastAsia="zh-CN"/>
        </w:rPr>
        <w:t>该准备金的资金来源为扣除职员</w:t>
      </w:r>
      <w:r w:rsidRPr="000C156A">
        <w:rPr>
          <w:lang w:eastAsia="zh-CN"/>
        </w:rPr>
        <w:t>1%</w:t>
      </w:r>
      <w:r w:rsidRPr="000C156A">
        <w:rPr>
          <w:rFonts w:hint="eastAsia"/>
          <w:lang w:eastAsia="zh-CN"/>
        </w:rPr>
        <w:t>的薪酬，专门为大会雇佣的职员及其它短期合同职员除外。</w:t>
      </w:r>
    </w:p>
    <w:p w14:paraId="3EE19A45" w14:textId="77777777" w:rsidR="009630A9" w:rsidRPr="000C156A" w:rsidRDefault="009630A9" w:rsidP="009630A9">
      <w:pPr>
        <w:ind w:firstLineChars="200" w:firstLine="480"/>
        <w:rPr>
          <w:lang w:eastAsia="zh-CN"/>
        </w:rPr>
      </w:pPr>
      <w:r w:rsidRPr="000C156A">
        <w:rPr>
          <w:rFonts w:hint="eastAsia"/>
          <w:lang w:eastAsia="zh-CN"/>
        </w:rPr>
        <w:t>每年由一家独立咨询公司进行符合</w:t>
      </w:r>
      <w:r w:rsidRPr="000C156A">
        <w:rPr>
          <w:lang w:eastAsia="zh-CN"/>
        </w:rPr>
        <w:t>IPSAS</w:t>
      </w:r>
      <w:r w:rsidRPr="000C156A">
        <w:rPr>
          <w:rFonts w:hint="eastAsia"/>
          <w:lang w:eastAsia="zh-CN"/>
        </w:rPr>
        <w:t>的精算估值。</w:t>
      </w:r>
    </w:p>
    <w:p w14:paraId="6FE80F46" w14:textId="77777777" w:rsidR="009630A9" w:rsidRPr="000C156A" w:rsidRDefault="009630A9" w:rsidP="009630A9">
      <w:pPr>
        <w:pStyle w:val="Heading3"/>
        <w:ind w:left="1134" w:hanging="1134"/>
        <w:rPr>
          <w:b w:val="0"/>
          <w:i/>
          <w:lang w:eastAsia="zh-CN"/>
        </w:rPr>
      </w:pPr>
      <w:bookmarkStart w:id="804" w:name="_Toc41905890"/>
      <w:bookmarkStart w:id="805" w:name="_Toc73518708"/>
      <w:bookmarkStart w:id="806" w:name="_Toc73518855"/>
      <w:bookmarkStart w:id="807" w:name="_Toc73519255"/>
      <w:bookmarkStart w:id="808" w:name="_Toc73636294"/>
      <w:r w:rsidRPr="000C156A">
        <w:rPr>
          <w:b w:val="0"/>
          <w:lang w:eastAsia="zh-CN"/>
        </w:rPr>
        <w:t>17.2.6</w:t>
      </w:r>
      <w:r w:rsidRPr="000C156A">
        <w:rPr>
          <w:b w:val="0"/>
          <w:lang w:eastAsia="zh-CN"/>
        </w:rPr>
        <w:tab/>
      </w:r>
      <w:r w:rsidRPr="000C156A">
        <w:rPr>
          <w:rFonts w:eastAsia="STKaiti" w:hint="eastAsia"/>
          <w:b w:val="0"/>
          <w:lang w:eastAsia="zh-CN"/>
        </w:rPr>
        <w:t>职员按照联合国职员养恤金计划享受的福利</w:t>
      </w:r>
      <w:bookmarkEnd w:id="804"/>
      <w:bookmarkEnd w:id="805"/>
      <w:bookmarkEnd w:id="806"/>
      <w:bookmarkEnd w:id="807"/>
      <w:bookmarkEnd w:id="808"/>
    </w:p>
    <w:p w14:paraId="349ED1D6" w14:textId="77777777" w:rsidR="009630A9" w:rsidRPr="000C156A" w:rsidRDefault="009630A9" w:rsidP="009630A9">
      <w:pPr>
        <w:ind w:firstLineChars="200" w:firstLine="480"/>
        <w:rPr>
          <w:lang w:eastAsia="zh-CN"/>
        </w:rPr>
      </w:pPr>
      <w:r w:rsidRPr="000C156A">
        <w:rPr>
          <w:rFonts w:hint="eastAsia"/>
          <w:lang w:eastAsia="zh-CN"/>
        </w:rPr>
        <w:t>国际电联是联合国大会设立的“联合国职员联合养恤基金”（简称基金）的成员组织，该基金的目的是为职员提供退休、亡故、伤残及相关福利。该基金是一个由多雇主出资的固定收益计划。《基金条例》第</w:t>
      </w:r>
      <w:r w:rsidRPr="000C156A">
        <w:rPr>
          <w:rFonts w:hint="eastAsia"/>
          <w:lang w:eastAsia="zh-CN"/>
        </w:rPr>
        <w:t>3</w:t>
      </w:r>
      <w:r w:rsidRPr="000C156A">
        <w:rPr>
          <w:lang w:eastAsia="zh-CN"/>
        </w:rPr>
        <w:t>(b)</w:t>
      </w:r>
      <w:r w:rsidRPr="000C156A">
        <w:rPr>
          <w:rFonts w:hint="eastAsia"/>
          <w:lang w:eastAsia="zh-CN"/>
        </w:rPr>
        <w:t>条规定，基金成员资格须向专门机构和参加联合国专门机构薪金、津贴和其他服务条件共同制度的任何其他国际和政府间组织开放。</w:t>
      </w:r>
    </w:p>
    <w:p w14:paraId="4BE4DDAD" w14:textId="77777777" w:rsidR="009630A9" w:rsidRPr="000C156A" w:rsidRDefault="009630A9" w:rsidP="009630A9">
      <w:pPr>
        <w:ind w:firstLineChars="200" w:firstLine="480"/>
        <w:rPr>
          <w:rFonts w:cs="Calibri"/>
          <w:lang w:eastAsia="zh-CN"/>
        </w:rPr>
      </w:pPr>
      <w:r w:rsidRPr="000C156A">
        <w:rPr>
          <w:rFonts w:hint="eastAsia"/>
          <w:lang w:eastAsia="zh-CN"/>
        </w:rPr>
        <w:t>基金使成员组织</w:t>
      </w:r>
      <w:r w:rsidRPr="000C156A">
        <w:rPr>
          <w:rFonts w:cs="Calibri" w:hint="eastAsia"/>
          <w:lang w:eastAsia="zh-CN"/>
        </w:rPr>
        <w:t>面临与参加基金的其他组织现有和原有职员相关的精算风险，因此，向参加计划的各组织分配承付款项、计划资产和成本缺乏统一和可靠的基础。国际电联和该基金，与其他参加基金的组织一样，均无法确定国际电联在充分保证会计可靠性的情况的固定收益承付款项、计划资产和计划相关成本中的相应份额。因此，国际电联按照</w:t>
      </w:r>
      <w:r w:rsidRPr="000C156A">
        <w:rPr>
          <w:rFonts w:cs="Calibri"/>
          <w:lang w:eastAsia="zh-CN"/>
        </w:rPr>
        <w:t>IPSAS</w:t>
      </w:r>
      <w:r w:rsidRPr="000C156A">
        <w:rPr>
          <w:rFonts w:cs="Calibri" w:hint="eastAsia"/>
          <w:lang w:eastAsia="zh-CN"/>
        </w:rPr>
        <w:t xml:space="preserve"> 39</w:t>
      </w:r>
      <w:r w:rsidRPr="000C156A">
        <w:rPr>
          <w:rFonts w:cs="Calibri" w:hint="eastAsia"/>
          <w:lang w:eastAsia="zh-CN"/>
        </w:rPr>
        <w:t>的职员福利要求，把此计划当作固定供款计划予以处理。国际电联在相关财务期内为该基金的缴款在财务业绩报表中被确定为费用。</w:t>
      </w:r>
    </w:p>
    <w:p w14:paraId="26191502" w14:textId="77777777" w:rsidR="009630A9" w:rsidRPr="000C156A" w:rsidRDefault="009630A9" w:rsidP="009630A9">
      <w:pPr>
        <w:ind w:firstLineChars="200" w:firstLine="480"/>
        <w:rPr>
          <w:rFonts w:cs="Calibri"/>
          <w:lang w:eastAsia="zh-CN"/>
        </w:rPr>
      </w:pPr>
      <w:r w:rsidRPr="000C156A">
        <w:rPr>
          <w:rFonts w:cs="Calibri" w:hint="eastAsia"/>
          <w:lang w:eastAsia="zh-CN"/>
        </w:rPr>
        <w:t>基金规则指出，养恤金委员会至少每三年须请咨询精算机构对基金进行精算估值。养恤金委员会一直采取的做法是通过开放基金方式每两年进行一次精算估值。精算估值的主要目的是确定该基金目前和未来的估算资产是否能够满足其债务需求。</w:t>
      </w:r>
    </w:p>
    <w:p w14:paraId="2B47BB6E" w14:textId="77777777" w:rsidR="009630A9" w:rsidRPr="000C156A" w:rsidRDefault="009630A9" w:rsidP="009630A9">
      <w:pPr>
        <w:ind w:firstLineChars="200" w:firstLine="480"/>
        <w:rPr>
          <w:rFonts w:cs="Calibri"/>
          <w:lang w:eastAsia="zh-CN"/>
        </w:rPr>
      </w:pPr>
      <w:r w:rsidRPr="000C156A">
        <w:rPr>
          <w:rFonts w:cs="Calibri" w:hint="eastAsia"/>
          <w:lang w:eastAsia="zh-CN"/>
        </w:rPr>
        <w:t>国际电联对该基金的承付款项包括按照联合国大会确定的费率缴纳的规定缴费（目前参与人为</w:t>
      </w:r>
      <w:r w:rsidRPr="000C156A">
        <w:rPr>
          <w:rFonts w:cs="Calibri"/>
          <w:lang w:eastAsia="zh-CN"/>
        </w:rPr>
        <w:t>7.9%</w:t>
      </w:r>
      <w:r w:rsidRPr="000C156A">
        <w:rPr>
          <w:rFonts w:cs="Calibri" w:hint="eastAsia"/>
          <w:lang w:eastAsia="zh-CN"/>
        </w:rPr>
        <w:t>，成员组织为</w:t>
      </w:r>
      <w:r w:rsidRPr="000C156A">
        <w:rPr>
          <w:rFonts w:cs="Calibri"/>
          <w:lang w:eastAsia="zh-CN"/>
        </w:rPr>
        <w:t>15.8%</w:t>
      </w:r>
      <w:r w:rsidRPr="000C156A">
        <w:rPr>
          <w:rFonts w:cs="Calibri" w:hint="eastAsia"/>
          <w:lang w:eastAsia="zh-CN"/>
        </w:rPr>
        <w:t>）以及根据《养恤基金管理办法》第</w:t>
      </w:r>
      <w:r w:rsidRPr="000C156A">
        <w:rPr>
          <w:rFonts w:cs="Calibri" w:hint="eastAsia"/>
          <w:lang w:eastAsia="zh-CN"/>
        </w:rPr>
        <w:t>26</w:t>
      </w:r>
      <w:r w:rsidRPr="000C156A">
        <w:rPr>
          <w:rFonts w:cs="Calibri" w:hint="eastAsia"/>
          <w:lang w:eastAsia="zh-CN"/>
        </w:rPr>
        <w:t>条确定的精算亏空支付的份额。在根据估值日对精算亏空的评估的基础上确定确实需要亏空支付后，如果联合国大会启动第</w:t>
      </w:r>
      <w:r w:rsidRPr="000C156A">
        <w:rPr>
          <w:rFonts w:cs="Calibri"/>
          <w:lang w:eastAsia="zh-CN"/>
        </w:rPr>
        <w:t>26</w:t>
      </w:r>
      <w:r w:rsidRPr="000C156A">
        <w:rPr>
          <w:rFonts w:cs="Calibri" w:hint="eastAsia"/>
          <w:lang w:eastAsia="zh-CN"/>
        </w:rPr>
        <w:t>条的规定，才可以进行此类亏空支付。各成员组织对此赤字缴纳的金额与其在估值日之前三年内所缴金额在总额中的比例相当。</w:t>
      </w:r>
    </w:p>
    <w:p w14:paraId="79EE2C4C" w14:textId="77777777" w:rsidR="009630A9" w:rsidRPr="000C156A" w:rsidRDefault="009630A9" w:rsidP="009630A9">
      <w:pPr>
        <w:ind w:firstLineChars="200" w:firstLine="480"/>
        <w:rPr>
          <w:rFonts w:asciiTheme="minorHAnsi" w:eastAsiaTheme="minorEastAsia" w:hAnsiTheme="minorHAnsi" w:cstheme="minorHAnsi"/>
          <w:sz w:val="22"/>
          <w:lang w:val="en-US" w:eastAsia="zh-CN"/>
        </w:rPr>
      </w:pPr>
      <w:r w:rsidRPr="000C156A">
        <w:rPr>
          <w:rFonts w:asciiTheme="minorHAnsi" w:eastAsiaTheme="minorEastAsia" w:hAnsiTheme="minorHAnsi" w:cstheme="minorHAnsi"/>
          <w:lang w:eastAsia="zh-CN"/>
        </w:rPr>
        <w:t>最新完成的基金精算估值截至</w:t>
      </w:r>
      <w:r w:rsidRPr="000C156A">
        <w:rPr>
          <w:rFonts w:asciiTheme="minorHAnsi" w:eastAsiaTheme="minorEastAsia" w:hAnsiTheme="minorHAnsi" w:cstheme="minorHAnsi"/>
          <w:lang w:eastAsia="zh-CN"/>
        </w:rPr>
        <w:t>2019</w:t>
      </w:r>
      <w:r w:rsidRPr="000C156A">
        <w:rPr>
          <w:rFonts w:asciiTheme="minorHAnsi" w:eastAsiaTheme="minorEastAsia" w:hAnsiTheme="minorHAnsi" w:cstheme="minorHAnsi"/>
          <w:lang w:eastAsia="zh-CN"/>
        </w:rPr>
        <w:t>年</w:t>
      </w:r>
      <w:r w:rsidRPr="000C156A">
        <w:rPr>
          <w:rFonts w:asciiTheme="minorHAnsi" w:eastAsiaTheme="minorEastAsia" w:hAnsiTheme="minorHAnsi" w:cstheme="minorHAnsi"/>
          <w:lang w:eastAsia="zh-CN"/>
        </w:rPr>
        <w:t>12</w:t>
      </w:r>
      <w:r w:rsidRPr="000C156A">
        <w:rPr>
          <w:rFonts w:asciiTheme="minorHAnsi" w:eastAsiaTheme="minorEastAsia" w:hAnsiTheme="minorHAnsi" w:cstheme="minorHAnsi"/>
          <w:lang w:eastAsia="zh-CN"/>
        </w:rPr>
        <w:t>月</w:t>
      </w:r>
      <w:r w:rsidRPr="000C156A">
        <w:rPr>
          <w:rFonts w:asciiTheme="minorHAnsi" w:eastAsiaTheme="minorEastAsia" w:hAnsiTheme="minorHAnsi" w:cstheme="minorHAnsi"/>
          <w:lang w:eastAsia="zh-CN"/>
        </w:rPr>
        <w:t>31</w:t>
      </w:r>
      <w:r w:rsidRPr="000C156A">
        <w:rPr>
          <w:rFonts w:asciiTheme="minorHAnsi" w:eastAsiaTheme="minorEastAsia" w:hAnsiTheme="minorHAnsi" w:cstheme="minorHAnsi"/>
          <w:lang w:eastAsia="zh-CN"/>
        </w:rPr>
        <w:t>日，基金会在其</w:t>
      </w:r>
      <w:r w:rsidRPr="000C156A">
        <w:rPr>
          <w:rFonts w:asciiTheme="minorHAnsi" w:eastAsiaTheme="minorEastAsia" w:hAnsiTheme="minorHAnsi" w:cstheme="minorHAnsi"/>
          <w:lang w:eastAsia="zh-CN"/>
        </w:rPr>
        <w:t>2020</w:t>
      </w:r>
      <w:r w:rsidRPr="000C156A">
        <w:rPr>
          <w:rFonts w:asciiTheme="minorHAnsi" w:eastAsiaTheme="minorEastAsia" w:hAnsiTheme="minorHAnsi" w:cstheme="minorHAnsi"/>
          <w:lang w:eastAsia="zh-CN"/>
        </w:rPr>
        <w:t>年财务报表中将截至</w:t>
      </w:r>
      <w:r w:rsidRPr="000C156A">
        <w:rPr>
          <w:rFonts w:asciiTheme="minorHAnsi" w:eastAsiaTheme="minorEastAsia" w:hAnsiTheme="minorHAnsi" w:cstheme="minorHAnsi"/>
          <w:lang w:eastAsia="zh-CN"/>
        </w:rPr>
        <w:t>2020</w:t>
      </w:r>
      <w:r w:rsidRPr="000C156A">
        <w:rPr>
          <w:rFonts w:asciiTheme="minorHAnsi" w:eastAsiaTheme="minorEastAsia" w:hAnsiTheme="minorHAnsi" w:cstheme="minorHAnsi"/>
          <w:lang w:eastAsia="zh-CN"/>
        </w:rPr>
        <w:t>年</w:t>
      </w:r>
      <w:r w:rsidRPr="000C156A">
        <w:rPr>
          <w:rFonts w:asciiTheme="minorHAnsi" w:eastAsiaTheme="minorEastAsia" w:hAnsiTheme="minorHAnsi" w:cstheme="minorHAnsi"/>
          <w:lang w:eastAsia="zh-CN"/>
        </w:rPr>
        <w:t>12</w:t>
      </w:r>
      <w:r w:rsidRPr="000C156A">
        <w:rPr>
          <w:rFonts w:asciiTheme="minorHAnsi" w:eastAsiaTheme="minorEastAsia" w:hAnsiTheme="minorHAnsi" w:cstheme="minorHAnsi"/>
          <w:lang w:eastAsia="zh-CN"/>
        </w:rPr>
        <w:t>月</w:t>
      </w:r>
      <w:r w:rsidRPr="000C156A">
        <w:rPr>
          <w:rFonts w:asciiTheme="minorHAnsi" w:eastAsiaTheme="minorEastAsia" w:hAnsiTheme="minorHAnsi" w:cstheme="minorHAnsi"/>
          <w:lang w:eastAsia="zh-CN"/>
        </w:rPr>
        <w:t>31</w:t>
      </w:r>
      <w:r w:rsidRPr="000C156A">
        <w:rPr>
          <w:rFonts w:asciiTheme="minorHAnsi" w:eastAsiaTheme="minorEastAsia" w:hAnsiTheme="minorHAnsi" w:cstheme="minorHAnsi"/>
          <w:lang w:eastAsia="zh-CN"/>
        </w:rPr>
        <w:t>日的参与数据前滚至</w:t>
      </w:r>
      <w:r w:rsidRPr="000C156A">
        <w:rPr>
          <w:rFonts w:asciiTheme="minorHAnsi" w:eastAsiaTheme="minorEastAsia" w:hAnsiTheme="minorHAnsi" w:cstheme="minorHAnsi"/>
          <w:lang w:eastAsia="zh-CN"/>
        </w:rPr>
        <w:t>2019</w:t>
      </w:r>
      <w:r w:rsidRPr="000C156A">
        <w:rPr>
          <w:rFonts w:asciiTheme="minorHAnsi" w:eastAsiaTheme="minorEastAsia" w:hAnsiTheme="minorHAnsi" w:cstheme="minorHAnsi"/>
          <w:lang w:eastAsia="zh-CN"/>
        </w:rPr>
        <w:t>年</w:t>
      </w:r>
      <w:r w:rsidRPr="000C156A">
        <w:rPr>
          <w:rFonts w:asciiTheme="minorHAnsi" w:eastAsiaTheme="minorEastAsia" w:hAnsiTheme="minorHAnsi" w:cstheme="minorHAnsi"/>
          <w:lang w:eastAsia="zh-CN"/>
        </w:rPr>
        <w:t>12</w:t>
      </w:r>
      <w:r w:rsidRPr="000C156A">
        <w:rPr>
          <w:rFonts w:asciiTheme="minorHAnsi" w:eastAsiaTheme="minorEastAsia" w:hAnsiTheme="minorHAnsi" w:cstheme="minorHAnsi"/>
          <w:lang w:eastAsia="zh-CN"/>
        </w:rPr>
        <w:t>月</w:t>
      </w:r>
      <w:r w:rsidRPr="000C156A">
        <w:rPr>
          <w:rFonts w:asciiTheme="minorHAnsi" w:eastAsiaTheme="minorEastAsia" w:hAnsiTheme="minorHAnsi" w:cstheme="minorHAnsi"/>
          <w:lang w:eastAsia="zh-CN"/>
        </w:rPr>
        <w:t>31</w:t>
      </w:r>
      <w:r w:rsidRPr="000C156A">
        <w:rPr>
          <w:rFonts w:asciiTheme="minorHAnsi" w:eastAsiaTheme="minorEastAsia" w:hAnsiTheme="minorHAnsi" w:cstheme="minorHAnsi"/>
          <w:lang w:eastAsia="zh-CN"/>
        </w:rPr>
        <w:t>日。</w:t>
      </w:r>
    </w:p>
    <w:p w14:paraId="4126486F" w14:textId="4B832741" w:rsidR="009630A9" w:rsidRPr="000C156A" w:rsidRDefault="009630A9" w:rsidP="009630A9">
      <w:pPr>
        <w:ind w:firstLineChars="200" w:firstLine="480"/>
        <w:rPr>
          <w:rFonts w:asciiTheme="minorHAnsi" w:eastAsiaTheme="minorEastAsia" w:hAnsiTheme="minorHAnsi" w:cstheme="minorHAnsi"/>
          <w:lang w:eastAsia="zh-CN"/>
        </w:rPr>
      </w:pPr>
      <w:r w:rsidRPr="000C156A">
        <w:rPr>
          <w:rFonts w:asciiTheme="minorHAnsi" w:eastAsiaTheme="minorEastAsia" w:hAnsiTheme="minorHAnsi" w:cstheme="minorHAnsi"/>
          <w:lang w:eastAsia="zh-CN"/>
        </w:rPr>
        <w:t>假设未来对养恤金不进行调整，截至</w:t>
      </w:r>
      <w:r w:rsidRPr="000C156A">
        <w:rPr>
          <w:rFonts w:asciiTheme="minorHAnsi" w:eastAsiaTheme="minorEastAsia" w:hAnsiTheme="minorHAnsi" w:cstheme="minorHAnsi"/>
          <w:lang w:eastAsia="zh-CN"/>
        </w:rPr>
        <w:t>2019</w:t>
      </w:r>
      <w:r w:rsidRPr="000C156A">
        <w:rPr>
          <w:rFonts w:asciiTheme="minorHAnsi" w:eastAsiaTheme="minorEastAsia" w:hAnsiTheme="minorHAnsi" w:cstheme="minorHAnsi"/>
          <w:lang w:eastAsia="zh-CN"/>
        </w:rPr>
        <w:t>年</w:t>
      </w:r>
      <w:r w:rsidRPr="000C156A">
        <w:rPr>
          <w:rFonts w:asciiTheme="minorHAnsi" w:eastAsiaTheme="minorEastAsia" w:hAnsiTheme="minorHAnsi" w:cstheme="minorHAnsi"/>
          <w:lang w:eastAsia="zh-CN"/>
        </w:rPr>
        <w:t>12</w:t>
      </w:r>
      <w:r w:rsidRPr="000C156A">
        <w:rPr>
          <w:rFonts w:asciiTheme="minorHAnsi" w:eastAsiaTheme="minorEastAsia" w:hAnsiTheme="minorHAnsi" w:cstheme="minorHAnsi"/>
          <w:lang w:eastAsia="zh-CN"/>
        </w:rPr>
        <w:t>月</w:t>
      </w:r>
      <w:r w:rsidRPr="000C156A">
        <w:rPr>
          <w:rFonts w:asciiTheme="minorHAnsi" w:eastAsiaTheme="minorEastAsia" w:hAnsiTheme="minorHAnsi" w:cstheme="minorHAnsi"/>
          <w:lang w:eastAsia="zh-CN"/>
        </w:rPr>
        <w:t>31</w:t>
      </w:r>
      <w:r w:rsidRPr="000C156A">
        <w:rPr>
          <w:rFonts w:asciiTheme="minorHAnsi" w:eastAsiaTheme="minorEastAsia" w:hAnsiTheme="minorHAnsi" w:cstheme="minorHAnsi"/>
          <w:lang w:eastAsia="zh-CN"/>
        </w:rPr>
        <w:t>日时的精算估值将产生精算资产与精算负债的资金比例为</w:t>
      </w:r>
      <w:r w:rsidRPr="000C156A">
        <w:rPr>
          <w:rFonts w:asciiTheme="minorHAnsi" w:eastAsiaTheme="minorEastAsia" w:hAnsiTheme="minorHAnsi" w:cstheme="minorHAnsi"/>
          <w:lang w:eastAsia="zh-CN"/>
        </w:rPr>
        <w:t>144.2%</w:t>
      </w:r>
      <w:r w:rsidRPr="000C156A">
        <w:rPr>
          <w:rFonts w:asciiTheme="minorHAnsi" w:eastAsiaTheme="minorEastAsia" w:hAnsiTheme="minorHAnsi" w:cstheme="minorHAnsi"/>
          <w:lang w:eastAsia="zh-CN"/>
        </w:rPr>
        <w:t>（</w:t>
      </w:r>
      <w:r w:rsidRPr="000C156A">
        <w:rPr>
          <w:rFonts w:asciiTheme="minorHAnsi" w:eastAsiaTheme="minorEastAsia" w:hAnsiTheme="minorHAnsi" w:cstheme="minorHAnsi"/>
          <w:lang w:eastAsia="zh-CN"/>
        </w:rPr>
        <w:t>2017</w:t>
      </w:r>
      <w:r w:rsidRPr="000C156A">
        <w:rPr>
          <w:rFonts w:asciiTheme="minorHAnsi" w:eastAsiaTheme="minorEastAsia" w:hAnsiTheme="minorHAnsi" w:cstheme="minorHAnsi"/>
          <w:lang w:eastAsia="zh-CN"/>
        </w:rPr>
        <w:t>年的比例为</w:t>
      </w:r>
      <w:r w:rsidRPr="000C156A">
        <w:rPr>
          <w:rFonts w:asciiTheme="minorHAnsi" w:eastAsiaTheme="minorEastAsia" w:hAnsiTheme="minorHAnsi" w:cstheme="minorHAnsi"/>
          <w:lang w:eastAsia="zh-CN"/>
        </w:rPr>
        <w:t>139.2%</w:t>
      </w:r>
      <w:r w:rsidRPr="000C156A">
        <w:rPr>
          <w:rFonts w:asciiTheme="minorHAnsi" w:eastAsiaTheme="minorEastAsia" w:hAnsiTheme="minorHAnsi" w:cstheme="minorHAnsi"/>
          <w:lang w:eastAsia="zh-CN"/>
        </w:rPr>
        <w:t>）。如果将现行的养恤金调整系统考虑进去，则资金比率是</w:t>
      </w:r>
      <w:r w:rsidRPr="000C156A">
        <w:rPr>
          <w:rFonts w:asciiTheme="minorHAnsi" w:eastAsiaTheme="minorEastAsia" w:hAnsiTheme="minorHAnsi" w:cstheme="minorHAnsi"/>
          <w:lang w:eastAsia="zh-CN"/>
        </w:rPr>
        <w:t>107.1%</w:t>
      </w:r>
      <w:r w:rsidRPr="000C156A">
        <w:rPr>
          <w:rFonts w:asciiTheme="minorHAnsi" w:eastAsiaTheme="minorEastAsia" w:hAnsiTheme="minorHAnsi" w:cstheme="minorHAnsi"/>
          <w:lang w:eastAsia="zh-CN"/>
        </w:rPr>
        <w:t>（</w:t>
      </w:r>
      <w:r w:rsidRPr="000C156A">
        <w:rPr>
          <w:rFonts w:asciiTheme="minorHAnsi" w:eastAsiaTheme="minorEastAsia" w:hAnsiTheme="minorHAnsi" w:cstheme="minorHAnsi"/>
          <w:lang w:eastAsia="zh-CN"/>
        </w:rPr>
        <w:t>2017</w:t>
      </w:r>
      <w:r w:rsidRPr="000C156A">
        <w:rPr>
          <w:rFonts w:asciiTheme="minorHAnsi" w:eastAsiaTheme="minorEastAsia" w:hAnsiTheme="minorHAnsi" w:cstheme="minorHAnsi"/>
          <w:lang w:eastAsia="zh-CN"/>
        </w:rPr>
        <w:t>年的比例为</w:t>
      </w:r>
      <w:r w:rsidRPr="000C156A">
        <w:rPr>
          <w:rFonts w:asciiTheme="minorHAnsi" w:eastAsiaTheme="minorEastAsia" w:hAnsiTheme="minorHAnsi" w:cstheme="minorHAnsi"/>
          <w:lang w:eastAsia="zh-CN"/>
        </w:rPr>
        <w:t>102.7%</w:t>
      </w:r>
      <w:r w:rsidR="00470518" w:rsidRPr="000C156A">
        <w:rPr>
          <w:rFonts w:asciiTheme="minorHAnsi" w:eastAsiaTheme="minorEastAsia" w:hAnsiTheme="minorHAnsi" w:cstheme="minorHAnsi"/>
          <w:lang w:eastAsia="zh-CN"/>
        </w:rPr>
        <w:t>）</w:t>
      </w:r>
      <w:r w:rsidRPr="000C156A">
        <w:rPr>
          <w:rFonts w:asciiTheme="minorHAnsi" w:eastAsiaTheme="minorEastAsia" w:hAnsiTheme="minorHAnsi" w:cstheme="minorHAnsi"/>
          <w:lang w:eastAsia="zh-CN"/>
        </w:rPr>
        <w:t>。</w:t>
      </w:r>
    </w:p>
    <w:p w14:paraId="74B5A8A8" w14:textId="77777777" w:rsidR="009630A9" w:rsidRPr="000C156A" w:rsidRDefault="009630A9" w:rsidP="009630A9">
      <w:pPr>
        <w:ind w:firstLineChars="200" w:firstLine="480"/>
        <w:rPr>
          <w:spacing w:val="4"/>
          <w:lang w:eastAsia="zh-CN"/>
        </w:rPr>
      </w:pPr>
      <w:r w:rsidRPr="000C156A">
        <w:rPr>
          <w:rFonts w:hint="eastAsia"/>
          <w:lang w:eastAsia="zh-CN"/>
        </w:rPr>
        <w:t>咨询精算师在评估了基金的精算充分性之后得出结论，截至</w:t>
      </w:r>
      <w:r w:rsidRPr="000C156A">
        <w:rPr>
          <w:rFonts w:hint="eastAsia"/>
          <w:lang w:eastAsia="zh-CN"/>
        </w:rPr>
        <w:t>201</w:t>
      </w:r>
      <w:r w:rsidRPr="000C156A">
        <w:rPr>
          <w:lang w:eastAsia="zh-CN"/>
        </w:rPr>
        <w:t>9</w:t>
      </w:r>
      <w:r w:rsidRPr="000C156A">
        <w:rPr>
          <w:rFonts w:hint="eastAsia"/>
          <w:lang w:eastAsia="zh-CN"/>
        </w:rPr>
        <w:t>年</w:t>
      </w:r>
      <w:r w:rsidRPr="000C156A">
        <w:rPr>
          <w:rFonts w:hint="eastAsia"/>
          <w:lang w:eastAsia="zh-CN"/>
        </w:rPr>
        <w:t>12</w:t>
      </w:r>
      <w:r w:rsidRPr="000C156A">
        <w:rPr>
          <w:rFonts w:hint="eastAsia"/>
          <w:lang w:eastAsia="zh-CN"/>
        </w:rPr>
        <w:t>月</w:t>
      </w:r>
      <w:r w:rsidRPr="000C156A">
        <w:rPr>
          <w:rFonts w:hint="eastAsia"/>
          <w:lang w:eastAsia="zh-CN"/>
        </w:rPr>
        <w:t>31</w:t>
      </w:r>
      <w:r w:rsidRPr="000C156A">
        <w:rPr>
          <w:rFonts w:hint="eastAsia"/>
          <w:lang w:eastAsia="zh-CN"/>
        </w:rPr>
        <w:t>日，没有根据《养恤基金管理办法》第</w:t>
      </w:r>
      <w:r w:rsidRPr="000C156A">
        <w:rPr>
          <w:lang w:eastAsia="zh-CN"/>
        </w:rPr>
        <w:t>26</w:t>
      </w:r>
      <w:r w:rsidRPr="000C156A">
        <w:rPr>
          <w:rFonts w:hint="eastAsia"/>
          <w:lang w:eastAsia="zh-CN"/>
        </w:rPr>
        <w:t>条进行亏空补贴的需求，因为</w:t>
      </w:r>
      <w:r w:rsidRPr="000C156A">
        <w:rPr>
          <w:lang w:eastAsia="zh-CN"/>
        </w:rPr>
        <w:t>资产的精算价</w:t>
      </w:r>
      <w:r w:rsidRPr="000C156A">
        <w:rPr>
          <w:rFonts w:hint="eastAsia"/>
          <w:lang w:eastAsia="zh-CN"/>
        </w:rPr>
        <w:t>值超出了养恤</w:t>
      </w:r>
      <w:r w:rsidRPr="000C156A">
        <w:rPr>
          <w:rFonts w:hint="eastAsia"/>
          <w:spacing w:val="4"/>
          <w:lang w:eastAsia="zh-CN"/>
        </w:rPr>
        <w:t>金计划所有</w:t>
      </w:r>
      <w:r w:rsidRPr="000C156A">
        <w:rPr>
          <w:spacing w:val="4"/>
          <w:lang w:eastAsia="zh-CN"/>
        </w:rPr>
        <w:t>应计负债的精算价</w:t>
      </w:r>
      <w:r w:rsidRPr="000C156A">
        <w:rPr>
          <w:rFonts w:hint="eastAsia"/>
          <w:spacing w:val="4"/>
          <w:lang w:eastAsia="zh-CN"/>
        </w:rPr>
        <w:t>值。此外，资产市值亦超出了估值日</w:t>
      </w:r>
      <w:r w:rsidRPr="000C156A">
        <w:rPr>
          <w:spacing w:val="4"/>
          <w:lang w:eastAsia="zh-CN"/>
        </w:rPr>
        <w:t>所有应计负债的精算价</w:t>
      </w:r>
      <w:r w:rsidRPr="000C156A">
        <w:rPr>
          <w:rFonts w:hint="eastAsia"/>
          <w:spacing w:val="4"/>
          <w:lang w:eastAsia="zh-CN"/>
        </w:rPr>
        <w:t>值。在起草本报告时，联合国大会尚未启动第</w:t>
      </w:r>
      <w:r w:rsidRPr="000C156A">
        <w:rPr>
          <w:spacing w:val="4"/>
          <w:lang w:eastAsia="zh-CN"/>
        </w:rPr>
        <w:t>26</w:t>
      </w:r>
      <w:r w:rsidRPr="000C156A">
        <w:rPr>
          <w:rFonts w:hint="eastAsia"/>
          <w:spacing w:val="4"/>
          <w:lang w:eastAsia="zh-CN"/>
        </w:rPr>
        <w:t>条的规定。</w:t>
      </w:r>
    </w:p>
    <w:p w14:paraId="7814292B" w14:textId="77777777" w:rsidR="009630A9" w:rsidRPr="000C156A" w:rsidRDefault="009630A9" w:rsidP="009630A9">
      <w:pPr>
        <w:tabs>
          <w:tab w:val="num" w:pos="1080"/>
        </w:tabs>
        <w:ind w:firstLineChars="200" w:firstLine="480"/>
        <w:rPr>
          <w:lang w:eastAsia="zh-CN"/>
        </w:rPr>
      </w:pPr>
      <w:r w:rsidRPr="000C156A">
        <w:rPr>
          <w:rFonts w:hint="eastAsia"/>
          <w:lang w:eastAsia="zh-CN"/>
        </w:rPr>
        <w:t>如果由于精算亏空而启动第</w:t>
      </w:r>
      <w:r w:rsidRPr="000C156A">
        <w:rPr>
          <w:rFonts w:hint="eastAsia"/>
          <w:lang w:eastAsia="zh-CN"/>
        </w:rPr>
        <w:t>26</w:t>
      </w:r>
      <w:r w:rsidRPr="000C156A">
        <w:rPr>
          <w:rFonts w:hint="eastAsia"/>
          <w:lang w:eastAsia="zh-CN"/>
        </w:rPr>
        <w:t>条，无论是在该基金运行期间还是在其终止之后，每个成员组织所需支付的亏空均应以估值日之前三年中的成员组织缴费与基金总缴费的占比为基础进行计算。前三年（</w:t>
      </w:r>
      <w:r w:rsidRPr="000C156A">
        <w:rPr>
          <w:rFonts w:hint="eastAsia"/>
          <w:lang w:eastAsia="zh-CN"/>
        </w:rPr>
        <w:t>201</w:t>
      </w:r>
      <w:r w:rsidRPr="000C156A">
        <w:rPr>
          <w:lang w:eastAsia="zh-CN"/>
        </w:rPr>
        <w:t>7</w:t>
      </w:r>
      <w:r w:rsidRPr="000C156A">
        <w:rPr>
          <w:rFonts w:hint="eastAsia"/>
          <w:lang w:eastAsia="zh-CN"/>
        </w:rPr>
        <w:t>、</w:t>
      </w:r>
      <w:r w:rsidRPr="000C156A">
        <w:rPr>
          <w:rFonts w:hint="eastAsia"/>
          <w:lang w:eastAsia="zh-CN"/>
        </w:rPr>
        <w:t>201</w:t>
      </w:r>
      <w:r w:rsidRPr="000C156A">
        <w:rPr>
          <w:lang w:eastAsia="zh-CN"/>
        </w:rPr>
        <w:t>8</w:t>
      </w:r>
      <w:r w:rsidRPr="000C156A">
        <w:rPr>
          <w:rFonts w:hint="eastAsia"/>
          <w:lang w:eastAsia="zh-CN"/>
        </w:rPr>
        <w:t>和</w:t>
      </w:r>
      <w:r w:rsidRPr="000C156A">
        <w:rPr>
          <w:rFonts w:hint="eastAsia"/>
          <w:lang w:eastAsia="zh-CN"/>
        </w:rPr>
        <w:t>201</w:t>
      </w:r>
      <w:r w:rsidRPr="000C156A">
        <w:rPr>
          <w:lang w:eastAsia="zh-CN"/>
        </w:rPr>
        <w:t>9</w:t>
      </w:r>
      <w:r w:rsidRPr="000C156A">
        <w:rPr>
          <w:rFonts w:hint="eastAsia"/>
          <w:lang w:eastAsia="zh-CN"/>
        </w:rPr>
        <w:t>年）中该基金的总缴费为</w:t>
      </w:r>
      <w:r w:rsidRPr="000C156A">
        <w:rPr>
          <w:rFonts w:hint="eastAsia"/>
          <w:lang w:eastAsia="zh-CN"/>
        </w:rPr>
        <w:t>7</w:t>
      </w:r>
      <w:r w:rsidRPr="000C156A">
        <w:rPr>
          <w:lang w:eastAsia="zh-CN"/>
        </w:rPr>
        <w:t>5</w:t>
      </w:r>
      <w:r w:rsidRPr="000C156A">
        <w:rPr>
          <w:rFonts w:hint="eastAsia"/>
          <w:lang w:eastAsia="zh-CN"/>
        </w:rPr>
        <w:t>.</w:t>
      </w:r>
      <w:r w:rsidRPr="000C156A">
        <w:rPr>
          <w:lang w:eastAsia="zh-CN"/>
        </w:rPr>
        <w:t>4692</w:t>
      </w:r>
      <w:r w:rsidRPr="000C156A">
        <w:rPr>
          <w:rFonts w:hint="eastAsia"/>
          <w:lang w:eastAsia="zh-CN"/>
        </w:rPr>
        <w:t>亿美元，其中国际电联缴费占</w:t>
      </w:r>
      <w:r w:rsidRPr="000C156A">
        <w:rPr>
          <w:lang w:eastAsia="zh-CN"/>
        </w:rPr>
        <w:t>0.35</w:t>
      </w:r>
      <w:r w:rsidRPr="000C156A">
        <w:rPr>
          <w:rFonts w:hint="eastAsia"/>
          <w:lang w:eastAsia="zh-CN"/>
        </w:rPr>
        <w:t>%</w:t>
      </w:r>
      <w:r w:rsidRPr="000C156A">
        <w:rPr>
          <w:rFonts w:hint="eastAsia"/>
          <w:lang w:eastAsia="zh-CN"/>
        </w:rPr>
        <w:t>。</w:t>
      </w:r>
    </w:p>
    <w:p w14:paraId="387C4571" w14:textId="77777777" w:rsidR="009630A9" w:rsidRPr="000C156A" w:rsidRDefault="009630A9" w:rsidP="009630A9">
      <w:pPr>
        <w:tabs>
          <w:tab w:val="num" w:pos="1080"/>
        </w:tabs>
        <w:ind w:firstLineChars="200" w:firstLine="480"/>
        <w:rPr>
          <w:lang w:eastAsia="zh-CN"/>
        </w:rPr>
      </w:pPr>
      <w:r w:rsidRPr="000C156A">
        <w:rPr>
          <w:rFonts w:hint="eastAsia"/>
          <w:lang w:eastAsia="zh-CN"/>
        </w:rPr>
        <w:lastRenderedPageBreak/>
        <w:t>2020</w:t>
      </w:r>
      <w:r w:rsidRPr="000C156A">
        <w:rPr>
          <w:rFonts w:hint="eastAsia"/>
          <w:lang w:eastAsia="zh-CN"/>
        </w:rPr>
        <w:t>年间，支付给该基金的缴费为</w:t>
      </w:r>
      <w:r w:rsidRPr="000C156A">
        <w:rPr>
          <w:rFonts w:hint="eastAsia"/>
          <w:lang w:eastAsia="zh-CN"/>
        </w:rPr>
        <w:t>2</w:t>
      </w:r>
      <w:r w:rsidRPr="000C156A">
        <w:rPr>
          <w:lang w:eastAsia="zh-CN"/>
        </w:rPr>
        <w:t xml:space="preserve"> 672</w:t>
      </w:r>
      <w:r w:rsidRPr="000C156A">
        <w:rPr>
          <w:rFonts w:hint="eastAsia"/>
          <w:lang w:eastAsia="zh-CN"/>
        </w:rPr>
        <w:t>万美元（</w:t>
      </w:r>
      <w:r w:rsidRPr="000C156A">
        <w:rPr>
          <w:rFonts w:hint="eastAsia"/>
          <w:lang w:eastAsia="zh-CN"/>
        </w:rPr>
        <w:t>201</w:t>
      </w:r>
      <w:r w:rsidRPr="000C156A">
        <w:rPr>
          <w:lang w:eastAsia="zh-CN"/>
        </w:rPr>
        <w:t>9</w:t>
      </w:r>
      <w:r w:rsidRPr="000C156A">
        <w:rPr>
          <w:rFonts w:hint="eastAsia"/>
          <w:lang w:eastAsia="zh-CN"/>
        </w:rPr>
        <w:t>年为</w:t>
      </w:r>
      <w:r w:rsidRPr="000C156A">
        <w:rPr>
          <w:rFonts w:hint="eastAsia"/>
          <w:lang w:eastAsia="zh-CN"/>
        </w:rPr>
        <w:t>2</w:t>
      </w:r>
      <w:r w:rsidRPr="000C156A">
        <w:rPr>
          <w:lang w:eastAsia="zh-CN"/>
        </w:rPr>
        <w:t xml:space="preserve"> 51</w:t>
      </w:r>
      <w:r w:rsidRPr="000C156A">
        <w:rPr>
          <w:rFonts w:hint="eastAsia"/>
          <w:lang w:eastAsia="zh-CN"/>
        </w:rPr>
        <w:t>0</w:t>
      </w:r>
      <w:r w:rsidRPr="000C156A">
        <w:rPr>
          <w:rFonts w:hint="eastAsia"/>
          <w:lang w:eastAsia="zh-CN"/>
        </w:rPr>
        <w:t>万美元）。</w:t>
      </w:r>
      <w:r w:rsidRPr="000C156A">
        <w:rPr>
          <w:rFonts w:hint="eastAsia"/>
          <w:lang w:eastAsia="zh-CN"/>
        </w:rPr>
        <w:t>20</w:t>
      </w:r>
      <w:r w:rsidRPr="000C156A">
        <w:rPr>
          <w:lang w:eastAsia="zh-CN"/>
        </w:rPr>
        <w:t>2</w:t>
      </w:r>
      <w:r w:rsidRPr="000C156A">
        <w:rPr>
          <w:rFonts w:hint="eastAsia"/>
          <w:lang w:eastAsia="zh-CN"/>
        </w:rPr>
        <w:t>1</w:t>
      </w:r>
      <w:r w:rsidRPr="000C156A">
        <w:rPr>
          <w:rFonts w:hint="eastAsia"/>
          <w:lang w:eastAsia="zh-CN"/>
        </w:rPr>
        <w:t>年预计待缴费约</w:t>
      </w:r>
      <w:r w:rsidRPr="000C156A">
        <w:rPr>
          <w:rFonts w:hint="eastAsia"/>
          <w:lang w:eastAsia="zh-CN"/>
        </w:rPr>
        <w:t>2</w:t>
      </w:r>
      <w:r w:rsidRPr="000C156A">
        <w:rPr>
          <w:lang w:eastAsia="zh-CN"/>
        </w:rPr>
        <w:t xml:space="preserve"> 7</w:t>
      </w:r>
      <w:r w:rsidRPr="000C156A">
        <w:rPr>
          <w:rFonts w:hint="eastAsia"/>
          <w:lang w:eastAsia="zh-CN"/>
        </w:rPr>
        <w:t>00</w:t>
      </w:r>
      <w:r w:rsidRPr="000C156A">
        <w:rPr>
          <w:rFonts w:hint="eastAsia"/>
          <w:lang w:eastAsia="zh-CN"/>
        </w:rPr>
        <w:t>万美元。</w:t>
      </w:r>
    </w:p>
    <w:p w14:paraId="1280CC68" w14:textId="77777777" w:rsidR="009630A9" w:rsidRPr="000C156A" w:rsidRDefault="009630A9" w:rsidP="009630A9">
      <w:pPr>
        <w:tabs>
          <w:tab w:val="num" w:pos="1080"/>
        </w:tabs>
        <w:ind w:firstLineChars="200" w:firstLine="480"/>
        <w:jc w:val="both"/>
        <w:rPr>
          <w:lang w:eastAsia="zh-CN"/>
        </w:rPr>
      </w:pPr>
      <w:r w:rsidRPr="000C156A">
        <w:rPr>
          <w:rFonts w:hint="eastAsia"/>
          <w:lang w:eastAsia="zh-CN"/>
        </w:rPr>
        <w:t>联合国大会可根据养恤金委员会的建议，决定终止某组织的基金成员资格。根据该组织与基金商定的安排，基金须在终止日按基金总资产的一定比例向前成员组织返还养恤金，专门用于当日仍为基金成员的该组织的职员福利。返还金额将由联合国合办职员养恤金委员会根据终止日的资产和负债的精算估值确定；任何超出负债的资产不含在此金额中。</w:t>
      </w:r>
    </w:p>
    <w:p w14:paraId="722E68C7" w14:textId="77777777" w:rsidR="009630A9" w:rsidRPr="000C156A" w:rsidRDefault="009630A9" w:rsidP="009630A9">
      <w:pPr>
        <w:ind w:firstLineChars="200" w:firstLine="480"/>
        <w:rPr>
          <w:lang w:eastAsia="zh-CN"/>
        </w:rPr>
      </w:pPr>
      <w:r w:rsidRPr="000C156A">
        <w:rPr>
          <w:rFonts w:hint="eastAsia"/>
          <w:lang w:eastAsia="zh-CN"/>
        </w:rPr>
        <w:t>联合国审计委员会每年对该基金进行年度审计并向养恤金委员会和联合国大会提交审计报告。该基金每季度发表投资报告，可通过</w:t>
      </w:r>
      <w:hyperlink r:id="rId39" w:history="1">
        <w:r w:rsidRPr="000C156A">
          <w:rPr>
            <w:rStyle w:val="Hyperlink"/>
            <w:lang w:eastAsia="zh-CN"/>
          </w:rPr>
          <w:t>www.unjspf.org</w:t>
        </w:r>
      </w:hyperlink>
      <w:r w:rsidRPr="000C156A">
        <w:rPr>
          <w:rFonts w:hint="eastAsia"/>
          <w:lang w:eastAsia="zh-CN"/>
        </w:rPr>
        <w:t>查阅。</w:t>
      </w:r>
    </w:p>
    <w:p w14:paraId="79768091" w14:textId="77777777" w:rsidR="009630A9" w:rsidRPr="000C156A" w:rsidRDefault="009630A9" w:rsidP="009630A9">
      <w:pPr>
        <w:spacing w:after="240"/>
        <w:ind w:firstLineChars="200" w:firstLine="480"/>
        <w:rPr>
          <w:lang w:eastAsia="zh-CN"/>
        </w:rPr>
      </w:pPr>
      <w:r w:rsidRPr="000C156A">
        <w:rPr>
          <w:rFonts w:hint="eastAsia"/>
          <w:lang w:eastAsia="zh-CN"/>
        </w:rPr>
        <w:t>这些数字来自国际电联的文件和账目。</w:t>
      </w:r>
    </w:p>
    <w:p w14:paraId="522F38A1" w14:textId="77777777" w:rsidR="009630A9" w:rsidRPr="000C156A" w:rsidRDefault="009630A9" w:rsidP="009630A9">
      <w:pPr>
        <w:pStyle w:val="TableTitle0"/>
        <w:rPr>
          <w:lang w:val="en-GB" w:eastAsia="zh-CN"/>
        </w:rPr>
      </w:pPr>
      <w:r w:rsidRPr="000C156A">
        <w:rPr>
          <w:rFonts w:ascii="SimSun" w:hAnsi="SimSun" w:cs="SimSun" w:hint="eastAsia"/>
          <w:lang w:eastAsia="zh-CN"/>
        </w:rPr>
        <w:t>截至</w:t>
      </w:r>
      <w:r w:rsidRPr="000C156A">
        <w:rPr>
          <w:lang w:val="en-GB" w:eastAsia="zh-CN"/>
        </w:rPr>
        <w:t>2020</w:t>
      </w:r>
      <w:r w:rsidRPr="000C156A">
        <w:rPr>
          <w:rFonts w:ascii="SimSun" w:hAnsi="SimSun" w:cs="SimSun" w:hint="eastAsia"/>
          <w:lang w:eastAsia="zh-CN"/>
        </w:rPr>
        <w:t>年</w:t>
      </w:r>
      <w:r w:rsidRPr="000C156A">
        <w:rPr>
          <w:lang w:val="en-GB" w:eastAsia="zh-CN"/>
        </w:rPr>
        <w:t>12</w:t>
      </w:r>
      <w:r w:rsidRPr="000C156A">
        <w:rPr>
          <w:rFonts w:ascii="SimSun" w:hAnsi="SimSun" w:cs="SimSun" w:hint="eastAsia"/>
          <w:lang w:eastAsia="zh-CN"/>
        </w:rPr>
        <w:t>月</w:t>
      </w:r>
      <w:r w:rsidRPr="000C156A">
        <w:rPr>
          <w:lang w:val="en-GB" w:eastAsia="zh-CN"/>
        </w:rPr>
        <w:t>31</w:t>
      </w:r>
      <w:r w:rsidRPr="000C156A">
        <w:rPr>
          <w:rFonts w:ascii="SimSun" w:hAnsi="SimSun" w:cs="SimSun" w:hint="eastAsia"/>
          <w:lang w:eastAsia="zh-CN"/>
        </w:rPr>
        <w:t>日的状况</w:t>
      </w:r>
      <w:r w:rsidRPr="000C156A">
        <w:rPr>
          <w:lang w:val="en-GB" w:eastAsia="zh-CN"/>
        </w:rPr>
        <w:br/>
      </w:r>
      <w:r w:rsidRPr="000C156A">
        <w:rPr>
          <w:rFonts w:ascii="SimSun" w:hAnsi="SimSun" w:cs="SimSun" w:hint="eastAsia"/>
          <w:lang w:eastAsia="zh-CN"/>
        </w:rPr>
        <w:t>截至</w:t>
      </w:r>
      <w:r w:rsidRPr="000C156A">
        <w:rPr>
          <w:lang w:val="en-GB" w:eastAsia="zh-CN"/>
        </w:rPr>
        <w:t>2020</w:t>
      </w:r>
      <w:r w:rsidRPr="000C156A">
        <w:rPr>
          <w:rFonts w:ascii="SimSun" w:hAnsi="SimSun" w:cs="SimSun" w:hint="eastAsia"/>
          <w:lang w:eastAsia="zh-CN"/>
        </w:rPr>
        <w:t>年</w:t>
      </w:r>
      <w:r w:rsidRPr="000C156A">
        <w:rPr>
          <w:lang w:val="en-GB" w:eastAsia="zh-CN"/>
        </w:rPr>
        <w:t>12</w:t>
      </w:r>
      <w:r w:rsidRPr="000C156A">
        <w:rPr>
          <w:rFonts w:ascii="SimSun" w:hAnsi="SimSun" w:cs="SimSun" w:hint="eastAsia"/>
          <w:lang w:eastAsia="zh-CN"/>
        </w:rPr>
        <w:t>月</w:t>
      </w:r>
      <w:r w:rsidRPr="000C156A">
        <w:rPr>
          <w:lang w:val="en-GB" w:eastAsia="zh-CN"/>
        </w:rPr>
        <w:t>31</w:t>
      </w:r>
      <w:r w:rsidRPr="000C156A">
        <w:rPr>
          <w:rFonts w:ascii="SimSun" w:hAnsi="SimSun" w:cs="SimSun" w:hint="eastAsia"/>
          <w:lang w:eastAsia="zh-CN"/>
        </w:rPr>
        <w:t>日的参加人数</w:t>
      </w:r>
    </w:p>
    <w:tbl>
      <w:tblPr>
        <w:tblW w:w="4958" w:type="pct"/>
        <w:jc w:val="center"/>
        <w:tblLook w:val="04A0" w:firstRow="1" w:lastRow="0" w:firstColumn="1" w:lastColumn="0" w:noHBand="0" w:noVBand="1"/>
      </w:tblPr>
      <w:tblGrid>
        <w:gridCol w:w="1666"/>
        <w:gridCol w:w="1506"/>
        <w:gridCol w:w="1506"/>
        <w:gridCol w:w="1511"/>
        <w:gridCol w:w="1687"/>
        <w:gridCol w:w="1666"/>
      </w:tblGrid>
      <w:tr w:rsidR="009630A9" w:rsidRPr="000C156A" w14:paraId="5129163B" w14:textId="77777777" w:rsidTr="005D02F0">
        <w:trPr>
          <w:cantSplit/>
          <w:trHeight w:val="409"/>
          <w:jc w:val="center"/>
        </w:trPr>
        <w:tc>
          <w:tcPr>
            <w:tcW w:w="873" w:type="pct"/>
            <w:vMerge w:val="restart"/>
            <w:tcBorders>
              <w:top w:val="single" w:sz="6" w:space="0" w:color="auto"/>
              <w:left w:val="single" w:sz="6" w:space="0" w:color="auto"/>
              <w:bottom w:val="single" w:sz="6" w:space="0" w:color="auto"/>
              <w:right w:val="single" w:sz="6" w:space="0" w:color="auto"/>
            </w:tcBorders>
            <w:hideMark/>
          </w:tcPr>
          <w:p w14:paraId="789C5F5D" w14:textId="77777777" w:rsidR="009630A9" w:rsidRPr="000C156A" w:rsidRDefault="009630A9" w:rsidP="005D02F0">
            <w:pPr>
              <w:pStyle w:val="Tablehead"/>
              <w:rPr>
                <w:szCs w:val="22"/>
                <w:lang w:eastAsia="zh-CN"/>
              </w:rPr>
            </w:pPr>
            <w:r w:rsidRPr="000C156A">
              <w:rPr>
                <w:rFonts w:hint="eastAsia"/>
                <w:szCs w:val="22"/>
                <w:lang w:eastAsia="zh-CN"/>
              </w:rPr>
              <w:t>截至</w:t>
            </w:r>
            <w:r w:rsidRPr="000C156A">
              <w:rPr>
                <w:szCs w:val="22"/>
                <w:lang w:eastAsia="zh-CN"/>
              </w:rPr>
              <w:t>2019</w:t>
            </w:r>
            <w:r w:rsidRPr="000C156A">
              <w:rPr>
                <w:rFonts w:hint="eastAsia"/>
                <w:szCs w:val="22"/>
                <w:lang w:eastAsia="zh-CN"/>
              </w:rPr>
              <w:t>年</w:t>
            </w:r>
            <w:r w:rsidRPr="000C156A">
              <w:rPr>
                <w:szCs w:val="22"/>
                <w:lang w:eastAsia="zh-CN"/>
              </w:rPr>
              <w:br/>
              <w:t>12</w:t>
            </w:r>
            <w:r w:rsidRPr="000C156A">
              <w:rPr>
                <w:rFonts w:hint="eastAsia"/>
                <w:szCs w:val="22"/>
                <w:lang w:eastAsia="zh-CN"/>
              </w:rPr>
              <w:t>月</w:t>
            </w:r>
            <w:r w:rsidRPr="000C156A">
              <w:rPr>
                <w:szCs w:val="22"/>
                <w:lang w:eastAsia="zh-CN"/>
              </w:rPr>
              <w:t>31</w:t>
            </w:r>
            <w:r w:rsidRPr="000C156A">
              <w:rPr>
                <w:rFonts w:hint="eastAsia"/>
                <w:szCs w:val="22"/>
                <w:lang w:eastAsia="zh-CN"/>
              </w:rPr>
              <w:t>日的</w:t>
            </w:r>
            <w:r w:rsidRPr="000C156A">
              <w:rPr>
                <w:szCs w:val="22"/>
                <w:lang w:eastAsia="zh-CN"/>
              </w:rPr>
              <w:br/>
            </w:r>
            <w:r w:rsidRPr="000C156A">
              <w:rPr>
                <w:rFonts w:hint="eastAsia"/>
                <w:szCs w:val="22"/>
                <w:lang w:eastAsia="zh-CN"/>
              </w:rPr>
              <w:t>参加人数</w:t>
            </w:r>
          </w:p>
        </w:tc>
        <w:tc>
          <w:tcPr>
            <w:tcW w:w="789" w:type="pct"/>
            <w:vMerge w:val="restart"/>
            <w:tcBorders>
              <w:top w:val="single" w:sz="6" w:space="0" w:color="auto"/>
              <w:left w:val="single" w:sz="6" w:space="0" w:color="auto"/>
              <w:bottom w:val="single" w:sz="6" w:space="0" w:color="auto"/>
              <w:right w:val="single" w:sz="6" w:space="0" w:color="auto"/>
            </w:tcBorders>
            <w:vAlign w:val="center"/>
            <w:hideMark/>
          </w:tcPr>
          <w:p w14:paraId="22035BB0" w14:textId="77777777" w:rsidR="009630A9" w:rsidRPr="000C156A" w:rsidRDefault="009630A9" w:rsidP="005D02F0">
            <w:pPr>
              <w:pStyle w:val="Tablehead"/>
              <w:rPr>
                <w:szCs w:val="22"/>
                <w:lang w:eastAsia="zh-CN"/>
              </w:rPr>
            </w:pPr>
            <w:r w:rsidRPr="000C156A">
              <w:rPr>
                <w:rFonts w:hint="eastAsia"/>
                <w:szCs w:val="22"/>
                <w:lang w:eastAsia="zh-CN"/>
              </w:rPr>
              <w:t>新参加人</w:t>
            </w:r>
          </w:p>
        </w:tc>
        <w:tc>
          <w:tcPr>
            <w:tcW w:w="1581" w:type="pct"/>
            <w:gridSpan w:val="2"/>
            <w:tcBorders>
              <w:top w:val="single" w:sz="6" w:space="0" w:color="auto"/>
              <w:left w:val="single" w:sz="6" w:space="0" w:color="auto"/>
              <w:bottom w:val="single" w:sz="6" w:space="0" w:color="auto"/>
              <w:right w:val="single" w:sz="6" w:space="0" w:color="auto"/>
            </w:tcBorders>
            <w:hideMark/>
          </w:tcPr>
          <w:p w14:paraId="75E12DCD" w14:textId="77777777" w:rsidR="009630A9" w:rsidRPr="000C156A" w:rsidRDefault="009630A9" w:rsidP="005D02F0">
            <w:pPr>
              <w:pStyle w:val="Tablehead"/>
              <w:rPr>
                <w:szCs w:val="22"/>
                <w:lang w:eastAsia="zh-CN"/>
              </w:rPr>
            </w:pPr>
            <w:r w:rsidRPr="000C156A">
              <w:rPr>
                <w:rFonts w:hint="eastAsia"/>
                <w:szCs w:val="22"/>
                <w:lang w:eastAsia="zh-CN"/>
              </w:rPr>
              <w:t>调动</w:t>
            </w:r>
          </w:p>
        </w:tc>
        <w:tc>
          <w:tcPr>
            <w:tcW w:w="884" w:type="pct"/>
            <w:tcBorders>
              <w:top w:val="single" w:sz="6" w:space="0" w:color="auto"/>
              <w:left w:val="single" w:sz="6" w:space="0" w:color="auto"/>
              <w:bottom w:val="nil"/>
              <w:right w:val="single" w:sz="6" w:space="0" w:color="auto"/>
            </w:tcBorders>
          </w:tcPr>
          <w:p w14:paraId="5AA6FA85" w14:textId="77777777" w:rsidR="009630A9" w:rsidRPr="000C156A" w:rsidRDefault="009630A9" w:rsidP="005D02F0">
            <w:pPr>
              <w:pStyle w:val="Tablehead"/>
              <w:rPr>
                <w:szCs w:val="22"/>
                <w:lang w:eastAsia="zh-CN"/>
              </w:rPr>
            </w:pPr>
          </w:p>
        </w:tc>
        <w:tc>
          <w:tcPr>
            <w:tcW w:w="873" w:type="pct"/>
            <w:vMerge w:val="restart"/>
            <w:tcBorders>
              <w:top w:val="single" w:sz="6" w:space="0" w:color="auto"/>
              <w:left w:val="single" w:sz="6" w:space="0" w:color="auto"/>
              <w:bottom w:val="single" w:sz="6" w:space="0" w:color="auto"/>
              <w:right w:val="single" w:sz="6" w:space="0" w:color="auto"/>
            </w:tcBorders>
            <w:hideMark/>
          </w:tcPr>
          <w:p w14:paraId="52E5B3A1" w14:textId="77777777" w:rsidR="009630A9" w:rsidRPr="000C156A" w:rsidRDefault="009630A9" w:rsidP="005D02F0">
            <w:pPr>
              <w:pStyle w:val="Tablehead"/>
              <w:rPr>
                <w:szCs w:val="22"/>
                <w:lang w:eastAsia="zh-CN"/>
              </w:rPr>
            </w:pPr>
            <w:r w:rsidRPr="000C156A">
              <w:rPr>
                <w:rFonts w:hint="eastAsia"/>
                <w:szCs w:val="22"/>
                <w:lang w:eastAsia="zh-CN"/>
              </w:rPr>
              <w:t>截至</w:t>
            </w:r>
            <w:r w:rsidRPr="000C156A">
              <w:rPr>
                <w:szCs w:val="22"/>
                <w:lang w:eastAsia="zh-CN"/>
              </w:rPr>
              <w:t>2020</w:t>
            </w:r>
            <w:r w:rsidRPr="000C156A">
              <w:rPr>
                <w:rFonts w:hint="eastAsia"/>
                <w:szCs w:val="22"/>
                <w:lang w:eastAsia="zh-CN"/>
              </w:rPr>
              <w:t>年</w:t>
            </w:r>
            <w:r w:rsidRPr="000C156A">
              <w:rPr>
                <w:szCs w:val="22"/>
                <w:lang w:eastAsia="zh-CN"/>
              </w:rPr>
              <w:br/>
              <w:t>12</w:t>
            </w:r>
            <w:r w:rsidRPr="000C156A">
              <w:rPr>
                <w:rFonts w:hint="eastAsia"/>
                <w:szCs w:val="22"/>
                <w:lang w:eastAsia="zh-CN"/>
              </w:rPr>
              <w:t>月</w:t>
            </w:r>
            <w:r w:rsidRPr="000C156A">
              <w:rPr>
                <w:szCs w:val="22"/>
                <w:lang w:eastAsia="zh-CN"/>
              </w:rPr>
              <w:t>31</w:t>
            </w:r>
            <w:r w:rsidRPr="000C156A">
              <w:rPr>
                <w:rFonts w:hint="eastAsia"/>
                <w:szCs w:val="22"/>
                <w:lang w:eastAsia="zh-CN"/>
              </w:rPr>
              <w:t>日的</w:t>
            </w:r>
            <w:r w:rsidRPr="000C156A">
              <w:rPr>
                <w:szCs w:val="22"/>
                <w:lang w:eastAsia="zh-CN"/>
              </w:rPr>
              <w:br/>
            </w:r>
            <w:r w:rsidRPr="000C156A">
              <w:rPr>
                <w:rFonts w:hint="eastAsia"/>
                <w:szCs w:val="22"/>
                <w:lang w:eastAsia="zh-CN"/>
              </w:rPr>
              <w:t>参加人数</w:t>
            </w:r>
          </w:p>
        </w:tc>
      </w:tr>
      <w:tr w:rsidR="009630A9" w:rsidRPr="000C156A" w14:paraId="15CBAAD8" w14:textId="77777777" w:rsidTr="005D02F0">
        <w:trPr>
          <w:cantSplit/>
          <w:trHeight w:val="65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046C11B" w14:textId="77777777" w:rsidR="009630A9" w:rsidRPr="000C156A" w:rsidRDefault="009630A9" w:rsidP="005D02F0">
            <w:pPr>
              <w:overflowPunct/>
              <w:adjustRightInd/>
              <w:spacing w:before="0"/>
              <w:rPr>
                <w:b/>
                <w:sz w:val="22"/>
                <w:szCs w:val="22"/>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56B0353" w14:textId="77777777" w:rsidR="009630A9" w:rsidRPr="000C156A" w:rsidRDefault="009630A9" w:rsidP="005D02F0">
            <w:pPr>
              <w:overflowPunct/>
              <w:adjustRightInd/>
              <w:spacing w:before="0"/>
              <w:rPr>
                <w:b/>
                <w:sz w:val="22"/>
                <w:szCs w:val="22"/>
                <w:lang w:eastAsia="zh-CN"/>
              </w:rPr>
            </w:pPr>
          </w:p>
        </w:tc>
        <w:tc>
          <w:tcPr>
            <w:tcW w:w="789" w:type="pct"/>
            <w:tcBorders>
              <w:top w:val="single" w:sz="6" w:space="0" w:color="auto"/>
              <w:left w:val="single" w:sz="6" w:space="0" w:color="auto"/>
              <w:bottom w:val="single" w:sz="6" w:space="0" w:color="auto"/>
              <w:right w:val="single" w:sz="6" w:space="0" w:color="auto"/>
            </w:tcBorders>
            <w:vAlign w:val="center"/>
            <w:hideMark/>
          </w:tcPr>
          <w:p w14:paraId="156B4AD1" w14:textId="77777777" w:rsidR="009630A9" w:rsidRPr="000C156A" w:rsidRDefault="009630A9" w:rsidP="005D02F0">
            <w:pPr>
              <w:pStyle w:val="Tablehead"/>
              <w:rPr>
                <w:szCs w:val="22"/>
                <w:lang w:eastAsia="zh-CN"/>
              </w:rPr>
            </w:pPr>
            <w:r w:rsidRPr="000C156A">
              <w:rPr>
                <w:rFonts w:hint="eastAsia"/>
                <w:szCs w:val="22"/>
                <w:lang w:eastAsia="zh-CN"/>
              </w:rPr>
              <w:t>至国际电联</w:t>
            </w:r>
          </w:p>
        </w:tc>
        <w:tc>
          <w:tcPr>
            <w:tcW w:w="792" w:type="pct"/>
            <w:tcBorders>
              <w:top w:val="single" w:sz="6" w:space="0" w:color="auto"/>
              <w:left w:val="single" w:sz="6" w:space="0" w:color="auto"/>
              <w:bottom w:val="single" w:sz="6" w:space="0" w:color="auto"/>
              <w:right w:val="single" w:sz="6" w:space="0" w:color="auto"/>
            </w:tcBorders>
            <w:vAlign w:val="center"/>
            <w:hideMark/>
          </w:tcPr>
          <w:p w14:paraId="5021E83A" w14:textId="77777777" w:rsidR="009630A9" w:rsidRPr="000C156A" w:rsidRDefault="009630A9" w:rsidP="005D02F0">
            <w:pPr>
              <w:pStyle w:val="Tablehead"/>
              <w:rPr>
                <w:szCs w:val="22"/>
                <w:lang w:eastAsia="zh-CN"/>
              </w:rPr>
            </w:pPr>
            <w:r w:rsidRPr="000C156A">
              <w:rPr>
                <w:rFonts w:hint="eastAsia"/>
                <w:szCs w:val="22"/>
                <w:lang w:eastAsia="zh-CN"/>
              </w:rPr>
              <w:t>至其他组织</w:t>
            </w:r>
          </w:p>
        </w:tc>
        <w:tc>
          <w:tcPr>
            <w:tcW w:w="884" w:type="pct"/>
            <w:tcBorders>
              <w:top w:val="nil"/>
              <w:left w:val="single" w:sz="6" w:space="0" w:color="auto"/>
              <w:bottom w:val="single" w:sz="6" w:space="0" w:color="auto"/>
              <w:right w:val="single" w:sz="6" w:space="0" w:color="auto"/>
            </w:tcBorders>
            <w:hideMark/>
          </w:tcPr>
          <w:p w14:paraId="3FD6CAAB" w14:textId="77777777" w:rsidR="009630A9" w:rsidRPr="000C156A" w:rsidRDefault="009630A9" w:rsidP="005D02F0">
            <w:pPr>
              <w:pStyle w:val="Tablehead"/>
              <w:rPr>
                <w:szCs w:val="22"/>
                <w:lang w:eastAsia="zh-CN"/>
              </w:rPr>
            </w:pPr>
            <w:r w:rsidRPr="000C156A">
              <w:rPr>
                <w:rFonts w:hint="eastAsia"/>
                <w:szCs w:val="22"/>
                <w:lang w:eastAsia="zh-CN"/>
              </w:rPr>
              <w:t>服务结束</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E29D48B" w14:textId="77777777" w:rsidR="009630A9" w:rsidRPr="000C156A" w:rsidRDefault="009630A9" w:rsidP="005D02F0">
            <w:pPr>
              <w:overflowPunct/>
              <w:adjustRightInd/>
              <w:spacing w:before="0"/>
              <w:rPr>
                <w:b/>
                <w:sz w:val="22"/>
                <w:szCs w:val="22"/>
                <w:lang w:eastAsia="zh-CN"/>
              </w:rPr>
            </w:pPr>
          </w:p>
        </w:tc>
      </w:tr>
      <w:tr w:rsidR="009630A9" w:rsidRPr="000C156A" w14:paraId="1E8ECC27" w14:textId="77777777" w:rsidTr="005D02F0">
        <w:trPr>
          <w:cantSplit/>
          <w:trHeight w:val="238"/>
          <w:jc w:val="center"/>
        </w:trPr>
        <w:tc>
          <w:tcPr>
            <w:tcW w:w="873" w:type="pct"/>
            <w:tcBorders>
              <w:top w:val="single" w:sz="6" w:space="0" w:color="auto"/>
              <w:left w:val="single" w:sz="6" w:space="0" w:color="auto"/>
              <w:bottom w:val="single" w:sz="6" w:space="0" w:color="auto"/>
              <w:right w:val="single" w:sz="6" w:space="0" w:color="auto"/>
            </w:tcBorders>
            <w:vAlign w:val="center"/>
            <w:hideMark/>
          </w:tcPr>
          <w:p w14:paraId="4165EBD9" w14:textId="77777777" w:rsidR="009630A9" w:rsidRPr="000C156A" w:rsidRDefault="009630A9" w:rsidP="005D02F0">
            <w:pPr>
              <w:pStyle w:val="TableText0"/>
              <w:jc w:val="center"/>
              <w:rPr>
                <w:rFonts w:ascii="Calibri" w:hAnsi="Calibri"/>
                <w:szCs w:val="22"/>
                <w:lang w:val="en-US"/>
              </w:rPr>
            </w:pPr>
            <w:r w:rsidRPr="000C156A">
              <w:rPr>
                <w:rFonts w:ascii="Calibri" w:hAnsi="Calibri"/>
                <w:szCs w:val="22"/>
                <w:lang w:val="en-US"/>
              </w:rPr>
              <w:t>715</w:t>
            </w:r>
          </w:p>
        </w:tc>
        <w:tc>
          <w:tcPr>
            <w:tcW w:w="789" w:type="pct"/>
            <w:tcBorders>
              <w:top w:val="single" w:sz="6" w:space="0" w:color="auto"/>
              <w:left w:val="single" w:sz="6" w:space="0" w:color="auto"/>
              <w:bottom w:val="single" w:sz="6" w:space="0" w:color="auto"/>
              <w:right w:val="single" w:sz="6" w:space="0" w:color="auto"/>
            </w:tcBorders>
            <w:vAlign w:val="center"/>
            <w:hideMark/>
          </w:tcPr>
          <w:p w14:paraId="7E15B354" w14:textId="77777777" w:rsidR="009630A9" w:rsidRPr="000C156A" w:rsidRDefault="009630A9" w:rsidP="005D02F0">
            <w:pPr>
              <w:pStyle w:val="TableText0"/>
              <w:jc w:val="center"/>
              <w:rPr>
                <w:rFonts w:ascii="Calibri" w:hAnsi="Calibri"/>
                <w:szCs w:val="22"/>
                <w:lang w:val="en-US"/>
              </w:rPr>
            </w:pPr>
            <w:r w:rsidRPr="000C156A">
              <w:rPr>
                <w:rFonts w:ascii="Calibri" w:hAnsi="Calibri"/>
                <w:szCs w:val="22"/>
                <w:lang w:val="en-US"/>
              </w:rPr>
              <w:t>51</w:t>
            </w:r>
          </w:p>
        </w:tc>
        <w:tc>
          <w:tcPr>
            <w:tcW w:w="789" w:type="pct"/>
            <w:tcBorders>
              <w:top w:val="single" w:sz="6" w:space="0" w:color="auto"/>
              <w:left w:val="single" w:sz="6" w:space="0" w:color="auto"/>
              <w:bottom w:val="single" w:sz="6" w:space="0" w:color="auto"/>
              <w:right w:val="single" w:sz="6" w:space="0" w:color="auto"/>
            </w:tcBorders>
            <w:vAlign w:val="center"/>
            <w:hideMark/>
          </w:tcPr>
          <w:p w14:paraId="218D9301" w14:textId="77777777" w:rsidR="009630A9" w:rsidRPr="000C156A" w:rsidRDefault="009630A9" w:rsidP="005D02F0">
            <w:pPr>
              <w:pStyle w:val="TableText0"/>
              <w:jc w:val="center"/>
              <w:rPr>
                <w:rFonts w:ascii="Calibri" w:hAnsi="Calibri"/>
                <w:szCs w:val="22"/>
                <w:lang w:val="en-US"/>
              </w:rPr>
            </w:pPr>
            <w:r w:rsidRPr="000C156A">
              <w:rPr>
                <w:rFonts w:ascii="Calibri" w:hAnsi="Calibri"/>
                <w:szCs w:val="22"/>
                <w:lang w:val="en-US"/>
              </w:rPr>
              <w:t>3</w:t>
            </w:r>
          </w:p>
        </w:tc>
        <w:tc>
          <w:tcPr>
            <w:tcW w:w="792" w:type="pct"/>
            <w:tcBorders>
              <w:top w:val="single" w:sz="6" w:space="0" w:color="auto"/>
              <w:left w:val="single" w:sz="6" w:space="0" w:color="auto"/>
              <w:bottom w:val="single" w:sz="6" w:space="0" w:color="auto"/>
              <w:right w:val="single" w:sz="6" w:space="0" w:color="auto"/>
            </w:tcBorders>
            <w:vAlign w:val="center"/>
            <w:hideMark/>
          </w:tcPr>
          <w:p w14:paraId="4F4D6002" w14:textId="77777777" w:rsidR="009630A9" w:rsidRPr="000C156A" w:rsidRDefault="009630A9" w:rsidP="005D02F0">
            <w:pPr>
              <w:pStyle w:val="TableText0"/>
              <w:jc w:val="center"/>
              <w:rPr>
                <w:rFonts w:ascii="Calibri" w:hAnsi="Calibri"/>
                <w:szCs w:val="22"/>
                <w:lang w:val="en-US"/>
              </w:rPr>
            </w:pPr>
            <w:r w:rsidRPr="000C156A">
              <w:rPr>
                <w:rFonts w:ascii="Calibri" w:hAnsi="Calibri"/>
                <w:szCs w:val="22"/>
                <w:lang w:val="en-US"/>
              </w:rPr>
              <w:t>2</w:t>
            </w:r>
          </w:p>
        </w:tc>
        <w:tc>
          <w:tcPr>
            <w:tcW w:w="884" w:type="pct"/>
            <w:tcBorders>
              <w:top w:val="single" w:sz="6" w:space="0" w:color="auto"/>
              <w:left w:val="single" w:sz="6" w:space="0" w:color="auto"/>
              <w:bottom w:val="single" w:sz="6" w:space="0" w:color="auto"/>
              <w:right w:val="single" w:sz="6" w:space="0" w:color="auto"/>
            </w:tcBorders>
            <w:vAlign w:val="center"/>
            <w:hideMark/>
          </w:tcPr>
          <w:p w14:paraId="666913FA" w14:textId="77777777" w:rsidR="009630A9" w:rsidRPr="000C156A" w:rsidRDefault="009630A9" w:rsidP="005D02F0">
            <w:pPr>
              <w:pStyle w:val="TableText0"/>
              <w:jc w:val="center"/>
              <w:rPr>
                <w:rFonts w:ascii="Calibri" w:hAnsi="Calibri"/>
                <w:szCs w:val="22"/>
                <w:lang w:val="en-US"/>
              </w:rPr>
            </w:pPr>
            <w:r w:rsidRPr="000C156A">
              <w:rPr>
                <w:rFonts w:ascii="Calibri" w:hAnsi="Calibri"/>
                <w:szCs w:val="22"/>
                <w:lang w:val="en-US"/>
              </w:rPr>
              <w:t>37</w:t>
            </w:r>
          </w:p>
        </w:tc>
        <w:tc>
          <w:tcPr>
            <w:tcW w:w="873" w:type="pct"/>
            <w:tcBorders>
              <w:top w:val="single" w:sz="6" w:space="0" w:color="auto"/>
              <w:left w:val="single" w:sz="6" w:space="0" w:color="auto"/>
              <w:bottom w:val="single" w:sz="6" w:space="0" w:color="auto"/>
              <w:right w:val="single" w:sz="6" w:space="0" w:color="auto"/>
            </w:tcBorders>
            <w:vAlign w:val="center"/>
            <w:hideMark/>
          </w:tcPr>
          <w:p w14:paraId="68304332" w14:textId="77777777" w:rsidR="009630A9" w:rsidRPr="000C156A" w:rsidRDefault="009630A9" w:rsidP="005D02F0">
            <w:pPr>
              <w:pStyle w:val="TableText0"/>
              <w:jc w:val="center"/>
              <w:rPr>
                <w:rFonts w:ascii="Calibri" w:hAnsi="Calibri"/>
                <w:szCs w:val="22"/>
                <w:lang w:val="en-US"/>
              </w:rPr>
            </w:pPr>
            <w:r w:rsidRPr="000C156A">
              <w:rPr>
                <w:rFonts w:ascii="Calibri" w:hAnsi="Calibri"/>
                <w:szCs w:val="22"/>
                <w:lang w:val="en-US"/>
              </w:rPr>
              <w:t>727</w:t>
            </w:r>
          </w:p>
        </w:tc>
      </w:tr>
    </w:tbl>
    <w:p w14:paraId="673AB8BA" w14:textId="77777777" w:rsidR="009630A9" w:rsidRPr="000C156A" w:rsidRDefault="009630A9" w:rsidP="004275F6">
      <w:pPr>
        <w:pStyle w:val="TableTitle0"/>
        <w:spacing w:before="240" w:after="240"/>
        <w:rPr>
          <w:rFonts w:ascii="SimSun" w:hAnsi="SimSun" w:cs="SimSun"/>
          <w:lang w:val="en-GB" w:eastAsia="zh-CN"/>
        </w:rPr>
      </w:pPr>
      <w:r w:rsidRPr="000C156A">
        <w:rPr>
          <w:lang w:val="en-GB" w:eastAsia="zh-CN"/>
        </w:rPr>
        <w:t>2020</w:t>
      </w:r>
      <w:r w:rsidRPr="000C156A">
        <w:rPr>
          <w:rFonts w:ascii="SimSun" w:hAnsi="SimSun" w:cs="SimSun" w:hint="eastAsia"/>
          <w:lang w:eastAsia="zh-CN"/>
        </w:rPr>
        <w:t>年</w:t>
      </w:r>
      <w:r w:rsidRPr="000C156A">
        <w:rPr>
          <w:lang w:val="en-GB" w:eastAsia="zh-CN"/>
        </w:rPr>
        <w:t>12</w:t>
      </w:r>
      <w:r w:rsidRPr="000C156A">
        <w:rPr>
          <w:rFonts w:ascii="SimSun" w:hAnsi="SimSun" w:cs="SimSun" w:hint="eastAsia"/>
          <w:lang w:eastAsia="zh-CN"/>
        </w:rPr>
        <w:t>月</w:t>
      </w:r>
      <w:r w:rsidRPr="000C156A">
        <w:rPr>
          <w:lang w:val="en-GB" w:eastAsia="zh-CN"/>
        </w:rPr>
        <w:t>31</w:t>
      </w:r>
      <w:r w:rsidRPr="000C156A">
        <w:rPr>
          <w:rFonts w:ascii="SimSun" w:hAnsi="SimSun" w:cs="SimSun" w:hint="eastAsia"/>
          <w:lang w:eastAsia="zh-CN"/>
        </w:rPr>
        <w:t>日结束的财年支付的福利</w:t>
      </w:r>
    </w:p>
    <w:tbl>
      <w:tblPr>
        <w:tblW w:w="4972" w:type="pct"/>
        <w:jc w:val="center"/>
        <w:tblCellMar>
          <w:left w:w="79" w:type="dxa"/>
          <w:right w:w="79" w:type="dxa"/>
        </w:tblCellMar>
        <w:tblLook w:val="04A0" w:firstRow="1" w:lastRow="0" w:firstColumn="1" w:lastColumn="0" w:noHBand="0" w:noVBand="1"/>
      </w:tblPr>
      <w:tblGrid>
        <w:gridCol w:w="1417"/>
        <w:gridCol w:w="1417"/>
        <w:gridCol w:w="1416"/>
        <w:gridCol w:w="1416"/>
        <w:gridCol w:w="1416"/>
        <w:gridCol w:w="1343"/>
        <w:gridCol w:w="1144"/>
      </w:tblGrid>
      <w:tr w:rsidR="009630A9" w:rsidRPr="000C156A" w14:paraId="04F1DB6A" w14:textId="77777777" w:rsidTr="005D02F0">
        <w:trPr>
          <w:cantSplit/>
          <w:trHeight w:val="506"/>
          <w:jc w:val="center"/>
        </w:trPr>
        <w:tc>
          <w:tcPr>
            <w:tcW w:w="740" w:type="pct"/>
            <w:vMerge w:val="restart"/>
            <w:tcBorders>
              <w:top w:val="single" w:sz="6" w:space="0" w:color="auto"/>
              <w:left w:val="single" w:sz="6" w:space="0" w:color="auto"/>
              <w:bottom w:val="single" w:sz="6" w:space="0" w:color="auto"/>
              <w:right w:val="single" w:sz="6" w:space="0" w:color="auto"/>
            </w:tcBorders>
            <w:vAlign w:val="center"/>
            <w:hideMark/>
          </w:tcPr>
          <w:p w14:paraId="52CD9920" w14:textId="77777777" w:rsidR="009630A9" w:rsidRPr="000C156A" w:rsidRDefault="009630A9" w:rsidP="005D02F0">
            <w:pPr>
              <w:pStyle w:val="Tablehead"/>
              <w:rPr>
                <w:szCs w:val="22"/>
                <w:lang w:eastAsia="zh-CN"/>
              </w:rPr>
            </w:pPr>
            <w:r w:rsidRPr="000C156A">
              <w:rPr>
                <w:rFonts w:hint="eastAsia"/>
                <w:szCs w:val="22"/>
                <w:lang w:eastAsia="zh-CN"/>
              </w:rPr>
              <w:t>退休金</w:t>
            </w:r>
          </w:p>
        </w:tc>
        <w:tc>
          <w:tcPr>
            <w:tcW w:w="740" w:type="pct"/>
            <w:vMerge w:val="restart"/>
            <w:tcBorders>
              <w:top w:val="single" w:sz="6" w:space="0" w:color="auto"/>
              <w:left w:val="single" w:sz="6" w:space="0" w:color="auto"/>
              <w:bottom w:val="single" w:sz="6" w:space="0" w:color="auto"/>
              <w:right w:val="single" w:sz="6" w:space="0" w:color="auto"/>
            </w:tcBorders>
            <w:vAlign w:val="center"/>
            <w:hideMark/>
          </w:tcPr>
          <w:p w14:paraId="34784D7F" w14:textId="77777777" w:rsidR="009630A9" w:rsidRPr="000C156A" w:rsidRDefault="009630A9" w:rsidP="005D02F0">
            <w:pPr>
              <w:pStyle w:val="Tablehead"/>
              <w:rPr>
                <w:szCs w:val="22"/>
                <w:lang w:eastAsia="zh-CN"/>
              </w:rPr>
            </w:pPr>
            <w:r w:rsidRPr="000C156A">
              <w:rPr>
                <w:rFonts w:hint="eastAsia"/>
                <w:szCs w:val="22"/>
                <w:lang w:eastAsia="zh-CN"/>
              </w:rPr>
              <w:t>残疾津贴</w:t>
            </w:r>
          </w:p>
        </w:tc>
        <w:tc>
          <w:tcPr>
            <w:tcW w:w="740" w:type="pct"/>
            <w:vMerge w:val="restart"/>
            <w:tcBorders>
              <w:top w:val="single" w:sz="6" w:space="0" w:color="auto"/>
              <w:left w:val="single" w:sz="6" w:space="0" w:color="auto"/>
              <w:bottom w:val="single" w:sz="6" w:space="0" w:color="auto"/>
              <w:right w:val="single" w:sz="6" w:space="0" w:color="auto"/>
            </w:tcBorders>
            <w:vAlign w:val="center"/>
            <w:hideMark/>
          </w:tcPr>
          <w:p w14:paraId="0641D80F" w14:textId="77777777" w:rsidR="009630A9" w:rsidRPr="000C156A" w:rsidRDefault="009630A9" w:rsidP="005D02F0">
            <w:pPr>
              <w:pStyle w:val="Tablehead"/>
              <w:rPr>
                <w:szCs w:val="22"/>
                <w:lang w:eastAsia="zh-CN"/>
              </w:rPr>
            </w:pPr>
            <w:r w:rsidRPr="000C156A">
              <w:rPr>
                <w:rFonts w:hint="eastAsia"/>
                <w:szCs w:val="22"/>
                <w:lang w:eastAsia="zh-CN"/>
              </w:rPr>
              <w:t>遗属福利</w:t>
            </w:r>
          </w:p>
        </w:tc>
        <w:tc>
          <w:tcPr>
            <w:tcW w:w="740" w:type="pct"/>
            <w:vMerge w:val="restart"/>
            <w:tcBorders>
              <w:top w:val="single" w:sz="6" w:space="0" w:color="auto"/>
              <w:left w:val="single" w:sz="6" w:space="0" w:color="auto"/>
              <w:bottom w:val="single" w:sz="6" w:space="0" w:color="auto"/>
              <w:right w:val="single" w:sz="6" w:space="0" w:color="auto"/>
            </w:tcBorders>
            <w:vAlign w:val="center"/>
            <w:hideMark/>
          </w:tcPr>
          <w:p w14:paraId="270A5F8A" w14:textId="77777777" w:rsidR="009630A9" w:rsidRPr="000C156A" w:rsidRDefault="009630A9" w:rsidP="005D02F0">
            <w:pPr>
              <w:pStyle w:val="Tablehead"/>
              <w:rPr>
                <w:szCs w:val="22"/>
                <w:lang w:eastAsia="zh-CN"/>
              </w:rPr>
            </w:pPr>
            <w:r w:rsidRPr="000C156A">
              <w:rPr>
                <w:rFonts w:hint="eastAsia"/>
                <w:szCs w:val="22"/>
                <w:lang w:eastAsia="zh-CN"/>
              </w:rPr>
              <w:t>子女津贴</w:t>
            </w:r>
          </w:p>
        </w:tc>
        <w:tc>
          <w:tcPr>
            <w:tcW w:w="740" w:type="pct"/>
            <w:vMerge w:val="restart"/>
            <w:tcBorders>
              <w:top w:val="single" w:sz="6" w:space="0" w:color="auto"/>
              <w:left w:val="single" w:sz="6" w:space="0" w:color="auto"/>
              <w:bottom w:val="single" w:sz="6" w:space="0" w:color="auto"/>
              <w:right w:val="single" w:sz="6" w:space="0" w:color="auto"/>
            </w:tcBorders>
            <w:vAlign w:val="center"/>
            <w:hideMark/>
          </w:tcPr>
          <w:p w14:paraId="53FFEB6D" w14:textId="77777777" w:rsidR="009630A9" w:rsidRPr="000C156A" w:rsidRDefault="009630A9" w:rsidP="005D02F0">
            <w:pPr>
              <w:pStyle w:val="Tablehead"/>
              <w:rPr>
                <w:szCs w:val="22"/>
                <w:lang w:eastAsia="zh-CN"/>
              </w:rPr>
            </w:pPr>
            <w:r w:rsidRPr="000C156A">
              <w:rPr>
                <w:rFonts w:hint="eastAsia"/>
                <w:szCs w:val="22"/>
                <w:lang w:eastAsia="zh-CN"/>
              </w:rPr>
              <w:t>其它福利</w:t>
            </w:r>
          </w:p>
        </w:tc>
        <w:tc>
          <w:tcPr>
            <w:tcW w:w="1300" w:type="pct"/>
            <w:gridSpan w:val="2"/>
            <w:tcBorders>
              <w:top w:val="single" w:sz="6" w:space="0" w:color="auto"/>
              <w:left w:val="single" w:sz="6" w:space="0" w:color="auto"/>
              <w:bottom w:val="single" w:sz="6" w:space="0" w:color="auto"/>
              <w:right w:val="single" w:sz="6" w:space="0" w:color="auto"/>
            </w:tcBorders>
          </w:tcPr>
          <w:p w14:paraId="1BF79A94" w14:textId="77777777" w:rsidR="009630A9" w:rsidRPr="000C156A" w:rsidRDefault="009630A9" w:rsidP="005D02F0">
            <w:pPr>
              <w:pStyle w:val="Tablehead"/>
              <w:rPr>
                <w:bCs/>
                <w:szCs w:val="22"/>
                <w:lang w:eastAsia="zh-CN"/>
              </w:rPr>
            </w:pPr>
          </w:p>
        </w:tc>
      </w:tr>
      <w:tr w:rsidR="009630A9" w:rsidRPr="000C156A" w14:paraId="6678C661" w14:textId="77777777" w:rsidTr="005D02F0">
        <w:trPr>
          <w:cantSplit/>
          <w:trHeight w:val="1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D7B1519" w14:textId="77777777" w:rsidR="009630A9" w:rsidRPr="000C156A" w:rsidRDefault="009630A9" w:rsidP="005D02F0">
            <w:pPr>
              <w:overflowPunct/>
              <w:adjustRightInd/>
              <w:spacing w:before="0"/>
              <w:rPr>
                <w:b/>
                <w:sz w:val="22"/>
                <w:szCs w:val="22"/>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5E544A4" w14:textId="77777777" w:rsidR="009630A9" w:rsidRPr="000C156A" w:rsidRDefault="009630A9" w:rsidP="005D02F0">
            <w:pPr>
              <w:overflowPunct/>
              <w:adjustRightInd/>
              <w:spacing w:before="0"/>
              <w:rPr>
                <w:b/>
                <w:sz w:val="22"/>
                <w:szCs w:val="22"/>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786F1EA" w14:textId="77777777" w:rsidR="009630A9" w:rsidRPr="000C156A" w:rsidRDefault="009630A9" w:rsidP="005D02F0">
            <w:pPr>
              <w:overflowPunct/>
              <w:adjustRightInd/>
              <w:spacing w:before="0"/>
              <w:rPr>
                <w:b/>
                <w:sz w:val="22"/>
                <w:szCs w:val="22"/>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EFB698A" w14:textId="77777777" w:rsidR="009630A9" w:rsidRPr="000C156A" w:rsidRDefault="009630A9" w:rsidP="005D02F0">
            <w:pPr>
              <w:overflowPunct/>
              <w:adjustRightInd/>
              <w:spacing w:before="0"/>
              <w:rPr>
                <w:b/>
                <w:sz w:val="22"/>
                <w:szCs w:val="22"/>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E0C8A35" w14:textId="77777777" w:rsidR="009630A9" w:rsidRPr="000C156A" w:rsidRDefault="009630A9" w:rsidP="005D02F0">
            <w:pPr>
              <w:overflowPunct/>
              <w:adjustRightInd/>
              <w:spacing w:before="0"/>
              <w:rPr>
                <w:b/>
                <w:sz w:val="22"/>
                <w:szCs w:val="22"/>
                <w:lang w:eastAsia="zh-CN"/>
              </w:rPr>
            </w:pPr>
          </w:p>
        </w:tc>
        <w:tc>
          <w:tcPr>
            <w:tcW w:w="702" w:type="pct"/>
            <w:tcBorders>
              <w:top w:val="single" w:sz="6" w:space="0" w:color="auto"/>
              <w:left w:val="single" w:sz="6" w:space="0" w:color="auto"/>
              <w:bottom w:val="single" w:sz="6" w:space="0" w:color="auto"/>
              <w:right w:val="single" w:sz="6" w:space="0" w:color="auto"/>
            </w:tcBorders>
            <w:hideMark/>
          </w:tcPr>
          <w:p w14:paraId="321EDA23" w14:textId="77777777" w:rsidR="009630A9" w:rsidRPr="000C156A" w:rsidRDefault="009630A9" w:rsidP="005D02F0">
            <w:pPr>
              <w:pStyle w:val="Tablehead"/>
              <w:rPr>
                <w:szCs w:val="22"/>
                <w:lang w:eastAsia="zh-CN"/>
              </w:rPr>
            </w:pPr>
            <w:r w:rsidRPr="000C156A">
              <w:rPr>
                <w:rFonts w:hint="eastAsia"/>
                <w:szCs w:val="22"/>
                <w:lang w:eastAsia="zh-CN"/>
              </w:rPr>
              <w:t>递延年金</w:t>
            </w:r>
          </w:p>
        </w:tc>
        <w:tc>
          <w:tcPr>
            <w:tcW w:w="598" w:type="pct"/>
            <w:tcBorders>
              <w:top w:val="single" w:sz="6" w:space="0" w:color="auto"/>
              <w:left w:val="single" w:sz="6" w:space="0" w:color="auto"/>
              <w:bottom w:val="single" w:sz="6" w:space="0" w:color="auto"/>
              <w:right w:val="single" w:sz="6" w:space="0" w:color="auto"/>
            </w:tcBorders>
            <w:hideMark/>
          </w:tcPr>
          <w:p w14:paraId="64A3441C" w14:textId="77777777" w:rsidR="009630A9" w:rsidRPr="000C156A" w:rsidRDefault="009630A9" w:rsidP="005D02F0">
            <w:pPr>
              <w:pStyle w:val="Tablehead"/>
              <w:rPr>
                <w:szCs w:val="22"/>
                <w:lang w:eastAsia="zh-CN"/>
              </w:rPr>
            </w:pPr>
            <w:r w:rsidRPr="000C156A">
              <w:rPr>
                <w:rFonts w:hint="eastAsia"/>
                <w:szCs w:val="22"/>
                <w:lang w:eastAsia="zh-CN"/>
              </w:rPr>
              <w:t>合计</w:t>
            </w:r>
          </w:p>
        </w:tc>
      </w:tr>
      <w:tr w:rsidR="009630A9" w:rsidRPr="000C156A" w14:paraId="76E15B20" w14:textId="77777777" w:rsidTr="005D02F0">
        <w:trPr>
          <w:cantSplit/>
          <w:trHeight w:val="332"/>
          <w:jc w:val="center"/>
        </w:trPr>
        <w:tc>
          <w:tcPr>
            <w:tcW w:w="740" w:type="pct"/>
            <w:tcBorders>
              <w:top w:val="single" w:sz="6" w:space="0" w:color="auto"/>
              <w:left w:val="single" w:sz="6" w:space="0" w:color="auto"/>
              <w:bottom w:val="single" w:sz="6" w:space="0" w:color="auto"/>
              <w:right w:val="single" w:sz="6" w:space="0" w:color="auto"/>
            </w:tcBorders>
            <w:vAlign w:val="center"/>
            <w:hideMark/>
          </w:tcPr>
          <w:p w14:paraId="425F59C5" w14:textId="77777777" w:rsidR="009630A9" w:rsidRPr="000C156A" w:rsidRDefault="009630A9" w:rsidP="005D02F0">
            <w:pPr>
              <w:pStyle w:val="TableText0"/>
              <w:jc w:val="center"/>
              <w:rPr>
                <w:rFonts w:ascii="Calibri" w:hAnsi="Calibri"/>
                <w:szCs w:val="22"/>
                <w:lang w:val="en-US"/>
              </w:rPr>
            </w:pPr>
            <w:r w:rsidRPr="000C156A">
              <w:rPr>
                <w:rFonts w:ascii="Calibri" w:hAnsi="Calibri"/>
                <w:szCs w:val="22"/>
                <w:lang w:val="en-US"/>
              </w:rPr>
              <w:t>811</w:t>
            </w:r>
          </w:p>
        </w:tc>
        <w:tc>
          <w:tcPr>
            <w:tcW w:w="740" w:type="pct"/>
            <w:tcBorders>
              <w:top w:val="single" w:sz="6" w:space="0" w:color="auto"/>
              <w:left w:val="single" w:sz="6" w:space="0" w:color="auto"/>
              <w:bottom w:val="single" w:sz="6" w:space="0" w:color="auto"/>
              <w:right w:val="single" w:sz="6" w:space="0" w:color="auto"/>
            </w:tcBorders>
            <w:vAlign w:val="center"/>
            <w:hideMark/>
          </w:tcPr>
          <w:p w14:paraId="5F03AEEF" w14:textId="77777777" w:rsidR="009630A9" w:rsidRPr="000C156A" w:rsidRDefault="009630A9" w:rsidP="005D02F0">
            <w:pPr>
              <w:pStyle w:val="TableText0"/>
              <w:jc w:val="center"/>
              <w:rPr>
                <w:rFonts w:ascii="Calibri" w:hAnsi="Calibri"/>
                <w:szCs w:val="22"/>
                <w:lang w:val="en-US"/>
              </w:rPr>
            </w:pPr>
            <w:r w:rsidRPr="000C156A">
              <w:rPr>
                <w:rFonts w:ascii="Calibri" w:hAnsi="Calibri"/>
                <w:szCs w:val="22"/>
                <w:lang w:val="en-US"/>
              </w:rPr>
              <w:t>41</w:t>
            </w:r>
          </w:p>
        </w:tc>
        <w:tc>
          <w:tcPr>
            <w:tcW w:w="740" w:type="pct"/>
            <w:tcBorders>
              <w:top w:val="single" w:sz="6" w:space="0" w:color="auto"/>
              <w:left w:val="single" w:sz="6" w:space="0" w:color="auto"/>
              <w:bottom w:val="single" w:sz="6" w:space="0" w:color="auto"/>
              <w:right w:val="single" w:sz="6" w:space="0" w:color="auto"/>
            </w:tcBorders>
            <w:vAlign w:val="center"/>
            <w:hideMark/>
          </w:tcPr>
          <w:p w14:paraId="2B5AF4E5" w14:textId="77777777" w:rsidR="009630A9" w:rsidRPr="000C156A" w:rsidRDefault="009630A9" w:rsidP="005D02F0">
            <w:pPr>
              <w:pStyle w:val="TableText0"/>
              <w:jc w:val="center"/>
              <w:rPr>
                <w:rFonts w:ascii="Calibri" w:hAnsi="Calibri"/>
                <w:szCs w:val="22"/>
                <w:lang w:val="en-US"/>
              </w:rPr>
            </w:pPr>
            <w:r w:rsidRPr="000C156A">
              <w:rPr>
                <w:rFonts w:ascii="Calibri" w:hAnsi="Calibri"/>
                <w:szCs w:val="22"/>
                <w:lang w:val="en-US"/>
              </w:rPr>
              <w:t>199</w:t>
            </w:r>
          </w:p>
        </w:tc>
        <w:tc>
          <w:tcPr>
            <w:tcW w:w="740" w:type="pct"/>
            <w:tcBorders>
              <w:top w:val="single" w:sz="6" w:space="0" w:color="auto"/>
              <w:left w:val="single" w:sz="6" w:space="0" w:color="auto"/>
              <w:bottom w:val="single" w:sz="6" w:space="0" w:color="auto"/>
              <w:right w:val="single" w:sz="6" w:space="0" w:color="auto"/>
            </w:tcBorders>
            <w:vAlign w:val="center"/>
            <w:hideMark/>
          </w:tcPr>
          <w:p w14:paraId="5B71C883" w14:textId="77777777" w:rsidR="009630A9" w:rsidRPr="000C156A" w:rsidRDefault="009630A9" w:rsidP="005D02F0">
            <w:pPr>
              <w:pStyle w:val="TableText0"/>
              <w:jc w:val="center"/>
              <w:rPr>
                <w:rFonts w:ascii="Calibri" w:hAnsi="Calibri"/>
                <w:szCs w:val="22"/>
                <w:lang w:val="en-US"/>
              </w:rPr>
            </w:pPr>
            <w:r w:rsidRPr="000C156A">
              <w:rPr>
                <w:rFonts w:ascii="Calibri" w:hAnsi="Calibri"/>
                <w:szCs w:val="22"/>
                <w:lang w:val="en-US"/>
              </w:rPr>
              <w:t>73</w:t>
            </w:r>
          </w:p>
        </w:tc>
        <w:tc>
          <w:tcPr>
            <w:tcW w:w="740" w:type="pct"/>
            <w:tcBorders>
              <w:top w:val="single" w:sz="6" w:space="0" w:color="auto"/>
              <w:left w:val="single" w:sz="6" w:space="0" w:color="auto"/>
              <w:bottom w:val="single" w:sz="6" w:space="0" w:color="auto"/>
              <w:right w:val="single" w:sz="6" w:space="0" w:color="auto"/>
            </w:tcBorders>
            <w:vAlign w:val="center"/>
            <w:hideMark/>
          </w:tcPr>
          <w:p w14:paraId="372622D5" w14:textId="77777777" w:rsidR="009630A9" w:rsidRPr="000C156A" w:rsidRDefault="009630A9" w:rsidP="005D02F0">
            <w:pPr>
              <w:pStyle w:val="TableText0"/>
              <w:jc w:val="center"/>
              <w:rPr>
                <w:rFonts w:ascii="Calibri" w:hAnsi="Calibri"/>
                <w:szCs w:val="22"/>
                <w:lang w:val="en-US"/>
              </w:rPr>
            </w:pPr>
            <w:r w:rsidRPr="000C156A">
              <w:rPr>
                <w:rFonts w:ascii="Calibri" w:hAnsi="Calibri"/>
                <w:szCs w:val="22"/>
                <w:lang w:val="en-US"/>
              </w:rPr>
              <w:t>0</w:t>
            </w:r>
          </w:p>
        </w:tc>
        <w:tc>
          <w:tcPr>
            <w:tcW w:w="702" w:type="pct"/>
            <w:tcBorders>
              <w:top w:val="single" w:sz="6" w:space="0" w:color="auto"/>
              <w:left w:val="single" w:sz="6" w:space="0" w:color="auto"/>
              <w:bottom w:val="single" w:sz="6" w:space="0" w:color="auto"/>
              <w:right w:val="single" w:sz="6" w:space="0" w:color="auto"/>
            </w:tcBorders>
            <w:vAlign w:val="center"/>
            <w:hideMark/>
          </w:tcPr>
          <w:p w14:paraId="4D1305AB" w14:textId="77777777" w:rsidR="009630A9" w:rsidRPr="000C156A" w:rsidRDefault="009630A9" w:rsidP="005D02F0">
            <w:pPr>
              <w:pStyle w:val="TableText0"/>
              <w:jc w:val="center"/>
              <w:rPr>
                <w:rFonts w:ascii="Calibri" w:hAnsi="Calibri"/>
                <w:szCs w:val="22"/>
                <w:lang w:val="en-US"/>
              </w:rPr>
            </w:pPr>
            <w:r w:rsidRPr="000C156A">
              <w:rPr>
                <w:rFonts w:ascii="Calibri" w:hAnsi="Calibri"/>
                <w:szCs w:val="22"/>
                <w:lang w:val="en-US"/>
              </w:rPr>
              <w:t>108</w:t>
            </w:r>
          </w:p>
        </w:tc>
        <w:tc>
          <w:tcPr>
            <w:tcW w:w="598" w:type="pct"/>
            <w:tcBorders>
              <w:top w:val="single" w:sz="6" w:space="0" w:color="auto"/>
              <w:left w:val="single" w:sz="6" w:space="0" w:color="auto"/>
              <w:bottom w:val="single" w:sz="6" w:space="0" w:color="auto"/>
              <w:right w:val="single" w:sz="6" w:space="0" w:color="auto"/>
            </w:tcBorders>
            <w:vAlign w:val="center"/>
            <w:hideMark/>
          </w:tcPr>
          <w:p w14:paraId="6DCD451D" w14:textId="77777777" w:rsidR="009630A9" w:rsidRPr="000C156A" w:rsidRDefault="009630A9" w:rsidP="005D02F0">
            <w:pPr>
              <w:pStyle w:val="TableText0"/>
              <w:jc w:val="center"/>
              <w:rPr>
                <w:rFonts w:ascii="Calibri" w:hAnsi="Calibri"/>
                <w:szCs w:val="22"/>
                <w:lang w:val="en-US"/>
              </w:rPr>
            </w:pPr>
            <w:r w:rsidRPr="000C156A">
              <w:rPr>
                <w:rFonts w:ascii="Calibri" w:hAnsi="Calibri"/>
                <w:szCs w:val="22"/>
                <w:lang w:val="en-US"/>
              </w:rPr>
              <w:t>1232</w:t>
            </w:r>
          </w:p>
        </w:tc>
      </w:tr>
    </w:tbl>
    <w:p w14:paraId="3E71C28D" w14:textId="77777777" w:rsidR="009630A9" w:rsidRPr="000C156A" w:rsidRDefault="009630A9" w:rsidP="00A32693">
      <w:pPr>
        <w:pStyle w:val="TableTitle0"/>
        <w:spacing w:before="240"/>
        <w:rPr>
          <w:b w:val="0"/>
          <w:bCs/>
          <w:sz w:val="20"/>
          <w:lang w:val="en-GB" w:eastAsia="zh-CN"/>
        </w:rPr>
      </w:pPr>
      <w:r w:rsidRPr="000C156A">
        <w:rPr>
          <w:lang w:val="en-GB" w:eastAsia="zh-CN"/>
        </w:rPr>
        <w:t>2020</w:t>
      </w:r>
      <w:r w:rsidRPr="000C156A">
        <w:rPr>
          <w:rFonts w:ascii="SimSun" w:hAnsi="SimSun" w:cs="SimSun" w:hint="eastAsia"/>
          <w:lang w:eastAsia="zh-CN"/>
        </w:rPr>
        <w:t>年</w:t>
      </w:r>
      <w:r w:rsidRPr="000C156A">
        <w:rPr>
          <w:lang w:val="en-GB" w:eastAsia="zh-CN"/>
        </w:rPr>
        <w:t>1</w:t>
      </w:r>
      <w:r w:rsidRPr="000C156A">
        <w:rPr>
          <w:rFonts w:ascii="SimSun" w:hAnsi="SimSun" w:cs="SimSun" w:hint="eastAsia"/>
          <w:lang w:eastAsia="zh-CN"/>
        </w:rPr>
        <w:t>月</w:t>
      </w:r>
      <w:r w:rsidRPr="000C156A">
        <w:rPr>
          <w:lang w:val="en-GB" w:eastAsia="zh-CN"/>
        </w:rPr>
        <w:t>1</w:t>
      </w:r>
      <w:r w:rsidRPr="000C156A">
        <w:rPr>
          <w:rFonts w:ascii="SimSun" w:hAnsi="SimSun" w:cs="SimSun" w:hint="eastAsia"/>
          <w:lang w:eastAsia="zh-CN"/>
        </w:rPr>
        <w:t>日至</w:t>
      </w:r>
      <w:r w:rsidRPr="000C156A">
        <w:rPr>
          <w:lang w:val="en-GB" w:eastAsia="zh-CN"/>
        </w:rPr>
        <w:t>12</w:t>
      </w:r>
      <w:r w:rsidRPr="000C156A">
        <w:rPr>
          <w:rFonts w:ascii="SimSun" w:hAnsi="SimSun" w:cs="SimSun" w:hint="eastAsia"/>
          <w:lang w:eastAsia="zh-CN"/>
        </w:rPr>
        <w:t>月</w:t>
      </w:r>
      <w:r w:rsidRPr="000C156A">
        <w:rPr>
          <w:lang w:val="en-GB" w:eastAsia="zh-CN"/>
        </w:rPr>
        <w:t>31</w:t>
      </w:r>
      <w:r w:rsidRPr="000C156A">
        <w:rPr>
          <w:rFonts w:ascii="SimSun" w:hAnsi="SimSun" w:cs="SimSun" w:hint="eastAsia"/>
          <w:lang w:eastAsia="zh-CN"/>
        </w:rPr>
        <w:t>日向该基金缴纳款项概述</w:t>
      </w:r>
      <w:r w:rsidRPr="000C156A">
        <w:rPr>
          <w:lang w:val="en-GB" w:eastAsia="zh-CN"/>
        </w:rPr>
        <w:br/>
        <w:t xml:space="preserve">– </w:t>
      </w:r>
      <w:r w:rsidRPr="000C156A">
        <w:rPr>
          <w:rFonts w:ascii="SimSun" w:hAnsi="SimSun" w:cs="SimSun" w:hint="eastAsia"/>
          <w:lang w:eastAsia="zh-CN"/>
        </w:rPr>
        <w:t>美元</w:t>
      </w:r>
      <w:r w:rsidRPr="000C156A">
        <w:rPr>
          <w:rFonts w:hint="eastAsia"/>
          <w:lang w:val="en-GB" w:eastAsia="zh-CN"/>
        </w:rPr>
        <w:t xml:space="preserve"> </w:t>
      </w:r>
      <w:r w:rsidRPr="000C156A">
        <w:rPr>
          <w:lang w:val="en-GB" w:eastAsia="zh-CN"/>
        </w:rPr>
        <w:t>–</w:t>
      </w:r>
    </w:p>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2643"/>
        <w:gridCol w:w="1596"/>
        <w:gridCol w:w="1993"/>
        <w:gridCol w:w="1700"/>
        <w:gridCol w:w="1697"/>
      </w:tblGrid>
      <w:tr w:rsidR="009630A9" w:rsidRPr="000C156A" w14:paraId="6904B7CF" w14:textId="77777777" w:rsidTr="00D54DEC">
        <w:trPr>
          <w:cantSplit/>
          <w:trHeight w:val="216"/>
          <w:jc w:val="center"/>
        </w:trPr>
        <w:tc>
          <w:tcPr>
            <w:tcW w:w="1372" w:type="pct"/>
            <w:vAlign w:val="center"/>
            <w:hideMark/>
          </w:tcPr>
          <w:p w14:paraId="2D4172AA" w14:textId="77777777" w:rsidR="009630A9" w:rsidRPr="000C156A" w:rsidRDefault="009630A9" w:rsidP="005D02F0">
            <w:pPr>
              <w:pStyle w:val="Tablehead"/>
              <w:rPr>
                <w:szCs w:val="22"/>
              </w:rPr>
            </w:pPr>
            <w:r w:rsidRPr="000C156A">
              <w:rPr>
                <w:rFonts w:hint="eastAsia"/>
                <w:szCs w:val="22"/>
              </w:rPr>
              <w:t>缴费性质</w:t>
            </w:r>
          </w:p>
        </w:tc>
        <w:tc>
          <w:tcPr>
            <w:tcW w:w="829" w:type="pct"/>
            <w:vAlign w:val="center"/>
            <w:hideMark/>
          </w:tcPr>
          <w:p w14:paraId="42D8BC9F" w14:textId="77777777" w:rsidR="009630A9" w:rsidRPr="000C156A" w:rsidRDefault="009630A9" w:rsidP="005D02F0">
            <w:pPr>
              <w:pStyle w:val="Tablehead"/>
              <w:rPr>
                <w:szCs w:val="22"/>
              </w:rPr>
            </w:pPr>
            <w:r w:rsidRPr="000C156A">
              <w:rPr>
                <w:rFonts w:hint="eastAsia"/>
                <w:szCs w:val="22"/>
              </w:rPr>
              <w:t>正常缴费</w:t>
            </w:r>
          </w:p>
        </w:tc>
        <w:tc>
          <w:tcPr>
            <w:tcW w:w="1035" w:type="pct"/>
            <w:vAlign w:val="center"/>
            <w:hideMark/>
          </w:tcPr>
          <w:p w14:paraId="0FC909F0" w14:textId="77777777" w:rsidR="009630A9" w:rsidRPr="000C156A" w:rsidRDefault="009630A9" w:rsidP="005D02F0">
            <w:pPr>
              <w:pStyle w:val="Tablehead"/>
              <w:rPr>
                <w:szCs w:val="22"/>
              </w:rPr>
            </w:pPr>
            <w:r w:rsidRPr="000C156A">
              <w:rPr>
                <w:rFonts w:hint="eastAsia"/>
                <w:szCs w:val="22"/>
              </w:rPr>
              <w:t>服务生效缴费</w:t>
            </w:r>
          </w:p>
        </w:tc>
        <w:tc>
          <w:tcPr>
            <w:tcW w:w="883" w:type="pct"/>
          </w:tcPr>
          <w:p w14:paraId="2E8EFE6D" w14:textId="77777777" w:rsidR="009630A9" w:rsidRPr="000C156A" w:rsidRDefault="009630A9" w:rsidP="005D02F0">
            <w:pPr>
              <w:pStyle w:val="Tablehead"/>
              <w:rPr>
                <w:szCs w:val="22"/>
              </w:rPr>
            </w:pPr>
            <w:r w:rsidRPr="000C156A">
              <w:rPr>
                <w:rFonts w:hint="eastAsia"/>
                <w:szCs w:val="22"/>
                <w:lang w:eastAsia="zh-CN"/>
              </w:rPr>
              <w:t>自愿缴费</w:t>
            </w:r>
          </w:p>
        </w:tc>
        <w:tc>
          <w:tcPr>
            <w:tcW w:w="881" w:type="pct"/>
            <w:vAlign w:val="center"/>
            <w:hideMark/>
          </w:tcPr>
          <w:p w14:paraId="3EC364F4" w14:textId="77777777" w:rsidR="009630A9" w:rsidRPr="000C156A" w:rsidRDefault="009630A9" w:rsidP="005D02F0">
            <w:pPr>
              <w:pStyle w:val="Tablehead"/>
              <w:rPr>
                <w:szCs w:val="22"/>
              </w:rPr>
            </w:pPr>
            <w:r w:rsidRPr="000C156A">
              <w:rPr>
                <w:rFonts w:hint="eastAsia"/>
                <w:szCs w:val="22"/>
              </w:rPr>
              <w:t>合计</w:t>
            </w:r>
          </w:p>
        </w:tc>
      </w:tr>
      <w:tr w:rsidR="009630A9" w:rsidRPr="000C156A" w14:paraId="66042E66" w14:textId="77777777" w:rsidTr="00D54DEC">
        <w:trPr>
          <w:cantSplit/>
          <w:trHeight w:val="193"/>
          <w:jc w:val="center"/>
        </w:trPr>
        <w:tc>
          <w:tcPr>
            <w:tcW w:w="1372" w:type="pct"/>
            <w:vAlign w:val="center"/>
            <w:hideMark/>
          </w:tcPr>
          <w:p w14:paraId="750C71DD" w14:textId="77777777" w:rsidR="009630A9" w:rsidRPr="000C156A" w:rsidRDefault="009630A9" w:rsidP="005D02F0">
            <w:pPr>
              <w:pStyle w:val="TableText0"/>
              <w:rPr>
                <w:szCs w:val="22"/>
              </w:rPr>
            </w:pPr>
            <w:r w:rsidRPr="000C156A">
              <w:rPr>
                <w:rFonts w:ascii="SimSun" w:hAnsi="SimSun" w:cs="SimSun" w:hint="eastAsia"/>
                <w:szCs w:val="22"/>
              </w:rPr>
              <w:t>参加人的缴费</w:t>
            </w:r>
          </w:p>
        </w:tc>
        <w:tc>
          <w:tcPr>
            <w:tcW w:w="829" w:type="pct"/>
            <w:shd w:val="clear" w:color="auto" w:fill="auto"/>
            <w:vAlign w:val="center"/>
            <w:hideMark/>
          </w:tcPr>
          <w:p w14:paraId="79791A2D" w14:textId="7A5603A6" w:rsidR="009630A9" w:rsidRPr="000C156A" w:rsidRDefault="009630A9" w:rsidP="005D02F0">
            <w:pPr>
              <w:overflowPunct/>
              <w:autoSpaceDE/>
              <w:autoSpaceDN/>
              <w:adjustRightInd/>
              <w:spacing w:before="0"/>
              <w:jc w:val="right"/>
              <w:textAlignment w:val="auto"/>
              <w:rPr>
                <w:bCs/>
                <w:sz w:val="22"/>
                <w:szCs w:val="22"/>
              </w:rPr>
            </w:pPr>
            <w:r w:rsidRPr="000C156A">
              <w:rPr>
                <w:rFonts w:cs="Calibri"/>
                <w:sz w:val="22"/>
                <w:szCs w:val="22"/>
                <w:lang w:eastAsia="en-GB"/>
              </w:rPr>
              <w:t>8</w:t>
            </w:r>
            <w:r w:rsidR="00360AE8" w:rsidRPr="000C156A">
              <w:rPr>
                <w:rFonts w:cs="Calibri"/>
                <w:sz w:val="22"/>
                <w:szCs w:val="22"/>
                <w:lang w:eastAsia="en-GB"/>
              </w:rPr>
              <w:t xml:space="preserve"> </w:t>
            </w:r>
            <w:r w:rsidRPr="000C156A">
              <w:rPr>
                <w:rFonts w:cs="Calibri"/>
                <w:sz w:val="22"/>
                <w:szCs w:val="22"/>
                <w:lang w:eastAsia="en-GB"/>
              </w:rPr>
              <w:t>778</w:t>
            </w:r>
            <w:r w:rsidR="00360AE8" w:rsidRPr="000C156A">
              <w:rPr>
                <w:rFonts w:cs="Calibri"/>
                <w:sz w:val="22"/>
                <w:szCs w:val="22"/>
                <w:lang w:eastAsia="en-GB"/>
              </w:rPr>
              <w:t xml:space="preserve"> </w:t>
            </w:r>
            <w:r w:rsidRPr="000C156A">
              <w:rPr>
                <w:rFonts w:cs="Calibri"/>
                <w:sz w:val="22"/>
                <w:szCs w:val="22"/>
                <w:lang w:eastAsia="en-GB"/>
              </w:rPr>
              <w:t>779</w:t>
            </w:r>
          </w:p>
        </w:tc>
        <w:tc>
          <w:tcPr>
            <w:tcW w:w="1035" w:type="pct"/>
            <w:shd w:val="clear" w:color="auto" w:fill="auto"/>
            <w:vAlign w:val="center"/>
            <w:hideMark/>
          </w:tcPr>
          <w:p w14:paraId="35EE29F5" w14:textId="77777777" w:rsidR="009630A9" w:rsidRPr="000C156A" w:rsidRDefault="009630A9" w:rsidP="005D02F0">
            <w:pPr>
              <w:overflowPunct/>
              <w:autoSpaceDE/>
              <w:autoSpaceDN/>
              <w:adjustRightInd/>
              <w:spacing w:before="0"/>
              <w:jc w:val="right"/>
              <w:textAlignment w:val="auto"/>
              <w:rPr>
                <w:bCs/>
                <w:sz w:val="22"/>
                <w:szCs w:val="22"/>
              </w:rPr>
            </w:pPr>
          </w:p>
        </w:tc>
        <w:tc>
          <w:tcPr>
            <w:tcW w:w="883" w:type="pct"/>
            <w:shd w:val="clear" w:color="auto" w:fill="auto"/>
            <w:vAlign w:val="center"/>
          </w:tcPr>
          <w:p w14:paraId="0CCC6E5B" w14:textId="5F4A05C5" w:rsidR="009630A9" w:rsidRPr="000C156A" w:rsidRDefault="009630A9" w:rsidP="005D02F0">
            <w:pPr>
              <w:overflowPunct/>
              <w:autoSpaceDE/>
              <w:autoSpaceDN/>
              <w:adjustRightInd/>
              <w:spacing w:before="0"/>
              <w:jc w:val="right"/>
              <w:textAlignment w:val="auto"/>
              <w:rPr>
                <w:bCs/>
                <w:sz w:val="22"/>
                <w:szCs w:val="22"/>
              </w:rPr>
            </w:pPr>
            <w:r w:rsidRPr="000C156A">
              <w:rPr>
                <w:rFonts w:cs="Calibri"/>
                <w:sz w:val="22"/>
                <w:szCs w:val="22"/>
                <w:lang w:eastAsia="en-GB"/>
              </w:rPr>
              <w:t>115</w:t>
            </w:r>
            <w:r w:rsidR="00360AE8" w:rsidRPr="000C156A">
              <w:rPr>
                <w:rFonts w:cs="Calibri"/>
                <w:sz w:val="22"/>
                <w:szCs w:val="22"/>
                <w:lang w:eastAsia="en-GB"/>
              </w:rPr>
              <w:t xml:space="preserve"> </w:t>
            </w:r>
            <w:r w:rsidRPr="000C156A">
              <w:rPr>
                <w:rFonts w:cs="Calibri"/>
                <w:sz w:val="22"/>
                <w:szCs w:val="22"/>
                <w:lang w:eastAsia="en-GB"/>
              </w:rPr>
              <w:t>807</w:t>
            </w:r>
          </w:p>
        </w:tc>
        <w:tc>
          <w:tcPr>
            <w:tcW w:w="881" w:type="pct"/>
            <w:shd w:val="clear" w:color="auto" w:fill="auto"/>
            <w:vAlign w:val="center"/>
            <w:hideMark/>
          </w:tcPr>
          <w:p w14:paraId="19B23E13" w14:textId="7A3830F7" w:rsidR="009630A9" w:rsidRPr="000C156A" w:rsidRDefault="009630A9" w:rsidP="005D02F0">
            <w:pPr>
              <w:overflowPunct/>
              <w:autoSpaceDE/>
              <w:autoSpaceDN/>
              <w:adjustRightInd/>
              <w:spacing w:before="0"/>
              <w:jc w:val="right"/>
              <w:textAlignment w:val="auto"/>
              <w:rPr>
                <w:bCs/>
                <w:sz w:val="22"/>
                <w:szCs w:val="22"/>
              </w:rPr>
            </w:pPr>
            <w:r w:rsidRPr="000C156A">
              <w:rPr>
                <w:rFonts w:cs="Calibri"/>
                <w:b/>
                <w:bCs/>
                <w:sz w:val="22"/>
                <w:szCs w:val="22"/>
                <w:lang w:eastAsia="en-GB"/>
              </w:rPr>
              <w:t>8</w:t>
            </w:r>
            <w:r w:rsidR="00360AE8" w:rsidRPr="000C156A">
              <w:rPr>
                <w:rFonts w:cs="Calibri"/>
                <w:b/>
                <w:bCs/>
                <w:sz w:val="22"/>
                <w:szCs w:val="22"/>
                <w:lang w:eastAsia="en-GB"/>
              </w:rPr>
              <w:t xml:space="preserve"> </w:t>
            </w:r>
            <w:r w:rsidRPr="000C156A">
              <w:rPr>
                <w:rFonts w:cs="Calibri"/>
                <w:b/>
                <w:bCs/>
                <w:sz w:val="22"/>
                <w:szCs w:val="22"/>
                <w:lang w:eastAsia="en-GB"/>
              </w:rPr>
              <w:t>894</w:t>
            </w:r>
            <w:r w:rsidR="00360AE8" w:rsidRPr="000C156A">
              <w:rPr>
                <w:rFonts w:cs="Calibri"/>
                <w:b/>
                <w:bCs/>
                <w:sz w:val="22"/>
                <w:szCs w:val="22"/>
                <w:lang w:eastAsia="en-GB"/>
              </w:rPr>
              <w:t xml:space="preserve"> </w:t>
            </w:r>
            <w:r w:rsidRPr="000C156A">
              <w:rPr>
                <w:rFonts w:cs="Calibri"/>
                <w:b/>
                <w:bCs/>
                <w:sz w:val="22"/>
                <w:szCs w:val="22"/>
                <w:lang w:eastAsia="en-GB"/>
              </w:rPr>
              <w:t>586</w:t>
            </w:r>
          </w:p>
        </w:tc>
      </w:tr>
      <w:tr w:rsidR="009630A9" w:rsidRPr="000C156A" w14:paraId="19DD5D7D" w14:textId="77777777" w:rsidTr="00D54DEC">
        <w:trPr>
          <w:cantSplit/>
          <w:trHeight w:val="390"/>
          <w:jc w:val="center"/>
        </w:trPr>
        <w:tc>
          <w:tcPr>
            <w:tcW w:w="1372" w:type="pct"/>
            <w:vAlign w:val="center"/>
            <w:hideMark/>
          </w:tcPr>
          <w:p w14:paraId="4974F48B" w14:textId="77777777" w:rsidR="009630A9" w:rsidRPr="000C156A" w:rsidRDefault="009630A9" w:rsidP="005D02F0">
            <w:pPr>
              <w:pStyle w:val="xl93"/>
              <w:autoSpaceDE w:val="0"/>
              <w:autoSpaceDN w:val="0"/>
              <w:rPr>
                <w:sz w:val="22"/>
                <w:szCs w:val="22"/>
              </w:rPr>
            </w:pPr>
            <w:r w:rsidRPr="000C156A">
              <w:rPr>
                <w:rFonts w:ascii="SimSun" w:hAnsi="SimSun" w:cs="SimSun" w:hint="eastAsia"/>
                <w:sz w:val="22"/>
                <w:szCs w:val="22"/>
              </w:rPr>
              <w:t>国际电联的缴费</w:t>
            </w:r>
          </w:p>
        </w:tc>
        <w:tc>
          <w:tcPr>
            <w:tcW w:w="829" w:type="pct"/>
            <w:shd w:val="clear" w:color="auto" w:fill="auto"/>
            <w:vAlign w:val="center"/>
            <w:hideMark/>
          </w:tcPr>
          <w:p w14:paraId="26D64B25" w14:textId="0157B11E" w:rsidR="009630A9" w:rsidRPr="000C156A" w:rsidRDefault="009630A9" w:rsidP="005D02F0">
            <w:pPr>
              <w:overflowPunct/>
              <w:autoSpaceDE/>
              <w:autoSpaceDN/>
              <w:adjustRightInd/>
              <w:spacing w:before="0"/>
              <w:jc w:val="right"/>
              <w:textAlignment w:val="auto"/>
              <w:rPr>
                <w:bCs/>
                <w:sz w:val="22"/>
                <w:szCs w:val="22"/>
              </w:rPr>
            </w:pPr>
            <w:r w:rsidRPr="000C156A">
              <w:rPr>
                <w:rFonts w:cs="Calibri"/>
                <w:sz w:val="22"/>
                <w:szCs w:val="22"/>
                <w:lang w:eastAsia="en-GB"/>
              </w:rPr>
              <w:t>17</w:t>
            </w:r>
            <w:r w:rsidR="00360AE8" w:rsidRPr="000C156A">
              <w:rPr>
                <w:rFonts w:cs="Calibri"/>
                <w:sz w:val="22"/>
                <w:szCs w:val="22"/>
                <w:lang w:eastAsia="en-GB"/>
              </w:rPr>
              <w:t xml:space="preserve"> </w:t>
            </w:r>
            <w:r w:rsidRPr="000C156A">
              <w:rPr>
                <w:rFonts w:cs="Calibri"/>
                <w:sz w:val="22"/>
                <w:szCs w:val="22"/>
                <w:lang w:eastAsia="en-GB"/>
              </w:rPr>
              <w:t>557</w:t>
            </w:r>
            <w:r w:rsidR="00360AE8" w:rsidRPr="000C156A">
              <w:rPr>
                <w:rFonts w:cs="Calibri"/>
                <w:sz w:val="22"/>
                <w:szCs w:val="22"/>
                <w:lang w:eastAsia="en-GB"/>
              </w:rPr>
              <w:t xml:space="preserve"> </w:t>
            </w:r>
            <w:r w:rsidRPr="000C156A">
              <w:rPr>
                <w:rFonts w:cs="Calibri"/>
                <w:sz w:val="22"/>
                <w:szCs w:val="22"/>
                <w:lang w:eastAsia="en-GB"/>
              </w:rPr>
              <w:t>558</w:t>
            </w:r>
          </w:p>
        </w:tc>
        <w:tc>
          <w:tcPr>
            <w:tcW w:w="1035" w:type="pct"/>
            <w:shd w:val="clear" w:color="auto" w:fill="auto"/>
            <w:vAlign w:val="center"/>
            <w:hideMark/>
          </w:tcPr>
          <w:p w14:paraId="060D8B55" w14:textId="77777777" w:rsidR="009630A9" w:rsidRPr="000C156A" w:rsidRDefault="009630A9" w:rsidP="005D02F0">
            <w:pPr>
              <w:overflowPunct/>
              <w:autoSpaceDE/>
              <w:autoSpaceDN/>
              <w:adjustRightInd/>
              <w:spacing w:before="0"/>
              <w:jc w:val="right"/>
              <w:textAlignment w:val="auto"/>
              <w:rPr>
                <w:bCs/>
                <w:sz w:val="22"/>
                <w:szCs w:val="22"/>
              </w:rPr>
            </w:pPr>
          </w:p>
        </w:tc>
        <w:tc>
          <w:tcPr>
            <w:tcW w:w="883" w:type="pct"/>
            <w:shd w:val="clear" w:color="auto" w:fill="auto"/>
            <w:vAlign w:val="center"/>
          </w:tcPr>
          <w:p w14:paraId="50A6FAE5" w14:textId="592D8D76" w:rsidR="009630A9" w:rsidRPr="000C156A" w:rsidRDefault="009630A9" w:rsidP="005D02F0">
            <w:pPr>
              <w:overflowPunct/>
              <w:autoSpaceDE/>
              <w:autoSpaceDN/>
              <w:adjustRightInd/>
              <w:spacing w:before="0"/>
              <w:jc w:val="right"/>
              <w:textAlignment w:val="auto"/>
              <w:rPr>
                <w:bCs/>
                <w:sz w:val="22"/>
                <w:szCs w:val="22"/>
              </w:rPr>
            </w:pPr>
            <w:r w:rsidRPr="000C156A">
              <w:rPr>
                <w:rFonts w:cs="Calibri"/>
                <w:sz w:val="22"/>
                <w:szCs w:val="22"/>
                <w:lang w:eastAsia="en-GB"/>
              </w:rPr>
              <w:t>231</w:t>
            </w:r>
            <w:r w:rsidR="00360AE8" w:rsidRPr="000C156A">
              <w:rPr>
                <w:rFonts w:cs="Calibri"/>
                <w:sz w:val="22"/>
                <w:szCs w:val="22"/>
                <w:lang w:eastAsia="en-GB"/>
              </w:rPr>
              <w:t xml:space="preserve"> </w:t>
            </w:r>
            <w:r w:rsidRPr="000C156A">
              <w:rPr>
                <w:rFonts w:cs="Calibri"/>
                <w:sz w:val="22"/>
                <w:szCs w:val="22"/>
                <w:lang w:eastAsia="en-GB"/>
              </w:rPr>
              <w:t>615</w:t>
            </w:r>
          </w:p>
        </w:tc>
        <w:tc>
          <w:tcPr>
            <w:tcW w:w="881" w:type="pct"/>
            <w:shd w:val="clear" w:color="auto" w:fill="auto"/>
            <w:vAlign w:val="center"/>
            <w:hideMark/>
          </w:tcPr>
          <w:p w14:paraId="30F3F3D1" w14:textId="01740FA8" w:rsidR="009630A9" w:rsidRPr="000C156A" w:rsidRDefault="009630A9" w:rsidP="005D02F0">
            <w:pPr>
              <w:overflowPunct/>
              <w:autoSpaceDE/>
              <w:autoSpaceDN/>
              <w:adjustRightInd/>
              <w:spacing w:before="0"/>
              <w:jc w:val="right"/>
              <w:textAlignment w:val="auto"/>
              <w:rPr>
                <w:bCs/>
                <w:sz w:val="22"/>
                <w:szCs w:val="22"/>
              </w:rPr>
            </w:pPr>
            <w:r w:rsidRPr="000C156A">
              <w:rPr>
                <w:rFonts w:cs="Calibri"/>
                <w:b/>
                <w:bCs/>
                <w:sz w:val="22"/>
                <w:szCs w:val="22"/>
                <w:lang w:eastAsia="en-GB"/>
              </w:rPr>
              <w:t>17</w:t>
            </w:r>
            <w:r w:rsidR="00360AE8" w:rsidRPr="000C156A">
              <w:rPr>
                <w:rFonts w:cs="Calibri"/>
                <w:b/>
                <w:bCs/>
                <w:sz w:val="22"/>
                <w:szCs w:val="22"/>
                <w:lang w:eastAsia="en-GB"/>
              </w:rPr>
              <w:t xml:space="preserve"> </w:t>
            </w:r>
            <w:r w:rsidRPr="000C156A">
              <w:rPr>
                <w:rFonts w:cs="Calibri"/>
                <w:b/>
                <w:bCs/>
                <w:sz w:val="22"/>
                <w:szCs w:val="22"/>
                <w:lang w:eastAsia="en-GB"/>
              </w:rPr>
              <w:t>789</w:t>
            </w:r>
            <w:r w:rsidR="00360AE8" w:rsidRPr="000C156A">
              <w:rPr>
                <w:rFonts w:cs="Calibri"/>
                <w:b/>
                <w:bCs/>
                <w:sz w:val="22"/>
                <w:szCs w:val="22"/>
                <w:lang w:eastAsia="en-GB"/>
              </w:rPr>
              <w:t xml:space="preserve"> </w:t>
            </w:r>
            <w:r w:rsidRPr="000C156A">
              <w:rPr>
                <w:rFonts w:cs="Calibri"/>
                <w:b/>
                <w:bCs/>
                <w:sz w:val="22"/>
                <w:szCs w:val="22"/>
                <w:lang w:eastAsia="en-GB"/>
              </w:rPr>
              <w:t>173</w:t>
            </w:r>
          </w:p>
        </w:tc>
      </w:tr>
      <w:tr w:rsidR="009630A9" w:rsidRPr="000C156A" w14:paraId="64843164" w14:textId="77777777" w:rsidTr="00D54DEC">
        <w:trPr>
          <w:cantSplit/>
          <w:trHeight w:val="390"/>
          <w:jc w:val="center"/>
        </w:trPr>
        <w:tc>
          <w:tcPr>
            <w:tcW w:w="1372" w:type="pct"/>
            <w:vAlign w:val="center"/>
          </w:tcPr>
          <w:p w14:paraId="5C583F9A" w14:textId="77777777" w:rsidR="009630A9" w:rsidRPr="000C156A" w:rsidRDefault="009630A9" w:rsidP="005D02F0">
            <w:pPr>
              <w:pStyle w:val="xl93"/>
              <w:autoSpaceDE w:val="0"/>
              <w:autoSpaceDN w:val="0"/>
              <w:rPr>
                <w:rFonts w:ascii="SimSun" w:hAnsi="SimSun" w:cs="SimSun"/>
                <w:sz w:val="22"/>
                <w:szCs w:val="22"/>
              </w:rPr>
            </w:pPr>
            <w:r w:rsidRPr="000C156A">
              <w:rPr>
                <w:rFonts w:ascii="SimSun" w:hAnsi="SimSun" w:cs="SimSun" w:hint="eastAsia"/>
                <w:color w:val="auto"/>
                <w:sz w:val="22"/>
                <w:szCs w:val="22"/>
                <w:lang w:val="en-GB"/>
              </w:rPr>
              <w:t>其他缴款</w:t>
            </w:r>
          </w:p>
        </w:tc>
        <w:tc>
          <w:tcPr>
            <w:tcW w:w="829" w:type="pct"/>
            <w:shd w:val="clear" w:color="auto" w:fill="auto"/>
            <w:vAlign w:val="center"/>
          </w:tcPr>
          <w:p w14:paraId="408CE3D1" w14:textId="77777777" w:rsidR="009630A9" w:rsidRPr="000C156A" w:rsidRDefault="009630A9" w:rsidP="005D02F0">
            <w:pPr>
              <w:overflowPunct/>
              <w:autoSpaceDE/>
              <w:autoSpaceDN/>
              <w:adjustRightInd/>
              <w:spacing w:before="0"/>
              <w:jc w:val="right"/>
              <w:textAlignment w:val="auto"/>
              <w:rPr>
                <w:bCs/>
                <w:sz w:val="22"/>
                <w:szCs w:val="22"/>
              </w:rPr>
            </w:pPr>
          </w:p>
        </w:tc>
        <w:tc>
          <w:tcPr>
            <w:tcW w:w="1035" w:type="pct"/>
            <w:shd w:val="clear" w:color="auto" w:fill="auto"/>
            <w:vAlign w:val="center"/>
          </w:tcPr>
          <w:p w14:paraId="780C9FD7" w14:textId="77777777" w:rsidR="009630A9" w:rsidRPr="000C156A" w:rsidRDefault="009630A9" w:rsidP="005D02F0">
            <w:pPr>
              <w:overflowPunct/>
              <w:autoSpaceDE/>
              <w:autoSpaceDN/>
              <w:adjustRightInd/>
              <w:spacing w:before="0"/>
              <w:jc w:val="right"/>
              <w:textAlignment w:val="auto"/>
              <w:rPr>
                <w:bCs/>
                <w:sz w:val="22"/>
                <w:szCs w:val="22"/>
              </w:rPr>
            </w:pPr>
          </w:p>
        </w:tc>
        <w:tc>
          <w:tcPr>
            <w:tcW w:w="883" w:type="pct"/>
            <w:shd w:val="clear" w:color="auto" w:fill="auto"/>
            <w:vAlign w:val="center"/>
          </w:tcPr>
          <w:p w14:paraId="175CEFEC" w14:textId="1ACB7A1C" w:rsidR="009630A9" w:rsidRPr="000C156A" w:rsidRDefault="009630A9" w:rsidP="005D02F0">
            <w:pPr>
              <w:overflowPunct/>
              <w:autoSpaceDE/>
              <w:autoSpaceDN/>
              <w:adjustRightInd/>
              <w:spacing w:before="0"/>
              <w:jc w:val="right"/>
              <w:textAlignment w:val="auto"/>
              <w:rPr>
                <w:bCs/>
                <w:sz w:val="22"/>
                <w:szCs w:val="22"/>
              </w:rPr>
            </w:pPr>
            <w:r w:rsidRPr="000C156A">
              <w:rPr>
                <w:rFonts w:cs="Calibri"/>
                <w:sz w:val="22"/>
                <w:szCs w:val="22"/>
                <w:lang w:eastAsia="en-GB"/>
              </w:rPr>
              <w:t>36</w:t>
            </w:r>
            <w:r w:rsidR="00360AE8" w:rsidRPr="000C156A">
              <w:rPr>
                <w:rFonts w:cs="Calibri"/>
                <w:sz w:val="22"/>
                <w:szCs w:val="22"/>
                <w:lang w:eastAsia="en-GB"/>
              </w:rPr>
              <w:t xml:space="preserve"> </w:t>
            </w:r>
            <w:r w:rsidRPr="000C156A">
              <w:rPr>
                <w:rFonts w:cs="Calibri"/>
                <w:sz w:val="22"/>
                <w:szCs w:val="22"/>
                <w:lang w:eastAsia="en-GB"/>
              </w:rPr>
              <w:t>153</w:t>
            </w:r>
          </w:p>
        </w:tc>
        <w:tc>
          <w:tcPr>
            <w:tcW w:w="881" w:type="pct"/>
            <w:shd w:val="clear" w:color="auto" w:fill="auto"/>
            <w:vAlign w:val="center"/>
          </w:tcPr>
          <w:p w14:paraId="636CEB1A" w14:textId="3DA82F9F" w:rsidR="009630A9" w:rsidRPr="000C156A" w:rsidRDefault="009630A9" w:rsidP="005D02F0">
            <w:pPr>
              <w:overflowPunct/>
              <w:autoSpaceDE/>
              <w:autoSpaceDN/>
              <w:adjustRightInd/>
              <w:spacing w:before="0"/>
              <w:jc w:val="right"/>
              <w:textAlignment w:val="auto"/>
              <w:rPr>
                <w:bCs/>
                <w:sz w:val="22"/>
                <w:szCs w:val="22"/>
              </w:rPr>
            </w:pPr>
            <w:r w:rsidRPr="000C156A">
              <w:rPr>
                <w:rFonts w:cs="Calibri"/>
                <w:b/>
                <w:bCs/>
                <w:sz w:val="22"/>
                <w:szCs w:val="22"/>
                <w:lang w:eastAsia="en-GB"/>
              </w:rPr>
              <w:t>36</w:t>
            </w:r>
            <w:r w:rsidR="00360AE8" w:rsidRPr="000C156A">
              <w:rPr>
                <w:rFonts w:cs="Calibri"/>
                <w:b/>
                <w:bCs/>
                <w:sz w:val="22"/>
                <w:szCs w:val="22"/>
                <w:lang w:eastAsia="en-GB"/>
              </w:rPr>
              <w:t xml:space="preserve"> </w:t>
            </w:r>
            <w:r w:rsidRPr="000C156A">
              <w:rPr>
                <w:rFonts w:cs="Calibri"/>
                <w:b/>
                <w:bCs/>
                <w:sz w:val="22"/>
                <w:szCs w:val="22"/>
                <w:lang w:eastAsia="en-GB"/>
              </w:rPr>
              <w:t>153</w:t>
            </w:r>
          </w:p>
        </w:tc>
      </w:tr>
      <w:tr w:rsidR="009630A9" w:rsidRPr="000C156A" w14:paraId="56EDB4C3" w14:textId="77777777" w:rsidTr="00D54DEC">
        <w:trPr>
          <w:cantSplit/>
          <w:trHeight w:val="405"/>
          <w:jc w:val="center"/>
        </w:trPr>
        <w:tc>
          <w:tcPr>
            <w:tcW w:w="1372" w:type="pct"/>
            <w:vAlign w:val="center"/>
            <w:hideMark/>
          </w:tcPr>
          <w:p w14:paraId="3E67A737" w14:textId="77777777" w:rsidR="009630A9" w:rsidRPr="000C156A" w:rsidRDefault="009630A9" w:rsidP="005D02F0">
            <w:pPr>
              <w:pStyle w:val="xl93"/>
              <w:autoSpaceDE w:val="0"/>
              <w:autoSpaceDN w:val="0"/>
              <w:rPr>
                <w:b/>
                <w:bCs/>
                <w:sz w:val="22"/>
                <w:szCs w:val="22"/>
              </w:rPr>
            </w:pPr>
            <w:r w:rsidRPr="000C156A">
              <w:rPr>
                <w:rFonts w:ascii="SimSun" w:hAnsi="SimSun" w:cs="SimSun" w:hint="eastAsia"/>
                <w:b/>
                <w:bCs/>
                <w:sz w:val="22"/>
                <w:szCs w:val="22"/>
              </w:rPr>
              <w:t>合计</w:t>
            </w:r>
          </w:p>
        </w:tc>
        <w:tc>
          <w:tcPr>
            <w:tcW w:w="829" w:type="pct"/>
            <w:shd w:val="clear" w:color="auto" w:fill="auto"/>
            <w:vAlign w:val="center"/>
            <w:hideMark/>
          </w:tcPr>
          <w:p w14:paraId="2986B350" w14:textId="17299552" w:rsidR="009630A9" w:rsidRPr="000C156A" w:rsidRDefault="009630A9" w:rsidP="005D02F0">
            <w:pPr>
              <w:overflowPunct/>
              <w:autoSpaceDE/>
              <w:autoSpaceDN/>
              <w:adjustRightInd/>
              <w:spacing w:before="0"/>
              <w:jc w:val="right"/>
              <w:textAlignment w:val="auto"/>
              <w:rPr>
                <w:b/>
                <w:sz w:val="22"/>
                <w:szCs w:val="22"/>
              </w:rPr>
            </w:pPr>
            <w:r w:rsidRPr="000C156A">
              <w:rPr>
                <w:rFonts w:cs="Calibri"/>
                <w:b/>
                <w:bCs/>
                <w:sz w:val="22"/>
                <w:szCs w:val="22"/>
                <w:lang w:eastAsia="en-GB"/>
              </w:rPr>
              <w:t>26</w:t>
            </w:r>
            <w:r w:rsidR="00360AE8" w:rsidRPr="000C156A">
              <w:rPr>
                <w:rFonts w:cs="Calibri"/>
                <w:b/>
                <w:bCs/>
                <w:sz w:val="22"/>
                <w:szCs w:val="22"/>
                <w:lang w:eastAsia="en-GB"/>
              </w:rPr>
              <w:t xml:space="preserve"> </w:t>
            </w:r>
            <w:r w:rsidRPr="000C156A">
              <w:rPr>
                <w:rFonts w:cs="Calibri"/>
                <w:b/>
                <w:bCs/>
                <w:sz w:val="22"/>
                <w:szCs w:val="22"/>
                <w:lang w:eastAsia="en-GB"/>
              </w:rPr>
              <w:t>336</w:t>
            </w:r>
            <w:r w:rsidR="00360AE8" w:rsidRPr="000C156A">
              <w:rPr>
                <w:rFonts w:cs="Calibri"/>
                <w:b/>
                <w:bCs/>
                <w:sz w:val="22"/>
                <w:szCs w:val="22"/>
                <w:lang w:eastAsia="en-GB"/>
              </w:rPr>
              <w:t xml:space="preserve"> </w:t>
            </w:r>
            <w:r w:rsidRPr="000C156A">
              <w:rPr>
                <w:rFonts w:cs="Calibri"/>
                <w:b/>
                <w:bCs/>
                <w:sz w:val="22"/>
                <w:szCs w:val="22"/>
                <w:lang w:eastAsia="en-GB"/>
              </w:rPr>
              <w:t>337</w:t>
            </w:r>
          </w:p>
        </w:tc>
        <w:tc>
          <w:tcPr>
            <w:tcW w:w="1035" w:type="pct"/>
            <w:shd w:val="clear" w:color="auto" w:fill="auto"/>
            <w:vAlign w:val="center"/>
            <w:hideMark/>
          </w:tcPr>
          <w:p w14:paraId="2F99BEBC" w14:textId="77777777" w:rsidR="009630A9" w:rsidRPr="000C156A" w:rsidRDefault="009630A9" w:rsidP="005D02F0">
            <w:pPr>
              <w:overflowPunct/>
              <w:autoSpaceDE/>
              <w:autoSpaceDN/>
              <w:adjustRightInd/>
              <w:spacing w:before="0"/>
              <w:jc w:val="right"/>
              <w:textAlignment w:val="auto"/>
              <w:rPr>
                <w:b/>
                <w:sz w:val="22"/>
                <w:szCs w:val="22"/>
              </w:rPr>
            </w:pPr>
            <w:r w:rsidRPr="000C156A">
              <w:rPr>
                <w:rFonts w:cs="Calibri"/>
                <w:b/>
                <w:bCs/>
                <w:sz w:val="22"/>
                <w:szCs w:val="22"/>
                <w:lang w:eastAsia="en-GB"/>
              </w:rPr>
              <w:t>-</w:t>
            </w:r>
          </w:p>
        </w:tc>
        <w:tc>
          <w:tcPr>
            <w:tcW w:w="883" w:type="pct"/>
            <w:shd w:val="clear" w:color="auto" w:fill="auto"/>
            <w:vAlign w:val="center"/>
          </w:tcPr>
          <w:p w14:paraId="3836EE64" w14:textId="374B9DC5" w:rsidR="009630A9" w:rsidRPr="000C156A" w:rsidRDefault="009630A9" w:rsidP="005D02F0">
            <w:pPr>
              <w:overflowPunct/>
              <w:autoSpaceDE/>
              <w:autoSpaceDN/>
              <w:adjustRightInd/>
              <w:spacing w:before="0"/>
              <w:jc w:val="right"/>
              <w:textAlignment w:val="auto"/>
              <w:rPr>
                <w:b/>
                <w:sz w:val="22"/>
                <w:szCs w:val="22"/>
              </w:rPr>
            </w:pPr>
            <w:r w:rsidRPr="000C156A">
              <w:rPr>
                <w:rFonts w:cs="Calibri"/>
                <w:b/>
                <w:bCs/>
                <w:sz w:val="22"/>
                <w:szCs w:val="22"/>
                <w:lang w:eastAsia="en-GB"/>
              </w:rPr>
              <w:t>383</w:t>
            </w:r>
            <w:r w:rsidR="00360AE8" w:rsidRPr="000C156A">
              <w:rPr>
                <w:rFonts w:cs="Calibri"/>
                <w:b/>
                <w:bCs/>
                <w:sz w:val="22"/>
                <w:szCs w:val="22"/>
                <w:lang w:eastAsia="en-GB"/>
              </w:rPr>
              <w:t xml:space="preserve"> </w:t>
            </w:r>
            <w:r w:rsidRPr="000C156A">
              <w:rPr>
                <w:rFonts w:cs="Calibri"/>
                <w:b/>
                <w:bCs/>
                <w:sz w:val="22"/>
                <w:szCs w:val="22"/>
                <w:lang w:eastAsia="en-GB"/>
              </w:rPr>
              <w:t>576</w:t>
            </w:r>
          </w:p>
        </w:tc>
        <w:tc>
          <w:tcPr>
            <w:tcW w:w="881" w:type="pct"/>
            <w:shd w:val="clear" w:color="auto" w:fill="auto"/>
            <w:vAlign w:val="center"/>
            <w:hideMark/>
          </w:tcPr>
          <w:p w14:paraId="2E643FBB" w14:textId="5B9B1807" w:rsidR="009630A9" w:rsidRPr="000C156A" w:rsidRDefault="009630A9" w:rsidP="005D02F0">
            <w:pPr>
              <w:overflowPunct/>
              <w:autoSpaceDE/>
              <w:autoSpaceDN/>
              <w:adjustRightInd/>
              <w:spacing w:before="0"/>
              <w:jc w:val="right"/>
              <w:textAlignment w:val="auto"/>
              <w:rPr>
                <w:b/>
                <w:sz w:val="22"/>
                <w:szCs w:val="22"/>
              </w:rPr>
            </w:pPr>
            <w:r w:rsidRPr="000C156A">
              <w:rPr>
                <w:rFonts w:cs="Calibri"/>
                <w:b/>
                <w:bCs/>
                <w:sz w:val="22"/>
                <w:szCs w:val="22"/>
                <w:lang w:eastAsia="en-GB"/>
              </w:rPr>
              <w:t>26</w:t>
            </w:r>
            <w:r w:rsidR="00360AE8" w:rsidRPr="000C156A">
              <w:rPr>
                <w:rFonts w:cs="Calibri"/>
                <w:b/>
                <w:bCs/>
                <w:sz w:val="22"/>
                <w:szCs w:val="22"/>
                <w:lang w:eastAsia="en-GB"/>
              </w:rPr>
              <w:t xml:space="preserve"> </w:t>
            </w:r>
            <w:r w:rsidRPr="000C156A">
              <w:rPr>
                <w:rFonts w:cs="Calibri"/>
                <w:b/>
                <w:bCs/>
                <w:sz w:val="22"/>
                <w:szCs w:val="22"/>
                <w:lang w:eastAsia="en-GB"/>
              </w:rPr>
              <w:t>719</w:t>
            </w:r>
            <w:r w:rsidR="00360AE8" w:rsidRPr="000C156A">
              <w:rPr>
                <w:rFonts w:cs="Calibri"/>
                <w:b/>
                <w:bCs/>
                <w:sz w:val="22"/>
                <w:szCs w:val="22"/>
                <w:lang w:eastAsia="en-GB"/>
              </w:rPr>
              <w:t xml:space="preserve"> </w:t>
            </w:r>
            <w:r w:rsidRPr="000C156A">
              <w:rPr>
                <w:rFonts w:cs="Calibri"/>
                <w:b/>
                <w:bCs/>
                <w:sz w:val="22"/>
                <w:szCs w:val="22"/>
                <w:lang w:eastAsia="en-GB"/>
              </w:rPr>
              <w:t>913</w:t>
            </w:r>
          </w:p>
        </w:tc>
      </w:tr>
    </w:tbl>
    <w:p w14:paraId="783C6FC8" w14:textId="77777777" w:rsidR="009630A9" w:rsidRPr="000C156A" w:rsidRDefault="009630A9" w:rsidP="00AC16B2">
      <w:pPr>
        <w:keepNext/>
        <w:keepLines/>
        <w:spacing w:before="240"/>
        <w:rPr>
          <w:u w:val="single"/>
          <w:lang w:eastAsia="zh-CN"/>
        </w:rPr>
      </w:pPr>
      <w:r w:rsidRPr="000C156A">
        <w:rPr>
          <w:rFonts w:hint="eastAsia"/>
          <w:u w:val="single"/>
          <w:lang w:eastAsia="zh-CN"/>
        </w:rPr>
        <w:t>有关职员其它福利的承付款项</w:t>
      </w:r>
    </w:p>
    <w:p w14:paraId="41994EC8" w14:textId="77777777" w:rsidR="009630A9" w:rsidRPr="000C156A" w:rsidRDefault="009630A9" w:rsidP="009630A9">
      <w:pPr>
        <w:ind w:firstLineChars="200" w:firstLine="480"/>
        <w:rPr>
          <w:lang w:eastAsia="zh-CN"/>
        </w:rPr>
      </w:pPr>
      <w:r w:rsidRPr="000C156A">
        <w:rPr>
          <w:rFonts w:hint="eastAsia"/>
          <w:lang w:eastAsia="zh-CN"/>
        </w:rPr>
        <w:t>在</w:t>
      </w:r>
      <w:r w:rsidRPr="000C156A">
        <w:rPr>
          <w:lang w:eastAsia="zh-CN"/>
        </w:rPr>
        <w:t>UNJSPF</w:t>
      </w:r>
      <w:r w:rsidRPr="000C156A">
        <w:rPr>
          <w:rFonts w:hint="eastAsia"/>
          <w:lang w:eastAsia="zh-CN"/>
        </w:rPr>
        <w:t>和</w:t>
      </w:r>
      <w:r w:rsidRPr="000C156A">
        <w:rPr>
          <w:lang w:eastAsia="zh-CN"/>
        </w:rPr>
        <w:t>SHIF</w:t>
      </w:r>
      <w:r w:rsidRPr="000C156A">
        <w:rPr>
          <w:rFonts w:hint="eastAsia"/>
          <w:lang w:eastAsia="zh-CN"/>
        </w:rPr>
        <w:t>成立以及国际电联加入这两项基金之前，国际电联已设立了相关基金，为其职员提供退休、亡故、残疾和健康保险等福利。自国际电联加入上述基金后，其此前设立的基金目前作为封闭基金运作，其承付款项现已显示为长期负债。国际电联已与其基金签署了协议，确保后者具有资金来源。</w:t>
      </w:r>
    </w:p>
    <w:p w14:paraId="317023B3" w14:textId="77777777" w:rsidR="009630A9" w:rsidRPr="000C156A" w:rsidRDefault="009630A9" w:rsidP="009630A9">
      <w:pPr>
        <w:ind w:firstLineChars="200" w:firstLine="480"/>
        <w:rPr>
          <w:lang w:eastAsia="zh-CN"/>
        </w:rPr>
      </w:pPr>
      <w:r w:rsidRPr="000C156A">
        <w:rPr>
          <w:lang w:eastAsia="zh-CN"/>
        </w:rPr>
        <w:lastRenderedPageBreak/>
        <w:t>2020</w:t>
      </w:r>
      <w:r w:rsidRPr="000C156A">
        <w:rPr>
          <w:rFonts w:hint="eastAsia"/>
          <w:lang w:eastAsia="zh-CN"/>
        </w:rPr>
        <w:t>年，国际电联认为没有必要要求对国际电联职员退休和福利基金进行新的精算研究。截至</w:t>
      </w:r>
      <w:r w:rsidRPr="000C156A">
        <w:rPr>
          <w:lang w:eastAsia="zh-CN"/>
        </w:rPr>
        <w:t>2020</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日，目前支付给参加国际电联职员退休和福利基金前职员的承付款项准备金没有变化，</w:t>
      </w:r>
      <w:r w:rsidRPr="000C156A">
        <w:rPr>
          <w:lang w:eastAsia="zh-CN"/>
        </w:rPr>
        <w:t>2010</w:t>
      </w:r>
      <w:r w:rsidRPr="000C156A">
        <w:rPr>
          <w:rFonts w:hint="eastAsia"/>
          <w:lang w:eastAsia="zh-CN"/>
        </w:rPr>
        <w:t>年的数额为</w:t>
      </w:r>
      <w:r w:rsidRPr="000C156A">
        <w:rPr>
          <w:rFonts w:hint="eastAsia"/>
          <w:lang w:eastAsia="zh-CN"/>
        </w:rPr>
        <w:t>54</w:t>
      </w:r>
      <w:r w:rsidRPr="000C156A">
        <w:rPr>
          <w:lang w:eastAsia="zh-CN"/>
        </w:rPr>
        <w:t xml:space="preserve"> 000</w:t>
      </w:r>
      <w:r w:rsidRPr="000C156A">
        <w:rPr>
          <w:rFonts w:hint="eastAsia"/>
          <w:lang w:eastAsia="zh-CN"/>
        </w:rPr>
        <w:t>瑞郎的准备金。</w:t>
      </w:r>
    </w:p>
    <w:p w14:paraId="36166A16" w14:textId="77777777" w:rsidR="009630A9" w:rsidRPr="000C156A" w:rsidRDefault="009630A9" w:rsidP="009630A9">
      <w:pPr>
        <w:pStyle w:val="Heading1"/>
        <w:spacing w:before="240" w:after="120"/>
        <w:rPr>
          <w:sz w:val="24"/>
          <w:szCs w:val="24"/>
          <w:lang w:eastAsia="zh-CN"/>
        </w:rPr>
      </w:pPr>
      <w:bookmarkStart w:id="809" w:name="_Toc304406447"/>
      <w:bookmarkStart w:id="810" w:name="_Toc482892578"/>
      <w:bookmarkStart w:id="811" w:name="_Toc482870843"/>
      <w:bookmarkStart w:id="812" w:name="_Toc329165794"/>
      <w:bookmarkStart w:id="813" w:name="_Toc305594752"/>
      <w:bookmarkStart w:id="814" w:name="_Toc511813762"/>
      <w:bookmarkStart w:id="815" w:name="_Toc511817845"/>
      <w:bookmarkStart w:id="816" w:name="_Toc520280745"/>
      <w:bookmarkStart w:id="817" w:name="_Toc10536840"/>
      <w:bookmarkStart w:id="818" w:name="_Toc41905891"/>
      <w:bookmarkStart w:id="819" w:name="_Toc41906912"/>
      <w:bookmarkStart w:id="820" w:name="_Toc41907993"/>
      <w:bookmarkStart w:id="821" w:name="_Toc41908061"/>
      <w:bookmarkStart w:id="822" w:name="_Toc73518709"/>
      <w:bookmarkStart w:id="823" w:name="_Toc73518856"/>
      <w:bookmarkStart w:id="824" w:name="_Toc73519256"/>
      <w:bookmarkStart w:id="825" w:name="_Toc73636295"/>
      <w:r w:rsidRPr="000C156A">
        <w:rPr>
          <w:rFonts w:cs="Microsoft YaHei" w:hint="eastAsia"/>
          <w:sz w:val="24"/>
          <w:szCs w:val="24"/>
          <w:lang w:val="fr-FR" w:eastAsia="zh-CN"/>
        </w:rPr>
        <w:t>说明</w:t>
      </w:r>
      <w:r w:rsidRPr="000C156A">
        <w:rPr>
          <w:sz w:val="24"/>
          <w:szCs w:val="24"/>
          <w:lang w:eastAsia="zh-CN"/>
        </w:rPr>
        <w:t>18</w:t>
      </w:r>
      <w:r w:rsidRPr="000C156A">
        <w:rPr>
          <w:sz w:val="24"/>
          <w:szCs w:val="24"/>
          <w:lang w:eastAsia="zh-CN"/>
        </w:rPr>
        <w:tab/>
      </w:r>
      <w:bookmarkEnd w:id="809"/>
      <w:r w:rsidRPr="000C156A">
        <w:rPr>
          <w:rFonts w:cs="Microsoft YaHei" w:hint="eastAsia"/>
          <w:sz w:val="24"/>
          <w:szCs w:val="24"/>
          <w:lang w:val="fr-FR" w:eastAsia="zh-CN"/>
        </w:rPr>
        <w:t>准备金</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14F0A297" w14:textId="77777777" w:rsidR="009630A9" w:rsidRPr="000C156A" w:rsidRDefault="009630A9" w:rsidP="009630A9">
      <w:pPr>
        <w:ind w:firstLineChars="200" w:firstLine="480"/>
        <w:rPr>
          <w:lang w:eastAsia="zh-CN"/>
        </w:rPr>
      </w:pPr>
      <w:r w:rsidRPr="000C156A">
        <w:rPr>
          <w:rFonts w:hint="eastAsia"/>
          <w:lang w:eastAsia="zh-CN"/>
        </w:rPr>
        <w:t>风险和费用准备金包括诉讼准备金，该准备金是对与一过去事件相关的未来承付款项结账日期时的估值（国际电联是各事件争议所涉方之一），但亦包括向仲裁法庭提交每项诉讼所支付的行政费用的平均成本。</w:t>
      </w:r>
    </w:p>
    <w:p w14:paraId="6E9A311A" w14:textId="77777777" w:rsidR="009630A9" w:rsidRPr="000C156A" w:rsidRDefault="009630A9" w:rsidP="009630A9">
      <w:pPr>
        <w:spacing w:after="240"/>
        <w:ind w:firstLineChars="200" w:firstLine="480"/>
        <w:rPr>
          <w:lang w:eastAsia="zh-CN"/>
        </w:rPr>
      </w:pPr>
      <w:r w:rsidRPr="000C156A">
        <w:rPr>
          <w:rFonts w:hint="eastAsia"/>
          <w:lang w:eastAsia="zh-CN"/>
        </w:rPr>
        <w:t>卫星网络申报（</w:t>
      </w:r>
      <w:r w:rsidRPr="000C156A">
        <w:rPr>
          <w:lang w:eastAsia="zh-CN"/>
        </w:rPr>
        <w:t>SNF</w:t>
      </w:r>
      <w:r w:rsidRPr="000C156A">
        <w:rPr>
          <w:rFonts w:hint="eastAsia"/>
          <w:lang w:eastAsia="zh-CN"/>
        </w:rPr>
        <w:t>）准备金包括与运营商有权要求在任何一年免费公布资料相对应的数额。在本财务期内这一准备金已全部使用。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1601"/>
        <w:gridCol w:w="1843"/>
        <w:gridCol w:w="1797"/>
      </w:tblGrid>
      <w:tr w:rsidR="009630A9" w:rsidRPr="000C156A" w14:paraId="197C02A3" w14:textId="77777777" w:rsidTr="005D02F0">
        <w:trPr>
          <w:jc w:val="center"/>
        </w:trPr>
        <w:tc>
          <w:tcPr>
            <w:tcW w:w="4244" w:type="dxa"/>
            <w:tcBorders>
              <w:top w:val="single" w:sz="4" w:space="0" w:color="000000"/>
              <w:left w:val="single" w:sz="4" w:space="0" w:color="000000"/>
              <w:bottom w:val="single" w:sz="4" w:space="0" w:color="000000"/>
              <w:right w:val="nil"/>
            </w:tcBorders>
            <w:vAlign w:val="center"/>
          </w:tcPr>
          <w:p w14:paraId="2C5A9FC4" w14:textId="77777777" w:rsidR="009630A9" w:rsidRPr="000C156A" w:rsidRDefault="009630A9" w:rsidP="005D02F0">
            <w:pPr>
              <w:keepNext/>
              <w:spacing w:after="120"/>
              <w:jc w:val="center"/>
              <w:rPr>
                <w:b/>
                <w:sz w:val="22"/>
                <w:szCs w:val="22"/>
                <w:lang w:val="en-US" w:eastAsia="zh-CN"/>
              </w:rPr>
            </w:pPr>
          </w:p>
        </w:tc>
        <w:tc>
          <w:tcPr>
            <w:tcW w:w="5241" w:type="dxa"/>
            <w:gridSpan w:val="3"/>
            <w:tcBorders>
              <w:top w:val="single" w:sz="4" w:space="0" w:color="000000"/>
              <w:left w:val="nil"/>
              <w:bottom w:val="single" w:sz="4" w:space="0" w:color="000000"/>
              <w:right w:val="single" w:sz="4" w:space="0" w:color="000000"/>
            </w:tcBorders>
            <w:vAlign w:val="center"/>
          </w:tcPr>
          <w:p w14:paraId="2BAFFCA5" w14:textId="77777777" w:rsidR="009630A9" w:rsidRPr="000C156A" w:rsidRDefault="009630A9" w:rsidP="005D02F0">
            <w:pPr>
              <w:keepNext/>
              <w:spacing w:after="120"/>
              <w:jc w:val="center"/>
              <w:rPr>
                <w:b/>
                <w:sz w:val="22"/>
                <w:szCs w:val="22"/>
                <w:lang w:val="en-US"/>
              </w:rPr>
            </w:pPr>
            <w:r w:rsidRPr="000C156A">
              <w:rPr>
                <w:rFonts w:hint="eastAsia"/>
                <w:b/>
                <w:sz w:val="22"/>
                <w:szCs w:val="22"/>
                <w:lang w:val="en-US" w:eastAsia="zh-CN"/>
              </w:rPr>
              <w:t>准备金</w:t>
            </w:r>
          </w:p>
        </w:tc>
      </w:tr>
      <w:tr w:rsidR="009630A9" w:rsidRPr="000C156A" w14:paraId="7B28968D" w14:textId="77777777" w:rsidTr="005D02F0">
        <w:trPr>
          <w:jc w:val="center"/>
        </w:trPr>
        <w:tc>
          <w:tcPr>
            <w:tcW w:w="4244" w:type="dxa"/>
            <w:tcBorders>
              <w:top w:val="single" w:sz="4" w:space="0" w:color="000000"/>
              <w:left w:val="single" w:sz="4" w:space="0" w:color="auto"/>
              <w:bottom w:val="single" w:sz="4" w:space="0" w:color="auto"/>
              <w:right w:val="single" w:sz="4" w:space="0" w:color="auto"/>
            </w:tcBorders>
            <w:vAlign w:val="center"/>
            <w:hideMark/>
          </w:tcPr>
          <w:p w14:paraId="457DDFA3" w14:textId="77777777" w:rsidR="009630A9" w:rsidRPr="000C156A" w:rsidRDefault="009630A9" w:rsidP="005D02F0">
            <w:pPr>
              <w:keepNext/>
              <w:spacing w:after="120"/>
              <w:rPr>
                <w:rFonts w:asciiTheme="minorHAnsi" w:hAnsiTheme="minorHAnsi" w:cstheme="minorHAnsi"/>
                <w:b/>
                <w:sz w:val="22"/>
                <w:szCs w:val="22"/>
                <w:lang w:val="en-US"/>
              </w:rPr>
            </w:pPr>
            <w:r w:rsidRPr="000C156A">
              <w:rPr>
                <w:rFonts w:asciiTheme="minorHAnsi" w:hAnsiTheme="minorHAnsi" w:cstheme="minorHAnsi" w:hint="eastAsia"/>
                <w:b/>
                <w:sz w:val="22"/>
                <w:szCs w:val="22"/>
                <w:lang w:val="en-US"/>
              </w:rPr>
              <w:t>单位：千瑞郎</w:t>
            </w:r>
          </w:p>
        </w:tc>
        <w:tc>
          <w:tcPr>
            <w:tcW w:w="1601" w:type="dxa"/>
            <w:tcBorders>
              <w:top w:val="single" w:sz="4" w:space="0" w:color="000000"/>
              <w:left w:val="single" w:sz="4" w:space="0" w:color="auto"/>
              <w:bottom w:val="single" w:sz="4" w:space="0" w:color="auto"/>
              <w:right w:val="single" w:sz="4" w:space="0" w:color="auto"/>
            </w:tcBorders>
            <w:vAlign w:val="center"/>
            <w:hideMark/>
          </w:tcPr>
          <w:p w14:paraId="08F94171" w14:textId="77777777" w:rsidR="009630A9" w:rsidRPr="000C156A" w:rsidRDefault="009630A9" w:rsidP="005D02F0">
            <w:pPr>
              <w:keepNext/>
              <w:spacing w:after="120"/>
              <w:jc w:val="center"/>
              <w:rPr>
                <w:b/>
                <w:sz w:val="22"/>
                <w:szCs w:val="22"/>
                <w:lang w:val="en-US" w:eastAsia="zh-CN"/>
              </w:rPr>
            </w:pPr>
            <w:r w:rsidRPr="000C156A">
              <w:rPr>
                <w:b/>
                <w:sz w:val="22"/>
                <w:szCs w:val="22"/>
                <w:lang w:val="en-US" w:eastAsia="zh-CN"/>
              </w:rPr>
              <w:t>SNF</w:t>
            </w:r>
          </w:p>
        </w:tc>
        <w:tc>
          <w:tcPr>
            <w:tcW w:w="1843" w:type="dxa"/>
            <w:tcBorders>
              <w:top w:val="single" w:sz="4" w:space="0" w:color="000000"/>
              <w:left w:val="single" w:sz="4" w:space="0" w:color="auto"/>
              <w:bottom w:val="single" w:sz="4" w:space="0" w:color="auto"/>
              <w:right w:val="single" w:sz="4" w:space="0" w:color="auto"/>
            </w:tcBorders>
            <w:vAlign w:val="center"/>
            <w:hideMark/>
          </w:tcPr>
          <w:p w14:paraId="5D503BA1" w14:textId="77777777" w:rsidR="009630A9" w:rsidRPr="000C156A" w:rsidRDefault="009630A9" w:rsidP="005D02F0">
            <w:pPr>
              <w:keepNext/>
              <w:spacing w:after="120"/>
              <w:jc w:val="center"/>
              <w:rPr>
                <w:b/>
                <w:sz w:val="22"/>
                <w:szCs w:val="22"/>
                <w:lang w:val="en-US" w:eastAsia="zh-CN"/>
              </w:rPr>
            </w:pPr>
            <w:r w:rsidRPr="000C156A">
              <w:rPr>
                <w:rFonts w:hint="eastAsia"/>
                <w:b/>
                <w:sz w:val="22"/>
                <w:szCs w:val="22"/>
                <w:lang w:val="en-US" w:eastAsia="zh-CN"/>
              </w:rPr>
              <w:t>诉讼</w:t>
            </w:r>
          </w:p>
        </w:tc>
        <w:tc>
          <w:tcPr>
            <w:tcW w:w="1797" w:type="dxa"/>
            <w:tcBorders>
              <w:top w:val="single" w:sz="4" w:space="0" w:color="000000"/>
              <w:left w:val="single" w:sz="4" w:space="0" w:color="auto"/>
              <w:bottom w:val="single" w:sz="4" w:space="0" w:color="auto"/>
              <w:right w:val="single" w:sz="4" w:space="0" w:color="auto"/>
            </w:tcBorders>
            <w:vAlign w:val="center"/>
            <w:hideMark/>
          </w:tcPr>
          <w:p w14:paraId="6A0C7670" w14:textId="77777777" w:rsidR="009630A9" w:rsidRPr="000C156A" w:rsidRDefault="009630A9" w:rsidP="005D02F0">
            <w:pPr>
              <w:keepNext/>
              <w:spacing w:after="120"/>
              <w:jc w:val="center"/>
              <w:rPr>
                <w:b/>
                <w:sz w:val="22"/>
                <w:szCs w:val="22"/>
                <w:lang w:val="en-US"/>
              </w:rPr>
            </w:pPr>
            <w:r w:rsidRPr="000C156A">
              <w:rPr>
                <w:rFonts w:hint="eastAsia"/>
                <w:b/>
                <w:sz w:val="22"/>
                <w:szCs w:val="22"/>
                <w:lang w:val="en-US"/>
              </w:rPr>
              <w:t>合计</w:t>
            </w:r>
          </w:p>
        </w:tc>
      </w:tr>
      <w:tr w:rsidR="009630A9" w:rsidRPr="000C156A" w14:paraId="6870EC8D" w14:textId="77777777" w:rsidTr="005D02F0">
        <w:trPr>
          <w:jc w:val="center"/>
        </w:trPr>
        <w:tc>
          <w:tcPr>
            <w:tcW w:w="4244" w:type="dxa"/>
            <w:tcBorders>
              <w:top w:val="single" w:sz="4" w:space="0" w:color="auto"/>
              <w:left w:val="single" w:sz="4" w:space="0" w:color="auto"/>
              <w:bottom w:val="nil"/>
              <w:right w:val="single" w:sz="4" w:space="0" w:color="auto"/>
            </w:tcBorders>
            <w:hideMark/>
          </w:tcPr>
          <w:p w14:paraId="5F24A6B1" w14:textId="77777777" w:rsidR="009630A9" w:rsidRPr="000C156A" w:rsidRDefault="009630A9" w:rsidP="005D02F0">
            <w:pPr>
              <w:keepNext/>
              <w:spacing w:before="60" w:after="60"/>
              <w:rPr>
                <w:rFonts w:asciiTheme="minorHAnsi" w:eastAsiaTheme="majorEastAsia" w:hAnsiTheme="minorHAnsi" w:cstheme="minorHAnsi"/>
                <w:b/>
                <w:bCs/>
                <w:sz w:val="22"/>
                <w:szCs w:val="22"/>
                <w:lang w:val="en-US"/>
              </w:rPr>
            </w:pPr>
            <w:r w:rsidRPr="000C156A">
              <w:rPr>
                <w:rFonts w:asciiTheme="minorHAnsi" w:eastAsiaTheme="majorEastAsia" w:hAnsiTheme="minorHAnsi" w:cstheme="minorHAnsi" w:hint="eastAsia"/>
                <w:b/>
                <w:bCs/>
                <w:sz w:val="22"/>
                <w:szCs w:val="22"/>
                <w:lang w:val="en-US"/>
              </w:rPr>
              <w:t>期初余额</w:t>
            </w:r>
          </w:p>
        </w:tc>
        <w:tc>
          <w:tcPr>
            <w:tcW w:w="1601" w:type="dxa"/>
            <w:tcBorders>
              <w:top w:val="nil"/>
              <w:left w:val="nil"/>
              <w:bottom w:val="nil"/>
              <w:right w:val="single" w:sz="4" w:space="0" w:color="auto"/>
            </w:tcBorders>
            <w:shd w:val="clear" w:color="auto" w:fill="auto"/>
            <w:vAlign w:val="center"/>
            <w:hideMark/>
          </w:tcPr>
          <w:p w14:paraId="1C1BBDBA" w14:textId="77777777" w:rsidR="009630A9" w:rsidRPr="000C156A" w:rsidRDefault="009630A9" w:rsidP="005D02F0">
            <w:pPr>
              <w:keepNext/>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545</w:t>
            </w:r>
          </w:p>
        </w:tc>
        <w:tc>
          <w:tcPr>
            <w:tcW w:w="1843" w:type="dxa"/>
            <w:tcBorders>
              <w:top w:val="nil"/>
              <w:left w:val="nil"/>
              <w:bottom w:val="nil"/>
              <w:right w:val="single" w:sz="4" w:space="0" w:color="auto"/>
            </w:tcBorders>
            <w:shd w:val="clear" w:color="auto" w:fill="auto"/>
            <w:vAlign w:val="center"/>
            <w:hideMark/>
          </w:tcPr>
          <w:p w14:paraId="6F4A51D9" w14:textId="77777777" w:rsidR="009630A9" w:rsidRPr="000C156A" w:rsidRDefault="009630A9" w:rsidP="005D02F0">
            <w:pPr>
              <w:keepNext/>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182</w:t>
            </w:r>
          </w:p>
        </w:tc>
        <w:tc>
          <w:tcPr>
            <w:tcW w:w="1797" w:type="dxa"/>
            <w:tcBorders>
              <w:top w:val="nil"/>
              <w:left w:val="nil"/>
              <w:bottom w:val="nil"/>
              <w:right w:val="single" w:sz="4" w:space="0" w:color="auto"/>
            </w:tcBorders>
            <w:shd w:val="clear" w:color="auto" w:fill="auto"/>
            <w:vAlign w:val="center"/>
            <w:hideMark/>
          </w:tcPr>
          <w:p w14:paraId="1132E467" w14:textId="77777777" w:rsidR="009630A9" w:rsidRPr="000C156A" w:rsidRDefault="009630A9" w:rsidP="005D02F0">
            <w:pPr>
              <w:keepNext/>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727</w:t>
            </w:r>
          </w:p>
        </w:tc>
      </w:tr>
      <w:tr w:rsidR="009630A9" w:rsidRPr="000C156A" w14:paraId="70CC61A9" w14:textId="77777777" w:rsidTr="005D02F0">
        <w:trPr>
          <w:jc w:val="center"/>
        </w:trPr>
        <w:tc>
          <w:tcPr>
            <w:tcW w:w="4244" w:type="dxa"/>
            <w:tcBorders>
              <w:top w:val="nil"/>
              <w:left w:val="single" w:sz="4" w:space="0" w:color="auto"/>
              <w:bottom w:val="nil"/>
              <w:right w:val="single" w:sz="4" w:space="0" w:color="auto"/>
            </w:tcBorders>
            <w:hideMark/>
          </w:tcPr>
          <w:p w14:paraId="4F2FD2B6" w14:textId="77777777" w:rsidR="009630A9" w:rsidRPr="000C156A" w:rsidRDefault="009630A9" w:rsidP="005D02F0">
            <w:pPr>
              <w:pStyle w:val="ListParagraph"/>
              <w:keepNext/>
              <w:tabs>
                <w:tab w:val="left" w:pos="720"/>
              </w:tabs>
              <w:spacing w:before="60" w:after="60"/>
              <w:ind w:left="241"/>
              <w:rPr>
                <w:rFonts w:asciiTheme="minorHAnsi" w:eastAsiaTheme="majorEastAsia" w:hAnsiTheme="minorHAnsi" w:cstheme="minorHAnsi"/>
                <w:sz w:val="22"/>
                <w:szCs w:val="22"/>
              </w:rPr>
            </w:pPr>
            <w:r w:rsidRPr="000C156A">
              <w:rPr>
                <w:rFonts w:asciiTheme="minorHAnsi" w:eastAsiaTheme="majorEastAsia" w:hAnsiTheme="minorHAnsi" w:cstheme="minorHAnsi" w:hint="eastAsia"/>
                <w:sz w:val="22"/>
                <w:szCs w:val="22"/>
              </w:rPr>
              <w:t>增长</w:t>
            </w:r>
          </w:p>
        </w:tc>
        <w:tc>
          <w:tcPr>
            <w:tcW w:w="1601" w:type="dxa"/>
            <w:tcBorders>
              <w:top w:val="nil"/>
              <w:left w:val="nil"/>
              <w:bottom w:val="nil"/>
              <w:right w:val="single" w:sz="4" w:space="0" w:color="auto"/>
            </w:tcBorders>
            <w:shd w:val="clear" w:color="auto" w:fill="auto"/>
            <w:vAlign w:val="bottom"/>
            <w:hideMark/>
          </w:tcPr>
          <w:p w14:paraId="78B362C3" w14:textId="77777777" w:rsidR="009630A9" w:rsidRPr="000C156A" w:rsidRDefault="009630A9" w:rsidP="005D02F0">
            <w:pPr>
              <w:keepNext/>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530</w:t>
            </w:r>
          </w:p>
        </w:tc>
        <w:tc>
          <w:tcPr>
            <w:tcW w:w="1843" w:type="dxa"/>
            <w:tcBorders>
              <w:top w:val="nil"/>
              <w:left w:val="nil"/>
              <w:bottom w:val="nil"/>
              <w:right w:val="single" w:sz="4" w:space="0" w:color="auto"/>
            </w:tcBorders>
            <w:shd w:val="clear" w:color="auto" w:fill="auto"/>
            <w:vAlign w:val="bottom"/>
            <w:hideMark/>
          </w:tcPr>
          <w:p w14:paraId="14E0BA18" w14:textId="77777777" w:rsidR="009630A9" w:rsidRPr="000C156A" w:rsidRDefault="009630A9" w:rsidP="005D02F0">
            <w:pPr>
              <w:keepNext/>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486</w:t>
            </w:r>
          </w:p>
        </w:tc>
        <w:tc>
          <w:tcPr>
            <w:tcW w:w="1797" w:type="dxa"/>
            <w:tcBorders>
              <w:top w:val="nil"/>
              <w:left w:val="nil"/>
              <w:bottom w:val="nil"/>
              <w:right w:val="single" w:sz="4" w:space="0" w:color="auto"/>
            </w:tcBorders>
            <w:shd w:val="clear" w:color="auto" w:fill="auto"/>
            <w:vAlign w:val="bottom"/>
            <w:hideMark/>
          </w:tcPr>
          <w:p w14:paraId="0C4FE9E3" w14:textId="328FC766" w:rsidR="009630A9" w:rsidRPr="000C156A" w:rsidRDefault="009630A9" w:rsidP="00871497">
            <w:pPr>
              <w:keepNext/>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1</w:t>
            </w:r>
            <w:r w:rsidR="00871497" w:rsidRPr="000C156A">
              <w:rPr>
                <w:rFonts w:cs="Arial"/>
                <w:color w:val="000000"/>
                <w:sz w:val="22"/>
                <w:szCs w:val="22"/>
                <w:lang w:val="en-US" w:eastAsia="zh-CN"/>
              </w:rPr>
              <w:t xml:space="preserve"> </w:t>
            </w:r>
            <w:r w:rsidRPr="000C156A">
              <w:rPr>
                <w:rFonts w:cs="Arial"/>
                <w:color w:val="000000"/>
                <w:sz w:val="22"/>
                <w:szCs w:val="22"/>
                <w:lang w:val="en-US" w:eastAsia="zh-CN"/>
              </w:rPr>
              <w:t>016</w:t>
            </w:r>
          </w:p>
        </w:tc>
      </w:tr>
      <w:tr w:rsidR="009630A9" w:rsidRPr="000C156A" w14:paraId="7E5D0D2F" w14:textId="77777777" w:rsidTr="005D02F0">
        <w:trPr>
          <w:jc w:val="center"/>
        </w:trPr>
        <w:tc>
          <w:tcPr>
            <w:tcW w:w="4244" w:type="dxa"/>
            <w:tcBorders>
              <w:top w:val="nil"/>
              <w:left w:val="single" w:sz="4" w:space="0" w:color="auto"/>
              <w:bottom w:val="nil"/>
              <w:right w:val="single" w:sz="4" w:space="0" w:color="auto"/>
            </w:tcBorders>
            <w:hideMark/>
          </w:tcPr>
          <w:p w14:paraId="6BCB7313" w14:textId="77777777" w:rsidR="009630A9" w:rsidRPr="000C156A" w:rsidRDefault="009630A9" w:rsidP="005D02F0">
            <w:pPr>
              <w:pStyle w:val="ListParagraph"/>
              <w:keepNext/>
              <w:tabs>
                <w:tab w:val="left" w:pos="720"/>
              </w:tabs>
              <w:spacing w:before="60" w:after="60"/>
              <w:ind w:left="241"/>
              <w:rPr>
                <w:rFonts w:asciiTheme="minorHAnsi" w:eastAsiaTheme="majorEastAsia" w:hAnsiTheme="minorHAnsi" w:cstheme="minorHAnsi"/>
                <w:sz w:val="22"/>
                <w:szCs w:val="22"/>
              </w:rPr>
            </w:pPr>
            <w:r w:rsidRPr="000C156A">
              <w:rPr>
                <w:rFonts w:asciiTheme="minorHAnsi" w:eastAsiaTheme="majorEastAsia" w:hAnsiTheme="minorHAnsi" w:cstheme="minorHAnsi" w:hint="eastAsia"/>
                <w:sz w:val="22"/>
                <w:szCs w:val="22"/>
              </w:rPr>
              <w:t>年内使用</w:t>
            </w:r>
          </w:p>
        </w:tc>
        <w:tc>
          <w:tcPr>
            <w:tcW w:w="1601" w:type="dxa"/>
            <w:tcBorders>
              <w:top w:val="nil"/>
              <w:left w:val="nil"/>
              <w:bottom w:val="nil"/>
              <w:right w:val="single" w:sz="4" w:space="0" w:color="auto"/>
            </w:tcBorders>
            <w:shd w:val="clear" w:color="auto" w:fill="auto"/>
            <w:vAlign w:val="bottom"/>
            <w:hideMark/>
          </w:tcPr>
          <w:p w14:paraId="770A8248" w14:textId="77777777" w:rsidR="009630A9" w:rsidRPr="000C156A" w:rsidRDefault="009630A9" w:rsidP="005D02F0">
            <w:pPr>
              <w:keepNext/>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-305</w:t>
            </w:r>
          </w:p>
        </w:tc>
        <w:tc>
          <w:tcPr>
            <w:tcW w:w="1843" w:type="dxa"/>
            <w:tcBorders>
              <w:top w:val="nil"/>
              <w:left w:val="nil"/>
              <w:bottom w:val="nil"/>
              <w:right w:val="single" w:sz="4" w:space="0" w:color="auto"/>
            </w:tcBorders>
            <w:shd w:val="clear" w:color="auto" w:fill="auto"/>
            <w:vAlign w:val="bottom"/>
            <w:hideMark/>
          </w:tcPr>
          <w:p w14:paraId="6934F106" w14:textId="77777777" w:rsidR="009630A9" w:rsidRPr="000C156A" w:rsidRDefault="009630A9" w:rsidP="005D02F0">
            <w:pPr>
              <w:keepNext/>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-81</w:t>
            </w:r>
          </w:p>
        </w:tc>
        <w:tc>
          <w:tcPr>
            <w:tcW w:w="1797" w:type="dxa"/>
            <w:tcBorders>
              <w:top w:val="nil"/>
              <w:left w:val="nil"/>
              <w:bottom w:val="nil"/>
              <w:right w:val="single" w:sz="4" w:space="0" w:color="auto"/>
            </w:tcBorders>
            <w:shd w:val="clear" w:color="auto" w:fill="auto"/>
            <w:vAlign w:val="bottom"/>
            <w:hideMark/>
          </w:tcPr>
          <w:p w14:paraId="2F0F7089" w14:textId="1C4A9FB1" w:rsidR="009630A9" w:rsidRPr="000C156A" w:rsidRDefault="009630A9" w:rsidP="00871497">
            <w:pPr>
              <w:keepNext/>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-386</w:t>
            </w:r>
          </w:p>
        </w:tc>
      </w:tr>
      <w:tr w:rsidR="009630A9" w:rsidRPr="000C156A" w14:paraId="1A36B727" w14:textId="77777777" w:rsidTr="005D02F0">
        <w:trPr>
          <w:jc w:val="center"/>
        </w:trPr>
        <w:tc>
          <w:tcPr>
            <w:tcW w:w="4244" w:type="dxa"/>
            <w:tcBorders>
              <w:top w:val="nil"/>
              <w:left w:val="single" w:sz="4" w:space="0" w:color="auto"/>
              <w:bottom w:val="nil"/>
              <w:right w:val="single" w:sz="4" w:space="0" w:color="auto"/>
            </w:tcBorders>
            <w:hideMark/>
          </w:tcPr>
          <w:p w14:paraId="52CFC6F9" w14:textId="77777777" w:rsidR="009630A9" w:rsidRPr="000C156A" w:rsidRDefault="009630A9" w:rsidP="005D02F0">
            <w:pPr>
              <w:pStyle w:val="ListParagraph"/>
              <w:keepNext/>
              <w:tabs>
                <w:tab w:val="left" w:pos="720"/>
              </w:tabs>
              <w:spacing w:before="60" w:after="60"/>
              <w:ind w:left="241"/>
              <w:rPr>
                <w:rFonts w:asciiTheme="minorHAnsi" w:eastAsiaTheme="majorEastAsia" w:hAnsiTheme="minorHAnsi" w:cstheme="minorHAnsi"/>
                <w:sz w:val="22"/>
                <w:szCs w:val="22"/>
              </w:rPr>
            </w:pPr>
            <w:r w:rsidRPr="000C156A">
              <w:rPr>
                <w:rFonts w:asciiTheme="minorHAnsi" w:eastAsiaTheme="majorEastAsia" w:hAnsiTheme="minorHAnsi" w:cstheme="minorHAnsi" w:hint="eastAsia"/>
                <w:sz w:val="22"/>
                <w:szCs w:val="22"/>
              </w:rPr>
              <w:t>减免</w:t>
            </w:r>
          </w:p>
        </w:tc>
        <w:tc>
          <w:tcPr>
            <w:tcW w:w="1601" w:type="dxa"/>
            <w:tcBorders>
              <w:top w:val="nil"/>
              <w:left w:val="nil"/>
              <w:bottom w:val="nil"/>
              <w:right w:val="single" w:sz="4" w:space="0" w:color="auto"/>
            </w:tcBorders>
            <w:shd w:val="clear" w:color="auto" w:fill="auto"/>
            <w:vAlign w:val="bottom"/>
            <w:hideMark/>
          </w:tcPr>
          <w:p w14:paraId="081124E3" w14:textId="77777777" w:rsidR="009630A9" w:rsidRPr="000C156A" w:rsidRDefault="009630A9" w:rsidP="005D02F0">
            <w:pPr>
              <w:keepNext/>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-240</w:t>
            </w:r>
          </w:p>
        </w:tc>
        <w:tc>
          <w:tcPr>
            <w:tcW w:w="1843" w:type="dxa"/>
            <w:tcBorders>
              <w:top w:val="nil"/>
              <w:left w:val="nil"/>
              <w:bottom w:val="nil"/>
              <w:right w:val="single" w:sz="4" w:space="0" w:color="auto"/>
            </w:tcBorders>
            <w:shd w:val="clear" w:color="auto" w:fill="auto"/>
            <w:vAlign w:val="bottom"/>
            <w:hideMark/>
          </w:tcPr>
          <w:p w14:paraId="14C0D78F" w14:textId="77777777" w:rsidR="009630A9" w:rsidRPr="000C156A" w:rsidRDefault="009630A9" w:rsidP="005D02F0">
            <w:pPr>
              <w:keepNext/>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-5</w:t>
            </w:r>
          </w:p>
        </w:tc>
        <w:tc>
          <w:tcPr>
            <w:tcW w:w="1797" w:type="dxa"/>
            <w:tcBorders>
              <w:top w:val="nil"/>
              <w:left w:val="nil"/>
              <w:bottom w:val="nil"/>
              <w:right w:val="single" w:sz="4" w:space="0" w:color="auto"/>
            </w:tcBorders>
            <w:shd w:val="clear" w:color="auto" w:fill="auto"/>
            <w:vAlign w:val="bottom"/>
            <w:hideMark/>
          </w:tcPr>
          <w:p w14:paraId="451A3A2D" w14:textId="77777777" w:rsidR="009630A9" w:rsidRPr="000C156A" w:rsidRDefault="009630A9" w:rsidP="005D02F0">
            <w:pPr>
              <w:keepNext/>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-245</w:t>
            </w:r>
          </w:p>
        </w:tc>
      </w:tr>
      <w:tr w:rsidR="009630A9" w:rsidRPr="000C156A" w14:paraId="10ADFA42" w14:textId="77777777" w:rsidTr="005D02F0">
        <w:trPr>
          <w:jc w:val="center"/>
        </w:trPr>
        <w:tc>
          <w:tcPr>
            <w:tcW w:w="4244" w:type="dxa"/>
            <w:tcBorders>
              <w:top w:val="nil"/>
              <w:left w:val="single" w:sz="4" w:space="0" w:color="auto"/>
              <w:bottom w:val="nil"/>
              <w:right w:val="single" w:sz="4" w:space="0" w:color="auto"/>
            </w:tcBorders>
          </w:tcPr>
          <w:p w14:paraId="401D0EBC" w14:textId="77777777" w:rsidR="009630A9" w:rsidRPr="000C156A" w:rsidRDefault="009630A9" w:rsidP="005D02F0">
            <w:pPr>
              <w:pStyle w:val="ListParagraph"/>
              <w:keepNext/>
              <w:tabs>
                <w:tab w:val="left" w:pos="720"/>
              </w:tabs>
              <w:spacing w:before="60" w:after="60"/>
              <w:ind w:left="241"/>
              <w:rPr>
                <w:rFonts w:asciiTheme="minorHAnsi" w:eastAsiaTheme="majorEastAsia" w:hAnsiTheme="minorHAnsi" w:cstheme="minorHAnsi"/>
                <w:sz w:val="22"/>
                <w:szCs w:val="22"/>
              </w:rPr>
            </w:pPr>
            <w:r w:rsidRPr="000C156A">
              <w:rPr>
                <w:rFonts w:asciiTheme="minorEastAsia" w:eastAsiaTheme="minorEastAsia" w:hAnsiTheme="minorEastAsia" w:cs="Arial" w:hint="eastAsia"/>
                <w:color w:val="000000"/>
                <w:sz w:val="22"/>
                <w:szCs w:val="22"/>
              </w:rPr>
              <w:t>转账</w:t>
            </w:r>
          </w:p>
        </w:tc>
        <w:tc>
          <w:tcPr>
            <w:tcW w:w="1601" w:type="dxa"/>
            <w:tcBorders>
              <w:top w:val="nil"/>
              <w:left w:val="single" w:sz="4" w:space="0" w:color="auto"/>
              <w:bottom w:val="nil"/>
              <w:right w:val="single" w:sz="4" w:space="0" w:color="auto"/>
            </w:tcBorders>
            <w:vAlign w:val="bottom"/>
          </w:tcPr>
          <w:p w14:paraId="35CB2BA6" w14:textId="77777777" w:rsidR="009630A9" w:rsidRPr="000C156A" w:rsidRDefault="009630A9" w:rsidP="005D02F0">
            <w:pPr>
              <w:keepNext/>
              <w:overflowPunct/>
              <w:autoSpaceDE/>
              <w:autoSpaceDN/>
              <w:adjustRightInd/>
              <w:spacing w:before="0"/>
              <w:jc w:val="right"/>
              <w:textAlignment w:val="auto"/>
              <w:rPr>
                <w:rFonts w:cs="Arial"/>
                <w:color w:val="000000"/>
                <w:sz w:val="22"/>
                <w:szCs w:val="22"/>
                <w:lang w:val="en-US" w:eastAsia="zh-CN"/>
              </w:rPr>
            </w:pPr>
          </w:p>
        </w:tc>
        <w:tc>
          <w:tcPr>
            <w:tcW w:w="1843" w:type="dxa"/>
            <w:tcBorders>
              <w:top w:val="nil"/>
              <w:left w:val="single" w:sz="4" w:space="0" w:color="auto"/>
              <w:bottom w:val="nil"/>
              <w:right w:val="single" w:sz="4" w:space="0" w:color="auto"/>
            </w:tcBorders>
            <w:vAlign w:val="bottom"/>
          </w:tcPr>
          <w:p w14:paraId="4E56419E" w14:textId="77777777" w:rsidR="009630A9" w:rsidRPr="000C156A" w:rsidRDefault="009630A9" w:rsidP="005D02F0">
            <w:pPr>
              <w:keepNext/>
              <w:overflowPunct/>
              <w:autoSpaceDE/>
              <w:autoSpaceDN/>
              <w:adjustRightInd/>
              <w:spacing w:before="0"/>
              <w:jc w:val="right"/>
              <w:textAlignment w:val="auto"/>
              <w:rPr>
                <w:rFonts w:cs="Arial"/>
                <w:color w:val="000000"/>
                <w:sz w:val="22"/>
                <w:szCs w:val="22"/>
                <w:lang w:val="en-US" w:eastAsia="zh-CN"/>
              </w:rPr>
            </w:pPr>
          </w:p>
        </w:tc>
        <w:tc>
          <w:tcPr>
            <w:tcW w:w="1797" w:type="dxa"/>
            <w:tcBorders>
              <w:top w:val="nil"/>
              <w:left w:val="single" w:sz="4" w:space="0" w:color="auto"/>
              <w:bottom w:val="nil"/>
              <w:right w:val="single" w:sz="4" w:space="0" w:color="auto"/>
            </w:tcBorders>
            <w:vAlign w:val="bottom"/>
          </w:tcPr>
          <w:p w14:paraId="5E201AB8" w14:textId="77777777" w:rsidR="009630A9" w:rsidRPr="000C156A" w:rsidRDefault="009630A9" w:rsidP="005D02F0">
            <w:pPr>
              <w:keepNext/>
              <w:overflowPunct/>
              <w:autoSpaceDE/>
              <w:autoSpaceDN/>
              <w:adjustRightInd/>
              <w:spacing w:before="0"/>
              <w:jc w:val="right"/>
              <w:textAlignment w:val="auto"/>
              <w:rPr>
                <w:rFonts w:cs="Arial"/>
                <w:color w:val="000000"/>
                <w:sz w:val="22"/>
                <w:szCs w:val="22"/>
                <w:lang w:val="en-US" w:eastAsia="zh-CN"/>
              </w:rPr>
            </w:pPr>
          </w:p>
        </w:tc>
      </w:tr>
      <w:tr w:rsidR="009630A9" w:rsidRPr="000C156A" w14:paraId="4914387A" w14:textId="77777777" w:rsidTr="005D02F0">
        <w:trPr>
          <w:jc w:val="center"/>
        </w:trPr>
        <w:tc>
          <w:tcPr>
            <w:tcW w:w="4244" w:type="dxa"/>
            <w:tcBorders>
              <w:top w:val="nil"/>
              <w:left w:val="single" w:sz="4" w:space="0" w:color="auto"/>
              <w:bottom w:val="single" w:sz="4" w:space="0" w:color="auto"/>
              <w:right w:val="single" w:sz="4" w:space="0" w:color="auto"/>
            </w:tcBorders>
            <w:hideMark/>
          </w:tcPr>
          <w:p w14:paraId="7D6681A7" w14:textId="77777777" w:rsidR="009630A9" w:rsidRPr="000C156A" w:rsidRDefault="009630A9" w:rsidP="005D02F0">
            <w:pPr>
              <w:pStyle w:val="ListParagraph"/>
              <w:keepNext/>
              <w:tabs>
                <w:tab w:val="left" w:pos="720"/>
              </w:tabs>
              <w:spacing w:before="60" w:after="60"/>
              <w:ind w:left="241"/>
              <w:rPr>
                <w:rFonts w:asciiTheme="minorHAnsi" w:eastAsiaTheme="majorEastAsia" w:hAnsiTheme="minorHAnsi" w:cstheme="minorHAnsi"/>
                <w:sz w:val="22"/>
                <w:szCs w:val="22"/>
              </w:rPr>
            </w:pPr>
            <w:r w:rsidRPr="000C156A">
              <w:rPr>
                <w:rFonts w:asciiTheme="minorHAnsi" w:eastAsiaTheme="majorEastAsia" w:hAnsiTheme="minorHAnsi" w:cstheme="minorHAnsi" w:hint="eastAsia"/>
                <w:sz w:val="22"/>
                <w:szCs w:val="22"/>
              </w:rPr>
              <w:t>未实现的兑换收益</w:t>
            </w:r>
          </w:p>
        </w:tc>
        <w:tc>
          <w:tcPr>
            <w:tcW w:w="1601" w:type="dxa"/>
            <w:tcBorders>
              <w:top w:val="nil"/>
              <w:left w:val="single" w:sz="4" w:space="0" w:color="auto"/>
              <w:bottom w:val="single" w:sz="4" w:space="0" w:color="auto"/>
              <w:right w:val="single" w:sz="4" w:space="0" w:color="auto"/>
            </w:tcBorders>
            <w:vAlign w:val="bottom"/>
          </w:tcPr>
          <w:p w14:paraId="6088CF0A" w14:textId="77777777" w:rsidR="009630A9" w:rsidRPr="000C156A" w:rsidRDefault="009630A9" w:rsidP="005D02F0">
            <w:pPr>
              <w:keepNext/>
              <w:overflowPunct/>
              <w:autoSpaceDE/>
              <w:autoSpaceDN/>
              <w:adjustRightInd/>
              <w:spacing w:before="0"/>
              <w:jc w:val="right"/>
              <w:textAlignment w:val="auto"/>
              <w:rPr>
                <w:rFonts w:cs="Arial"/>
                <w:color w:val="000000"/>
                <w:sz w:val="22"/>
                <w:szCs w:val="22"/>
                <w:lang w:val="en-US" w:eastAsia="zh-CN"/>
              </w:rPr>
            </w:pPr>
          </w:p>
        </w:tc>
        <w:tc>
          <w:tcPr>
            <w:tcW w:w="1843" w:type="dxa"/>
            <w:tcBorders>
              <w:top w:val="nil"/>
              <w:left w:val="single" w:sz="4" w:space="0" w:color="auto"/>
              <w:bottom w:val="single" w:sz="4" w:space="0" w:color="auto"/>
              <w:right w:val="single" w:sz="4" w:space="0" w:color="auto"/>
            </w:tcBorders>
            <w:vAlign w:val="bottom"/>
            <w:hideMark/>
          </w:tcPr>
          <w:p w14:paraId="7B7B97B5" w14:textId="77777777" w:rsidR="009630A9" w:rsidRPr="000C156A" w:rsidRDefault="009630A9" w:rsidP="005D02F0">
            <w:pPr>
              <w:keepNext/>
              <w:overflowPunct/>
              <w:autoSpaceDE/>
              <w:autoSpaceDN/>
              <w:adjustRightInd/>
              <w:spacing w:before="0"/>
              <w:jc w:val="right"/>
              <w:textAlignment w:val="auto"/>
              <w:rPr>
                <w:rFonts w:cs="Arial"/>
                <w:color w:val="000000"/>
                <w:sz w:val="22"/>
                <w:szCs w:val="22"/>
                <w:lang w:val="en-US" w:eastAsia="zh-CN"/>
              </w:rPr>
            </w:pPr>
          </w:p>
        </w:tc>
        <w:tc>
          <w:tcPr>
            <w:tcW w:w="1797" w:type="dxa"/>
            <w:tcBorders>
              <w:top w:val="nil"/>
              <w:left w:val="single" w:sz="4" w:space="0" w:color="auto"/>
              <w:bottom w:val="single" w:sz="4" w:space="0" w:color="auto"/>
              <w:right w:val="single" w:sz="4" w:space="0" w:color="auto"/>
            </w:tcBorders>
            <w:vAlign w:val="bottom"/>
            <w:hideMark/>
          </w:tcPr>
          <w:p w14:paraId="4F77FC3B" w14:textId="77777777" w:rsidR="009630A9" w:rsidRPr="000C156A" w:rsidRDefault="009630A9" w:rsidP="005D02F0">
            <w:pPr>
              <w:keepNext/>
              <w:overflowPunct/>
              <w:autoSpaceDE/>
              <w:autoSpaceDN/>
              <w:adjustRightInd/>
              <w:spacing w:before="0"/>
              <w:jc w:val="right"/>
              <w:textAlignment w:val="auto"/>
              <w:rPr>
                <w:rFonts w:cs="Arial"/>
                <w:color w:val="000000"/>
                <w:sz w:val="22"/>
                <w:szCs w:val="22"/>
                <w:lang w:val="en-US" w:eastAsia="zh-CN"/>
              </w:rPr>
            </w:pPr>
          </w:p>
        </w:tc>
      </w:tr>
      <w:tr w:rsidR="009630A9" w:rsidRPr="000C156A" w14:paraId="341B5CCC" w14:textId="77777777" w:rsidTr="005D02F0">
        <w:trPr>
          <w:jc w:val="center"/>
        </w:trPr>
        <w:tc>
          <w:tcPr>
            <w:tcW w:w="4244" w:type="dxa"/>
            <w:tcBorders>
              <w:top w:val="single" w:sz="4" w:space="0" w:color="auto"/>
              <w:left w:val="single" w:sz="4" w:space="0" w:color="auto"/>
              <w:bottom w:val="single" w:sz="4" w:space="0" w:color="auto"/>
              <w:right w:val="single" w:sz="4" w:space="0" w:color="auto"/>
            </w:tcBorders>
            <w:hideMark/>
          </w:tcPr>
          <w:p w14:paraId="27C78061" w14:textId="77777777" w:rsidR="009630A9" w:rsidRPr="000C156A" w:rsidRDefault="009630A9" w:rsidP="005D02F0">
            <w:pPr>
              <w:spacing w:before="60" w:after="60"/>
              <w:rPr>
                <w:sz w:val="22"/>
                <w:szCs w:val="22"/>
                <w:lang w:val="en-US" w:eastAsia="zh-CN"/>
              </w:rPr>
            </w:pPr>
            <w:r w:rsidRPr="000C156A">
              <w:rPr>
                <w:rFonts w:hint="eastAsia"/>
                <w:b/>
                <w:bCs/>
                <w:sz w:val="22"/>
                <w:szCs w:val="22"/>
                <w:lang w:val="en-US" w:eastAsia="zh-CN"/>
              </w:rPr>
              <w:t>期终余额</w:t>
            </w:r>
          </w:p>
        </w:tc>
        <w:tc>
          <w:tcPr>
            <w:tcW w:w="1601" w:type="dxa"/>
            <w:tcBorders>
              <w:top w:val="single" w:sz="4" w:space="0" w:color="auto"/>
              <w:left w:val="single" w:sz="4" w:space="0" w:color="auto"/>
              <w:bottom w:val="single" w:sz="4" w:space="0" w:color="auto"/>
              <w:right w:val="single" w:sz="4" w:space="0" w:color="auto"/>
            </w:tcBorders>
            <w:vAlign w:val="center"/>
            <w:hideMark/>
          </w:tcPr>
          <w:p w14:paraId="2B94DDD5" w14:textId="77777777" w:rsidR="009630A9" w:rsidRPr="000C156A" w:rsidRDefault="009630A9" w:rsidP="005D02F0">
            <w:pPr>
              <w:keepNext/>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530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0F10FE" w14:textId="77777777" w:rsidR="009630A9" w:rsidRPr="000C156A" w:rsidRDefault="009630A9" w:rsidP="005D02F0">
            <w:pPr>
              <w:keepNext/>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574</w:t>
            </w:r>
          </w:p>
        </w:tc>
        <w:tc>
          <w:tcPr>
            <w:tcW w:w="1797" w:type="dxa"/>
            <w:tcBorders>
              <w:top w:val="single" w:sz="4" w:space="0" w:color="auto"/>
              <w:left w:val="single" w:sz="4" w:space="0" w:color="auto"/>
              <w:bottom w:val="single" w:sz="4" w:space="0" w:color="auto"/>
              <w:right w:val="single" w:sz="4" w:space="0" w:color="auto"/>
            </w:tcBorders>
            <w:vAlign w:val="center"/>
            <w:hideMark/>
          </w:tcPr>
          <w:p w14:paraId="220BA73C" w14:textId="5BB30E47" w:rsidR="009630A9" w:rsidRPr="000C156A" w:rsidRDefault="009630A9" w:rsidP="00871497">
            <w:pPr>
              <w:keepNext/>
              <w:overflowPunct/>
              <w:autoSpaceDE/>
              <w:autoSpaceDN/>
              <w:adjustRightInd/>
              <w:spacing w:before="0"/>
              <w:jc w:val="right"/>
              <w:textAlignment w:val="auto"/>
              <w:rPr>
                <w:rFonts w:cs="Arial"/>
                <w:b/>
                <w:bCs/>
                <w:color w:val="000000"/>
                <w:sz w:val="22"/>
                <w:szCs w:val="22"/>
                <w:lang w:val="en-US" w:eastAsia="zh-CN"/>
              </w:rPr>
            </w:pPr>
            <w:r w:rsidRPr="000C156A">
              <w:rPr>
                <w:rFonts w:eastAsia="Times New Roman" w:cs="Arial"/>
                <w:b/>
                <w:bCs/>
                <w:color w:val="000000"/>
                <w:sz w:val="22"/>
                <w:szCs w:val="22"/>
                <w:lang w:val="en-US" w:eastAsia="zh-CN"/>
              </w:rPr>
              <w:t>1</w:t>
            </w:r>
            <w:r w:rsidR="00871497" w:rsidRPr="000C156A">
              <w:rPr>
                <w:rFonts w:eastAsia="Times New Roman" w:cs="Arial"/>
                <w:b/>
                <w:bCs/>
                <w:color w:val="000000"/>
                <w:sz w:val="22"/>
                <w:szCs w:val="22"/>
                <w:lang w:val="en-US" w:eastAsia="zh-CN"/>
              </w:rPr>
              <w:t xml:space="preserve"> </w:t>
            </w:r>
            <w:r w:rsidRPr="000C156A">
              <w:rPr>
                <w:rFonts w:eastAsia="Times New Roman" w:cs="Arial"/>
                <w:b/>
                <w:bCs/>
                <w:color w:val="000000"/>
                <w:sz w:val="22"/>
                <w:szCs w:val="22"/>
                <w:lang w:val="en-US" w:eastAsia="zh-CN"/>
              </w:rPr>
              <w:t>105</w:t>
            </w:r>
          </w:p>
        </w:tc>
      </w:tr>
    </w:tbl>
    <w:p w14:paraId="18C3DA33" w14:textId="77777777" w:rsidR="009630A9" w:rsidRPr="000C156A" w:rsidRDefault="009630A9" w:rsidP="00150FE0">
      <w:pPr>
        <w:pStyle w:val="Heading1"/>
        <w:spacing w:before="240" w:after="240"/>
        <w:rPr>
          <w:rFonts w:cs="Microsoft YaHei"/>
          <w:sz w:val="24"/>
          <w:szCs w:val="24"/>
          <w:lang w:val="fr-FR"/>
        </w:rPr>
      </w:pPr>
      <w:bookmarkStart w:id="826" w:name="_Toc482892579"/>
      <w:bookmarkStart w:id="827" w:name="_Toc482870844"/>
      <w:bookmarkStart w:id="828" w:name="_Toc329165795"/>
      <w:bookmarkStart w:id="829" w:name="_Toc305594753"/>
      <w:bookmarkStart w:id="830" w:name="_Toc511813763"/>
      <w:bookmarkStart w:id="831" w:name="_Toc511817846"/>
      <w:bookmarkStart w:id="832" w:name="_Toc520280746"/>
      <w:bookmarkStart w:id="833" w:name="_Toc10536841"/>
      <w:bookmarkStart w:id="834" w:name="_Toc41905892"/>
      <w:bookmarkStart w:id="835" w:name="_Toc41906913"/>
      <w:bookmarkStart w:id="836" w:name="_Toc41907994"/>
      <w:bookmarkStart w:id="837" w:name="_Toc41908062"/>
      <w:bookmarkStart w:id="838" w:name="_Toc73518710"/>
      <w:bookmarkStart w:id="839" w:name="_Toc73518857"/>
      <w:bookmarkStart w:id="840" w:name="_Toc73519257"/>
      <w:bookmarkStart w:id="841" w:name="_Toc73636296"/>
      <w:r w:rsidRPr="000C156A">
        <w:rPr>
          <w:rFonts w:cs="Microsoft YaHei" w:hint="eastAsia"/>
          <w:sz w:val="24"/>
          <w:szCs w:val="24"/>
          <w:lang w:val="fr-FR"/>
        </w:rPr>
        <w:t>说明</w:t>
      </w:r>
      <w:r w:rsidRPr="000C156A">
        <w:rPr>
          <w:rFonts w:cs="Microsoft YaHei"/>
          <w:sz w:val="24"/>
          <w:szCs w:val="24"/>
          <w:lang w:val="fr-FR"/>
        </w:rPr>
        <w:t>19</w:t>
      </w:r>
      <w:r w:rsidRPr="000C156A">
        <w:rPr>
          <w:rFonts w:cs="Microsoft YaHei"/>
          <w:sz w:val="24"/>
          <w:szCs w:val="24"/>
          <w:lang w:val="fr-FR"/>
        </w:rPr>
        <w:tab/>
      </w:r>
      <w:r w:rsidRPr="000C156A">
        <w:rPr>
          <w:rFonts w:cs="Microsoft YaHei" w:hint="eastAsia"/>
          <w:sz w:val="24"/>
          <w:szCs w:val="24"/>
          <w:lang w:val="fr-FR"/>
        </w:rPr>
        <w:t>其它债务</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tbl>
      <w:tblPr>
        <w:tblW w:w="9545" w:type="dxa"/>
        <w:jc w:val="center"/>
        <w:tblLayout w:type="fixed"/>
        <w:tblLook w:val="04A0" w:firstRow="1" w:lastRow="0" w:firstColumn="1" w:lastColumn="0" w:noHBand="0" w:noVBand="1"/>
      </w:tblPr>
      <w:tblGrid>
        <w:gridCol w:w="5382"/>
        <w:gridCol w:w="1984"/>
        <w:gridCol w:w="2179"/>
      </w:tblGrid>
      <w:tr w:rsidR="009630A9" w:rsidRPr="000C156A" w14:paraId="2AD39E28" w14:textId="77777777" w:rsidTr="005D02F0">
        <w:trPr>
          <w:trHeight w:val="499"/>
          <w:jc w:val="center"/>
        </w:trPr>
        <w:tc>
          <w:tcPr>
            <w:tcW w:w="5382" w:type="dxa"/>
            <w:tcBorders>
              <w:top w:val="single" w:sz="4" w:space="0" w:color="auto"/>
              <w:left w:val="single" w:sz="4" w:space="0" w:color="auto"/>
              <w:bottom w:val="single" w:sz="4" w:space="0" w:color="auto"/>
              <w:right w:val="single" w:sz="4" w:space="0" w:color="auto"/>
            </w:tcBorders>
            <w:noWrap/>
            <w:vAlign w:val="center"/>
            <w:hideMark/>
          </w:tcPr>
          <w:p w14:paraId="2C969312" w14:textId="77777777" w:rsidR="009630A9" w:rsidRPr="000C156A" w:rsidRDefault="009630A9" w:rsidP="005D02F0">
            <w:pPr>
              <w:keepNext/>
              <w:keepLines/>
              <w:spacing w:after="120"/>
              <w:rPr>
                <w:b/>
                <w:sz w:val="22"/>
                <w:szCs w:val="22"/>
                <w:lang w:val="en-US"/>
              </w:rPr>
            </w:pPr>
            <w:bookmarkStart w:id="842" w:name="_MON_1402745955"/>
            <w:bookmarkEnd w:id="842"/>
            <w:r w:rsidRPr="000C156A">
              <w:rPr>
                <w:rFonts w:ascii="SimSun" w:hAnsi="SimSun" w:cs="SimSun" w:hint="eastAsia"/>
                <w:b/>
                <w:sz w:val="22"/>
                <w:szCs w:val="22"/>
                <w:lang w:val="en-US"/>
              </w:rPr>
              <w:t>单位：千瑞郎</w:t>
            </w:r>
          </w:p>
        </w:tc>
        <w:tc>
          <w:tcPr>
            <w:tcW w:w="1984" w:type="dxa"/>
            <w:tcBorders>
              <w:top w:val="single" w:sz="4" w:space="0" w:color="auto"/>
              <w:left w:val="nil"/>
              <w:bottom w:val="single" w:sz="4" w:space="0" w:color="auto"/>
              <w:right w:val="single" w:sz="4" w:space="0" w:color="auto"/>
            </w:tcBorders>
            <w:noWrap/>
            <w:vAlign w:val="center"/>
            <w:hideMark/>
          </w:tcPr>
          <w:p w14:paraId="2794EA63" w14:textId="77777777" w:rsidR="009630A9" w:rsidRPr="000C156A" w:rsidRDefault="009630A9" w:rsidP="005D02F0">
            <w:pPr>
              <w:spacing w:after="120"/>
              <w:jc w:val="center"/>
              <w:rPr>
                <w:b/>
                <w:sz w:val="22"/>
                <w:szCs w:val="22"/>
                <w:lang w:val="en-US"/>
              </w:rPr>
            </w:pPr>
            <w:r w:rsidRPr="000C156A">
              <w:rPr>
                <w:b/>
                <w:sz w:val="22"/>
                <w:szCs w:val="22"/>
                <w:lang w:val="en-US"/>
              </w:rPr>
              <w:t>2020</w:t>
            </w:r>
            <w:r w:rsidRPr="000C156A">
              <w:rPr>
                <w:rFonts w:ascii="SimSun" w:hAnsi="SimSun" w:cs="SimSun" w:hint="eastAsia"/>
                <w:b/>
                <w:sz w:val="22"/>
                <w:szCs w:val="22"/>
                <w:lang w:val="en-US"/>
              </w:rPr>
              <w:t>年</w:t>
            </w:r>
            <w:r w:rsidRPr="000C156A">
              <w:rPr>
                <w:b/>
                <w:sz w:val="22"/>
                <w:szCs w:val="22"/>
                <w:lang w:val="en-US"/>
              </w:rPr>
              <w:t>12</w:t>
            </w:r>
            <w:r w:rsidRPr="000C156A">
              <w:rPr>
                <w:rFonts w:ascii="SimSun" w:hAnsi="SimSun" w:cs="SimSun" w:hint="eastAsia"/>
                <w:b/>
                <w:sz w:val="22"/>
                <w:szCs w:val="22"/>
                <w:lang w:val="en-US"/>
              </w:rPr>
              <w:t>月</w:t>
            </w:r>
            <w:r w:rsidRPr="000C156A">
              <w:rPr>
                <w:b/>
                <w:sz w:val="22"/>
                <w:szCs w:val="22"/>
                <w:lang w:val="en-US"/>
              </w:rPr>
              <w:t>31</w:t>
            </w:r>
            <w:r w:rsidRPr="000C156A">
              <w:rPr>
                <w:rFonts w:ascii="SimSun" w:hAnsi="SimSun" w:cs="SimSun" w:hint="eastAsia"/>
                <w:b/>
                <w:sz w:val="22"/>
                <w:szCs w:val="22"/>
                <w:lang w:val="en-US"/>
              </w:rPr>
              <w:t>日</w:t>
            </w:r>
          </w:p>
        </w:tc>
        <w:tc>
          <w:tcPr>
            <w:tcW w:w="2179" w:type="dxa"/>
            <w:tcBorders>
              <w:top w:val="single" w:sz="4" w:space="0" w:color="auto"/>
              <w:left w:val="nil"/>
              <w:bottom w:val="single" w:sz="4" w:space="0" w:color="auto"/>
              <w:right w:val="single" w:sz="4" w:space="0" w:color="auto"/>
            </w:tcBorders>
            <w:vAlign w:val="center"/>
            <w:hideMark/>
          </w:tcPr>
          <w:p w14:paraId="16F0B16F" w14:textId="77777777" w:rsidR="009630A9" w:rsidRPr="000C156A" w:rsidRDefault="009630A9" w:rsidP="005D02F0">
            <w:pPr>
              <w:spacing w:after="120"/>
              <w:jc w:val="center"/>
              <w:rPr>
                <w:b/>
                <w:sz w:val="22"/>
                <w:szCs w:val="22"/>
                <w:lang w:val="en-US"/>
              </w:rPr>
            </w:pPr>
            <w:r w:rsidRPr="000C156A">
              <w:rPr>
                <w:b/>
                <w:sz w:val="22"/>
                <w:szCs w:val="22"/>
                <w:lang w:val="en-US"/>
              </w:rPr>
              <w:t>201</w:t>
            </w:r>
            <w:r w:rsidRPr="000C156A">
              <w:rPr>
                <w:b/>
                <w:sz w:val="22"/>
                <w:szCs w:val="22"/>
                <w:lang w:val="en-US" w:eastAsia="zh-CN"/>
              </w:rPr>
              <w:t>9</w:t>
            </w:r>
            <w:r w:rsidRPr="000C156A">
              <w:rPr>
                <w:rFonts w:ascii="SimSun" w:hAnsi="SimSun" w:cs="SimSun" w:hint="eastAsia"/>
                <w:b/>
                <w:sz w:val="22"/>
                <w:szCs w:val="22"/>
                <w:lang w:val="en-US"/>
              </w:rPr>
              <w:t>年</w:t>
            </w:r>
            <w:r w:rsidRPr="000C156A">
              <w:rPr>
                <w:b/>
                <w:sz w:val="22"/>
                <w:szCs w:val="22"/>
                <w:lang w:val="en-US"/>
              </w:rPr>
              <w:t>12</w:t>
            </w:r>
            <w:r w:rsidRPr="000C156A">
              <w:rPr>
                <w:rFonts w:ascii="SimSun" w:hAnsi="SimSun" w:cs="SimSun" w:hint="eastAsia"/>
                <w:b/>
                <w:sz w:val="22"/>
                <w:szCs w:val="22"/>
                <w:lang w:val="en-US"/>
              </w:rPr>
              <w:t>月</w:t>
            </w:r>
            <w:r w:rsidRPr="000C156A">
              <w:rPr>
                <w:b/>
                <w:sz w:val="22"/>
                <w:szCs w:val="22"/>
                <w:lang w:val="en-US"/>
              </w:rPr>
              <w:t>31</w:t>
            </w:r>
            <w:r w:rsidRPr="000C156A">
              <w:rPr>
                <w:rFonts w:ascii="SimSun" w:hAnsi="SimSun" w:cs="SimSun" w:hint="eastAsia"/>
                <w:b/>
                <w:sz w:val="22"/>
                <w:szCs w:val="22"/>
                <w:lang w:val="en-US"/>
              </w:rPr>
              <w:t>日</w:t>
            </w:r>
          </w:p>
        </w:tc>
      </w:tr>
      <w:tr w:rsidR="009630A9" w:rsidRPr="000C156A" w14:paraId="1AC88A56" w14:textId="77777777" w:rsidTr="005D02F0">
        <w:trPr>
          <w:trHeight w:val="255"/>
          <w:jc w:val="center"/>
        </w:trPr>
        <w:tc>
          <w:tcPr>
            <w:tcW w:w="5382" w:type="dxa"/>
            <w:tcBorders>
              <w:left w:val="single" w:sz="4" w:space="0" w:color="auto"/>
              <w:bottom w:val="nil"/>
              <w:right w:val="single" w:sz="4" w:space="0" w:color="auto"/>
            </w:tcBorders>
            <w:noWrap/>
            <w:vAlign w:val="bottom"/>
            <w:hideMark/>
          </w:tcPr>
          <w:p w14:paraId="13672C2A" w14:textId="77777777" w:rsidR="009630A9" w:rsidRPr="000C156A" w:rsidRDefault="009630A9" w:rsidP="005D02F0">
            <w:pPr>
              <w:spacing w:before="60" w:after="60"/>
              <w:rPr>
                <w:bCs/>
                <w:sz w:val="22"/>
                <w:szCs w:val="22"/>
                <w:lang w:val="en-US" w:eastAsia="zh-CN"/>
              </w:rPr>
            </w:pPr>
            <w:r w:rsidRPr="000C156A">
              <w:rPr>
                <w:rFonts w:hint="eastAsia"/>
                <w:bCs/>
                <w:sz w:val="22"/>
                <w:szCs w:val="22"/>
                <w:lang w:val="en-US" w:eastAsia="zh-CN"/>
              </w:rPr>
              <w:t>应付账款</w:t>
            </w:r>
          </w:p>
        </w:tc>
        <w:tc>
          <w:tcPr>
            <w:tcW w:w="1984" w:type="dxa"/>
            <w:tcBorders>
              <w:top w:val="nil"/>
              <w:left w:val="single" w:sz="4" w:space="0" w:color="auto"/>
              <w:bottom w:val="nil"/>
              <w:right w:val="single" w:sz="4" w:space="0" w:color="auto"/>
            </w:tcBorders>
            <w:shd w:val="clear" w:color="auto" w:fill="auto"/>
            <w:noWrap/>
            <w:vAlign w:val="bottom"/>
            <w:hideMark/>
          </w:tcPr>
          <w:p w14:paraId="7816139B" w14:textId="26B8BAC9"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4</w:t>
            </w:r>
            <w:r w:rsidR="00150FE0" w:rsidRPr="000C156A">
              <w:rPr>
                <w:rFonts w:cs="Arial"/>
                <w:color w:val="000000"/>
                <w:sz w:val="22"/>
                <w:szCs w:val="22"/>
                <w:lang w:val="en-US" w:eastAsia="zh-CN"/>
              </w:rPr>
              <w:t xml:space="preserve"> </w:t>
            </w:r>
            <w:r w:rsidRPr="000C156A">
              <w:rPr>
                <w:rFonts w:cs="Arial"/>
                <w:color w:val="000000"/>
                <w:sz w:val="22"/>
                <w:szCs w:val="22"/>
                <w:lang w:val="en-US" w:eastAsia="zh-CN"/>
              </w:rPr>
              <w:t>518</w:t>
            </w:r>
          </w:p>
        </w:tc>
        <w:tc>
          <w:tcPr>
            <w:tcW w:w="2179" w:type="dxa"/>
            <w:tcBorders>
              <w:top w:val="nil"/>
              <w:left w:val="nil"/>
              <w:bottom w:val="nil"/>
              <w:right w:val="single" w:sz="4" w:space="0" w:color="auto"/>
            </w:tcBorders>
            <w:shd w:val="clear" w:color="auto" w:fill="auto"/>
            <w:noWrap/>
            <w:vAlign w:val="bottom"/>
            <w:hideMark/>
          </w:tcPr>
          <w:p w14:paraId="01FB2509" w14:textId="67329FE5"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4</w:t>
            </w:r>
            <w:r w:rsidR="00150FE0" w:rsidRPr="000C156A">
              <w:rPr>
                <w:rFonts w:cs="Arial"/>
                <w:color w:val="000000"/>
                <w:sz w:val="22"/>
                <w:szCs w:val="22"/>
                <w:lang w:val="en-US" w:eastAsia="zh-CN"/>
              </w:rPr>
              <w:t xml:space="preserve"> </w:t>
            </w:r>
            <w:r w:rsidRPr="000C156A">
              <w:rPr>
                <w:rFonts w:cs="Arial"/>
                <w:color w:val="000000"/>
                <w:sz w:val="22"/>
                <w:szCs w:val="22"/>
                <w:lang w:val="en-US" w:eastAsia="zh-CN"/>
              </w:rPr>
              <w:t>156</w:t>
            </w:r>
          </w:p>
        </w:tc>
      </w:tr>
      <w:tr w:rsidR="009630A9" w:rsidRPr="000C156A" w14:paraId="3FF9230E" w14:textId="77777777" w:rsidTr="005D02F0">
        <w:trPr>
          <w:trHeight w:val="20"/>
          <w:jc w:val="center"/>
        </w:trPr>
        <w:tc>
          <w:tcPr>
            <w:tcW w:w="5382" w:type="dxa"/>
            <w:tcBorders>
              <w:top w:val="nil"/>
              <w:left w:val="single" w:sz="4" w:space="0" w:color="auto"/>
              <w:bottom w:val="nil"/>
              <w:right w:val="single" w:sz="4" w:space="0" w:color="auto"/>
            </w:tcBorders>
            <w:noWrap/>
            <w:vAlign w:val="center"/>
            <w:hideMark/>
          </w:tcPr>
          <w:p w14:paraId="1A6FC456" w14:textId="77777777" w:rsidR="009630A9" w:rsidRPr="000C156A" w:rsidRDefault="009630A9" w:rsidP="005D02F0">
            <w:pPr>
              <w:spacing w:before="60" w:after="60"/>
              <w:rPr>
                <w:bCs/>
                <w:sz w:val="22"/>
                <w:szCs w:val="22"/>
                <w:lang w:val="en-US" w:eastAsia="zh-CN"/>
              </w:rPr>
            </w:pPr>
            <w:r w:rsidRPr="000C156A">
              <w:rPr>
                <w:rFonts w:hint="eastAsia"/>
                <w:bCs/>
                <w:sz w:val="22"/>
                <w:szCs w:val="22"/>
                <w:lang w:val="en-US" w:eastAsia="zh-CN"/>
              </w:rPr>
              <w:t>人员杂项</w:t>
            </w:r>
          </w:p>
        </w:tc>
        <w:tc>
          <w:tcPr>
            <w:tcW w:w="1984" w:type="dxa"/>
            <w:tcBorders>
              <w:top w:val="nil"/>
              <w:left w:val="single" w:sz="4" w:space="0" w:color="auto"/>
              <w:bottom w:val="nil"/>
              <w:right w:val="single" w:sz="4" w:space="0" w:color="auto"/>
            </w:tcBorders>
            <w:shd w:val="clear" w:color="auto" w:fill="auto"/>
            <w:noWrap/>
            <w:vAlign w:val="bottom"/>
            <w:hideMark/>
          </w:tcPr>
          <w:p w14:paraId="4CCBDF79" w14:textId="079CA211"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1</w:t>
            </w:r>
            <w:r w:rsidR="00150FE0" w:rsidRPr="000C156A">
              <w:rPr>
                <w:rFonts w:cs="Arial"/>
                <w:color w:val="000000"/>
                <w:sz w:val="22"/>
                <w:szCs w:val="22"/>
                <w:lang w:val="en-US" w:eastAsia="zh-CN"/>
              </w:rPr>
              <w:t xml:space="preserve"> </w:t>
            </w:r>
            <w:r w:rsidRPr="000C156A">
              <w:rPr>
                <w:rFonts w:cs="Arial"/>
                <w:color w:val="000000"/>
                <w:sz w:val="22"/>
                <w:szCs w:val="22"/>
                <w:lang w:val="en-US" w:eastAsia="zh-CN"/>
              </w:rPr>
              <w:t>956</w:t>
            </w:r>
          </w:p>
        </w:tc>
        <w:tc>
          <w:tcPr>
            <w:tcW w:w="2179" w:type="dxa"/>
            <w:tcBorders>
              <w:top w:val="nil"/>
              <w:left w:val="nil"/>
              <w:bottom w:val="nil"/>
              <w:right w:val="single" w:sz="4" w:space="0" w:color="auto"/>
            </w:tcBorders>
            <w:shd w:val="clear" w:color="auto" w:fill="auto"/>
            <w:noWrap/>
            <w:vAlign w:val="bottom"/>
            <w:hideMark/>
          </w:tcPr>
          <w:p w14:paraId="444902B1"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754</w:t>
            </w:r>
          </w:p>
        </w:tc>
      </w:tr>
      <w:tr w:rsidR="009630A9" w:rsidRPr="000C156A" w14:paraId="5F7B3F13" w14:textId="77777777" w:rsidTr="005D02F0">
        <w:trPr>
          <w:trHeight w:val="20"/>
          <w:jc w:val="center"/>
        </w:trPr>
        <w:tc>
          <w:tcPr>
            <w:tcW w:w="5382" w:type="dxa"/>
            <w:tcBorders>
              <w:top w:val="nil"/>
              <w:left w:val="single" w:sz="4" w:space="0" w:color="auto"/>
              <w:bottom w:val="nil"/>
              <w:right w:val="single" w:sz="4" w:space="0" w:color="auto"/>
            </w:tcBorders>
            <w:noWrap/>
            <w:vAlign w:val="center"/>
            <w:hideMark/>
          </w:tcPr>
          <w:p w14:paraId="53C2B95C" w14:textId="77777777" w:rsidR="009630A9" w:rsidRPr="000C156A" w:rsidRDefault="009630A9" w:rsidP="005D02F0">
            <w:pPr>
              <w:spacing w:before="60" w:after="60"/>
              <w:rPr>
                <w:bCs/>
                <w:sz w:val="22"/>
                <w:szCs w:val="22"/>
                <w:lang w:val="en-US"/>
              </w:rPr>
            </w:pPr>
            <w:r w:rsidRPr="000C156A">
              <w:rPr>
                <w:rFonts w:hint="eastAsia"/>
                <w:bCs/>
                <w:sz w:val="22"/>
                <w:szCs w:val="22"/>
                <w:lang w:val="en-US"/>
              </w:rPr>
              <w:t>物品收讫</w:t>
            </w:r>
            <w:r w:rsidRPr="000C156A">
              <w:rPr>
                <w:bCs/>
                <w:sz w:val="22"/>
                <w:szCs w:val="22"/>
                <w:lang w:val="en-US"/>
              </w:rPr>
              <w:t>/</w:t>
            </w:r>
            <w:r w:rsidRPr="000C156A">
              <w:rPr>
                <w:rFonts w:hint="eastAsia"/>
                <w:bCs/>
                <w:sz w:val="22"/>
                <w:szCs w:val="22"/>
                <w:lang w:val="en-US"/>
              </w:rPr>
              <w:t>发票收讫</w:t>
            </w:r>
          </w:p>
        </w:tc>
        <w:tc>
          <w:tcPr>
            <w:tcW w:w="1984" w:type="dxa"/>
            <w:tcBorders>
              <w:top w:val="nil"/>
              <w:left w:val="single" w:sz="4" w:space="0" w:color="auto"/>
              <w:bottom w:val="nil"/>
              <w:right w:val="single" w:sz="4" w:space="0" w:color="auto"/>
            </w:tcBorders>
            <w:shd w:val="clear" w:color="auto" w:fill="auto"/>
            <w:noWrap/>
            <w:vAlign w:val="bottom"/>
            <w:hideMark/>
          </w:tcPr>
          <w:p w14:paraId="704DE020"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16</w:t>
            </w:r>
          </w:p>
        </w:tc>
        <w:tc>
          <w:tcPr>
            <w:tcW w:w="2179" w:type="dxa"/>
            <w:tcBorders>
              <w:top w:val="nil"/>
              <w:left w:val="nil"/>
              <w:bottom w:val="nil"/>
              <w:right w:val="single" w:sz="4" w:space="0" w:color="auto"/>
            </w:tcBorders>
            <w:shd w:val="clear" w:color="auto" w:fill="auto"/>
            <w:noWrap/>
            <w:vAlign w:val="bottom"/>
            <w:hideMark/>
          </w:tcPr>
          <w:p w14:paraId="769C266E"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21</w:t>
            </w:r>
          </w:p>
        </w:tc>
      </w:tr>
      <w:tr w:rsidR="009630A9" w:rsidRPr="000C156A" w14:paraId="27628E95" w14:textId="77777777" w:rsidTr="005D02F0">
        <w:trPr>
          <w:trHeight w:val="20"/>
          <w:jc w:val="center"/>
        </w:trPr>
        <w:tc>
          <w:tcPr>
            <w:tcW w:w="5382" w:type="dxa"/>
            <w:tcBorders>
              <w:top w:val="nil"/>
              <w:left w:val="single" w:sz="4" w:space="0" w:color="auto"/>
              <w:right w:val="single" w:sz="4" w:space="0" w:color="auto"/>
            </w:tcBorders>
            <w:noWrap/>
            <w:vAlign w:val="center"/>
            <w:hideMark/>
          </w:tcPr>
          <w:p w14:paraId="162F9226" w14:textId="77777777" w:rsidR="009630A9" w:rsidRPr="000C156A" w:rsidRDefault="009630A9" w:rsidP="005D02F0">
            <w:pPr>
              <w:spacing w:before="60" w:after="60"/>
              <w:rPr>
                <w:bCs/>
                <w:sz w:val="22"/>
                <w:szCs w:val="22"/>
                <w:lang w:val="en-US" w:eastAsia="zh-CN"/>
              </w:rPr>
            </w:pPr>
            <w:r w:rsidRPr="000C156A">
              <w:rPr>
                <w:rFonts w:hint="eastAsia"/>
                <w:bCs/>
                <w:sz w:val="22"/>
                <w:szCs w:val="22"/>
                <w:lang w:val="en-US" w:eastAsia="zh-CN"/>
              </w:rPr>
              <w:t>联合国开发计划署（</w:t>
            </w:r>
            <w:r w:rsidRPr="000C156A">
              <w:rPr>
                <w:bCs/>
                <w:sz w:val="22"/>
                <w:szCs w:val="22"/>
                <w:lang w:val="en-US" w:eastAsia="zh-CN"/>
              </w:rPr>
              <w:t>UNDP</w:t>
            </w:r>
            <w:r w:rsidRPr="000C156A">
              <w:rPr>
                <w:rFonts w:hint="eastAsia"/>
                <w:bCs/>
                <w:sz w:val="22"/>
                <w:szCs w:val="22"/>
                <w:lang w:val="en-US" w:eastAsia="zh-CN"/>
              </w:rPr>
              <w:t>）</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3A0671E7"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3</w:t>
            </w:r>
          </w:p>
        </w:tc>
        <w:tc>
          <w:tcPr>
            <w:tcW w:w="2179" w:type="dxa"/>
            <w:tcBorders>
              <w:top w:val="nil"/>
              <w:left w:val="nil"/>
              <w:bottom w:val="nil"/>
              <w:right w:val="single" w:sz="4" w:space="0" w:color="auto"/>
            </w:tcBorders>
            <w:shd w:val="clear" w:color="auto" w:fill="auto"/>
            <w:noWrap/>
            <w:vAlign w:val="bottom"/>
            <w:hideMark/>
          </w:tcPr>
          <w:p w14:paraId="244C8A4E"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w:t>
            </w:r>
          </w:p>
        </w:tc>
      </w:tr>
      <w:tr w:rsidR="009630A9" w:rsidRPr="000C156A" w14:paraId="151CABB0" w14:textId="77777777" w:rsidTr="005D02F0">
        <w:trPr>
          <w:trHeight w:val="20"/>
          <w:jc w:val="center"/>
        </w:trPr>
        <w:tc>
          <w:tcPr>
            <w:tcW w:w="5382" w:type="dxa"/>
            <w:tcBorders>
              <w:top w:val="single" w:sz="4" w:space="0" w:color="auto"/>
              <w:left w:val="single" w:sz="4" w:space="0" w:color="auto"/>
              <w:bottom w:val="single" w:sz="4" w:space="0" w:color="auto"/>
              <w:right w:val="single" w:sz="4" w:space="0" w:color="auto"/>
            </w:tcBorders>
            <w:noWrap/>
            <w:vAlign w:val="center"/>
            <w:hideMark/>
          </w:tcPr>
          <w:p w14:paraId="0B049F1B" w14:textId="77777777" w:rsidR="009630A9" w:rsidRPr="000C156A" w:rsidRDefault="009630A9" w:rsidP="005D02F0">
            <w:pPr>
              <w:spacing w:before="60" w:after="60"/>
              <w:rPr>
                <w:b/>
                <w:sz w:val="22"/>
                <w:szCs w:val="22"/>
                <w:lang w:val="en-US"/>
              </w:rPr>
            </w:pPr>
            <w:r w:rsidRPr="000C156A">
              <w:rPr>
                <w:rFonts w:hint="eastAsia"/>
                <w:b/>
                <w:sz w:val="22"/>
                <w:szCs w:val="22"/>
                <w:lang w:val="en-US"/>
              </w:rPr>
              <w:t>其它债务</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89265" w14:textId="2EE10A5E"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6</w:t>
            </w:r>
            <w:r w:rsidR="00150FE0" w:rsidRPr="000C156A">
              <w:rPr>
                <w:rFonts w:cs="Arial"/>
                <w:b/>
                <w:bCs/>
                <w:color w:val="000000"/>
                <w:sz w:val="22"/>
                <w:szCs w:val="22"/>
                <w:lang w:val="en-US" w:eastAsia="zh-CN"/>
              </w:rPr>
              <w:t xml:space="preserve"> </w:t>
            </w:r>
            <w:r w:rsidRPr="000C156A">
              <w:rPr>
                <w:rFonts w:cs="Arial"/>
                <w:b/>
                <w:bCs/>
                <w:color w:val="000000"/>
                <w:sz w:val="22"/>
                <w:szCs w:val="22"/>
                <w:lang w:val="en-US" w:eastAsia="zh-CN"/>
              </w:rPr>
              <w:t>493</w:t>
            </w:r>
          </w:p>
        </w:tc>
        <w:tc>
          <w:tcPr>
            <w:tcW w:w="2179" w:type="dxa"/>
            <w:tcBorders>
              <w:top w:val="single" w:sz="4" w:space="0" w:color="auto"/>
              <w:left w:val="nil"/>
              <w:bottom w:val="single" w:sz="4" w:space="0" w:color="auto"/>
              <w:right w:val="single" w:sz="4" w:space="0" w:color="auto"/>
            </w:tcBorders>
            <w:shd w:val="clear" w:color="auto" w:fill="auto"/>
            <w:noWrap/>
            <w:vAlign w:val="center"/>
            <w:hideMark/>
          </w:tcPr>
          <w:p w14:paraId="1FF50063" w14:textId="59C26886"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4</w:t>
            </w:r>
            <w:r w:rsidR="00150FE0" w:rsidRPr="000C156A">
              <w:rPr>
                <w:rFonts w:cs="Arial"/>
                <w:b/>
                <w:bCs/>
                <w:color w:val="000000"/>
                <w:sz w:val="22"/>
                <w:szCs w:val="22"/>
                <w:lang w:val="en-US" w:eastAsia="zh-CN"/>
              </w:rPr>
              <w:t xml:space="preserve"> </w:t>
            </w:r>
            <w:r w:rsidRPr="000C156A">
              <w:rPr>
                <w:rFonts w:cs="Arial"/>
                <w:b/>
                <w:bCs/>
                <w:color w:val="000000"/>
                <w:sz w:val="22"/>
                <w:szCs w:val="22"/>
                <w:lang w:val="en-US" w:eastAsia="zh-CN"/>
              </w:rPr>
              <w:t>931</w:t>
            </w:r>
          </w:p>
        </w:tc>
      </w:tr>
    </w:tbl>
    <w:p w14:paraId="07F32AA0" w14:textId="77777777" w:rsidR="009630A9" w:rsidRPr="000C156A" w:rsidRDefault="009630A9" w:rsidP="009630A9">
      <w:pPr>
        <w:pStyle w:val="Heading1"/>
        <w:spacing w:before="240" w:after="120"/>
        <w:rPr>
          <w:rFonts w:cs="Microsoft YaHei"/>
          <w:sz w:val="24"/>
          <w:szCs w:val="24"/>
          <w:lang w:eastAsia="zh-CN"/>
        </w:rPr>
      </w:pPr>
      <w:bookmarkStart w:id="843" w:name="_Toc482892580"/>
      <w:bookmarkStart w:id="844" w:name="_Toc482870845"/>
      <w:bookmarkStart w:id="845" w:name="_Toc329165796"/>
      <w:bookmarkStart w:id="846" w:name="_Toc305594754"/>
      <w:bookmarkStart w:id="847" w:name="_Toc304406449"/>
      <w:bookmarkStart w:id="848" w:name="_Toc511813764"/>
      <w:bookmarkStart w:id="849" w:name="_Toc511817847"/>
      <w:bookmarkStart w:id="850" w:name="_Toc520280747"/>
      <w:bookmarkStart w:id="851" w:name="_Toc10536842"/>
      <w:bookmarkStart w:id="852" w:name="_Toc41905893"/>
      <w:bookmarkStart w:id="853" w:name="_Toc41906914"/>
      <w:bookmarkStart w:id="854" w:name="_Toc41907995"/>
      <w:bookmarkStart w:id="855" w:name="_Toc41908063"/>
      <w:bookmarkStart w:id="856" w:name="_Toc73518711"/>
      <w:bookmarkStart w:id="857" w:name="_Toc73518858"/>
      <w:bookmarkStart w:id="858" w:name="_Toc73519258"/>
      <w:bookmarkStart w:id="859" w:name="_Toc73636297"/>
      <w:r w:rsidRPr="000C156A">
        <w:rPr>
          <w:rFonts w:cs="Microsoft YaHei" w:hint="eastAsia"/>
          <w:sz w:val="24"/>
          <w:szCs w:val="24"/>
          <w:lang w:val="fr-FR" w:eastAsia="zh-CN"/>
        </w:rPr>
        <w:t>说明</w:t>
      </w:r>
      <w:r w:rsidRPr="000C156A">
        <w:rPr>
          <w:rFonts w:cs="Microsoft YaHei"/>
          <w:sz w:val="24"/>
          <w:szCs w:val="24"/>
          <w:lang w:eastAsia="zh-CN"/>
        </w:rPr>
        <w:t>20</w:t>
      </w:r>
      <w:r w:rsidRPr="000C156A">
        <w:rPr>
          <w:rFonts w:cs="Microsoft YaHei"/>
          <w:sz w:val="24"/>
          <w:szCs w:val="24"/>
          <w:lang w:eastAsia="zh-CN"/>
        </w:rPr>
        <w:tab/>
      </w:r>
      <w:r w:rsidRPr="000C156A">
        <w:rPr>
          <w:rFonts w:cs="Microsoft YaHei" w:hint="eastAsia"/>
          <w:sz w:val="24"/>
          <w:szCs w:val="24"/>
          <w:lang w:val="fr-FR" w:eastAsia="zh-CN"/>
        </w:rPr>
        <w:t>已分配和未分配预算外资金</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16B6EBA2" w14:textId="77777777" w:rsidR="009630A9" w:rsidRPr="000C156A" w:rsidRDefault="009630A9" w:rsidP="009630A9">
      <w:pPr>
        <w:spacing w:after="120"/>
        <w:ind w:firstLineChars="200" w:firstLine="480"/>
        <w:rPr>
          <w:lang w:eastAsia="zh-CN"/>
        </w:rPr>
      </w:pPr>
      <w:r w:rsidRPr="000C156A">
        <w:rPr>
          <w:rFonts w:hint="eastAsia"/>
          <w:lang w:eastAsia="zh-CN"/>
        </w:rPr>
        <w:t>按照</w:t>
      </w:r>
      <w:r w:rsidRPr="000C156A">
        <w:rPr>
          <w:lang w:eastAsia="zh-CN"/>
        </w:rPr>
        <w:t>IPSAS</w:t>
      </w:r>
      <w:r w:rsidRPr="000C156A">
        <w:rPr>
          <w:rFonts w:hint="eastAsia"/>
          <w:lang w:eastAsia="zh-CN"/>
        </w:rPr>
        <w:t>第</w:t>
      </w:r>
      <w:r w:rsidRPr="000C156A">
        <w:rPr>
          <w:lang w:eastAsia="zh-CN"/>
        </w:rPr>
        <w:t>23</w:t>
      </w:r>
      <w:r w:rsidRPr="000C156A">
        <w:rPr>
          <w:rFonts w:hint="eastAsia"/>
          <w:lang w:eastAsia="zh-CN"/>
        </w:rPr>
        <w:t>号要求，结账日的资金余额为已收到但尚未支出的资金。余额在资产负债表的相应行显示，而资金变动情况则如下表所示，该表说明资金是否已从第三方来源或国际电联分配给一项目。</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60"/>
        <w:gridCol w:w="1398"/>
        <w:gridCol w:w="1436"/>
        <w:gridCol w:w="1560"/>
      </w:tblGrid>
      <w:tr w:rsidR="009630A9" w:rsidRPr="000C156A" w14:paraId="7C84C287" w14:textId="77777777" w:rsidTr="005D02F0">
        <w:trPr>
          <w:jc w:val="center"/>
        </w:trPr>
        <w:tc>
          <w:tcPr>
            <w:tcW w:w="3119" w:type="dxa"/>
            <w:tcBorders>
              <w:top w:val="single" w:sz="4" w:space="0" w:color="000000"/>
              <w:left w:val="single" w:sz="4" w:space="0" w:color="000000"/>
              <w:bottom w:val="single" w:sz="4" w:space="0" w:color="000000"/>
              <w:right w:val="single" w:sz="4" w:space="0" w:color="auto"/>
            </w:tcBorders>
            <w:vAlign w:val="center"/>
          </w:tcPr>
          <w:p w14:paraId="027A5F7A" w14:textId="77777777" w:rsidR="009630A9" w:rsidRPr="000C156A" w:rsidRDefault="009630A9" w:rsidP="005D02F0">
            <w:pPr>
              <w:keepNext/>
              <w:keepLines/>
              <w:spacing w:before="20"/>
              <w:rPr>
                <w:b/>
                <w:sz w:val="22"/>
                <w:szCs w:val="22"/>
                <w:lang w:val="en-US" w:eastAsia="zh-CN"/>
              </w:rPr>
            </w:pPr>
            <w:r w:rsidRPr="000C156A">
              <w:rPr>
                <w:rFonts w:hint="eastAsia"/>
                <w:b/>
                <w:sz w:val="22"/>
                <w:szCs w:val="22"/>
                <w:lang w:val="en-US" w:eastAsia="zh-CN"/>
              </w:rPr>
              <w:lastRenderedPageBreak/>
              <w:t>单位：千瑞郎</w:t>
            </w:r>
          </w:p>
        </w:tc>
        <w:tc>
          <w:tcPr>
            <w:tcW w:w="1560" w:type="dxa"/>
            <w:tcBorders>
              <w:top w:val="single" w:sz="4" w:space="0" w:color="000000"/>
              <w:left w:val="single" w:sz="4" w:space="0" w:color="auto"/>
              <w:bottom w:val="single" w:sz="4" w:space="0" w:color="auto"/>
              <w:right w:val="single" w:sz="4" w:space="0" w:color="auto"/>
            </w:tcBorders>
            <w:vAlign w:val="center"/>
            <w:hideMark/>
          </w:tcPr>
          <w:p w14:paraId="2BAD7296" w14:textId="77777777" w:rsidR="009630A9" w:rsidRPr="000C156A" w:rsidRDefault="009630A9" w:rsidP="005D02F0">
            <w:pPr>
              <w:keepNext/>
              <w:keepLines/>
              <w:snapToGrid w:val="0"/>
              <w:spacing w:before="0"/>
              <w:jc w:val="center"/>
              <w:rPr>
                <w:bCs/>
                <w:sz w:val="22"/>
                <w:szCs w:val="22"/>
                <w:lang w:val="en-US" w:eastAsia="zh-CN"/>
              </w:rPr>
            </w:pPr>
            <w:r w:rsidRPr="000C156A">
              <w:rPr>
                <w:rFonts w:hint="eastAsia"/>
                <w:bCs/>
                <w:sz w:val="22"/>
                <w:szCs w:val="22"/>
                <w:lang w:val="en-US" w:eastAsia="zh-CN"/>
              </w:rPr>
              <w:t>已分配的</w:t>
            </w:r>
            <w:r w:rsidRPr="000C156A">
              <w:rPr>
                <w:bCs/>
                <w:sz w:val="22"/>
                <w:szCs w:val="22"/>
                <w:lang w:val="en-US" w:eastAsia="zh-CN"/>
              </w:rPr>
              <w:br/>
            </w:r>
            <w:r w:rsidRPr="000C156A">
              <w:rPr>
                <w:rFonts w:hint="eastAsia"/>
                <w:bCs/>
                <w:sz w:val="22"/>
                <w:szCs w:val="22"/>
                <w:lang w:val="en-US" w:eastAsia="zh-CN"/>
              </w:rPr>
              <w:t>第三方资金</w:t>
            </w:r>
          </w:p>
        </w:tc>
        <w:tc>
          <w:tcPr>
            <w:tcW w:w="1398" w:type="dxa"/>
            <w:tcBorders>
              <w:top w:val="single" w:sz="4" w:space="0" w:color="000000"/>
              <w:left w:val="single" w:sz="4" w:space="0" w:color="auto"/>
              <w:bottom w:val="single" w:sz="4" w:space="0" w:color="auto"/>
              <w:right w:val="single" w:sz="4" w:space="0" w:color="auto"/>
            </w:tcBorders>
            <w:vAlign w:val="center"/>
            <w:hideMark/>
          </w:tcPr>
          <w:p w14:paraId="38119EDD" w14:textId="77777777" w:rsidR="009630A9" w:rsidRPr="000C156A" w:rsidRDefault="009630A9" w:rsidP="005D02F0">
            <w:pPr>
              <w:keepNext/>
              <w:keepLines/>
              <w:snapToGrid w:val="0"/>
              <w:spacing w:before="0"/>
              <w:jc w:val="center"/>
              <w:rPr>
                <w:bCs/>
                <w:sz w:val="22"/>
                <w:szCs w:val="22"/>
                <w:lang w:val="en-US" w:eastAsia="zh-CN"/>
              </w:rPr>
            </w:pPr>
            <w:r w:rsidRPr="000C156A">
              <w:rPr>
                <w:rFonts w:hint="eastAsia"/>
                <w:bCs/>
                <w:sz w:val="22"/>
                <w:szCs w:val="22"/>
                <w:lang w:val="en-US" w:eastAsia="zh-CN"/>
              </w:rPr>
              <w:t>等待分配的第三方资金</w:t>
            </w:r>
          </w:p>
        </w:tc>
        <w:tc>
          <w:tcPr>
            <w:tcW w:w="1436" w:type="dxa"/>
            <w:tcBorders>
              <w:top w:val="single" w:sz="4" w:space="0" w:color="000000"/>
              <w:left w:val="single" w:sz="4" w:space="0" w:color="auto"/>
              <w:bottom w:val="single" w:sz="4" w:space="0" w:color="auto"/>
              <w:right w:val="single" w:sz="4" w:space="0" w:color="auto"/>
            </w:tcBorders>
            <w:vAlign w:val="center"/>
            <w:hideMark/>
          </w:tcPr>
          <w:p w14:paraId="170861E0" w14:textId="77777777" w:rsidR="009630A9" w:rsidRPr="000C156A" w:rsidRDefault="009630A9" w:rsidP="005D02F0">
            <w:pPr>
              <w:keepNext/>
              <w:keepLines/>
              <w:snapToGrid w:val="0"/>
              <w:spacing w:before="0"/>
              <w:jc w:val="center"/>
              <w:rPr>
                <w:b/>
                <w:sz w:val="22"/>
                <w:szCs w:val="22"/>
                <w:lang w:val="en-US" w:eastAsia="zh-CN"/>
              </w:rPr>
            </w:pPr>
            <w:r w:rsidRPr="000C156A">
              <w:rPr>
                <w:rFonts w:hint="eastAsia"/>
                <w:b/>
                <w:sz w:val="22"/>
                <w:szCs w:val="22"/>
                <w:lang w:val="en-US" w:eastAsia="zh-CN"/>
              </w:rPr>
              <w:t>第三方资金</w:t>
            </w:r>
            <w:r w:rsidRPr="000C156A">
              <w:rPr>
                <w:b/>
                <w:sz w:val="22"/>
                <w:szCs w:val="22"/>
                <w:lang w:val="en-US" w:eastAsia="zh-CN"/>
              </w:rPr>
              <w:br/>
            </w:r>
            <w:r w:rsidRPr="000C156A">
              <w:rPr>
                <w:rFonts w:hint="eastAsia"/>
                <w:b/>
                <w:sz w:val="22"/>
                <w:szCs w:val="22"/>
                <w:lang w:val="en-US" w:eastAsia="zh-CN"/>
              </w:rPr>
              <w:t>合计</w:t>
            </w:r>
          </w:p>
        </w:tc>
        <w:tc>
          <w:tcPr>
            <w:tcW w:w="1560" w:type="dxa"/>
            <w:tcBorders>
              <w:top w:val="single" w:sz="4" w:space="0" w:color="000000"/>
              <w:left w:val="single" w:sz="4" w:space="0" w:color="auto"/>
              <w:bottom w:val="single" w:sz="4" w:space="0" w:color="auto"/>
              <w:right w:val="single" w:sz="4" w:space="0" w:color="000000"/>
            </w:tcBorders>
            <w:vAlign w:val="center"/>
            <w:hideMark/>
          </w:tcPr>
          <w:p w14:paraId="379F7CD5" w14:textId="77777777" w:rsidR="009630A9" w:rsidRPr="000C156A" w:rsidRDefault="009630A9" w:rsidP="005D02F0">
            <w:pPr>
              <w:keepNext/>
              <w:keepLines/>
              <w:snapToGrid w:val="0"/>
              <w:spacing w:before="0"/>
              <w:jc w:val="center"/>
              <w:rPr>
                <w:b/>
                <w:sz w:val="22"/>
                <w:szCs w:val="22"/>
                <w:lang w:val="en-US" w:eastAsia="zh-CN"/>
              </w:rPr>
            </w:pPr>
            <w:r w:rsidRPr="000C156A">
              <w:rPr>
                <w:rFonts w:hint="eastAsia"/>
                <w:b/>
                <w:sz w:val="22"/>
                <w:szCs w:val="22"/>
                <w:lang w:val="en-US" w:eastAsia="zh-CN"/>
              </w:rPr>
              <w:t>分配给</w:t>
            </w:r>
            <w:r w:rsidRPr="000C156A">
              <w:rPr>
                <w:b/>
                <w:sz w:val="22"/>
                <w:szCs w:val="22"/>
                <w:lang w:val="en-US" w:eastAsia="zh-CN"/>
              </w:rPr>
              <w:br/>
            </w:r>
            <w:r w:rsidRPr="000C156A">
              <w:rPr>
                <w:rFonts w:hint="eastAsia"/>
                <w:b/>
                <w:sz w:val="22"/>
                <w:szCs w:val="22"/>
                <w:lang w:val="en-US" w:eastAsia="zh-CN"/>
              </w:rPr>
              <w:t>预算外项目的自有资金</w:t>
            </w:r>
          </w:p>
        </w:tc>
      </w:tr>
      <w:tr w:rsidR="009630A9" w:rsidRPr="000C156A" w14:paraId="3ECC5AF6" w14:textId="77777777" w:rsidTr="00A93EC3">
        <w:trPr>
          <w:jc w:val="center"/>
        </w:trPr>
        <w:tc>
          <w:tcPr>
            <w:tcW w:w="3119" w:type="dxa"/>
            <w:tcBorders>
              <w:top w:val="single" w:sz="4" w:space="0" w:color="000000"/>
              <w:left w:val="single" w:sz="4" w:space="0" w:color="000000"/>
              <w:bottom w:val="nil"/>
              <w:right w:val="single" w:sz="4" w:space="0" w:color="auto"/>
            </w:tcBorders>
            <w:vAlign w:val="center"/>
            <w:hideMark/>
          </w:tcPr>
          <w:p w14:paraId="0C27BC5E" w14:textId="77777777" w:rsidR="009630A9" w:rsidRPr="000C156A" w:rsidRDefault="009630A9" w:rsidP="005D02F0">
            <w:pPr>
              <w:keepNext/>
              <w:keepLines/>
              <w:spacing w:before="20"/>
              <w:rPr>
                <w:b/>
                <w:bCs/>
                <w:sz w:val="22"/>
                <w:szCs w:val="22"/>
                <w:lang w:val="en-US" w:eastAsia="fr-FR"/>
              </w:rPr>
            </w:pPr>
            <w:r w:rsidRPr="000C156A">
              <w:rPr>
                <w:rFonts w:asciiTheme="minorHAnsi" w:eastAsiaTheme="majorEastAsia" w:hAnsiTheme="minorHAnsi" w:cstheme="minorHAnsi"/>
                <w:b/>
                <w:bCs/>
                <w:sz w:val="22"/>
                <w:szCs w:val="22"/>
                <w:lang w:val="en-US"/>
              </w:rPr>
              <w:t>201</w:t>
            </w:r>
            <w:r w:rsidRPr="000C156A">
              <w:rPr>
                <w:rFonts w:asciiTheme="minorHAnsi" w:eastAsiaTheme="majorEastAsia" w:hAnsiTheme="minorHAnsi" w:cstheme="minorHAnsi"/>
                <w:b/>
                <w:bCs/>
                <w:sz w:val="22"/>
                <w:szCs w:val="22"/>
                <w:lang w:val="en-US" w:eastAsia="zh-CN"/>
              </w:rPr>
              <w:t>9</w:t>
            </w:r>
            <w:r w:rsidRPr="000C156A">
              <w:rPr>
                <w:rFonts w:asciiTheme="minorHAnsi" w:eastAsiaTheme="majorEastAsia" w:hAnsiTheme="minorHAnsi" w:cstheme="minorHAnsi" w:hint="eastAsia"/>
                <w:b/>
                <w:bCs/>
                <w:sz w:val="22"/>
                <w:szCs w:val="22"/>
                <w:lang w:val="en-US"/>
              </w:rPr>
              <w:t>年</w:t>
            </w:r>
            <w:r w:rsidRPr="000C156A">
              <w:rPr>
                <w:rFonts w:asciiTheme="minorHAnsi" w:eastAsiaTheme="majorEastAsia" w:hAnsiTheme="minorHAnsi" w:cstheme="minorHAnsi"/>
                <w:b/>
                <w:bCs/>
                <w:sz w:val="22"/>
                <w:szCs w:val="22"/>
                <w:lang w:val="en-US"/>
              </w:rPr>
              <w:t>12</w:t>
            </w:r>
            <w:r w:rsidRPr="000C156A">
              <w:rPr>
                <w:rFonts w:asciiTheme="minorHAnsi" w:eastAsiaTheme="majorEastAsia" w:hAnsiTheme="minorHAnsi" w:cstheme="minorHAnsi" w:hint="eastAsia"/>
                <w:b/>
                <w:bCs/>
                <w:sz w:val="22"/>
                <w:szCs w:val="22"/>
                <w:lang w:val="en-US"/>
              </w:rPr>
              <w:t>月</w:t>
            </w:r>
            <w:r w:rsidRPr="000C156A">
              <w:rPr>
                <w:rFonts w:asciiTheme="minorHAnsi" w:eastAsiaTheme="majorEastAsia" w:hAnsiTheme="minorHAnsi" w:cstheme="minorHAnsi" w:hint="eastAsia"/>
                <w:b/>
                <w:bCs/>
                <w:sz w:val="22"/>
                <w:szCs w:val="22"/>
                <w:lang w:val="en-US"/>
              </w:rPr>
              <w:t>3</w:t>
            </w:r>
            <w:r w:rsidRPr="000C156A">
              <w:rPr>
                <w:rFonts w:asciiTheme="minorHAnsi" w:eastAsiaTheme="majorEastAsia" w:hAnsiTheme="minorHAnsi" w:cstheme="minorHAnsi"/>
                <w:b/>
                <w:bCs/>
                <w:sz w:val="22"/>
                <w:szCs w:val="22"/>
                <w:lang w:val="en-US"/>
              </w:rPr>
              <w:t>1</w:t>
            </w:r>
            <w:r w:rsidRPr="000C156A">
              <w:rPr>
                <w:rFonts w:asciiTheme="minorHAnsi" w:eastAsiaTheme="majorEastAsia" w:hAnsiTheme="minorHAnsi" w:cstheme="minorHAnsi" w:hint="eastAsia"/>
                <w:b/>
                <w:bCs/>
                <w:sz w:val="22"/>
                <w:szCs w:val="22"/>
                <w:lang w:val="en-US"/>
              </w:rPr>
              <w:t>日时的余额</w:t>
            </w:r>
          </w:p>
        </w:tc>
        <w:tc>
          <w:tcPr>
            <w:tcW w:w="1560" w:type="dxa"/>
            <w:vAlign w:val="center"/>
            <w:hideMark/>
          </w:tcPr>
          <w:p w14:paraId="6B72176C" w14:textId="0ADCE962" w:rsidR="009630A9" w:rsidRPr="000C156A" w:rsidRDefault="009630A9" w:rsidP="005D02F0">
            <w:pPr>
              <w:spacing w:before="0"/>
              <w:jc w:val="right"/>
              <w:rPr>
                <w:sz w:val="22"/>
                <w:szCs w:val="22"/>
              </w:rPr>
            </w:pPr>
            <w:r w:rsidRPr="000C156A">
              <w:rPr>
                <w:sz w:val="22"/>
                <w:szCs w:val="22"/>
              </w:rPr>
              <w:t>35</w:t>
            </w:r>
            <w:r w:rsidR="005F53AC" w:rsidRPr="000C156A">
              <w:rPr>
                <w:sz w:val="22"/>
                <w:szCs w:val="22"/>
              </w:rPr>
              <w:t xml:space="preserve"> </w:t>
            </w:r>
            <w:r w:rsidRPr="000C156A">
              <w:rPr>
                <w:sz w:val="22"/>
                <w:szCs w:val="22"/>
              </w:rPr>
              <w:t>151</w:t>
            </w:r>
          </w:p>
        </w:tc>
        <w:tc>
          <w:tcPr>
            <w:tcW w:w="1398" w:type="dxa"/>
            <w:vAlign w:val="center"/>
            <w:hideMark/>
          </w:tcPr>
          <w:p w14:paraId="12F969B2" w14:textId="7DECF940" w:rsidR="009630A9" w:rsidRPr="000C156A" w:rsidRDefault="009630A9" w:rsidP="005D02F0">
            <w:pPr>
              <w:spacing w:before="0"/>
              <w:jc w:val="right"/>
              <w:rPr>
                <w:sz w:val="22"/>
                <w:szCs w:val="22"/>
              </w:rPr>
            </w:pPr>
            <w:r w:rsidRPr="000C156A">
              <w:rPr>
                <w:sz w:val="22"/>
                <w:szCs w:val="22"/>
              </w:rPr>
              <w:t>3</w:t>
            </w:r>
            <w:r w:rsidR="005F53AC" w:rsidRPr="000C156A">
              <w:rPr>
                <w:sz w:val="22"/>
                <w:szCs w:val="22"/>
              </w:rPr>
              <w:t xml:space="preserve"> </w:t>
            </w:r>
            <w:r w:rsidRPr="000C156A">
              <w:rPr>
                <w:sz w:val="22"/>
                <w:szCs w:val="22"/>
              </w:rPr>
              <w:t>184</w:t>
            </w:r>
          </w:p>
        </w:tc>
        <w:tc>
          <w:tcPr>
            <w:tcW w:w="1436" w:type="dxa"/>
            <w:vAlign w:val="center"/>
            <w:hideMark/>
          </w:tcPr>
          <w:p w14:paraId="05589507" w14:textId="64BBC5D1" w:rsidR="009630A9" w:rsidRPr="000C156A" w:rsidRDefault="009630A9" w:rsidP="005D02F0">
            <w:pPr>
              <w:spacing w:before="0"/>
              <w:jc w:val="right"/>
              <w:rPr>
                <w:b/>
                <w:bCs/>
                <w:sz w:val="22"/>
                <w:szCs w:val="22"/>
              </w:rPr>
            </w:pPr>
            <w:r w:rsidRPr="000C156A">
              <w:rPr>
                <w:b/>
                <w:bCs/>
                <w:sz w:val="22"/>
                <w:szCs w:val="22"/>
              </w:rPr>
              <w:t>38</w:t>
            </w:r>
            <w:r w:rsidR="005F53AC" w:rsidRPr="000C156A">
              <w:rPr>
                <w:b/>
                <w:bCs/>
                <w:sz w:val="22"/>
                <w:szCs w:val="22"/>
              </w:rPr>
              <w:t xml:space="preserve"> </w:t>
            </w:r>
            <w:r w:rsidRPr="000C156A">
              <w:rPr>
                <w:b/>
                <w:bCs/>
                <w:sz w:val="22"/>
                <w:szCs w:val="22"/>
              </w:rPr>
              <w:t>3525</w:t>
            </w:r>
          </w:p>
        </w:tc>
        <w:tc>
          <w:tcPr>
            <w:tcW w:w="1560" w:type="dxa"/>
            <w:vAlign w:val="center"/>
            <w:hideMark/>
          </w:tcPr>
          <w:p w14:paraId="3259EC56" w14:textId="3E5EFB61" w:rsidR="009630A9" w:rsidRPr="000C156A" w:rsidRDefault="009630A9" w:rsidP="005D02F0">
            <w:pPr>
              <w:spacing w:before="0"/>
              <w:jc w:val="right"/>
              <w:rPr>
                <w:b/>
                <w:bCs/>
                <w:sz w:val="22"/>
                <w:szCs w:val="22"/>
              </w:rPr>
            </w:pPr>
            <w:r w:rsidRPr="000C156A">
              <w:rPr>
                <w:b/>
                <w:bCs/>
                <w:sz w:val="22"/>
                <w:szCs w:val="22"/>
              </w:rPr>
              <w:t>5</w:t>
            </w:r>
            <w:r w:rsidR="005F53AC" w:rsidRPr="000C156A">
              <w:rPr>
                <w:b/>
                <w:bCs/>
                <w:sz w:val="22"/>
                <w:szCs w:val="22"/>
              </w:rPr>
              <w:t xml:space="preserve"> </w:t>
            </w:r>
            <w:r w:rsidRPr="000C156A">
              <w:rPr>
                <w:b/>
                <w:bCs/>
                <w:sz w:val="22"/>
                <w:szCs w:val="22"/>
              </w:rPr>
              <w:t>335</w:t>
            </w:r>
          </w:p>
        </w:tc>
      </w:tr>
      <w:tr w:rsidR="009630A9" w:rsidRPr="000C156A" w14:paraId="4D7F2D34" w14:textId="77777777" w:rsidTr="00A93EC3">
        <w:trPr>
          <w:jc w:val="center"/>
        </w:trPr>
        <w:tc>
          <w:tcPr>
            <w:tcW w:w="3119" w:type="dxa"/>
            <w:tcBorders>
              <w:top w:val="single" w:sz="4" w:space="0" w:color="auto"/>
              <w:left w:val="single" w:sz="4" w:space="0" w:color="000000"/>
              <w:bottom w:val="single" w:sz="4" w:space="0" w:color="000000"/>
              <w:right w:val="single" w:sz="4" w:space="0" w:color="auto"/>
            </w:tcBorders>
            <w:vAlign w:val="center"/>
            <w:hideMark/>
          </w:tcPr>
          <w:p w14:paraId="40CA604A" w14:textId="77777777" w:rsidR="009630A9" w:rsidRPr="000C156A" w:rsidRDefault="009630A9" w:rsidP="005D02F0">
            <w:pPr>
              <w:keepNext/>
              <w:keepLines/>
              <w:spacing w:before="20"/>
              <w:rPr>
                <w:sz w:val="22"/>
                <w:szCs w:val="22"/>
                <w:lang w:val="en-US" w:eastAsia="fr-FR"/>
              </w:rPr>
            </w:pPr>
            <w:r w:rsidRPr="000C156A">
              <w:rPr>
                <w:rFonts w:hint="eastAsia"/>
                <w:sz w:val="22"/>
                <w:szCs w:val="22"/>
                <w:lang w:val="en-US" w:eastAsia="fr-FR"/>
              </w:rPr>
              <w:t>增长</w:t>
            </w:r>
          </w:p>
        </w:tc>
        <w:tc>
          <w:tcPr>
            <w:tcW w:w="1560" w:type="dxa"/>
            <w:vAlign w:val="center"/>
            <w:hideMark/>
          </w:tcPr>
          <w:p w14:paraId="2EDCD751" w14:textId="628B2FF1" w:rsidR="009630A9" w:rsidRPr="000C156A" w:rsidRDefault="009630A9" w:rsidP="005D02F0">
            <w:pPr>
              <w:spacing w:before="0"/>
              <w:jc w:val="right"/>
              <w:rPr>
                <w:sz w:val="22"/>
                <w:szCs w:val="22"/>
              </w:rPr>
            </w:pPr>
            <w:r w:rsidRPr="000C156A">
              <w:rPr>
                <w:sz w:val="22"/>
                <w:szCs w:val="22"/>
              </w:rPr>
              <w:t>9</w:t>
            </w:r>
            <w:r w:rsidR="005F53AC" w:rsidRPr="000C156A">
              <w:rPr>
                <w:sz w:val="22"/>
                <w:szCs w:val="22"/>
              </w:rPr>
              <w:t xml:space="preserve"> </w:t>
            </w:r>
            <w:r w:rsidRPr="000C156A">
              <w:rPr>
                <w:sz w:val="22"/>
                <w:szCs w:val="22"/>
              </w:rPr>
              <w:t>020</w:t>
            </w:r>
          </w:p>
        </w:tc>
        <w:tc>
          <w:tcPr>
            <w:tcW w:w="1398" w:type="dxa"/>
            <w:vAlign w:val="center"/>
            <w:hideMark/>
          </w:tcPr>
          <w:p w14:paraId="693D0F7F" w14:textId="77785739" w:rsidR="009630A9" w:rsidRPr="000C156A" w:rsidRDefault="009630A9" w:rsidP="005D02F0">
            <w:pPr>
              <w:spacing w:before="0"/>
              <w:jc w:val="right"/>
              <w:rPr>
                <w:sz w:val="22"/>
                <w:szCs w:val="22"/>
              </w:rPr>
            </w:pPr>
            <w:r w:rsidRPr="000C156A">
              <w:rPr>
                <w:sz w:val="22"/>
                <w:szCs w:val="22"/>
              </w:rPr>
              <w:t>2</w:t>
            </w:r>
            <w:r w:rsidR="005F53AC" w:rsidRPr="000C156A">
              <w:rPr>
                <w:sz w:val="22"/>
                <w:szCs w:val="22"/>
              </w:rPr>
              <w:t xml:space="preserve"> </w:t>
            </w:r>
            <w:r w:rsidRPr="000C156A">
              <w:rPr>
                <w:sz w:val="22"/>
                <w:szCs w:val="22"/>
              </w:rPr>
              <w:t>027</w:t>
            </w:r>
          </w:p>
        </w:tc>
        <w:tc>
          <w:tcPr>
            <w:tcW w:w="1436" w:type="dxa"/>
            <w:vAlign w:val="center"/>
            <w:hideMark/>
          </w:tcPr>
          <w:p w14:paraId="66886981" w14:textId="323C1892" w:rsidR="009630A9" w:rsidRPr="000C156A" w:rsidRDefault="009630A9" w:rsidP="005D02F0">
            <w:pPr>
              <w:spacing w:before="0"/>
              <w:jc w:val="right"/>
              <w:rPr>
                <w:b/>
                <w:bCs/>
                <w:sz w:val="22"/>
                <w:szCs w:val="22"/>
              </w:rPr>
            </w:pPr>
            <w:r w:rsidRPr="000C156A">
              <w:rPr>
                <w:b/>
                <w:bCs/>
                <w:sz w:val="22"/>
                <w:szCs w:val="22"/>
              </w:rPr>
              <w:t>11</w:t>
            </w:r>
            <w:r w:rsidR="005F53AC" w:rsidRPr="000C156A">
              <w:rPr>
                <w:b/>
                <w:bCs/>
                <w:sz w:val="22"/>
                <w:szCs w:val="22"/>
              </w:rPr>
              <w:t xml:space="preserve"> </w:t>
            </w:r>
            <w:r w:rsidRPr="000C156A">
              <w:rPr>
                <w:b/>
                <w:bCs/>
                <w:sz w:val="22"/>
                <w:szCs w:val="22"/>
              </w:rPr>
              <w:t>047</w:t>
            </w:r>
          </w:p>
        </w:tc>
        <w:tc>
          <w:tcPr>
            <w:tcW w:w="1560" w:type="dxa"/>
            <w:vAlign w:val="center"/>
            <w:hideMark/>
          </w:tcPr>
          <w:p w14:paraId="1A44690F" w14:textId="517ABF82" w:rsidR="009630A9" w:rsidRPr="000C156A" w:rsidRDefault="009630A9" w:rsidP="005D02F0">
            <w:pPr>
              <w:spacing w:before="0"/>
              <w:jc w:val="right"/>
              <w:rPr>
                <w:sz w:val="22"/>
                <w:szCs w:val="22"/>
              </w:rPr>
            </w:pPr>
            <w:r w:rsidRPr="000C156A">
              <w:rPr>
                <w:sz w:val="22"/>
                <w:szCs w:val="22"/>
              </w:rPr>
              <w:t>3</w:t>
            </w:r>
            <w:r w:rsidR="005F53AC" w:rsidRPr="000C156A">
              <w:rPr>
                <w:sz w:val="22"/>
                <w:szCs w:val="22"/>
              </w:rPr>
              <w:t xml:space="preserve"> </w:t>
            </w:r>
            <w:r w:rsidRPr="000C156A">
              <w:rPr>
                <w:sz w:val="22"/>
                <w:szCs w:val="22"/>
              </w:rPr>
              <w:t>900</w:t>
            </w:r>
          </w:p>
        </w:tc>
      </w:tr>
      <w:tr w:rsidR="009630A9" w:rsidRPr="000C156A" w14:paraId="55D31A41" w14:textId="77777777" w:rsidTr="00A93EC3">
        <w:trPr>
          <w:jc w:val="center"/>
        </w:trPr>
        <w:tc>
          <w:tcPr>
            <w:tcW w:w="3119" w:type="dxa"/>
            <w:tcBorders>
              <w:top w:val="single" w:sz="4" w:space="0" w:color="000000"/>
              <w:left w:val="single" w:sz="4" w:space="0" w:color="000000"/>
              <w:bottom w:val="single" w:sz="4" w:space="0" w:color="000000"/>
              <w:right w:val="single" w:sz="4" w:space="0" w:color="auto"/>
            </w:tcBorders>
            <w:vAlign w:val="center"/>
            <w:hideMark/>
          </w:tcPr>
          <w:p w14:paraId="22F60C0B" w14:textId="77777777" w:rsidR="009630A9" w:rsidRPr="000C156A" w:rsidRDefault="009630A9" w:rsidP="005D02F0">
            <w:pPr>
              <w:keepNext/>
              <w:keepLines/>
              <w:spacing w:before="20"/>
              <w:rPr>
                <w:sz w:val="22"/>
                <w:szCs w:val="22"/>
                <w:lang w:val="en-US" w:eastAsia="fr-FR"/>
              </w:rPr>
            </w:pPr>
            <w:r w:rsidRPr="000C156A">
              <w:rPr>
                <w:rFonts w:hint="eastAsia"/>
                <w:sz w:val="22"/>
                <w:szCs w:val="22"/>
                <w:lang w:val="en-US" w:eastAsia="fr-FR"/>
              </w:rPr>
              <w:t>下降</w:t>
            </w:r>
          </w:p>
        </w:tc>
        <w:tc>
          <w:tcPr>
            <w:tcW w:w="1560" w:type="dxa"/>
            <w:vAlign w:val="center"/>
            <w:hideMark/>
          </w:tcPr>
          <w:p w14:paraId="5438C7E7" w14:textId="5F5E6CDA" w:rsidR="009630A9" w:rsidRPr="000C156A" w:rsidRDefault="009630A9" w:rsidP="005D02F0">
            <w:pPr>
              <w:spacing w:before="0"/>
              <w:jc w:val="right"/>
              <w:rPr>
                <w:sz w:val="22"/>
                <w:szCs w:val="22"/>
              </w:rPr>
            </w:pPr>
            <w:r w:rsidRPr="000C156A">
              <w:rPr>
                <w:sz w:val="22"/>
                <w:szCs w:val="22"/>
              </w:rPr>
              <w:t>-5</w:t>
            </w:r>
            <w:r w:rsidR="005F53AC" w:rsidRPr="000C156A">
              <w:rPr>
                <w:sz w:val="22"/>
                <w:szCs w:val="22"/>
              </w:rPr>
              <w:t xml:space="preserve"> </w:t>
            </w:r>
            <w:r w:rsidRPr="000C156A">
              <w:rPr>
                <w:sz w:val="22"/>
                <w:szCs w:val="22"/>
              </w:rPr>
              <w:t>731</w:t>
            </w:r>
          </w:p>
        </w:tc>
        <w:tc>
          <w:tcPr>
            <w:tcW w:w="1398" w:type="dxa"/>
            <w:vAlign w:val="center"/>
            <w:hideMark/>
          </w:tcPr>
          <w:p w14:paraId="2159D4D1" w14:textId="77777777" w:rsidR="009630A9" w:rsidRPr="000C156A" w:rsidRDefault="009630A9" w:rsidP="005D02F0">
            <w:pPr>
              <w:spacing w:before="0"/>
              <w:jc w:val="right"/>
              <w:rPr>
                <w:sz w:val="22"/>
                <w:szCs w:val="22"/>
              </w:rPr>
            </w:pPr>
            <w:r w:rsidRPr="000C156A">
              <w:rPr>
                <w:sz w:val="22"/>
                <w:szCs w:val="22"/>
              </w:rPr>
              <w:t>-858</w:t>
            </w:r>
          </w:p>
        </w:tc>
        <w:tc>
          <w:tcPr>
            <w:tcW w:w="1436" w:type="dxa"/>
            <w:vAlign w:val="center"/>
            <w:hideMark/>
          </w:tcPr>
          <w:p w14:paraId="0E461EFC" w14:textId="66D84C14" w:rsidR="009630A9" w:rsidRPr="000C156A" w:rsidRDefault="009630A9" w:rsidP="005D02F0">
            <w:pPr>
              <w:spacing w:before="0"/>
              <w:jc w:val="right"/>
              <w:rPr>
                <w:b/>
                <w:bCs/>
                <w:sz w:val="22"/>
                <w:szCs w:val="22"/>
              </w:rPr>
            </w:pPr>
            <w:r w:rsidRPr="000C156A">
              <w:rPr>
                <w:b/>
                <w:bCs/>
                <w:sz w:val="22"/>
                <w:szCs w:val="22"/>
              </w:rPr>
              <w:t>-6</w:t>
            </w:r>
            <w:r w:rsidR="005F53AC" w:rsidRPr="000C156A">
              <w:rPr>
                <w:b/>
                <w:bCs/>
                <w:sz w:val="22"/>
                <w:szCs w:val="22"/>
              </w:rPr>
              <w:t xml:space="preserve"> </w:t>
            </w:r>
            <w:r w:rsidRPr="000C156A">
              <w:rPr>
                <w:b/>
                <w:bCs/>
                <w:sz w:val="22"/>
                <w:szCs w:val="22"/>
              </w:rPr>
              <w:t>589</w:t>
            </w:r>
          </w:p>
        </w:tc>
        <w:tc>
          <w:tcPr>
            <w:tcW w:w="1560" w:type="dxa"/>
            <w:vAlign w:val="center"/>
            <w:hideMark/>
          </w:tcPr>
          <w:p w14:paraId="331F60D8" w14:textId="706B0249" w:rsidR="009630A9" w:rsidRPr="000C156A" w:rsidRDefault="009630A9" w:rsidP="005D02F0">
            <w:pPr>
              <w:spacing w:before="0"/>
              <w:jc w:val="right"/>
              <w:rPr>
                <w:sz w:val="22"/>
                <w:szCs w:val="22"/>
              </w:rPr>
            </w:pPr>
            <w:r w:rsidRPr="000C156A">
              <w:rPr>
                <w:sz w:val="22"/>
                <w:szCs w:val="22"/>
              </w:rPr>
              <w:t>-1</w:t>
            </w:r>
            <w:r w:rsidR="005F53AC" w:rsidRPr="000C156A">
              <w:rPr>
                <w:sz w:val="22"/>
                <w:szCs w:val="22"/>
              </w:rPr>
              <w:t xml:space="preserve"> </w:t>
            </w:r>
            <w:r w:rsidRPr="000C156A">
              <w:rPr>
                <w:sz w:val="22"/>
                <w:szCs w:val="22"/>
              </w:rPr>
              <w:t>227</w:t>
            </w:r>
          </w:p>
        </w:tc>
      </w:tr>
      <w:tr w:rsidR="009630A9" w:rsidRPr="000C156A" w14:paraId="02E3FB3A" w14:textId="77777777" w:rsidTr="00A93EC3">
        <w:trPr>
          <w:jc w:val="center"/>
        </w:trPr>
        <w:tc>
          <w:tcPr>
            <w:tcW w:w="3119" w:type="dxa"/>
            <w:tcBorders>
              <w:top w:val="single" w:sz="4" w:space="0" w:color="000000"/>
              <w:left w:val="single" w:sz="4" w:space="0" w:color="000000"/>
              <w:bottom w:val="nil"/>
              <w:right w:val="single" w:sz="4" w:space="0" w:color="auto"/>
            </w:tcBorders>
            <w:vAlign w:val="center"/>
          </w:tcPr>
          <w:p w14:paraId="1EA31D03" w14:textId="77777777" w:rsidR="009630A9" w:rsidRPr="000C156A" w:rsidRDefault="009630A9" w:rsidP="005D02F0">
            <w:pPr>
              <w:keepNext/>
              <w:keepLines/>
              <w:spacing w:before="20"/>
              <w:rPr>
                <w:sz w:val="22"/>
                <w:szCs w:val="22"/>
                <w:lang w:val="en-US" w:eastAsia="fr-FR"/>
              </w:rPr>
            </w:pPr>
          </w:p>
        </w:tc>
        <w:tc>
          <w:tcPr>
            <w:tcW w:w="1560" w:type="dxa"/>
            <w:vAlign w:val="center"/>
            <w:hideMark/>
          </w:tcPr>
          <w:p w14:paraId="729CB70E" w14:textId="77777777" w:rsidR="009630A9" w:rsidRPr="000C156A" w:rsidRDefault="009630A9" w:rsidP="005D02F0">
            <w:pPr>
              <w:spacing w:before="0"/>
              <w:jc w:val="right"/>
              <w:rPr>
                <w:sz w:val="22"/>
                <w:szCs w:val="22"/>
              </w:rPr>
            </w:pPr>
            <w:r w:rsidRPr="000C156A">
              <w:rPr>
                <w:sz w:val="22"/>
                <w:szCs w:val="22"/>
              </w:rPr>
              <w:t> </w:t>
            </w:r>
          </w:p>
        </w:tc>
        <w:tc>
          <w:tcPr>
            <w:tcW w:w="1398" w:type="dxa"/>
            <w:vAlign w:val="center"/>
            <w:hideMark/>
          </w:tcPr>
          <w:p w14:paraId="0127926B" w14:textId="77777777" w:rsidR="009630A9" w:rsidRPr="000C156A" w:rsidRDefault="009630A9" w:rsidP="005D02F0">
            <w:pPr>
              <w:spacing w:before="0"/>
              <w:jc w:val="right"/>
              <w:rPr>
                <w:sz w:val="22"/>
                <w:szCs w:val="22"/>
              </w:rPr>
            </w:pPr>
            <w:r w:rsidRPr="000C156A">
              <w:rPr>
                <w:sz w:val="22"/>
                <w:szCs w:val="22"/>
              </w:rPr>
              <w:t> </w:t>
            </w:r>
          </w:p>
        </w:tc>
        <w:tc>
          <w:tcPr>
            <w:tcW w:w="1436" w:type="dxa"/>
            <w:vAlign w:val="center"/>
            <w:hideMark/>
          </w:tcPr>
          <w:p w14:paraId="6628CFF0" w14:textId="77777777" w:rsidR="009630A9" w:rsidRPr="000C156A" w:rsidRDefault="009630A9" w:rsidP="005D02F0">
            <w:pPr>
              <w:spacing w:before="0"/>
              <w:jc w:val="right"/>
              <w:rPr>
                <w:b/>
                <w:bCs/>
                <w:sz w:val="22"/>
                <w:szCs w:val="22"/>
              </w:rPr>
            </w:pPr>
            <w:r w:rsidRPr="000C156A">
              <w:rPr>
                <w:b/>
                <w:bCs/>
                <w:sz w:val="22"/>
                <w:szCs w:val="22"/>
              </w:rPr>
              <w:t> </w:t>
            </w:r>
          </w:p>
        </w:tc>
        <w:tc>
          <w:tcPr>
            <w:tcW w:w="1560" w:type="dxa"/>
            <w:vAlign w:val="center"/>
            <w:hideMark/>
          </w:tcPr>
          <w:p w14:paraId="46BE0574" w14:textId="77777777" w:rsidR="009630A9" w:rsidRPr="000C156A" w:rsidRDefault="009630A9" w:rsidP="005D02F0">
            <w:pPr>
              <w:spacing w:before="0"/>
              <w:jc w:val="right"/>
              <w:rPr>
                <w:b/>
                <w:bCs/>
                <w:sz w:val="22"/>
                <w:szCs w:val="22"/>
              </w:rPr>
            </w:pPr>
            <w:r w:rsidRPr="000C156A">
              <w:rPr>
                <w:b/>
                <w:bCs/>
                <w:sz w:val="22"/>
                <w:szCs w:val="22"/>
              </w:rPr>
              <w:t> </w:t>
            </w:r>
          </w:p>
        </w:tc>
      </w:tr>
      <w:tr w:rsidR="009630A9" w:rsidRPr="000C156A" w14:paraId="74EF205D" w14:textId="77777777" w:rsidTr="00A93EC3">
        <w:trPr>
          <w:jc w:val="center"/>
        </w:trPr>
        <w:tc>
          <w:tcPr>
            <w:tcW w:w="3119" w:type="dxa"/>
            <w:tcBorders>
              <w:top w:val="single" w:sz="4" w:space="0" w:color="auto"/>
              <w:left w:val="single" w:sz="4" w:space="0" w:color="000000"/>
              <w:bottom w:val="single" w:sz="4" w:space="0" w:color="000000"/>
              <w:right w:val="single" w:sz="4" w:space="0" w:color="auto"/>
            </w:tcBorders>
            <w:vAlign w:val="center"/>
            <w:hideMark/>
          </w:tcPr>
          <w:p w14:paraId="7F298981" w14:textId="77777777" w:rsidR="009630A9" w:rsidRPr="000C156A" w:rsidRDefault="009630A9" w:rsidP="005D02F0">
            <w:pPr>
              <w:spacing w:before="20"/>
              <w:rPr>
                <w:b/>
                <w:bCs/>
                <w:sz w:val="22"/>
                <w:szCs w:val="22"/>
                <w:lang w:val="en-US" w:eastAsia="zh-CN"/>
              </w:rPr>
            </w:pPr>
            <w:r w:rsidRPr="000C156A">
              <w:rPr>
                <w:b/>
                <w:bCs/>
                <w:sz w:val="22"/>
                <w:szCs w:val="22"/>
                <w:lang w:val="en-US" w:eastAsia="zh-CN"/>
              </w:rPr>
              <w:t>2020</w:t>
            </w:r>
            <w:r w:rsidRPr="000C156A">
              <w:rPr>
                <w:rFonts w:hint="eastAsia"/>
                <w:b/>
                <w:bCs/>
                <w:sz w:val="22"/>
                <w:szCs w:val="22"/>
                <w:lang w:val="en-US" w:eastAsia="zh-CN"/>
              </w:rPr>
              <w:t>年</w:t>
            </w:r>
            <w:r w:rsidRPr="000C156A">
              <w:rPr>
                <w:b/>
                <w:bCs/>
                <w:sz w:val="22"/>
                <w:szCs w:val="22"/>
                <w:lang w:val="en-US" w:eastAsia="zh-CN"/>
              </w:rPr>
              <w:t>12</w:t>
            </w:r>
            <w:r w:rsidRPr="000C156A">
              <w:rPr>
                <w:rFonts w:hint="eastAsia"/>
                <w:b/>
                <w:bCs/>
                <w:sz w:val="22"/>
                <w:szCs w:val="22"/>
                <w:lang w:val="en-US" w:eastAsia="zh-CN"/>
              </w:rPr>
              <w:t>月</w:t>
            </w:r>
            <w:r w:rsidRPr="000C156A">
              <w:rPr>
                <w:b/>
                <w:bCs/>
                <w:sz w:val="22"/>
                <w:szCs w:val="22"/>
                <w:lang w:val="en-US" w:eastAsia="zh-CN"/>
              </w:rPr>
              <w:t>31</w:t>
            </w:r>
            <w:r w:rsidRPr="000C156A">
              <w:rPr>
                <w:rFonts w:hint="eastAsia"/>
                <w:b/>
                <w:bCs/>
                <w:sz w:val="22"/>
                <w:szCs w:val="22"/>
                <w:lang w:val="en-US" w:eastAsia="zh-CN"/>
              </w:rPr>
              <w:t>日的期终余额</w:t>
            </w:r>
          </w:p>
        </w:tc>
        <w:tc>
          <w:tcPr>
            <w:tcW w:w="1560" w:type="dxa"/>
            <w:vAlign w:val="center"/>
            <w:hideMark/>
          </w:tcPr>
          <w:p w14:paraId="778D04DC" w14:textId="4080E968" w:rsidR="009630A9" w:rsidRPr="000C156A" w:rsidRDefault="009630A9" w:rsidP="005D02F0">
            <w:pPr>
              <w:spacing w:before="0"/>
              <w:jc w:val="right"/>
              <w:rPr>
                <w:sz w:val="22"/>
                <w:szCs w:val="22"/>
              </w:rPr>
            </w:pPr>
            <w:r w:rsidRPr="000C156A">
              <w:rPr>
                <w:sz w:val="22"/>
                <w:szCs w:val="22"/>
              </w:rPr>
              <w:t>38</w:t>
            </w:r>
            <w:r w:rsidR="005F53AC" w:rsidRPr="000C156A">
              <w:rPr>
                <w:sz w:val="22"/>
                <w:szCs w:val="22"/>
              </w:rPr>
              <w:t xml:space="preserve"> </w:t>
            </w:r>
            <w:r w:rsidRPr="000C156A">
              <w:rPr>
                <w:sz w:val="22"/>
                <w:szCs w:val="22"/>
              </w:rPr>
              <w:t>430</w:t>
            </w:r>
          </w:p>
        </w:tc>
        <w:tc>
          <w:tcPr>
            <w:tcW w:w="1398" w:type="dxa"/>
            <w:vAlign w:val="center"/>
            <w:hideMark/>
          </w:tcPr>
          <w:p w14:paraId="78006B86" w14:textId="540C967F" w:rsidR="009630A9" w:rsidRPr="000C156A" w:rsidRDefault="009630A9" w:rsidP="005D02F0">
            <w:pPr>
              <w:spacing w:before="0"/>
              <w:jc w:val="right"/>
              <w:rPr>
                <w:sz w:val="22"/>
                <w:szCs w:val="22"/>
              </w:rPr>
            </w:pPr>
            <w:r w:rsidRPr="000C156A">
              <w:rPr>
                <w:sz w:val="22"/>
                <w:szCs w:val="22"/>
              </w:rPr>
              <w:t>4</w:t>
            </w:r>
            <w:r w:rsidR="005F53AC" w:rsidRPr="000C156A">
              <w:rPr>
                <w:sz w:val="22"/>
                <w:szCs w:val="22"/>
              </w:rPr>
              <w:t xml:space="preserve"> </w:t>
            </w:r>
            <w:r w:rsidRPr="000C156A">
              <w:rPr>
                <w:sz w:val="22"/>
                <w:szCs w:val="22"/>
              </w:rPr>
              <w:t>353</w:t>
            </w:r>
          </w:p>
        </w:tc>
        <w:tc>
          <w:tcPr>
            <w:tcW w:w="1436" w:type="dxa"/>
            <w:vAlign w:val="center"/>
            <w:hideMark/>
          </w:tcPr>
          <w:p w14:paraId="4329DA68" w14:textId="62DE3639" w:rsidR="009630A9" w:rsidRPr="000C156A" w:rsidRDefault="009630A9" w:rsidP="005D02F0">
            <w:pPr>
              <w:spacing w:before="0"/>
              <w:jc w:val="right"/>
              <w:rPr>
                <w:b/>
                <w:bCs/>
                <w:sz w:val="22"/>
                <w:szCs w:val="22"/>
              </w:rPr>
            </w:pPr>
            <w:r w:rsidRPr="000C156A">
              <w:rPr>
                <w:b/>
                <w:bCs/>
                <w:sz w:val="22"/>
                <w:szCs w:val="22"/>
              </w:rPr>
              <w:t>42</w:t>
            </w:r>
            <w:r w:rsidR="005F53AC" w:rsidRPr="000C156A">
              <w:rPr>
                <w:b/>
                <w:bCs/>
                <w:sz w:val="22"/>
                <w:szCs w:val="22"/>
              </w:rPr>
              <w:t xml:space="preserve"> </w:t>
            </w:r>
            <w:r w:rsidRPr="000C156A">
              <w:rPr>
                <w:b/>
                <w:bCs/>
                <w:sz w:val="22"/>
                <w:szCs w:val="22"/>
              </w:rPr>
              <w:t>783</w:t>
            </w:r>
          </w:p>
        </w:tc>
        <w:tc>
          <w:tcPr>
            <w:tcW w:w="1560" w:type="dxa"/>
            <w:vAlign w:val="center"/>
            <w:hideMark/>
          </w:tcPr>
          <w:p w14:paraId="37ACA2D2" w14:textId="1C4881A9" w:rsidR="009630A9" w:rsidRPr="000C156A" w:rsidRDefault="009630A9" w:rsidP="005D02F0">
            <w:pPr>
              <w:spacing w:before="0"/>
              <w:jc w:val="right"/>
              <w:rPr>
                <w:b/>
                <w:bCs/>
                <w:sz w:val="22"/>
                <w:szCs w:val="22"/>
              </w:rPr>
            </w:pPr>
            <w:r w:rsidRPr="000C156A">
              <w:rPr>
                <w:b/>
                <w:bCs/>
                <w:sz w:val="22"/>
                <w:szCs w:val="22"/>
              </w:rPr>
              <w:t>8</w:t>
            </w:r>
            <w:r w:rsidR="005F53AC" w:rsidRPr="000C156A">
              <w:rPr>
                <w:b/>
                <w:bCs/>
                <w:sz w:val="22"/>
                <w:szCs w:val="22"/>
              </w:rPr>
              <w:t xml:space="preserve"> </w:t>
            </w:r>
            <w:r w:rsidRPr="000C156A">
              <w:rPr>
                <w:b/>
                <w:bCs/>
                <w:sz w:val="22"/>
                <w:szCs w:val="22"/>
              </w:rPr>
              <w:t>008</w:t>
            </w:r>
          </w:p>
        </w:tc>
      </w:tr>
    </w:tbl>
    <w:p w14:paraId="14B973F8" w14:textId="77777777" w:rsidR="009630A9" w:rsidRPr="000C156A" w:rsidRDefault="009630A9" w:rsidP="009630A9">
      <w:pPr>
        <w:spacing w:before="240"/>
        <w:ind w:firstLineChars="200" w:firstLine="480"/>
        <w:rPr>
          <w:szCs w:val="24"/>
          <w:lang w:eastAsia="zh-CN"/>
        </w:rPr>
      </w:pPr>
      <w:bookmarkStart w:id="860" w:name="_Toc305764103"/>
      <w:r w:rsidRPr="000C156A">
        <w:rPr>
          <w:rFonts w:hint="eastAsia"/>
          <w:szCs w:val="24"/>
          <w:lang w:eastAsia="zh-CN"/>
        </w:rPr>
        <w:t>尽管</w:t>
      </w:r>
      <w:r w:rsidRPr="000C156A">
        <w:rPr>
          <w:szCs w:val="24"/>
          <w:lang w:eastAsia="zh-CN"/>
        </w:rPr>
        <w:t>COVID-19</w:t>
      </w:r>
      <w:r w:rsidRPr="000C156A">
        <w:rPr>
          <w:rFonts w:hint="eastAsia"/>
          <w:szCs w:val="24"/>
          <w:lang w:eastAsia="zh-CN"/>
        </w:rPr>
        <w:t>大流行造成了缺口，但第三方资金的划拨总额有所增加。由于加紧努力吸引额外的预算外资金，所以持续收到外部捐款。与此同时，由于目前的情况，第三方资金分配项目的执行有所减少。</w:t>
      </w:r>
    </w:p>
    <w:p w14:paraId="29A29F07" w14:textId="77777777" w:rsidR="009630A9" w:rsidRPr="000C156A" w:rsidRDefault="009630A9" w:rsidP="009630A9">
      <w:pPr>
        <w:spacing w:before="240"/>
        <w:ind w:firstLineChars="200" w:firstLine="480"/>
        <w:rPr>
          <w:szCs w:val="24"/>
          <w:lang w:eastAsia="zh-CN"/>
        </w:rPr>
      </w:pPr>
      <w:r w:rsidRPr="000C156A">
        <w:rPr>
          <w:rFonts w:hint="eastAsia"/>
          <w:szCs w:val="24"/>
          <w:lang w:eastAsia="zh-CN"/>
        </w:rPr>
        <w:t>等待分配的第三方资金的增加主要是由于已结束项目的余额转移造成的。</w:t>
      </w:r>
    </w:p>
    <w:p w14:paraId="5EBB9048" w14:textId="77777777" w:rsidR="009630A9" w:rsidRPr="000C156A" w:rsidRDefault="009630A9" w:rsidP="009630A9">
      <w:pPr>
        <w:spacing w:before="240"/>
        <w:ind w:firstLineChars="200" w:firstLine="480"/>
        <w:rPr>
          <w:lang w:eastAsia="zh-CN"/>
        </w:rPr>
      </w:pPr>
      <w:r w:rsidRPr="000C156A">
        <w:rPr>
          <w:rFonts w:hint="eastAsia"/>
          <w:szCs w:val="24"/>
          <w:lang w:eastAsia="zh-CN"/>
        </w:rPr>
        <w:t>国际电联分配给预算外项目的自有资金的增加是由于</w:t>
      </w:r>
      <w:r w:rsidRPr="000C156A">
        <w:rPr>
          <w:szCs w:val="24"/>
          <w:lang w:eastAsia="zh-CN"/>
        </w:rPr>
        <w:t>信息通信技术促发展基</w:t>
      </w:r>
      <w:r w:rsidRPr="000C156A">
        <w:rPr>
          <w:rFonts w:hint="eastAsia"/>
          <w:szCs w:val="24"/>
          <w:lang w:eastAsia="zh-CN"/>
        </w:rPr>
        <w:t>金（</w:t>
      </w:r>
      <w:r w:rsidRPr="000C156A">
        <w:rPr>
          <w:rFonts w:hint="eastAsia"/>
          <w:szCs w:val="24"/>
          <w:lang w:eastAsia="zh-CN"/>
        </w:rPr>
        <w:t>ICTD</w:t>
      </w:r>
      <w:r w:rsidRPr="000C156A">
        <w:rPr>
          <w:rFonts w:hint="eastAsia"/>
          <w:szCs w:val="24"/>
          <w:lang w:eastAsia="zh-CN"/>
        </w:rPr>
        <w:t>）的拨款和国际电联的其他预算拨款。</w:t>
      </w:r>
      <w:r w:rsidRPr="000C156A">
        <w:rPr>
          <w:rFonts w:hint="eastAsia"/>
          <w:szCs w:val="24"/>
          <w:lang w:eastAsia="zh-CN"/>
        </w:rPr>
        <w:t>2020</w:t>
      </w:r>
      <w:r w:rsidRPr="000C156A">
        <w:rPr>
          <w:rFonts w:hint="eastAsia"/>
          <w:szCs w:val="24"/>
          <w:lang w:eastAsia="zh-CN"/>
        </w:rPr>
        <w:t>年，（自有资金）项目实施的趋势与其他预算外项目相同。</w:t>
      </w:r>
    </w:p>
    <w:p w14:paraId="5C9AF199" w14:textId="77777777" w:rsidR="009630A9" w:rsidRPr="000C156A" w:rsidRDefault="009630A9" w:rsidP="009630A9">
      <w:pPr>
        <w:pStyle w:val="Heading1"/>
        <w:spacing w:before="240" w:after="120"/>
        <w:rPr>
          <w:rFonts w:cs="Microsoft YaHei"/>
          <w:sz w:val="24"/>
          <w:szCs w:val="24"/>
          <w:lang w:val="en-US" w:eastAsia="zh-CN"/>
        </w:rPr>
      </w:pPr>
      <w:bookmarkStart w:id="861" w:name="_Toc329165797"/>
      <w:bookmarkStart w:id="862" w:name="_Toc482892581"/>
      <w:bookmarkStart w:id="863" w:name="_Toc482870846"/>
      <w:bookmarkStart w:id="864" w:name="_Toc511817848"/>
      <w:bookmarkStart w:id="865" w:name="_Toc520280748"/>
      <w:bookmarkStart w:id="866" w:name="_Toc10536843"/>
      <w:bookmarkStart w:id="867" w:name="_Toc41905894"/>
      <w:bookmarkStart w:id="868" w:name="_Toc41906915"/>
      <w:bookmarkStart w:id="869" w:name="_Toc41907996"/>
      <w:bookmarkStart w:id="870" w:name="_Toc41908064"/>
      <w:bookmarkStart w:id="871" w:name="_Toc73518712"/>
      <w:bookmarkStart w:id="872" w:name="_Toc73518859"/>
      <w:bookmarkStart w:id="873" w:name="_Toc73519259"/>
      <w:bookmarkStart w:id="874" w:name="_Toc73636298"/>
      <w:bookmarkStart w:id="875" w:name="_Toc329011648"/>
      <w:bookmarkStart w:id="876" w:name="_Toc305778514"/>
      <w:bookmarkStart w:id="877" w:name="_Toc305764104"/>
      <w:bookmarkEnd w:id="860"/>
      <w:r w:rsidRPr="000C156A">
        <w:rPr>
          <w:rFonts w:cs="Microsoft YaHei" w:hint="eastAsia"/>
          <w:sz w:val="24"/>
          <w:szCs w:val="24"/>
          <w:lang w:val="fr-FR" w:eastAsia="zh-CN"/>
        </w:rPr>
        <w:t>说明</w:t>
      </w:r>
      <w:r w:rsidRPr="000C156A">
        <w:rPr>
          <w:rFonts w:cs="Microsoft YaHei"/>
          <w:sz w:val="24"/>
          <w:szCs w:val="24"/>
          <w:lang w:val="en-US" w:eastAsia="zh-CN"/>
        </w:rPr>
        <w:t>21</w:t>
      </w:r>
      <w:r w:rsidRPr="000C156A">
        <w:rPr>
          <w:rFonts w:cs="Microsoft YaHei"/>
          <w:sz w:val="24"/>
          <w:szCs w:val="24"/>
          <w:lang w:val="en-US" w:eastAsia="zh-CN"/>
        </w:rPr>
        <w:tab/>
      </w:r>
      <w:bookmarkEnd w:id="861"/>
      <w:bookmarkEnd w:id="862"/>
      <w:bookmarkEnd w:id="863"/>
      <w:bookmarkEnd w:id="864"/>
      <w:bookmarkEnd w:id="865"/>
      <w:r w:rsidRPr="000C156A">
        <w:rPr>
          <w:rFonts w:cs="Microsoft YaHei" w:hint="eastAsia"/>
          <w:sz w:val="24"/>
          <w:szCs w:val="24"/>
          <w:lang w:val="fr-FR" w:eastAsia="zh-CN"/>
        </w:rPr>
        <w:t>分摊会费</w:t>
      </w:r>
      <w:bookmarkEnd w:id="866"/>
      <w:bookmarkEnd w:id="867"/>
      <w:bookmarkEnd w:id="868"/>
      <w:bookmarkEnd w:id="869"/>
      <w:bookmarkEnd w:id="870"/>
      <w:bookmarkEnd w:id="871"/>
      <w:bookmarkEnd w:id="872"/>
      <w:bookmarkEnd w:id="873"/>
      <w:bookmarkEnd w:id="874"/>
    </w:p>
    <w:p w14:paraId="3F335373" w14:textId="77777777" w:rsidR="009630A9" w:rsidRPr="000C156A" w:rsidRDefault="009630A9" w:rsidP="00AB1F42">
      <w:pPr>
        <w:spacing w:after="240"/>
        <w:ind w:firstLineChars="200" w:firstLine="480"/>
        <w:rPr>
          <w:lang w:eastAsia="zh-CN"/>
        </w:rPr>
      </w:pPr>
      <w:r w:rsidRPr="000C156A">
        <w:rPr>
          <w:rFonts w:hint="eastAsia"/>
          <w:lang w:eastAsia="zh-CN"/>
        </w:rPr>
        <w:t>下表所示为在</w:t>
      </w:r>
      <w:r w:rsidRPr="000C156A">
        <w:rPr>
          <w:lang w:eastAsia="zh-CN"/>
        </w:rPr>
        <w:t>201</w:t>
      </w:r>
      <w:r w:rsidRPr="000C156A">
        <w:rPr>
          <w:rFonts w:hint="eastAsia"/>
          <w:lang w:eastAsia="zh-CN"/>
        </w:rPr>
        <w:t>9</w:t>
      </w:r>
      <w:r w:rsidRPr="000C156A">
        <w:rPr>
          <w:rFonts w:hint="eastAsia"/>
          <w:lang w:eastAsia="zh-CN"/>
        </w:rPr>
        <w:t>年期间已实际过账的会费。</w:t>
      </w: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6"/>
        <w:gridCol w:w="1843"/>
        <w:gridCol w:w="1796"/>
      </w:tblGrid>
      <w:tr w:rsidR="009630A9" w:rsidRPr="000C156A" w14:paraId="6D88BF12" w14:textId="77777777" w:rsidTr="005D02F0">
        <w:trPr>
          <w:trHeight w:val="499"/>
          <w:jc w:val="center"/>
        </w:trPr>
        <w:tc>
          <w:tcPr>
            <w:tcW w:w="5896" w:type="dxa"/>
            <w:noWrap/>
            <w:vAlign w:val="center"/>
            <w:hideMark/>
          </w:tcPr>
          <w:p w14:paraId="2F152697" w14:textId="77777777" w:rsidR="009630A9" w:rsidRPr="000C156A" w:rsidRDefault="009630A9" w:rsidP="005D02F0">
            <w:pPr>
              <w:keepNext/>
              <w:spacing w:before="20" w:after="20"/>
              <w:rPr>
                <w:b/>
                <w:sz w:val="22"/>
                <w:szCs w:val="22"/>
                <w:lang w:val="en-US"/>
              </w:rPr>
            </w:pPr>
            <w:r w:rsidRPr="000C156A">
              <w:rPr>
                <w:rFonts w:ascii="SimSun" w:hAnsi="SimSun" w:cs="SimSun" w:hint="eastAsia"/>
                <w:b/>
                <w:sz w:val="22"/>
                <w:szCs w:val="22"/>
                <w:lang w:val="en-US"/>
              </w:rPr>
              <w:t>单位：千瑞郎</w:t>
            </w:r>
          </w:p>
        </w:tc>
        <w:tc>
          <w:tcPr>
            <w:tcW w:w="1843" w:type="dxa"/>
            <w:vAlign w:val="center"/>
            <w:hideMark/>
          </w:tcPr>
          <w:p w14:paraId="59763117" w14:textId="77777777" w:rsidR="009630A9" w:rsidRPr="000C156A" w:rsidRDefault="009630A9" w:rsidP="005D02F0">
            <w:pPr>
              <w:keepNext/>
              <w:spacing w:before="20" w:after="20"/>
              <w:jc w:val="center"/>
              <w:rPr>
                <w:b/>
                <w:sz w:val="22"/>
                <w:szCs w:val="22"/>
                <w:lang w:val="en-US"/>
              </w:rPr>
            </w:pPr>
            <w:r w:rsidRPr="000C156A">
              <w:rPr>
                <w:b/>
                <w:sz w:val="22"/>
                <w:szCs w:val="22"/>
                <w:lang w:val="en-US"/>
              </w:rPr>
              <w:t>2020</w:t>
            </w:r>
            <w:r w:rsidRPr="000C156A">
              <w:rPr>
                <w:rFonts w:ascii="SimSun" w:hAnsi="SimSun" w:cs="SimSun" w:hint="eastAsia"/>
                <w:b/>
                <w:sz w:val="22"/>
                <w:szCs w:val="22"/>
                <w:lang w:val="en-US"/>
              </w:rPr>
              <w:t>年</w:t>
            </w:r>
          </w:p>
        </w:tc>
        <w:tc>
          <w:tcPr>
            <w:tcW w:w="1796" w:type="dxa"/>
            <w:vAlign w:val="center"/>
            <w:hideMark/>
          </w:tcPr>
          <w:p w14:paraId="26462F13" w14:textId="77777777" w:rsidR="009630A9" w:rsidRPr="000C156A" w:rsidRDefault="009630A9" w:rsidP="005D02F0">
            <w:pPr>
              <w:keepNext/>
              <w:spacing w:before="20" w:after="20"/>
              <w:jc w:val="center"/>
              <w:rPr>
                <w:b/>
                <w:sz w:val="22"/>
                <w:szCs w:val="22"/>
                <w:lang w:val="en-US"/>
              </w:rPr>
            </w:pPr>
            <w:r w:rsidRPr="000C156A">
              <w:rPr>
                <w:b/>
                <w:sz w:val="22"/>
                <w:szCs w:val="22"/>
                <w:lang w:val="en-US"/>
              </w:rPr>
              <w:t>201</w:t>
            </w:r>
            <w:r w:rsidRPr="000C156A">
              <w:rPr>
                <w:b/>
                <w:sz w:val="22"/>
                <w:szCs w:val="22"/>
                <w:lang w:val="en-US" w:eastAsia="zh-CN"/>
              </w:rPr>
              <w:t>9</w:t>
            </w:r>
            <w:r w:rsidRPr="000C156A">
              <w:rPr>
                <w:rFonts w:ascii="SimSun" w:hAnsi="SimSun" w:cs="SimSun" w:hint="eastAsia"/>
                <w:b/>
                <w:sz w:val="22"/>
                <w:szCs w:val="22"/>
                <w:lang w:val="en-US"/>
              </w:rPr>
              <w:t>年</w:t>
            </w:r>
          </w:p>
        </w:tc>
      </w:tr>
      <w:tr w:rsidR="009630A9" w:rsidRPr="000C156A" w14:paraId="1BA8BADE" w14:textId="77777777" w:rsidTr="00AB1F42">
        <w:trPr>
          <w:trHeight w:val="255"/>
          <w:jc w:val="center"/>
        </w:trPr>
        <w:tc>
          <w:tcPr>
            <w:tcW w:w="5896" w:type="dxa"/>
            <w:noWrap/>
            <w:vAlign w:val="bottom"/>
            <w:hideMark/>
          </w:tcPr>
          <w:p w14:paraId="32170735" w14:textId="77777777" w:rsidR="009630A9" w:rsidRPr="000C156A" w:rsidRDefault="009630A9" w:rsidP="005D02F0">
            <w:pPr>
              <w:spacing w:before="20"/>
              <w:rPr>
                <w:bCs/>
                <w:sz w:val="22"/>
                <w:szCs w:val="22"/>
                <w:lang w:val="en-US" w:eastAsia="zh-CN"/>
              </w:rPr>
            </w:pPr>
            <w:r w:rsidRPr="000C156A">
              <w:rPr>
                <w:rFonts w:hint="eastAsia"/>
                <w:bCs/>
                <w:sz w:val="22"/>
                <w:szCs w:val="22"/>
                <w:lang w:val="en-US" w:eastAsia="zh-CN"/>
              </w:rPr>
              <w:t>成员国会费</w:t>
            </w:r>
          </w:p>
        </w:tc>
        <w:tc>
          <w:tcPr>
            <w:tcW w:w="1843" w:type="dxa"/>
            <w:noWrap/>
            <w:vAlign w:val="center"/>
            <w:hideMark/>
          </w:tcPr>
          <w:p w14:paraId="387C44DC" w14:textId="70436FBB" w:rsidR="009630A9" w:rsidRPr="000C156A" w:rsidRDefault="009630A9" w:rsidP="005D02F0">
            <w:pPr>
              <w:spacing w:before="0"/>
              <w:jc w:val="right"/>
              <w:rPr>
                <w:sz w:val="22"/>
              </w:rPr>
            </w:pPr>
            <w:r w:rsidRPr="000C156A">
              <w:rPr>
                <w:sz w:val="22"/>
              </w:rPr>
              <w:t>109</w:t>
            </w:r>
            <w:r w:rsidR="00AB1F42" w:rsidRPr="000C156A">
              <w:rPr>
                <w:sz w:val="22"/>
              </w:rPr>
              <w:t xml:space="preserve"> </w:t>
            </w:r>
            <w:r w:rsidRPr="000C156A">
              <w:rPr>
                <w:sz w:val="22"/>
              </w:rPr>
              <w:t>293</w:t>
            </w:r>
          </w:p>
        </w:tc>
        <w:tc>
          <w:tcPr>
            <w:tcW w:w="1796" w:type="dxa"/>
            <w:vAlign w:val="center"/>
            <w:hideMark/>
          </w:tcPr>
          <w:p w14:paraId="126A8623" w14:textId="4CF959F3" w:rsidR="009630A9" w:rsidRPr="000C156A" w:rsidRDefault="009630A9" w:rsidP="005D02F0">
            <w:pPr>
              <w:spacing w:before="0"/>
              <w:jc w:val="right"/>
              <w:rPr>
                <w:sz w:val="22"/>
              </w:rPr>
            </w:pPr>
            <w:r w:rsidRPr="000C156A">
              <w:rPr>
                <w:sz w:val="22"/>
              </w:rPr>
              <w:t>109</w:t>
            </w:r>
            <w:r w:rsidR="00AB1F42" w:rsidRPr="000C156A">
              <w:rPr>
                <w:sz w:val="22"/>
              </w:rPr>
              <w:t xml:space="preserve"> </w:t>
            </w:r>
            <w:r w:rsidRPr="000C156A">
              <w:rPr>
                <w:sz w:val="22"/>
              </w:rPr>
              <w:t>869</w:t>
            </w:r>
          </w:p>
        </w:tc>
      </w:tr>
      <w:tr w:rsidR="009630A9" w:rsidRPr="000C156A" w14:paraId="7BBE4D10" w14:textId="77777777" w:rsidTr="00AB1F42">
        <w:trPr>
          <w:trHeight w:val="20"/>
          <w:jc w:val="center"/>
        </w:trPr>
        <w:tc>
          <w:tcPr>
            <w:tcW w:w="5896" w:type="dxa"/>
            <w:noWrap/>
            <w:vAlign w:val="center"/>
            <w:hideMark/>
          </w:tcPr>
          <w:p w14:paraId="33159B6F" w14:textId="77777777" w:rsidR="009630A9" w:rsidRPr="000C156A" w:rsidRDefault="009630A9" w:rsidP="005D02F0">
            <w:pPr>
              <w:spacing w:before="20"/>
              <w:rPr>
                <w:bCs/>
                <w:sz w:val="22"/>
                <w:szCs w:val="22"/>
                <w:lang w:val="en-US" w:eastAsia="zh-CN"/>
              </w:rPr>
            </w:pPr>
            <w:r w:rsidRPr="000C156A">
              <w:rPr>
                <w:rFonts w:hint="eastAsia"/>
                <w:sz w:val="22"/>
                <w:szCs w:val="22"/>
                <w:lang w:val="en-US" w:eastAsia="fr-FR"/>
              </w:rPr>
              <w:t>部门成员会费</w:t>
            </w:r>
          </w:p>
        </w:tc>
        <w:tc>
          <w:tcPr>
            <w:tcW w:w="1843" w:type="dxa"/>
            <w:noWrap/>
            <w:vAlign w:val="center"/>
            <w:hideMark/>
          </w:tcPr>
          <w:p w14:paraId="5EF8C16C" w14:textId="39EF810B" w:rsidR="009630A9" w:rsidRPr="000C156A" w:rsidRDefault="009630A9" w:rsidP="005D02F0">
            <w:pPr>
              <w:spacing w:before="0"/>
              <w:jc w:val="right"/>
              <w:rPr>
                <w:sz w:val="22"/>
              </w:rPr>
            </w:pPr>
            <w:r w:rsidRPr="000C156A">
              <w:rPr>
                <w:sz w:val="22"/>
              </w:rPr>
              <w:t>13</w:t>
            </w:r>
            <w:r w:rsidR="00AB1F42" w:rsidRPr="000C156A">
              <w:rPr>
                <w:sz w:val="22"/>
              </w:rPr>
              <w:t xml:space="preserve"> </w:t>
            </w:r>
            <w:r w:rsidRPr="000C156A">
              <w:rPr>
                <w:sz w:val="22"/>
              </w:rPr>
              <w:t>939</w:t>
            </w:r>
          </w:p>
        </w:tc>
        <w:tc>
          <w:tcPr>
            <w:tcW w:w="1796" w:type="dxa"/>
            <w:vAlign w:val="center"/>
            <w:hideMark/>
          </w:tcPr>
          <w:p w14:paraId="08212CBF" w14:textId="25E4A049" w:rsidR="009630A9" w:rsidRPr="000C156A" w:rsidRDefault="009630A9" w:rsidP="005D02F0">
            <w:pPr>
              <w:spacing w:before="0"/>
              <w:jc w:val="right"/>
              <w:rPr>
                <w:sz w:val="22"/>
              </w:rPr>
            </w:pPr>
            <w:r w:rsidRPr="000C156A">
              <w:rPr>
                <w:sz w:val="22"/>
              </w:rPr>
              <w:t>14</w:t>
            </w:r>
            <w:r w:rsidR="00AB1F42" w:rsidRPr="000C156A">
              <w:rPr>
                <w:sz w:val="22"/>
              </w:rPr>
              <w:t xml:space="preserve"> </w:t>
            </w:r>
            <w:r w:rsidRPr="000C156A">
              <w:rPr>
                <w:sz w:val="22"/>
              </w:rPr>
              <w:t>173</w:t>
            </w:r>
          </w:p>
        </w:tc>
      </w:tr>
      <w:tr w:rsidR="009630A9" w:rsidRPr="000C156A" w14:paraId="78063F0C" w14:textId="77777777" w:rsidTr="00AB1F42">
        <w:trPr>
          <w:trHeight w:val="20"/>
          <w:jc w:val="center"/>
        </w:trPr>
        <w:tc>
          <w:tcPr>
            <w:tcW w:w="5896" w:type="dxa"/>
            <w:noWrap/>
            <w:vAlign w:val="center"/>
            <w:hideMark/>
          </w:tcPr>
          <w:p w14:paraId="4E9F490F" w14:textId="77777777" w:rsidR="009630A9" w:rsidRPr="000C156A" w:rsidRDefault="009630A9" w:rsidP="005D02F0">
            <w:pPr>
              <w:spacing w:before="20"/>
              <w:rPr>
                <w:bCs/>
                <w:sz w:val="22"/>
                <w:szCs w:val="22"/>
                <w:lang w:val="en-US" w:eastAsia="zh-CN"/>
              </w:rPr>
            </w:pPr>
            <w:r w:rsidRPr="000C156A">
              <w:rPr>
                <w:rFonts w:hint="eastAsia"/>
                <w:sz w:val="22"/>
                <w:szCs w:val="22"/>
                <w:lang w:val="en-US" w:eastAsia="fr-FR"/>
              </w:rPr>
              <w:t>部门准成员会费</w:t>
            </w:r>
          </w:p>
        </w:tc>
        <w:tc>
          <w:tcPr>
            <w:tcW w:w="1843" w:type="dxa"/>
            <w:noWrap/>
            <w:vAlign w:val="center"/>
            <w:hideMark/>
          </w:tcPr>
          <w:p w14:paraId="4FC2B42B" w14:textId="6206E380" w:rsidR="009630A9" w:rsidRPr="000C156A" w:rsidRDefault="009630A9" w:rsidP="005D02F0">
            <w:pPr>
              <w:spacing w:before="0"/>
              <w:jc w:val="right"/>
              <w:rPr>
                <w:sz w:val="22"/>
              </w:rPr>
            </w:pPr>
            <w:r w:rsidRPr="000C156A">
              <w:rPr>
                <w:sz w:val="22"/>
              </w:rPr>
              <w:t>2</w:t>
            </w:r>
            <w:r w:rsidR="00AB1F42" w:rsidRPr="000C156A">
              <w:rPr>
                <w:sz w:val="22"/>
              </w:rPr>
              <w:t xml:space="preserve"> </w:t>
            </w:r>
            <w:r w:rsidRPr="000C156A">
              <w:rPr>
                <w:sz w:val="22"/>
              </w:rPr>
              <w:t>111</w:t>
            </w:r>
          </w:p>
        </w:tc>
        <w:tc>
          <w:tcPr>
            <w:tcW w:w="1796" w:type="dxa"/>
            <w:vAlign w:val="center"/>
            <w:hideMark/>
          </w:tcPr>
          <w:p w14:paraId="7B86A8CA" w14:textId="260DA32D" w:rsidR="009630A9" w:rsidRPr="000C156A" w:rsidRDefault="009630A9" w:rsidP="005D02F0">
            <w:pPr>
              <w:spacing w:before="0"/>
              <w:jc w:val="right"/>
              <w:rPr>
                <w:sz w:val="22"/>
              </w:rPr>
            </w:pPr>
            <w:r w:rsidRPr="000C156A">
              <w:rPr>
                <w:sz w:val="22"/>
              </w:rPr>
              <w:t>2</w:t>
            </w:r>
            <w:r w:rsidR="00AB1F42" w:rsidRPr="000C156A">
              <w:rPr>
                <w:sz w:val="22"/>
              </w:rPr>
              <w:t xml:space="preserve"> </w:t>
            </w:r>
            <w:r w:rsidRPr="000C156A">
              <w:rPr>
                <w:sz w:val="22"/>
              </w:rPr>
              <w:t>054</w:t>
            </w:r>
          </w:p>
        </w:tc>
      </w:tr>
      <w:tr w:rsidR="009630A9" w:rsidRPr="000C156A" w14:paraId="202084AB" w14:textId="77777777" w:rsidTr="00AB1F42">
        <w:trPr>
          <w:trHeight w:val="20"/>
          <w:jc w:val="center"/>
        </w:trPr>
        <w:tc>
          <w:tcPr>
            <w:tcW w:w="5896" w:type="dxa"/>
            <w:noWrap/>
            <w:vAlign w:val="center"/>
            <w:hideMark/>
          </w:tcPr>
          <w:p w14:paraId="22AD9E55" w14:textId="77777777" w:rsidR="009630A9" w:rsidRPr="000C156A" w:rsidRDefault="009630A9" w:rsidP="005D02F0">
            <w:pPr>
              <w:spacing w:before="20"/>
              <w:rPr>
                <w:bCs/>
                <w:sz w:val="22"/>
                <w:szCs w:val="22"/>
                <w:lang w:val="en-US" w:eastAsia="zh-CN"/>
              </w:rPr>
            </w:pPr>
            <w:r w:rsidRPr="000C156A">
              <w:rPr>
                <w:rFonts w:hint="eastAsia"/>
                <w:sz w:val="22"/>
                <w:szCs w:val="22"/>
                <w:lang w:val="en-US" w:eastAsia="fr-FR"/>
              </w:rPr>
              <w:t>学术成员会费</w:t>
            </w:r>
          </w:p>
        </w:tc>
        <w:tc>
          <w:tcPr>
            <w:tcW w:w="1843" w:type="dxa"/>
            <w:noWrap/>
            <w:vAlign w:val="center"/>
            <w:hideMark/>
          </w:tcPr>
          <w:p w14:paraId="799FD6CD" w14:textId="77777777" w:rsidR="009630A9" w:rsidRPr="000C156A" w:rsidRDefault="009630A9" w:rsidP="005D02F0">
            <w:pPr>
              <w:spacing w:before="0"/>
              <w:jc w:val="right"/>
              <w:rPr>
                <w:sz w:val="22"/>
              </w:rPr>
            </w:pPr>
            <w:r w:rsidRPr="000C156A">
              <w:rPr>
                <w:sz w:val="22"/>
              </w:rPr>
              <w:t>398</w:t>
            </w:r>
          </w:p>
        </w:tc>
        <w:tc>
          <w:tcPr>
            <w:tcW w:w="1796" w:type="dxa"/>
            <w:vAlign w:val="center"/>
            <w:hideMark/>
          </w:tcPr>
          <w:p w14:paraId="040071F5" w14:textId="77777777" w:rsidR="009630A9" w:rsidRPr="000C156A" w:rsidRDefault="009630A9" w:rsidP="005D02F0">
            <w:pPr>
              <w:spacing w:before="0"/>
              <w:jc w:val="right"/>
              <w:rPr>
                <w:sz w:val="22"/>
              </w:rPr>
            </w:pPr>
            <w:r w:rsidRPr="000C156A">
              <w:rPr>
                <w:sz w:val="22"/>
              </w:rPr>
              <w:t>390</w:t>
            </w:r>
          </w:p>
        </w:tc>
      </w:tr>
      <w:tr w:rsidR="009630A9" w:rsidRPr="000C156A" w14:paraId="2E5C680F" w14:textId="77777777" w:rsidTr="00AB1F42">
        <w:trPr>
          <w:trHeight w:val="20"/>
          <w:jc w:val="center"/>
        </w:trPr>
        <w:tc>
          <w:tcPr>
            <w:tcW w:w="5896" w:type="dxa"/>
            <w:noWrap/>
            <w:vAlign w:val="center"/>
          </w:tcPr>
          <w:p w14:paraId="1A8E6499" w14:textId="77777777" w:rsidR="009630A9" w:rsidRPr="000C156A" w:rsidRDefault="009630A9" w:rsidP="005D02F0">
            <w:pPr>
              <w:spacing w:before="20"/>
              <w:rPr>
                <w:sz w:val="22"/>
                <w:szCs w:val="22"/>
                <w:lang w:val="en-US" w:eastAsia="fr-FR"/>
              </w:rPr>
            </w:pPr>
            <w:r w:rsidRPr="000C156A">
              <w:rPr>
                <w:rFonts w:hint="eastAsia"/>
                <w:sz w:val="22"/>
                <w:lang w:eastAsia="zh-CN"/>
              </w:rPr>
              <w:t>大会会费</w:t>
            </w:r>
          </w:p>
        </w:tc>
        <w:tc>
          <w:tcPr>
            <w:tcW w:w="1843" w:type="dxa"/>
            <w:noWrap/>
            <w:vAlign w:val="center"/>
          </w:tcPr>
          <w:p w14:paraId="63B5F834" w14:textId="77777777" w:rsidR="009630A9" w:rsidRPr="000C156A" w:rsidRDefault="009630A9" w:rsidP="005D02F0">
            <w:pPr>
              <w:spacing w:before="0"/>
              <w:jc w:val="right"/>
              <w:rPr>
                <w:sz w:val="22"/>
              </w:rPr>
            </w:pPr>
            <w:r w:rsidRPr="000C156A">
              <w:rPr>
                <w:sz w:val="22"/>
              </w:rPr>
              <w:t>-</w:t>
            </w:r>
          </w:p>
        </w:tc>
        <w:tc>
          <w:tcPr>
            <w:tcW w:w="1796" w:type="dxa"/>
            <w:vAlign w:val="center"/>
          </w:tcPr>
          <w:p w14:paraId="56FFCCB0" w14:textId="77777777" w:rsidR="009630A9" w:rsidRPr="000C156A" w:rsidRDefault="009630A9" w:rsidP="005D02F0">
            <w:pPr>
              <w:spacing w:before="0"/>
              <w:jc w:val="right"/>
              <w:rPr>
                <w:sz w:val="22"/>
              </w:rPr>
            </w:pPr>
            <w:r w:rsidRPr="000C156A">
              <w:rPr>
                <w:sz w:val="22"/>
              </w:rPr>
              <w:t>-</w:t>
            </w:r>
          </w:p>
        </w:tc>
      </w:tr>
      <w:tr w:rsidR="009630A9" w:rsidRPr="000C156A" w14:paraId="35E6AD33" w14:textId="77777777" w:rsidTr="00AB1F42">
        <w:trPr>
          <w:trHeight w:val="20"/>
          <w:jc w:val="center"/>
        </w:trPr>
        <w:tc>
          <w:tcPr>
            <w:tcW w:w="5896" w:type="dxa"/>
            <w:noWrap/>
            <w:vAlign w:val="center"/>
            <w:hideMark/>
          </w:tcPr>
          <w:p w14:paraId="2A10E569" w14:textId="77777777" w:rsidR="009630A9" w:rsidRPr="000C156A" w:rsidRDefault="009630A9" w:rsidP="005D02F0">
            <w:pPr>
              <w:spacing w:before="20" w:after="20"/>
              <w:rPr>
                <w:b/>
                <w:sz w:val="22"/>
                <w:szCs w:val="22"/>
                <w:lang w:val="en-US" w:eastAsia="zh-CN"/>
              </w:rPr>
            </w:pPr>
            <w:r w:rsidRPr="000C156A">
              <w:rPr>
                <w:rFonts w:hint="eastAsia"/>
                <w:b/>
                <w:sz w:val="22"/>
                <w:szCs w:val="22"/>
                <w:lang w:val="en-US" w:eastAsia="zh-CN"/>
              </w:rPr>
              <w:t>分摊会费</w:t>
            </w:r>
          </w:p>
        </w:tc>
        <w:tc>
          <w:tcPr>
            <w:tcW w:w="1843" w:type="dxa"/>
            <w:noWrap/>
            <w:vAlign w:val="center"/>
            <w:hideMark/>
          </w:tcPr>
          <w:p w14:paraId="653DBE71" w14:textId="6835DCF6" w:rsidR="009630A9" w:rsidRPr="000C156A" w:rsidRDefault="009630A9" w:rsidP="005D02F0">
            <w:pPr>
              <w:spacing w:before="0"/>
              <w:jc w:val="right"/>
              <w:rPr>
                <w:b/>
                <w:bCs/>
                <w:sz w:val="22"/>
              </w:rPr>
            </w:pPr>
            <w:r w:rsidRPr="000C156A">
              <w:rPr>
                <w:rFonts w:eastAsia="Times New Roman"/>
                <w:b/>
                <w:bCs/>
                <w:sz w:val="22"/>
              </w:rPr>
              <w:t>125</w:t>
            </w:r>
            <w:r w:rsidR="00AB1F42" w:rsidRPr="000C156A">
              <w:rPr>
                <w:rFonts w:eastAsia="Times New Roman"/>
                <w:b/>
                <w:bCs/>
                <w:sz w:val="22"/>
              </w:rPr>
              <w:t xml:space="preserve"> </w:t>
            </w:r>
            <w:r w:rsidRPr="000C156A">
              <w:rPr>
                <w:rFonts w:eastAsia="Times New Roman"/>
                <w:b/>
                <w:bCs/>
                <w:sz w:val="22"/>
              </w:rPr>
              <w:t>741</w:t>
            </w:r>
          </w:p>
        </w:tc>
        <w:tc>
          <w:tcPr>
            <w:tcW w:w="1796" w:type="dxa"/>
            <w:vAlign w:val="center"/>
            <w:hideMark/>
          </w:tcPr>
          <w:p w14:paraId="0CBFD1F7" w14:textId="1AF20CAA" w:rsidR="009630A9" w:rsidRPr="000C156A" w:rsidRDefault="009630A9" w:rsidP="005D02F0">
            <w:pPr>
              <w:spacing w:before="0"/>
              <w:jc w:val="right"/>
              <w:rPr>
                <w:b/>
                <w:bCs/>
                <w:sz w:val="22"/>
              </w:rPr>
            </w:pPr>
            <w:r w:rsidRPr="000C156A">
              <w:rPr>
                <w:rFonts w:eastAsia="Times New Roman"/>
                <w:b/>
                <w:bCs/>
                <w:sz w:val="22"/>
              </w:rPr>
              <w:t>126</w:t>
            </w:r>
            <w:r w:rsidR="00AB1F42" w:rsidRPr="000C156A">
              <w:rPr>
                <w:rFonts w:eastAsia="Times New Roman"/>
                <w:b/>
                <w:bCs/>
                <w:sz w:val="22"/>
              </w:rPr>
              <w:t xml:space="preserve"> </w:t>
            </w:r>
            <w:r w:rsidRPr="000C156A">
              <w:rPr>
                <w:rFonts w:eastAsia="Times New Roman"/>
                <w:b/>
                <w:bCs/>
                <w:sz w:val="22"/>
              </w:rPr>
              <w:t>485</w:t>
            </w:r>
          </w:p>
        </w:tc>
      </w:tr>
    </w:tbl>
    <w:p w14:paraId="6D8F4767" w14:textId="77777777" w:rsidR="009630A9" w:rsidRPr="000C156A" w:rsidRDefault="009630A9" w:rsidP="00FB69EF">
      <w:pPr>
        <w:spacing w:before="240"/>
        <w:ind w:firstLineChars="200" w:firstLine="480"/>
        <w:rPr>
          <w:lang w:eastAsia="zh-CN"/>
        </w:rPr>
      </w:pPr>
      <w:r w:rsidRPr="000C156A">
        <w:rPr>
          <w:rFonts w:hint="eastAsia"/>
          <w:lang w:eastAsia="zh-CN"/>
        </w:rPr>
        <w:t>理事会在</w:t>
      </w:r>
      <w:r w:rsidRPr="000C156A">
        <w:rPr>
          <w:lang w:eastAsia="zh-CN"/>
        </w:rPr>
        <w:t>2019</w:t>
      </w:r>
      <w:r w:rsidRPr="000C156A">
        <w:rPr>
          <w:rFonts w:hint="eastAsia"/>
          <w:lang w:eastAsia="zh-CN"/>
        </w:rPr>
        <w:t>年会议上通过了第</w:t>
      </w:r>
      <w:r w:rsidRPr="000C156A">
        <w:rPr>
          <w:lang w:eastAsia="zh-CN"/>
        </w:rPr>
        <w:t>1396</w:t>
      </w:r>
      <w:r w:rsidRPr="000C156A">
        <w:rPr>
          <w:rFonts w:hint="eastAsia"/>
          <w:lang w:eastAsia="zh-CN"/>
        </w:rPr>
        <w:t>号决议，批准了国际电联</w:t>
      </w:r>
      <w:r w:rsidRPr="000C156A">
        <w:rPr>
          <w:lang w:val="en-US" w:eastAsia="zh-CN"/>
        </w:rPr>
        <w:t>2020-2021</w:t>
      </w:r>
      <w:r w:rsidRPr="000C156A">
        <w:rPr>
          <w:rFonts w:hint="eastAsia"/>
          <w:lang w:eastAsia="zh-CN"/>
        </w:rPr>
        <w:t>年期间的预算。</w:t>
      </w:r>
    </w:p>
    <w:p w14:paraId="2CB33E5E" w14:textId="77777777" w:rsidR="009630A9" w:rsidRPr="000C156A" w:rsidRDefault="009630A9" w:rsidP="009630A9">
      <w:pPr>
        <w:ind w:firstLineChars="200" w:firstLine="480"/>
        <w:rPr>
          <w:lang w:eastAsia="zh-CN"/>
        </w:rPr>
      </w:pPr>
      <w:r w:rsidRPr="000C156A">
        <w:rPr>
          <w:rFonts w:hint="eastAsia"/>
          <w:lang w:eastAsia="zh-CN"/>
        </w:rPr>
        <w:t>理事会在</w:t>
      </w:r>
      <w:r w:rsidRPr="000C156A">
        <w:rPr>
          <w:lang w:eastAsia="zh-CN"/>
        </w:rPr>
        <w:t>343 11/16</w:t>
      </w:r>
      <w:r w:rsidRPr="000C156A">
        <w:rPr>
          <w:rFonts w:hint="eastAsia"/>
          <w:lang w:eastAsia="zh-CN"/>
        </w:rPr>
        <w:t>个会费单位基础上，将成员国</w:t>
      </w:r>
      <w:r w:rsidRPr="000C156A">
        <w:rPr>
          <w:lang w:eastAsia="zh-CN"/>
        </w:rPr>
        <w:t>2019</w:t>
      </w:r>
      <w:r w:rsidRPr="000C156A">
        <w:rPr>
          <w:rFonts w:hint="eastAsia"/>
          <w:lang w:eastAsia="zh-CN"/>
        </w:rPr>
        <w:t>和</w:t>
      </w:r>
      <w:r w:rsidRPr="000C156A">
        <w:rPr>
          <w:lang w:eastAsia="zh-CN"/>
        </w:rPr>
        <w:t>2020</w:t>
      </w:r>
      <w:r w:rsidRPr="000C156A">
        <w:rPr>
          <w:rFonts w:hint="eastAsia"/>
          <w:lang w:eastAsia="zh-CN"/>
        </w:rPr>
        <w:t>年的会费单位金额确定为</w:t>
      </w:r>
      <w:r w:rsidRPr="000C156A">
        <w:rPr>
          <w:lang w:eastAsia="zh-CN"/>
        </w:rPr>
        <w:t>318 000</w:t>
      </w:r>
      <w:r w:rsidRPr="000C156A">
        <w:rPr>
          <w:rFonts w:hint="eastAsia"/>
          <w:lang w:eastAsia="zh-CN"/>
        </w:rPr>
        <w:t>瑞郎。理事会还通过上述决议将部门成员</w:t>
      </w:r>
      <w:r w:rsidRPr="000C156A">
        <w:rPr>
          <w:lang w:eastAsia="zh-CN"/>
        </w:rPr>
        <w:t>2020</w:t>
      </w:r>
      <w:r w:rsidRPr="000C156A">
        <w:rPr>
          <w:rFonts w:hint="eastAsia"/>
          <w:lang w:eastAsia="zh-CN"/>
        </w:rPr>
        <w:t>和</w:t>
      </w:r>
      <w:r w:rsidRPr="000C156A">
        <w:rPr>
          <w:lang w:eastAsia="zh-CN"/>
        </w:rPr>
        <w:t>2021</w:t>
      </w:r>
      <w:r w:rsidRPr="000C156A">
        <w:rPr>
          <w:rFonts w:hint="eastAsia"/>
          <w:lang w:eastAsia="zh-CN"/>
        </w:rPr>
        <w:t>年的会费单位金额确定为</w:t>
      </w:r>
      <w:r w:rsidRPr="000C156A">
        <w:rPr>
          <w:lang w:eastAsia="zh-CN"/>
        </w:rPr>
        <w:t>63 600</w:t>
      </w:r>
      <w:r w:rsidRPr="000C156A">
        <w:rPr>
          <w:rFonts w:hint="eastAsia"/>
          <w:lang w:eastAsia="zh-CN"/>
        </w:rPr>
        <w:t>瑞郎，即成员国会费的</w:t>
      </w:r>
      <w:r w:rsidRPr="000C156A">
        <w:rPr>
          <w:lang w:eastAsia="zh-CN"/>
        </w:rPr>
        <w:t>1/5</w:t>
      </w:r>
      <w:r w:rsidRPr="000C156A">
        <w:rPr>
          <w:rFonts w:hint="eastAsia"/>
          <w:lang w:eastAsia="zh-CN"/>
        </w:rPr>
        <w:t>。部门准成员的会费确定如下：参加</w:t>
      </w:r>
      <w:r w:rsidRPr="000C156A">
        <w:rPr>
          <w:lang w:eastAsia="zh-CN"/>
        </w:rPr>
        <w:t>ITU-R</w:t>
      </w:r>
      <w:r w:rsidRPr="000C156A">
        <w:rPr>
          <w:rFonts w:hint="eastAsia"/>
          <w:lang w:eastAsia="zh-CN"/>
        </w:rPr>
        <w:t>和</w:t>
      </w:r>
      <w:r w:rsidRPr="000C156A">
        <w:rPr>
          <w:lang w:eastAsia="zh-CN"/>
        </w:rPr>
        <w:t>ITU-T</w:t>
      </w:r>
      <w:r w:rsidRPr="000C156A">
        <w:rPr>
          <w:rFonts w:hint="eastAsia"/>
          <w:lang w:eastAsia="zh-CN"/>
        </w:rPr>
        <w:t>工作的部门准成员的会费为</w:t>
      </w:r>
      <w:r w:rsidRPr="000C156A">
        <w:rPr>
          <w:lang w:eastAsia="zh-CN"/>
        </w:rPr>
        <w:t>10 600</w:t>
      </w:r>
      <w:r w:rsidRPr="000C156A">
        <w:rPr>
          <w:rFonts w:hint="eastAsia"/>
          <w:lang w:eastAsia="zh-CN"/>
        </w:rPr>
        <w:t>瑞郎；参加</w:t>
      </w:r>
      <w:r w:rsidRPr="000C156A">
        <w:rPr>
          <w:lang w:eastAsia="zh-CN"/>
        </w:rPr>
        <w:t>ITU-D</w:t>
      </w:r>
      <w:r w:rsidRPr="000C156A">
        <w:rPr>
          <w:rFonts w:hint="eastAsia"/>
          <w:lang w:eastAsia="zh-CN"/>
        </w:rPr>
        <w:t>工作的部门准成员的会费为</w:t>
      </w:r>
      <w:r w:rsidRPr="000C156A">
        <w:rPr>
          <w:lang w:eastAsia="zh-CN"/>
        </w:rPr>
        <w:t>3 975</w:t>
      </w:r>
      <w:r w:rsidRPr="000C156A">
        <w:rPr>
          <w:rFonts w:hint="eastAsia"/>
          <w:lang w:eastAsia="zh-CN"/>
        </w:rPr>
        <w:t>瑞郎；参加</w:t>
      </w:r>
      <w:r w:rsidRPr="000C156A">
        <w:rPr>
          <w:lang w:eastAsia="zh-CN"/>
        </w:rPr>
        <w:t>ITU-D</w:t>
      </w:r>
      <w:r w:rsidRPr="000C156A">
        <w:rPr>
          <w:rFonts w:hint="eastAsia"/>
          <w:lang w:eastAsia="zh-CN"/>
        </w:rPr>
        <w:t>工作的来自发展中国家的部门准成员的会费为</w:t>
      </w:r>
      <w:r w:rsidRPr="000C156A">
        <w:rPr>
          <w:lang w:eastAsia="zh-CN"/>
        </w:rPr>
        <w:t>1 987.50</w:t>
      </w:r>
      <w:r w:rsidRPr="000C156A">
        <w:rPr>
          <w:rFonts w:hint="eastAsia"/>
          <w:lang w:eastAsia="zh-CN"/>
        </w:rPr>
        <w:t>瑞郎。参加三个部门工作的学术成员（大学及其相关研究机构）的会费规定为</w:t>
      </w:r>
      <w:r w:rsidRPr="000C156A">
        <w:rPr>
          <w:lang w:eastAsia="zh-CN"/>
        </w:rPr>
        <w:t>3 975</w:t>
      </w:r>
      <w:r w:rsidRPr="000C156A">
        <w:rPr>
          <w:rFonts w:hint="eastAsia"/>
          <w:lang w:eastAsia="zh-CN"/>
        </w:rPr>
        <w:t>瑞郎（发达国家）和</w:t>
      </w:r>
      <w:r w:rsidRPr="000C156A">
        <w:rPr>
          <w:lang w:eastAsia="zh-CN"/>
        </w:rPr>
        <w:t>1</w:t>
      </w:r>
      <w:r w:rsidRPr="000C156A">
        <w:rPr>
          <w:lang w:val="en-US" w:eastAsia="zh-CN"/>
        </w:rPr>
        <w:t> </w:t>
      </w:r>
      <w:r w:rsidRPr="000C156A">
        <w:rPr>
          <w:lang w:eastAsia="zh-CN"/>
        </w:rPr>
        <w:t>978.50</w:t>
      </w:r>
      <w:r w:rsidRPr="000C156A">
        <w:rPr>
          <w:rFonts w:hint="eastAsia"/>
          <w:lang w:eastAsia="zh-CN"/>
        </w:rPr>
        <w:t>瑞郎（发展中国家）。</w:t>
      </w:r>
    </w:p>
    <w:p w14:paraId="736C710A" w14:textId="3B784785" w:rsidR="009630A9" w:rsidRPr="000C156A" w:rsidRDefault="009630A9" w:rsidP="009630A9">
      <w:pPr>
        <w:ind w:firstLineChars="200" w:firstLine="480"/>
        <w:rPr>
          <w:lang w:eastAsia="zh-CN"/>
        </w:rPr>
      </w:pPr>
      <w:r w:rsidRPr="000C156A">
        <w:rPr>
          <w:rFonts w:hint="eastAsia"/>
          <w:lang w:eastAsia="zh-CN"/>
        </w:rPr>
        <w:t>2020</w:t>
      </w:r>
      <w:r w:rsidRPr="000C156A">
        <w:rPr>
          <w:rFonts w:hint="eastAsia"/>
          <w:lang w:eastAsia="zh-CN"/>
        </w:rPr>
        <w:t>年来自成员国的收入符合在</w:t>
      </w:r>
      <w:r w:rsidRPr="000C156A">
        <w:rPr>
          <w:rFonts w:hint="eastAsia"/>
          <w:lang w:eastAsia="zh-CN"/>
        </w:rPr>
        <w:t>PP-18</w:t>
      </w:r>
      <w:r w:rsidRPr="000C156A">
        <w:rPr>
          <w:rFonts w:hint="eastAsia"/>
          <w:lang w:eastAsia="zh-CN"/>
        </w:rPr>
        <w:t>上介绍的财务规划。成员国的分摊会费以</w:t>
      </w:r>
      <w:r w:rsidRPr="000C156A">
        <w:rPr>
          <w:rFonts w:hint="eastAsia"/>
          <w:lang w:eastAsia="zh-CN"/>
        </w:rPr>
        <w:t>343</w:t>
      </w:r>
      <w:r w:rsidR="00FB69EF" w:rsidRPr="000C156A">
        <w:rPr>
          <w:lang w:val="en-US" w:eastAsia="zh-CN"/>
        </w:rPr>
        <w:t> </w:t>
      </w:r>
      <w:r w:rsidRPr="000C156A">
        <w:rPr>
          <w:rFonts w:hint="eastAsia"/>
          <w:lang w:eastAsia="zh-CN"/>
        </w:rPr>
        <w:t>11/16</w:t>
      </w:r>
      <w:r w:rsidRPr="000C156A">
        <w:rPr>
          <w:rFonts w:hint="eastAsia"/>
          <w:lang w:eastAsia="zh-CN"/>
        </w:rPr>
        <w:t>个单位为基础。</w:t>
      </w:r>
    </w:p>
    <w:p w14:paraId="2239851F" w14:textId="77777777" w:rsidR="009630A9" w:rsidRPr="000C156A" w:rsidRDefault="009630A9" w:rsidP="009630A9">
      <w:pPr>
        <w:pStyle w:val="Heading1"/>
        <w:spacing w:before="240" w:after="120"/>
        <w:rPr>
          <w:rFonts w:cs="Microsoft YaHei"/>
          <w:sz w:val="24"/>
          <w:szCs w:val="24"/>
          <w:lang w:val="fr-FR" w:eastAsia="zh-CN"/>
        </w:rPr>
      </w:pPr>
      <w:bookmarkStart w:id="878" w:name="_Toc482892582"/>
      <w:bookmarkStart w:id="879" w:name="_Toc482870847"/>
      <w:bookmarkStart w:id="880" w:name="_Toc511817849"/>
      <w:bookmarkStart w:id="881" w:name="_Toc520280749"/>
      <w:bookmarkStart w:id="882" w:name="_Toc10536844"/>
      <w:bookmarkStart w:id="883" w:name="_Toc41905895"/>
      <w:bookmarkStart w:id="884" w:name="_Toc41906916"/>
      <w:bookmarkStart w:id="885" w:name="_Toc41907997"/>
      <w:bookmarkStart w:id="886" w:name="_Toc41908065"/>
      <w:bookmarkStart w:id="887" w:name="_Toc73518713"/>
      <w:bookmarkStart w:id="888" w:name="_Toc73518860"/>
      <w:bookmarkStart w:id="889" w:name="_Toc73519260"/>
      <w:bookmarkStart w:id="890" w:name="_Toc73636299"/>
      <w:r w:rsidRPr="000C156A">
        <w:rPr>
          <w:rFonts w:cs="Microsoft YaHei" w:hint="eastAsia"/>
          <w:sz w:val="24"/>
          <w:szCs w:val="24"/>
          <w:lang w:val="fr-FR" w:eastAsia="zh-CN"/>
        </w:rPr>
        <w:lastRenderedPageBreak/>
        <w:t>说明</w:t>
      </w:r>
      <w:r w:rsidRPr="000C156A">
        <w:rPr>
          <w:rFonts w:cs="Microsoft YaHei"/>
          <w:sz w:val="24"/>
          <w:szCs w:val="24"/>
          <w:lang w:val="fr-FR" w:eastAsia="zh-CN"/>
        </w:rPr>
        <w:t>22</w:t>
      </w:r>
      <w:r w:rsidRPr="000C156A">
        <w:rPr>
          <w:rFonts w:cs="Microsoft YaHei"/>
          <w:sz w:val="24"/>
          <w:szCs w:val="24"/>
          <w:lang w:val="fr-FR" w:eastAsia="zh-CN"/>
        </w:rPr>
        <w:tab/>
      </w:r>
      <w:r w:rsidRPr="000C156A">
        <w:rPr>
          <w:rFonts w:cs="Microsoft YaHei" w:hint="eastAsia"/>
          <w:sz w:val="24"/>
          <w:szCs w:val="24"/>
          <w:lang w:val="fr-FR" w:eastAsia="zh-CN"/>
        </w:rPr>
        <w:t>收入</w:t>
      </w:r>
      <w:bookmarkEnd w:id="878"/>
      <w:bookmarkEnd w:id="879"/>
      <w:bookmarkEnd w:id="880"/>
      <w:bookmarkEnd w:id="881"/>
      <w:bookmarkEnd w:id="882"/>
      <w:bookmarkEnd w:id="883"/>
      <w:bookmarkEnd w:id="884"/>
      <w:bookmarkEnd w:id="885"/>
      <w:bookmarkEnd w:id="886"/>
      <w:bookmarkEnd w:id="887"/>
      <w:bookmarkEnd w:id="888"/>
      <w:bookmarkEnd w:id="889"/>
      <w:bookmarkEnd w:id="890"/>
    </w:p>
    <w:p w14:paraId="13B4ACBD" w14:textId="77777777" w:rsidR="009630A9" w:rsidRPr="000C156A" w:rsidRDefault="009630A9" w:rsidP="009630A9">
      <w:pPr>
        <w:pStyle w:val="Headingb"/>
        <w:rPr>
          <w:lang w:val="fr-FR" w:eastAsia="zh-CN"/>
        </w:rPr>
      </w:pPr>
      <w:bookmarkStart w:id="891" w:name="_Toc73518714"/>
      <w:bookmarkStart w:id="892" w:name="_Toc73518861"/>
      <w:bookmarkStart w:id="893" w:name="_Toc73519261"/>
      <w:bookmarkStart w:id="894" w:name="_Toc73636300"/>
      <w:r w:rsidRPr="000C156A">
        <w:rPr>
          <w:rFonts w:hint="eastAsia"/>
          <w:lang w:eastAsia="zh-CN"/>
        </w:rPr>
        <w:t>自愿捐款</w:t>
      </w:r>
      <w:bookmarkEnd w:id="891"/>
      <w:bookmarkEnd w:id="892"/>
      <w:bookmarkEnd w:id="893"/>
      <w:bookmarkEnd w:id="894"/>
    </w:p>
    <w:bookmarkEnd w:id="875"/>
    <w:bookmarkEnd w:id="876"/>
    <w:bookmarkEnd w:id="877"/>
    <w:p w14:paraId="15538429" w14:textId="77777777" w:rsidR="009630A9" w:rsidRPr="000C156A" w:rsidRDefault="009630A9" w:rsidP="009630A9">
      <w:pPr>
        <w:ind w:firstLineChars="200" w:firstLine="480"/>
        <w:rPr>
          <w:lang w:val="en-US" w:eastAsia="zh-CN"/>
        </w:rPr>
      </w:pPr>
      <w:r w:rsidRPr="000C156A">
        <w:rPr>
          <w:rFonts w:hint="eastAsia"/>
          <w:lang w:eastAsia="zh-CN"/>
        </w:rPr>
        <w:t>这是源自第三方的、旨在支持国际电联实施有利于联合国确定的最不发达国家发展项目的资金。</w:t>
      </w:r>
      <w:r w:rsidRPr="000C156A">
        <w:rPr>
          <w:lang w:eastAsia="zh-CN"/>
        </w:rPr>
        <w:t>2020</w:t>
      </w:r>
      <w:r w:rsidRPr="000C156A">
        <w:rPr>
          <w:rFonts w:hint="eastAsia"/>
          <w:lang w:eastAsia="zh-CN"/>
        </w:rPr>
        <w:t>年自愿捐款金额达</w:t>
      </w:r>
      <w:r w:rsidRPr="000C156A">
        <w:rPr>
          <w:lang w:eastAsia="zh-CN"/>
        </w:rPr>
        <w:t>830</w:t>
      </w:r>
      <w:r w:rsidRPr="000C156A">
        <w:rPr>
          <w:rFonts w:hint="eastAsia"/>
          <w:lang w:eastAsia="zh-CN"/>
        </w:rPr>
        <w:t>万瑞郎（</w:t>
      </w:r>
      <w:r w:rsidRPr="000C156A">
        <w:rPr>
          <w:lang w:eastAsia="zh-CN"/>
        </w:rPr>
        <w:t>2019</w:t>
      </w:r>
      <w:r w:rsidRPr="000C156A">
        <w:rPr>
          <w:rFonts w:hint="eastAsia"/>
          <w:lang w:eastAsia="zh-CN"/>
        </w:rPr>
        <w:t>年为</w:t>
      </w:r>
      <w:r w:rsidRPr="000C156A">
        <w:rPr>
          <w:lang w:eastAsia="zh-CN"/>
        </w:rPr>
        <w:t>1 040</w:t>
      </w:r>
      <w:r w:rsidRPr="000C156A">
        <w:rPr>
          <w:rFonts w:hint="eastAsia"/>
          <w:lang w:eastAsia="zh-CN"/>
        </w:rPr>
        <w:t>万瑞郎）</w:t>
      </w:r>
      <w:r w:rsidRPr="000C156A">
        <w:rPr>
          <w:rFonts w:hint="eastAsia"/>
          <w:lang w:val="en-US" w:eastAsia="zh-CN"/>
        </w:rPr>
        <w:t>。</w:t>
      </w:r>
    </w:p>
    <w:p w14:paraId="4001E6E5" w14:textId="77777777" w:rsidR="009630A9" w:rsidRPr="000C156A" w:rsidRDefault="009630A9" w:rsidP="000101B2">
      <w:pPr>
        <w:pStyle w:val="Headingb"/>
        <w:spacing w:after="240"/>
        <w:rPr>
          <w:lang w:val="en-US" w:eastAsia="zh-CN"/>
        </w:rPr>
      </w:pPr>
      <w:bookmarkStart w:id="895" w:name="_Toc73518715"/>
      <w:bookmarkStart w:id="896" w:name="_Toc73518862"/>
      <w:bookmarkStart w:id="897" w:name="_Toc73519262"/>
      <w:bookmarkStart w:id="898" w:name="_Toc73636301"/>
      <w:r w:rsidRPr="000C156A">
        <w:rPr>
          <w:rFonts w:hint="eastAsia"/>
          <w:lang w:eastAsia="zh-CN"/>
        </w:rPr>
        <w:t>其它营运收入</w:t>
      </w:r>
      <w:bookmarkEnd w:id="895"/>
      <w:bookmarkEnd w:id="896"/>
      <w:bookmarkEnd w:id="897"/>
      <w:bookmarkEnd w:id="898"/>
    </w:p>
    <w:tbl>
      <w:tblPr>
        <w:tblW w:w="9605" w:type="dxa"/>
        <w:jc w:val="center"/>
        <w:tblLook w:val="04A0" w:firstRow="1" w:lastRow="0" w:firstColumn="1" w:lastColumn="0" w:noHBand="0" w:noVBand="1"/>
      </w:tblPr>
      <w:tblGrid>
        <w:gridCol w:w="5938"/>
        <w:gridCol w:w="1843"/>
        <w:gridCol w:w="1824"/>
      </w:tblGrid>
      <w:tr w:rsidR="009630A9" w:rsidRPr="000C156A" w14:paraId="68D031E1" w14:textId="77777777" w:rsidTr="005D02F0">
        <w:trPr>
          <w:trHeight w:val="499"/>
          <w:jc w:val="center"/>
        </w:trPr>
        <w:tc>
          <w:tcPr>
            <w:tcW w:w="5938" w:type="dxa"/>
            <w:tcBorders>
              <w:top w:val="single" w:sz="4" w:space="0" w:color="auto"/>
              <w:left w:val="single" w:sz="4" w:space="0" w:color="auto"/>
              <w:bottom w:val="single" w:sz="4" w:space="0" w:color="auto"/>
              <w:right w:val="single" w:sz="4" w:space="0" w:color="auto"/>
            </w:tcBorders>
            <w:noWrap/>
            <w:vAlign w:val="center"/>
            <w:hideMark/>
          </w:tcPr>
          <w:p w14:paraId="2403BC67" w14:textId="77777777" w:rsidR="009630A9" w:rsidRPr="000C156A" w:rsidRDefault="009630A9" w:rsidP="005D02F0">
            <w:pPr>
              <w:keepNext/>
              <w:spacing w:before="20" w:after="20"/>
              <w:rPr>
                <w:b/>
                <w:sz w:val="22"/>
                <w:szCs w:val="18"/>
                <w:lang w:val="en-US"/>
              </w:rPr>
            </w:pPr>
            <w:r w:rsidRPr="000C156A">
              <w:rPr>
                <w:rFonts w:ascii="SimSun" w:hAnsi="SimSun" w:cs="SimSun" w:hint="eastAsia"/>
                <w:b/>
                <w:sz w:val="22"/>
                <w:szCs w:val="18"/>
                <w:lang w:val="en-US"/>
              </w:rPr>
              <w:t>单位：千瑞郎</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5F93C2" w14:textId="77777777" w:rsidR="009630A9" w:rsidRPr="000C156A" w:rsidRDefault="009630A9" w:rsidP="005D02F0">
            <w:pPr>
              <w:keepNext/>
              <w:spacing w:before="20" w:after="20"/>
              <w:jc w:val="center"/>
              <w:rPr>
                <w:b/>
                <w:sz w:val="22"/>
                <w:szCs w:val="18"/>
                <w:lang w:val="en-US"/>
              </w:rPr>
            </w:pPr>
            <w:r w:rsidRPr="000C156A">
              <w:rPr>
                <w:b/>
                <w:sz w:val="22"/>
                <w:szCs w:val="18"/>
                <w:lang w:val="en-US"/>
              </w:rPr>
              <w:t>2020</w:t>
            </w:r>
            <w:r w:rsidRPr="000C156A">
              <w:rPr>
                <w:rFonts w:ascii="SimSun" w:hAnsi="SimSun" w:cs="SimSun" w:hint="eastAsia"/>
                <w:b/>
                <w:sz w:val="22"/>
                <w:szCs w:val="18"/>
                <w:lang w:val="en-US"/>
              </w:rPr>
              <w:t>年</w:t>
            </w:r>
          </w:p>
        </w:tc>
        <w:tc>
          <w:tcPr>
            <w:tcW w:w="1824" w:type="dxa"/>
            <w:tcBorders>
              <w:top w:val="single" w:sz="4" w:space="0" w:color="auto"/>
              <w:left w:val="single" w:sz="4" w:space="0" w:color="auto"/>
              <w:bottom w:val="single" w:sz="4" w:space="0" w:color="auto"/>
              <w:right w:val="single" w:sz="4" w:space="0" w:color="auto"/>
            </w:tcBorders>
            <w:vAlign w:val="center"/>
            <w:hideMark/>
          </w:tcPr>
          <w:p w14:paraId="73B4593B" w14:textId="77777777" w:rsidR="009630A9" w:rsidRPr="000C156A" w:rsidRDefault="009630A9" w:rsidP="005D02F0">
            <w:pPr>
              <w:keepNext/>
              <w:spacing w:before="20" w:after="20"/>
              <w:jc w:val="center"/>
              <w:rPr>
                <w:b/>
                <w:sz w:val="22"/>
                <w:szCs w:val="18"/>
                <w:lang w:val="en-US"/>
              </w:rPr>
            </w:pPr>
            <w:r w:rsidRPr="000C156A">
              <w:rPr>
                <w:b/>
                <w:sz w:val="22"/>
                <w:szCs w:val="18"/>
                <w:lang w:val="en-US"/>
              </w:rPr>
              <w:t>201</w:t>
            </w:r>
            <w:r w:rsidRPr="000C156A">
              <w:rPr>
                <w:b/>
                <w:sz w:val="22"/>
                <w:szCs w:val="18"/>
                <w:lang w:val="en-US" w:eastAsia="zh-CN"/>
              </w:rPr>
              <w:t>9</w:t>
            </w:r>
            <w:r w:rsidRPr="000C156A">
              <w:rPr>
                <w:rFonts w:ascii="SimSun" w:hAnsi="SimSun" w:cs="SimSun" w:hint="eastAsia"/>
                <w:b/>
                <w:sz w:val="22"/>
                <w:szCs w:val="18"/>
                <w:lang w:val="en-US"/>
              </w:rPr>
              <w:t>年</w:t>
            </w:r>
          </w:p>
        </w:tc>
      </w:tr>
      <w:tr w:rsidR="009630A9" w:rsidRPr="000C156A" w14:paraId="756588E0" w14:textId="77777777" w:rsidTr="005D02F0">
        <w:trPr>
          <w:trHeight w:val="255"/>
          <w:jc w:val="center"/>
        </w:trPr>
        <w:tc>
          <w:tcPr>
            <w:tcW w:w="5938" w:type="dxa"/>
            <w:tcBorders>
              <w:top w:val="single" w:sz="4" w:space="0" w:color="auto"/>
              <w:left w:val="single" w:sz="4" w:space="0" w:color="auto"/>
              <w:right w:val="single" w:sz="4" w:space="0" w:color="auto"/>
            </w:tcBorders>
            <w:noWrap/>
            <w:vAlign w:val="bottom"/>
          </w:tcPr>
          <w:p w14:paraId="161671E9" w14:textId="77777777" w:rsidR="009630A9" w:rsidRPr="000C156A" w:rsidRDefault="009630A9" w:rsidP="005D02F0">
            <w:pPr>
              <w:spacing w:before="20" w:after="20"/>
              <w:rPr>
                <w:bCs/>
                <w:sz w:val="22"/>
                <w:szCs w:val="18"/>
                <w:lang w:val="en-US"/>
              </w:rPr>
            </w:pPr>
          </w:p>
        </w:tc>
        <w:tc>
          <w:tcPr>
            <w:tcW w:w="1843" w:type="dxa"/>
            <w:tcBorders>
              <w:top w:val="nil"/>
              <w:left w:val="single" w:sz="4" w:space="0" w:color="auto"/>
              <w:bottom w:val="nil"/>
              <w:right w:val="single" w:sz="4" w:space="0" w:color="auto"/>
            </w:tcBorders>
            <w:shd w:val="clear" w:color="auto" w:fill="auto"/>
            <w:vAlign w:val="bottom"/>
          </w:tcPr>
          <w:p w14:paraId="761CC412" w14:textId="77777777"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p>
        </w:tc>
        <w:tc>
          <w:tcPr>
            <w:tcW w:w="1824" w:type="dxa"/>
            <w:tcBorders>
              <w:top w:val="nil"/>
              <w:left w:val="nil"/>
              <w:bottom w:val="nil"/>
              <w:right w:val="single" w:sz="4" w:space="0" w:color="auto"/>
            </w:tcBorders>
            <w:shd w:val="clear" w:color="auto" w:fill="auto"/>
            <w:noWrap/>
            <w:vAlign w:val="bottom"/>
          </w:tcPr>
          <w:p w14:paraId="489ACADE" w14:textId="77777777"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p>
        </w:tc>
      </w:tr>
      <w:tr w:rsidR="009630A9" w:rsidRPr="000C156A" w14:paraId="17EF8D03" w14:textId="77777777" w:rsidTr="005D02F0">
        <w:trPr>
          <w:trHeight w:val="255"/>
          <w:jc w:val="center"/>
        </w:trPr>
        <w:tc>
          <w:tcPr>
            <w:tcW w:w="5938" w:type="dxa"/>
            <w:tcBorders>
              <w:left w:val="single" w:sz="4" w:space="0" w:color="auto"/>
              <w:bottom w:val="nil"/>
              <w:right w:val="single" w:sz="4" w:space="0" w:color="auto"/>
            </w:tcBorders>
            <w:noWrap/>
            <w:vAlign w:val="bottom"/>
            <w:hideMark/>
          </w:tcPr>
          <w:p w14:paraId="5340FE99" w14:textId="77777777" w:rsidR="009630A9" w:rsidRPr="000C156A" w:rsidRDefault="009630A9" w:rsidP="005D02F0">
            <w:pPr>
              <w:spacing w:before="20" w:after="20"/>
              <w:rPr>
                <w:bCs/>
                <w:sz w:val="22"/>
                <w:szCs w:val="18"/>
                <w:lang w:val="en-US"/>
              </w:rPr>
            </w:pPr>
            <w:r w:rsidRPr="000C156A">
              <w:rPr>
                <w:rFonts w:hint="eastAsia"/>
                <w:bCs/>
                <w:sz w:val="22"/>
                <w:szCs w:val="18"/>
                <w:lang w:val="en-US"/>
              </w:rPr>
              <w:t>预算外收入</w:t>
            </w:r>
          </w:p>
        </w:tc>
        <w:tc>
          <w:tcPr>
            <w:tcW w:w="1843" w:type="dxa"/>
            <w:tcBorders>
              <w:top w:val="nil"/>
              <w:left w:val="single" w:sz="4" w:space="0" w:color="auto"/>
              <w:bottom w:val="nil"/>
              <w:right w:val="single" w:sz="4" w:space="0" w:color="auto"/>
            </w:tcBorders>
            <w:shd w:val="clear" w:color="auto" w:fill="auto"/>
            <w:vAlign w:val="bottom"/>
            <w:hideMark/>
          </w:tcPr>
          <w:p w14:paraId="7F740BEB" w14:textId="77777777"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r w:rsidRPr="000C156A">
              <w:rPr>
                <w:rFonts w:cs="Calibri"/>
                <w:color w:val="000000"/>
                <w:sz w:val="22"/>
                <w:szCs w:val="22"/>
                <w:lang w:val="en-US" w:eastAsia="zh-CN"/>
              </w:rPr>
              <w:t>74</w:t>
            </w:r>
          </w:p>
        </w:tc>
        <w:tc>
          <w:tcPr>
            <w:tcW w:w="1824" w:type="dxa"/>
            <w:tcBorders>
              <w:top w:val="nil"/>
              <w:left w:val="nil"/>
              <w:bottom w:val="nil"/>
              <w:right w:val="single" w:sz="4" w:space="0" w:color="auto"/>
            </w:tcBorders>
            <w:shd w:val="clear" w:color="auto" w:fill="auto"/>
            <w:noWrap/>
            <w:vAlign w:val="bottom"/>
            <w:hideMark/>
          </w:tcPr>
          <w:p w14:paraId="21FA3C7F" w14:textId="541292D9"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r w:rsidRPr="000C156A">
              <w:rPr>
                <w:rFonts w:cs="Calibri"/>
                <w:color w:val="000000"/>
                <w:sz w:val="22"/>
                <w:szCs w:val="22"/>
                <w:lang w:val="en-US" w:eastAsia="zh-CN"/>
              </w:rPr>
              <w:t>7</w:t>
            </w:r>
            <w:r w:rsidR="000101B2" w:rsidRPr="000C156A">
              <w:rPr>
                <w:rFonts w:cs="Calibri"/>
                <w:color w:val="000000"/>
                <w:sz w:val="22"/>
                <w:szCs w:val="22"/>
                <w:lang w:val="en-US" w:eastAsia="zh-CN"/>
              </w:rPr>
              <w:t xml:space="preserve"> </w:t>
            </w:r>
            <w:r w:rsidRPr="000C156A">
              <w:rPr>
                <w:rFonts w:cs="Calibri"/>
                <w:color w:val="000000"/>
                <w:sz w:val="22"/>
                <w:szCs w:val="22"/>
                <w:lang w:val="en-US" w:eastAsia="zh-CN"/>
              </w:rPr>
              <w:t>181</w:t>
            </w:r>
          </w:p>
        </w:tc>
      </w:tr>
      <w:tr w:rsidR="009630A9" w:rsidRPr="000C156A" w14:paraId="61CEC371" w14:textId="77777777" w:rsidTr="005D02F0">
        <w:trPr>
          <w:trHeight w:val="20"/>
          <w:jc w:val="center"/>
        </w:trPr>
        <w:tc>
          <w:tcPr>
            <w:tcW w:w="5938" w:type="dxa"/>
            <w:tcBorders>
              <w:top w:val="nil"/>
              <w:left w:val="single" w:sz="4" w:space="0" w:color="auto"/>
              <w:bottom w:val="nil"/>
              <w:right w:val="single" w:sz="4" w:space="0" w:color="auto"/>
            </w:tcBorders>
            <w:noWrap/>
            <w:vAlign w:val="center"/>
            <w:hideMark/>
          </w:tcPr>
          <w:p w14:paraId="5C015A65" w14:textId="77777777" w:rsidR="009630A9" w:rsidRPr="000C156A" w:rsidRDefault="009630A9" w:rsidP="005D02F0">
            <w:pPr>
              <w:spacing w:before="20" w:after="20"/>
              <w:rPr>
                <w:bCs/>
                <w:sz w:val="22"/>
                <w:szCs w:val="18"/>
                <w:lang w:val="en-US"/>
              </w:rPr>
            </w:pPr>
            <w:r w:rsidRPr="000C156A">
              <w:rPr>
                <w:rFonts w:hint="eastAsia"/>
                <w:bCs/>
                <w:sz w:val="22"/>
                <w:szCs w:val="18"/>
                <w:lang w:val="en-US"/>
              </w:rPr>
              <w:t>出版物销售</w:t>
            </w:r>
          </w:p>
        </w:tc>
        <w:tc>
          <w:tcPr>
            <w:tcW w:w="1843" w:type="dxa"/>
            <w:tcBorders>
              <w:top w:val="nil"/>
              <w:left w:val="single" w:sz="4" w:space="0" w:color="auto"/>
              <w:bottom w:val="nil"/>
              <w:right w:val="single" w:sz="4" w:space="0" w:color="auto"/>
            </w:tcBorders>
            <w:shd w:val="clear" w:color="auto" w:fill="auto"/>
            <w:vAlign w:val="bottom"/>
            <w:hideMark/>
          </w:tcPr>
          <w:p w14:paraId="3AF5B846" w14:textId="5CA103E8"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r w:rsidRPr="000C156A">
              <w:rPr>
                <w:rFonts w:cs="Calibri"/>
                <w:color w:val="000000"/>
                <w:sz w:val="22"/>
                <w:szCs w:val="22"/>
                <w:lang w:val="en-US" w:eastAsia="zh-CN"/>
              </w:rPr>
              <w:t>17</w:t>
            </w:r>
            <w:r w:rsidR="000101B2" w:rsidRPr="000C156A">
              <w:rPr>
                <w:rFonts w:cs="Calibri"/>
                <w:color w:val="000000"/>
                <w:sz w:val="22"/>
                <w:szCs w:val="22"/>
                <w:lang w:val="en-US" w:eastAsia="zh-CN"/>
              </w:rPr>
              <w:t xml:space="preserve"> </w:t>
            </w:r>
            <w:r w:rsidRPr="000C156A">
              <w:rPr>
                <w:rFonts w:cs="Calibri"/>
                <w:color w:val="000000"/>
                <w:sz w:val="22"/>
                <w:szCs w:val="22"/>
                <w:lang w:val="en-US" w:eastAsia="zh-CN"/>
              </w:rPr>
              <w:t>116</w:t>
            </w:r>
          </w:p>
        </w:tc>
        <w:tc>
          <w:tcPr>
            <w:tcW w:w="1824" w:type="dxa"/>
            <w:tcBorders>
              <w:top w:val="nil"/>
              <w:left w:val="nil"/>
              <w:bottom w:val="nil"/>
              <w:right w:val="single" w:sz="4" w:space="0" w:color="auto"/>
            </w:tcBorders>
            <w:shd w:val="clear" w:color="auto" w:fill="auto"/>
            <w:noWrap/>
            <w:vAlign w:val="bottom"/>
            <w:hideMark/>
          </w:tcPr>
          <w:p w14:paraId="7FAB1843" w14:textId="640C9114"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r w:rsidRPr="000C156A">
              <w:rPr>
                <w:rFonts w:cs="Calibri"/>
                <w:color w:val="000000"/>
                <w:sz w:val="22"/>
                <w:szCs w:val="22"/>
                <w:lang w:val="en-US" w:eastAsia="zh-CN"/>
              </w:rPr>
              <w:t>15</w:t>
            </w:r>
            <w:r w:rsidR="000101B2" w:rsidRPr="000C156A">
              <w:rPr>
                <w:rFonts w:cs="Calibri"/>
                <w:color w:val="000000"/>
                <w:sz w:val="22"/>
                <w:szCs w:val="22"/>
                <w:lang w:val="en-US" w:eastAsia="zh-CN"/>
              </w:rPr>
              <w:t xml:space="preserve"> </w:t>
            </w:r>
            <w:r w:rsidRPr="000C156A">
              <w:rPr>
                <w:rFonts w:cs="Calibri"/>
                <w:color w:val="000000"/>
                <w:sz w:val="22"/>
                <w:szCs w:val="22"/>
                <w:lang w:val="en-US" w:eastAsia="zh-CN"/>
              </w:rPr>
              <w:t>614</w:t>
            </w:r>
          </w:p>
        </w:tc>
      </w:tr>
      <w:tr w:rsidR="009630A9" w:rsidRPr="000C156A" w14:paraId="1C1D77D0" w14:textId="77777777" w:rsidTr="005D02F0">
        <w:trPr>
          <w:trHeight w:val="20"/>
          <w:jc w:val="center"/>
        </w:trPr>
        <w:tc>
          <w:tcPr>
            <w:tcW w:w="5938" w:type="dxa"/>
            <w:tcBorders>
              <w:top w:val="nil"/>
              <w:left w:val="single" w:sz="4" w:space="0" w:color="auto"/>
              <w:bottom w:val="nil"/>
              <w:right w:val="single" w:sz="4" w:space="0" w:color="auto"/>
            </w:tcBorders>
            <w:noWrap/>
            <w:vAlign w:val="bottom"/>
            <w:hideMark/>
          </w:tcPr>
          <w:p w14:paraId="542C9EB1" w14:textId="77777777" w:rsidR="009630A9" w:rsidRPr="000C156A" w:rsidRDefault="009630A9" w:rsidP="005D02F0">
            <w:pPr>
              <w:spacing w:before="20" w:after="20"/>
              <w:rPr>
                <w:bCs/>
                <w:sz w:val="22"/>
                <w:szCs w:val="18"/>
                <w:lang w:val="en-US"/>
              </w:rPr>
            </w:pPr>
            <w:r w:rsidRPr="000C156A">
              <w:rPr>
                <w:rFonts w:hint="eastAsia"/>
                <w:bCs/>
                <w:sz w:val="22"/>
                <w:szCs w:val="18"/>
                <w:lang w:val="en-US"/>
              </w:rPr>
              <w:t>卫星网络申报</w:t>
            </w:r>
          </w:p>
        </w:tc>
        <w:tc>
          <w:tcPr>
            <w:tcW w:w="1843" w:type="dxa"/>
            <w:tcBorders>
              <w:top w:val="nil"/>
              <w:left w:val="single" w:sz="4" w:space="0" w:color="auto"/>
              <w:bottom w:val="nil"/>
              <w:right w:val="single" w:sz="4" w:space="0" w:color="auto"/>
            </w:tcBorders>
            <w:shd w:val="clear" w:color="auto" w:fill="auto"/>
            <w:vAlign w:val="bottom"/>
            <w:hideMark/>
          </w:tcPr>
          <w:p w14:paraId="4ED0C192" w14:textId="4FA597F4"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r w:rsidRPr="000C156A">
              <w:rPr>
                <w:rFonts w:cs="Calibri"/>
                <w:color w:val="000000"/>
                <w:sz w:val="22"/>
                <w:szCs w:val="22"/>
                <w:lang w:val="en-US" w:eastAsia="zh-CN"/>
              </w:rPr>
              <w:t>13</w:t>
            </w:r>
            <w:r w:rsidR="000101B2" w:rsidRPr="000C156A">
              <w:rPr>
                <w:rFonts w:cs="Calibri"/>
                <w:color w:val="000000"/>
                <w:sz w:val="22"/>
                <w:szCs w:val="22"/>
                <w:lang w:val="en-US" w:eastAsia="zh-CN"/>
              </w:rPr>
              <w:t xml:space="preserve"> </w:t>
            </w:r>
            <w:r w:rsidRPr="000C156A">
              <w:rPr>
                <w:rFonts w:cs="Calibri"/>
                <w:color w:val="000000"/>
                <w:sz w:val="22"/>
                <w:szCs w:val="22"/>
                <w:lang w:val="en-US" w:eastAsia="zh-CN"/>
              </w:rPr>
              <w:t>631</w:t>
            </w:r>
          </w:p>
        </w:tc>
        <w:tc>
          <w:tcPr>
            <w:tcW w:w="1824" w:type="dxa"/>
            <w:tcBorders>
              <w:top w:val="nil"/>
              <w:left w:val="nil"/>
              <w:bottom w:val="nil"/>
              <w:right w:val="single" w:sz="4" w:space="0" w:color="auto"/>
            </w:tcBorders>
            <w:shd w:val="clear" w:color="auto" w:fill="auto"/>
            <w:noWrap/>
            <w:vAlign w:val="bottom"/>
            <w:hideMark/>
          </w:tcPr>
          <w:p w14:paraId="399ECCA4" w14:textId="42F740BF"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r w:rsidRPr="000C156A">
              <w:rPr>
                <w:rFonts w:cs="Calibri"/>
                <w:color w:val="000000"/>
                <w:sz w:val="22"/>
                <w:szCs w:val="22"/>
                <w:lang w:val="en-US" w:eastAsia="zh-CN"/>
              </w:rPr>
              <w:t>12</w:t>
            </w:r>
            <w:r w:rsidR="000101B2" w:rsidRPr="000C156A">
              <w:rPr>
                <w:rFonts w:cs="Calibri"/>
                <w:color w:val="000000"/>
                <w:sz w:val="22"/>
                <w:szCs w:val="22"/>
                <w:lang w:val="en-US" w:eastAsia="zh-CN"/>
              </w:rPr>
              <w:t xml:space="preserve"> </w:t>
            </w:r>
            <w:r w:rsidRPr="000C156A">
              <w:rPr>
                <w:rFonts w:cs="Calibri"/>
                <w:color w:val="000000"/>
                <w:sz w:val="22"/>
                <w:szCs w:val="22"/>
                <w:lang w:val="en-US" w:eastAsia="zh-CN"/>
              </w:rPr>
              <w:t>083</w:t>
            </w:r>
          </w:p>
        </w:tc>
      </w:tr>
      <w:tr w:rsidR="009630A9" w:rsidRPr="000C156A" w14:paraId="4BF5D857" w14:textId="77777777" w:rsidTr="005D02F0">
        <w:trPr>
          <w:trHeight w:val="20"/>
          <w:jc w:val="center"/>
        </w:trPr>
        <w:tc>
          <w:tcPr>
            <w:tcW w:w="5938" w:type="dxa"/>
            <w:tcBorders>
              <w:top w:val="nil"/>
              <w:left w:val="single" w:sz="4" w:space="0" w:color="auto"/>
              <w:bottom w:val="nil"/>
              <w:right w:val="single" w:sz="4" w:space="0" w:color="auto"/>
            </w:tcBorders>
            <w:noWrap/>
            <w:vAlign w:val="bottom"/>
            <w:hideMark/>
          </w:tcPr>
          <w:p w14:paraId="318A1DF0" w14:textId="77777777" w:rsidR="009630A9" w:rsidRPr="00C00DAA" w:rsidRDefault="009630A9" w:rsidP="005D02F0">
            <w:pPr>
              <w:spacing w:before="20" w:after="20"/>
              <w:rPr>
                <w:bCs/>
                <w:sz w:val="22"/>
                <w:szCs w:val="22"/>
                <w:lang w:val="en-US" w:eastAsia="zh-CN"/>
              </w:rPr>
            </w:pPr>
            <w:r w:rsidRPr="00C00DAA">
              <w:rPr>
                <w:bCs/>
                <w:sz w:val="22"/>
                <w:szCs w:val="22"/>
                <w:lang w:val="en-US" w:eastAsia="zh-CN"/>
              </w:rPr>
              <w:t>国际通用免费电话号码</w:t>
            </w:r>
            <w:r w:rsidRPr="00C00DAA">
              <w:rPr>
                <w:bCs/>
                <w:sz w:val="22"/>
                <w:szCs w:val="22"/>
                <w:lang w:val="en-US" w:eastAsia="zh-CN"/>
              </w:rPr>
              <w:t>/</w:t>
            </w:r>
            <w:r w:rsidRPr="00C00DAA">
              <w:rPr>
                <w:bCs/>
                <w:sz w:val="22"/>
                <w:szCs w:val="22"/>
                <w:lang w:val="en-US" w:eastAsia="zh-CN"/>
              </w:rPr>
              <w:t>国际通用加价特种服务号码</w:t>
            </w:r>
            <w:r w:rsidRPr="00C00DAA">
              <w:rPr>
                <w:rFonts w:hint="eastAsia"/>
                <w:bCs/>
                <w:sz w:val="22"/>
                <w:szCs w:val="22"/>
                <w:lang w:val="en-US" w:eastAsia="zh-CN"/>
              </w:rPr>
              <w:t>/</w:t>
            </w:r>
            <w:r w:rsidRPr="00C00DAA">
              <w:rPr>
                <w:bCs/>
                <w:sz w:val="22"/>
                <w:szCs w:val="22"/>
                <w:lang w:val="en-US" w:eastAsia="zh-CN"/>
              </w:rPr>
              <w:t>国际通用成本分摊号码</w:t>
            </w:r>
            <w:r w:rsidRPr="00C00DAA">
              <w:rPr>
                <w:rFonts w:ascii="Arial" w:hAnsi="Arial" w:cs="Arial" w:hint="eastAsia"/>
                <w:color w:val="000000"/>
                <w:sz w:val="22"/>
                <w:szCs w:val="22"/>
                <w:lang w:eastAsia="zh-CN"/>
              </w:rPr>
              <w:t>（</w:t>
            </w:r>
            <w:r w:rsidRPr="00C00DAA">
              <w:rPr>
                <w:rFonts w:asciiTheme="minorHAnsi" w:hAnsiTheme="minorHAnsi" w:cs="Arial"/>
                <w:color w:val="000000"/>
                <w:sz w:val="22"/>
                <w:szCs w:val="22"/>
                <w:lang w:val="en-US" w:eastAsia="zh-CN"/>
              </w:rPr>
              <w:t>UIFN/UIPRN-UISC</w:t>
            </w:r>
            <w:r w:rsidRPr="00C00DAA">
              <w:rPr>
                <w:rFonts w:ascii="Arial" w:hAnsi="Arial" w:cs="Arial" w:hint="eastAsia"/>
                <w:color w:val="000000"/>
                <w:sz w:val="22"/>
                <w:szCs w:val="22"/>
                <w:lang w:val="en-US" w:eastAsia="zh-CN"/>
              </w:rPr>
              <w:t>）</w:t>
            </w:r>
          </w:p>
        </w:tc>
        <w:tc>
          <w:tcPr>
            <w:tcW w:w="1843" w:type="dxa"/>
            <w:tcBorders>
              <w:top w:val="nil"/>
              <w:left w:val="single" w:sz="4" w:space="0" w:color="auto"/>
              <w:bottom w:val="nil"/>
              <w:right w:val="single" w:sz="4" w:space="0" w:color="auto"/>
            </w:tcBorders>
            <w:shd w:val="clear" w:color="auto" w:fill="auto"/>
            <w:vAlign w:val="bottom"/>
            <w:hideMark/>
          </w:tcPr>
          <w:p w14:paraId="1AAB3C95" w14:textId="77777777"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r w:rsidRPr="000C156A">
              <w:rPr>
                <w:rFonts w:cs="Calibri"/>
                <w:color w:val="000000"/>
                <w:sz w:val="22"/>
                <w:szCs w:val="22"/>
                <w:lang w:val="en-US" w:eastAsia="zh-CN"/>
              </w:rPr>
              <w:t>254</w:t>
            </w:r>
          </w:p>
        </w:tc>
        <w:tc>
          <w:tcPr>
            <w:tcW w:w="1824" w:type="dxa"/>
            <w:tcBorders>
              <w:top w:val="nil"/>
              <w:left w:val="nil"/>
              <w:bottom w:val="nil"/>
              <w:right w:val="single" w:sz="4" w:space="0" w:color="auto"/>
            </w:tcBorders>
            <w:shd w:val="clear" w:color="auto" w:fill="auto"/>
            <w:noWrap/>
            <w:vAlign w:val="bottom"/>
            <w:hideMark/>
          </w:tcPr>
          <w:p w14:paraId="363FE30A" w14:textId="77777777"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r w:rsidRPr="000C156A">
              <w:rPr>
                <w:rFonts w:cs="Calibri"/>
                <w:color w:val="000000"/>
                <w:sz w:val="22"/>
                <w:szCs w:val="22"/>
                <w:lang w:val="en-US" w:eastAsia="zh-CN"/>
              </w:rPr>
              <w:t>131</w:t>
            </w:r>
          </w:p>
        </w:tc>
      </w:tr>
      <w:tr w:rsidR="009630A9" w:rsidRPr="000C156A" w14:paraId="667C863A" w14:textId="77777777" w:rsidTr="005D02F0">
        <w:trPr>
          <w:trHeight w:val="20"/>
          <w:jc w:val="center"/>
        </w:trPr>
        <w:tc>
          <w:tcPr>
            <w:tcW w:w="5938" w:type="dxa"/>
            <w:tcBorders>
              <w:top w:val="nil"/>
              <w:left w:val="single" w:sz="4" w:space="0" w:color="auto"/>
              <w:bottom w:val="nil"/>
              <w:right w:val="single" w:sz="4" w:space="0" w:color="auto"/>
            </w:tcBorders>
            <w:noWrap/>
            <w:vAlign w:val="bottom"/>
            <w:hideMark/>
          </w:tcPr>
          <w:p w14:paraId="3179560D" w14:textId="77777777" w:rsidR="009630A9" w:rsidRPr="000C156A" w:rsidRDefault="009630A9" w:rsidP="005D02F0">
            <w:pPr>
              <w:spacing w:before="20" w:after="20"/>
              <w:rPr>
                <w:bCs/>
                <w:sz w:val="22"/>
                <w:szCs w:val="18"/>
                <w:lang w:val="en-US" w:eastAsia="zh-CN"/>
              </w:rPr>
            </w:pPr>
            <w:r w:rsidRPr="000C156A">
              <w:rPr>
                <w:rFonts w:hint="eastAsia"/>
                <w:bCs/>
                <w:sz w:val="22"/>
                <w:szCs w:val="18"/>
                <w:lang w:val="en-US" w:eastAsia="zh-CN"/>
              </w:rPr>
              <w:t>全球卫星个人移动通信系统</w:t>
            </w:r>
            <w:r w:rsidRPr="000C156A">
              <w:rPr>
                <w:bCs/>
                <w:sz w:val="22"/>
                <w:szCs w:val="18"/>
                <w:lang w:val="en-US" w:eastAsia="zh-CN"/>
              </w:rPr>
              <w:t xml:space="preserve"> – </w:t>
            </w:r>
            <w:r w:rsidRPr="000C156A">
              <w:rPr>
                <w:rFonts w:hint="eastAsia"/>
                <w:bCs/>
                <w:sz w:val="22"/>
                <w:szCs w:val="18"/>
                <w:lang w:val="en-US" w:eastAsia="zh-CN"/>
              </w:rPr>
              <w:t>备忘录（</w:t>
            </w:r>
            <w:bookmarkStart w:id="899" w:name="_GoBack"/>
            <w:bookmarkEnd w:id="899"/>
            <w:r w:rsidRPr="00480CDF">
              <w:rPr>
                <w:rFonts w:asciiTheme="minorHAnsi" w:hAnsiTheme="minorHAnsi"/>
                <w:bCs/>
                <w:sz w:val="22"/>
                <w:szCs w:val="18"/>
                <w:lang w:val="en-US" w:eastAsia="zh-CN"/>
              </w:rPr>
              <w:t>GMPCS-MoU</w:t>
            </w:r>
            <w:r w:rsidRPr="000C156A">
              <w:rPr>
                <w:rFonts w:hint="eastAsia"/>
                <w:bCs/>
                <w:sz w:val="22"/>
                <w:szCs w:val="18"/>
                <w:lang w:val="en-US" w:eastAsia="zh-CN"/>
              </w:rPr>
              <w:t>）</w:t>
            </w:r>
          </w:p>
        </w:tc>
        <w:tc>
          <w:tcPr>
            <w:tcW w:w="1843" w:type="dxa"/>
            <w:tcBorders>
              <w:top w:val="nil"/>
              <w:left w:val="single" w:sz="4" w:space="0" w:color="auto"/>
              <w:bottom w:val="nil"/>
              <w:right w:val="single" w:sz="4" w:space="0" w:color="auto"/>
            </w:tcBorders>
            <w:shd w:val="clear" w:color="auto" w:fill="auto"/>
            <w:vAlign w:val="bottom"/>
            <w:hideMark/>
          </w:tcPr>
          <w:p w14:paraId="16E6FF66" w14:textId="77777777"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r w:rsidRPr="000C156A">
              <w:rPr>
                <w:rFonts w:cs="Calibri"/>
                <w:color w:val="000000"/>
                <w:sz w:val="22"/>
                <w:szCs w:val="22"/>
                <w:lang w:val="en-US" w:eastAsia="zh-CN"/>
              </w:rPr>
              <w:t>19</w:t>
            </w:r>
          </w:p>
        </w:tc>
        <w:tc>
          <w:tcPr>
            <w:tcW w:w="1824" w:type="dxa"/>
            <w:tcBorders>
              <w:top w:val="nil"/>
              <w:left w:val="nil"/>
              <w:bottom w:val="nil"/>
              <w:right w:val="single" w:sz="4" w:space="0" w:color="auto"/>
            </w:tcBorders>
            <w:shd w:val="clear" w:color="auto" w:fill="auto"/>
            <w:noWrap/>
            <w:vAlign w:val="bottom"/>
            <w:hideMark/>
          </w:tcPr>
          <w:p w14:paraId="36E0BB41" w14:textId="77777777"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r w:rsidRPr="000C156A">
              <w:rPr>
                <w:rFonts w:cs="Calibri"/>
                <w:color w:val="000000"/>
                <w:sz w:val="22"/>
                <w:szCs w:val="22"/>
                <w:lang w:val="en-US" w:eastAsia="zh-CN"/>
              </w:rPr>
              <w:t>2</w:t>
            </w:r>
          </w:p>
        </w:tc>
      </w:tr>
      <w:tr w:rsidR="009630A9" w:rsidRPr="000C156A" w14:paraId="3AB4394B" w14:textId="77777777" w:rsidTr="005D02F0">
        <w:trPr>
          <w:trHeight w:val="20"/>
          <w:jc w:val="center"/>
        </w:trPr>
        <w:tc>
          <w:tcPr>
            <w:tcW w:w="5938" w:type="dxa"/>
            <w:tcBorders>
              <w:top w:val="nil"/>
              <w:left w:val="single" w:sz="4" w:space="0" w:color="auto"/>
              <w:right w:val="single" w:sz="4" w:space="0" w:color="auto"/>
            </w:tcBorders>
            <w:noWrap/>
            <w:vAlign w:val="bottom"/>
            <w:hideMark/>
          </w:tcPr>
          <w:p w14:paraId="52364233" w14:textId="77777777" w:rsidR="009630A9" w:rsidRPr="000C156A" w:rsidRDefault="009630A9" w:rsidP="005D02F0">
            <w:pPr>
              <w:spacing w:before="20" w:after="20"/>
              <w:rPr>
                <w:bCs/>
                <w:sz w:val="22"/>
                <w:szCs w:val="18"/>
                <w:lang w:val="en-US" w:eastAsia="zh-CN"/>
              </w:rPr>
            </w:pPr>
            <w:r w:rsidRPr="000C156A">
              <w:rPr>
                <w:rFonts w:hint="eastAsia"/>
                <w:bCs/>
                <w:sz w:val="22"/>
                <w:szCs w:val="18"/>
                <w:lang w:val="en-US"/>
              </w:rPr>
              <w:t>回收</w:t>
            </w:r>
            <w:r w:rsidRPr="000C156A">
              <w:rPr>
                <w:bCs/>
                <w:sz w:val="22"/>
                <w:szCs w:val="18"/>
                <w:lang w:val="en-US" w:eastAsia="zh-CN"/>
              </w:rPr>
              <w:t xml:space="preserve"> </w:t>
            </w:r>
            <w:r w:rsidRPr="000C156A">
              <w:rPr>
                <w:bCs/>
                <w:sz w:val="22"/>
                <w:szCs w:val="18"/>
                <w:lang w:val="en-US"/>
              </w:rPr>
              <w:t>–</w:t>
            </w:r>
            <w:r w:rsidRPr="000C156A">
              <w:rPr>
                <w:bCs/>
                <w:sz w:val="22"/>
                <w:szCs w:val="18"/>
                <w:lang w:val="en-US" w:eastAsia="zh-CN"/>
              </w:rPr>
              <w:t xml:space="preserve"> </w:t>
            </w:r>
            <w:r w:rsidRPr="000C156A">
              <w:rPr>
                <w:rFonts w:hint="eastAsia"/>
                <w:bCs/>
                <w:sz w:val="22"/>
                <w:szCs w:val="18"/>
                <w:lang w:val="en-US" w:eastAsia="zh-CN"/>
              </w:rPr>
              <w:t>公布</w:t>
            </w:r>
          </w:p>
        </w:tc>
        <w:tc>
          <w:tcPr>
            <w:tcW w:w="1843" w:type="dxa"/>
            <w:tcBorders>
              <w:top w:val="nil"/>
              <w:left w:val="single" w:sz="4" w:space="0" w:color="auto"/>
              <w:bottom w:val="nil"/>
              <w:right w:val="single" w:sz="4" w:space="0" w:color="auto"/>
            </w:tcBorders>
            <w:shd w:val="clear" w:color="auto" w:fill="auto"/>
            <w:vAlign w:val="bottom"/>
            <w:hideMark/>
          </w:tcPr>
          <w:p w14:paraId="06968449" w14:textId="77777777"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r w:rsidRPr="000C156A">
              <w:rPr>
                <w:rFonts w:cs="Calibri"/>
                <w:color w:val="000000"/>
                <w:sz w:val="22"/>
                <w:szCs w:val="22"/>
                <w:lang w:val="en-US" w:eastAsia="zh-CN"/>
              </w:rPr>
              <w:t>15</w:t>
            </w:r>
          </w:p>
        </w:tc>
        <w:tc>
          <w:tcPr>
            <w:tcW w:w="1824" w:type="dxa"/>
            <w:tcBorders>
              <w:top w:val="nil"/>
              <w:left w:val="nil"/>
              <w:bottom w:val="nil"/>
              <w:right w:val="single" w:sz="4" w:space="0" w:color="auto"/>
            </w:tcBorders>
            <w:shd w:val="clear" w:color="auto" w:fill="auto"/>
            <w:noWrap/>
            <w:vAlign w:val="bottom"/>
            <w:hideMark/>
          </w:tcPr>
          <w:p w14:paraId="575D8B42" w14:textId="77777777"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r w:rsidRPr="000C156A">
              <w:rPr>
                <w:rFonts w:cs="Calibri"/>
                <w:color w:val="000000"/>
                <w:sz w:val="22"/>
                <w:szCs w:val="22"/>
                <w:lang w:val="en-US" w:eastAsia="zh-CN"/>
              </w:rPr>
              <w:t>9</w:t>
            </w:r>
          </w:p>
        </w:tc>
      </w:tr>
      <w:tr w:rsidR="009630A9" w:rsidRPr="000C156A" w14:paraId="750A81FB" w14:textId="77777777" w:rsidTr="005D02F0">
        <w:trPr>
          <w:trHeight w:val="20"/>
          <w:jc w:val="center"/>
        </w:trPr>
        <w:tc>
          <w:tcPr>
            <w:tcW w:w="5938" w:type="dxa"/>
            <w:tcBorders>
              <w:top w:val="nil"/>
              <w:left w:val="single" w:sz="4" w:space="0" w:color="auto"/>
              <w:right w:val="single" w:sz="4" w:space="0" w:color="auto"/>
            </w:tcBorders>
            <w:noWrap/>
            <w:vAlign w:val="bottom"/>
            <w:hideMark/>
          </w:tcPr>
          <w:p w14:paraId="2F06D5AD" w14:textId="77777777" w:rsidR="009630A9" w:rsidRPr="000C156A" w:rsidRDefault="009630A9" w:rsidP="005D02F0">
            <w:pPr>
              <w:spacing w:before="20" w:after="20"/>
              <w:rPr>
                <w:bCs/>
                <w:sz w:val="22"/>
                <w:szCs w:val="18"/>
                <w:lang w:val="en-US"/>
              </w:rPr>
            </w:pPr>
            <w:r w:rsidRPr="000C156A">
              <w:rPr>
                <w:rFonts w:hint="eastAsia"/>
                <w:bCs/>
                <w:sz w:val="22"/>
                <w:szCs w:val="18"/>
                <w:lang w:val="en-US"/>
              </w:rPr>
              <w:t>其它收入</w:t>
            </w:r>
          </w:p>
        </w:tc>
        <w:tc>
          <w:tcPr>
            <w:tcW w:w="1843" w:type="dxa"/>
            <w:tcBorders>
              <w:top w:val="nil"/>
              <w:left w:val="single" w:sz="4" w:space="0" w:color="auto"/>
              <w:bottom w:val="nil"/>
              <w:right w:val="single" w:sz="4" w:space="0" w:color="auto"/>
            </w:tcBorders>
            <w:shd w:val="clear" w:color="auto" w:fill="auto"/>
            <w:vAlign w:val="bottom"/>
            <w:hideMark/>
          </w:tcPr>
          <w:p w14:paraId="3440291D" w14:textId="7E2D66DF"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r w:rsidRPr="000C156A">
              <w:rPr>
                <w:rFonts w:cs="Calibri"/>
                <w:color w:val="000000"/>
                <w:sz w:val="22"/>
                <w:szCs w:val="22"/>
                <w:lang w:val="en-US" w:eastAsia="zh-CN"/>
              </w:rPr>
              <w:t>9</w:t>
            </w:r>
            <w:r w:rsidR="000101B2" w:rsidRPr="000C156A">
              <w:rPr>
                <w:rFonts w:cs="Calibri"/>
                <w:color w:val="000000"/>
                <w:sz w:val="22"/>
                <w:szCs w:val="22"/>
                <w:lang w:val="en-US" w:eastAsia="zh-CN"/>
              </w:rPr>
              <w:t xml:space="preserve"> </w:t>
            </w:r>
            <w:r w:rsidRPr="000C156A">
              <w:rPr>
                <w:rFonts w:cs="Calibri"/>
                <w:color w:val="000000"/>
                <w:sz w:val="22"/>
                <w:szCs w:val="22"/>
                <w:lang w:val="en-US" w:eastAsia="zh-CN"/>
              </w:rPr>
              <w:t>104</w:t>
            </w:r>
          </w:p>
        </w:tc>
        <w:tc>
          <w:tcPr>
            <w:tcW w:w="1824" w:type="dxa"/>
            <w:tcBorders>
              <w:top w:val="nil"/>
              <w:left w:val="nil"/>
              <w:bottom w:val="nil"/>
              <w:right w:val="single" w:sz="4" w:space="0" w:color="auto"/>
            </w:tcBorders>
            <w:shd w:val="clear" w:color="auto" w:fill="auto"/>
            <w:noWrap/>
            <w:vAlign w:val="bottom"/>
            <w:hideMark/>
          </w:tcPr>
          <w:p w14:paraId="1C75FA28" w14:textId="0C3A8203"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r w:rsidRPr="000C156A">
              <w:rPr>
                <w:rFonts w:cs="Calibri"/>
                <w:color w:val="000000"/>
                <w:sz w:val="22"/>
                <w:szCs w:val="22"/>
                <w:lang w:val="en-US" w:eastAsia="zh-CN"/>
              </w:rPr>
              <w:t>4</w:t>
            </w:r>
            <w:r w:rsidR="000101B2" w:rsidRPr="000C156A">
              <w:rPr>
                <w:rFonts w:cs="Calibri"/>
                <w:color w:val="000000"/>
                <w:sz w:val="22"/>
                <w:szCs w:val="22"/>
                <w:lang w:val="en-US" w:eastAsia="zh-CN"/>
              </w:rPr>
              <w:t xml:space="preserve"> </w:t>
            </w:r>
            <w:r w:rsidRPr="000C156A">
              <w:rPr>
                <w:rFonts w:cs="Calibri"/>
                <w:color w:val="000000"/>
                <w:sz w:val="22"/>
                <w:szCs w:val="22"/>
                <w:lang w:val="en-US" w:eastAsia="zh-CN"/>
              </w:rPr>
              <w:t>346</w:t>
            </w:r>
          </w:p>
        </w:tc>
      </w:tr>
      <w:tr w:rsidR="009630A9" w:rsidRPr="000C156A" w14:paraId="55969542" w14:textId="77777777" w:rsidTr="005D02F0">
        <w:trPr>
          <w:trHeight w:val="20"/>
          <w:jc w:val="center"/>
        </w:trPr>
        <w:tc>
          <w:tcPr>
            <w:tcW w:w="5938" w:type="dxa"/>
            <w:tcBorders>
              <w:left w:val="single" w:sz="4" w:space="0" w:color="auto"/>
              <w:bottom w:val="single" w:sz="4" w:space="0" w:color="auto"/>
              <w:right w:val="single" w:sz="4" w:space="0" w:color="auto"/>
            </w:tcBorders>
            <w:noWrap/>
            <w:vAlign w:val="bottom"/>
          </w:tcPr>
          <w:p w14:paraId="2F2975E4" w14:textId="77777777" w:rsidR="009630A9" w:rsidRPr="000C156A" w:rsidRDefault="009630A9" w:rsidP="005D02F0">
            <w:pPr>
              <w:spacing w:before="20" w:after="20"/>
              <w:rPr>
                <w:bCs/>
                <w:sz w:val="22"/>
                <w:szCs w:val="18"/>
                <w:lang w:val="en-US"/>
              </w:rPr>
            </w:pPr>
          </w:p>
        </w:tc>
        <w:tc>
          <w:tcPr>
            <w:tcW w:w="1843" w:type="dxa"/>
            <w:tcBorders>
              <w:top w:val="nil"/>
              <w:left w:val="single" w:sz="4" w:space="0" w:color="auto"/>
              <w:bottom w:val="nil"/>
              <w:right w:val="single" w:sz="4" w:space="0" w:color="auto"/>
            </w:tcBorders>
            <w:shd w:val="clear" w:color="auto" w:fill="auto"/>
            <w:vAlign w:val="bottom"/>
          </w:tcPr>
          <w:p w14:paraId="649C8178" w14:textId="77777777"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p>
        </w:tc>
        <w:tc>
          <w:tcPr>
            <w:tcW w:w="1824" w:type="dxa"/>
            <w:tcBorders>
              <w:top w:val="nil"/>
              <w:left w:val="nil"/>
              <w:bottom w:val="single" w:sz="4" w:space="0" w:color="auto"/>
              <w:right w:val="single" w:sz="4" w:space="0" w:color="auto"/>
            </w:tcBorders>
            <w:shd w:val="clear" w:color="auto" w:fill="auto"/>
            <w:noWrap/>
            <w:vAlign w:val="bottom"/>
          </w:tcPr>
          <w:p w14:paraId="631FCA09" w14:textId="77777777"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p>
        </w:tc>
      </w:tr>
      <w:tr w:rsidR="009630A9" w:rsidRPr="000C156A" w14:paraId="7503FD4B" w14:textId="77777777" w:rsidTr="005D02F0">
        <w:trPr>
          <w:trHeight w:val="20"/>
          <w:jc w:val="center"/>
        </w:trPr>
        <w:tc>
          <w:tcPr>
            <w:tcW w:w="5938" w:type="dxa"/>
            <w:tcBorders>
              <w:top w:val="single" w:sz="4" w:space="0" w:color="auto"/>
              <w:left w:val="single" w:sz="4" w:space="0" w:color="auto"/>
              <w:bottom w:val="single" w:sz="4" w:space="0" w:color="auto"/>
              <w:right w:val="single" w:sz="4" w:space="0" w:color="auto"/>
            </w:tcBorders>
            <w:noWrap/>
            <w:vAlign w:val="center"/>
            <w:hideMark/>
          </w:tcPr>
          <w:p w14:paraId="0CE8E497" w14:textId="77777777" w:rsidR="009630A9" w:rsidRPr="000C156A" w:rsidRDefault="009630A9" w:rsidP="005D02F0">
            <w:pPr>
              <w:spacing w:before="20" w:after="20"/>
              <w:rPr>
                <w:b/>
                <w:sz w:val="22"/>
                <w:szCs w:val="18"/>
                <w:lang w:val="en-US"/>
              </w:rPr>
            </w:pPr>
            <w:r w:rsidRPr="000C156A">
              <w:rPr>
                <w:rFonts w:hint="eastAsia"/>
                <w:b/>
                <w:sz w:val="22"/>
                <w:szCs w:val="18"/>
                <w:lang w:val="en-US"/>
              </w:rPr>
              <w:t>其它营运收入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61FA3" w14:textId="2E9C73A6" w:rsidR="009630A9" w:rsidRPr="000C156A" w:rsidRDefault="009630A9" w:rsidP="005D02F0">
            <w:pPr>
              <w:overflowPunct/>
              <w:autoSpaceDE/>
              <w:autoSpaceDN/>
              <w:adjustRightInd/>
              <w:spacing w:before="0"/>
              <w:jc w:val="right"/>
              <w:textAlignment w:val="auto"/>
              <w:rPr>
                <w:rFonts w:cs="Calibri"/>
                <w:b/>
                <w:bCs/>
                <w:color w:val="000000"/>
                <w:sz w:val="20"/>
                <w:lang w:val="en-US" w:eastAsia="zh-CN"/>
              </w:rPr>
            </w:pPr>
            <w:r w:rsidRPr="000C156A">
              <w:rPr>
                <w:rFonts w:eastAsia="Times New Roman" w:cs="Calibri"/>
                <w:b/>
                <w:bCs/>
                <w:color w:val="000000"/>
                <w:sz w:val="22"/>
                <w:szCs w:val="22"/>
                <w:lang w:val="en-US" w:eastAsia="zh-CN"/>
              </w:rPr>
              <w:t>40</w:t>
            </w:r>
            <w:r w:rsidR="000101B2" w:rsidRPr="000C156A">
              <w:rPr>
                <w:rFonts w:eastAsia="Times New Roman" w:cs="Calibri"/>
                <w:b/>
                <w:bCs/>
                <w:color w:val="000000"/>
                <w:sz w:val="22"/>
                <w:szCs w:val="22"/>
                <w:lang w:val="en-US" w:eastAsia="zh-CN"/>
              </w:rPr>
              <w:t xml:space="preserve"> </w:t>
            </w:r>
            <w:r w:rsidRPr="000C156A">
              <w:rPr>
                <w:rFonts w:eastAsia="Times New Roman" w:cs="Calibri"/>
                <w:b/>
                <w:bCs/>
                <w:color w:val="000000"/>
                <w:sz w:val="22"/>
                <w:szCs w:val="22"/>
                <w:lang w:val="en-US" w:eastAsia="zh-CN"/>
              </w:rPr>
              <w:t>213</w:t>
            </w:r>
          </w:p>
        </w:tc>
        <w:tc>
          <w:tcPr>
            <w:tcW w:w="1824" w:type="dxa"/>
            <w:tcBorders>
              <w:top w:val="nil"/>
              <w:left w:val="nil"/>
              <w:bottom w:val="single" w:sz="4" w:space="0" w:color="auto"/>
              <w:right w:val="single" w:sz="4" w:space="0" w:color="auto"/>
            </w:tcBorders>
            <w:shd w:val="clear" w:color="auto" w:fill="auto"/>
            <w:noWrap/>
            <w:vAlign w:val="center"/>
            <w:hideMark/>
          </w:tcPr>
          <w:p w14:paraId="6348A58D" w14:textId="75153D28" w:rsidR="009630A9" w:rsidRPr="000C156A" w:rsidRDefault="009630A9" w:rsidP="005D02F0">
            <w:pPr>
              <w:overflowPunct/>
              <w:autoSpaceDE/>
              <w:autoSpaceDN/>
              <w:adjustRightInd/>
              <w:spacing w:before="0"/>
              <w:jc w:val="right"/>
              <w:textAlignment w:val="auto"/>
              <w:rPr>
                <w:rFonts w:cs="Calibri"/>
                <w:b/>
                <w:bCs/>
                <w:color w:val="000000"/>
                <w:sz w:val="20"/>
                <w:lang w:val="en-US" w:eastAsia="zh-CN"/>
              </w:rPr>
            </w:pPr>
            <w:r w:rsidRPr="000C156A">
              <w:rPr>
                <w:rFonts w:eastAsia="Times New Roman" w:cs="Calibri"/>
                <w:b/>
                <w:bCs/>
                <w:color w:val="000000"/>
                <w:sz w:val="22"/>
                <w:szCs w:val="22"/>
                <w:lang w:val="en-US" w:eastAsia="zh-CN"/>
              </w:rPr>
              <w:t>39</w:t>
            </w:r>
            <w:r w:rsidR="000101B2" w:rsidRPr="000C156A">
              <w:rPr>
                <w:rFonts w:eastAsia="Times New Roman" w:cs="Calibri"/>
                <w:b/>
                <w:bCs/>
                <w:color w:val="000000"/>
                <w:sz w:val="22"/>
                <w:szCs w:val="22"/>
                <w:lang w:val="en-US" w:eastAsia="zh-CN"/>
              </w:rPr>
              <w:t xml:space="preserve"> </w:t>
            </w:r>
            <w:r w:rsidRPr="000C156A">
              <w:rPr>
                <w:rFonts w:eastAsia="Times New Roman" w:cs="Calibri"/>
                <w:b/>
                <w:bCs/>
                <w:color w:val="000000"/>
                <w:sz w:val="22"/>
                <w:szCs w:val="22"/>
                <w:lang w:val="en-US" w:eastAsia="zh-CN"/>
              </w:rPr>
              <w:t>366</w:t>
            </w:r>
          </w:p>
        </w:tc>
      </w:tr>
    </w:tbl>
    <w:p w14:paraId="351915BE" w14:textId="77777777" w:rsidR="009630A9" w:rsidRPr="000C156A" w:rsidRDefault="009630A9" w:rsidP="00EE4C27">
      <w:pPr>
        <w:spacing w:before="240"/>
        <w:ind w:firstLineChars="200" w:firstLine="480"/>
        <w:rPr>
          <w:lang w:eastAsia="zh-CN"/>
        </w:rPr>
      </w:pPr>
      <w:bookmarkStart w:id="900" w:name="_MON_1402901008"/>
      <w:bookmarkStart w:id="901" w:name="_MON_1402747191"/>
      <w:bookmarkStart w:id="902" w:name="_MON_1402991021"/>
      <w:bookmarkStart w:id="903" w:name="_MON_1402747319"/>
      <w:bookmarkStart w:id="904" w:name="_MON_1402747346"/>
      <w:bookmarkStart w:id="905" w:name="_MON_1402747436"/>
      <w:bookmarkStart w:id="906" w:name="_MON_1401177845"/>
      <w:bookmarkEnd w:id="900"/>
      <w:bookmarkEnd w:id="901"/>
      <w:bookmarkEnd w:id="902"/>
      <w:bookmarkEnd w:id="903"/>
      <w:bookmarkEnd w:id="904"/>
      <w:bookmarkEnd w:id="905"/>
      <w:bookmarkEnd w:id="906"/>
      <w:r w:rsidRPr="000C156A">
        <w:rPr>
          <w:rFonts w:hint="eastAsia"/>
          <w:lang w:eastAsia="zh-CN"/>
        </w:rPr>
        <w:t>其它营运收入主要包括成本回收活动。目前国际电联实行成本回收的产品和服务主要为国际通用免费电话号码的注册（</w:t>
      </w:r>
      <w:r w:rsidRPr="000C156A">
        <w:rPr>
          <w:lang w:eastAsia="zh-CN"/>
        </w:rPr>
        <w:t>UIFN</w:t>
      </w:r>
      <w:r w:rsidRPr="000C156A">
        <w:rPr>
          <w:rFonts w:hint="eastAsia"/>
          <w:lang w:eastAsia="zh-CN"/>
        </w:rPr>
        <w:t>）、全球卫星个人移动通信系统谅解备忘录（</w:t>
      </w:r>
      <w:r w:rsidRPr="000C156A">
        <w:rPr>
          <w:lang w:eastAsia="zh-CN"/>
        </w:rPr>
        <w:t>GMPCS-MoU</w:t>
      </w:r>
      <w:r w:rsidRPr="000C156A">
        <w:rPr>
          <w:rFonts w:hint="eastAsia"/>
          <w:lang w:eastAsia="zh-CN"/>
        </w:rPr>
        <w:t>）、出版物销售。项目支持收入纳入资金间冲销，以便为国际电联的财务业绩提供综合概貌。</w:t>
      </w:r>
    </w:p>
    <w:p w14:paraId="1E63D84B" w14:textId="77777777" w:rsidR="009630A9" w:rsidRPr="000C156A" w:rsidRDefault="009630A9" w:rsidP="009630A9">
      <w:pPr>
        <w:ind w:firstLineChars="200" w:firstLine="480"/>
        <w:jc w:val="both"/>
        <w:rPr>
          <w:lang w:val="en-US" w:eastAsia="zh-CN"/>
        </w:rPr>
      </w:pPr>
      <w:bookmarkStart w:id="907" w:name="_Hlk70599171"/>
      <w:r w:rsidRPr="000C156A">
        <w:rPr>
          <w:rFonts w:hint="eastAsia"/>
          <w:lang w:val="en-US" w:eastAsia="zh-CN"/>
        </w:rPr>
        <w:t>总体而言，运营收入增加了</w:t>
      </w:r>
      <w:r w:rsidRPr="000C156A">
        <w:rPr>
          <w:rFonts w:hint="eastAsia"/>
          <w:lang w:val="en-US" w:eastAsia="zh-CN"/>
        </w:rPr>
        <w:t>2.3%</w:t>
      </w:r>
      <w:r w:rsidRPr="000C156A">
        <w:rPr>
          <w:rFonts w:hint="eastAsia"/>
          <w:lang w:val="en-US" w:eastAsia="zh-CN"/>
        </w:rPr>
        <w:t>。然而，必须概要说明</w:t>
      </w:r>
      <w:r w:rsidRPr="000C156A">
        <w:rPr>
          <w:rFonts w:hint="eastAsia"/>
          <w:lang w:val="en-US" w:eastAsia="zh-CN"/>
        </w:rPr>
        <w:t>2020</w:t>
      </w:r>
      <w:r w:rsidRPr="000C156A">
        <w:rPr>
          <w:rFonts w:hint="eastAsia"/>
          <w:lang w:val="en-US" w:eastAsia="zh-CN"/>
        </w:rPr>
        <w:t>年的两个要素：预算外收入大幅减少，这是由于原定于</w:t>
      </w:r>
      <w:r w:rsidRPr="000C156A">
        <w:rPr>
          <w:rFonts w:hint="eastAsia"/>
          <w:lang w:val="en-US" w:eastAsia="zh-CN"/>
        </w:rPr>
        <w:t>2021</w:t>
      </w:r>
      <w:r w:rsidRPr="000C156A">
        <w:rPr>
          <w:rFonts w:hint="eastAsia"/>
          <w:lang w:val="en-US" w:eastAsia="zh-CN"/>
        </w:rPr>
        <w:t>年举行的国际电联</w:t>
      </w:r>
      <w:r w:rsidRPr="000C156A">
        <w:rPr>
          <w:rFonts w:hint="eastAsia"/>
          <w:lang w:val="en-US" w:eastAsia="zh-CN"/>
        </w:rPr>
        <w:t>2020</w:t>
      </w:r>
      <w:r w:rsidRPr="000C156A">
        <w:rPr>
          <w:rFonts w:hint="eastAsia"/>
          <w:lang w:val="en-US" w:eastAsia="zh-CN"/>
        </w:rPr>
        <w:t>年世界电信展延期，但其他收入有所增加。其他收入的增加与支付为新办公楼项目签署的赞助协议有关。</w:t>
      </w:r>
    </w:p>
    <w:p w14:paraId="3B03F6A1" w14:textId="77777777" w:rsidR="009630A9" w:rsidRPr="000C156A" w:rsidRDefault="009630A9" w:rsidP="00C12086">
      <w:pPr>
        <w:pStyle w:val="Headingb"/>
        <w:spacing w:after="240"/>
        <w:rPr>
          <w:lang w:eastAsia="zh-CN"/>
        </w:rPr>
      </w:pPr>
      <w:bookmarkStart w:id="908" w:name="_Toc73518716"/>
      <w:bookmarkStart w:id="909" w:name="_Toc73518863"/>
      <w:bookmarkStart w:id="910" w:name="_Toc73519263"/>
      <w:bookmarkStart w:id="911" w:name="_Toc73636302"/>
      <w:bookmarkStart w:id="912" w:name="_Toc329011650"/>
      <w:bookmarkStart w:id="913" w:name="_Toc305764107"/>
      <w:bookmarkEnd w:id="907"/>
      <w:r w:rsidRPr="000C156A">
        <w:rPr>
          <w:rFonts w:hint="eastAsia"/>
          <w:lang w:eastAsia="zh-CN"/>
        </w:rPr>
        <w:t>理财收入</w:t>
      </w:r>
      <w:bookmarkEnd w:id="908"/>
      <w:bookmarkEnd w:id="909"/>
      <w:bookmarkEnd w:id="910"/>
      <w:bookmarkEnd w:id="911"/>
    </w:p>
    <w:tbl>
      <w:tblPr>
        <w:tblW w:w="9605" w:type="dxa"/>
        <w:jc w:val="center"/>
        <w:tblLayout w:type="fixed"/>
        <w:tblLook w:val="04A0" w:firstRow="1" w:lastRow="0" w:firstColumn="1" w:lastColumn="0" w:noHBand="0" w:noVBand="1"/>
      </w:tblPr>
      <w:tblGrid>
        <w:gridCol w:w="5938"/>
        <w:gridCol w:w="1843"/>
        <w:gridCol w:w="1824"/>
      </w:tblGrid>
      <w:tr w:rsidR="009630A9" w:rsidRPr="000C156A" w14:paraId="3D028031" w14:textId="77777777" w:rsidTr="005D02F0">
        <w:trPr>
          <w:trHeight w:val="499"/>
          <w:jc w:val="center"/>
        </w:trPr>
        <w:tc>
          <w:tcPr>
            <w:tcW w:w="5938" w:type="dxa"/>
            <w:tcBorders>
              <w:top w:val="single" w:sz="4" w:space="0" w:color="auto"/>
              <w:left w:val="single" w:sz="4" w:space="0" w:color="auto"/>
              <w:bottom w:val="single" w:sz="4" w:space="0" w:color="auto"/>
              <w:right w:val="single" w:sz="4" w:space="0" w:color="auto"/>
            </w:tcBorders>
            <w:noWrap/>
            <w:vAlign w:val="center"/>
            <w:hideMark/>
          </w:tcPr>
          <w:bookmarkEnd w:id="912"/>
          <w:bookmarkEnd w:id="913"/>
          <w:p w14:paraId="22195C60" w14:textId="77777777" w:rsidR="009630A9" w:rsidRPr="000C156A" w:rsidRDefault="009630A9" w:rsidP="005D02F0">
            <w:pPr>
              <w:spacing w:before="20" w:after="20"/>
              <w:rPr>
                <w:b/>
                <w:sz w:val="22"/>
                <w:szCs w:val="18"/>
                <w:lang w:val="en-US"/>
              </w:rPr>
            </w:pPr>
            <w:r w:rsidRPr="000C156A">
              <w:rPr>
                <w:rFonts w:ascii="SimSun" w:hAnsi="SimSun" w:cs="SimSun" w:hint="eastAsia"/>
                <w:b/>
                <w:sz w:val="22"/>
                <w:szCs w:val="18"/>
                <w:lang w:val="en-US"/>
              </w:rPr>
              <w:t>单位：千瑞郎</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F99934" w14:textId="77777777" w:rsidR="009630A9" w:rsidRPr="000C156A" w:rsidRDefault="009630A9" w:rsidP="005D02F0">
            <w:pPr>
              <w:spacing w:before="20" w:after="20"/>
              <w:jc w:val="right"/>
              <w:rPr>
                <w:b/>
                <w:sz w:val="22"/>
                <w:szCs w:val="18"/>
                <w:lang w:val="en-US"/>
              </w:rPr>
            </w:pPr>
            <w:r w:rsidRPr="000C156A">
              <w:rPr>
                <w:b/>
                <w:sz w:val="22"/>
                <w:szCs w:val="18"/>
                <w:lang w:val="en-US"/>
              </w:rPr>
              <w:t>2020</w:t>
            </w:r>
            <w:r w:rsidRPr="000C156A">
              <w:rPr>
                <w:rFonts w:ascii="SimSun" w:hAnsi="SimSun" w:cs="SimSun" w:hint="eastAsia"/>
                <w:b/>
                <w:sz w:val="22"/>
                <w:szCs w:val="18"/>
                <w:lang w:val="en-US"/>
              </w:rPr>
              <w:t>年</w:t>
            </w:r>
          </w:p>
        </w:tc>
        <w:tc>
          <w:tcPr>
            <w:tcW w:w="1824" w:type="dxa"/>
            <w:tcBorders>
              <w:top w:val="single" w:sz="4" w:space="0" w:color="auto"/>
              <w:left w:val="single" w:sz="4" w:space="0" w:color="auto"/>
              <w:bottom w:val="single" w:sz="4" w:space="0" w:color="auto"/>
              <w:right w:val="single" w:sz="4" w:space="0" w:color="auto"/>
            </w:tcBorders>
            <w:vAlign w:val="center"/>
            <w:hideMark/>
          </w:tcPr>
          <w:p w14:paraId="1F7740ED" w14:textId="77777777" w:rsidR="009630A9" w:rsidRPr="000C156A" w:rsidRDefault="009630A9" w:rsidP="005D02F0">
            <w:pPr>
              <w:spacing w:before="20" w:after="20"/>
              <w:jc w:val="right"/>
              <w:rPr>
                <w:b/>
                <w:sz w:val="22"/>
                <w:szCs w:val="18"/>
                <w:lang w:val="en-US"/>
              </w:rPr>
            </w:pPr>
            <w:r w:rsidRPr="000C156A">
              <w:rPr>
                <w:b/>
                <w:sz w:val="22"/>
                <w:szCs w:val="18"/>
                <w:lang w:val="en-US"/>
              </w:rPr>
              <w:t>201</w:t>
            </w:r>
            <w:r w:rsidRPr="000C156A">
              <w:rPr>
                <w:b/>
                <w:sz w:val="22"/>
                <w:szCs w:val="18"/>
                <w:lang w:val="en-US" w:eastAsia="zh-CN"/>
              </w:rPr>
              <w:t>9</w:t>
            </w:r>
            <w:r w:rsidRPr="000C156A">
              <w:rPr>
                <w:rFonts w:ascii="SimSun" w:hAnsi="SimSun" w:cs="SimSun" w:hint="eastAsia"/>
                <w:b/>
                <w:sz w:val="22"/>
                <w:szCs w:val="18"/>
                <w:lang w:val="en-US"/>
              </w:rPr>
              <w:t>年</w:t>
            </w:r>
          </w:p>
        </w:tc>
      </w:tr>
      <w:tr w:rsidR="009630A9" w:rsidRPr="000C156A" w14:paraId="6B94D224" w14:textId="77777777" w:rsidTr="005D02F0">
        <w:trPr>
          <w:trHeight w:val="20"/>
          <w:jc w:val="center"/>
        </w:trPr>
        <w:tc>
          <w:tcPr>
            <w:tcW w:w="5938" w:type="dxa"/>
            <w:tcBorders>
              <w:top w:val="single" w:sz="4" w:space="0" w:color="auto"/>
              <w:left w:val="single" w:sz="4" w:space="0" w:color="auto"/>
              <w:right w:val="single" w:sz="4" w:space="0" w:color="auto"/>
            </w:tcBorders>
            <w:noWrap/>
            <w:vAlign w:val="center"/>
          </w:tcPr>
          <w:p w14:paraId="23FCA534" w14:textId="77777777" w:rsidR="009630A9" w:rsidRPr="000C156A" w:rsidRDefault="009630A9" w:rsidP="005D02F0">
            <w:pPr>
              <w:spacing w:before="0"/>
              <w:rPr>
                <w:bCs/>
                <w:sz w:val="22"/>
                <w:szCs w:val="18"/>
                <w:lang w:val="en-US" w:eastAsia="zh-CN"/>
              </w:rPr>
            </w:pPr>
          </w:p>
        </w:tc>
        <w:tc>
          <w:tcPr>
            <w:tcW w:w="1843" w:type="dxa"/>
            <w:tcBorders>
              <w:top w:val="nil"/>
              <w:left w:val="single" w:sz="4" w:space="0" w:color="auto"/>
              <w:bottom w:val="nil"/>
              <w:right w:val="single" w:sz="4" w:space="0" w:color="auto"/>
            </w:tcBorders>
            <w:shd w:val="clear" w:color="auto" w:fill="auto"/>
            <w:vAlign w:val="bottom"/>
          </w:tcPr>
          <w:p w14:paraId="2E5A87B8" w14:textId="77777777"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p>
        </w:tc>
        <w:tc>
          <w:tcPr>
            <w:tcW w:w="1824" w:type="dxa"/>
            <w:tcBorders>
              <w:top w:val="nil"/>
              <w:left w:val="nil"/>
              <w:bottom w:val="nil"/>
              <w:right w:val="single" w:sz="4" w:space="0" w:color="auto"/>
            </w:tcBorders>
            <w:shd w:val="clear" w:color="auto" w:fill="auto"/>
            <w:noWrap/>
            <w:vAlign w:val="bottom"/>
          </w:tcPr>
          <w:p w14:paraId="621570CA" w14:textId="77777777"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p>
        </w:tc>
      </w:tr>
      <w:tr w:rsidR="009630A9" w:rsidRPr="000C156A" w14:paraId="2098A484" w14:textId="77777777" w:rsidTr="005D02F0">
        <w:trPr>
          <w:trHeight w:val="20"/>
          <w:jc w:val="center"/>
        </w:trPr>
        <w:tc>
          <w:tcPr>
            <w:tcW w:w="5938" w:type="dxa"/>
            <w:tcBorders>
              <w:left w:val="single" w:sz="4" w:space="0" w:color="auto"/>
              <w:bottom w:val="nil"/>
              <w:right w:val="single" w:sz="4" w:space="0" w:color="auto"/>
            </w:tcBorders>
            <w:noWrap/>
            <w:vAlign w:val="center"/>
            <w:hideMark/>
          </w:tcPr>
          <w:p w14:paraId="474EAA56" w14:textId="77777777" w:rsidR="009630A9" w:rsidRPr="000C156A" w:rsidRDefault="009630A9" w:rsidP="005D02F0">
            <w:pPr>
              <w:spacing w:before="20" w:after="20"/>
              <w:rPr>
                <w:bCs/>
                <w:sz w:val="22"/>
                <w:szCs w:val="18"/>
                <w:lang w:val="en-US" w:eastAsia="zh-CN"/>
              </w:rPr>
            </w:pPr>
            <w:r w:rsidRPr="000C156A">
              <w:rPr>
                <w:rFonts w:hint="eastAsia"/>
                <w:bCs/>
                <w:sz w:val="22"/>
                <w:szCs w:val="18"/>
                <w:lang w:val="en-US" w:eastAsia="zh-CN"/>
              </w:rPr>
              <w:t>投资利息</w:t>
            </w:r>
          </w:p>
        </w:tc>
        <w:tc>
          <w:tcPr>
            <w:tcW w:w="1843" w:type="dxa"/>
            <w:tcBorders>
              <w:top w:val="nil"/>
              <w:left w:val="single" w:sz="4" w:space="0" w:color="auto"/>
              <w:bottom w:val="nil"/>
              <w:right w:val="single" w:sz="4" w:space="0" w:color="auto"/>
            </w:tcBorders>
            <w:shd w:val="clear" w:color="auto" w:fill="auto"/>
            <w:vAlign w:val="bottom"/>
            <w:hideMark/>
          </w:tcPr>
          <w:p w14:paraId="2FE97771" w14:textId="77777777" w:rsidR="009630A9" w:rsidRPr="000C156A" w:rsidRDefault="009630A9" w:rsidP="005D02F0">
            <w:pPr>
              <w:overflowPunct/>
              <w:autoSpaceDE/>
              <w:autoSpaceDN/>
              <w:adjustRightInd/>
              <w:spacing w:before="0"/>
              <w:jc w:val="right"/>
              <w:textAlignment w:val="auto"/>
              <w:rPr>
                <w:rFonts w:cs="Calibri"/>
                <w:color w:val="000000"/>
                <w:sz w:val="22"/>
                <w:szCs w:val="22"/>
                <w:lang w:val="en-US" w:eastAsia="zh-CN"/>
              </w:rPr>
            </w:pPr>
            <w:r w:rsidRPr="000C156A">
              <w:rPr>
                <w:rFonts w:cs="Calibri"/>
                <w:color w:val="000000"/>
                <w:sz w:val="22"/>
                <w:szCs w:val="22"/>
                <w:lang w:val="en-US" w:eastAsia="zh-CN"/>
              </w:rPr>
              <w:t>400</w:t>
            </w:r>
          </w:p>
        </w:tc>
        <w:tc>
          <w:tcPr>
            <w:tcW w:w="1824" w:type="dxa"/>
            <w:tcBorders>
              <w:top w:val="nil"/>
              <w:left w:val="nil"/>
              <w:bottom w:val="nil"/>
              <w:right w:val="single" w:sz="4" w:space="0" w:color="auto"/>
            </w:tcBorders>
            <w:shd w:val="clear" w:color="auto" w:fill="auto"/>
            <w:noWrap/>
            <w:vAlign w:val="bottom"/>
            <w:hideMark/>
          </w:tcPr>
          <w:p w14:paraId="2A97E77E" w14:textId="77777777" w:rsidR="009630A9" w:rsidRPr="000C156A" w:rsidRDefault="009630A9" w:rsidP="005D02F0">
            <w:pPr>
              <w:overflowPunct/>
              <w:autoSpaceDE/>
              <w:autoSpaceDN/>
              <w:adjustRightInd/>
              <w:spacing w:before="0"/>
              <w:jc w:val="right"/>
              <w:textAlignment w:val="auto"/>
              <w:rPr>
                <w:rFonts w:cs="Calibri"/>
                <w:color w:val="000000"/>
                <w:sz w:val="22"/>
                <w:szCs w:val="22"/>
                <w:lang w:val="en-US" w:eastAsia="zh-CN"/>
              </w:rPr>
            </w:pPr>
            <w:r w:rsidRPr="000C156A">
              <w:rPr>
                <w:rFonts w:cs="Calibri"/>
                <w:color w:val="000000"/>
                <w:sz w:val="22"/>
                <w:szCs w:val="22"/>
                <w:lang w:val="en-US" w:eastAsia="zh-CN"/>
              </w:rPr>
              <w:t>926</w:t>
            </w:r>
          </w:p>
        </w:tc>
      </w:tr>
      <w:tr w:rsidR="009630A9" w:rsidRPr="000C156A" w14:paraId="4885F18B" w14:textId="77777777" w:rsidTr="005D02F0">
        <w:trPr>
          <w:trHeight w:val="20"/>
          <w:jc w:val="center"/>
        </w:trPr>
        <w:tc>
          <w:tcPr>
            <w:tcW w:w="5938" w:type="dxa"/>
            <w:tcBorders>
              <w:top w:val="nil"/>
              <w:left w:val="single" w:sz="4" w:space="0" w:color="auto"/>
              <w:bottom w:val="nil"/>
              <w:right w:val="single" w:sz="4" w:space="0" w:color="auto"/>
            </w:tcBorders>
            <w:noWrap/>
            <w:vAlign w:val="center"/>
            <w:hideMark/>
          </w:tcPr>
          <w:p w14:paraId="1AEC2A55" w14:textId="77777777" w:rsidR="009630A9" w:rsidRPr="000C156A" w:rsidRDefault="009630A9" w:rsidP="005D02F0">
            <w:pPr>
              <w:spacing w:before="20" w:after="20"/>
              <w:rPr>
                <w:bCs/>
                <w:sz w:val="22"/>
                <w:szCs w:val="18"/>
                <w:lang w:val="en-US" w:eastAsia="zh-CN"/>
              </w:rPr>
            </w:pPr>
            <w:r w:rsidRPr="000C156A">
              <w:rPr>
                <w:rFonts w:hint="eastAsia"/>
                <w:bCs/>
                <w:sz w:val="22"/>
                <w:szCs w:val="18"/>
                <w:lang w:val="en-US" w:eastAsia="zh-CN"/>
              </w:rPr>
              <w:t>已实现的汇率收益</w:t>
            </w:r>
          </w:p>
        </w:tc>
        <w:tc>
          <w:tcPr>
            <w:tcW w:w="1843" w:type="dxa"/>
            <w:tcBorders>
              <w:top w:val="nil"/>
              <w:left w:val="single" w:sz="4" w:space="0" w:color="auto"/>
              <w:bottom w:val="nil"/>
              <w:right w:val="single" w:sz="4" w:space="0" w:color="auto"/>
            </w:tcBorders>
            <w:shd w:val="clear" w:color="auto" w:fill="auto"/>
            <w:vAlign w:val="bottom"/>
            <w:hideMark/>
          </w:tcPr>
          <w:p w14:paraId="7120B234" w14:textId="77777777" w:rsidR="009630A9" w:rsidRPr="000C156A" w:rsidRDefault="009630A9" w:rsidP="005D02F0">
            <w:pPr>
              <w:overflowPunct/>
              <w:autoSpaceDE/>
              <w:autoSpaceDN/>
              <w:adjustRightInd/>
              <w:spacing w:before="0"/>
              <w:jc w:val="right"/>
              <w:textAlignment w:val="auto"/>
              <w:rPr>
                <w:rFonts w:cs="Calibri"/>
                <w:color w:val="000000"/>
                <w:sz w:val="22"/>
                <w:szCs w:val="22"/>
                <w:lang w:val="en-US" w:eastAsia="zh-CN"/>
              </w:rPr>
            </w:pPr>
            <w:r w:rsidRPr="000C156A">
              <w:rPr>
                <w:rFonts w:cs="Calibri"/>
                <w:color w:val="000000"/>
                <w:sz w:val="22"/>
                <w:szCs w:val="22"/>
                <w:lang w:val="en-US" w:eastAsia="zh-CN"/>
              </w:rPr>
              <w:t>16</w:t>
            </w:r>
          </w:p>
        </w:tc>
        <w:tc>
          <w:tcPr>
            <w:tcW w:w="1824" w:type="dxa"/>
            <w:tcBorders>
              <w:top w:val="nil"/>
              <w:left w:val="nil"/>
              <w:bottom w:val="nil"/>
              <w:right w:val="single" w:sz="4" w:space="0" w:color="auto"/>
            </w:tcBorders>
            <w:shd w:val="clear" w:color="auto" w:fill="auto"/>
            <w:noWrap/>
            <w:vAlign w:val="bottom"/>
            <w:hideMark/>
          </w:tcPr>
          <w:p w14:paraId="0E615EFE" w14:textId="77777777" w:rsidR="009630A9" w:rsidRPr="000C156A" w:rsidRDefault="009630A9" w:rsidP="005D02F0">
            <w:pPr>
              <w:overflowPunct/>
              <w:autoSpaceDE/>
              <w:autoSpaceDN/>
              <w:adjustRightInd/>
              <w:spacing w:before="0"/>
              <w:jc w:val="right"/>
              <w:textAlignment w:val="auto"/>
              <w:rPr>
                <w:rFonts w:cs="Calibri"/>
                <w:color w:val="000000"/>
                <w:sz w:val="22"/>
                <w:szCs w:val="22"/>
                <w:lang w:val="en-US" w:eastAsia="zh-CN"/>
              </w:rPr>
            </w:pPr>
            <w:r w:rsidRPr="000C156A">
              <w:rPr>
                <w:rFonts w:cs="Calibri"/>
                <w:color w:val="000000"/>
                <w:sz w:val="22"/>
                <w:szCs w:val="22"/>
                <w:lang w:val="en-US" w:eastAsia="zh-CN"/>
              </w:rPr>
              <w:t>24</w:t>
            </w:r>
          </w:p>
        </w:tc>
      </w:tr>
      <w:tr w:rsidR="009630A9" w:rsidRPr="000C156A" w14:paraId="000BE2D4" w14:textId="77777777" w:rsidTr="005D02F0">
        <w:trPr>
          <w:trHeight w:val="20"/>
          <w:jc w:val="center"/>
        </w:trPr>
        <w:tc>
          <w:tcPr>
            <w:tcW w:w="5938" w:type="dxa"/>
            <w:tcBorders>
              <w:top w:val="nil"/>
              <w:left w:val="single" w:sz="4" w:space="0" w:color="auto"/>
              <w:right w:val="single" w:sz="4" w:space="0" w:color="auto"/>
            </w:tcBorders>
            <w:noWrap/>
            <w:vAlign w:val="center"/>
            <w:hideMark/>
          </w:tcPr>
          <w:p w14:paraId="55902EF9" w14:textId="77777777" w:rsidR="009630A9" w:rsidRPr="000C156A" w:rsidRDefault="009630A9" w:rsidP="005D02F0">
            <w:pPr>
              <w:spacing w:before="20" w:after="20"/>
              <w:rPr>
                <w:bCs/>
                <w:sz w:val="22"/>
                <w:szCs w:val="18"/>
                <w:lang w:val="en-US" w:eastAsia="zh-CN"/>
              </w:rPr>
            </w:pPr>
            <w:r w:rsidRPr="000C156A">
              <w:rPr>
                <w:rFonts w:hint="eastAsia"/>
                <w:bCs/>
                <w:sz w:val="22"/>
                <w:szCs w:val="18"/>
                <w:lang w:val="en-US" w:eastAsia="zh-CN"/>
              </w:rPr>
              <w:t>未实现的汇率收益</w:t>
            </w:r>
          </w:p>
        </w:tc>
        <w:tc>
          <w:tcPr>
            <w:tcW w:w="1843" w:type="dxa"/>
            <w:tcBorders>
              <w:top w:val="nil"/>
              <w:left w:val="single" w:sz="4" w:space="0" w:color="auto"/>
              <w:bottom w:val="nil"/>
              <w:right w:val="single" w:sz="4" w:space="0" w:color="auto"/>
            </w:tcBorders>
            <w:shd w:val="clear" w:color="auto" w:fill="auto"/>
            <w:vAlign w:val="bottom"/>
            <w:hideMark/>
          </w:tcPr>
          <w:p w14:paraId="1766D941" w14:textId="676EE96A" w:rsidR="009630A9" w:rsidRPr="000C156A" w:rsidRDefault="009630A9" w:rsidP="005D02F0">
            <w:pPr>
              <w:overflowPunct/>
              <w:autoSpaceDE/>
              <w:autoSpaceDN/>
              <w:adjustRightInd/>
              <w:spacing w:before="0"/>
              <w:jc w:val="right"/>
              <w:textAlignment w:val="auto"/>
              <w:rPr>
                <w:rFonts w:cs="Calibri"/>
                <w:color w:val="000000"/>
                <w:sz w:val="22"/>
                <w:szCs w:val="22"/>
                <w:lang w:val="en-US" w:eastAsia="zh-CN"/>
              </w:rPr>
            </w:pPr>
            <w:r w:rsidRPr="000C156A">
              <w:rPr>
                <w:rFonts w:cs="Calibri"/>
                <w:color w:val="000000"/>
                <w:sz w:val="22"/>
                <w:szCs w:val="22"/>
                <w:lang w:val="en-US" w:eastAsia="zh-CN"/>
              </w:rPr>
              <w:t>-5</w:t>
            </w:r>
            <w:r w:rsidR="00A27759" w:rsidRPr="000C156A">
              <w:rPr>
                <w:rFonts w:cs="Calibri"/>
                <w:color w:val="000000"/>
                <w:sz w:val="22"/>
                <w:szCs w:val="22"/>
                <w:lang w:val="en-US" w:eastAsia="zh-CN"/>
              </w:rPr>
              <w:t xml:space="preserve"> </w:t>
            </w:r>
            <w:r w:rsidRPr="000C156A">
              <w:rPr>
                <w:rFonts w:cs="Calibri"/>
                <w:color w:val="000000"/>
                <w:sz w:val="22"/>
                <w:szCs w:val="22"/>
                <w:lang w:val="en-US" w:eastAsia="zh-CN"/>
              </w:rPr>
              <w:t>116</w:t>
            </w:r>
          </w:p>
        </w:tc>
        <w:tc>
          <w:tcPr>
            <w:tcW w:w="1824" w:type="dxa"/>
            <w:tcBorders>
              <w:top w:val="nil"/>
              <w:left w:val="nil"/>
              <w:bottom w:val="nil"/>
              <w:right w:val="single" w:sz="4" w:space="0" w:color="auto"/>
            </w:tcBorders>
            <w:shd w:val="clear" w:color="auto" w:fill="auto"/>
            <w:noWrap/>
            <w:vAlign w:val="bottom"/>
            <w:hideMark/>
          </w:tcPr>
          <w:p w14:paraId="5FA96170" w14:textId="29F0A976" w:rsidR="009630A9" w:rsidRPr="000C156A" w:rsidRDefault="009630A9" w:rsidP="005D02F0">
            <w:pPr>
              <w:overflowPunct/>
              <w:autoSpaceDE/>
              <w:autoSpaceDN/>
              <w:adjustRightInd/>
              <w:spacing w:before="0"/>
              <w:jc w:val="right"/>
              <w:textAlignment w:val="auto"/>
              <w:rPr>
                <w:rFonts w:cs="Calibri"/>
                <w:color w:val="000000"/>
                <w:sz w:val="22"/>
                <w:szCs w:val="22"/>
                <w:lang w:val="en-US" w:eastAsia="zh-CN"/>
              </w:rPr>
            </w:pPr>
            <w:r w:rsidRPr="000C156A">
              <w:rPr>
                <w:rFonts w:cs="Calibri"/>
                <w:color w:val="000000"/>
                <w:sz w:val="22"/>
                <w:szCs w:val="22"/>
                <w:lang w:val="en-US" w:eastAsia="zh-CN"/>
              </w:rPr>
              <w:t>9</w:t>
            </w:r>
            <w:r w:rsidR="00A27759" w:rsidRPr="000C156A">
              <w:rPr>
                <w:rFonts w:cs="Calibri"/>
                <w:color w:val="000000"/>
                <w:sz w:val="22"/>
                <w:szCs w:val="22"/>
                <w:lang w:val="en-US" w:eastAsia="zh-CN"/>
              </w:rPr>
              <w:t xml:space="preserve"> </w:t>
            </w:r>
            <w:r w:rsidRPr="000C156A">
              <w:rPr>
                <w:rFonts w:cs="Calibri"/>
                <w:color w:val="000000"/>
                <w:sz w:val="22"/>
                <w:szCs w:val="22"/>
                <w:lang w:val="en-US" w:eastAsia="zh-CN"/>
              </w:rPr>
              <w:t>079</w:t>
            </w:r>
          </w:p>
        </w:tc>
      </w:tr>
      <w:tr w:rsidR="009630A9" w:rsidRPr="000C156A" w14:paraId="7305499C" w14:textId="77777777" w:rsidTr="005D02F0">
        <w:trPr>
          <w:trHeight w:val="20"/>
          <w:jc w:val="center"/>
        </w:trPr>
        <w:tc>
          <w:tcPr>
            <w:tcW w:w="5938" w:type="dxa"/>
            <w:tcBorders>
              <w:top w:val="nil"/>
              <w:left w:val="single" w:sz="4" w:space="0" w:color="auto"/>
              <w:bottom w:val="single" w:sz="4" w:space="0" w:color="auto"/>
              <w:right w:val="single" w:sz="4" w:space="0" w:color="auto"/>
            </w:tcBorders>
            <w:noWrap/>
            <w:vAlign w:val="center"/>
          </w:tcPr>
          <w:p w14:paraId="63098A06" w14:textId="77777777" w:rsidR="009630A9" w:rsidRPr="000C156A" w:rsidRDefault="009630A9" w:rsidP="005D02F0">
            <w:pPr>
              <w:spacing w:before="0"/>
              <w:rPr>
                <w:bCs/>
                <w:sz w:val="22"/>
                <w:szCs w:val="18"/>
                <w:lang w:val="en-US" w:eastAsia="zh-CN"/>
              </w:rPr>
            </w:pPr>
          </w:p>
        </w:tc>
        <w:tc>
          <w:tcPr>
            <w:tcW w:w="1843" w:type="dxa"/>
            <w:tcBorders>
              <w:top w:val="nil"/>
              <w:left w:val="single" w:sz="4" w:space="0" w:color="auto"/>
              <w:bottom w:val="nil"/>
              <w:right w:val="single" w:sz="4" w:space="0" w:color="auto"/>
            </w:tcBorders>
            <w:shd w:val="clear" w:color="auto" w:fill="auto"/>
            <w:vAlign w:val="bottom"/>
          </w:tcPr>
          <w:p w14:paraId="0000EC11" w14:textId="77777777" w:rsidR="009630A9" w:rsidRPr="000C156A" w:rsidRDefault="009630A9" w:rsidP="005D02F0">
            <w:pPr>
              <w:overflowPunct/>
              <w:autoSpaceDE/>
              <w:autoSpaceDN/>
              <w:adjustRightInd/>
              <w:spacing w:before="0"/>
              <w:jc w:val="right"/>
              <w:textAlignment w:val="auto"/>
              <w:rPr>
                <w:rFonts w:cs="Calibri"/>
                <w:color w:val="000000"/>
                <w:sz w:val="22"/>
                <w:szCs w:val="22"/>
                <w:lang w:val="en-US" w:eastAsia="zh-CN"/>
              </w:rPr>
            </w:pPr>
          </w:p>
        </w:tc>
        <w:tc>
          <w:tcPr>
            <w:tcW w:w="1824" w:type="dxa"/>
            <w:tcBorders>
              <w:top w:val="nil"/>
              <w:left w:val="nil"/>
              <w:bottom w:val="single" w:sz="4" w:space="0" w:color="auto"/>
              <w:right w:val="single" w:sz="4" w:space="0" w:color="auto"/>
            </w:tcBorders>
            <w:shd w:val="clear" w:color="auto" w:fill="auto"/>
            <w:noWrap/>
            <w:vAlign w:val="bottom"/>
          </w:tcPr>
          <w:p w14:paraId="3E6CE7CC" w14:textId="77777777" w:rsidR="009630A9" w:rsidRPr="000C156A" w:rsidRDefault="009630A9" w:rsidP="005D02F0">
            <w:pPr>
              <w:overflowPunct/>
              <w:autoSpaceDE/>
              <w:autoSpaceDN/>
              <w:adjustRightInd/>
              <w:spacing w:before="0"/>
              <w:jc w:val="right"/>
              <w:textAlignment w:val="auto"/>
              <w:rPr>
                <w:rFonts w:cs="Calibri"/>
                <w:color w:val="000000"/>
                <w:sz w:val="22"/>
                <w:szCs w:val="22"/>
                <w:lang w:val="en-US" w:eastAsia="zh-CN"/>
              </w:rPr>
            </w:pPr>
          </w:p>
        </w:tc>
      </w:tr>
      <w:tr w:rsidR="009630A9" w:rsidRPr="000C156A" w14:paraId="108FF5B7" w14:textId="77777777" w:rsidTr="005D02F0">
        <w:trPr>
          <w:trHeight w:val="20"/>
          <w:jc w:val="center"/>
        </w:trPr>
        <w:tc>
          <w:tcPr>
            <w:tcW w:w="5938" w:type="dxa"/>
            <w:tcBorders>
              <w:top w:val="single" w:sz="4" w:space="0" w:color="auto"/>
              <w:left w:val="single" w:sz="4" w:space="0" w:color="auto"/>
              <w:bottom w:val="single" w:sz="4" w:space="0" w:color="auto"/>
              <w:right w:val="single" w:sz="4" w:space="0" w:color="auto"/>
            </w:tcBorders>
            <w:noWrap/>
            <w:vAlign w:val="center"/>
            <w:hideMark/>
          </w:tcPr>
          <w:p w14:paraId="2CE5DEC2" w14:textId="77777777" w:rsidR="009630A9" w:rsidRPr="000C156A" w:rsidRDefault="009630A9" w:rsidP="005D02F0">
            <w:pPr>
              <w:spacing w:before="20" w:after="20"/>
              <w:rPr>
                <w:b/>
                <w:sz w:val="22"/>
                <w:szCs w:val="18"/>
                <w:lang w:val="en-US" w:eastAsia="zh-CN"/>
              </w:rPr>
            </w:pPr>
            <w:r w:rsidRPr="000C156A">
              <w:rPr>
                <w:rFonts w:hint="eastAsia"/>
                <w:b/>
                <w:sz w:val="22"/>
                <w:szCs w:val="18"/>
                <w:lang w:val="en-US" w:eastAsia="zh-CN"/>
              </w:rPr>
              <w:t>财务收入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F8056" w14:textId="2A076588" w:rsidR="009630A9" w:rsidRPr="000C156A" w:rsidRDefault="009630A9" w:rsidP="005D02F0">
            <w:pPr>
              <w:overflowPunct/>
              <w:autoSpaceDE/>
              <w:autoSpaceDN/>
              <w:adjustRightInd/>
              <w:spacing w:before="0"/>
              <w:jc w:val="right"/>
              <w:textAlignment w:val="auto"/>
              <w:rPr>
                <w:rFonts w:cs="Calibri"/>
                <w:b/>
                <w:bCs/>
                <w:color w:val="000000"/>
                <w:sz w:val="22"/>
                <w:szCs w:val="22"/>
                <w:lang w:val="en-US" w:eastAsia="zh-CN"/>
              </w:rPr>
            </w:pPr>
            <w:r w:rsidRPr="000C156A">
              <w:rPr>
                <w:rFonts w:eastAsia="Times New Roman" w:cs="Calibri"/>
                <w:b/>
                <w:bCs/>
                <w:color w:val="000000"/>
                <w:sz w:val="22"/>
                <w:szCs w:val="22"/>
                <w:lang w:val="en-US" w:eastAsia="zh-CN"/>
              </w:rPr>
              <w:t>-4</w:t>
            </w:r>
            <w:r w:rsidR="00A27759" w:rsidRPr="000C156A">
              <w:rPr>
                <w:rFonts w:eastAsia="Times New Roman" w:cs="Calibri"/>
                <w:b/>
                <w:bCs/>
                <w:color w:val="000000"/>
                <w:sz w:val="22"/>
                <w:szCs w:val="22"/>
                <w:lang w:val="en-US" w:eastAsia="zh-CN"/>
              </w:rPr>
              <w:t xml:space="preserve"> </w:t>
            </w:r>
            <w:r w:rsidRPr="000C156A">
              <w:rPr>
                <w:rFonts w:eastAsia="Times New Roman" w:cs="Calibri"/>
                <w:b/>
                <w:bCs/>
                <w:color w:val="000000"/>
                <w:sz w:val="22"/>
                <w:szCs w:val="22"/>
                <w:lang w:val="en-US" w:eastAsia="zh-CN"/>
              </w:rPr>
              <w:t>700</w:t>
            </w:r>
          </w:p>
        </w:tc>
        <w:tc>
          <w:tcPr>
            <w:tcW w:w="1824" w:type="dxa"/>
            <w:tcBorders>
              <w:top w:val="nil"/>
              <w:left w:val="nil"/>
              <w:bottom w:val="single" w:sz="4" w:space="0" w:color="auto"/>
              <w:right w:val="single" w:sz="4" w:space="0" w:color="auto"/>
            </w:tcBorders>
            <w:shd w:val="clear" w:color="auto" w:fill="auto"/>
            <w:noWrap/>
            <w:vAlign w:val="center"/>
            <w:hideMark/>
          </w:tcPr>
          <w:p w14:paraId="470B1E23" w14:textId="30001B79" w:rsidR="009630A9" w:rsidRPr="000C156A" w:rsidRDefault="009630A9" w:rsidP="005D02F0">
            <w:pPr>
              <w:overflowPunct/>
              <w:autoSpaceDE/>
              <w:autoSpaceDN/>
              <w:adjustRightInd/>
              <w:spacing w:before="0"/>
              <w:jc w:val="right"/>
              <w:textAlignment w:val="auto"/>
              <w:rPr>
                <w:rFonts w:cs="Calibri"/>
                <w:b/>
                <w:bCs/>
                <w:color w:val="000000"/>
                <w:sz w:val="22"/>
                <w:szCs w:val="22"/>
                <w:lang w:val="en-US" w:eastAsia="zh-CN"/>
              </w:rPr>
            </w:pPr>
            <w:r w:rsidRPr="000C156A">
              <w:rPr>
                <w:rFonts w:cs="Calibri"/>
                <w:b/>
                <w:bCs/>
                <w:color w:val="000000"/>
                <w:sz w:val="22"/>
                <w:szCs w:val="22"/>
                <w:lang w:val="en-US" w:eastAsia="zh-CN"/>
              </w:rPr>
              <w:t>10</w:t>
            </w:r>
            <w:r w:rsidR="00A27759" w:rsidRPr="000C156A">
              <w:rPr>
                <w:rFonts w:cs="Calibri"/>
                <w:b/>
                <w:bCs/>
                <w:color w:val="000000"/>
                <w:sz w:val="22"/>
                <w:szCs w:val="22"/>
                <w:lang w:val="en-US" w:eastAsia="zh-CN"/>
              </w:rPr>
              <w:t xml:space="preserve"> </w:t>
            </w:r>
            <w:r w:rsidRPr="000C156A">
              <w:rPr>
                <w:rFonts w:cs="Calibri"/>
                <w:b/>
                <w:bCs/>
                <w:color w:val="000000"/>
                <w:sz w:val="22"/>
                <w:szCs w:val="22"/>
                <w:lang w:val="en-US" w:eastAsia="zh-CN"/>
              </w:rPr>
              <w:t>030</w:t>
            </w:r>
          </w:p>
        </w:tc>
      </w:tr>
    </w:tbl>
    <w:p w14:paraId="7DD22E84" w14:textId="77777777" w:rsidR="009630A9" w:rsidRPr="000C156A" w:rsidRDefault="009630A9" w:rsidP="009630A9">
      <w:pPr>
        <w:spacing w:before="240"/>
        <w:ind w:firstLineChars="200" w:firstLine="480"/>
        <w:jc w:val="both"/>
        <w:rPr>
          <w:lang w:val="en-US" w:eastAsia="zh-CN"/>
        </w:rPr>
      </w:pPr>
      <w:r w:rsidRPr="000C156A">
        <w:rPr>
          <w:rFonts w:hint="eastAsia"/>
          <w:lang w:val="en-US" w:eastAsia="zh-CN"/>
        </w:rPr>
        <w:t>金融市场上与瑞郎和欧元相关的形势仍然存在，美元的形势变得更加严峻，利率较低，这解释了</w:t>
      </w:r>
      <w:r w:rsidRPr="000C156A">
        <w:rPr>
          <w:rFonts w:hint="eastAsia"/>
          <w:lang w:val="en-US" w:eastAsia="zh-CN"/>
        </w:rPr>
        <w:t>2020</w:t>
      </w:r>
      <w:r w:rsidRPr="000C156A">
        <w:rPr>
          <w:rFonts w:hint="eastAsia"/>
          <w:lang w:val="en-US" w:eastAsia="zh-CN"/>
        </w:rPr>
        <w:t>年利率较低的原因。还应指出的是，尽管瑞郎账户利息为负数，但如前所述，国际电联通过投资于美元短期存款成功地抵消了负利息。未实现的汇兑收益未被视为预算收入，</w:t>
      </w:r>
      <w:r w:rsidRPr="000C156A">
        <w:rPr>
          <w:lang w:val="en-US" w:eastAsia="zh-CN"/>
        </w:rPr>
        <w:t>而是由于年底资产负债表重估所</w:t>
      </w:r>
      <w:r w:rsidRPr="000C156A">
        <w:rPr>
          <w:rFonts w:hint="eastAsia"/>
          <w:lang w:val="en-US" w:eastAsia="zh-CN"/>
        </w:rPr>
        <w:t>致。</w:t>
      </w:r>
    </w:p>
    <w:p w14:paraId="034F7146" w14:textId="77777777" w:rsidR="009630A9" w:rsidRPr="000C156A" w:rsidRDefault="009630A9" w:rsidP="009630A9">
      <w:pPr>
        <w:pStyle w:val="Heading1"/>
        <w:spacing w:before="240" w:after="120"/>
        <w:rPr>
          <w:rFonts w:cs="Microsoft YaHei"/>
          <w:sz w:val="24"/>
          <w:szCs w:val="24"/>
          <w:lang w:eastAsia="zh-CN"/>
        </w:rPr>
      </w:pPr>
      <w:bookmarkStart w:id="914" w:name="_Toc482892583"/>
      <w:bookmarkStart w:id="915" w:name="_Toc482870848"/>
      <w:bookmarkStart w:id="916" w:name="_Toc511817850"/>
      <w:bookmarkStart w:id="917" w:name="_Toc520280750"/>
      <w:bookmarkStart w:id="918" w:name="_Toc10536845"/>
      <w:bookmarkStart w:id="919" w:name="_Toc41905896"/>
      <w:bookmarkStart w:id="920" w:name="_Toc41906917"/>
      <w:bookmarkStart w:id="921" w:name="_Toc41907998"/>
      <w:bookmarkStart w:id="922" w:name="_Toc41908066"/>
      <w:bookmarkStart w:id="923" w:name="_Toc73518717"/>
      <w:bookmarkStart w:id="924" w:name="_Toc73518864"/>
      <w:bookmarkStart w:id="925" w:name="_Toc73519264"/>
      <w:bookmarkStart w:id="926" w:name="_Toc73636303"/>
      <w:bookmarkStart w:id="927" w:name="_Toc329011651"/>
      <w:bookmarkStart w:id="928" w:name="_Toc305764108"/>
      <w:r w:rsidRPr="000C156A">
        <w:rPr>
          <w:rFonts w:cs="Microsoft YaHei" w:hint="eastAsia"/>
          <w:sz w:val="24"/>
          <w:szCs w:val="24"/>
          <w:lang w:val="fr-FR" w:eastAsia="zh-CN"/>
        </w:rPr>
        <w:lastRenderedPageBreak/>
        <w:t>说明</w:t>
      </w:r>
      <w:r w:rsidRPr="000C156A">
        <w:rPr>
          <w:rFonts w:cs="Microsoft YaHei"/>
          <w:sz w:val="24"/>
          <w:szCs w:val="24"/>
          <w:lang w:eastAsia="zh-CN"/>
        </w:rPr>
        <w:t>23</w:t>
      </w:r>
      <w:r w:rsidRPr="000C156A">
        <w:rPr>
          <w:rFonts w:cs="Microsoft YaHei"/>
          <w:sz w:val="24"/>
          <w:szCs w:val="24"/>
          <w:lang w:eastAsia="zh-CN"/>
        </w:rPr>
        <w:tab/>
      </w:r>
      <w:r w:rsidRPr="000C156A">
        <w:rPr>
          <w:rFonts w:cs="Microsoft YaHei" w:hint="eastAsia"/>
          <w:sz w:val="24"/>
          <w:szCs w:val="24"/>
          <w:lang w:val="fr-FR" w:eastAsia="zh-CN"/>
        </w:rPr>
        <w:t>费用</w:t>
      </w:r>
      <w:bookmarkEnd w:id="914"/>
      <w:bookmarkEnd w:id="915"/>
      <w:bookmarkEnd w:id="916"/>
      <w:bookmarkEnd w:id="917"/>
      <w:bookmarkEnd w:id="918"/>
      <w:bookmarkEnd w:id="919"/>
      <w:bookmarkEnd w:id="920"/>
      <w:bookmarkEnd w:id="921"/>
      <w:bookmarkEnd w:id="922"/>
      <w:bookmarkEnd w:id="923"/>
      <w:bookmarkEnd w:id="924"/>
      <w:bookmarkEnd w:id="925"/>
      <w:bookmarkEnd w:id="926"/>
    </w:p>
    <w:p w14:paraId="19B92C86" w14:textId="77777777" w:rsidR="009630A9" w:rsidRPr="000C156A" w:rsidRDefault="009630A9" w:rsidP="009630A9">
      <w:pPr>
        <w:pStyle w:val="Headingb"/>
        <w:rPr>
          <w:lang w:val="en-US" w:eastAsia="zh-CN"/>
        </w:rPr>
      </w:pPr>
      <w:bookmarkStart w:id="929" w:name="_Toc73518718"/>
      <w:bookmarkStart w:id="930" w:name="_Toc73518865"/>
      <w:bookmarkStart w:id="931" w:name="_Toc73519265"/>
      <w:bookmarkStart w:id="932" w:name="_Toc73636304"/>
      <w:bookmarkEnd w:id="927"/>
      <w:bookmarkEnd w:id="928"/>
      <w:r w:rsidRPr="000C156A">
        <w:rPr>
          <w:rFonts w:hint="eastAsia"/>
          <w:lang w:eastAsia="zh-CN"/>
        </w:rPr>
        <w:t>人员费用</w:t>
      </w:r>
      <w:bookmarkEnd w:id="929"/>
      <w:bookmarkEnd w:id="930"/>
      <w:bookmarkEnd w:id="931"/>
      <w:bookmarkEnd w:id="932"/>
    </w:p>
    <w:p w14:paraId="6FEDDCF5" w14:textId="77777777" w:rsidR="009630A9" w:rsidRPr="000C156A" w:rsidRDefault="009630A9" w:rsidP="00E87172">
      <w:pPr>
        <w:spacing w:after="240"/>
        <w:ind w:firstLineChars="200" w:firstLine="480"/>
        <w:rPr>
          <w:lang w:eastAsia="zh-CN"/>
        </w:rPr>
      </w:pPr>
      <w:r w:rsidRPr="000C156A">
        <w:rPr>
          <w:rFonts w:hint="eastAsia"/>
          <w:lang w:eastAsia="zh-CN"/>
        </w:rPr>
        <w:t>人员费用包括担任长期职位人员和专为大会服务或持短期合同人员的所有薪酬，如基薪、任职地点补贴调整数、语言津贴、侨居津贴、受抚养人津贴和加班费，以及其它职员费用。</w:t>
      </w:r>
    </w:p>
    <w:tbl>
      <w:tblPr>
        <w:tblW w:w="5000" w:type="pct"/>
        <w:tblLook w:val="04A0" w:firstRow="1" w:lastRow="0" w:firstColumn="1" w:lastColumn="0" w:noHBand="0" w:noVBand="1"/>
      </w:tblPr>
      <w:tblGrid>
        <w:gridCol w:w="266"/>
        <w:gridCol w:w="4186"/>
        <w:gridCol w:w="2587"/>
        <w:gridCol w:w="2590"/>
      </w:tblGrid>
      <w:tr w:rsidR="009630A9" w:rsidRPr="000C156A" w14:paraId="0AD830E5" w14:textId="77777777" w:rsidTr="005D02F0">
        <w:trPr>
          <w:trHeight w:val="300"/>
        </w:trPr>
        <w:tc>
          <w:tcPr>
            <w:tcW w:w="1649" w:type="pct"/>
            <w:gridSpan w:val="2"/>
            <w:tcBorders>
              <w:top w:val="single" w:sz="4" w:space="0" w:color="auto"/>
              <w:left w:val="single" w:sz="4" w:space="0" w:color="auto"/>
              <w:bottom w:val="single" w:sz="4" w:space="0" w:color="auto"/>
              <w:right w:val="nil"/>
            </w:tcBorders>
            <w:shd w:val="clear" w:color="auto" w:fill="auto"/>
            <w:noWrap/>
            <w:vAlign w:val="center"/>
            <w:hideMark/>
          </w:tcPr>
          <w:p w14:paraId="13429067" w14:textId="77777777" w:rsidR="009630A9" w:rsidRPr="000C156A" w:rsidRDefault="009630A9" w:rsidP="005D02F0">
            <w:pPr>
              <w:overflowPunct/>
              <w:autoSpaceDE/>
              <w:autoSpaceDN/>
              <w:adjustRightInd/>
              <w:spacing w:before="0"/>
              <w:textAlignment w:val="auto"/>
              <w:rPr>
                <w:rFonts w:eastAsia="Times New Roman" w:cs="Arial"/>
                <w:b/>
                <w:bCs/>
                <w:color w:val="000000"/>
                <w:sz w:val="22"/>
                <w:szCs w:val="22"/>
                <w:lang w:val="en-US" w:eastAsia="zh-CN"/>
              </w:rPr>
            </w:pPr>
            <w:r w:rsidRPr="000C156A">
              <w:rPr>
                <w:rFonts w:hint="eastAsia"/>
                <w:b/>
                <w:sz w:val="22"/>
                <w:szCs w:val="22"/>
                <w:lang w:val="en-US" w:eastAsia="zh-CN"/>
              </w:rPr>
              <w:t>单位：千瑞郎</w:t>
            </w:r>
          </w:p>
        </w:tc>
        <w:tc>
          <w:tcPr>
            <w:tcW w:w="16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A7A62" w14:textId="77777777" w:rsidR="009630A9" w:rsidRPr="000C156A" w:rsidRDefault="009630A9" w:rsidP="005D02F0">
            <w:pPr>
              <w:overflowPunct/>
              <w:autoSpaceDE/>
              <w:autoSpaceDN/>
              <w:adjustRightInd/>
              <w:spacing w:before="0"/>
              <w:jc w:val="right"/>
              <w:textAlignment w:val="auto"/>
              <w:rPr>
                <w:rFonts w:eastAsia="Times New Roman" w:cs="Arial"/>
                <w:b/>
                <w:bCs/>
                <w:color w:val="000000"/>
                <w:sz w:val="22"/>
                <w:szCs w:val="22"/>
                <w:lang w:val="en-US" w:eastAsia="zh-CN"/>
              </w:rPr>
            </w:pPr>
            <w:r w:rsidRPr="000C156A">
              <w:rPr>
                <w:rFonts w:cs="Arial"/>
                <w:b/>
                <w:bCs/>
                <w:color w:val="000000"/>
                <w:sz w:val="22"/>
                <w:szCs w:val="22"/>
                <w:lang w:val="en-US" w:eastAsia="zh-CN"/>
              </w:rPr>
              <w:t>2020</w:t>
            </w:r>
            <w:r w:rsidRPr="000C156A">
              <w:rPr>
                <w:rFonts w:cs="Arial" w:hint="eastAsia"/>
                <w:b/>
                <w:bCs/>
                <w:color w:val="000000"/>
                <w:sz w:val="22"/>
                <w:szCs w:val="22"/>
                <w:lang w:val="en-US" w:eastAsia="zh-CN"/>
              </w:rPr>
              <w:t>年</w:t>
            </w:r>
          </w:p>
        </w:tc>
        <w:tc>
          <w:tcPr>
            <w:tcW w:w="1676" w:type="pct"/>
            <w:tcBorders>
              <w:top w:val="single" w:sz="4" w:space="0" w:color="auto"/>
              <w:left w:val="nil"/>
              <w:bottom w:val="single" w:sz="4" w:space="0" w:color="auto"/>
              <w:right w:val="single" w:sz="4" w:space="0" w:color="auto"/>
            </w:tcBorders>
            <w:shd w:val="clear" w:color="auto" w:fill="auto"/>
            <w:noWrap/>
            <w:vAlign w:val="center"/>
            <w:hideMark/>
          </w:tcPr>
          <w:p w14:paraId="5625FFEE" w14:textId="77777777" w:rsidR="009630A9" w:rsidRPr="000C156A" w:rsidRDefault="009630A9" w:rsidP="005D02F0">
            <w:pPr>
              <w:overflowPunct/>
              <w:autoSpaceDE/>
              <w:autoSpaceDN/>
              <w:adjustRightInd/>
              <w:spacing w:before="0"/>
              <w:jc w:val="right"/>
              <w:textAlignment w:val="auto"/>
              <w:rPr>
                <w:rFonts w:eastAsia="Times New Roman" w:cs="Arial"/>
                <w:b/>
                <w:bCs/>
                <w:color w:val="000000"/>
                <w:sz w:val="22"/>
                <w:szCs w:val="22"/>
                <w:lang w:val="en-US" w:eastAsia="zh-CN"/>
              </w:rPr>
            </w:pPr>
            <w:r w:rsidRPr="000C156A">
              <w:rPr>
                <w:rFonts w:cs="Arial"/>
                <w:b/>
                <w:bCs/>
                <w:color w:val="000000"/>
                <w:sz w:val="22"/>
                <w:szCs w:val="22"/>
                <w:lang w:val="en-US" w:eastAsia="zh-CN"/>
              </w:rPr>
              <w:t>2019</w:t>
            </w:r>
            <w:r w:rsidRPr="000C156A">
              <w:rPr>
                <w:rFonts w:cs="Arial" w:hint="eastAsia"/>
                <w:b/>
                <w:bCs/>
                <w:color w:val="000000"/>
                <w:sz w:val="22"/>
                <w:szCs w:val="22"/>
                <w:lang w:val="en-US" w:eastAsia="zh-CN"/>
              </w:rPr>
              <w:t>年</w:t>
            </w:r>
          </w:p>
        </w:tc>
      </w:tr>
      <w:tr w:rsidR="009630A9" w:rsidRPr="000C156A" w14:paraId="0B280ECC" w14:textId="77777777" w:rsidTr="005D02F0">
        <w:trPr>
          <w:trHeight w:val="300"/>
        </w:trPr>
        <w:tc>
          <w:tcPr>
            <w:tcW w:w="1649" w:type="pct"/>
            <w:gridSpan w:val="2"/>
            <w:tcBorders>
              <w:top w:val="nil"/>
              <w:left w:val="single" w:sz="4" w:space="0" w:color="auto"/>
              <w:bottom w:val="nil"/>
              <w:right w:val="nil"/>
            </w:tcBorders>
            <w:shd w:val="clear" w:color="auto" w:fill="auto"/>
            <w:noWrap/>
            <w:vAlign w:val="center"/>
            <w:hideMark/>
          </w:tcPr>
          <w:p w14:paraId="22D87618" w14:textId="77777777" w:rsidR="009630A9" w:rsidRPr="000C156A" w:rsidRDefault="009630A9" w:rsidP="005D02F0">
            <w:pPr>
              <w:overflowPunct/>
              <w:autoSpaceDE/>
              <w:autoSpaceDN/>
              <w:adjustRightInd/>
              <w:spacing w:before="0"/>
              <w:textAlignment w:val="auto"/>
              <w:rPr>
                <w:rFonts w:eastAsia="Times New Roman" w:cs="Arial"/>
                <w:color w:val="000000"/>
                <w:sz w:val="22"/>
                <w:szCs w:val="22"/>
                <w:lang w:val="en-US" w:eastAsia="zh-CN"/>
              </w:rPr>
            </w:pPr>
            <w:r w:rsidRPr="000C156A">
              <w:rPr>
                <w:rFonts w:hint="eastAsia"/>
                <w:bCs/>
                <w:sz w:val="22"/>
                <w:szCs w:val="22"/>
                <w:lang w:val="en-US" w:eastAsia="zh-CN"/>
              </w:rPr>
              <w:t>工资与津贴</w:t>
            </w:r>
          </w:p>
        </w:tc>
        <w:tc>
          <w:tcPr>
            <w:tcW w:w="1675" w:type="pct"/>
            <w:tcBorders>
              <w:top w:val="nil"/>
              <w:left w:val="single" w:sz="4" w:space="0" w:color="auto"/>
              <w:bottom w:val="nil"/>
              <w:right w:val="single" w:sz="4" w:space="0" w:color="auto"/>
            </w:tcBorders>
            <w:shd w:val="clear" w:color="auto" w:fill="auto"/>
            <w:noWrap/>
            <w:vAlign w:val="bottom"/>
            <w:hideMark/>
          </w:tcPr>
          <w:p w14:paraId="65373355" w14:textId="080823F8" w:rsidR="009630A9" w:rsidRPr="000C156A" w:rsidRDefault="009630A9" w:rsidP="005D02F0">
            <w:pPr>
              <w:overflowPunct/>
              <w:autoSpaceDE/>
              <w:autoSpaceDN/>
              <w:adjustRightInd/>
              <w:spacing w:before="0"/>
              <w:jc w:val="right"/>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95</w:t>
            </w:r>
            <w:r w:rsidR="00E87172" w:rsidRPr="000C156A">
              <w:rPr>
                <w:rFonts w:eastAsia="Times New Roman" w:cs="Arial"/>
                <w:color w:val="000000"/>
                <w:sz w:val="22"/>
                <w:szCs w:val="22"/>
                <w:lang w:val="en-US" w:eastAsia="zh-CN"/>
              </w:rPr>
              <w:t xml:space="preserve"> </w:t>
            </w:r>
            <w:r w:rsidRPr="000C156A">
              <w:rPr>
                <w:rFonts w:eastAsia="Times New Roman" w:cs="Arial"/>
                <w:color w:val="000000"/>
                <w:sz w:val="22"/>
                <w:szCs w:val="22"/>
                <w:lang w:val="en-US" w:eastAsia="zh-CN"/>
              </w:rPr>
              <w:t>278</w:t>
            </w:r>
          </w:p>
        </w:tc>
        <w:tc>
          <w:tcPr>
            <w:tcW w:w="1676" w:type="pct"/>
            <w:tcBorders>
              <w:top w:val="nil"/>
              <w:left w:val="nil"/>
              <w:bottom w:val="nil"/>
              <w:right w:val="single" w:sz="4" w:space="0" w:color="auto"/>
            </w:tcBorders>
            <w:shd w:val="clear" w:color="auto" w:fill="auto"/>
            <w:noWrap/>
            <w:vAlign w:val="bottom"/>
            <w:hideMark/>
          </w:tcPr>
          <w:p w14:paraId="11B94210" w14:textId="4E90AA7F" w:rsidR="009630A9" w:rsidRPr="000C156A" w:rsidRDefault="009630A9" w:rsidP="005D02F0">
            <w:pPr>
              <w:overflowPunct/>
              <w:autoSpaceDE/>
              <w:autoSpaceDN/>
              <w:adjustRightInd/>
              <w:spacing w:before="0"/>
              <w:jc w:val="right"/>
              <w:textAlignment w:val="auto"/>
              <w:rPr>
                <w:rFonts w:eastAsia="Times New Roman" w:cs="Arial"/>
                <w:b/>
                <w:bCs/>
                <w:color w:val="000000"/>
                <w:sz w:val="22"/>
                <w:szCs w:val="22"/>
                <w:lang w:val="en-US" w:eastAsia="zh-CN"/>
              </w:rPr>
            </w:pPr>
            <w:r w:rsidRPr="000C156A">
              <w:rPr>
                <w:rFonts w:eastAsia="Times New Roman" w:cs="Arial"/>
                <w:b/>
                <w:bCs/>
                <w:color w:val="000000"/>
                <w:sz w:val="22"/>
                <w:szCs w:val="22"/>
                <w:lang w:val="en-US" w:eastAsia="zh-CN"/>
              </w:rPr>
              <w:t>95</w:t>
            </w:r>
            <w:r w:rsidR="00E87172" w:rsidRPr="000C156A">
              <w:rPr>
                <w:rFonts w:eastAsia="Times New Roman" w:cs="Arial"/>
                <w:b/>
                <w:bCs/>
                <w:color w:val="000000"/>
                <w:sz w:val="22"/>
                <w:szCs w:val="22"/>
                <w:lang w:val="en-US" w:eastAsia="zh-CN"/>
              </w:rPr>
              <w:t xml:space="preserve"> </w:t>
            </w:r>
            <w:r w:rsidRPr="000C156A">
              <w:rPr>
                <w:rFonts w:eastAsia="Times New Roman" w:cs="Arial"/>
                <w:b/>
                <w:bCs/>
                <w:color w:val="000000"/>
                <w:sz w:val="22"/>
                <w:szCs w:val="22"/>
                <w:lang w:val="en-US" w:eastAsia="zh-CN"/>
              </w:rPr>
              <w:t>756</w:t>
            </w:r>
          </w:p>
        </w:tc>
      </w:tr>
      <w:tr w:rsidR="009630A9" w:rsidRPr="000C156A" w14:paraId="4C5C59F9" w14:textId="77777777" w:rsidTr="005D02F0">
        <w:trPr>
          <w:trHeight w:val="300"/>
        </w:trPr>
        <w:tc>
          <w:tcPr>
            <w:tcW w:w="1649" w:type="pct"/>
            <w:gridSpan w:val="2"/>
            <w:tcBorders>
              <w:top w:val="nil"/>
              <w:left w:val="single" w:sz="4" w:space="0" w:color="auto"/>
              <w:bottom w:val="nil"/>
              <w:right w:val="nil"/>
            </w:tcBorders>
            <w:shd w:val="clear" w:color="auto" w:fill="auto"/>
            <w:noWrap/>
            <w:vAlign w:val="center"/>
            <w:hideMark/>
          </w:tcPr>
          <w:p w14:paraId="1ACC5751" w14:textId="77777777" w:rsidR="009630A9" w:rsidRPr="000C156A" w:rsidRDefault="009630A9" w:rsidP="005D02F0">
            <w:pPr>
              <w:overflowPunct/>
              <w:autoSpaceDE/>
              <w:autoSpaceDN/>
              <w:adjustRightInd/>
              <w:spacing w:before="0"/>
              <w:textAlignment w:val="auto"/>
              <w:rPr>
                <w:rFonts w:eastAsia="Times New Roman" w:cs="Arial"/>
                <w:color w:val="000000"/>
                <w:sz w:val="22"/>
                <w:szCs w:val="22"/>
                <w:lang w:val="en-US" w:eastAsia="zh-CN"/>
              </w:rPr>
            </w:pPr>
            <w:r w:rsidRPr="000C156A">
              <w:rPr>
                <w:rFonts w:hint="eastAsia"/>
                <w:bCs/>
                <w:sz w:val="22"/>
                <w:szCs w:val="22"/>
                <w:lang w:val="en-US" w:eastAsia="zh-CN"/>
              </w:rPr>
              <w:t>其它人员费用</w:t>
            </w:r>
          </w:p>
        </w:tc>
        <w:tc>
          <w:tcPr>
            <w:tcW w:w="1675" w:type="pct"/>
            <w:tcBorders>
              <w:top w:val="nil"/>
              <w:left w:val="single" w:sz="4" w:space="0" w:color="auto"/>
              <w:bottom w:val="nil"/>
              <w:right w:val="single" w:sz="4" w:space="0" w:color="auto"/>
            </w:tcBorders>
            <w:shd w:val="clear" w:color="auto" w:fill="auto"/>
            <w:noWrap/>
            <w:vAlign w:val="bottom"/>
            <w:hideMark/>
          </w:tcPr>
          <w:p w14:paraId="2C3E828A" w14:textId="06B4436F" w:rsidR="009630A9" w:rsidRPr="000C156A" w:rsidRDefault="009630A9" w:rsidP="005D02F0">
            <w:pPr>
              <w:overflowPunct/>
              <w:autoSpaceDE/>
              <w:autoSpaceDN/>
              <w:adjustRightInd/>
              <w:spacing w:before="0"/>
              <w:jc w:val="right"/>
              <w:textAlignment w:val="auto"/>
              <w:rPr>
                <w:rFonts w:eastAsia="Times New Roman" w:cs="Arial"/>
                <w:b/>
                <w:bCs/>
                <w:color w:val="000000"/>
                <w:sz w:val="22"/>
                <w:szCs w:val="22"/>
                <w:lang w:val="en-US" w:eastAsia="zh-CN"/>
              </w:rPr>
            </w:pPr>
            <w:r w:rsidRPr="000C156A">
              <w:rPr>
                <w:rFonts w:eastAsia="Times New Roman" w:cs="Arial"/>
                <w:b/>
                <w:bCs/>
                <w:color w:val="000000"/>
                <w:sz w:val="22"/>
                <w:szCs w:val="22"/>
                <w:lang w:val="en-US" w:eastAsia="zh-CN"/>
              </w:rPr>
              <w:t>58</w:t>
            </w:r>
            <w:r w:rsidR="00E87172" w:rsidRPr="000C156A">
              <w:rPr>
                <w:rFonts w:eastAsia="Times New Roman" w:cs="Arial"/>
                <w:b/>
                <w:bCs/>
                <w:color w:val="000000"/>
                <w:sz w:val="22"/>
                <w:szCs w:val="22"/>
                <w:lang w:val="en-US" w:eastAsia="zh-CN"/>
              </w:rPr>
              <w:t xml:space="preserve"> </w:t>
            </w:r>
            <w:r w:rsidRPr="000C156A">
              <w:rPr>
                <w:rFonts w:eastAsia="Times New Roman" w:cs="Arial"/>
                <w:b/>
                <w:bCs/>
                <w:color w:val="000000"/>
                <w:sz w:val="22"/>
                <w:szCs w:val="22"/>
                <w:lang w:val="en-US" w:eastAsia="zh-CN"/>
              </w:rPr>
              <w:t>547</w:t>
            </w:r>
          </w:p>
        </w:tc>
        <w:tc>
          <w:tcPr>
            <w:tcW w:w="1676" w:type="pct"/>
            <w:tcBorders>
              <w:top w:val="nil"/>
              <w:left w:val="nil"/>
              <w:bottom w:val="nil"/>
              <w:right w:val="single" w:sz="4" w:space="0" w:color="auto"/>
            </w:tcBorders>
            <w:shd w:val="clear" w:color="auto" w:fill="auto"/>
            <w:noWrap/>
            <w:vAlign w:val="bottom"/>
            <w:hideMark/>
          </w:tcPr>
          <w:p w14:paraId="75229FE0" w14:textId="2396BB7C" w:rsidR="009630A9" w:rsidRPr="000C156A" w:rsidRDefault="009630A9" w:rsidP="005D02F0">
            <w:pPr>
              <w:overflowPunct/>
              <w:autoSpaceDE/>
              <w:autoSpaceDN/>
              <w:adjustRightInd/>
              <w:spacing w:before="0"/>
              <w:jc w:val="right"/>
              <w:textAlignment w:val="auto"/>
              <w:rPr>
                <w:rFonts w:eastAsia="Times New Roman" w:cs="Arial"/>
                <w:b/>
                <w:bCs/>
                <w:color w:val="000000"/>
                <w:sz w:val="22"/>
                <w:szCs w:val="22"/>
                <w:lang w:val="en-US" w:eastAsia="zh-CN"/>
              </w:rPr>
            </w:pPr>
            <w:r w:rsidRPr="000C156A">
              <w:rPr>
                <w:rFonts w:eastAsia="Times New Roman" w:cs="Arial"/>
                <w:b/>
                <w:bCs/>
                <w:color w:val="000000"/>
                <w:sz w:val="22"/>
                <w:szCs w:val="22"/>
                <w:lang w:val="en-US" w:eastAsia="zh-CN"/>
              </w:rPr>
              <w:t>108</w:t>
            </w:r>
            <w:r w:rsidR="00E87172" w:rsidRPr="000C156A">
              <w:rPr>
                <w:rFonts w:eastAsia="Times New Roman" w:cs="Arial"/>
                <w:b/>
                <w:bCs/>
                <w:color w:val="000000"/>
                <w:sz w:val="22"/>
                <w:szCs w:val="22"/>
                <w:lang w:val="en-US" w:eastAsia="zh-CN"/>
              </w:rPr>
              <w:t xml:space="preserve"> </w:t>
            </w:r>
            <w:r w:rsidRPr="000C156A">
              <w:rPr>
                <w:rFonts w:eastAsia="Times New Roman" w:cs="Arial"/>
                <w:b/>
                <w:bCs/>
                <w:color w:val="000000"/>
                <w:sz w:val="22"/>
                <w:szCs w:val="22"/>
                <w:lang w:val="en-US" w:eastAsia="zh-CN"/>
              </w:rPr>
              <w:t>186</w:t>
            </w:r>
          </w:p>
        </w:tc>
      </w:tr>
      <w:tr w:rsidR="009630A9" w:rsidRPr="000C156A" w14:paraId="50F17A99" w14:textId="77777777" w:rsidTr="005D02F0">
        <w:trPr>
          <w:trHeight w:val="300"/>
        </w:trPr>
        <w:tc>
          <w:tcPr>
            <w:tcW w:w="138" w:type="pct"/>
            <w:tcBorders>
              <w:top w:val="nil"/>
              <w:left w:val="single" w:sz="4" w:space="0" w:color="auto"/>
              <w:bottom w:val="nil"/>
              <w:right w:val="nil"/>
            </w:tcBorders>
            <w:shd w:val="clear" w:color="auto" w:fill="auto"/>
            <w:noWrap/>
            <w:vAlign w:val="bottom"/>
            <w:hideMark/>
          </w:tcPr>
          <w:p w14:paraId="0DF47A34" w14:textId="77777777" w:rsidR="009630A9" w:rsidRPr="000C156A" w:rsidRDefault="009630A9" w:rsidP="005D02F0">
            <w:pPr>
              <w:overflowPunct/>
              <w:autoSpaceDE/>
              <w:autoSpaceDN/>
              <w:adjustRightInd/>
              <w:spacing w:before="0"/>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 </w:t>
            </w:r>
          </w:p>
        </w:tc>
        <w:tc>
          <w:tcPr>
            <w:tcW w:w="1511" w:type="pct"/>
            <w:tcBorders>
              <w:top w:val="nil"/>
              <w:left w:val="nil"/>
              <w:bottom w:val="nil"/>
              <w:right w:val="nil"/>
            </w:tcBorders>
            <w:shd w:val="clear" w:color="auto" w:fill="auto"/>
            <w:noWrap/>
            <w:vAlign w:val="center"/>
            <w:hideMark/>
          </w:tcPr>
          <w:p w14:paraId="7700E113" w14:textId="77777777" w:rsidR="009630A9" w:rsidRPr="000C156A" w:rsidRDefault="009630A9" w:rsidP="005D02F0">
            <w:pPr>
              <w:overflowPunct/>
              <w:autoSpaceDE/>
              <w:autoSpaceDN/>
              <w:adjustRightInd/>
              <w:spacing w:before="0"/>
              <w:textAlignment w:val="auto"/>
              <w:rPr>
                <w:rFonts w:eastAsia="Times New Roman" w:cs="Arial"/>
                <w:color w:val="000000"/>
                <w:sz w:val="22"/>
                <w:szCs w:val="22"/>
                <w:lang w:val="en-US" w:eastAsia="zh-CN"/>
              </w:rPr>
            </w:pPr>
            <w:r w:rsidRPr="000C156A">
              <w:rPr>
                <w:rFonts w:hint="eastAsia"/>
                <w:bCs/>
                <w:sz w:val="22"/>
                <w:szCs w:val="22"/>
                <w:lang w:val="en-US" w:eastAsia="zh-CN"/>
              </w:rPr>
              <w:t>安家和离任归国津贴</w:t>
            </w:r>
          </w:p>
        </w:tc>
        <w:tc>
          <w:tcPr>
            <w:tcW w:w="1675" w:type="pct"/>
            <w:tcBorders>
              <w:top w:val="nil"/>
              <w:left w:val="single" w:sz="4" w:space="0" w:color="auto"/>
              <w:bottom w:val="nil"/>
              <w:right w:val="single" w:sz="4" w:space="0" w:color="auto"/>
            </w:tcBorders>
            <w:shd w:val="clear" w:color="auto" w:fill="auto"/>
            <w:noWrap/>
            <w:vAlign w:val="bottom"/>
            <w:hideMark/>
          </w:tcPr>
          <w:p w14:paraId="77C77AFA" w14:textId="77777777" w:rsidR="009630A9" w:rsidRPr="000C156A" w:rsidRDefault="009630A9" w:rsidP="005D02F0">
            <w:pPr>
              <w:overflowPunct/>
              <w:autoSpaceDE/>
              <w:autoSpaceDN/>
              <w:adjustRightInd/>
              <w:spacing w:before="0"/>
              <w:jc w:val="right"/>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567</w:t>
            </w:r>
          </w:p>
        </w:tc>
        <w:tc>
          <w:tcPr>
            <w:tcW w:w="1676" w:type="pct"/>
            <w:tcBorders>
              <w:top w:val="nil"/>
              <w:left w:val="nil"/>
              <w:bottom w:val="nil"/>
              <w:right w:val="single" w:sz="4" w:space="0" w:color="auto"/>
            </w:tcBorders>
            <w:shd w:val="clear" w:color="auto" w:fill="auto"/>
            <w:noWrap/>
            <w:vAlign w:val="bottom"/>
            <w:hideMark/>
          </w:tcPr>
          <w:p w14:paraId="3AC5CA5F" w14:textId="75F7A813" w:rsidR="009630A9" w:rsidRPr="000C156A" w:rsidRDefault="009630A9" w:rsidP="005D02F0">
            <w:pPr>
              <w:overflowPunct/>
              <w:autoSpaceDE/>
              <w:autoSpaceDN/>
              <w:adjustRightInd/>
              <w:spacing w:before="0"/>
              <w:jc w:val="right"/>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2</w:t>
            </w:r>
            <w:r w:rsidR="00592E8B" w:rsidRPr="000C156A">
              <w:rPr>
                <w:rFonts w:eastAsia="Times New Roman" w:cs="Arial"/>
                <w:color w:val="000000"/>
                <w:sz w:val="22"/>
                <w:szCs w:val="22"/>
                <w:lang w:val="en-US" w:eastAsia="zh-CN"/>
              </w:rPr>
              <w:t xml:space="preserve"> </w:t>
            </w:r>
            <w:r w:rsidRPr="000C156A">
              <w:rPr>
                <w:rFonts w:eastAsia="Times New Roman" w:cs="Arial"/>
                <w:color w:val="000000"/>
                <w:sz w:val="22"/>
                <w:szCs w:val="22"/>
                <w:lang w:val="en-US" w:eastAsia="zh-CN"/>
              </w:rPr>
              <w:t>295</w:t>
            </w:r>
          </w:p>
        </w:tc>
      </w:tr>
      <w:tr w:rsidR="009630A9" w:rsidRPr="000C156A" w14:paraId="44724F85" w14:textId="77777777" w:rsidTr="005D02F0">
        <w:trPr>
          <w:trHeight w:val="300"/>
        </w:trPr>
        <w:tc>
          <w:tcPr>
            <w:tcW w:w="138" w:type="pct"/>
            <w:tcBorders>
              <w:top w:val="nil"/>
              <w:left w:val="single" w:sz="4" w:space="0" w:color="auto"/>
              <w:bottom w:val="nil"/>
              <w:right w:val="nil"/>
            </w:tcBorders>
            <w:shd w:val="clear" w:color="auto" w:fill="auto"/>
            <w:noWrap/>
            <w:vAlign w:val="bottom"/>
            <w:hideMark/>
          </w:tcPr>
          <w:p w14:paraId="5AF9227C" w14:textId="77777777" w:rsidR="009630A9" w:rsidRPr="000C156A" w:rsidRDefault="009630A9" w:rsidP="005D02F0">
            <w:pPr>
              <w:overflowPunct/>
              <w:autoSpaceDE/>
              <w:autoSpaceDN/>
              <w:adjustRightInd/>
              <w:spacing w:before="0"/>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 </w:t>
            </w:r>
          </w:p>
        </w:tc>
        <w:tc>
          <w:tcPr>
            <w:tcW w:w="1511" w:type="pct"/>
            <w:tcBorders>
              <w:top w:val="nil"/>
              <w:left w:val="nil"/>
              <w:bottom w:val="nil"/>
              <w:right w:val="nil"/>
            </w:tcBorders>
            <w:shd w:val="clear" w:color="auto" w:fill="auto"/>
            <w:noWrap/>
            <w:vAlign w:val="center"/>
            <w:hideMark/>
          </w:tcPr>
          <w:p w14:paraId="22ACE643" w14:textId="77777777" w:rsidR="009630A9" w:rsidRPr="000C156A" w:rsidRDefault="009630A9" w:rsidP="005D02F0">
            <w:pPr>
              <w:overflowPunct/>
              <w:autoSpaceDE/>
              <w:autoSpaceDN/>
              <w:adjustRightInd/>
              <w:spacing w:before="0"/>
              <w:textAlignment w:val="auto"/>
              <w:rPr>
                <w:rFonts w:eastAsia="Times New Roman" w:cs="Arial"/>
                <w:color w:val="000000"/>
                <w:sz w:val="22"/>
                <w:szCs w:val="22"/>
                <w:lang w:val="en-US" w:eastAsia="zh-CN"/>
              </w:rPr>
            </w:pPr>
            <w:r w:rsidRPr="000C156A">
              <w:rPr>
                <w:rFonts w:hint="eastAsia"/>
                <w:bCs/>
                <w:sz w:val="22"/>
                <w:szCs w:val="22"/>
                <w:lang w:val="en-US" w:eastAsia="zh-CN"/>
              </w:rPr>
              <w:t>教育补助金</w:t>
            </w:r>
          </w:p>
        </w:tc>
        <w:tc>
          <w:tcPr>
            <w:tcW w:w="1675" w:type="pct"/>
            <w:tcBorders>
              <w:top w:val="nil"/>
              <w:left w:val="single" w:sz="4" w:space="0" w:color="auto"/>
              <w:bottom w:val="nil"/>
              <w:right w:val="single" w:sz="4" w:space="0" w:color="auto"/>
            </w:tcBorders>
            <w:shd w:val="clear" w:color="auto" w:fill="auto"/>
            <w:noWrap/>
            <w:vAlign w:val="bottom"/>
            <w:hideMark/>
          </w:tcPr>
          <w:p w14:paraId="5E0A4B70" w14:textId="5CAF1225" w:rsidR="009630A9" w:rsidRPr="000C156A" w:rsidRDefault="009630A9" w:rsidP="005D02F0">
            <w:pPr>
              <w:overflowPunct/>
              <w:autoSpaceDE/>
              <w:autoSpaceDN/>
              <w:adjustRightInd/>
              <w:spacing w:before="0"/>
              <w:jc w:val="right"/>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3</w:t>
            </w:r>
            <w:r w:rsidR="00E87172" w:rsidRPr="000C156A">
              <w:rPr>
                <w:rFonts w:eastAsia="Times New Roman" w:cs="Arial"/>
                <w:color w:val="000000"/>
                <w:sz w:val="22"/>
                <w:szCs w:val="22"/>
                <w:lang w:val="en-US" w:eastAsia="zh-CN"/>
              </w:rPr>
              <w:t xml:space="preserve"> </w:t>
            </w:r>
            <w:r w:rsidRPr="000C156A">
              <w:rPr>
                <w:rFonts w:eastAsia="Times New Roman" w:cs="Arial"/>
                <w:color w:val="000000"/>
                <w:sz w:val="22"/>
                <w:szCs w:val="22"/>
                <w:lang w:val="en-US" w:eastAsia="zh-CN"/>
              </w:rPr>
              <w:t>300</w:t>
            </w:r>
          </w:p>
        </w:tc>
        <w:tc>
          <w:tcPr>
            <w:tcW w:w="1676" w:type="pct"/>
            <w:tcBorders>
              <w:top w:val="nil"/>
              <w:left w:val="nil"/>
              <w:bottom w:val="nil"/>
              <w:right w:val="single" w:sz="4" w:space="0" w:color="auto"/>
            </w:tcBorders>
            <w:shd w:val="clear" w:color="auto" w:fill="auto"/>
            <w:noWrap/>
            <w:vAlign w:val="bottom"/>
            <w:hideMark/>
          </w:tcPr>
          <w:p w14:paraId="4BFD033E" w14:textId="147BA8E9" w:rsidR="009630A9" w:rsidRPr="000C156A" w:rsidRDefault="009630A9" w:rsidP="005D02F0">
            <w:pPr>
              <w:overflowPunct/>
              <w:autoSpaceDE/>
              <w:autoSpaceDN/>
              <w:adjustRightInd/>
              <w:spacing w:before="0"/>
              <w:jc w:val="right"/>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3</w:t>
            </w:r>
            <w:r w:rsidR="00592E8B" w:rsidRPr="000C156A">
              <w:rPr>
                <w:rFonts w:eastAsia="Times New Roman" w:cs="Arial"/>
                <w:color w:val="000000"/>
                <w:sz w:val="22"/>
                <w:szCs w:val="22"/>
                <w:lang w:val="en-US" w:eastAsia="zh-CN"/>
              </w:rPr>
              <w:t xml:space="preserve"> </w:t>
            </w:r>
            <w:r w:rsidRPr="000C156A">
              <w:rPr>
                <w:rFonts w:eastAsia="Times New Roman" w:cs="Arial"/>
                <w:color w:val="000000"/>
                <w:sz w:val="22"/>
                <w:szCs w:val="22"/>
                <w:lang w:val="en-US" w:eastAsia="zh-CN"/>
              </w:rPr>
              <w:t>201</w:t>
            </w:r>
          </w:p>
        </w:tc>
      </w:tr>
      <w:tr w:rsidR="009630A9" w:rsidRPr="000C156A" w14:paraId="04EC57B8" w14:textId="77777777" w:rsidTr="005D02F0">
        <w:trPr>
          <w:trHeight w:val="300"/>
        </w:trPr>
        <w:tc>
          <w:tcPr>
            <w:tcW w:w="138" w:type="pct"/>
            <w:tcBorders>
              <w:top w:val="nil"/>
              <w:left w:val="single" w:sz="4" w:space="0" w:color="auto"/>
              <w:bottom w:val="nil"/>
              <w:right w:val="nil"/>
            </w:tcBorders>
            <w:shd w:val="clear" w:color="auto" w:fill="auto"/>
            <w:noWrap/>
            <w:vAlign w:val="bottom"/>
            <w:hideMark/>
          </w:tcPr>
          <w:p w14:paraId="70616DAA" w14:textId="77777777" w:rsidR="009630A9" w:rsidRPr="000C156A" w:rsidRDefault="009630A9" w:rsidP="005D02F0">
            <w:pPr>
              <w:overflowPunct/>
              <w:autoSpaceDE/>
              <w:autoSpaceDN/>
              <w:adjustRightInd/>
              <w:spacing w:before="0"/>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 </w:t>
            </w:r>
          </w:p>
        </w:tc>
        <w:tc>
          <w:tcPr>
            <w:tcW w:w="1511" w:type="pct"/>
            <w:tcBorders>
              <w:top w:val="nil"/>
              <w:left w:val="nil"/>
              <w:bottom w:val="nil"/>
              <w:right w:val="nil"/>
            </w:tcBorders>
            <w:shd w:val="clear" w:color="auto" w:fill="auto"/>
            <w:noWrap/>
            <w:vAlign w:val="center"/>
            <w:hideMark/>
          </w:tcPr>
          <w:p w14:paraId="64B9167B" w14:textId="77777777" w:rsidR="009630A9" w:rsidRPr="000C156A" w:rsidRDefault="009630A9" w:rsidP="005D02F0">
            <w:pPr>
              <w:overflowPunct/>
              <w:autoSpaceDE/>
              <w:autoSpaceDN/>
              <w:adjustRightInd/>
              <w:spacing w:before="0"/>
              <w:textAlignment w:val="auto"/>
              <w:rPr>
                <w:rFonts w:eastAsia="Times New Roman" w:cs="Arial"/>
                <w:color w:val="000000"/>
                <w:sz w:val="22"/>
                <w:szCs w:val="22"/>
                <w:lang w:val="en-US" w:eastAsia="zh-CN"/>
              </w:rPr>
            </w:pPr>
            <w:r w:rsidRPr="000C156A">
              <w:rPr>
                <w:rFonts w:hint="eastAsia"/>
                <w:bCs/>
                <w:sz w:val="22"/>
                <w:szCs w:val="22"/>
                <w:lang w:val="en-US" w:eastAsia="zh-CN"/>
              </w:rPr>
              <w:t>归国探亲旅费</w:t>
            </w:r>
          </w:p>
        </w:tc>
        <w:tc>
          <w:tcPr>
            <w:tcW w:w="1675" w:type="pct"/>
            <w:tcBorders>
              <w:top w:val="nil"/>
              <w:left w:val="single" w:sz="4" w:space="0" w:color="auto"/>
              <w:bottom w:val="nil"/>
              <w:right w:val="single" w:sz="4" w:space="0" w:color="auto"/>
            </w:tcBorders>
            <w:shd w:val="clear" w:color="auto" w:fill="auto"/>
            <w:noWrap/>
            <w:vAlign w:val="bottom"/>
            <w:hideMark/>
          </w:tcPr>
          <w:p w14:paraId="2BA0531D" w14:textId="77777777" w:rsidR="009630A9" w:rsidRPr="000C156A" w:rsidRDefault="009630A9" w:rsidP="005D02F0">
            <w:pPr>
              <w:overflowPunct/>
              <w:autoSpaceDE/>
              <w:autoSpaceDN/>
              <w:adjustRightInd/>
              <w:spacing w:before="0"/>
              <w:jc w:val="right"/>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984</w:t>
            </w:r>
          </w:p>
        </w:tc>
        <w:tc>
          <w:tcPr>
            <w:tcW w:w="1676" w:type="pct"/>
            <w:tcBorders>
              <w:top w:val="nil"/>
              <w:left w:val="nil"/>
              <w:bottom w:val="nil"/>
              <w:right w:val="single" w:sz="4" w:space="0" w:color="auto"/>
            </w:tcBorders>
            <w:shd w:val="clear" w:color="auto" w:fill="auto"/>
            <w:noWrap/>
            <w:vAlign w:val="bottom"/>
            <w:hideMark/>
          </w:tcPr>
          <w:p w14:paraId="40A13EA0" w14:textId="481E4056" w:rsidR="009630A9" w:rsidRPr="000C156A" w:rsidRDefault="009630A9" w:rsidP="005D02F0">
            <w:pPr>
              <w:overflowPunct/>
              <w:autoSpaceDE/>
              <w:autoSpaceDN/>
              <w:adjustRightInd/>
              <w:spacing w:before="0"/>
              <w:jc w:val="right"/>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1</w:t>
            </w:r>
            <w:r w:rsidR="00592E8B" w:rsidRPr="000C156A">
              <w:rPr>
                <w:rFonts w:eastAsia="Times New Roman" w:cs="Arial"/>
                <w:color w:val="000000"/>
                <w:sz w:val="22"/>
                <w:szCs w:val="22"/>
                <w:lang w:val="en-US" w:eastAsia="zh-CN"/>
              </w:rPr>
              <w:t xml:space="preserve"> </w:t>
            </w:r>
            <w:r w:rsidRPr="000C156A">
              <w:rPr>
                <w:rFonts w:eastAsia="Times New Roman" w:cs="Arial"/>
                <w:color w:val="000000"/>
                <w:sz w:val="22"/>
                <w:szCs w:val="22"/>
                <w:lang w:val="en-US" w:eastAsia="zh-CN"/>
              </w:rPr>
              <w:t>000</w:t>
            </w:r>
          </w:p>
        </w:tc>
      </w:tr>
      <w:tr w:rsidR="009630A9" w:rsidRPr="000C156A" w14:paraId="4D693585" w14:textId="77777777" w:rsidTr="005D02F0">
        <w:trPr>
          <w:trHeight w:val="300"/>
        </w:trPr>
        <w:tc>
          <w:tcPr>
            <w:tcW w:w="138" w:type="pct"/>
            <w:tcBorders>
              <w:top w:val="nil"/>
              <w:left w:val="single" w:sz="4" w:space="0" w:color="auto"/>
              <w:bottom w:val="nil"/>
              <w:right w:val="nil"/>
            </w:tcBorders>
            <w:shd w:val="clear" w:color="auto" w:fill="auto"/>
            <w:noWrap/>
            <w:vAlign w:val="bottom"/>
            <w:hideMark/>
          </w:tcPr>
          <w:p w14:paraId="79EDEE47" w14:textId="77777777" w:rsidR="009630A9" w:rsidRPr="000C156A" w:rsidRDefault="009630A9" w:rsidP="005D02F0">
            <w:pPr>
              <w:overflowPunct/>
              <w:autoSpaceDE/>
              <w:autoSpaceDN/>
              <w:adjustRightInd/>
              <w:spacing w:before="0"/>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 </w:t>
            </w:r>
          </w:p>
        </w:tc>
        <w:tc>
          <w:tcPr>
            <w:tcW w:w="1511" w:type="pct"/>
            <w:tcBorders>
              <w:top w:val="nil"/>
              <w:left w:val="nil"/>
              <w:bottom w:val="nil"/>
              <w:right w:val="nil"/>
            </w:tcBorders>
            <w:shd w:val="clear" w:color="auto" w:fill="auto"/>
            <w:noWrap/>
            <w:vAlign w:val="center"/>
            <w:hideMark/>
          </w:tcPr>
          <w:p w14:paraId="37DB2217" w14:textId="77777777" w:rsidR="009630A9" w:rsidRPr="000C156A" w:rsidRDefault="009630A9" w:rsidP="005D02F0">
            <w:pPr>
              <w:overflowPunct/>
              <w:autoSpaceDE/>
              <w:autoSpaceDN/>
              <w:adjustRightInd/>
              <w:spacing w:before="0"/>
              <w:textAlignment w:val="auto"/>
              <w:rPr>
                <w:rFonts w:eastAsia="Times New Roman" w:cs="Arial"/>
                <w:color w:val="000000"/>
                <w:sz w:val="22"/>
                <w:szCs w:val="22"/>
                <w:lang w:val="en-US" w:eastAsia="zh-CN"/>
              </w:rPr>
            </w:pPr>
            <w:r w:rsidRPr="000C156A">
              <w:rPr>
                <w:rFonts w:hint="eastAsia"/>
                <w:bCs/>
                <w:sz w:val="22"/>
                <w:szCs w:val="22"/>
                <w:lang w:val="en-US" w:eastAsia="zh-CN"/>
              </w:rPr>
              <w:t>积存年假</w:t>
            </w:r>
          </w:p>
        </w:tc>
        <w:tc>
          <w:tcPr>
            <w:tcW w:w="1675" w:type="pct"/>
            <w:tcBorders>
              <w:top w:val="nil"/>
              <w:left w:val="single" w:sz="4" w:space="0" w:color="auto"/>
              <w:bottom w:val="nil"/>
              <w:right w:val="single" w:sz="4" w:space="0" w:color="auto"/>
            </w:tcBorders>
            <w:shd w:val="clear" w:color="auto" w:fill="auto"/>
            <w:noWrap/>
            <w:vAlign w:val="bottom"/>
            <w:hideMark/>
          </w:tcPr>
          <w:p w14:paraId="6CB78F6A" w14:textId="23FE5B3B" w:rsidR="009630A9" w:rsidRPr="000C156A" w:rsidRDefault="009630A9" w:rsidP="005D02F0">
            <w:pPr>
              <w:overflowPunct/>
              <w:autoSpaceDE/>
              <w:autoSpaceDN/>
              <w:adjustRightInd/>
              <w:spacing w:before="0"/>
              <w:jc w:val="right"/>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2</w:t>
            </w:r>
            <w:r w:rsidR="00E87172" w:rsidRPr="000C156A">
              <w:rPr>
                <w:rFonts w:eastAsia="Times New Roman" w:cs="Arial"/>
                <w:color w:val="000000"/>
                <w:sz w:val="22"/>
                <w:szCs w:val="22"/>
                <w:lang w:val="en-US" w:eastAsia="zh-CN"/>
              </w:rPr>
              <w:t xml:space="preserve"> </w:t>
            </w:r>
            <w:r w:rsidRPr="000C156A">
              <w:rPr>
                <w:rFonts w:eastAsia="Times New Roman" w:cs="Arial"/>
                <w:color w:val="000000"/>
                <w:sz w:val="22"/>
                <w:szCs w:val="22"/>
                <w:lang w:val="en-US" w:eastAsia="zh-CN"/>
              </w:rPr>
              <w:t>997</w:t>
            </w:r>
          </w:p>
        </w:tc>
        <w:tc>
          <w:tcPr>
            <w:tcW w:w="1676" w:type="pct"/>
            <w:tcBorders>
              <w:top w:val="nil"/>
              <w:left w:val="nil"/>
              <w:bottom w:val="nil"/>
              <w:right w:val="single" w:sz="4" w:space="0" w:color="auto"/>
            </w:tcBorders>
            <w:shd w:val="clear" w:color="auto" w:fill="auto"/>
            <w:noWrap/>
            <w:vAlign w:val="bottom"/>
            <w:hideMark/>
          </w:tcPr>
          <w:p w14:paraId="5905C526" w14:textId="280803A5" w:rsidR="009630A9" w:rsidRPr="000C156A" w:rsidRDefault="009630A9" w:rsidP="00592E8B">
            <w:pPr>
              <w:overflowPunct/>
              <w:autoSpaceDE/>
              <w:autoSpaceDN/>
              <w:adjustRightInd/>
              <w:spacing w:before="0"/>
              <w:jc w:val="right"/>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1</w:t>
            </w:r>
            <w:r w:rsidR="00592E8B" w:rsidRPr="000C156A">
              <w:rPr>
                <w:rFonts w:eastAsia="Times New Roman" w:cs="Arial"/>
                <w:color w:val="000000"/>
                <w:sz w:val="22"/>
                <w:szCs w:val="22"/>
                <w:lang w:val="en-US" w:eastAsia="zh-CN"/>
              </w:rPr>
              <w:t xml:space="preserve"> </w:t>
            </w:r>
            <w:r w:rsidRPr="000C156A">
              <w:rPr>
                <w:rFonts w:eastAsia="Times New Roman" w:cs="Arial"/>
                <w:color w:val="000000"/>
                <w:sz w:val="22"/>
                <w:szCs w:val="22"/>
                <w:lang w:val="en-US" w:eastAsia="zh-CN"/>
              </w:rPr>
              <w:t>208</w:t>
            </w:r>
          </w:p>
        </w:tc>
      </w:tr>
      <w:tr w:rsidR="009630A9" w:rsidRPr="000C156A" w14:paraId="7A796AB2" w14:textId="77777777" w:rsidTr="005D02F0">
        <w:trPr>
          <w:trHeight w:val="300"/>
        </w:trPr>
        <w:tc>
          <w:tcPr>
            <w:tcW w:w="138" w:type="pct"/>
            <w:tcBorders>
              <w:top w:val="nil"/>
              <w:left w:val="single" w:sz="4" w:space="0" w:color="auto"/>
              <w:bottom w:val="nil"/>
              <w:right w:val="nil"/>
            </w:tcBorders>
            <w:shd w:val="clear" w:color="auto" w:fill="auto"/>
            <w:noWrap/>
            <w:vAlign w:val="bottom"/>
            <w:hideMark/>
          </w:tcPr>
          <w:p w14:paraId="58370CAD" w14:textId="77777777" w:rsidR="009630A9" w:rsidRPr="000C156A" w:rsidRDefault="009630A9" w:rsidP="005D02F0">
            <w:pPr>
              <w:overflowPunct/>
              <w:autoSpaceDE/>
              <w:autoSpaceDN/>
              <w:adjustRightInd/>
              <w:spacing w:before="0"/>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 </w:t>
            </w:r>
          </w:p>
        </w:tc>
        <w:tc>
          <w:tcPr>
            <w:tcW w:w="1511" w:type="pct"/>
            <w:tcBorders>
              <w:top w:val="nil"/>
              <w:left w:val="nil"/>
              <w:bottom w:val="nil"/>
              <w:right w:val="nil"/>
            </w:tcBorders>
            <w:shd w:val="clear" w:color="auto" w:fill="auto"/>
            <w:noWrap/>
            <w:vAlign w:val="center"/>
            <w:hideMark/>
          </w:tcPr>
          <w:p w14:paraId="52EE2F20" w14:textId="77777777" w:rsidR="009630A9" w:rsidRPr="000C156A" w:rsidRDefault="009630A9" w:rsidP="005D02F0">
            <w:pPr>
              <w:overflowPunct/>
              <w:autoSpaceDE/>
              <w:autoSpaceDN/>
              <w:adjustRightInd/>
              <w:spacing w:before="0"/>
              <w:textAlignment w:val="auto"/>
              <w:rPr>
                <w:rFonts w:eastAsia="Times New Roman" w:cs="Arial"/>
                <w:color w:val="000000"/>
                <w:sz w:val="22"/>
                <w:szCs w:val="22"/>
                <w:lang w:val="en-US" w:eastAsia="zh-CN"/>
              </w:rPr>
            </w:pPr>
            <w:r w:rsidRPr="000C156A">
              <w:rPr>
                <w:rFonts w:hint="eastAsia"/>
                <w:bCs/>
                <w:sz w:val="22"/>
                <w:szCs w:val="22"/>
                <w:lang w:val="en-US" w:eastAsia="zh-CN"/>
              </w:rPr>
              <w:t>医疗保险和意外保险</w:t>
            </w:r>
          </w:p>
        </w:tc>
        <w:tc>
          <w:tcPr>
            <w:tcW w:w="1675" w:type="pct"/>
            <w:tcBorders>
              <w:top w:val="nil"/>
              <w:left w:val="single" w:sz="4" w:space="0" w:color="auto"/>
              <w:bottom w:val="nil"/>
              <w:right w:val="single" w:sz="4" w:space="0" w:color="auto"/>
            </w:tcBorders>
            <w:shd w:val="clear" w:color="auto" w:fill="auto"/>
            <w:noWrap/>
            <w:vAlign w:val="bottom"/>
            <w:hideMark/>
          </w:tcPr>
          <w:p w14:paraId="1692B625" w14:textId="161E28EA" w:rsidR="009630A9" w:rsidRPr="000C156A" w:rsidRDefault="009630A9" w:rsidP="005D02F0">
            <w:pPr>
              <w:overflowPunct/>
              <w:autoSpaceDE/>
              <w:autoSpaceDN/>
              <w:adjustRightInd/>
              <w:spacing w:before="0"/>
              <w:jc w:val="right"/>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9</w:t>
            </w:r>
            <w:r w:rsidR="00E87172" w:rsidRPr="000C156A">
              <w:rPr>
                <w:rFonts w:eastAsia="Times New Roman" w:cs="Arial"/>
                <w:color w:val="000000"/>
                <w:sz w:val="22"/>
                <w:szCs w:val="22"/>
                <w:lang w:val="en-US" w:eastAsia="zh-CN"/>
              </w:rPr>
              <w:t xml:space="preserve"> </w:t>
            </w:r>
            <w:r w:rsidRPr="000C156A">
              <w:rPr>
                <w:rFonts w:eastAsia="Times New Roman" w:cs="Arial"/>
                <w:color w:val="000000"/>
                <w:sz w:val="22"/>
                <w:szCs w:val="22"/>
                <w:lang w:val="en-US" w:eastAsia="zh-CN"/>
              </w:rPr>
              <w:t>453</w:t>
            </w:r>
          </w:p>
        </w:tc>
        <w:tc>
          <w:tcPr>
            <w:tcW w:w="1676" w:type="pct"/>
            <w:tcBorders>
              <w:top w:val="nil"/>
              <w:left w:val="nil"/>
              <w:bottom w:val="nil"/>
              <w:right w:val="single" w:sz="4" w:space="0" w:color="auto"/>
            </w:tcBorders>
            <w:shd w:val="clear" w:color="auto" w:fill="auto"/>
            <w:noWrap/>
            <w:vAlign w:val="bottom"/>
            <w:hideMark/>
          </w:tcPr>
          <w:p w14:paraId="156262EA" w14:textId="32A350C0" w:rsidR="009630A9" w:rsidRPr="000C156A" w:rsidRDefault="009630A9" w:rsidP="005D02F0">
            <w:pPr>
              <w:overflowPunct/>
              <w:autoSpaceDE/>
              <w:autoSpaceDN/>
              <w:adjustRightInd/>
              <w:spacing w:before="0"/>
              <w:jc w:val="right"/>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10</w:t>
            </w:r>
            <w:r w:rsidR="00592E8B" w:rsidRPr="000C156A">
              <w:rPr>
                <w:rFonts w:eastAsia="Times New Roman" w:cs="Arial"/>
                <w:color w:val="000000"/>
                <w:sz w:val="22"/>
                <w:szCs w:val="22"/>
                <w:lang w:val="en-US" w:eastAsia="zh-CN"/>
              </w:rPr>
              <w:t xml:space="preserve"> </w:t>
            </w:r>
            <w:r w:rsidRPr="000C156A">
              <w:rPr>
                <w:rFonts w:eastAsia="Times New Roman" w:cs="Arial"/>
                <w:color w:val="000000"/>
                <w:sz w:val="22"/>
                <w:szCs w:val="22"/>
                <w:lang w:val="en-US" w:eastAsia="zh-CN"/>
              </w:rPr>
              <w:t>934</w:t>
            </w:r>
          </w:p>
        </w:tc>
      </w:tr>
      <w:tr w:rsidR="009630A9" w:rsidRPr="000C156A" w14:paraId="31CC67C1" w14:textId="77777777" w:rsidTr="005D02F0">
        <w:trPr>
          <w:trHeight w:val="300"/>
        </w:trPr>
        <w:tc>
          <w:tcPr>
            <w:tcW w:w="138" w:type="pct"/>
            <w:tcBorders>
              <w:top w:val="nil"/>
              <w:left w:val="single" w:sz="4" w:space="0" w:color="auto"/>
              <w:bottom w:val="nil"/>
              <w:right w:val="nil"/>
            </w:tcBorders>
            <w:shd w:val="clear" w:color="auto" w:fill="auto"/>
            <w:noWrap/>
            <w:vAlign w:val="bottom"/>
            <w:hideMark/>
          </w:tcPr>
          <w:p w14:paraId="1EFF17A4" w14:textId="77777777" w:rsidR="009630A9" w:rsidRPr="000C156A" w:rsidRDefault="009630A9" w:rsidP="005D02F0">
            <w:pPr>
              <w:overflowPunct/>
              <w:autoSpaceDE/>
              <w:autoSpaceDN/>
              <w:adjustRightInd/>
              <w:spacing w:before="0"/>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 </w:t>
            </w:r>
          </w:p>
        </w:tc>
        <w:tc>
          <w:tcPr>
            <w:tcW w:w="1511" w:type="pct"/>
            <w:tcBorders>
              <w:top w:val="nil"/>
              <w:left w:val="nil"/>
              <w:bottom w:val="nil"/>
              <w:right w:val="nil"/>
            </w:tcBorders>
            <w:shd w:val="clear" w:color="auto" w:fill="auto"/>
            <w:noWrap/>
            <w:vAlign w:val="center"/>
            <w:hideMark/>
          </w:tcPr>
          <w:p w14:paraId="3B3AB47D" w14:textId="77777777" w:rsidR="009630A9" w:rsidRPr="000C156A" w:rsidRDefault="009630A9" w:rsidP="005D02F0">
            <w:pPr>
              <w:overflowPunct/>
              <w:autoSpaceDE/>
              <w:autoSpaceDN/>
              <w:adjustRightInd/>
              <w:spacing w:before="0"/>
              <w:textAlignment w:val="auto"/>
              <w:rPr>
                <w:rFonts w:eastAsia="Times New Roman" w:cs="Arial"/>
                <w:color w:val="000000"/>
                <w:sz w:val="22"/>
                <w:szCs w:val="22"/>
                <w:lang w:val="en-US" w:eastAsia="zh-CN"/>
              </w:rPr>
            </w:pPr>
            <w:r w:rsidRPr="000C156A">
              <w:rPr>
                <w:rFonts w:hint="eastAsia"/>
                <w:bCs/>
                <w:sz w:val="22"/>
                <w:szCs w:val="22"/>
                <w:lang w:val="en-US" w:eastAsia="zh-CN"/>
              </w:rPr>
              <w:t>联合国合办职员养恤基金（</w:t>
            </w:r>
            <w:r w:rsidRPr="000C156A">
              <w:rPr>
                <w:bCs/>
                <w:sz w:val="22"/>
                <w:szCs w:val="22"/>
                <w:lang w:val="en-US" w:eastAsia="zh-CN"/>
              </w:rPr>
              <w:t>UNJSPF</w:t>
            </w:r>
            <w:r w:rsidRPr="000C156A">
              <w:rPr>
                <w:rFonts w:hint="eastAsia"/>
                <w:bCs/>
                <w:sz w:val="22"/>
                <w:szCs w:val="22"/>
                <w:lang w:val="en-US" w:eastAsia="zh-CN"/>
              </w:rPr>
              <w:t>）出资</w:t>
            </w:r>
          </w:p>
        </w:tc>
        <w:tc>
          <w:tcPr>
            <w:tcW w:w="1675" w:type="pct"/>
            <w:tcBorders>
              <w:top w:val="nil"/>
              <w:left w:val="single" w:sz="4" w:space="0" w:color="auto"/>
              <w:bottom w:val="nil"/>
              <w:right w:val="single" w:sz="4" w:space="0" w:color="auto"/>
            </w:tcBorders>
            <w:shd w:val="clear" w:color="auto" w:fill="auto"/>
            <w:noWrap/>
            <w:vAlign w:val="bottom"/>
            <w:hideMark/>
          </w:tcPr>
          <w:p w14:paraId="562AE4F1" w14:textId="0BD28234" w:rsidR="009630A9" w:rsidRPr="000C156A" w:rsidRDefault="009630A9" w:rsidP="005D02F0">
            <w:pPr>
              <w:overflowPunct/>
              <w:autoSpaceDE/>
              <w:autoSpaceDN/>
              <w:adjustRightInd/>
              <w:spacing w:before="0"/>
              <w:jc w:val="right"/>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17</w:t>
            </w:r>
            <w:r w:rsidR="00E87172" w:rsidRPr="000C156A">
              <w:rPr>
                <w:rFonts w:eastAsia="Times New Roman" w:cs="Arial"/>
                <w:color w:val="000000"/>
                <w:sz w:val="22"/>
                <w:szCs w:val="22"/>
                <w:lang w:val="en-US" w:eastAsia="zh-CN"/>
              </w:rPr>
              <w:t xml:space="preserve"> </w:t>
            </w:r>
            <w:r w:rsidRPr="000C156A">
              <w:rPr>
                <w:rFonts w:eastAsia="Times New Roman" w:cs="Arial"/>
                <w:color w:val="000000"/>
                <w:sz w:val="22"/>
                <w:szCs w:val="22"/>
                <w:lang w:val="en-US" w:eastAsia="zh-CN"/>
              </w:rPr>
              <w:t>186</w:t>
            </w:r>
          </w:p>
        </w:tc>
        <w:tc>
          <w:tcPr>
            <w:tcW w:w="1676" w:type="pct"/>
            <w:tcBorders>
              <w:top w:val="nil"/>
              <w:left w:val="nil"/>
              <w:bottom w:val="nil"/>
              <w:right w:val="single" w:sz="4" w:space="0" w:color="auto"/>
            </w:tcBorders>
            <w:shd w:val="clear" w:color="auto" w:fill="auto"/>
            <w:noWrap/>
            <w:vAlign w:val="bottom"/>
            <w:hideMark/>
          </w:tcPr>
          <w:p w14:paraId="469DE0F8" w14:textId="28E15FA7" w:rsidR="009630A9" w:rsidRPr="000C156A" w:rsidRDefault="009630A9" w:rsidP="005D02F0">
            <w:pPr>
              <w:overflowPunct/>
              <w:autoSpaceDE/>
              <w:autoSpaceDN/>
              <w:adjustRightInd/>
              <w:spacing w:before="0"/>
              <w:jc w:val="right"/>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17</w:t>
            </w:r>
            <w:r w:rsidR="00592E8B" w:rsidRPr="000C156A">
              <w:rPr>
                <w:rFonts w:eastAsia="Times New Roman" w:cs="Arial"/>
                <w:color w:val="000000"/>
                <w:sz w:val="22"/>
                <w:szCs w:val="22"/>
                <w:lang w:val="en-US" w:eastAsia="zh-CN"/>
              </w:rPr>
              <w:t xml:space="preserve"> </w:t>
            </w:r>
            <w:r w:rsidRPr="000C156A">
              <w:rPr>
                <w:rFonts w:eastAsia="Times New Roman" w:cs="Arial"/>
                <w:color w:val="000000"/>
                <w:sz w:val="22"/>
                <w:szCs w:val="22"/>
                <w:lang w:val="en-US" w:eastAsia="zh-CN"/>
              </w:rPr>
              <w:t>259</w:t>
            </w:r>
          </w:p>
        </w:tc>
      </w:tr>
      <w:tr w:rsidR="009630A9" w:rsidRPr="000C156A" w14:paraId="18C9517F" w14:textId="77777777" w:rsidTr="005D02F0">
        <w:trPr>
          <w:trHeight w:val="300"/>
        </w:trPr>
        <w:tc>
          <w:tcPr>
            <w:tcW w:w="138" w:type="pct"/>
            <w:tcBorders>
              <w:top w:val="nil"/>
              <w:left w:val="single" w:sz="4" w:space="0" w:color="auto"/>
              <w:bottom w:val="nil"/>
              <w:right w:val="nil"/>
            </w:tcBorders>
            <w:shd w:val="clear" w:color="auto" w:fill="auto"/>
            <w:noWrap/>
            <w:vAlign w:val="bottom"/>
            <w:hideMark/>
          </w:tcPr>
          <w:p w14:paraId="09B532E7" w14:textId="77777777" w:rsidR="009630A9" w:rsidRPr="000C156A" w:rsidRDefault="009630A9" w:rsidP="005D02F0">
            <w:pPr>
              <w:overflowPunct/>
              <w:autoSpaceDE/>
              <w:autoSpaceDN/>
              <w:adjustRightInd/>
              <w:spacing w:before="0"/>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 </w:t>
            </w:r>
          </w:p>
        </w:tc>
        <w:tc>
          <w:tcPr>
            <w:tcW w:w="1511" w:type="pct"/>
            <w:tcBorders>
              <w:top w:val="nil"/>
              <w:left w:val="nil"/>
              <w:bottom w:val="nil"/>
              <w:right w:val="nil"/>
            </w:tcBorders>
            <w:shd w:val="clear" w:color="auto" w:fill="auto"/>
            <w:noWrap/>
            <w:vAlign w:val="center"/>
            <w:hideMark/>
          </w:tcPr>
          <w:p w14:paraId="076E8EF4" w14:textId="77777777" w:rsidR="009630A9" w:rsidRPr="000C156A" w:rsidRDefault="009630A9" w:rsidP="005D02F0">
            <w:pPr>
              <w:overflowPunct/>
              <w:autoSpaceDE/>
              <w:autoSpaceDN/>
              <w:adjustRightInd/>
              <w:spacing w:before="0"/>
              <w:textAlignment w:val="auto"/>
              <w:rPr>
                <w:rFonts w:eastAsia="Times New Roman" w:cs="Arial"/>
                <w:color w:val="000000"/>
                <w:sz w:val="22"/>
                <w:szCs w:val="22"/>
                <w:lang w:val="en-US" w:eastAsia="zh-CN"/>
              </w:rPr>
            </w:pPr>
            <w:r w:rsidRPr="000C156A">
              <w:rPr>
                <w:rFonts w:hint="eastAsia"/>
                <w:bCs/>
                <w:sz w:val="22"/>
                <w:szCs w:val="22"/>
                <w:lang w:val="en-US" w:eastAsia="zh-CN"/>
              </w:rPr>
              <w:t>其它费用</w:t>
            </w:r>
          </w:p>
        </w:tc>
        <w:tc>
          <w:tcPr>
            <w:tcW w:w="1675" w:type="pct"/>
            <w:tcBorders>
              <w:top w:val="nil"/>
              <w:left w:val="single" w:sz="4" w:space="0" w:color="auto"/>
              <w:bottom w:val="nil"/>
              <w:right w:val="single" w:sz="4" w:space="0" w:color="auto"/>
            </w:tcBorders>
            <w:shd w:val="clear" w:color="auto" w:fill="auto"/>
            <w:noWrap/>
            <w:vAlign w:val="bottom"/>
            <w:hideMark/>
          </w:tcPr>
          <w:p w14:paraId="376EE19C" w14:textId="2FB8DAD6" w:rsidR="009630A9" w:rsidRPr="000C156A" w:rsidRDefault="009630A9" w:rsidP="005D02F0">
            <w:pPr>
              <w:overflowPunct/>
              <w:autoSpaceDE/>
              <w:autoSpaceDN/>
              <w:adjustRightInd/>
              <w:spacing w:before="0"/>
              <w:jc w:val="right"/>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1</w:t>
            </w:r>
            <w:r w:rsidR="00E87172" w:rsidRPr="000C156A">
              <w:rPr>
                <w:rFonts w:eastAsia="Times New Roman" w:cs="Arial"/>
                <w:color w:val="000000"/>
                <w:sz w:val="22"/>
                <w:szCs w:val="22"/>
                <w:lang w:val="en-US" w:eastAsia="zh-CN"/>
              </w:rPr>
              <w:t xml:space="preserve"> </w:t>
            </w:r>
            <w:r w:rsidRPr="000C156A">
              <w:rPr>
                <w:rFonts w:eastAsia="Times New Roman" w:cs="Arial"/>
                <w:color w:val="000000"/>
                <w:sz w:val="22"/>
                <w:szCs w:val="22"/>
                <w:lang w:val="en-US" w:eastAsia="zh-CN"/>
              </w:rPr>
              <w:t>291</w:t>
            </w:r>
          </w:p>
        </w:tc>
        <w:tc>
          <w:tcPr>
            <w:tcW w:w="1676" w:type="pct"/>
            <w:tcBorders>
              <w:top w:val="nil"/>
              <w:left w:val="nil"/>
              <w:bottom w:val="nil"/>
              <w:right w:val="single" w:sz="4" w:space="0" w:color="auto"/>
            </w:tcBorders>
            <w:shd w:val="clear" w:color="auto" w:fill="auto"/>
            <w:noWrap/>
            <w:vAlign w:val="bottom"/>
            <w:hideMark/>
          </w:tcPr>
          <w:p w14:paraId="33D1F5A4" w14:textId="77777777" w:rsidR="009630A9" w:rsidRPr="000C156A" w:rsidRDefault="009630A9" w:rsidP="005D02F0">
            <w:pPr>
              <w:overflowPunct/>
              <w:autoSpaceDE/>
              <w:autoSpaceDN/>
              <w:adjustRightInd/>
              <w:spacing w:before="0"/>
              <w:jc w:val="right"/>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596</w:t>
            </w:r>
          </w:p>
        </w:tc>
      </w:tr>
      <w:tr w:rsidR="009630A9" w:rsidRPr="000C156A" w14:paraId="38BD4A12" w14:textId="77777777" w:rsidTr="005D02F0">
        <w:trPr>
          <w:trHeight w:val="300"/>
        </w:trPr>
        <w:tc>
          <w:tcPr>
            <w:tcW w:w="138" w:type="pct"/>
            <w:tcBorders>
              <w:top w:val="nil"/>
              <w:left w:val="single" w:sz="4" w:space="0" w:color="auto"/>
              <w:bottom w:val="nil"/>
              <w:right w:val="nil"/>
            </w:tcBorders>
            <w:shd w:val="clear" w:color="auto" w:fill="auto"/>
            <w:noWrap/>
            <w:vAlign w:val="bottom"/>
            <w:hideMark/>
          </w:tcPr>
          <w:p w14:paraId="7E484276" w14:textId="77777777" w:rsidR="009630A9" w:rsidRPr="000C156A" w:rsidRDefault="009630A9" w:rsidP="005D02F0">
            <w:pPr>
              <w:overflowPunct/>
              <w:autoSpaceDE/>
              <w:autoSpaceDN/>
              <w:adjustRightInd/>
              <w:spacing w:before="0"/>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 </w:t>
            </w:r>
          </w:p>
        </w:tc>
        <w:tc>
          <w:tcPr>
            <w:tcW w:w="1511" w:type="pct"/>
            <w:tcBorders>
              <w:top w:val="nil"/>
              <w:left w:val="nil"/>
              <w:bottom w:val="nil"/>
              <w:right w:val="nil"/>
            </w:tcBorders>
            <w:shd w:val="clear" w:color="auto" w:fill="auto"/>
            <w:noWrap/>
            <w:vAlign w:val="center"/>
            <w:hideMark/>
          </w:tcPr>
          <w:p w14:paraId="352A9417" w14:textId="77777777" w:rsidR="009630A9" w:rsidRPr="000C156A" w:rsidRDefault="009630A9" w:rsidP="005D02F0">
            <w:pPr>
              <w:overflowPunct/>
              <w:autoSpaceDE/>
              <w:autoSpaceDN/>
              <w:adjustRightInd/>
              <w:spacing w:before="0"/>
              <w:textAlignment w:val="auto"/>
              <w:rPr>
                <w:rFonts w:eastAsia="Times New Roman" w:cs="Arial"/>
                <w:color w:val="000000"/>
                <w:sz w:val="22"/>
                <w:szCs w:val="22"/>
                <w:lang w:val="en-US" w:eastAsia="zh-CN"/>
              </w:rPr>
            </w:pPr>
            <w:r w:rsidRPr="000C156A">
              <w:rPr>
                <w:rFonts w:hint="eastAsia"/>
                <w:bCs/>
                <w:sz w:val="22"/>
                <w:szCs w:val="22"/>
                <w:lang w:val="en-US" w:eastAsia="zh-CN"/>
              </w:rPr>
              <w:t>离职后健康保险基金（</w:t>
            </w:r>
            <w:r w:rsidRPr="000C156A">
              <w:rPr>
                <w:bCs/>
                <w:sz w:val="22"/>
                <w:szCs w:val="22"/>
                <w:lang w:val="en-US" w:eastAsia="zh-CN"/>
              </w:rPr>
              <w:t>ASHI</w:t>
            </w:r>
            <w:r w:rsidRPr="000C156A">
              <w:rPr>
                <w:rFonts w:hint="eastAsia"/>
                <w:bCs/>
                <w:sz w:val="22"/>
                <w:szCs w:val="22"/>
                <w:lang w:val="en-US" w:eastAsia="zh-CN"/>
              </w:rPr>
              <w:t>）调整</w:t>
            </w:r>
          </w:p>
        </w:tc>
        <w:tc>
          <w:tcPr>
            <w:tcW w:w="1675" w:type="pct"/>
            <w:tcBorders>
              <w:top w:val="nil"/>
              <w:left w:val="single" w:sz="4" w:space="0" w:color="auto"/>
              <w:bottom w:val="nil"/>
              <w:right w:val="single" w:sz="4" w:space="0" w:color="auto"/>
            </w:tcBorders>
            <w:shd w:val="clear" w:color="auto" w:fill="auto"/>
            <w:noWrap/>
            <w:vAlign w:val="bottom"/>
            <w:hideMark/>
          </w:tcPr>
          <w:p w14:paraId="3D800D7F" w14:textId="3832DF6E" w:rsidR="009630A9" w:rsidRPr="000C156A" w:rsidRDefault="009630A9" w:rsidP="005D02F0">
            <w:pPr>
              <w:overflowPunct/>
              <w:autoSpaceDE/>
              <w:autoSpaceDN/>
              <w:adjustRightInd/>
              <w:spacing w:before="0"/>
              <w:jc w:val="right"/>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22</w:t>
            </w:r>
            <w:r w:rsidR="00E87172" w:rsidRPr="000C156A">
              <w:rPr>
                <w:rFonts w:eastAsia="Times New Roman" w:cs="Arial"/>
                <w:color w:val="000000"/>
                <w:sz w:val="22"/>
                <w:szCs w:val="22"/>
                <w:lang w:val="en-US" w:eastAsia="zh-CN"/>
              </w:rPr>
              <w:t xml:space="preserve"> </w:t>
            </w:r>
            <w:r w:rsidRPr="000C156A">
              <w:rPr>
                <w:rFonts w:eastAsia="Times New Roman" w:cs="Arial"/>
                <w:color w:val="000000"/>
                <w:sz w:val="22"/>
                <w:szCs w:val="22"/>
                <w:lang w:val="en-US" w:eastAsia="zh-CN"/>
              </w:rPr>
              <w:t>789</w:t>
            </w:r>
          </w:p>
        </w:tc>
        <w:tc>
          <w:tcPr>
            <w:tcW w:w="1676" w:type="pct"/>
            <w:tcBorders>
              <w:top w:val="nil"/>
              <w:left w:val="nil"/>
              <w:bottom w:val="nil"/>
              <w:right w:val="single" w:sz="4" w:space="0" w:color="auto"/>
            </w:tcBorders>
            <w:shd w:val="clear" w:color="auto" w:fill="auto"/>
            <w:noWrap/>
            <w:vAlign w:val="bottom"/>
            <w:hideMark/>
          </w:tcPr>
          <w:p w14:paraId="7492A47D" w14:textId="726D5896" w:rsidR="009630A9" w:rsidRPr="000C156A" w:rsidRDefault="009630A9" w:rsidP="005D02F0">
            <w:pPr>
              <w:overflowPunct/>
              <w:autoSpaceDE/>
              <w:autoSpaceDN/>
              <w:adjustRightInd/>
              <w:spacing w:before="0"/>
              <w:jc w:val="right"/>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71</w:t>
            </w:r>
            <w:r w:rsidR="00592E8B" w:rsidRPr="000C156A">
              <w:rPr>
                <w:rFonts w:eastAsia="Times New Roman" w:cs="Arial"/>
                <w:color w:val="000000"/>
                <w:sz w:val="22"/>
                <w:szCs w:val="22"/>
                <w:lang w:val="en-US" w:eastAsia="zh-CN"/>
              </w:rPr>
              <w:t xml:space="preserve"> </w:t>
            </w:r>
            <w:r w:rsidRPr="000C156A">
              <w:rPr>
                <w:rFonts w:eastAsia="Times New Roman" w:cs="Arial"/>
                <w:color w:val="000000"/>
                <w:sz w:val="22"/>
                <w:szCs w:val="22"/>
                <w:lang w:val="en-US" w:eastAsia="zh-CN"/>
              </w:rPr>
              <w:t>694</w:t>
            </w:r>
          </w:p>
        </w:tc>
      </w:tr>
      <w:tr w:rsidR="009630A9" w:rsidRPr="000C156A" w14:paraId="30D887C6" w14:textId="77777777" w:rsidTr="005D02F0">
        <w:trPr>
          <w:trHeight w:val="300"/>
        </w:trPr>
        <w:tc>
          <w:tcPr>
            <w:tcW w:w="1649" w:type="pct"/>
            <w:gridSpan w:val="2"/>
            <w:tcBorders>
              <w:top w:val="single" w:sz="4" w:space="0" w:color="auto"/>
              <w:left w:val="single" w:sz="4" w:space="0" w:color="auto"/>
              <w:bottom w:val="single" w:sz="4" w:space="0" w:color="auto"/>
              <w:right w:val="nil"/>
            </w:tcBorders>
            <w:shd w:val="clear" w:color="auto" w:fill="auto"/>
            <w:noWrap/>
            <w:vAlign w:val="center"/>
            <w:hideMark/>
          </w:tcPr>
          <w:p w14:paraId="50CF555A" w14:textId="77777777" w:rsidR="009630A9" w:rsidRPr="000C156A" w:rsidRDefault="009630A9" w:rsidP="005D02F0">
            <w:pPr>
              <w:overflowPunct/>
              <w:autoSpaceDE/>
              <w:autoSpaceDN/>
              <w:adjustRightInd/>
              <w:spacing w:before="0"/>
              <w:textAlignment w:val="auto"/>
              <w:rPr>
                <w:rFonts w:eastAsia="Times New Roman" w:cs="Arial"/>
                <w:b/>
                <w:bCs/>
                <w:color w:val="000000"/>
                <w:sz w:val="22"/>
                <w:szCs w:val="22"/>
                <w:lang w:val="en-US" w:eastAsia="zh-CN"/>
              </w:rPr>
            </w:pPr>
            <w:r w:rsidRPr="000C156A">
              <w:rPr>
                <w:rFonts w:hint="eastAsia"/>
                <w:b/>
                <w:sz w:val="22"/>
                <w:szCs w:val="22"/>
                <w:lang w:val="en-US" w:eastAsia="zh-CN"/>
              </w:rPr>
              <w:t>职员费用</w:t>
            </w:r>
          </w:p>
        </w:tc>
        <w:tc>
          <w:tcPr>
            <w:tcW w:w="16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A3C1B" w14:textId="5B736B45" w:rsidR="009630A9" w:rsidRPr="000C156A" w:rsidRDefault="009630A9" w:rsidP="005D02F0">
            <w:pPr>
              <w:overflowPunct/>
              <w:autoSpaceDE/>
              <w:autoSpaceDN/>
              <w:adjustRightInd/>
              <w:spacing w:before="0"/>
              <w:jc w:val="right"/>
              <w:textAlignment w:val="auto"/>
              <w:rPr>
                <w:rFonts w:eastAsia="Times New Roman" w:cs="Arial"/>
                <w:b/>
                <w:bCs/>
                <w:color w:val="000000"/>
                <w:sz w:val="22"/>
                <w:szCs w:val="22"/>
                <w:lang w:val="en-US" w:eastAsia="zh-CN"/>
              </w:rPr>
            </w:pPr>
            <w:r w:rsidRPr="000C156A">
              <w:rPr>
                <w:rFonts w:eastAsia="Times New Roman" w:cs="Arial"/>
                <w:b/>
                <w:bCs/>
                <w:color w:val="000000"/>
                <w:sz w:val="22"/>
                <w:szCs w:val="22"/>
                <w:lang w:val="en-US" w:eastAsia="zh-CN"/>
              </w:rPr>
              <w:t>153</w:t>
            </w:r>
            <w:r w:rsidR="00E87172" w:rsidRPr="000C156A">
              <w:rPr>
                <w:rFonts w:eastAsia="Times New Roman" w:cs="Arial"/>
                <w:b/>
                <w:bCs/>
                <w:color w:val="000000"/>
                <w:sz w:val="22"/>
                <w:szCs w:val="22"/>
                <w:lang w:val="en-US" w:eastAsia="zh-CN"/>
              </w:rPr>
              <w:t xml:space="preserve"> </w:t>
            </w:r>
            <w:r w:rsidRPr="000C156A">
              <w:rPr>
                <w:rFonts w:eastAsia="Times New Roman" w:cs="Arial"/>
                <w:b/>
                <w:bCs/>
                <w:color w:val="000000"/>
                <w:sz w:val="22"/>
                <w:szCs w:val="22"/>
                <w:lang w:val="en-US" w:eastAsia="zh-CN"/>
              </w:rPr>
              <w:t>825</w:t>
            </w:r>
          </w:p>
        </w:tc>
        <w:tc>
          <w:tcPr>
            <w:tcW w:w="1676" w:type="pct"/>
            <w:tcBorders>
              <w:top w:val="single" w:sz="4" w:space="0" w:color="auto"/>
              <w:left w:val="nil"/>
              <w:bottom w:val="single" w:sz="4" w:space="0" w:color="auto"/>
              <w:right w:val="single" w:sz="4" w:space="0" w:color="auto"/>
            </w:tcBorders>
            <w:shd w:val="clear" w:color="auto" w:fill="auto"/>
            <w:noWrap/>
            <w:vAlign w:val="center"/>
            <w:hideMark/>
          </w:tcPr>
          <w:p w14:paraId="4CB0AC8D" w14:textId="3D347F20" w:rsidR="009630A9" w:rsidRPr="000C156A" w:rsidRDefault="009630A9" w:rsidP="005D02F0">
            <w:pPr>
              <w:overflowPunct/>
              <w:autoSpaceDE/>
              <w:autoSpaceDN/>
              <w:adjustRightInd/>
              <w:spacing w:before="0"/>
              <w:jc w:val="right"/>
              <w:textAlignment w:val="auto"/>
              <w:rPr>
                <w:rFonts w:eastAsia="Times New Roman" w:cs="Arial"/>
                <w:b/>
                <w:bCs/>
                <w:color w:val="000000"/>
                <w:sz w:val="22"/>
                <w:szCs w:val="22"/>
                <w:lang w:val="en-US" w:eastAsia="zh-CN"/>
              </w:rPr>
            </w:pPr>
            <w:r w:rsidRPr="000C156A">
              <w:rPr>
                <w:rFonts w:eastAsia="Times New Roman" w:cs="Arial"/>
                <w:b/>
                <w:bCs/>
                <w:color w:val="000000"/>
                <w:sz w:val="22"/>
                <w:szCs w:val="22"/>
                <w:lang w:val="en-US" w:eastAsia="zh-CN"/>
              </w:rPr>
              <w:t>203</w:t>
            </w:r>
            <w:r w:rsidR="00E87172" w:rsidRPr="000C156A">
              <w:rPr>
                <w:rFonts w:eastAsia="Times New Roman" w:cs="Arial"/>
                <w:b/>
                <w:bCs/>
                <w:color w:val="000000"/>
                <w:sz w:val="22"/>
                <w:szCs w:val="22"/>
                <w:lang w:val="en-US" w:eastAsia="zh-CN"/>
              </w:rPr>
              <w:t xml:space="preserve"> </w:t>
            </w:r>
            <w:r w:rsidRPr="000C156A">
              <w:rPr>
                <w:rFonts w:eastAsia="Times New Roman" w:cs="Arial"/>
                <w:b/>
                <w:bCs/>
                <w:color w:val="000000"/>
                <w:sz w:val="22"/>
                <w:szCs w:val="22"/>
                <w:lang w:val="en-US" w:eastAsia="zh-CN"/>
              </w:rPr>
              <w:t>942</w:t>
            </w:r>
          </w:p>
        </w:tc>
      </w:tr>
    </w:tbl>
    <w:p w14:paraId="7DDD75A4" w14:textId="77777777" w:rsidR="009630A9" w:rsidRPr="000C156A" w:rsidRDefault="009630A9" w:rsidP="00344F8A">
      <w:pPr>
        <w:spacing w:before="240"/>
        <w:ind w:firstLineChars="200" w:firstLine="480"/>
        <w:rPr>
          <w:lang w:eastAsia="zh-CN"/>
        </w:rPr>
      </w:pPr>
      <w:r w:rsidRPr="000C156A">
        <w:rPr>
          <w:rFonts w:hint="eastAsia"/>
          <w:lang w:eastAsia="zh-CN"/>
        </w:rPr>
        <w:t>2020</w:t>
      </w:r>
      <w:r w:rsidRPr="000C156A">
        <w:rPr>
          <w:rFonts w:hint="eastAsia"/>
          <w:lang w:eastAsia="zh-CN"/>
        </w:rPr>
        <w:t>年，人员费用水平回到了与</w:t>
      </w:r>
      <w:r w:rsidRPr="000C156A">
        <w:rPr>
          <w:rFonts w:hint="eastAsia"/>
          <w:lang w:eastAsia="zh-CN"/>
        </w:rPr>
        <w:t>2018</w:t>
      </w:r>
      <w:r w:rsidRPr="000C156A">
        <w:rPr>
          <w:rFonts w:hint="eastAsia"/>
          <w:lang w:eastAsia="zh-CN"/>
        </w:rPr>
        <w:t>年及之前几年类似的水平。</w:t>
      </w:r>
      <w:r w:rsidRPr="000C156A">
        <w:rPr>
          <w:rFonts w:hint="eastAsia"/>
          <w:lang w:eastAsia="zh-CN"/>
        </w:rPr>
        <w:t>2019</w:t>
      </w:r>
      <w:r w:rsidRPr="000C156A">
        <w:rPr>
          <w:rFonts w:hint="eastAsia"/>
          <w:lang w:eastAsia="zh-CN"/>
        </w:rPr>
        <w:t>年的异常高水平是由于从</w:t>
      </w:r>
      <w:r w:rsidRPr="000C156A">
        <w:rPr>
          <w:rFonts w:hint="eastAsia"/>
          <w:lang w:eastAsia="zh-CN"/>
        </w:rPr>
        <w:t>CIGNA</w:t>
      </w:r>
      <w:r w:rsidRPr="000C156A">
        <w:rPr>
          <w:rFonts w:hint="eastAsia"/>
          <w:lang w:eastAsia="zh-CN"/>
        </w:rPr>
        <w:t>向</w:t>
      </w:r>
      <w:r w:rsidRPr="000C156A">
        <w:rPr>
          <w:rFonts w:eastAsia="Times New Roman"/>
          <w:lang w:eastAsia="zh-CN"/>
        </w:rPr>
        <w:t>UNSMIS</w:t>
      </w:r>
      <w:r w:rsidRPr="000C156A">
        <w:rPr>
          <w:rFonts w:hint="eastAsia"/>
          <w:lang w:eastAsia="zh-CN"/>
        </w:rPr>
        <w:t>过渡后的一次性</w:t>
      </w:r>
      <w:r w:rsidRPr="000C156A">
        <w:rPr>
          <w:rFonts w:hint="eastAsia"/>
          <w:lang w:eastAsia="zh-CN"/>
        </w:rPr>
        <w:t>ASHI</w:t>
      </w:r>
      <w:r w:rsidRPr="000C156A">
        <w:rPr>
          <w:rFonts w:hint="eastAsia"/>
          <w:lang w:eastAsia="zh-CN"/>
        </w:rPr>
        <w:t>调整（</w:t>
      </w:r>
      <w:r w:rsidRPr="000C156A">
        <w:rPr>
          <w:rFonts w:hint="eastAsia"/>
          <w:lang w:eastAsia="zh-CN"/>
        </w:rPr>
        <w:t>5 000</w:t>
      </w:r>
      <w:r w:rsidRPr="000C156A">
        <w:rPr>
          <w:rFonts w:hint="eastAsia"/>
          <w:lang w:eastAsia="zh-CN"/>
        </w:rPr>
        <w:t>万瑞郎）造成的。</w:t>
      </w:r>
    </w:p>
    <w:p w14:paraId="33F7160E" w14:textId="77777777" w:rsidR="009630A9" w:rsidRPr="000C156A" w:rsidRDefault="009630A9" w:rsidP="009630A9">
      <w:pPr>
        <w:ind w:firstLineChars="200" w:firstLine="480"/>
        <w:rPr>
          <w:lang w:eastAsia="zh-CN"/>
        </w:rPr>
      </w:pPr>
      <w:r w:rsidRPr="000C156A">
        <w:rPr>
          <w:rFonts w:hint="eastAsia"/>
          <w:lang w:eastAsia="zh-CN"/>
        </w:rPr>
        <w:t>如说明</w:t>
      </w:r>
      <w:r w:rsidRPr="000C156A">
        <w:rPr>
          <w:rFonts w:hint="eastAsia"/>
          <w:lang w:eastAsia="zh-CN"/>
        </w:rPr>
        <w:t>17.2</w:t>
      </w:r>
      <w:r w:rsidRPr="000C156A">
        <w:rPr>
          <w:rFonts w:hint="eastAsia"/>
          <w:lang w:eastAsia="zh-CN"/>
        </w:rPr>
        <w:t>所述，由于疫情，工作人员没有利用年假，导致累积休假相关费用增加。</w:t>
      </w:r>
    </w:p>
    <w:p w14:paraId="2915EC22" w14:textId="77777777" w:rsidR="009630A9" w:rsidRPr="000C156A" w:rsidRDefault="009630A9" w:rsidP="009630A9">
      <w:pPr>
        <w:pStyle w:val="Headingb"/>
        <w:rPr>
          <w:lang w:eastAsia="zh-CN"/>
        </w:rPr>
      </w:pPr>
      <w:bookmarkStart w:id="933" w:name="_Toc73518719"/>
      <w:bookmarkStart w:id="934" w:name="_Toc73518866"/>
      <w:bookmarkStart w:id="935" w:name="_Toc73519266"/>
      <w:bookmarkStart w:id="936" w:name="_Toc73636305"/>
      <w:r w:rsidRPr="000C156A">
        <w:rPr>
          <w:rFonts w:hint="eastAsia"/>
          <w:lang w:eastAsia="zh-CN"/>
        </w:rPr>
        <w:t>差旅费用</w:t>
      </w:r>
      <w:bookmarkEnd w:id="933"/>
      <w:bookmarkEnd w:id="934"/>
      <w:bookmarkEnd w:id="935"/>
      <w:bookmarkEnd w:id="936"/>
    </w:p>
    <w:p w14:paraId="49108E0C" w14:textId="77777777" w:rsidR="009630A9" w:rsidRPr="000C156A" w:rsidRDefault="009630A9" w:rsidP="009630A9">
      <w:pPr>
        <w:ind w:firstLineChars="200" w:firstLine="480"/>
        <w:rPr>
          <w:lang w:eastAsia="zh-CN"/>
        </w:rPr>
      </w:pPr>
      <w:r w:rsidRPr="000C156A">
        <w:rPr>
          <w:rFonts w:hint="eastAsia"/>
          <w:color w:val="000000"/>
          <w:lang w:eastAsia="zh-CN"/>
        </w:rPr>
        <w:t>差旅费用减少了</w:t>
      </w:r>
      <w:r w:rsidRPr="000C156A">
        <w:rPr>
          <w:rFonts w:hint="eastAsia"/>
          <w:color w:val="000000"/>
          <w:lang w:eastAsia="zh-CN"/>
        </w:rPr>
        <w:t>87%</w:t>
      </w:r>
      <w:r w:rsidRPr="000C156A">
        <w:rPr>
          <w:rFonts w:hint="eastAsia"/>
          <w:color w:val="000000"/>
          <w:lang w:eastAsia="zh-CN"/>
        </w:rPr>
        <w:t>，从</w:t>
      </w:r>
      <w:r w:rsidRPr="000C156A">
        <w:rPr>
          <w:rFonts w:hint="eastAsia"/>
          <w:color w:val="000000"/>
          <w:lang w:eastAsia="zh-CN"/>
        </w:rPr>
        <w:t>2019</w:t>
      </w:r>
      <w:r w:rsidRPr="000C156A">
        <w:rPr>
          <w:rFonts w:hint="eastAsia"/>
          <w:color w:val="000000"/>
          <w:lang w:eastAsia="zh-CN"/>
        </w:rPr>
        <w:t>年的</w:t>
      </w:r>
      <w:r w:rsidRPr="000C156A">
        <w:rPr>
          <w:rFonts w:hint="eastAsia"/>
          <w:color w:val="000000"/>
          <w:lang w:eastAsia="zh-CN"/>
        </w:rPr>
        <w:t>770</w:t>
      </w:r>
      <w:r w:rsidRPr="000C156A">
        <w:rPr>
          <w:rFonts w:hint="eastAsia"/>
          <w:color w:val="000000"/>
          <w:lang w:eastAsia="zh-CN"/>
        </w:rPr>
        <w:t>万瑞郎降至</w:t>
      </w:r>
      <w:r w:rsidRPr="000C156A">
        <w:rPr>
          <w:rFonts w:hint="eastAsia"/>
          <w:color w:val="000000"/>
          <w:lang w:eastAsia="zh-CN"/>
        </w:rPr>
        <w:t>2020</w:t>
      </w:r>
      <w:r w:rsidRPr="000C156A">
        <w:rPr>
          <w:rFonts w:hint="eastAsia"/>
          <w:color w:val="000000"/>
          <w:lang w:eastAsia="zh-CN"/>
        </w:rPr>
        <w:t>年的</w:t>
      </w:r>
      <w:r w:rsidRPr="000C156A">
        <w:rPr>
          <w:rFonts w:hint="eastAsia"/>
          <w:color w:val="000000"/>
          <w:lang w:eastAsia="zh-CN"/>
        </w:rPr>
        <w:t>100</w:t>
      </w:r>
      <w:r w:rsidRPr="000C156A">
        <w:rPr>
          <w:rFonts w:hint="eastAsia"/>
          <w:color w:val="000000"/>
          <w:lang w:eastAsia="zh-CN"/>
        </w:rPr>
        <w:t>万瑞郎，主要原因是旅行禁令和限制、取消或推迟出差，以及疫情对派任公差和归国相关旅行模式的影响</w:t>
      </w:r>
      <w:r w:rsidRPr="000C156A">
        <w:rPr>
          <w:rFonts w:ascii="SimSun" w:hAnsi="SimSun" w:cs="SimSun" w:hint="eastAsia"/>
          <w:lang w:val="en-US" w:eastAsia="zh-CN"/>
        </w:rPr>
        <w:t>。</w:t>
      </w:r>
    </w:p>
    <w:p w14:paraId="1B2636F5" w14:textId="77777777" w:rsidR="009630A9" w:rsidRPr="000C156A" w:rsidRDefault="009630A9" w:rsidP="009630A9">
      <w:pPr>
        <w:pStyle w:val="Headingb"/>
        <w:rPr>
          <w:lang w:eastAsia="zh-CN"/>
        </w:rPr>
      </w:pPr>
      <w:bookmarkStart w:id="937" w:name="_Toc73518720"/>
      <w:bookmarkStart w:id="938" w:name="_Toc73518867"/>
      <w:bookmarkStart w:id="939" w:name="_Toc73519267"/>
      <w:bookmarkStart w:id="940" w:name="_Toc73636306"/>
      <w:r w:rsidRPr="000C156A">
        <w:rPr>
          <w:rFonts w:hint="eastAsia"/>
          <w:lang w:eastAsia="zh-CN"/>
        </w:rPr>
        <w:t>合同服务</w:t>
      </w:r>
      <w:bookmarkEnd w:id="937"/>
      <w:bookmarkEnd w:id="938"/>
      <w:bookmarkEnd w:id="939"/>
      <w:bookmarkEnd w:id="940"/>
    </w:p>
    <w:p w14:paraId="24170B41" w14:textId="77777777" w:rsidR="009630A9" w:rsidRPr="000C156A" w:rsidRDefault="009630A9" w:rsidP="009630A9">
      <w:pPr>
        <w:ind w:firstLineChars="200" w:firstLine="480"/>
        <w:rPr>
          <w:lang w:val="en-US" w:eastAsia="zh-CN"/>
        </w:rPr>
      </w:pPr>
      <w:r w:rsidRPr="000C156A">
        <w:rPr>
          <w:rFonts w:hint="eastAsia"/>
          <w:lang w:eastAsia="zh-CN"/>
        </w:rPr>
        <w:t>该类别包括在协议框架和合同安排范围内，为提供咨询人员的公司支付的所有酬劳、各种收费和费用，同时也涵盖特别服务协议、作为培训组成部分的语言课程费用以及分包服务费用。</w:t>
      </w:r>
      <w:r w:rsidRPr="000C156A">
        <w:rPr>
          <w:lang w:eastAsia="zh-CN"/>
        </w:rPr>
        <w:t>2020</w:t>
      </w:r>
      <w:r w:rsidRPr="000C156A">
        <w:rPr>
          <w:rFonts w:hint="eastAsia"/>
          <w:lang w:eastAsia="zh-CN"/>
        </w:rPr>
        <w:t>年，承包合同金额达</w:t>
      </w:r>
      <w:r w:rsidRPr="000C156A">
        <w:rPr>
          <w:lang w:val="en-US" w:eastAsia="zh-CN"/>
        </w:rPr>
        <w:t>1 450</w:t>
      </w:r>
      <w:r w:rsidRPr="000C156A">
        <w:rPr>
          <w:rFonts w:hint="eastAsia"/>
          <w:lang w:val="en-US" w:eastAsia="zh-CN"/>
        </w:rPr>
        <w:t>万瑞郎，（</w:t>
      </w:r>
      <w:r w:rsidRPr="000C156A">
        <w:rPr>
          <w:lang w:val="en-US" w:eastAsia="zh-CN"/>
        </w:rPr>
        <w:t>2019</w:t>
      </w:r>
      <w:r w:rsidRPr="000C156A">
        <w:rPr>
          <w:rFonts w:hint="eastAsia"/>
          <w:lang w:val="en-US" w:eastAsia="zh-CN"/>
        </w:rPr>
        <w:t>年为</w:t>
      </w:r>
      <w:r w:rsidRPr="000C156A">
        <w:rPr>
          <w:lang w:val="en-US" w:eastAsia="zh-CN"/>
        </w:rPr>
        <w:t>1 38</w:t>
      </w:r>
      <w:r w:rsidRPr="000C156A">
        <w:rPr>
          <w:rFonts w:hint="eastAsia"/>
          <w:lang w:val="en-US" w:eastAsia="zh-CN"/>
        </w:rPr>
        <w:t>0</w:t>
      </w:r>
      <w:r w:rsidRPr="000C156A">
        <w:rPr>
          <w:rFonts w:hint="eastAsia"/>
          <w:lang w:val="en-US" w:eastAsia="zh-CN"/>
        </w:rPr>
        <w:t>万瑞郎）。详见分部门报告（说明</w:t>
      </w:r>
      <w:r w:rsidRPr="000C156A">
        <w:rPr>
          <w:lang w:val="en-US" w:eastAsia="zh-CN"/>
        </w:rPr>
        <w:t>24</w:t>
      </w:r>
      <w:r w:rsidRPr="000C156A">
        <w:rPr>
          <w:rFonts w:hint="eastAsia"/>
          <w:lang w:val="en-US" w:eastAsia="zh-CN"/>
        </w:rPr>
        <w:t>）</w:t>
      </w:r>
    </w:p>
    <w:p w14:paraId="23178393" w14:textId="77777777" w:rsidR="009630A9" w:rsidRPr="000C156A" w:rsidRDefault="009630A9" w:rsidP="009630A9">
      <w:pPr>
        <w:pStyle w:val="Headingb"/>
        <w:rPr>
          <w:lang w:eastAsia="zh-CN"/>
        </w:rPr>
      </w:pPr>
      <w:bookmarkStart w:id="941" w:name="_Toc73518721"/>
      <w:bookmarkStart w:id="942" w:name="_Toc73518868"/>
      <w:bookmarkStart w:id="943" w:name="_Toc73519268"/>
      <w:bookmarkStart w:id="944" w:name="_Toc73636307"/>
      <w:r w:rsidRPr="000C156A">
        <w:rPr>
          <w:rFonts w:hint="eastAsia"/>
          <w:lang w:eastAsia="zh-CN"/>
        </w:rPr>
        <w:t>房屋设备租金与维修费</w:t>
      </w:r>
      <w:bookmarkEnd w:id="941"/>
      <w:bookmarkEnd w:id="942"/>
      <w:bookmarkEnd w:id="943"/>
      <w:bookmarkEnd w:id="944"/>
    </w:p>
    <w:p w14:paraId="581F5267" w14:textId="77777777" w:rsidR="009630A9" w:rsidRPr="000C156A" w:rsidRDefault="009630A9" w:rsidP="009630A9">
      <w:pPr>
        <w:ind w:firstLineChars="200" w:firstLine="480"/>
        <w:rPr>
          <w:lang w:val="en-US" w:eastAsia="zh-CN"/>
        </w:rPr>
      </w:pPr>
      <w:r w:rsidRPr="000C156A">
        <w:rPr>
          <w:rFonts w:hint="eastAsia"/>
          <w:lang w:eastAsia="zh-CN"/>
        </w:rPr>
        <w:t>该类别包含大会场地和会议厅、存储区和停车位以及</w:t>
      </w:r>
      <w:r w:rsidRPr="000C156A">
        <w:rPr>
          <w:lang w:eastAsia="zh-CN"/>
        </w:rPr>
        <w:t>IT</w:t>
      </w:r>
      <w:r w:rsidRPr="000C156A">
        <w:rPr>
          <w:rFonts w:hint="eastAsia"/>
          <w:lang w:eastAsia="zh-CN"/>
        </w:rPr>
        <w:t>设备和其它办公设备的租金，同时也包括办公楼、绿化区、车辆、技术和</w:t>
      </w:r>
      <w:r w:rsidRPr="000C156A">
        <w:rPr>
          <w:lang w:eastAsia="zh-CN"/>
        </w:rPr>
        <w:t>IT</w:t>
      </w:r>
      <w:r w:rsidRPr="000C156A">
        <w:rPr>
          <w:rFonts w:hint="eastAsia"/>
          <w:lang w:eastAsia="zh-CN"/>
        </w:rPr>
        <w:t>设备的维护费以及火灾、水灾和其它不同损失的保险费用。</w:t>
      </w:r>
      <w:r w:rsidRPr="000C156A">
        <w:rPr>
          <w:rFonts w:hint="eastAsia"/>
          <w:lang w:eastAsia="zh-CN"/>
        </w:rPr>
        <w:t>2</w:t>
      </w:r>
      <w:r w:rsidRPr="000C156A">
        <w:rPr>
          <w:lang w:eastAsia="zh-CN"/>
        </w:rPr>
        <w:t>020</w:t>
      </w:r>
      <w:r w:rsidRPr="000C156A">
        <w:rPr>
          <w:rFonts w:hint="eastAsia"/>
          <w:lang w:eastAsia="zh-CN"/>
        </w:rPr>
        <w:t>年的租金和设备费为</w:t>
      </w:r>
      <w:r w:rsidRPr="000C156A">
        <w:rPr>
          <w:rFonts w:hint="eastAsia"/>
          <w:lang w:eastAsia="zh-CN"/>
        </w:rPr>
        <w:t>3</w:t>
      </w:r>
      <w:r w:rsidRPr="000C156A">
        <w:rPr>
          <w:lang w:eastAsia="zh-CN"/>
        </w:rPr>
        <w:t>00</w:t>
      </w:r>
      <w:r w:rsidRPr="000C156A">
        <w:rPr>
          <w:rFonts w:hint="eastAsia"/>
          <w:lang w:eastAsia="zh-CN"/>
        </w:rPr>
        <w:t>万瑞郎（</w:t>
      </w:r>
      <w:r w:rsidRPr="000C156A">
        <w:rPr>
          <w:lang w:eastAsia="zh-CN"/>
        </w:rPr>
        <w:t>201</w:t>
      </w:r>
      <w:r w:rsidRPr="000C156A">
        <w:rPr>
          <w:rFonts w:hint="eastAsia"/>
          <w:lang w:eastAsia="zh-CN"/>
        </w:rPr>
        <w:t>9</w:t>
      </w:r>
      <w:r w:rsidRPr="000C156A">
        <w:rPr>
          <w:rFonts w:hint="eastAsia"/>
          <w:lang w:eastAsia="zh-CN"/>
        </w:rPr>
        <w:t>年</w:t>
      </w:r>
      <w:r w:rsidRPr="000C156A">
        <w:rPr>
          <w:rFonts w:hint="eastAsia"/>
          <w:lang w:eastAsia="zh-CN"/>
        </w:rPr>
        <w:t>41</w:t>
      </w:r>
      <w:r w:rsidRPr="000C156A">
        <w:rPr>
          <w:rFonts w:hint="eastAsia"/>
          <w:lang w:val="en-US" w:eastAsia="zh-CN"/>
        </w:rPr>
        <w:t>0</w:t>
      </w:r>
      <w:r w:rsidRPr="000C156A">
        <w:rPr>
          <w:rFonts w:hint="eastAsia"/>
          <w:lang w:val="en-US" w:eastAsia="zh-CN"/>
        </w:rPr>
        <w:t>万瑞郎）。</w:t>
      </w:r>
    </w:p>
    <w:p w14:paraId="44A91581" w14:textId="77777777" w:rsidR="009630A9" w:rsidRPr="000C156A" w:rsidRDefault="009630A9" w:rsidP="009630A9">
      <w:pPr>
        <w:pStyle w:val="Headingb"/>
        <w:rPr>
          <w:lang w:eastAsia="zh-CN"/>
        </w:rPr>
      </w:pPr>
      <w:bookmarkStart w:id="945" w:name="_Toc329011655"/>
      <w:bookmarkStart w:id="946" w:name="_Toc305764112"/>
      <w:bookmarkStart w:id="947" w:name="_Toc73518722"/>
      <w:bookmarkStart w:id="948" w:name="_Toc73518869"/>
      <w:bookmarkStart w:id="949" w:name="_Toc73519269"/>
      <w:bookmarkStart w:id="950" w:name="_Toc73636308"/>
      <w:r w:rsidRPr="000C156A">
        <w:rPr>
          <w:rFonts w:hint="eastAsia"/>
          <w:lang w:eastAsia="zh-CN"/>
        </w:rPr>
        <w:lastRenderedPageBreak/>
        <w:t>设备和办公用品，运输、电信和服务费用</w:t>
      </w:r>
      <w:bookmarkEnd w:id="945"/>
      <w:bookmarkEnd w:id="946"/>
      <w:bookmarkEnd w:id="947"/>
      <w:bookmarkEnd w:id="948"/>
      <w:bookmarkEnd w:id="949"/>
      <w:bookmarkEnd w:id="950"/>
    </w:p>
    <w:p w14:paraId="25AAD8C5" w14:textId="77777777" w:rsidR="009630A9" w:rsidRPr="000C156A" w:rsidRDefault="009630A9" w:rsidP="009630A9">
      <w:pPr>
        <w:keepNext/>
        <w:keepLines/>
        <w:ind w:firstLineChars="200" w:firstLine="480"/>
        <w:rPr>
          <w:lang w:val="en-US" w:eastAsia="zh-CN"/>
        </w:rPr>
      </w:pPr>
      <w:r w:rsidRPr="000C156A">
        <w:rPr>
          <w:rFonts w:hint="eastAsia"/>
          <w:lang w:eastAsia="zh-CN"/>
        </w:rPr>
        <w:t>设备和办公用品包括未被记为资产的办公用品、打印机用品、表格、卡、期刊、图书和装订、</w:t>
      </w:r>
      <w:r w:rsidRPr="000C156A">
        <w:rPr>
          <w:lang w:eastAsia="zh-CN"/>
        </w:rPr>
        <w:t>IT</w:t>
      </w:r>
      <w:r w:rsidRPr="000C156A">
        <w:rPr>
          <w:rFonts w:hint="eastAsia"/>
          <w:lang w:eastAsia="zh-CN"/>
        </w:rPr>
        <w:t>用品和软件产品。</w:t>
      </w:r>
      <w:r w:rsidRPr="000C156A">
        <w:rPr>
          <w:rFonts w:hint="eastAsia"/>
          <w:lang w:eastAsia="zh-CN"/>
        </w:rPr>
        <w:t>2</w:t>
      </w:r>
      <w:r w:rsidRPr="000C156A">
        <w:rPr>
          <w:lang w:eastAsia="zh-CN"/>
        </w:rPr>
        <w:t>020</w:t>
      </w:r>
      <w:r w:rsidRPr="000C156A">
        <w:rPr>
          <w:rFonts w:hint="eastAsia"/>
          <w:lang w:eastAsia="zh-CN"/>
        </w:rPr>
        <w:t>年，设备和办公用品的费用金额为</w:t>
      </w:r>
      <w:r w:rsidRPr="000C156A">
        <w:rPr>
          <w:rFonts w:hint="eastAsia"/>
          <w:lang w:eastAsia="zh-CN"/>
        </w:rPr>
        <w:t>2</w:t>
      </w:r>
      <w:r w:rsidRPr="000C156A">
        <w:rPr>
          <w:lang w:eastAsia="zh-CN"/>
        </w:rPr>
        <w:t>90</w:t>
      </w:r>
      <w:r w:rsidRPr="000C156A">
        <w:rPr>
          <w:rFonts w:hint="eastAsia"/>
          <w:lang w:eastAsia="zh-CN"/>
        </w:rPr>
        <w:t>万瑞郎（</w:t>
      </w:r>
      <w:r w:rsidRPr="000C156A">
        <w:rPr>
          <w:lang w:eastAsia="zh-CN"/>
        </w:rPr>
        <w:t>2019</w:t>
      </w:r>
      <w:r w:rsidRPr="000C156A">
        <w:rPr>
          <w:rFonts w:hint="eastAsia"/>
          <w:lang w:eastAsia="zh-CN"/>
        </w:rPr>
        <w:t>年为</w:t>
      </w:r>
      <w:r w:rsidRPr="000C156A">
        <w:rPr>
          <w:rFonts w:hint="eastAsia"/>
          <w:lang w:eastAsia="zh-CN"/>
        </w:rPr>
        <w:t>3</w:t>
      </w:r>
      <w:r w:rsidRPr="000C156A">
        <w:rPr>
          <w:lang w:eastAsia="zh-CN"/>
        </w:rPr>
        <w:t>80</w:t>
      </w:r>
      <w:r w:rsidRPr="000C156A">
        <w:rPr>
          <w:rFonts w:hint="eastAsia"/>
          <w:lang w:eastAsia="zh-CN"/>
        </w:rPr>
        <w:t>万瑞郎）。</w:t>
      </w:r>
      <w:r w:rsidRPr="000C156A">
        <w:rPr>
          <w:lang w:eastAsia="zh-CN"/>
        </w:rPr>
        <w:t>2020</w:t>
      </w:r>
      <w:r w:rsidRPr="000C156A">
        <w:rPr>
          <w:rFonts w:hint="eastAsia"/>
          <w:lang w:eastAsia="zh-CN"/>
        </w:rPr>
        <w:t>年运输、电信和服务费用为</w:t>
      </w:r>
      <w:r w:rsidRPr="000C156A">
        <w:rPr>
          <w:lang w:val="en-US" w:eastAsia="zh-CN"/>
        </w:rPr>
        <w:t>15</w:t>
      </w:r>
      <w:r w:rsidRPr="000C156A">
        <w:rPr>
          <w:rFonts w:hint="eastAsia"/>
          <w:lang w:val="en-US" w:eastAsia="zh-CN"/>
        </w:rPr>
        <w:t>0</w:t>
      </w:r>
      <w:r w:rsidRPr="000C156A">
        <w:rPr>
          <w:rFonts w:hint="eastAsia"/>
          <w:lang w:val="en-US" w:eastAsia="zh-CN"/>
        </w:rPr>
        <w:t>万瑞郎（</w:t>
      </w:r>
      <w:r w:rsidRPr="000C156A">
        <w:rPr>
          <w:lang w:val="en-US" w:eastAsia="zh-CN"/>
        </w:rPr>
        <w:t>2019</w:t>
      </w:r>
      <w:r w:rsidRPr="000C156A">
        <w:rPr>
          <w:rFonts w:hint="eastAsia"/>
          <w:lang w:val="en-US" w:eastAsia="zh-CN"/>
        </w:rPr>
        <w:t>年的</w:t>
      </w:r>
      <w:r w:rsidRPr="000C156A">
        <w:rPr>
          <w:lang w:val="en-US" w:eastAsia="zh-CN"/>
        </w:rPr>
        <w:t>16</w:t>
      </w:r>
      <w:r w:rsidRPr="000C156A">
        <w:rPr>
          <w:rFonts w:hint="eastAsia"/>
          <w:lang w:val="en-US" w:eastAsia="zh-CN"/>
        </w:rPr>
        <w:t>0</w:t>
      </w:r>
      <w:r w:rsidRPr="000C156A">
        <w:rPr>
          <w:rFonts w:hint="eastAsia"/>
          <w:lang w:val="en-US" w:eastAsia="zh-CN"/>
        </w:rPr>
        <w:t>万瑞郎）。</w:t>
      </w:r>
      <w:bookmarkStart w:id="951" w:name="_Toc329011656"/>
      <w:bookmarkStart w:id="952" w:name="_Toc305764113"/>
    </w:p>
    <w:p w14:paraId="264ACE6A" w14:textId="77777777" w:rsidR="009630A9" w:rsidRPr="000C156A" w:rsidRDefault="009630A9" w:rsidP="006D57AA">
      <w:pPr>
        <w:pStyle w:val="Headingb"/>
        <w:spacing w:after="240"/>
        <w:rPr>
          <w:lang w:eastAsia="zh-CN"/>
        </w:rPr>
      </w:pPr>
      <w:bookmarkStart w:id="953" w:name="_Toc73518723"/>
      <w:bookmarkStart w:id="954" w:name="_Toc73518870"/>
      <w:bookmarkStart w:id="955" w:name="_Toc73519270"/>
      <w:bookmarkStart w:id="956" w:name="_Toc73636309"/>
      <w:bookmarkEnd w:id="951"/>
      <w:bookmarkEnd w:id="952"/>
      <w:r w:rsidRPr="000C156A">
        <w:rPr>
          <w:rFonts w:hint="eastAsia"/>
          <w:lang w:eastAsia="zh-CN"/>
        </w:rPr>
        <w:t>其它费用</w:t>
      </w:r>
      <w:bookmarkEnd w:id="953"/>
      <w:bookmarkEnd w:id="954"/>
      <w:bookmarkEnd w:id="955"/>
      <w:bookmarkEnd w:id="956"/>
    </w:p>
    <w:tbl>
      <w:tblPr>
        <w:tblW w:w="9538" w:type="dxa"/>
        <w:jc w:val="center"/>
        <w:tblLook w:val="04A0" w:firstRow="1" w:lastRow="0" w:firstColumn="1" w:lastColumn="0" w:noHBand="0" w:noVBand="1"/>
      </w:tblPr>
      <w:tblGrid>
        <w:gridCol w:w="5884"/>
        <w:gridCol w:w="1834"/>
        <w:gridCol w:w="1820"/>
      </w:tblGrid>
      <w:tr w:rsidR="009630A9" w:rsidRPr="000C156A" w14:paraId="45B40E53" w14:textId="77777777" w:rsidTr="005D02F0">
        <w:trPr>
          <w:trHeight w:val="499"/>
          <w:jc w:val="center"/>
        </w:trPr>
        <w:tc>
          <w:tcPr>
            <w:tcW w:w="5884" w:type="dxa"/>
            <w:tcBorders>
              <w:top w:val="single" w:sz="4" w:space="0" w:color="auto"/>
              <w:left w:val="single" w:sz="4" w:space="0" w:color="auto"/>
              <w:bottom w:val="single" w:sz="4" w:space="0" w:color="auto"/>
              <w:right w:val="single" w:sz="4" w:space="0" w:color="auto"/>
            </w:tcBorders>
            <w:noWrap/>
            <w:vAlign w:val="center"/>
            <w:hideMark/>
          </w:tcPr>
          <w:p w14:paraId="1EDD91F9" w14:textId="77777777" w:rsidR="009630A9" w:rsidRPr="000C156A" w:rsidRDefault="009630A9" w:rsidP="005D02F0">
            <w:pPr>
              <w:spacing w:before="20" w:after="20"/>
              <w:rPr>
                <w:b/>
                <w:sz w:val="22"/>
                <w:szCs w:val="18"/>
                <w:lang w:val="en-US"/>
              </w:rPr>
            </w:pPr>
            <w:bookmarkStart w:id="957" w:name="_Toc329011658"/>
            <w:bookmarkStart w:id="958" w:name="_Toc305764116"/>
            <w:r w:rsidRPr="000C156A">
              <w:rPr>
                <w:bCs/>
                <w:lang w:val="en-US" w:eastAsia="zh-CN"/>
              </w:rPr>
              <w:br w:type="page"/>
            </w:r>
            <w:r w:rsidRPr="000C156A">
              <w:rPr>
                <w:rFonts w:ascii="SimSun" w:hAnsi="SimSun" w:cs="SimSun" w:hint="eastAsia"/>
                <w:b/>
                <w:sz w:val="22"/>
                <w:szCs w:val="18"/>
                <w:lang w:val="en-US"/>
              </w:rPr>
              <w:t>单位：千瑞郎</w:t>
            </w:r>
          </w:p>
        </w:tc>
        <w:tc>
          <w:tcPr>
            <w:tcW w:w="1834" w:type="dxa"/>
            <w:tcBorders>
              <w:top w:val="single" w:sz="4" w:space="0" w:color="auto"/>
              <w:left w:val="single" w:sz="4" w:space="0" w:color="auto"/>
              <w:bottom w:val="single" w:sz="4" w:space="0" w:color="auto"/>
              <w:right w:val="single" w:sz="4" w:space="0" w:color="auto"/>
            </w:tcBorders>
            <w:vAlign w:val="center"/>
            <w:hideMark/>
          </w:tcPr>
          <w:p w14:paraId="3535D2A7" w14:textId="77777777" w:rsidR="009630A9" w:rsidRPr="000C156A" w:rsidRDefault="009630A9" w:rsidP="005D02F0">
            <w:pPr>
              <w:spacing w:before="20" w:after="20"/>
              <w:jc w:val="right"/>
              <w:rPr>
                <w:b/>
                <w:sz w:val="22"/>
                <w:szCs w:val="22"/>
                <w:lang w:val="en-US"/>
              </w:rPr>
            </w:pPr>
            <w:r w:rsidRPr="000C156A">
              <w:rPr>
                <w:b/>
                <w:sz w:val="22"/>
                <w:szCs w:val="22"/>
                <w:lang w:val="en-US"/>
              </w:rPr>
              <w:t>2020</w:t>
            </w:r>
            <w:r w:rsidRPr="000C156A">
              <w:rPr>
                <w:rFonts w:ascii="SimSun" w:hAnsi="SimSun" w:cs="SimSun" w:hint="eastAsia"/>
                <w:b/>
                <w:sz w:val="22"/>
                <w:szCs w:val="22"/>
                <w:lang w:val="en-US"/>
              </w:rPr>
              <w:t>年</w:t>
            </w:r>
          </w:p>
        </w:tc>
        <w:tc>
          <w:tcPr>
            <w:tcW w:w="1820" w:type="dxa"/>
            <w:tcBorders>
              <w:top w:val="single" w:sz="4" w:space="0" w:color="auto"/>
              <w:left w:val="single" w:sz="4" w:space="0" w:color="auto"/>
              <w:bottom w:val="single" w:sz="4" w:space="0" w:color="auto"/>
              <w:right w:val="single" w:sz="4" w:space="0" w:color="auto"/>
            </w:tcBorders>
            <w:vAlign w:val="center"/>
            <w:hideMark/>
          </w:tcPr>
          <w:p w14:paraId="6CDF184C" w14:textId="77777777" w:rsidR="009630A9" w:rsidRPr="000C156A" w:rsidRDefault="009630A9" w:rsidP="005D02F0">
            <w:pPr>
              <w:spacing w:before="20" w:after="20"/>
              <w:jc w:val="right"/>
              <w:rPr>
                <w:b/>
                <w:sz w:val="22"/>
                <w:szCs w:val="22"/>
                <w:lang w:val="en-US"/>
              </w:rPr>
            </w:pPr>
            <w:r w:rsidRPr="000C156A">
              <w:rPr>
                <w:b/>
                <w:sz w:val="22"/>
                <w:szCs w:val="22"/>
                <w:lang w:val="en-US"/>
              </w:rPr>
              <w:t>201</w:t>
            </w:r>
            <w:r w:rsidRPr="000C156A">
              <w:rPr>
                <w:b/>
                <w:sz w:val="22"/>
                <w:szCs w:val="22"/>
                <w:lang w:val="en-US" w:eastAsia="zh-CN"/>
              </w:rPr>
              <w:t>9</w:t>
            </w:r>
            <w:r w:rsidRPr="000C156A">
              <w:rPr>
                <w:rFonts w:ascii="SimSun" w:hAnsi="SimSun" w:cs="SimSun" w:hint="eastAsia"/>
                <w:b/>
                <w:sz w:val="22"/>
                <w:szCs w:val="22"/>
                <w:lang w:val="en-US"/>
              </w:rPr>
              <w:t>年</w:t>
            </w:r>
          </w:p>
        </w:tc>
      </w:tr>
      <w:tr w:rsidR="009630A9" w:rsidRPr="000C156A" w14:paraId="3BC4954B" w14:textId="77777777" w:rsidTr="005D02F0">
        <w:trPr>
          <w:trHeight w:val="20"/>
          <w:jc w:val="center"/>
        </w:trPr>
        <w:tc>
          <w:tcPr>
            <w:tcW w:w="5884" w:type="dxa"/>
            <w:tcBorders>
              <w:top w:val="single" w:sz="4" w:space="0" w:color="auto"/>
              <w:left w:val="single" w:sz="4" w:space="0" w:color="auto"/>
              <w:bottom w:val="nil"/>
              <w:right w:val="single" w:sz="4" w:space="0" w:color="auto"/>
            </w:tcBorders>
            <w:noWrap/>
            <w:vAlign w:val="center"/>
            <w:hideMark/>
          </w:tcPr>
          <w:p w14:paraId="27966397" w14:textId="77777777" w:rsidR="009630A9" w:rsidRPr="000C156A" w:rsidRDefault="009630A9" w:rsidP="005D02F0">
            <w:pPr>
              <w:spacing w:before="20" w:after="20"/>
              <w:rPr>
                <w:bCs/>
                <w:sz w:val="22"/>
                <w:szCs w:val="18"/>
                <w:lang w:val="en-US"/>
              </w:rPr>
            </w:pPr>
            <w:r w:rsidRPr="000C156A">
              <w:rPr>
                <w:rFonts w:hint="eastAsia"/>
                <w:bCs/>
                <w:sz w:val="22"/>
                <w:szCs w:val="18"/>
                <w:lang w:val="en-US"/>
              </w:rPr>
              <w:t>外部审计费用</w:t>
            </w:r>
          </w:p>
        </w:tc>
        <w:tc>
          <w:tcPr>
            <w:tcW w:w="1834" w:type="dxa"/>
            <w:tcBorders>
              <w:top w:val="nil"/>
              <w:left w:val="single" w:sz="4" w:space="0" w:color="auto"/>
              <w:bottom w:val="nil"/>
              <w:right w:val="single" w:sz="4" w:space="0" w:color="auto"/>
            </w:tcBorders>
            <w:shd w:val="clear" w:color="auto" w:fill="auto"/>
            <w:vAlign w:val="bottom"/>
            <w:hideMark/>
          </w:tcPr>
          <w:p w14:paraId="4F775EBD" w14:textId="77777777"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r w:rsidRPr="000C156A">
              <w:rPr>
                <w:rFonts w:cs="Calibri"/>
                <w:color w:val="000000"/>
                <w:sz w:val="22"/>
                <w:szCs w:val="22"/>
                <w:lang w:val="en-US" w:eastAsia="zh-CN"/>
              </w:rPr>
              <w:t>13</w:t>
            </w:r>
          </w:p>
        </w:tc>
        <w:tc>
          <w:tcPr>
            <w:tcW w:w="1820" w:type="dxa"/>
            <w:tcBorders>
              <w:top w:val="nil"/>
              <w:left w:val="nil"/>
              <w:bottom w:val="nil"/>
              <w:right w:val="single" w:sz="4" w:space="0" w:color="auto"/>
            </w:tcBorders>
            <w:shd w:val="clear" w:color="auto" w:fill="auto"/>
            <w:noWrap/>
            <w:vAlign w:val="bottom"/>
            <w:hideMark/>
          </w:tcPr>
          <w:p w14:paraId="317A4C0E" w14:textId="77777777"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r w:rsidRPr="000C156A">
              <w:rPr>
                <w:rFonts w:cs="Calibri"/>
                <w:color w:val="000000"/>
                <w:sz w:val="22"/>
                <w:szCs w:val="22"/>
                <w:lang w:val="en-US" w:eastAsia="zh-CN"/>
              </w:rPr>
              <w:t>108</w:t>
            </w:r>
          </w:p>
        </w:tc>
      </w:tr>
      <w:tr w:rsidR="009630A9" w:rsidRPr="000C156A" w14:paraId="40DB9B4B" w14:textId="77777777" w:rsidTr="005D02F0">
        <w:trPr>
          <w:trHeight w:val="20"/>
          <w:jc w:val="center"/>
        </w:trPr>
        <w:tc>
          <w:tcPr>
            <w:tcW w:w="5884" w:type="dxa"/>
            <w:tcBorders>
              <w:top w:val="nil"/>
              <w:left w:val="single" w:sz="4" w:space="0" w:color="auto"/>
              <w:bottom w:val="nil"/>
              <w:right w:val="single" w:sz="4" w:space="0" w:color="auto"/>
            </w:tcBorders>
            <w:noWrap/>
            <w:vAlign w:val="center"/>
            <w:hideMark/>
          </w:tcPr>
          <w:p w14:paraId="7FA040C6" w14:textId="77777777" w:rsidR="009630A9" w:rsidRPr="000C156A" w:rsidRDefault="009630A9" w:rsidP="005D02F0">
            <w:pPr>
              <w:spacing w:before="20" w:after="20"/>
              <w:rPr>
                <w:bCs/>
                <w:sz w:val="22"/>
                <w:szCs w:val="18"/>
                <w:lang w:val="en-US" w:eastAsia="zh-CN"/>
              </w:rPr>
            </w:pPr>
            <w:r w:rsidRPr="000C156A">
              <w:rPr>
                <w:rFonts w:hint="eastAsia"/>
                <w:bCs/>
                <w:sz w:val="22"/>
                <w:szCs w:val="18"/>
                <w:lang w:val="en-US" w:eastAsia="zh-CN"/>
              </w:rPr>
              <w:t>参加联合国工作的费用</w:t>
            </w:r>
          </w:p>
        </w:tc>
        <w:tc>
          <w:tcPr>
            <w:tcW w:w="1834" w:type="dxa"/>
            <w:tcBorders>
              <w:top w:val="nil"/>
              <w:left w:val="single" w:sz="4" w:space="0" w:color="auto"/>
              <w:bottom w:val="nil"/>
              <w:right w:val="single" w:sz="4" w:space="0" w:color="auto"/>
            </w:tcBorders>
            <w:shd w:val="clear" w:color="auto" w:fill="auto"/>
            <w:vAlign w:val="bottom"/>
            <w:hideMark/>
          </w:tcPr>
          <w:p w14:paraId="41E1E6AA" w14:textId="77777777"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r w:rsidRPr="000C156A">
              <w:rPr>
                <w:rFonts w:cs="Calibri"/>
                <w:color w:val="000000"/>
                <w:sz w:val="22"/>
                <w:szCs w:val="22"/>
                <w:lang w:val="en-US" w:eastAsia="zh-CN"/>
              </w:rPr>
              <w:t>469</w:t>
            </w:r>
          </w:p>
        </w:tc>
        <w:tc>
          <w:tcPr>
            <w:tcW w:w="1820" w:type="dxa"/>
            <w:tcBorders>
              <w:top w:val="nil"/>
              <w:left w:val="nil"/>
              <w:bottom w:val="nil"/>
              <w:right w:val="single" w:sz="4" w:space="0" w:color="auto"/>
            </w:tcBorders>
            <w:shd w:val="clear" w:color="auto" w:fill="auto"/>
            <w:noWrap/>
            <w:vAlign w:val="bottom"/>
            <w:hideMark/>
          </w:tcPr>
          <w:p w14:paraId="125ACF9E" w14:textId="77777777"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r w:rsidRPr="000C156A">
              <w:rPr>
                <w:rFonts w:cs="Calibri"/>
                <w:color w:val="000000"/>
                <w:sz w:val="22"/>
                <w:szCs w:val="22"/>
                <w:lang w:val="en-US" w:eastAsia="zh-CN"/>
              </w:rPr>
              <w:t>664</w:t>
            </w:r>
          </w:p>
        </w:tc>
      </w:tr>
      <w:tr w:rsidR="009630A9" w:rsidRPr="000C156A" w14:paraId="684A721A" w14:textId="77777777" w:rsidTr="005D02F0">
        <w:trPr>
          <w:trHeight w:val="20"/>
          <w:jc w:val="center"/>
        </w:trPr>
        <w:tc>
          <w:tcPr>
            <w:tcW w:w="5884" w:type="dxa"/>
            <w:tcBorders>
              <w:top w:val="nil"/>
              <w:left w:val="single" w:sz="4" w:space="0" w:color="auto"/>
              <w:bottom w:val="nil"/>
              <w:right w:val="single" w:sz="4" w:space="0" w:color="auto"/>
            </w:tcBorders>
            <w:noWrap/>
            <w:vAlign w:val="center"/>
            <w:hideMark/>
          </w:tcPr>
          <w:p w14:paraId="43E15D3E" w14:textId="77777777" w:rsidR="009630A9" w:rsidRPr="000C156A" w:rsidRDefault="009630A9" w:rsidP="005D02F0">
            <w:pPr>
              <w:spacing w:before="20" w:after="20"/>
              <w:rPr>
                <w:bCs/>
                <w:sz w:val="22"/>
                <w:szCs w:val="18"/>
                <w:lang w:val="en-US"/>
              </w:rPr>
            </w:pPr>
            <w:r w:rsidRPr="000C156A">
              <w:rPr>
                <w:rFonts w:hint="eastAsia"/>
                <w:bCs/>
                <w:sz w:val="22"/>
                <w:szCs w:val="18"/>
                <w:lang w:val="en-US"/>
              </w:rPr>
              <w:t>法律费用</w:t>
            </w:r>
          </w:p>
        </w:tc>
        <w:tc>
          <w:tcPr>
            <w:tcW w:w="1834" w:type="dxa"/>
            <w:tcBorders>
              <w:top w:val="nil"/>
              <w:left w:val="single" w:sz="4" w:space="0" w:color="auto"/>
              <w:bottom w:val="nil"/>
              <w:right w:val="single" w:sz="4" w:space="0" w:color="auto"/>
            </w:tcBorders>
            <w:shd w:val="clear" w:color="auto" w:fill="auto"/>
            <w:vAlign w:val="bottom"/>
            <w:hideMark/>
          </w:tcPr>
          <w:p w14:paraId="37C2FAED" w14:textId="77777777"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r w:rsidRPr="000C156A">
              <w:rPr>
                <w:rFonts w:cs="Calibri"/>
                <w:color w:val="000000"/>
                <w:sz w:val="22"/>
                <w:szCs w:val="22"/>
                <w:lang w:val="en-US" w:eastAsia="zh-CN"/>
              </w:rPr>
              <w:t>536</w:t>
            </w:r>
          </w:p>
        </w:tc>
        <w:tc>
          <w:tcPr>
            <w:tcW w:w="1820" w:type="dxa"/>
            <w:tcBorders>
              <w:top w:val="nil"/>
              <w:left w:val="nil"/>
              <w:bottom w:val="nil"/>
              <w:right w:val="single" w:sz="4" w:space="0" w:color="auto"/>
            </w:tcBorders>
            <w:shd w:val="clear" w:color="auto" w:fill="auto"/>
            <w:noWrap/>
            <w:vAlign w:val="bottom"/>
            <w:hideMark/>
          </w:tcPr>
          <w:p w14:paraId="4E21230C" w14:textId="77777777"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r w:rsidRPr="000C156A">
              <w:rPr>
                <w:rFonts w:cs="Calibri"/>
                <w:color w:val="000000"/>
                <w:sz w:val="22"/>
                <w:szCs w:val="22"/>
                <w:lang w:val="en-US" w:eastAsia="zh-CN"/>
              </w:rPr>
              <w:t>29</w:t>
            </w:r>
          </w:p>
        </w:tc>
      </w:tr>
      <w:tr w:rsidR="009630A9" w:rsidRPr="000C156A" w14:paraId="71B4A248" w14:textId="77777777" w:rsidTr="005D02F0">
        <w:trPr>
          <w:trHeight w:val="20"/>
          <w:jc w:val="center"/>
        </w:trPr>
        <w:tc>
          <w:tcPr>
            <w:tcW w:w="5884" w:type="dxa"/>
            <w:tcBorders>
              <w:top w:val="nil"/>
              <w:left w:val="single" w:sz="4" w:space="0" w:color="auto"/>
              <w:bottom w:val="nil"/>
              <w:right w:val="single" w:sz="4" w:space="0" w:color="auto"/>
            </w:tcBorders>
            <w:noWrap/>
            <w:vAlign w:val="center"/>
            <w:hideMark/>
          </w:tcPr>
          <w:p w14:paraId="0B083B1F" w14:textId="77777777" w:rsidR="009630A9" w:rsidRPr="000C156A" w:rsidRDefault="009630A9" w:rsidP="005D02F0">
            <w:pPr>
              <w:spacing w:before="20" w:after="20"/>
              <w:rPr>
                <w:bCs/>
                <w:sz w:val="22"/>
                <w:szCs w:val="18"/>
                <w:lang w:val="en-US" w:eastAsia="zh-CN"/>
              </w:rPr>
            </w:pPr>
            <w:r w:rsidRPr="000C156A">
              <w:rPr>
                <w:rFonts w:hint="eastAsia"/>
                <w:bCs/>
                <w:sz w:val="22"/>
                <w:szCs w:val="18"/>
                <w:lang w:val="en-US" w:eastAsia="zh-CN"/>
              </w:rPr>
              <w:t>准备金的调整及其它费用</w:t>
            </w:r>
          </w:p>
        </w:tc>
        <w:tc>
          <w:tcPr>
            <w:tcW w:w="1834" w:type="dxa"/>
            <w:tcBorders>
              <w:top w:val="nil"/>
              <w:left w:val="single" w:sz="4" w:space="0" w:color="auto"/>
              <w:bottom w:val="nil"/>
              <w:right w:val="single" w:sz="4" w:space="0" w:color="auto"/>
            </w:tcBorders>
            <w:shd w:val="clear" w:color="auto" w:fill="auto"/>
            <w:vAlign w:val="bottom"/>
            <w:hideMark/>
          </w:tcPr>
          <w:p w14:paraId="55D0C869" w14:textId="531FF96C" w:rsidR="009630A9" w:rsidRPr="000C156A" w:rsidRDefault="009630A9" w:rsidP="006D57AA">
            <w:pPr>
              <w:overflowPunct/>
              <w:autoSpaceDE/>
              <w:autoSpaceDN/>
              <w:adjustRightInd/>
              <w:spacing w:before="0"/>
              <w:jc w:val="right"/>
              <w:textAlignment w:val="auto"/>
              <w:rPr>
                <w:rFonts w:cs="Calibri"/>
                <w:color w:val="000000"/>
                <w:sz w:val="20"/>
                <w:lang w:val="en-US" w:eastAsia="zh-CN"/>
              </w:rPr>
            </w:pPr>
            <w:r w:rsidRPr="000C156A">
              <w:rPr>
                <w:rFonts w:cs="Calibri"/>
                <w:color w:val="000000"/>
                <w:sz w:val="22"/>
                <w:szCs w:val="22"/>
                <w:lang w:val="en-US" w:eastAsia="zh-CN"/>
              </w:rPr>
              <w:t>7</w:t>
            </w:r>
            <w:r w:rsidR="006D57AA" w:rsidRPr="000C156A">
              <w:rPr>
                <w:rFonts w:cs="Calibri"/>
                <w:color w:val="000000"/>
                <w:sz w:val="22"/>
                <w:szCs w:val="22"/>
                <w:lang w:val="en-US" w:eastAsia="zh-CN"/>
              </w:rPr>
              <w:t xml:space="preserve"> </w:t>
            </w:r>
            <w:r w:rsidRPr="000C156A">
              <w:rPr>
                <w:rFonts w:cs="Calibri"/>
                <w:color w:val="000000"/>
                <w:sz w:val="22"/>
                <w:szCs w:val="22"/>
                <w:lang w:val="en-US" w:eastAsia="zh-CN"/>
              </w:rPr>
              <w:t>289</w:t>
            </w:r>
          </w:p>
        </w:tc>
        <w:tc>
          <w:tcPr>
            <w:tcW w:w="1820" w:type="dxa"/>
            <w:tcBorders>
              <w:top w:val="nil"/>
              <w:left w:val="nil"/>
              <w:bottom w:val="nil"/>
              <w:right w:val="single" w:sz="4" w:space="0" w:color="auto"/>
            </w:tcBorders>
            <w:shd w:val="clear" w:color="auto" w:fill="auto"/>
            <w:noWrap/>
            <w:vAlign w:val="bottom"/>
            <w:hideMark/>
          </w:tcPr>
          <w:p w14:paraId="45A54E2B" w14:textId="77777777"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r w:rsidRPr="000C156A">
              <w:rPr>
                <w:rFonts w:cs="Calibri"/>
                <w:color w:val="000000"/>
                <w:sz w:val="22"/>
                <w:szCs w:val="22"/>
                <w:lang w:val="en-US" w:eastAsia="zh-CN"/>
              </w:rPr>
              <w:t>-390</w:t>
            </w:r>
          </w:p>
        </w:tc>
      </w:tr>
      <w:tr w:rsidR="009630A9" w:rsidRPr="000C156A" w14:paraId="52B244FC" w14:textId="77777777" w:rsidTr="005D02F0">
        <w:trPr>
          <w:trHeight w:val="20"/>
          <w:jc w:val="center"/>
        </w:trPr>
        <w:tc>
          <w:tcPr>
            <w:tcW w:w="5884" w:type="dxa"/>
            <w:tcBorders>
              <w:top w:val="nil"/>
              <w:left w:val="single" w:sz="4" w:space="0" w:color="auto"/>
              <w:bottom w:val="nil"/>
              <w:right w:val="single" w:sz="4" w:space="0" w:color="auto"/>
            </w:tcBorders>
            <w:noWrap/>
            <w:vAlign w:val="center"/>
          </w:tcPr>
          <w:p w14:paraId="39C29C1E" w14:textId="77777777" w:rsidR="009630A9" w:rsidRPr="000C156A" w:rsidRDefault="009630A9" w:rsidP="005D02F0">
            <w:pPr>
              <w:spacing w:before="20" w:after="20"/>
              <w:rPr>
                <w:bCs/>
                <w:sz w:val="22"/>
                <w:szCs w:val="18"/>
                <w:lang w:val="en-US" w:eastAsia="zh-CN"/>
              </w:rPr>
            </w:pPr>
          </w:p>
        </w:tc>
        <w:tc>
          <w:tcPr>
            <w:tcW w:w="1834" w:type="dxa"/>
            <w:tcBorders>
              <w:top w:val="nil"/>
              <w:left w:val="single" w:sz="4" w:space="0" w:color="auto"/>
              <w:bottom w:val="nil"/>
              <w:right w:val="single" w:sz="4" w:space="0" w:color="auto"/>
            </w:tcBorders>
            <w:shd w:val="clear" w:color="auto" w:fill="auto"/>
            <w:vAlign w:val="bottom"/>
          </w:tcPr>
          <w:p w14:paraId="79EBFD64" w14:textId="77777777"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p>
        </w:tc>
        <w:tc>
          <w:tcPr>
            <w:tcW w:w="1820" w:type="dxa"/>
            <w:tcBorders>
              <w:top w:val="nil"/>
              <w:left w:val="nil"/>
              <w:bottom w:val="single" w:sz="4" w:space="0" w:color="auto"/>
              <w:right w:val="single" w:sz="4" w:space="0" w:color="auto"/>
            </w:tcBorders>
            <w:shd w:val="clear" w:color="auto" w:fill="auto"/>
            <w:noWrap/>
            <w:vAlign w:val="bottom"/>
          </w:tcPr>
          <w:p w14:paraId="6D64E501" w14:textId="77777777" w:rsidR="009630A9" w:rsidRPr="000C156A" w:rsidRDefault="009630A9" w:rsidP="005D02F0">
            <w:pPr>
              <w:overflowPunct/>
              <w:autoSpaceDE/>
              <w:autoSpaceDN/>
              <w:adjustRightInd/>
              <w:spacing w:before="0"/>
              <w:jc w:val="right"/>
              <w:textAlignment w:val="auto"/>
              <w:rPr>
                <w:rFonts w:cs="Calibri"/>
                <w:color w:val="000000"/>
                <w:sz w:val="20"/>
                <w:lang w:val="en-US" w:eastAsia="zh-CN"/>
              </w:rPr>
            </w:pPr>
          </w:p>
        </w:tc>
      </w:tr>
      <w:tr w:rsidR="009630A9" w:rsidRPr="000C156A" w14:paraId="4F44CFC5" w14:textId="77777777" w:rsidTr="005D02F0">
        <w:trPr>
          <w:trHeight w:val="20"/>
          <w:jc w:val="center"/>
        </w:trPr>
        <w:tc>
          <w:tcPr>
            <w:tcW w:w="5884" w:type="dxa"/>
            <w:tcBorders>
              <w:top w:val="single" w:sz="4" w:space="0" w:color="auto"/>
              <w:left w:val="single" w:sz="4" w:space="0" w:color="auto"/>
              <w:bottom w:val="single" w:sz="4" w:space="0" w:color="auto"/>
              <w:right w:val="single" w:sz="4" w:space="0" w:color="auto"/>
            </w:tcBorders>
            <w:noWrap/>
            <w:vAlign w:val="center"/>
            <w:hideMark/>
          </w:tcPr>
          <w:p w14:paraId="1C0D477F" w14:textId="77777777" w:rsidR="009630A9" w:rsidRPr="000C156A" w:rsidRDefault="009630A9" w:rsidP="005D02F0">
            <w:pPr>
              <w:spacing w:before="20" w:after="20"/>
              <w:rPr>
                <w:b/>
                <w:sz w:val="22"/>
                <w:szCs w:val="18"/>
                <w:lang w:val="en-US"/>
              </w:rPr>
            </w:pPr>
            <w:r w:rsidRPr="000C156A">
              <w:rPr>
                <w:rFonts w:hint="eastAsia"/>
                <w:b/>
                <w:sz w:val="22"/>
                <w:szCs w:val="18"/>
                <w:lang w:val="en-US"/>
              </w:rPr>
              <w:t>其它费用</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CA5B5" w14:textId="38ED2BB1" w:rsidR="009630A9" w:rsidRPr="000C156A" w:rsidRDefault="009630A9" w:rsidP="006D57AA">
            <w:pPr>
              <w:overflowPunct/>
              <w:autoSpaceDE/>
              <w:autoSpaceDN/>
              <w:adjustRightInd/>
              <w:spacing w:before="0"/>
              <w:jc w:val="right"/>
              <w:textAlignment w:val="auto"/>
              <w:rPr>
                <w:rFonts w:cs="Calibri"/>
                <w:b/>
                <w:bCs/>
                <w:color w:val="000000"/>
                <w:sz w:val="20"/>
                <w:lang w:val="en-US" w:eastAsia="zh-CN"/>
              </w:rPr>
            </w:pPr>
            <w:r w:rsidRPr="000C156A">
              <w:rPr>
                <w:rFonts w:cs="Calibri"/>
                <w:b/>
                <w:bCs/>
                <w:color w:val="000000"/>
                <w:sz w:val="22"/>
                <w:szCs w:val="22"/>
              </w:rPr>
              <w:t>8</w:t>
            </w:r>
            <w:r w:rsidR="006D57AA" w:rsidRPr="000C156A">
              <w:rPr>
                <w:rFonts w:cs="Calibri"/>
                <w:b/>
                <w:bCs/>
                <w:color w:val="000000"/>
                <w:sz w:val="22"/>
                <w:szCs w:val="22"/>
              </w:rPr>
              <w:t xml:space="preserve"> </w:t>
            </w:r>
            <w:r w:rsidRPr="000C156A">
              <w:rPr>
                <w:rFonts w:cs="Calibri"/>
                <w:b/>
                <w:bCs/>
                <w:color w:val="000000"/>
                <w:sz w:val="22"/>
                <w:szCs w:val="22"/>
              </w:rPr>
              <w:t>306</w:t>
            </w:r>
          </w:p>
        </w:tc>
        <w:tc>
          <w:tcPr>
            <w:tcW w:w="1820" w:type="dxa"/>
            <w:tcBorders>
              <w:top w:val="nil"/>
              <w:left w:val="nil"/>
              <w:bottom w:val="single" w:sz="4" w:space="0" w:color="auto"/>
              <w:right w:val="single" w:sz="4" w:space="0" w:color="auto"/>
            </w:tcBorders>
            <w:shd w:val="clear" w:color="auto" w:fill="auto"/>
            <w:noWrap/>
            <w:vAlign w:val="center"/>
            <w:hideMark/>
          </w:tcPr>
          <w:p w14:paraId="7CEDF109" w14:textId="77777777" w:rsidR="009630A9" w:rsidRPr="000C156A" w:rsidRDefault="009630A9" w:rsidP="005D02F0">
            <w:pPr>
              <w:overflowPunct/>
              <w:autoSpaceDE/>
              <w:autoSpaceDN/>
              <w:adjustRightInd/>
              <w:spacing w:before="0"/>
              <w:jc w:val="right"/>
              <w:textAlignment w:val="auto"/>
              <w:rPr>
                <w:rFonts w:cs="Calibri"/>
                <w:b/>
                <w:bCs/>
                <w:color w:val="000000"/>
                <w:sz w:val="20"/>
                <w:lang w:val="en-US" w:eastAsia="zh-CN"/>
              </w:rPr>
            </w:pPr>
            <w:r w:rsidRPr="000C156A">
              <w:rPr>
                <w:rFonts w:cs="Calibri"/>
                <w:b/>
                <w:bCs/>
                <w:color w:val="000000"/>
                <w:sz w:val="22"/>
                <w:szCs w:val="22"/>
              </w:rPr>
              <w:t>411</w:t>
            </w:r>
          </w:p>
        </w:tc>
      </w:tr>
    </w:tbl>
    <w:p w14:paraId="1DE388D1" w14:textId="77777777" w:rsidR="009630A9" w:rsidRPr="000C156A" w:rsidRDefault="009630A9" w:rsidP="002D218F">
      <w:pPr>
        <w:spacing w:before="240"/>
        <w:ind w:firstLineChars="200" w:firstLine="480"/>
        <w:rPr>
          <w:lang w:eastAsia="zh-CN"/>
        </w:rPr>
      </w:pPr>
      <w:r w:rsidRPr="000C156A">
        <w:rPr>
          <w:rFonts w:hint="eastAsia"/>
          <w:lang w:eastAsia="zh-CN"/>
        </w:rPr>
        <w:t>其它费用与由意大利审计院进行的国际电联账簿和账目的法定年度审计有关，而且还与国际电联参加各组织间委员会和联合国的服务相关，诸如联合国检查组、联合国管理事务高级别委员会以及信息通信技术署。</w:t>
      </w:r>
    </w:p>
    <w:p w14:paraId="3D048202" w14:textId="77777777" w:rsidR="009630A9" w:rsidRPr="000C156A" w:rsidRDefault="009630A9" w:rsidP="009630A9">
      <w:pPr>
        <w:ind w:firstLineChars="200" w:firstLine="480"/>
        <w:rPr>
          <w:rFonts w:cs="Calibri"/>
          <w:lang w:val="en-US" w:eastAsia="zh-CN"/>
        </w:rPr>
      </w:pPr>
      <w:r w:rsidRPr="000C156A">
        <w:rPr>
          <w:rFonts w:cs="Calibri" w:hint="eastAsia"/>
          <w:lang w:val="en-US" w:eastAsia="zh-CN"/>
        </w:rPr>
        <w:t>法律支出包含未结案件的结果的估计费用以及法院受理的案件的平均行政费用。</w:t>
      </w:r>
    </w:p>
    <w:p w14:paraId="70FC5686" w14:textId="77777777" w:rsidR="009630A9" w:rsidRPr="000C156A" w:rsidRDefault="009630A9" w:rsidP="009630A9">
      <w:pPr>
        <w:ind w:firstLineChars="200" w:firstLine="480"/>
        <w:rPr>
          <w:szCs w:val="24"/>
          <w:lang w:val="en-US" w:eastAsia="zh-CN"/>
        </w:rPr>
      </w:pPr>
      <w:r w:rsidRPr="000C156A">
        <w:rPr>
          <w:rFonts w:ascii="SimSun" w:hAnsi="SimSun" w:hint="eastAsia"/>
          <w:szCs w:val="24"/>
          <w:lang w:val="en-US" w:eastAsia="zh-CN"/>
        </w:rPr>
        <w:t>“</w:t>
      </w:r>
      <w:r w:rsidRPr="000C156A">
        <w:rPr>
          <w:rFonts w:hint="eastAsia"/>
          <w:szCs w:val="24"/>
          <w:lang w:val="en-US" w:eastAsia="zh-CN"/>
        </w:rPr>
        <w:t>准备金</w:t>
      </w:r>
      <w:r w:rsidRPr="000C156A">
        <w:rPr>
          <w:rFonts w:hint="eastAsia"/>
          <w:szCs w:val="24"/>
          <w:lang w:eastAsia="zh-CN"/>
        </w:rPr>
        <w:t>的调整</w:t>
      </w:r>
      <w:r w:rsidRPr="000C156A">
        <w:rPr>
          <w:rFonts w:hint="eastAsia"/>
          <w:szCs w:val="24"/>
          <w:lang w:val="en-US" w:eastAsia="zh-CN"/>
        </w:rPr>
        <w:t>及其他费用</w:t>
      </w:r>
      <w:r w:rsidRPr="000C156A">
        <w:rPr>
          <w:rFonts w:ascii="SimSun" w:hAnsi="SimSun" w:hint="eastAsia"/>
          <w:szCs w:val="24"/>
          <w:lang w:val="en-US" w:eastAsia="zh-CN"/>
        </w:rPr>
        <w:t>”</w:t>
      </w:r>
      <w:r w:rsidRPr="000C156A">
        <w:rPr>
          <w:rFonts w:hint="eastAsia"/>
          <w:szCs w:val="24"/>
          <w:lang w:val="en-US" w:eastAsia="zh-CN"/>
        </w:rPr>
        <w:t>主要是用来解决因支付过期应收款项造成的疑似债务。</w:t>
      </w:r>
    </w:p>
    <w:p w14:paraId="1B903DAE" w14:textId="77777777" w:rsidR="009630A9" w:rsidRPr="000C156A" w:rsidRDefault="009630A9" w:rsidP="009630A9">
      <w:pPr>
        <w:ind w:firstLineChars="200" w:firstLine="480"/>
        <w:rPr>
          <w:bCs/>
          <w:szCs w:val="24"/>
          <w:lang w:val="en-US" w:eastAsia="zh-CN"/>
        </w:rPr>
      </w:pPr>
      <w:r w:rsidRPr="000C156A">
        <w:rPr>
          <w:rFonts w:cs="Calibri" w:hint="eastAsia"/>
          <w:lang w:val="en-US" w:eastAsia="zh-CN"/>
        </w:rPr>
        <w:t>2020</w:t>
      </w:r>
      <w:r w:rsidRPr="000C156A">
        <w:rPr>
          <w:rFonts w:cs="Calibri" w:hint="eastAsia"/>
          <w:lang w:val="en-US" w:eastAsia="zh-CN"/>
        </w:rPr>
        <w:t>年，共拨款</w:t>
      </w:r>
      <w:r w:rsidRPr="000C156A">
        <w:rPr>
          <w:rFonts w:cs="Calibri" w:hint="eastAsia"/>
          <w:lang w:val="en-US" w:eastAsia="zh-CN"/>
        </w:rPr>
        <w:t>390</w:t>
      </w:r>
      <w:r w:rsidRPr="000C156A">
        <w:rPr>
          <w:rFonts w:cs="Calibri" w:hint="eastAsia"/>
          <w:lang w:val="en-US" w:eastAsia="zh-CN"/>
        </w:rPr>
        <w:t>万瑞郎为区域性举措项目出资。此外，国际电联支付了与</w:t>
      </w:r>
      <w:r w:rsidRPr="000C156A">
        <w:rPr>
          <w:rFonts w:eastAsia="Times New Roman"/>
          <w:lang w:eastAsia="zh-CN"/>
        </w:rPr>
        <w:t>UNSMIS</w:t>
      </w:r>
      <w:r w:rsidRPr="000C156A">
        <w:rPr>
          <w:rFonts w:cs="Calibri" w:hint="eastAsia"/>
          <w:lang w:val="en-US" w:eastAsia="zh-CN"/>
        </w:rPr>
        <w:t>有关的年度分期付款（</w:t>
      </w:r>
      <w:r w:rsidRPr="000C156A">
        <w:rPr>
          <w:rFonts w:cs="Calibri" w:hint="eastAsia"/>
          <w:lang w:val="en-US" w:eastAsia="zh-CN"/>
        </w:rPr>
        <w:t>160</w:t>
      </w:r>
      <w:r w:rsidRPr="000C156A">
        <w:rPr>
          <w:rFonts w:cs="Calibri" w:hint="eastAsia"/>
          <w:lang w:val="en-US" w:eastAsia="zh-CN"/>
        </w:rPr>
        <w:t>万瑞郎），且为避免对</w:t>
      </w:r>
      <w:r w:rsidRPr="000C156A">
        <w:rPr>
          <w:rFonts w:cs="Calibri" w:hint="eastAsia"/>
          <w:lang w:val="en-US" w:eastAsia="zh-CN"/>
        </w:rPr>
        <w:t>2021</w:t>
      </w:r>
      <w:r w:rsidRPr="000C156A">
        <w:rPr>
          <w:rFonts w:cs="Calibri" w:hint="eastAsia"/>
          <w:lang w:val="en-US" w:eastAsia="zh-CN"/>
        </w:rPr>
        <w:t>年产生任何负面影响，决定为</w:t>
      </w:r>
      <w:r w:rsidRPr="000C156A">
        <w:rPr>
          <w:rFonts w:cs="Calibri" w:hint="eastAsia"/>
          <w:lang w:val="en-US" w:eastAsia="zh-CN"/>
        </w:rPr>
        <w:t>2021</w:t>
      </w:r>
      <w:r w:rsidRPr="000C156A">
        <w:rPr>
          <w:rFonts w:cs="Calibri" w:hint="eastAsia"/>
          <w:lang w:val="en-US" w:eastAsia="zh-CN"/>
        </w:rPr>
        <w:t>年分期付款（</w:t>
      </w:r>
      <w:r w:rsidRPr="000C156A">
        <w:rPr>
          <w:rFonts w:cs="Calibri" w:hint="eastAsia"/>
          <w:lang w:val="en-US" w:eastAsia="zh-CN"/>
        </w:rPr>
        <w:t>150</w:t>
      </w:r>
      <w:r w:rsidRPr="000C156A">
        <w:rPr>
          <w:rFonts w:cs="Calibri" w:hint="eastAsia"/>
          <w:lang w:val="en-US" w:eastAsia="zh-CN"/>
        </w:rPr>
        <w:t>万瑞郎）提供准备金。这三项内容可说明</w:t>
      </w:r>
      <w:r w:rsidRPr="000C156A">
        <w:rPr>
          <w:rFonts w:cs="Calibri" w:hint="eastAsia"/>
          <w:lang w:val="en-US" w:eastAsia="zh-CN"/>
        </w:rPr>
        <w:t>2020</w:t>
      </w:r>
      <w:r w:rsidRPr="000C156A">
        <w:rPr>
          <w:rFonts w:cs="Calibri" w:hint="eastAsia"/>
          <w:lang w:val="en-US" w:eastAsia="zh-CN"/>
        </w:rPr>
        <w:t>年其他费用增加的原因。</w:t>
      </w:r>
    </w:p>
    <w:p w14:paraId="079AFE60" w14:textId="77777777" w:rsidR="009630A9" w:rsidRPr="000C156A" w:rsidRDefault="009630A9" w:rsidP="00D0405E">
      <w:pPr>
        <w:pStyle w:val="Headingb"/>
        <w:spacing w:after="240"/>
        <w:rPr>
          <w:lang w:eastAsia="zh-CN"/>
        </w:rPr>
      </w:pPr>
      <w:bookmarkStart w:id="959" w:name="_Toc73518724"/>
      <w:bookmarkStart w:id="960" w:name="_Toc73518871"/>
      <w:bookmarkStart w:id="961" w:name="_Toc73519271"/>
      <w:bookmarkStart w:id="962" w:name="_Toc73636310"/>
      <w:bookmarkEnd w:id="957"/>
      <w:bookmarkEnd w:id="958"/>
      <w:r w:rsidRPr="000C156A">
        <w:rPr>
          <w:rFonts w:hint="eastAsia"/>
          <w:lang w:eastAsia="zh-CN"/>
        </w:rPr>
        <w:t>理财费用</w:t>
      </w:r>
      <w:bookmarkEnd w:id="959"/>
      <w:bookmarkEnd w:id="960"/>
      <w:bookmarkEnd w:id="961"/>
      <w:bookmarkEnd w:id="962"/>
    </w:p>
    <w:tbl>
      <w:tblPr>
        <w:tblW w:w="9551" w:type="dxa"/>
        <w:jc w:val="center"/>
        <w:tblLayout w:type="fixed"/>
        <w:tblLook w:val="04A0" w:firstRow="1" w:lastRow="0" w:firstColumn="1" w:lastColumn="0" w:noHBand="0" w:noVBand="1"/>
      </w:tblPr>
      <w:tblGrid>
        <w:gridCol w:w="5892"/>
        <w:gridCol w:w="1834"/>
        <w:gridCol w:w="1825"/>
      </w:tblGrid>
      <w:tr w:rsidR="009630A9" w:rsidRPr="000C156A" w14:paraId="0D66B1B6" w14:textId="77777777" w:rsidTr="00F724E7">
        <w:trPr>
          <w:trHeight w:val="429"/>
          <w:jc w:val="center"/>
        </w:trPr>
        <w:tc>
          <w:tcPr>
            <w:tcW w:w="5892" w:type="dxa"/>
            <w:tcBorders>
              <w:top w:val="single" w:sz="4" w:space="0" w:color="auto"/>
              <w:left w:val="single" w:sz="4" w:space="0" w:color="auto"/>
              <w:bottom w:val="single" w:sz="4" w:space="0" w:color="auto"/>
              <w:right w:val="single" w:sz="4" w:space="0" w:color="auto"/>
            </w:tcBorders>
            <w:noWrap/>
            <w:vAlign w:val="center"/>
            <w:hideMark/>
          </w:tcPr>
          <w:p w14:paraId="601D6B43" w14:textId="77777777" w:rsidR="009630A9" w:rsidRPr="000C156A" w:rsidRDefault="009630A9" w:rsidP="005D02F0">
            <w:pPr>
              <w:keepNext/>
              <w:spacing w:before="20" w:after="20"/>
              <w:rPr>
                <w:b/>
                <w:sz w:val="22"/>
                <w:szCs w:val="18"/>
                <w:lang w:val="en-US"/>
              </w:rPr>
            </w:pPr>
            <w:r w:rsidRPr="000C156A">
              <w:rPr>
                <w:rFonts w:ascii="SimSun" w:hAnsi="SimSun" w:cs="SimSun" w:hint="eastAsia"/>
                <w:b/>
                <w:sz w:val="22"/>
                <w:szCs w:val="18"/>
                <w:lang w:val="en-US"/>
              </w:rPr>
              <w:t>单位：千瑞郎</w:t>
            </w:r>
          </w:p>
        </w:tc>
        <w:tc>
          <w:tcPr>
            <w:tcW w:w="1834" w:type="dxa"/>
            <w:tcBorders>
              <w:top w:val="single" w:sz="4" w:space="0" w:color="auto"/>
              <w:left w:val="single" w:sz="4" w:space="0" w:color="auto"/>
              <w:bottom w:val="single" w:sz="4" w:space="0" w:color="auto"/>
              <w:right w:val="single" w:sz="4" w:space="0" w:color="auto"/>
            </w:tcBorders>
            <w:vAlign w:val="center"/>
            <w:hideMark/>
          </w:tcPr>
          <w:p w14:paraId="63A8C0A1" w14:textId="77777777" w:rsidR="009630A9" w:rsidRPr="000C156A" w:rsidRDefault="009630A9" w:rsidP="005D02F0">
            <w:pPr>
              <w:spacing w:before="20" w:after="20"/>
              <w:jc w:val="right"/>
              <w:rPr>
                <w:b/>
                <w:sz w:val="22"/>
                <w:szCs w:val="22"/>
                <w:lang w:val="en-US"/>
              </w:rPr>
            </w:pPr>
            <w:r w:rsidRPr="000C156A">
              <w:rPr>
                <w:b/>
                <w:sz w:val="22"/>
                <w:szCs w:val="22"/>
                <w:lang w:val="en-US"/>
              </w:rPr>
              <w:t>20</w:t>
            </w:r>
            <w:r w:rsidRPr="000C156A">
              <w:rPr>
                <w:rFonts w:hint="eastAsia"/>
                <w:b/>
                <w:sz w:val="22"/>
                <w:szCs w:val="22"/>
                <w:lang w:val="en-US" w:eastAsia="zh-CN"/>
              </w:rPr>
              <w:t>20</w:t>
            </w:r>
            <w:r w:rsidRPr="000C156A">
              <w:rPr>
                <w:rFonts w:ascii="SimSun" w:hAnsi="SimSun" w:cs="SimSun" w:hint="eastAsia"/>
                <w:b/>
                <w:sz w:val="22"/>
                <w:szCs w:val="22"/>
                <w:lang w:val="en-US"/>
              </w:rPr>
              <w:t>年</w:t>
            </w:r>
          </w:p>
        </w:tc>
        <w:tc>
          <w:tcPr>
            <w:tcW w:w="1825" w:type="dxa"/>
            <w:tcBorders>
              <w:top w:val="single" w:sz="4" w:space="0" w:color="auto"/>
              <w:left w:val="single" w:sz="4" w:space="0" w:color="auto"/>
              <w:bottom w:val="single" w:sz="4" w:space="0" w:color="auto"/>
              <w:right w:val="single" w:sz="4" w:space="0" w:color="auto"/>
            </w:tcBorders>
            <w:vAlign w:val="center"/>
            <w:hideMark/>
          </w:tcPr>
          <w:p w14:paraId="5BF2D1C7" w14:textId="77777777" w:rsidR="009630A9" w:rsidRPr="000C156A" w:rsidRDefault="009630A9" w:rsidP="005D02F0">
            <w:pPr>
              <w:spacing w:before="20" w:after="20"/>
              <w:jc w:val="right"/>
              <w:rPr>
                <w:b/>
                <w:sz w:val="22"/>
                <w:szCs w:val="22"/>
                <w:lang w:val="en-US"/>
              </w:rPr>
            </w:pPr>
            <w:r w:rsidRPr="000C156A">
              <w:rPr>
                <w:b/>
                <w:sz w:val="22"/>
                <w:szCs w:val="22"/>
                <w:lang w:val="en-US"/>
              </w:rPr>
              <w:t>201</w:t>
            </w:r>
            <w:r w:rsidRPr="000C156A">
              <w:rPr>
                <w:rFonts w:hint="eastAsia"/>
                <w:b/>
                <w:sz w:val="22"/>
                <w:szCs w:val="22"/>
                <w:lang w:val="en-US" w:eastAsia="zh-CN"/>
              </w:rPr>
              <w:t>9</w:t>
            </w:r>
            <w:r w:rsidRPr="000C156A">
              <w:rPr>
                <w:rFonts w:ascii="SimSun" w:hAnsi="SimSun" w:cs="SimSun" w:hint="eastAsia"/>
                <w:b/>
                <w:sz w:val="22"/>
                <w:szCs w:val="22"/>
                <w:lang w:val="en-US"/>
              </w:rPr>
              <w:t>年</w:t>
            </w:r>
          </w:p>
        </w:tc>
      </w:tr>
      <w:tr w:rsidR="009630A9" w:rsidRPr="000C156A" w14:paraId="3C07F27D" w14:textId="77777777" w:rsidTr="005D02F0">
        <w:trPr>
          <w:trHeight w:val="20"/>
          <w:jc w:val="center"/>
        </w:trPr>
        <w:tc>
          <w:tcPr>
            <w:tcW w:w="5892" w:type="dxa"/>
            <w:tcBorders>
              <w:top w:val="single" w:sz="4" w:space="0" w:color="auto"/>
              <w:left w:val="single" w:sz="4" w:space="0" w:color="auto"/>
              <w:right w:val="single" w:sz="4" w:space="0" w:color="auto"/>
            </w:tcBorders>
            <w:noWrap/>
            <w:vAlign w:val="center"/>
          </w:tcPr>
          <w:p w14:paraId="37BC549B" w14:textId="77777777" w:rsidR="009630A9" w:rsidRPr="000C156A" w:rsidRDefault="009630A9" w:rsidP="005D02F0">
            <w:pPr>
              <w:keepNext/>
              <w:spacing w:before="20" w:after="20"/>
              <w:rPr>
                <w:b/>
                <w:sz w:val="22"/>
                <w:szCs w:val="18"/>
                <w:lang w:val="en-US" w:eastAsia="zh-CN"/>
              </w:rPr>
            </w:pPr>
          </w:p>
        </w:tc>
        <w:tc>
          <w:tcPr>
            <w:tcW w:w="1834" w:type="dxa"/>
            <w:tcBorders>
              <w:top w:val="nil"/>
              <w:left w:val="single" w:sz="4" w:space="0" w:color="auto"/>
              <w:bottom w:val="nil"/>
              <w:right w:val="single" w:sz="4" w:space="0" w:color="auto"/>
            </w:tcBorders>
            <w:shd w:val="clear" w:color="auto" w:fill="auto"/>
            <w:vAlign w:val="bottom"/>
          </w:tcPr>
          <w:p w14:paraId="4F068EB5" w14:textId="77777777" w:rsidR="009630A9" w:rsidRPr="000C156A" w:rsidRDefault="009630A9" w:rsidP="005D02F0">
            <w:pPr>
              <w:overflowPunct/>
              <w:autoSpaceDE/>
              <w:autoSpaceDN/>
              <w:adjustRightInd/>
              <w:spacing w:before="0"/>
              <w:textAlignment w:val="auto"/>
              <w:rPr>
                <w:rFonts w:cs="Calibri"/>
                <w:color w:val="000000"/>
                <w:sz w:val="20"/>
                <w:lang w:val="en-US" w:eastAsia="zh-CN"/>
              </w:rPr>
            </w:pPr>
            <w:r w:rsidRPr="000C156A">
              <w:rPr>
                <w:rFonts w:cs="Calibri"/>
                <w:color w:val="000000"/>
                <w:sz w:val="20"/>
                <w:lang w:val="en-US" w:eastAsia="zh-CN"/>
              </w:rPr>
              <w:t> </w:t>
            </w:r>
          </w:p>
        </w:tc>
        <w:tc>
          <w:tcPr>
            <w:tcW w:w="1825" w:type="dxa"/>
            <w:tcBorders>
              <w:top w:val="nil"/>
              <w:left w:val="nil"/>
              <w:bottom w:val="nil"/>
              <w:right w:val="single" w:sz="4" w:space="0" w:color="auto"/>
            </w:tcBorders>
            <w:shd w:val="clear" w:color="auto" w:fill="auto"/>
            <w:noWrap/>
            <w:vAlign w:val="bottom"/>
          </w:tcPr>
          <w:p w14:paraId="499D8BC5" w14:textId="77777777" w:rsidR="009630A9" w:rsidRPr="000C156A" w:rsidRDefault="009630A9" w:rsidP="005D02F0">
            <w:pPr>
              <w:overflowPunct/>
              <w:autoSpaceDE/>
              <w:autoSpaceDN/>
              <w:adjustRightInd/>
              <w:spacing w:before="0"/>
              <w:jc w:val="center"/>
              <w:textAlignment w:val="auto"/>
              <w:rPr>
                <w:rFonts w:cs="Calibri"/>
                <w:color w:val="000000"/>
                <w:sz w:val="20"/>
                <w:lang w:val="en-US" w:eastAsia="zh-CN"/>
              </w:rPr>
            </w:pPr>
            <w:r w:rsidRPr="000C156A">
              <w:rPr>
                <w:rFonts w:cs="Calibri"/>
                <w:color w:val="000000"/>
                <w:sz w:val="20"/>
                <w:lang w:val="en-US" w:eastAsia="zh-CN"/>
              </w:rPr>
              <w:t> </w:t>
            </w:r>
          </w:p>
        </w:tc>
      </w:tr>
      <w:tr w:rsidR="009630A9" w:rsidRPr="000C156A" w14:paraId="7E9E307E" w14:textId="77777777" w:rsidTr="005D02F0">
        <w:trPr>
          <w:trHeight w:val="20"/>
          <w:jc w:val="center"/>
        </w:trPr>
        <w:tc>
          <w:tcPr>
            <w:tcW w:w="5892" w:type="dxa"/>
            <w:tcBorders>
              <w:left w:val="single" w:sz="4" w:space="0" w:color="auto"/>
              <w:bottom w:val="nil"/>
              <w:right w:val="single" w:sz="4" w:space="0" w:color="auto"/>
            </w:tcBorders>
            <w:noWrap/>
            <w:vAlign w:val="center"/>
            <w:hideMark/>
          </w:tcPr>
          <w:p w14:paraId="17EE6ACC" w14:textId="77777777" w:rsidR="009630A9" w:rsidRPr="000C156A" w:rsidRDefault="009630A9" w:rsidP="005D02F0">
            <w:pPr>
              <w:keepNext/>
              <w:spacing w:before="20" w:after="20"/>
              <w:rPr>
                <w:bCs/>
                <w:sz w:val="22"/>
                <w:szCs w:val="18"/>
                <w:lang w:val="en-US" w:eastAsia="zh-CN"/>
              </w:rPr>
            </w:pPr>
            <w:r w:rsidRPr="000C156A">
              <w:rPr>
                <w:rFonts w:hint="eastAsia"/>
                <w:bCs/>
                <w:sz w:val="22"/>
                <w:szCs w:val="18"/>
                <w:lang w:val="en-US" w:eastAsia="zh-CN"/>
              </w:rPr>
              <w:t>银行收费</w:t>
            </w:r>
          </w:p>
        </w:tc>
        <w:tc>
          <w:tcPr>
            <w:tcW w:w="1834" w:type="dxa"/>
            <w:tcBorders>
              <w:top w:val="nil"/>
              <w:left w:val="single" w:sz="4" w:space="0" w:color="auto"/>
              <w:bottom w:val="nil"/>
              <w:right w:val="single" w:sz="4" w:space="0" w:color="auto"/>
            </w:tcBorders>
            <w:shd w:val="clear" w:color="auto" w:fill="auto"/>
            <w:vAlign w:val="bottom"/>
            <w:hideMark/>
          </w:tcPr>
          <w:p w14:paraId="3083CF3B" w14:textId="77777777" w:rsidR="009630A9" w:rsidRPr="000C156A" w:rsidRDefault="009630A9" w:rsidP="005D02F0">
            <w:pPr>
              <w:overflowPunct/>
              <w:autoSpaceDE/>
              <w:autoSpaceDN/>
              <w:adjustRightInd/>
              <w:spacing w:before="0"/>
              <w:jc w:val="right"/>
              <w:textAlignment w:val="auto"/>
              <w:rPr>
                <w:rFonts w:cs="Calibri"/>
                <w:color w:val="000000"/>
                <w:sz w:val="22"/>
                <w:szCs w:val="22"/>
                <w:lang w:val="en-US" w:eastAsia="zh-CN"/>
              </w:rPr>
            </w:pPr>
            <w:r w:rsidRPr="000C156A">
              <w:rPr>
                <w:rFonts w:cs="Calibri"/>
                <w:color w:val="000000"/>
                <w:sz w:val="22"/>
                <w:szCs w:val="22"/>
                <w:lang w:val="en-US" w:eastAsia="zh-CN"/>
              </w:rPr>
              <w:t>143</w:t>
            </w:r>
          </w:p>
        </w:tc>
        <w:tc>
          <w:tcPr>
            <w:tcW w:w="1825" w:type="dxa"/>
            <w:tcBorders>
              <w:top w:val="nil"/>
              <w:left w:val="nil"/>
              <w:bottom w:val="nil"/>
              <w:right w:val="single" w:sz="4" w:space="0" w:color="auto"/>
            </w:tcBorders>
            <w:shd w:val="clear" w:color="auto" w:fill="auto"/>
            <w:noWrap/>
            <w:vAlign w:val="bottom"/>
            <w:hideMark/>
          </w:tcPr>
          <w:p w14:paraId="4BB1C9F9" w14:textId="77777777" w:rsidR="009630A9" w:rsidRPr="000C156A" w:rsidRDefault="009630A9" w:rsidP="005D02F0">
            <w:pPr>
              <w:overflowPunct/>
              <w:autoSpaceDE/>
              <w:autoSpaceDN/>
              <w:adjustRightInd/>
              <w:spacing w:before="0"/>
              <w:jc w:val="right"/>
              <w:textAlignment w:val="auto"/>
              <w:rPr>
                <w:rFonts w:cs="Calibri"/>
                <w:color w:val="000000"/>
                <w:sz w:val="22"/>
                <w:szCs w:val="22"/>
                <w:lang w:val="en-US" w:eastAsia="zh-CN"/>
              </w:rPr>
            </w:pPr>
            <w:r w:rsidRPr="000C156A">
              <w:rPr>
                <w:rFonts w:cs="Calibri"/>
                <w:color w:val="000000"/>
                <w:sz w:val="22"/>
                <w:szCs w:val="22"/>
                <w:lang w:val="en-US" w:eastAsia="zh-CN"/>
              </w:rPr>
              <w:t>225</w:t>
            </w:r>
          </w:p>
        </w:tc>
      </w:tr>
      <w:tr w:rsidR="009630A9" w:rsidRPr="000C156A" w14:paraId="1A9AC96F" w14:textId="77777777" w:rsidTr="005D02F0">
        <w:trPr>
          <w:trHeight w:val="20"/>
          <w:jc w:val="center"/>
        </w:trPr>
        <w:tc>
          <w:tcPr>
            <w:tcW w:w="5892" w:type="dxa"/>
            <w:tcBorders>
              <w:top w:val="nil"/>
              <w:left w:val="single" w:sz="4" w:space="0" w:color="auto"/>
              <w:bottom w:val="nil"/>
              <w:right w:val="single" w:sz="4" w:space="0" w:color="auto"/>
            </w:tcBorders>
            <w:noWrap/>
            <w:vAlign w:val="center"/>
            <w:hideMark/>
          </w:tcPr>
          <w:p w14:paraId="15B74637" w14:textId="77777777" w:rsidR="009630A9" w:rsidRPr="000C156A" w:rsidRDefault="009630A9" w:rsidP="005D02F0">
            <w:pPr>
              <w:keepNext/>
              <w:spacing w:before="20" w:after="20"/>
              <w:rPr>
                <w:bCs/>
                <w:sz w:val="22"/>
                <w:szCs w:val="18"/>
                <w:lang w:val="en-US" w:eastAsia="zh-CN"/>
              </w:rPr>
            </w:pPr>
            <w:r w:rsidRPr="000C156A">
              <w:rPr>
                <w:rFonts w:hint="eastAsia"/>
                <w:bCs/>
                <w:sz w:val="22"/>
                <w:szCs w:val="18"/>
                <w:lang w:val="en-US" w:eastAsia="zh-CN"/>
              </w:rPr>
              <w:t>已实现的汇率损失</w:t>
            </w:r>
          </w:p>
        </w:tc>
        <w:tc>
          <w:tcPr>
            <w:tcW w:w="1834" w:type="dxa"/>
            <w:tcBorders>
              <w:top w:val="nil"/>
              <w:left w:val="single" w:sz="4" w:space="0" w:color="auto"/>
              <w:bottom w:val="nil"/>
              <w:right w:val="single" w:sz="4" w:space="0" w:color="auto"/>
            </w:tcBorders>
            <w:shd w:val="clear" w:color="auto" w:fill="auto"/>
            <w:vAlign w:val="bottom"/>
            <w:hideMark/>
          </w:tcPr>
          <w:p w14:paraId="330D69F3" w14:textId="77777777" w:rsidR="009630A9" w:rsidRPr="000C156A" w:rsidRDefault="009630A9" w:rsidP="005D02F0">
            <w:pPr>
              <w:overflowPunct/>
              <w:autoSpaceDE/>
              <w:autoSpaceDN/>
              <w:adjustRightInd/>
              <w:spacing w:before="0"/>
              <w:jc w:val="right"/>
              <w:textAlignment w:val="auto"/>
              <w:rPr>
                <w:rFonts w:cs="Calibri"/>
                <w:color w:val="000000"/>
                <w:sz w:val="22"/>
                <w:szCs w:val="22"/>
                <w:lang w:val="en-US" w:eastAsia="zh-CN"/>
              </w:rPr>
            </w:pPr>
            <w:r w:rsidRPr="000C156A">
              <w:rPr>
                <w:rFonts w:cs="Calibri"/>
                <w:color w:val="000000"/>
                <w:sz w:val="22"/>
                <w:szCs w:val="22"/>
                <w:lang w:val="en-US" w:eastAsia="zh-CN"/>
              </w:rPr>
              <w:t>210</w:t>
            </w:r>
          </w:p>
        </w:tc>
        <w:tc>
          <w:tcPr>
            <w:tcW w:w="1825" w:type="dxa"/>
            <w:tcBorders>
              <w:top w:val="nil"/>
              <w:left w:val="nil"/>
              <w:bottom w:val="nil"/>
              <w:right w:val="single" w:sz="4" w:space="0" w:color="auto"/>
            </w:tcBorders>
            <w:shd w:val="clear" w:color="auto" w:fill="auto"/>
            <w:noWrap/>
            <w:vAlign w:val="bottom"/>
            <w:hideMark/>
          </w:tcPr>
          <w:p w14:paraId="24A64B12" w14:textId="77777777" w:rsidR="009630A9" w:rsidRPr="000C156A" w:rsidRDefault="009630A9" w:rsidP="005D02F0">
            <w:pPr>
              <w:overflowPunct/>
              <w:autoSpaceDE/>
              <w:autoSpaceDN/>
              <w:adjustRightInd/>
              <w:spacing w:before="0"/>
              <w:jc w:val="right"/>
              <w:textAlignment w:val="auto"/>
              <w:rPr>
                <w:rFonts w:cs="Calibri"/>
                <w:color w:val="000000"/>
                <w:sz w:val="22"/>
                <w:szCs w:val="22"/>
                <w:lang w:val="en-US" w:eastAsia="zh-CN"/>
              </w:rPr>
            </w:pPr>
            <w:r w:rsidRPr="000C156A">
              <w:rPr>
                <w:rFonts w:cs="Calibri"/>
                <w:color w:val="000000"/>
                <w:sz w:val="22"/>
                <w:szCs w:val="22"/>
                <w:lang w:val="en-US" w:eastAsia="zh-CN"/>
              </w:rPr>
              <w:t>65</w:t>
            </w:r>
          </w:p>
        </w:tc>
      </w:tr>
      <w:tr w:rsidR="009630A9" w:rsidRPr="000C156A" w14:paraId="28D28072" w14:textId="77777777" w:rsidTr="005D02F0">
        <w:trPr>
          <w:trHeight w:val="20"/>
          <w:jc w:val="center"/>
        </w:trPr>
        <w:tc>
          <w:tcPr>
            <w:tcW w:w="5892" w:type="dxa"/>
            <w:tcBorders>
              <w:top w:val="nil"/>
              <w:left w:val="single" w:sz="4" w:space="0" w:color="auto"/>
              <w:right w:val="single" w:sz="4" w:space="0" w:color="auto"/>
            </w:tcBorders>
            <w:noWrap/>
            <w:vAlign w:val="center"/>
            <w:hideMark/>
          </w:tcPr>
          <w:p w14:paraId="3F2E5D46" w14:textId="77777777" w:rsidR="009630A9" w:rsidRPr="000C156A" w:rsidRDefault="009630A9" w:rsidP="005D02F0">
            <w:pPr>
              <w:keepNext/>
              <w:spacing w:before="20" w:after="20"/>
              <w:rPr>
                <w:bCs/>
                <w:sz w:val="22"/>
                <w:szCs w:val="18"/>
                <w:lang w:val="en-US" w:eastAsia="zh-CN"/>
              </w:rPr>
            </w:pPr>
            <w:r w:rsidRPr="000C156A">
              <w:rPr>
                <w:rFonts w:hint="eastAsia"/>
                <w:bCs/>
                <w:sz w:val="22"/>
                <w:szCs w:val="18"/>
                <w:lang w:val="en-US" w:eastAsia="zh-CN"/>
              </w:rPr>
              <w:t>未实现的汇率损失</w:t>
            </w:r>
          </w:p>
        </w:tc>
        <w:tc>
          <w:tcPr>
            <w:tcW w:w="1834" w:type="dxa"/>
            <w:tcBorders>
              <w:top w:val="nil"/>
              <w:left w:val="single" w:sz="4" w:space="0" w:color="auto"/>
              <w:bottom w:val="nil"/>
              <w:right w:val="single" w:sz="4" w:space="0" w:color="auto"/>
            </w:tcBorders>
            <w:shd w:val="clear" w:color="auto" w:fill="auto"/>
            <w:vAlign w:val="bottom"/>
            <w:hideMark/>
          </w:tcPr>
          <w:p w14:paraId="70BD17E0" w14:textId="71E96CD1" w:rsidR="009630A9" w:rsidRPr="000C156A" w:rsidRDefault="009630A9" w:rsidP="00F724E7">
            <w:pPr>
              <w:overflowPunct/>
              <w:autoSpaceDE/>
              <w:autoSpaceDN/>
              <w:adjustRightInd/>
              <w:spacing w:before="0"/>
              <w:jc w:val="right"/>
              <w:textAlignment w:val="auto"/>
              <w:rPr>
                <w:rFonts w:cs="Calibri"/>
                <w:color w:val="000000"/>
                <w:sz w:val="22"/>
                <w:szCs w:val="22"/>
                <w:lang w:val="en-US" w:eastAsia="zh-CN"/>
              </w:rPr>
            </w:pPr>
            <w:r w:rsidRPr="000C156A">
              <w:rPr>
                <w:rFonts w:cs="Calibri"/>
                <w:color w:val="000000"/>
                <w:sz w:val="22"/>
                <w:szCs w:val="22"/>
                <w:lang w:val="en-US" w:eastAsia="zh-CN"/>
              </w:rPr>
              <w:t>14</w:t>
            </w:r>
            <w:r w:rsidR="00F724E7" w:rsidRPr="000C156A">
              <w:rPr>
                <w:rFonts w:cs="Calibri"/>
                <w:color w:val="000000"/>
                <w:sz w:val="22"/>
                <w:szCs w:val="22"/>
                <w:lang w:val="en-US" w:eastAsia="zh-CN"/>
              </w:rPr>
              <w:t xml:space="preserve"> </w:t>
            </w:r>
            <w:r w:rsidRPr="000C156A">
              <w:rPr>
                <w:rFonts w:cs="Calibri"/>
                <w:color w:val="000000"/>
                <w:sz w:val="22"/>
                <w:szCs w:val="22"/>
                <w:lang w:val="en-US" w:eastAsia="zh-CN"/>
              </w:rPr>
              <w:t>716</w:t>
            </w:r>
          </w:p>
        </w:tc>
        <w:tc>
          <w:tcPr>
            <w:tcW w:w="1825" w:type="dxa"/>
            <w:tcBorders>
              <w:top w:val="nil"/>
              <w:left w:val="nil"/>
              <w:bottom w:val="nil"/>
              <w:right w:val="single" w:sz="4" w:space="0" w:color="auto"/>
            </w:tcBorders>
            <w:shd w:val="clear" w:color="auto" w:fill="auto"/>
            <w:noWrap/>
            <w:vAlign w:val="bottom"/>
            <w:hideMark/>
          </w:tcPr>
          <w:p w14:paraId="2149D73A" w14:textId="32B54BB1" w:rsidR="009630A9" w:rsidRPr="000C156A" w:rsidRDefault="009630A9" w:rsidP="00F724E7">
            <w:pPr>
              <w:overflowPunct/>
              <w:autoSpaceDE/>
              <w:autoSpaceDN/>
              <w:adjustRightInd/>
              <w:spacing w:before="0"/>
              <w:jc w:val="right"/>
              <w:textAlignment w:val="auto"/>
              <w:rPr>
                <w:rFonts w:cs="Calibri"/>
                <w:color w:val="000000"/>
                <w:sz w:val="22"/>
                <w:szCs w:val="22"/>
                <w:lang w:val="en-US" w:eastAsia="zh-CN"/>
              </w:rPr>
            </w:pPr>
            <w:r w:rsidRPr="000C156A">
              <w:rPr>
                <w:rFonts w:cs="Calibri"/>
                <w:color w:val="000000"/>
                <w:sz w:val="22"/>
                <w:szCs w:val="22"/>
                <w:lang w:val="en-US" w:eastAsia="zh-CN"/>
              </w:rPr>
              <w:t>3</w:t>
            </w:r>
            <w:r w:rsidR="00F724E7" w:rsidRPr="000C156A">
              <w:rPr>
                <w:rFonts w:cs="Calibri"/>
                <w:color w:val="000000"/>
                <w:sz w:val="22"/>
                <w:szCs w:val="22"/>
                <w:lang w:val="en-US" w:eastAsia="zh-CN"/>
              </w:rPr>
              <w:t xml:space="preserve"> </w:t>
            </w:r>
            <w:r w:rsidRPr="000C156A">
              <w:rPr>
                <w:rFonts w:cs="Calibri"/>
                <w:color w:val="000000"/>
                <w:sz w:val="22"/>
                <w:szCs w:val="22"/>
                <w:lang w:val="en-US" w:eastAsia="zh-CN"/>
              </w:rPr>
              <w:t>389</w:t>
            </w:r>
          </w:p>
        </w:tc>
      </w:tr>
      <w:tr w:rsidR="009630A9" w:rsidRPr="000C156A" w14:paraId="4C89DC6C" w14:textId="77777777" w:rsidTr="005D02F0">
        <w:trPr>
          <w:trHeight w:val="20"/>
          <w:jc w:val="center"/>
        </w:trPr>
        <w:tc>
          <w:tcPr>
            <w:tcW w:w="5892" w:type="dxa"/>
            <w:tcBorders>
              <w:left w:val="single" w:sz="4" w:space="0" w:color="auto"/>
              <w:bottom w:val="single" w:sz="4" w:space="0" w:color="auto"/>
              <w:right w:val="single" w:sz="4" w:space="0" w:color="auto"/>
            </w:tcBorders>
            <w:noWrap/>
            <w:vAlign w:val="center"/>
          </w:tcPr>
          <w:p w14:paraId="2E966DFB" w14:textId="77777777" w:rsidR="009630A9" w:rsidRPr="000C156A" w:rsidRDefault="009630A9" w:rsidP="005D02F0">
            <w:pPr>
              <w:keepNext/>
              <w:spacing w:before="20" w:after="20"/>
              <w:rPr>
                <w:b/>
                <w:sz w:val="22"/>
                <w:szCs w:val="18"/>
                <w:lang w:val="en-US" w:eastAsia="zh-CN"/>
              </w:rPr>
            </w:pPr>
          </w:p>
        </w:tc>
        <w:tc>
          <w:tcPr>
            <w:tcW w:w="1834" w:type="dxa"/>
            <w:tcBorders>
              <w:top w:val="nil"/>
              <w:left w:val="single" w:sz="4" w:space="0" w:color="auto"/>
              <w:bottom w:val="nil"/>
              <w:right w:val="single" w:sz="4" w:space="0" w:color="auto"/>
            </w:tcBorders>
            <w:shd w:val="clear" w:color="auto" w:fill="auto"/>
            <w:vAlign w:val="bottom"/>
          </w:tcPr>
          <w:p w14:paraId="5C06047B" w14:textId="77777777" w:rsidR="009630A9" w:rsidRPr="000C156A" w:rsidRDefault="009630A9" w:rsidP="005D02F0">
            <w:pPr>
              <w:overflowPunct/>
              <w:autoSpaceDE/>
              <w:autoSpaceDN/>
              <w:adjustRightInd/>
              <w:spacing w:before="0"/>
              <w:jc w:val="right"/>
              <w:textAlignment w:val="auto"/>
              <w:rPr>
                <w:rFonts w:cs="Calibri"/>
                <w:color w:val="000000"/>
                <w:sz w:val="22"/>
                <w:szCs w:val="22"/>
                <w:lang w:val="en-US" w:eastAsia="zh-CN"/>
              </w:rPr>
            </w:pPr>
            <w:r w:rsidRPr="000C156A">
              <w:rPr>
                <w:rFonts w:cs="Calibri"/>
                <w:color w:val="000000"/>
                <w:sz w:val="22"/>
                <w:szCs w:val="22"/>
                <w:lang w:val="en-US" w:eastAsia="zh-CN"/>
              </w:rPr>
              <w:t> </w:t>
            </w:r>
          </w:p>
        </w:tc>
        <w:tc>
          <w:tcPr>
            <w:tcW w:w="1825" w:type="dxa"/>
            <w:tcBorders>
              <w:top w:val="nil"/>
              <w:left w:val="nil"/>
              <w:bottom w:val="single" w:sz="4" w:space="0" w:color="auto"/>
              <w:right w:val="single" w:sz="4" w:space="0" w:color="auto"/>
            </w:tcBorders>
            <w:shd w:val="clear" w:color="auto" w:fill="auto"/>
            <w:noWrap/>
            <w:vAlign w:val="bottom"/>
          </w:tcPr>
          <w:p w14:paraId="6DE6DBC4" w14:textId="77777777" w:rsidR="009630A9" w:rsidRPr="000C156A" w:rsidRDefault="009630A9" w:rsidP="005D02F0">
            <w:pPr>
              <w:overflowPunct/>
              <w:autoSpaceDE/>
              <w:autoSpaceDN/>
              <w:adjustRightInd/>
              <w:spacing w:before="0"/>
              <w:jc w:val="right"/>
              <w:textAlignment w:val="auto"/>
              <w:rPr>
                <w:rFonts w:cs="Calibri"/>
                <w:color w:val="000000"/>
                <w:sz w:val="22"/>
                <w:szCs w:val="22"/>
                <w:lang w:val="en-US" w:eastAsia="zh-CN"/>
              </w:rPr>
            </w:pPr>
            <w:r w:rsidRPr="000C156A">
              <w:rPr>
                <w:rFonts w:cs="Calibri"/>
                <w:color w:val="000000"/>
                <w:sz w:val="22"/>
                <w:szCs w:val="22"/>
                <w:lang w:val="en-US" w:eastAsia="zh-CN"/>
              </w:rPr>
              <w:t> </w:t>
            </w:r>
          </w:p>
        </w:tc>
      </w:tr>
      <w:tr w:rsidR="009630A9" w:rsidRPr="000C156A" w14:paraId="295E3140" w14:textId="77777777" w:rsidTr="005D02F0">
        <w:trPr>
          <w:trHeight w:val="20"/>
          <w:jc w:val="center"/>
        </w:trPr>
        <w:tc>
          <w:tcPr>
            <w:tcW w:w="5892" w:type="dxa"/>
            <w:tcBorders>
              <w:top w:val="single" w:sz="4" w:space="0" w:color="auto"/>
              <w:left w:val="single" w:sz="4" w:space="0" w:color="auto"/>
              <w:bottom w:val="single" w:sz="4" w:space="0" w:color="auto"/>
              <w:right w:val="single" w:sz="4" w:space="0" w:color="auto"/>
            </w:tcBorders>
            <w:noWrap/>
            <w:vAlign w:val="center"/>
            <w:hideMark/>
          </w:tcPr>
          <w:p w14:paraId="5FD9FC91" w14:textId="77777777" w:rsidR="009630A9" w:rsidRPr="000C156A" w:rsidRDefault="009630A9" w:rsidP="005D02F0">
            <w:pPr>
              <w:keepNext/>
              <w:spacing w:before="20" w:after="20"/>
              <w:rPr>
                <w:b/>
                <w:sz w:val="22"/>
                <w:szCs w:val="18"/>
                <w:lang w:val="en-US" w:eastAsia="zh-CN"/>
              </w:rPr>
            </w:pPr>
            <w:r w:rsidRPr="000C156A">
              <w:rPr>
                <w:rFonts w:hint="eastAsia"/>
                <w:b/>
                <w:sz w:val="22"/>
                <w:szCs w:val="18"/>
                <w:lang w:val="en-US" w:eastAsia="zh-CN"/>
              </w:rPr>
              <w:t>财务费用</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B1EA4" w14:textId="577727BA" w:rsidR="009630A9" w:rsidRPr="000C156A" w:rsidRDefault="009630A9" w:rsidP="00F724E7">
            <w:pPr>
              <w:overflowPunct/>
              <w:autoSpaceDE/>
              <w:autoSpaceDN/>
              <w:adjustRightInd/>
              <w:spacing w:before="0"/>
              <w:jc w:val="right"/>
              <w:textAlignment w:val="auto"/>
              <w:rPr>
                <w:rFonts w:cs="Calibri"/>
                <w:b/>
                <w:bCs/>
                <w:color w:val="000000"/>
                <w:sz w:val="22"/>
                <w:szCs w:val="22"/>
                <w:lang w:val="en-US" w:eastAsia="zh-CN"/>
              </w:rPr>
            </w:pPr>
            <w:r w:rsidRPr="000C156A">
              <w:rPr>
                <w:rFonts w:eastAsia="Times New Roman" w:cs="Calibri"/>
                <w:b/>
                <w:bCs/>
                <w:color w:val="000000"/>
                <w:sz w:val="22"/>
                <w:szCs w:val="22"/>
                <w:lang w:val="en-US" w:eastAsia="zh-CN"/>
              </w:rPr>
              <w:t>15</w:t>
            </w:r>
            <w:r w:rsidR="00F724E7" w:rsidRPr="000C156A">
              <w:rPr>
                <w:rFonts w:eastAsia="Times New Roman" w:cs="Calibri"/>
                <w:b/>
                <w:bCs/>
                <w:color w:val="000000"/>
                <w:sz w:val="22"/>
                <w:szCs w:val="22"/>
                <w:lang w:val="en-US" w:eastAsia="zh-CN"/>
              </w:rPr>
              <w:t xml:space="preserve"> </w:t>
            </w:r>
            <w:r w:rsidRPr="000C156A">
              <w:rPr>
                <w:rFonts w:eastAsia="Times New Roman" w:cs="Calibri"/>
                <w:b/>
                <w:bCs/>
                <w:color w:val="000000"/>
                <w:sz w:val="22"/>
                <w:szCs w:val="22"/>
                <w:lang w:val="en-US" w:eastAsia="zh-CN"/>
              </w:rPr>
              <w:t>069</w:t>
            </w:r>
          </w:p>
        </w:tc>
        <w:tc>
          <w:tcPr>
            <w:tcW w:w="1825" w:type="dxa"/>
            <w:tcBorders>
              <w:top w:val="nil"/>
              <w:left w:val="nil"/>
              <w:bottom w:val="single" w:sz="4" w:space="0" w:color="auto"/>
              <w:right w:val="single" w:sz="4" w:space="0" w:color="auto"/>
            </w:tcBorders>
            <w:shd w:val="clear" w:color="auto" w:fill="auto"/>
            <w:noWrap/>
            <w:vAlign w:val="center"/>
            <w:hideMark/>
          </w:tcPr>
          <w:p w14:paraId="4D935CDC" w14:textId="790233A7" w:rsidR="009630A9" w:rsidRPr="000C156A" w:rsidRDefault="009630A9" w:rsidP="00F724E7">
            <w:pPr>
              <w:overflowPunct/>
              <w:autoSpaceDE/>
              <w:autoSpaceDN/>
              <w:adjustRightInd/>
              <w:spacing w:before="0"/>
              <w:jc w:val="right"/>
              <w:textAlignment w:val="auto"/>
              <w:rPr>
                <w:rFonts w:cs="Calibri"/>
                <w:b/>
                <w:bCs/>
                <w:color w:val="000000"/>
                <w:sz w:val="22"/>
                <w:szCs w:val="22"/>
                <w:lang w:val="en-US" w:eastAsia="zh-CN"/>
              </w:rPr>
            </w:pPr>
            <w:r w:rsidRPr="000C156A">
              <w:rPr>
                <w:rFonts w:cs="Calibri"/>
                <w:b/>
                <w:bCs/>
                <w:color w:val="000000"/>
                <w:sz w:val="22"/>
                <w:szCs w:val="22"/>
                <w:lang w:val="en-US" w:eastAsia="zh-CN"/>
              </w:rPr>
              <w:t>3</w:t>
            </w:r>
            <w:r w:rsidR="00F724E7" w:rsidRPr="000C156A">
              <w:rPr>
                <w:rFonts w:cs="Calibri"/>
                <w:b/>
                <w:bCs/>
                <w:color w:val="000000"/>
                <w:sz w:val="22"/>
                <w:szCs w:val="22"/>
                <w:lang w:val="en-US" w:eastAsia="zh-CN"/>
              </w:rPr>
              <w:t xml:space="preserve"> </w:t>
            </w:r>
            <w:r w:rsidRPr="000C156A">
              <w:rPr>
                <w:rFonts w:cs="Calibri"/>
                <w:b/>
                <w:bCs/>
                <w:color w:val="000000"/>
                <w:sz w:val="22"/>
                <w:szCs w:val="22"/>
                <w:lang w:val="en-US" w:eastAsia="zh-CN"/>
              </w:rPr>
              <w:t>679</w:t>
            </w:r>
          </w:p>
        </w:tc>
      </w:tr>
    </w:tbl>
    <w:p w14:paraId="1D94291D" w14:textId="77777777" w:rsidR="009630A9" w:rsidRPr="000C156A" w:rsidRDefault="009630A9" w:rsidP="002F3008">
      <w:pPr>
        <w:spacing w:before="240"/>
        <w:ind w:firstLineChars="200" w:firstLine="480"/>
        <w:rPr>
          <w:lang w:val="en-US" w:eastAsia="zh-CN"/>
        </w:rPr>
      </w:pPr>
      <w:r w:rsidRPr="000C156A">
        <w:rPr>
          <w:rFonts w:hint="eastAsia"/>
          <w:lang w:eastAsia="zh-CN"/>
        </w:rPr>
        <w:t>实现和未实现的汇兑损失主要源于年度结账时尚未结清的以其它币种记入项目的重新估值。这已重新估值于翌年</w:t>
      </w:r>
      <w:r w:rsidRPr="000C156A">
        <w:rPr>
          <w:lang w:eastAsia="zh-CN"/>
        </w:rPr>
        <w:t>1</w:t>
      </w:r>
      <w:r w:rsidRPr="000C156A">
        <w:rPr>
          <w:rFonts w:hint="eastAsia"/>
          <w:lang w:eastAsia="zh-CN"/>
        </w:rPr>
        <w:t>月</w:t>
      </w:r>
      <w:r w:rsidRPr="000C156A">
        <w:rPr>
          <w:lang w:eastAsia="zh-CN"/>
        </w:rPr>
        <w:t>1</w:t>
      </w:r>
      <w:r w:rsidRPr="000C156A">
        <w:rPr>
          <w:rFonts w:hint="eastAsia"/>
          <w:lang w:eastAsia="zh-CN"/>
        </w:rPr>
        <w:t>日得到恢复。</w:t>
      </w:r>
    </w:p>
    <w:p w14:paraId="57F9EE3D" w14:textId="77777777" w:rsidR="009630A9" w:rsidRPr="000C156A" w:rsidRDefault="009630A9" w:rsidP="009630A9">
      <w:pPr>
        <w:rPr>
          <w:lang w:val="en-US" w:eastAsia="zh-CN"/>
        </w:rPr>
        <w:sectPr w:rsidR="009630A9" w:rsidRPr="000C156A" w:rsidSect="005D02F0">
          <w:headerReference w:type="default" r:id="rId40"/>
          <w:footerReference w:type="default" r:id="rId41"/>
          <w:footerReference w:type="first" r:id="rId42"/>
          <w:pgSz w:w="11907" w:h="16834"/>
          <w:pgMar w:top="1418" w:right="1134" w:bottom="1418" w:left="1134" w:header="720" w:footer="720" w:gutter="0"/>
          <w:paperSrc w:first="15" w:other="15"/>
          <w:cols w:space="720"/>
          <w:titlePg/>
          <w:docGrid w:linePitch="326"/>
        </w:sectPr>
      </w:pPr>
    </w:p>
    <w:p w14:paraId="2A35768C" w14:textId="77777777" w:rsidR="009630A9" w:rsidRPr="000C156A" w:rsidRDefault="009630A9" w:rsidP="00E43A2D">
      <w:pPr>
        <w:pStyle w:val="Heading1"/>
        <w:spacing w:before="240" w:after="240"/>
        <w:rPr>
          <w:rFonts w:cs="Microsoft YaHei"/>
          <w:sz w:val="24"/>
          <w:szCs w:val="24"/>
          <w:lang w:val="fr-FR" w:eastAsia="zh-CN"/>
        </w:rPr>
      </w:pPr>
      <w:bookmarkStart w:id="967" w:name="_Toc73518725"/>
      <w:bookmarkStart w:id="968" w:name="_Toc73518872"/>
      <w:bookmarkStart w:id="969" w:name="_Toc73519272"/>
      <w:bookmarkStart w:id="970" w:name="_Toc73636311"/>
      <w:bookmarkStart w:id="971" w:name="_Toc305594763"/>
      <w:bookmarkStart w:id="972" w:name="_Toc482892584"/>
      <w:bookmarkStart w:id="973" w:name="_Toc387089404"/>
      <w:bookmarkStart w:id="974" w:name="_Toc329165809"/>
      <w:bookmarkStart w:id="975" w:name="_Toc511813768"/>
      <w:bookmarkStart w:id="976" w:name="_Toc511817851"/>
      <w:bookmarkStart w:id="977" w:name="_Toc520280751"/>
      <w:bookmarkStart w:id="978" w:name="_Toc10536846"/>
      <w:bookmarkStart w:id="979" w:name="_Toc41905897"/>
      <w:bookmarkStart w:id="980" w:name="_Toc41906918"/>
      <w:bookmarkStart w:id="981" w:name="_Toc41907999"/>
      <w:bookmarkStart w:id="982" w:name="_Toc41908067"/>
      <w:bookmarkStart w:id="983" w:name="_Toc329011659"/>
      <w:bookmarkStart w:id="984" w:name="_Toc305764117"/>
      <w:r w:rsidRPr="000C156A">
        <w:rPr>
          <w:rFonts w:cs="Microsoft YaHei" w:hint="eastAsia"/>
          <w:sz w:val="24"/>
          <w:szCs w:val="24"/>
          <w:lang w:val="fr-FR" w:eastAsia="zh-CN"/>
        </w:rPr>
        <w:lastRenderedPageBreak/>
        <w:t>说明</w:t>
      </w:r>
      <w:r w:rsidRPr="000C156A">
        <w:rPr>
          <w:rFonts w:cs="Microsoft YaHei"/>
          <w:sz w:val="24"/>
          <w:szCs w:val="24"/>
          <w:lang w:val="fr-FR" w:eastAsia="zh-CN"/>
        </w:rPr>
        <w:t>24</w:t>
      </w:r>
      <w:r w:rsidRPr="000C156A">
        <w:rPr>
          <w:rFonts w:cs="Microsoft YaHei"/>
          <w:sz w:val="24"/>
          <w:szCs w:val="24"/>
          <w:lang w:val="fr-FR" w:eastAsia="zh-CN"/>
        </w:rPr>
        <w:tab/>
      </w:r>
      <w:r w:rsidRPr="000C156A">
        <w:rPr>
          <w:rFonts w:cs="Microsoft YaHei" w:hint="eastAsia"/>
          <w:sz w:val="24"/>
          <w:szCs w:val="24"/>
          <w:lang w:val="fr-FR" w:eastAsia="zh-CN"/>
        </w:rPr>
        <w:t>分部门报告</w:t>
      </w:r>
      <w:r w:rsidRPr="000C156A">
        <w:rPr>
          <w:rFonts w:cs="Microsoft YaHei" w:hint="eastAsia"/>
          <w:sz w:val="24"/>
          <w:szCs w:val="24"/>
          <w:lang w:val="fr-FR" w:eastAsia="zh-CN"/>
        </w:rPr>
        <w:t xml:space="preserve"> </w:t>
      </w:r>
      <w:r w:rsidRPr="000C156A">
        <w:rPr>
          <w:rFonts w:cs="Microsoft YaHei"/>
          <w:sz w:val="24"/>
          <w:szCs w:val="24"/>
          <w:lang w:val="fr-FR" w:eastAsia="zh-CN"/>
        </w:rPr>
        <w:t>– 20</w:t>
      </w:r>
      <w:r w:rsidRPr="000C156A">
        <w:rPr>
          <w:rFonts w:cs="Microsoft YaHei" w:hint="eastAsia"/>
          <w:sz w:val="24"/>
          <w:szCs w:val="24"/>
          <w:lang w:val="fr-FR" w:eastAsia="zh-CN"/>
        </w:rPr>
        <w:t>20</w:t>
      </w:r>
      <w:r w:rsidRPr="000C156A">
        <w:rPr>
          <w:rFonts w:cs="Microsoft YaHei" w:hint="eastAsia"/>
          <w:sz w:val="24"/>
          <w:szCs w:val="24"/>
          <w:lang w:val="fr-FR" w:eastAsia="zh-CN"/>
        </w:rPr>
        <w:t>年财务业绩报表</w:t>
      </w:r>
      <w:bookmarkEnd w:id="967"/>
      <w:bookmarkEnd w:id="968"/>
      <w:bookmarkEnd w:id="969"/>
      <w:bookmarkEnd w:id="970"/>
    </w:p>
    <w:tbl>
      <w:tblPr>
        <w:tblW w:w="15871" w:type="dxa"/>
        <w:jc w:val="center"/>
        <w:tblLook w:val="04A0" w:firstRow="1" w:lastRow="0" w:firstColumn="1" w:lastColumn="0" w:noHBand="0" w:noVBand="1"/>
      </w:tblPr>
      <w:tblGrid>
        <w:gridCol w:w="1980"/>
        <w:gridCol w:w="992"/>
        <w:gridCol w:w="709"/>
        <w:gridCol w:w="992"/>
        <w:gridCol w:w="992"/>
        <w:gridCol w:w="1134"/>
        <w:gridCol w:w="993"/>
        <w:gridCol w:w="850"/>
        <w:gridCol w:w="851"/>
        <w:gridCol w:w="864"/>
        <w:gridCol w:w="875"/>
        <w:gridCol w:w="670"/>
        <w:gridCol w:w="709"/>
        <w:gridCol w:w="612"/>
        <w:gridCol w:w="806"/>
        <w:gridCol w:w="1040"/>
        <w:gridCol w:w="802"/>
      </w:tblGrid>
      <w:tr w:rsidR="009630A9" w:rsidRPr="000C156A" w14:paraId="786CEAD3" w14:textId="77777777" w:rsidTr="00CD0CEA">
        <w:trPr>
          <w:trHeight w:val="675"/>
          <w:jc w:val="center"/>
        </w:trPr>
        <w:tc>
          <w:tcPr>
            <w:tcW w:w="1980" w:type="dxa"/>
            <w:tcBorders>
              <w:top w:val="single" w:sz="4" w:space="0" w:color="auto"/>
              <w:left w:val="single" w:sz="4" w:space="0" w:color="auto"/>
              <w:bottom w:val="single" w:sz="4" w:space="0" w:color="auto"/>
              <w:right w:val="nil"/>
            </w:tcBorders>
            <w:shd w:val="clear" w:color="auto" w:fill="auto"/>
            <w:noWrap/>
            <w:vAlign w:val="center"/>
            <w:hideMark/>
          </w:tcPr>
          <w:p w14:paraId="6011B146" w14:textId="77777777" w:rsidR="009630A9" w:rsidRPr="000C156A" w:rsidRDefault="009630A9" w:rsidP="005D02F0">
            <w:pPr>
              <w:overflowPunct/>
              <w:autoSpaceDE/>
              <w:autoSpaceDN/>
              <w:adjustRightInd/>
              <w:spacing w:before="0"/>
              <w:textAlignment w:val="auto"/>
              <w:rPr>
                <w:rFonts w:eastAsia="Times New Roman" w:cs="Calibri"/>
                <w:b/>
                <w:bCs/>
                <w:color w:val="000000"/>
                <w:sz w:val="16"/>
                <w:szCs w:val="16"/>
                <w:lang w:eastAsia="en-GB"/>
              </w:rPr>
            </w:pPr>
            <w:r w:rsidRPr="000C156A">
              <w:rPr>
                <w:rFonts w:asciiTheme="minorHAnsi" w:hAnsiTheme="minorHAnsi" w:cs="Arial" w:hint="eastAsia"/>
                <w:b/>
                <w:bCs/>
                <w:color w:val="000000"/>
                <w:sz w:val="16"/>
                <w:szCs w:val="16"/>
                <w:lang w:val="en-US" w:eastAsia="zh-CN"/>
              </w:rPr>
              <w:t>单位</w:t>
            </w:r>
            <w:r w:rsidRPr="000C156A">
              <w:rPr>
                <w:rFonts w:asciiTheme="minorHAnsi" w:hAnsiTheme="minorHAnsi" w:cs="Arial"/>
                <w:b/>
                <w:bCs/>
                <w:color w:val="000000"/>
                <w:sz w:val="16"/>
                <w:szCs w:val="16"/>
                <w:lang w:val="en-US" w:eastAsia="zh-CN"/>
              </w:rPr>
              <w:t>：千瑞郎</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21CAB129" w14:textId="77777777" w:rsidR="009630A9" w:rsidRPr="000C156A" w:rsidRDefault="009630A9" w:rsidP="005D02F0">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rPr>
              <w:t>总秘</w:t>
            </w:r>
            <w:r w:rsidRPr="000C156A">
              <w:rPr>
                <w:b/>
                <w:noProof/>
                <w:sz w:val="16"/>
                <w:szCs w:val="16"/>
                <w:lang w:val="en-US" w:eastAsia="zh-CN"/>
              </w:rPr>
              <w:br/>
            </w:r>
            <w:r w:rsidRPr="000C156A">
              <w:rPr>
                <w:rFonts w:hint="eastAsia"/>
                <w:b/>
                <w:noProof/>
                <w:sz w:val="16"/>
                <w:szCs w:val="16"/>
                <w:lang w:val="en-US"/>
              </w:rPr>
              <w:t>书处</w:t>
            </w:r>
          </w:p>
        </w:tc>
        <w:tc>
          <w:tcPr>
            <w:tcW w:w="709" w:type="dxa"/>
            <w:tcBorders>
              <w:top w:val="single" w:sz="4" w:space="0" w:color="auto"/>
              <w:left w:val="single" w:sz="4" w:space="0" w:color="auto"/>
              <w:bottom w:val="single" w:sz="4" w:space="0" w:color="auto"/>
              <w:right w:val="nil"/>
            </w:tcBorders>
            <w:shd w:val="clear" w:color="auto" w:fill="auto"/>
            <w:vAlign w:val="center"/>
            <w:hideMark/>
          </w:tcPr>
          <w:p w14:paraId="77FB267E" w14:textId="77777777" w:rsidR="009630A9" w:rsidRPr="000C156A" w:rsidRDefault="009630A9" w:rsidP="005D02F0">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rPr>
              <w:t>无线电通信</w:t>
            </w:r>
            <w:r w:rsidRPr="000C156A">
              <w:rPr>
                <w:b/>
                <w:noProof/>
                <w:sz w:val="16"/>
                <w:szCs w:val="16"/>
                <w:lang w:val="en-US" w:eastAsia="zh-CN"/>
              </w:rPr>
              <w:br/>
            </w:r>
            <w:r w:rsidRPr="000C156A">
              <w:rPr>
                <w:rFonts w:hint="eastAsia"/>
                <w:b/>
                <w:noProof/>
                <w:sz w:val="16"/>
                <w:szCs w:val="16"/>
                <w:lang w:val="en-US"/>
              </w:rPr>
              <w:t>部门</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79009D3E" w14:textId="7266450B" w:rsidR="009630A9" w:rsidRPr="000C156A" w:rsidRDefault="009630A9" w:rsidP="00B634EB">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rPr>
              <w:t>电信标准化部门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D3BE6" w14:textId="77777777" w:rsidR="009630A9" w:rsidRPr="000C156A" w:rsidRDefault="009630A9" w:rsidP="005D02F0">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rPr>
              <w:t>电信发展部门</w:t>
            </w:r>
          </w:p>
        </w:tc>
        <w:tc>
          <w:tcPr>
            <w:tcW w:w="1134" w:type="dxa"/>
            <w:tcBorders>
              <w:top w:val="single" w:sz="4" w:space="0" w:color="auto"/>
              <w:left w:val="nil"/>
              <w:bottom w:val="single" w:sz="4" w:space="0" w:color="auto"/>
              <w:right w:val="nil"/>
            </w:tcBorders>
            <w:shd w:val="clear" w:color="auto" w:fill="auto"/>
            <w:vAlign w:val="center"/>
            <w:hideMark/>
          </w:tcPr>
          <w:p w14:paraId="560FC171" w14:textId="189E476D" w:rsidR="009630A9" w:rsidRPr="000C156A" w:rsidRDefault="009630A9" w:rsidP="00B634EB">
            <w:pPr>
              <w:overflowPunct/>
              <w:autoSpaceDE/>
              <w:autoSpaceDN/>
              <w:adjustRightInd/>
              <w:spacing w:before="0"/>
              <w:jc w:val="center"/>
              <w:textAlignment w:val="auto"/>
              <w:rPr>
                <w:rFonts w:eastAsia="Times New Roman" w:cs="Calibri"/>
                <w:b/>
                <w:bCs/>
                <w:color w:val="000000"/>
                <w:sz w:val="16"/>
                <w:szCs w:val="16"/>
                <w:lang w:eastAsia="zh-CN"/>
              </w:rPr>
            </w:pPr>
            <w:r w:rsidRPr="000C156A">
              <w:rPr>
                <w:rFonts w:hint="eastAsia"/>
                <w:b/>
                <w:noProof/>
                <w:sz w:val="16"/>
                <w:szCs w:val="16"/>
                <w:lang w:val="en-US" w:eastAsia="zh-CN"/>
              </w:rPr>
              <w:t>不归属任何一个分部门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CF28E" w14:textId="77777777" w:rsidR="009630A9" w:rsidRPr="000C156A" w:rsidRDefault="009630A9" w:rsidP="005D02F0">
            <w:pPr>
              <w:overflowPunct/>
              <w:autoSpaceDE/>
              <w:autoSpaceDN/>
              <w:adjustRightInd/>
              <w:spacing w:before="0"/>
              <w:jc w:val="center"/>
              <w:textAlignment w:val="auto"/>
              <w:rPr>
                <w:rFonts w:eastAsia="Times New Roman" w:cs="Calibri"/>
                <w:b/>
                <w:bCs/>
                <w:color w:val="000000"/>
                <w:sz w:val="16"/>
                <w:szCs w:val="16"/>
                <w:lang w:eastAsia="en-GB"/>
              </w:rPr>
            </w:pPr>
            <w:r w:rsidRPr="000C156A">
              <w:rPr>
                <w:b/>
                <w:noProof/>
                <w:sz w:val="16"/>
                <w:szCs w:val="16"/>
                <w:lang w:val="en-US" w:eastAsia="zh-CN"/>
              </w:rPr>
              <w:t>1000+1010</w:t>
            </w:r>
            <w:r w:rsidRPr="000C156A">
              <w:rPr>
                <w:rFonts w:hint="eastAsia"/>
                <w:b/>
                <w:noProof/>
                <w:sz w:val="16"/>
                <w:szCs w:val="16"/>
                <w:lang w:val="en-US" w:eastAsia="zh-CN"/>
              </w:rPr>
              <w:t>资金合计</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571F7A6" w14:textId="77777777" w:rsidR="009630A9" w:rsidRPr="000C156A" w:rsidRDefault="009630A9" w:rsidP="005D02F0">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asciiTheme="minorHAnsi" w:hAnsiTheme="minorHAnsi" w:cs="Arial" w:hint="eastAsia"/>
                <w:b/>
                <w:bCs/>
                <w:color w:val="000000"/>
                <w:sz w:val="16"/>
                <w:szCs w:val="16"/>
                <w:lang w:val="en-US" w:eastAsia="zh-CN"/>
              </w:rPr>
              <w:t>新办公楼</w:t>
            </w:r>
            <w:r w:rsidRPr="000C156A">
              <w:rPr>
                <w:rFonts w:asciiTheme="minorHAnsi" w:hAnsiTheme="minorHAnsi" w:cs="Arial"/>
                <w:b/>
                <w:bCs/>
                <w:color w:val="000000"/>
                <w:sz w:val="16"/>
                <w:szCs w:val="16"/>
                <w:lang w:val="en-US" w:eastAsia="zh-CN"/>
              </w:rPr>
              <w:t>基金</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0364869" w14:textId="77777777" w:rsidR="009630A9" w:rsidRPr="000C156A" w:rsidRDefault="009630A9" w:rsidP="005D02F0">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cs="Arial" w:hint="eastAsia"/>
                <w:b/>
                <w:bCs/>
                <w:color w:val="000000"/>
                <w:sz w:val="16"/>
                <w:szCs w:val="16"/>
                <w:lang w:val="en-US" w:eastAsia="zh-CN"/>
              </w:rPr>
              <w:t>新办公楼储备金</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4D84CB52" w14:textId="77777777" w:rsidR="009630A9" w:rsidRPr="000C156A" w:rsidRDefault="009630A9" w:rsidP="005D02F0">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eastAsia="zh-CN"/>
              </w:rPr>
              <w:t>保险</w:t>
            </w:r>
            <w:r w:rsidRPr="000C156A">
              <w:rPr>
                <w:b/>
                <w:noProof/>
                <w:sz w:val="16"/>
                <w:szCs w:val="16"/>
                <w:lang w:val="en-US" w:eastAsia="zh-CN"/>
              </w:rPr>
              <w:br/>
            </w:r>
            <w:r w:rsidRPr="000C156A">
              <w:rPr>
                <w:rFonts w:hint="eastAsia"/>
                <w:b/>
                <w:noProof/>
                <w:sz w:val="16"/>
                <w:szCs w:val="16"/>
                <w:lang w:val="en-US" w:eastAsia="zh-CN"/>
              </w:rPr>
              <w:t>资金</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7A78E732" w14:textId="77777777" w:rsidR="009630A9" w:rsidRPr="000C156A" w:rsidRDefault="009630A9" w:rsidP="005D02F0">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eastAsia="zh-CN"/>
              </w:rPr>
              <w:t>自愿</w:t>
            </w:r>
            <w:r w:rsidRPr="000C156A">
              <w:rPr>
                <w:b/>
                <w:noProof/>
                <w:sz w:val="16"/>
                <w:szCs w:val="16"/>
                <w:lang w:val="en-US" w:eastAsia="zh-CN"/>
              </w:rPr>
              <w:br/>
            </w:r>
            <w:r w:rsidRPr="000C156A">
              <w:rPr>
                <w:rFonts w:hint="eastAsia"/>
                <w:b/>
                <w:noProof/>
                <w:sz w:val="16"/>
                <w:szCs w:val="16"/>
                <w:lang w:val="en-US" w:eastAsia="zh-CN"/>
              </w:rPr>
              <w:t>捐款</w:t>
            </w:r>
          </w:p>
        </w:tc>
        <w:tc>
          <w:tcPr>
            <w:tcW w:w="670" w:type="dxa"/>
            <w:tcBorders>
              <w:top w:val="single" w:sz="4" w:space="0" w:color="auto"/>
              <w:left w:val="nil"/>
              <w:bottom w:val="single" w:sz="4" w:space="0" w:color="auto"/>
              <w:right w:val="single" w:sz="4" w:space="0" w:color="auto"/>
            </w:tcBorders>
            <w:shd w:val="clear" w:color="auto" w:fill="auto"/>
            <w:vAlign w:val="center"/>
            <w:hideMark/>
          </w:tcPr>
          <w:p w14:paraId="0B4A6446" w14:textId="77777777" w:rsidR="009630A9" w:rsidRPr="000C156A" w:rsidRDefault="009630A9" w:rsidP="005D02F0">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asciiTheme="minorHAnsi" w:hAnsiTheme="minorHAnsi" w:cs="Arial"/>
                <w:b/>
                <w:bCs/>
                <w:color w:val="000000"/>
                <w:sz w:val="16"/>
                <w:szCs w:val="16"/>
                <w:lang w:val="en-US" w:eastAsia="zh-CN"/>
              </w:rPr>
              <w:t>FIT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F595B1" w14:textId="77777777" w:rsidR="009630A9" w:rsidRPr="000C156A" w:rsidRDefault="009630A9" w:rsidP="005D02F0">
            <w:pPr>
              <w:overflowPunct/>
              <w:autoSpaceDE/>
              <w:autoSpaceDN/>
              <w:adjustRightInd/>
              <w:spacing w:before="0"/>
              <w:jc w:val="center"/>
              <w:textAlignment w:val="auto"/>
              <w:rPr>
                <w:rFonts w:eastAsia="Times New Roman" w:cs="Calibri"/>
                <w:b/>
                <w:bCs/>
                <w:color w:val="000000"/>
                <w:sz w:val="16"/>
                <w:szCs w:val="16"/>
                <w:lang w:eastAsia="en-GB"/>
              </w:rPr>
            </w:pPr>
            <w:r w:rsidRPr="000C156A">
              <w:rPr>
                <w:b/>
                <w:noProof/>
                <w:sz w:val="16"/>
                <w:szCs w:val="16"/>
                <w:lang w:val="en-US" w:eastAsia="zh-CN"/>
              </w:rPr>
              <w:t>ICT</w:t>
            </w:r>
            <w:r w:rsidRPr="000C156A">
              <w:rPr>
                <w:b/>
                <w:noProof/>
                <w:sz w:val="16"/>
                <w:szCs w:val="16"/>
                <w:lang w:val="en-US" w:eastAsia="zh-CN"/>
              </w:rPr>
              <w:br/>
            </w:r>
            <w:r w:rsidRPr="000C156A">
              <w:rPr>
                <w:rFonts w:hint="eastAsia"/>
                <w:b/>
                <w:noProof/>
                <w:sz w:val="16"/>
                <w:szCs w:val="16"/>
                <w:lang w:val="en-US" w:eastAsia="zh-CN"/>
              </w:rPr>
              <w:t>发展</w:t>
            </w:r>
            <w:r w:rsidRPr="000C156A">
              <w:rPr>
                <w:b/>
                <w:noProof/>
                <w:sz w:val="16"/>
                <w:szCs w:val="16"/>
                <w:lang w:val="en-US" w:eastAsia="zh-CN"/>
              </w:rPr>
              <w:br/>
            </w:r>
            <w:r w:rsidRPr="000C156A">
              <w:rPr>
                <w:rFonts w:hint="eastAsia"/>
                <w:b/>
                <w:noProof/>
                <w:sz w:val="16"/>
                <w:szCs w:val="16"/>
                <w:lang w:val="en-US" w:eastAsia="zh-CN"/>
              </w:rPr>
              <w:t>基金</w:t>
            </w:r>
          </w:p>
        </w:tc>
        <w:tc>
          <w:tcPr>
            <w:tcW w:w="612" w:type="dxa"/>
            <w:tcBorders>
              <w:top w:val="single" w:sz="4" w:space="0" w:color="auto"/>
              <w:left w:val="nil"/>
              <w:bottom w:val="single" w:sz="4" w:space="0" w:color="auto"/>
              <w:right w:val="single" w:sz="4" w:space="0" w:color="auto"/>
            </w:tcBorders>
            <w:shd w:val="clear" w:color="auto" w:fill="auto"/>
            <w:vAlign w:val="center"/>
            <w:hideMark/>
          </w:tcPr>
          <w:p w14:paraId="4B7C6CFC" w14:textId="77777777" w:rsidR="009630A9" w:rsidRPr="000C156A" w:rsidRDefault="009630A9" w:rsidP="005D02F0">
            <w:pPr>
              <w:overflowPunct/>
              <w:autoSpaceDE/>
              <w:autoSpaceDN/>
              <w:adjustRightInd/>
              <w:spacing w:before="0"/>
              <w:jc w:val="center"/>
              <w:textAlignment w:val="auto"/>
              <w:rPr>
                <w:rFonts w:eastAsia="Times New Roman" w:cs="Calibri"/>
                <w:b/>
                <w:bCs/>
                <w:color w:val="000000"/>
                <w:sz w:val="16"/>
                <w:szCs w:val="16"/>
                <w:lang w:eastAsia="en-GB"/>
              </w:rPr>
            </w:pPr>
            <w:r w:rsidRPr="000C156A">
              <w:rPr>
                <w:b/>
                <w:noProof/>
                <w:sz w:val="16"/>
                <w:szCs w:val="16"/>
                <w:lang w:val="en-US" w:eastAsia="zh-CN"/>
              </w:rPr>
              <w:t>UNDP</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7F6DD689" w14:textId="77777777" w:rsidR="009630A9" w:rsidRPr="000C156A" w:rsidRDefault="009630A9" w:rsidP="005D02F0">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eastAsia="zh-CN"/>
              </w:rPr>
              <w:t>电信展</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3CC418D" w14:textId="77777777" w:rsidR="009630A9" w:rsidRPr="000C156A" w:rsidRDefault="009630A9" w:rsidP="005D02F0">
            <w:pPr>
              <w:overflowPunct/>
              <w:autoSpaceDE/>
              <w:autoSpaceDN/>
              <w:adjustRightInd/>
              <w:spacing w:before="0"/>
              <w:jc w:val="center"/>
              <w:textAlignment w:val="auto"/>
              <w:rPr>
                <w:rFonts w:eastAsia="Times New Roman" w:cs="Calibri"/>
                <w:b/>
                <w:bCs/>
                <w:sz w:val="16"/>
                <w:szCs w:val="16"/>
                <w:lang w:eastAsia="en-GB"/>
              </w:rPr>
            </w:pPr>
            <w:r w:rsidRPr="000C156A">
              <w:rPr>
                <w:rFonts w:hint="eastAsia"/>
                <w:b/>
                <w:noProof/>
                <w:sz w:val="16"/>
                <w:szCs w:val="16"/>
                <w:lang w:val="en-US" w:eastAsia="zh-CN"/>
              </w:rPr>
              <w:t>部门间</w:t>
            </w:r>
            <w:r w:rsidRPr="000C156A">
              <w:rPr>
                <w:b/>
                <w:noProof/>
                <w:sz w:val="16"/>
                <w:szCs w:val="16"/>
                <w:lang w:val="en-US" w:eastAsia="zh-CN"/>
              </w:rPr>
              <w:br/>
            </w:r>
            <w:r w:rsidRPr="000C156A">
              <w:rPr>
                <w:rFonts w:hint="eastAsia"/>
                <w:b/>
                <w:noProof/>
                <w:sz w:val="16"/>
                <w:szCs w:val="16"/>
                <w:lang w:val="en-US" w:eastAsia="zh-CN"/>
              </w:rPr>
              <w:t>冲销</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3DFB9AC2" w14:textId="77777777" w:rsidR="009630A9" w:rsidRPr="000C156A" w:rsidRDefault="009630A9" w:rsidP="005D02F0">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eastAsia="zh-CN"/>
              </w:rPr>
              <w:t>合计</w:t>
            </w:r>
          </w:p>
        </w:tc>
      </w:tr>
      <w:tr w:rsidR="009630A9" w:rsidRPr="000C156A" w14:paraId="1767762A" w14:textId="77777777" w:rsidTr="00CD0CEA">
        <w:trPr>
          <w:trHeight w:val="255"/>
          <w:jc w:val="center"/>
        </w:trPr>
        <w:tc>
          <w:tcPr>
            <w:tcW w:w="1980" w:type="dxa"/>
            <w:tcBorders>
              <w:top w:val="nil"/>
              <w:left w:val="single" w:sz="4" w:space="0" w:color="auto"/>
              <w:bottom w:val="nil"/>
              <w:right w:val="nil"/>
            </w:tcBorders>
            <w:shd w:val="clear" w:color="auto" w:fill="auto"/>
            <w:vAlign w:val="center"/>
            <w:hideMark/>
          </w:tcPr>
          <w:p w14:paraId="0579A581" w14:textId="77777777" w:rsidR="009630A9" w:rsidRPr="000C156A" w:rsidRDefault="009630A9" w:rsidP="005D02F0">
            <w:pPr>
              <w:overflowPunct/>
              <w:autoSpaceDE/>
              <w:autoSpaceDN/>
              <w:adjustRightInd/>
              <w:spacing w:before="0"/>
              <w:textAlignment w:val="auto"/>
              <w:rPr>
                <w:rFonts w:eastAsia="Times New Roman" w:cs="Calibri"/>
                <w:b/>
                <w:bCs/>
                <w:color w:val="000000"/>
                <w:sz w:val="16"/>
                <w:szCs w:val="16"/>
                <w:lang w:eastAsia="en-GB"/>
              </w:rPr>
            </w:pPr>
            <w:r w:rsidRPr="000C156A">
              <w:rPr>
                <w:rFonts w:ascii="SimSun" w:hAnsi="SimSun" w:cs="SimSun" w:hint="eastAsia"/>
                <w:b/>
                <w:bCs/>
                <w:color w:val="000000"/>
                <w:sz w:val="16"/>
                <w:szCs w:val="16"/>
                <w:lang w:eastAsia="zh-CN"/>
              </w:rPr>
              <w:t>收入</w:t>
            </w:r>
          </w:p>
        </w:tc>
        <w:tc>
          <w:tcPr>
            <w:tcW w:w="992" w:type="dxa"/>
            <w:tcBorders>
              <w:top w:val="nil"/>
              <w:left w:val="single" w:sz="4" w:space="0" w:color="auto"/>
              <w:bottom w:val="nil"/>
              <w:right w:val="single" w:sz="4" w:space="0" w:color="auto"/>
            </w:tcBorders>
            <w:shd w:val="clear" w:color="auto" w:fill="auto"/>
            <w:noWrap/>
            <w:vAlign w:val="center"/>
            <w:hideMark/>
          </w:tcPr>
          <w:p w14:paraId="26CEFB4A"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709" w:type="dxa"/>
            <w:tcBorders>
              <w:top w:val="nil"/>
              <w:left w:val="nil"/>
              <w:bottom w:val="nil"/>
              <w:right w:val="single" w:sz="4" w:space="0" w:color="auto"/>
            </w:tcBorders>
            <w:shd w:val="clear" w:color="auto" w:fill="auto"/>
            <w:noWrap/>
            <w:vAlign w:val="center"/>
            <w:hideMark/>
          </w:tcPr>
          <w:p w14:paraId="6D8B0CEA"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992" w:type="dxa"/>
            <w:tcBorders>
              <w:top w:val="nil"/>
              <w:left w:val="nil"/>
              <w:bottom w:val="nil"/>
              <w:right w:val="single" w:sz="4" w:space="0" w:color="auto"/>
            </w:tcBorders>
            <w:shd w:val="clear" w:color="auto" w:fill="auto"/>
            <w:noWrap/>
            <w:vAlign w:val="center"/>
            <w:hideMark/>
          </w:tcPr>
          <w:p w14:paraId="0A7B4E58"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992" w:type="dxa"/>
            <w:tcBorders>
              <w:top w:val="nil"/>
              <w:left w:val="nil"/>
              <w:bottom w:val="nil"/>
              <w:right w:val="single" w:sz="4" w:space="0" w:color="auto"/>
            </w:tcBorders>
            <w:shd w:val="clear" w:color="auto" w:fill="auto"/>
            <w:noWrap/>
            <w:vAlign w:val="center"/>
            <w:hideMark/>
          </w:tcPr>
          <w:p w14:paraId="377937A6"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1134" w:type="dxa"/>
            <w:tcBorders>
              <w:top w:val="nil"/>
              <w:left w:val="nil"/>
              <w:bottom w:val="nil"/>
              <w:right w:val="nil"/>
            </w:tcBorders>
            <w:shd w:val="clear" w:color="auto" w:fill="auto"/>
            <w:noWrap/>
            <w:vAlign w:val="center"/>
            <w:hideMark/>
          </w:tcPr>
          <w:p w14:paraId="40589F31"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center"/>
            <w:hideMark/>
          </w:tcPr>
          <w:p w14:paraId="22DFE402"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50" w:type="dxa"/>
            <w:tcBorders>
              <w:top w:val="nil"/>
              <w:left w:val="nil"/>
              <w:bottom w:val="nil"/>
              <w:right w:val="single" w:sz="4" w:space="0" w:color="auto"/>
            </w:tcBorders>
            <w:shd w:val="clear" w:color="auto" w:fill="auto"/>
            <w:noWrap/>
            <w:vAlign w:val="center"/>
            <w:hideMark/>
          </w:tcPr>
          <w:p w14:paraId="023AE5F7"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51" w:type="dxa"/>
            <w:tcBorders>
              <w:top w:val="nil"/>
              <w:left w:val="nil"/>
              <w:bottom w:val="nil"/>
              <w:right w:val="single" w:sz="4" w:space="0" w:color="auto"/>
            </w:tcBorders>
            <w:shd w:val="clear" w:color="auto" w:fill="auto"/>
            <w:noWrap/>
            <w:vAlign w:val="center"/>
            <w:hideMark/>
          </w:tcPr>
          <w:p w14:paraId="2894E1EA"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72AB95CA"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75" w:type="dxa"/>
            <w:tcBorders>
              <w:top w:val="nil"/>
              <w:left w:val="nil"/>
              <w:bottom w:val="nil"/>
              <w:right w:val="single" w:sz="4" w:space="0" w:color="auto"/>
            </w:tcBorders>
            <w:shd w:val="clear" w:color="auto" w:fill="auto"/>
            <w:noWrap/>
            <w:vAlign w:val="center"/>
            <w:hideMark/>
          </w:tcPr>
          <w:p w14:paraId="3B9E57AD"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670" w:type="dxa"/>
            <w:tcBorders>
              <w:top w:val="nil"/>
              <w:left w:val="nil"/>
              <w:bottom w:val="nil"/>
              <w:right w:val="single" w:sz="4" w:space="0" w:color="auto"/>
            </w:tcBorders>
            <w:shd w:val="clear" w:color="auto" w:fill="auto"/>
            <w:noWrap/>
            <w:vAlign w:val="center"/>
            <w:hideMark/>
          </w:tcPr>
          <w:p w14:paraId="449653E6"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709" w:type="dxa"/>
            <w:tcBorders>
              <w:top w:val="nil"/>
              <w:left w:val="nil"/>
              <w:bottom w:val="nil"/>
              <w:right w:val="single" w:sz="4" w:space="0" w:color="auto"/>
            </w:tcBorders>
            <w:shd w:val="clear" w:color="auto" w:fill="auto"/>
            <w:noWrap/>
            <w:vAlign w:val="center"/>
            <w:hideMark/>
          </w:tcPr>
          <w:p w14:paraId="561D8667"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612" w:type="dxa"/>
            <w:tcBorders>
              <w:top w:val="nil"/>
              <w:left w:val="nil"/>
              <w:bottom w:val="nil"/>
              <w:right w:val="single" w:sz="4" w:space="0" w:color="auto"/>
            </w:tcBorders>
            <w:shd w:val="clear" w:color="auto" w:fill="auto"/>
            <w:noWrap/>
            <w:vAlign w:val="center"/>
            <w:hideMark/>
          </w:tcPr>
          <w:p w14:paraId="45BA142E"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06" w:type="dxa"/>
            <w:tcBorders>
              <w:top w:val="nil"/>
              <w:left w:val="nil"/>
              <w:bottom w:val="nil"/>
              <w:right w:val="single" w:sz="4" w:space="0" w:color="auto"/>
            </w:tcBorders>
            <w:shd w:val="clear" w:color="auto" w:fill="auto"/>
            <w:noWrap/>
            <w:vAlign w:val="center"/>
            <w:hideMark/>
          </w:tcPr>
          <w:p w14:paraId="0EA4FEBB"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1040" w:type="dxa"/>
            <w:tcBorders>
              <w:top w:val="nil"/>
              <w:left w:val="nil"/>
              <w:bottom w:val="nil"/>
              <w:right w:val="single" w:sz="4" w:space="0" w:color="auto"/>
            </w:tcBorders>
            <w:shd w:val="clear" w:color="auto" w:fill="auto"/>
            <w:noWrap/>
            <w:vAlign w:val="center"/>
            <w:hideMark/>
          </w:tcPr>
          <w:p w14:paraId="6ACD137D"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02" w:type="dxa"/>
            <w:tcBorders>
              <w:top w:val="nil"/>
              <w:left w:val="nil"/>
              <w:bottom w:val="nil"/>
              <w:right w:val="single" w:sz="4" w:space="0" w:color="auto"/>
            </w:tcBorders>
            <w:shd w:val="clear" w:color="auto" w:fill="auto"/>
            <w:noWrap/>
            <w:vAlign w:val="center"/>
            <w:hideMark/>
          </w:tcPr>
          <w:p w14:paraId="58718E28"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r>
      <w:tr w:rsidR="009630A9" w:rsidRPr="000C156A" w14:paraId="00BE9284" w14:textId="77777777" w:rsidTr="00CD0CEA">
        <w:trPr>
          <w:trHeight w:val="255"/>
          <w:jc w:val="center"/>
        </w:trPr>
        <w:tc>
          <w:tcPr>
            <w:tcW w:w="1980" w:type="dxa"/>
            <w:tcBorders>
              <w:top w:val="nil"/>
              <w:left w:val="single" w:sz="4" w:space="0" w:color="auto"/>
              <w:bottom w:val="nil"/>
              <w:right w:val="nil"/>
            </w:tcBorders>
            <w:shd w:val="clear" w:color="auto" w:fill="auto"/>
            <w:vAlign w:val="center"/>
            <w:hideMark/>
          </w:tcPr>
          <w:p w14:paraId="772CF6BB" w14:textId="77777777" w:rsidR="009630A9" w:rsidRPr="000C156A" w:rsidRDefault="009630A9" w:rsidP="005D02F0">
            <w:pPr>
              <w:overflowPunct/>
              <w:autoSpaceDE/>
              <w:autoSpaceDN/>
              <w:adjustRightInd/>
              <w:spacing w:before="0"/>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 </w:t>
            </w:r>
          </w:p>
        </w:tc>
        <w:tc>
          <w:tcPr>
            <w:tcW w:w="992" w:type="dxa"/>
            <w:tcBorders>
              <w:top w:val="nil"/>
              <w:left w:val="single" w:sz="4" w:space="0" w:color="auto"/>
              <w:bottom w:val="nil"/>
              <w:right w:val="single" w:sz="4" w:space="0" w:color="auto"/>
            </w:tcBorders>
            <w:shd w:val="clear" w:color="auto" w:fill="auto"/>
            <w:noWrap/>
            <w:vAlign w:val="center"/>
            <w:hideMark/>
          </w:tcPr>
          <w:p w14:paraId="13025D19"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709" w:type="dxa"/>
            <w:tcBorders>
              <w:top w:val="nil"/>
              <w:left w:val="nil"/>
              <w:bottom w:val="nil"/>
              <w:right w:val="single" w:sz="4" w:space="0" w:color="auto"/>
            </w:tcBorders>
            <w:shd w:val="clear" w:color="auto" w:fill="auto"/>
            <w:noWrap/>
            <w:vAlign w:val="center"/>
            <w:hideMark/>
          </w:tcPr>
          <w:p w14:paraId="5CBA309E"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992" w:type="dxa"/>
            <w:tcBorders>
              <w:top w:val="nil"/>
              <w:left w:val="nil"/>
              <w:bottom w:val="nil"/>
              <w:right w:val="single" w:sz="4" w:space="0" w:color="auto"/>
            </w:tcBorders>
            <w:shd w:val="clear" w:color="auto" w:fill="auto"/>
            <w:noWrap/>
            <w:vAlign w:val="center"/>
            <w:hideMark/>
          </w:tcPr>
          <w:p w14:paraId="6DE80180"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992" w:type="dxa"/>
            <w:tcBorders>
              <w:top w:val="nil"/>
              <w:left w:val="nil"/>
              <w:bottom w:val="nil"/>
              <w:right w:val="single" w:sz="4" w:space="0" w:color="auto"/>
            </w:tcBorders>
            <w:shd w:val="clear" w:color="auto" w:fill="auto"/>
            <w:noWrap/>
            <w:vAlign w:val="center"/>
            <w:hideMark/>
          </w:tcPr>
          <w:p w14:paraId="788E7F1C"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1134" w:type="dxa"/>
            <w:tcBorders>
              <w:top w:val="nil"/>
              <w:left w:val="nil"/>
              <w:bottom w:val="nil"/>
              <w:right w:val="nil"/>
            </w:tcBorders>
            <w:shd w:val="clear" w:color="auto" w:fill="auto"/>
            <w:noWrap/>
            <w:vAlign w:val="center"/>
            <w:hideMark/>
          </w:tcPr>
          <w:p w14:paraId="0DAF5FDE"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center"/>
            <w:hideMark/>
          </w:tcPr>
          <w:p w14:paraId="1BFD8385"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50" w:type="dxa"/>
            <w:tcBorders>
              <w:top w:val="nil"/>
              <w:left w:val="nil"/>
              <w:bottom w:val="nil"/>
              <w:right w:val="single" w:sz="4" w:space="0" w:color="auto"/>
            </w:tcBorders>
            <w:shd w:val="clear" w:color="auto" w:fill="auto"/>
            <w:noWrap/>
            <w:vAlign w:val="center"/>
            <w:hideMark/>
          </w:tcPr>
          <w:p w14:paraId="67AB3DCF"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51" w:type="dxa"/>
            <w:tcBorders>
              <w:top w:val="nil"/>
              <w:left w:val="nil"/>
              <w:bottom w:val="nil"/>
              <w:right w:val="single" w:sz="4" w:space="0" w:color="auto"/>
            </w:tcBorders>
            <w:shd w:val="clear" w:color="auto" w:fill="auto"/>
            <w:noWrap/>
            <w:vAlign w:val="center"/>
            <w:hideMark/>
          </w:tcPr>
          <w:p w14:paraId="2F6F2CC1"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5714B9EF"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75" w:type="dxa"/>
            <w:tcBorders>
              <w:top w:val="nil"/>
              <w:left w:val="nil"/>
              <w:bottom w:val="nil"/>
              <w:right w:val="single" w:sz="4" w:space="0" w:color="auto"/>
            </w:tcBorders>
            <w:shd w:val="clear" w:color="auto" w:fill="auto"/>
            <w:noWrap/>
            <w:vAlign w:val="center"/>
            <w:hideMark/>
          </w:tcPr>
          <w:p w14:paraId="512DED26"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670" w:type="dxa"/>
            <w:tcBorders>
              <w:top w:val="nil"/>
              <w:left w:val="nil"/>
              <w:bottom w:val="nil"/>
              <w:right w:val="single" w:sz="4" w:space="0" w:color="auto"/>
            </w:tcBorders>
            <w:shd w:val="clear" w:color="auto" w:fill="auto"/>
            <w:noWrap/>
            <w:vAlign w:val="center"/>
            <w:hideMark/>
          </w:tcPr>
          <w:p w14:paraId="69EFB726"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709" w:type="dxa"/>
            <w:tcBorders>
              <w:top w:val="nil"/>
              <w:left w:val="nil"/>
              <w:bottom w:val="nil"/>
              <w:right w:val="single" w:sz="4" w:space="0" w:color="auto"/>
            </w:tcBorders>
            <w:shd w:val="clear" w:color="auto" w:fill="auto"/>
            <w:noWrap/>
            <w:vAlign w:val="center"/>
            <w:hideMark/>
          </w:tcPr>
          <w:p w14:paraId="2C521FAC"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612" w:type="dxa"/>
            <w:tcBorders>
              <w:top w:val="nil"/>
              <w:left w:val="nil"/>
              <w:bottom w:val="nil"/>
              <w:right w:val="single" w:sz="4" w:space="0" w:color="auto"/>
            </w:tcBorders>
            <w:shd w:val="clear" w:color="auto" w:fill="auto"/>
            <w:noWrap/>
            <w:vAlign w:val="center"/>
            <w:hideMark/>
          </w:tcPr>
          <w:p w14:paraId="6595CE6B"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06" w:type="dxa"/>
            <w:tcBorders>
              <w:top w:val="nil"/>
              <w:left w:val="nil"/>
              <w:bottom w:val="nil"/>
              <w:right w:val="single" w:sz="4" w:space="0" w:color="auto"/>
            </w:tcBorders>
            <w:shd w:val="clear" w:color="auto" w:fill="auto"/>
            <w:noWrap/>
            <w:vAlign w:val="center"/>
            <w:hideMark/>
          </w:tcPr>
          <w:p w14:paraId="3F1CBCE8"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1040" w:type="dxa"/>
            <w:tcBorders>
              <w:top w:val="nil"/>
              <w:left w:val="nil"/>
              <w:bottom w:val="nil"/>
              <w:right w:val="single" w:sz="4" w:space="0" w:color="auto"/>
            </w:tcBorders>
            <w:shd w:val="clear" w:color="auto" w:fill="auto"/>
            <w:noWrap/>
            <w:vAlign w:val="center"/>
            <w:hideMark/>
          </w:tcPr>
          <w:p w14:paraId="4C87E88C"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02" w:type="dxa"/>
            <w:tcBorders>
              <w:top w:val="nil"/>
              <w:left w:val="nil"/>
              <w:bottom w:val="nil"/>
              <w:right w:val="single" w:sz="4" w:space="0" w:color="auto"/>
            </w:tcBorders>
            <w:shd w:val="clear" w:color="auto" w:fill="auto"/>
            <w:noWrap/>
            <w:vAlign w:val="center"/>
            <w:hideMark/>
          </w:tcPr>
          <w:p w14:paraId="14F11BA7"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r>
      <w:tr w:rsidR="009630A9" w:rsidRPr="000C156A" w14:paraId="1EA2DEB3" w14:textId="77777777" w:rsidTr="00CD0CEA">
        <w:trPr>
          <w:trHeight w:val="255"/>
          <w:jc w:val="center"/>
        </w:trPr>
        <w:tc>
          <w:tcPr>
            <w:tcW w:w="1980" w:type="dxa"/>
            <w:tcBorders>
              <w:top w:val="nil"/>
              <w:left w:val="single" w:sz="4" w:space="0" w:color="auto"/>
              <w:bottom w:val="nil"/>
              <w:right w:val="nil"/>
            </w:tcBorders>
            <w:shd w:val="clear" w:color="auto" w:fill="FFFFFF" w:themeFill="background1"/>
            <w:vAlign w:val="center"/>
            <w:hideMark/>
          </w:tcPr>
          <w:p w14:paraId="2A0771F3" w14:textId="77777777" w:rsidR="009630A9" w:rsidRPr="000C156A" w:rsidRDefault="009630A9" w:rsidP="005D02F0">
            <w:pPr>
              <w:overflowPunct/>
              <w:autoSpaceDE/>
              <w:autoSpaceDN/>
              <w:adjustRightInd/>
              <w:spacing w:before="0"/>
              <w:textAlignment w:val="auto"/>
              <w:rPr>
                <w:rFonts w:eastAsia="Times New Roman" w:cs="Calibri"/>
                <w:color w:val="000000"/>
                <w:sz w:val="16"/>
                <w:szCs w:val="16"/>
                <w:lang w:eastAsia="en-GB"/>
              </w:rPr>
            </w:pPr>
            <w:r w:rsidRPr="000C156A">
              <w:rPr>
                <w:rFonts w:asciiTheme="minorHAnsi" w:hAnsiTheme="minorHAnsi" w:cs="Arial" w:hint="eastAsia"/>
                <w:color w:val="000000"/>
                <w:sz w:val="16"/>
                <w:szCs w:val="16"/>
                <w:lang w:val="en-US" w:eastAsia="zh-CN"/>
              </w:rPr>
              <w:t>分摊会费</w:t>
            </w:r>
          </w:p>
        </w:tc>
        <w:tc>
          <w:tcPr>
            <w:tcW w:w="992" w:type="dxa"/>
            <w:tcBorders>
              <w:top w:val="nil"/>
              <w:left w:val="single" w:sz="4" w:space="0" w:color="auto"/>
              <w:bottom w:val="nil"/>
              <w:right w:val="single" w:sz="4" w:space="0" w:color="auto"/>
            </w:tcBorders>
            <w:shd w:val="clear" w:color="auto" w:fill="auto"/>
            <w:noWrap/>
            <w:vAlign w:val="center"/>
            <w:hideMark/>
          </w:tcPr>
          <w:p w14:paraId="7AAB4041"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w:t>
            </w:r>
          </w:p>
        </w:tc>
        <w:tc>
          <w:tcPr>
            <w:tcW w:w="709" w:type="dxa"/>
            <w:tcBorders>
              <w:top w:val="nil"/>
              <w:left w:val="nil"/>
              <w:bottom w:val="nil"/>
              <w:right w:val="single" w:sz="4" w:space="0" w:color="auto"/>
            </w:tcBorders>
            <w:shd w:val="clear" w:color="auto" w:fill="auto"/>
            <w:noWrap/>
            <w:vAlign w:val="center"/>
            <w:hideMark/>
          </w:tcPr>
          <w:p w14:paraId="16CD062C" w14:textId="6BAEE1E9"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6</w:t>
            </w:r>
            <w:r w:rsidR="00B634EB" w:rsidRPr="000C156A">
              <w:rPr>
                <w:rFonts w:eastAsia="Times New Roman" w:cs="Calibri"/>
                <w:sz w:val="16"/>
                <w:szCs w:val="16"/>
                <w:lang w:eastAsia="en-GB"/>
              </w:rPr>
              <w:t xml:space="preserve"> </w:t>
            </w:r>
            <w:r w:rsidRPr="000C156A">
              <w:rPr>
                <w:rFonts w:eastAsia="Times New Roman" w:cs="Calibri"/>
                <w:sz w:val="16"/>
                <w:szCs w:val="16"/>
                <w:lang w:eastAsia="en-GB"/>
              </w:rPr>
              <w:t>544</w:t>
            </w:r>
          </w:p>
        </w:tc>
        <w:tc>
          <w:tcPr>
            <w:tcW w:w="992" w:type="dxa"/>
            <w:tcBorders>
              <w:top w:val="nil"/>
              <w:left w:val="nil"/>
              <w:bottom w:val="nil"/>
              <w:right w:val="single" w:sz="4" w:space="0" w:color="auto"/>
            </w:tcBorders>
            <w:shd w:val="clear" w:color="auto" w:fill="auto"/>
            <w:noWrap/>
            <w:vAlign w:val="center"/>
            <w:hideMark/>
          </w:tcPr>
          <w:p w14:paraId="52728E4A" w14:textId="20161DA6"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8</w:t>
            </w:r>
            <w:r w:rsidR="00B634EB" w:rsidRPr="000C156A">
              <w:rPr>
                <w:rFonts w:eastAsia="Times New Roman" w:cs="Calibri"/>
                <w:sz w:val="16"/>
                <w:szCs w:val="16"/>
                <w:lang w:eastAsia="en-GB"/>
              </w:rPr>
              <w:t xml:space="preserve"> </w:t>
            </w:r>
            <w:r w:rsidRPr="000C156A">
              <w:rPr>
                <w:rFonts w:eastAsia="Times New Roman" w:cs="Calibri"/>
                <w:sz w:val="16"/>
                <w:szCs w:val="16"/>
                <w:lang w:eastAsia="en-GB"/>
              </w:rPr>
              <w:t>099</w:t>
            </w:r>
          </w:p>
        </w:tc>
        <w:tc>
          <w:tcPr>
            <w:tcW w:w="992" w:type="dxa"/>
            <w:tcBorders>
              <w:top w:val="nil"/>
              <w:left w:val="nil"/>
              <w:bottom w:val="nil"/>
              <w:right w:val="single" w:sz="4" w:space="0" w:color="auto"/>
            </w:tcBorders>
            <w:shd w:val="clear" w:color="auto" w:fill="auto"/>
            <w:noWrap/>
            <w:vAlign w:val="center"/>
            <w:hideMark/>
          </w:tcPr>
          <w:p w14:paraId="0FC99197" w14:textId="338894E8"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1</w:t>
            </w:r>
            <w:r w:rsidR="00B634EB" w:rsidRPr="000C156A">
              <w:rPr>
                <w:rFonts w:eastAsia="Times New Roman" w:cs="Calibri"/>
                <w:sz w:val="16"/>
                <w:szCs w:val="16"/>
                <w:lang w:eastAsia="en-GB"/>
              </w:rPr>
              <w:t xml:space="preserve"> </w:t>
            </w:r>
            <w:r w:rsidRPr="000C156A">
              <w:rPr>
                <w:rFonts w:eastAsia="Times New Roman" w:cs="Calibri"/>
                <w:sz w:val="16"/>
                <w:szCs w:val="16"/>
                <w:lang w:eastAsia="en-GB"/>
              </w:rPr>
              <w:t>407</w:t>
            </w:r>
          </w:p>
        </w:tc>
        <w:tc>
          <w:tcPr>
            <w:tcW w:w="1134" w:type="dxa"/>
            <w:tcBorders>
              <w:top w:val="nil"/>
              <w:left w:val="nil"/>
              <w:bottom w:val="nil"/>
              <w:right w:val="nil"/>
            </w:tcBorders>
            <w:shd w:val="clear" w:color="auto" w:fill="auto"/>
            <w:noWrap/>
            <w:vAlign w:val="center"/>
            <w:hideMark/>
          </w:tcPr>
          <w:p w14:paraId="42E30620" w14:textId="43357DBD"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109</w:t>
            </w:r>
            <w:r w:rsidR="00B634EB" w:rsidRPr="000C156A">
              <w:rPr>
                <w:rFonts w:eastAsia="Times New Roman" w:cs="Calibri"/>
                <w:sz w:val="16"/>
                <w:szCs w:val="16"/>
                <w:lang w:eastAsia="en-GB"/>
              </w:rPr>
              <w:t xml:space="preserve"> </w:t>
            </w:r>
            <w:r w:rsidRPr="000C156A">
              <w:rPr>
                <w:rFonts w:eastAsia="Times New Roman" w:cs="Calibri"/>
                <w:sz w:val="16"/>
                <w:szCs w:val="16"/>
                <w:lang w:eastAsia="en-GB"/>
              </w:rPr>
              <w:t>691</w:t>
            </w:r>
          </w:p>
        </w:tc>
        <w:tc>
          <w:tcPr>
            <w:tcW w:w="993" w:type="dxa"/>
            <w:tcBorders>
              <w:top w:val="nil"/>
              <w:left w:val="single" w:sz="4" w:space="0" w:color="auto"/>
              <w:bottom w:val="nil"/>
              <w:right w:val="single" w:sz="4" w:space="0" w:color="auto"/>
            </w:tcBorders>
            <w:shd w:val="clear" w:color="auto" w:fill="auto"/>
            <w:noWrap/>
            <w:vAlign w:val="center"/>
            <w:hideMark/>
          </w:tcPr>
          <w:p w14:paraId="1A6EE347" w14:textId="18BA5A22"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25</w:t>
            </w:r>
            <w:r w:rsidR="00B634EB" w:rsidRPr="000C156A">
              <w:rPr>
                <w:rFonts w:eastAsia="Times New Roman" w:cs="Calibri"/>
                <w:b/>
                <w:bCs/>
                <w:sz w:val="16"/>
                <w:szCs w:val="16"/>
                <w:lang w:eastAsia="en-GB"/>
              </w:rPr>
              <w:t xml:space="preserve"> </w:t>
            </w:r>
            <w:r w:rsidRPr="000C156A">
              <w:rPr>
                <w:rFonts w:eastAsia="Times New Roman" w:cs="Calibri"/>
                <w:b/>
                <w:bCs/>
                <w:sz w:val="16"/>
                <w:szCs w:val="16"/>
                <w:lang w:eastAsia="en-GB"/>
              </w:rPr>
              <w:t>741</w:t>
            </w:r>
          </w:p>
        </w:tc>
        <w:tc>
          <w:tcPr>
            <w:tcW w:w="850" w:type="dxa"/>
            <w:tcBorders>
              <w:top w:val="nil"/>
              <w:left w:val="nil"/>
              <w:bottom w:val="nil"/>
              <w:right w:val="single" w:sz="4" w:space="0" w:color="auto"/>
            </w:tcBorders>
            <w:shd w:val="clear" w:color="auto" w:fill="auto"/>
            <w:noWrap/>
            <w:vAlign w:val="center"/>
            <w:hideMark/>
          </w:tcPr>
          <w:p w14:paraId="2B11D29E"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w:t>
            </w:r>
          </w:p>
        </w:tc>
        <w:tc>
          <w:tcPr>
            <w:tcW w:w="851" w:type="dxa"/>
            <w:tcBorders>
              <w:top w:val="nil"/>
              <w:left w:val="nil"/>
              <w:bottom w:val="nil"/>
              <w:right w:val="single" w:sz="4" w:space="0" w:color="auto"/>
            </w:tcBorders>
            <w:shd w:val="clear" w:color="auto" w:fill="auto"/>
            <w:noWrap/>
            <w:vAlign w:val="center"/>
            <w:hideMark/>
          </w:tcPr>
          <w:p w14:paraId="65C9B73C"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06876FB6"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w:t>
            </w:r>
          </w:p>
        </w:tc>
        <w:tc>
          <w:tcPr>
            <w:tcW w:w="875" w:type="dxa"/>
            <w:tcBorders>
              <w:top w:val="nil"/>
              <w:left w:val="nil"/>
              <w:bottom w:val="nil"/>
              <w:right w:val="nil"/>
            </w:tcBorders>
            <w:shd w:val="clear" w:color="auto" w:fill="auto"/>
            <w:noWrap/>
            <w:vAlign w:val="center"/>
            <w:hideMark/>
          </w:tcPr>
          <w:p w14:paraId="14D556B6"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670" w:type="dxa"/>
            <w:tcBorders>
              <w:top w:val="nil"/>
              <w:left w:val="single" w:sz="4" w:space="0" w:color="auto"/>
              <w:bottom w:val="nil"/>
              <w:right w:val="nil"/>
            </w:tcBorders>
            <w:shd w:val="clear" w:color="auto" w:fill="auto"/>
            <w:noWrap/>
            <w:vAlign w:val="center"/>
            <w:hideMark/>
          </w:tcPr>
          <w:p w14:paraId="576C436E"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single" w:sz="4" w:space="0" w:color="auto"/>
              <w:bottom w:val="nil"/>
              <w:right w:val="nil"/>
            </w:tcBorders>
            <w:shd w:val="clear" w:color="auto" w:fill="auto"/>
            <w:noWrap/>
            <w:vAlign w:val="center"/>
            <w:hideMark/>
          </w:tcPr>
          <w:p w14:paraId="6F63BF74"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612" w:type="dxa"/>
            <w:tcBorders>
              <w:top w:val="nil"/>
              <w:left w:val="single" w:sz="4" w:space="0" w:color="auto"/>
              <w:bottom w:val="nil"/>
              <w:right w:val="single" w:sz="4" w:space="0" w:color="auto"/>
            </w:tcBorders>
            <w:shd w:val="clear" w:color="auto" w:fill="auto"/>
            <w:noWrap/>
            <w:vAlign w:val="center"/>
            <w:hideMark/>
          </w:tcPr>
          <w:p w14:paraId="60B4C5F1"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06" w:type="dxa"/>
            <w:tcBorders>
              <w:top w:val="nil"/>
              <w:left w:val="nil"/>
              <w:bottom w:val="nil"/>
              <w:right w:val="single" w:sz="4" w:space="0" w:color="auto"/>
            </w:tcBorders>
            <w:shd w:val="clear" w:color="auto" w:fill="auto"/>
            <w:noWrap/>
            <w:vAlign w:val="center"/>
            <w:hideMark/>
          </w:tcPr>
          <w:p w14:paraId="121A91AF"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1040" w:type="dxa"/>
            <w:tcBorders>
              <w:top w:val="nil"/>
              <w:left w:val="nil"/>
              <w:bottom w:val="nil"/>
              <w:right w:val="nil"/>
            </w:tcBorders>
            <w:shd w:val="clear" w:color="auto" w:fill="auto"/>
            <w:noWrap/>
            <w:vAlign w:val="center"/>
            <w:hideMark/>
          </w:tcPr>
          <w:p w14:paraId="2053A5F7"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02" w:type="dxa"/>
            <w:tcBorders>
              <w:top w:val="nil"/>
              <w:left w:val="single" w:sz="4" w:space="0" w:color="auto"/>
              <w:bottom w:val="nil"/>
              <w:right w:val="single" w:sz="4" w:space="0" w:color="auto"/>
            </w:tcBorders>
            <w:shd w:val="clear" w:color="auto" w:fill="auto"/>
            <w:noWrap/>
            <w:vAlign w:val="center"/>
            <w:hideMark/>
          </w:tcPr>
          <w:p w14:paraId="4412C1D5" w14:textId="3DAF8FD6"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125</w:t>
            </w:r>
            <w:r w:rsidR="00B634EB" w:rsidRPr="000C156A">
              <w:rPr>
                <w:rFonts w:eastAsia="Times New Roman" w:cs="Calibri"/>
                <w:b/>
                <w:bCs/>
                <w:sz w:val="16"/>
                <w:szCs w:val="16"/>
                <w:lang w:eastAsia="en-GB"/>
              </w:rPr>
              <w:t xml:space="preserve"> </w:t>
            </w:r>
            <w:r w:rsidRPr="000C156A">
              <w:rPr>
                <w:rFonts w:eastAsia="Times New Roman" w:cs="Calibri"/>
                <w:b/>
                <w:bCs/>
                <w:sz w:val="16"/>
                <w:szCs w:val="16"/>
                <w:lang w:eastAsia="en-GB"/>
              </w:rPr>
              <w:t>741</w:t>
            </w:r>
          </w:p>
        </w:tc>
      </w:tr>
      <w:tr w:rsidR="009630A9" w:rsidRPr="000C156A" w14:paraId="294F4C10" w14:textId="77777777" w:rsidTr="00CD0CEA">
        <w:trPr>
          <w:trHeight w:val="255"/>
          <w:jc w:val="center"/>
        </w:trPr>
        <w:tc>
          <w:tcPr>
            <w:tcW w:w="1980" w:type="dxa"/>
            <w:tcBorders>
              <w:top w:val="nil"/>
              <w:left w:val="single" w:sz="4" w:space="0" w:color="auto"/>
              <w:bottom w:val="nil"/>
              <w:right w:val="nil"/>
            </w:tcBorders>
            <w:shd w:val="clear" w:color="auto" w:fill="auto"/>
            <w:vAlign w:val="center"/>
            <w:hideMark/>
          </w:tcPr>
          <w:p w14:paraId="69463617" w14:textId="77777777" w:rsidR="009630A9" w:rsidRPr="000C156A" w:rsidRDefault="009630A9" w:rsidP="005D02F0">
            <w:pPr>
              <w:overflowPunct/>
              <w:autoSpaceDE/>
              <w:autoSpaceDN/>
              <w:adjustRightInd/>
              <w:spacing w:before="0"/>
              <w:textAlignment w:val="auto"/>
              <w:rPr>
                <w:rFonts w:eastAsia="Times New Roman" w:cs="Calibri"/>
                <w:color w:val="000000"/>
                <w:sz w:val="16"/>
                <w:szCs w:val="16"/>
                <w:lang w:eastAsia="en-GB"/>
              </w:rPr>
            </w:pPr>
            <w:r w:rsidRPr="000C156A">
              <w:rPr>
                <w:noProof/>
                <w:sz w:val="16"/>
                <w:szCs w:val="16"/>
                <w:lang w:val="en-US" w:eastAsia="zh-CN"/>
              </w:rPr>
              <w:t>自愿捐</w:t>
            </w:r>
            <w:r w:rsidRPr="000C156A">
              <w:rPr>
                <w:rFonts w:hint="eastAsia"/>
                <w:noProof/>
                <w:sz w:val="16"/>
                <w:szCs w:val="16"/>
                <w:lang w:val="en-US" w:eastAsia="zh-CN"/>
              </w:rPr>
              <w:t>款</w:t>
            </w:r>
          </w:p>
        </w:tc>
        <w:tc>
          <w:tcPr>
            <w:tcW w:w="992" w:type="dxa"/>
            <w:tcBorders>
              <w:top w:val="nil"/>
              <w:left w:val="single" w:sz="4" w:space="0" w:color="auto"/>
              <w:bottom w:val="nil"/>
              <w:right w:val="single" w:sz="4" w:space="0" w:color="auto"/>
            </w:tcBorders>
            <w:shd w:val="clear" w:color="auto" w:fill="auto"/>
            <w:noWrap/>
            <w:vAlign w:val="center"/>
            <w:hideMark/>
          </w:tcPr>
          <w:p w14:paraId="459611FB"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w:t>
            </w:r>
          </w:p>
        </w:tc>
        <w:tc>
          <w:tcPr>
            <w:tcW w:w="709" w:type="dxa"/>
            <w:tcBorders>
              <w:top w:val="nil"/>
              <w:left w:val="nil"/>
              <w:bottom w:val="nil"/>
              <w:right w:val="single" w:sz="4" w:space="0" w:color="auto"/>
            </w:tcBorders>
            <w:shd w:val="clear" w:color="auto" w:fill="auto"/>
            <w:noWrap/>
            <w:vAlign w:val="center"/>
            <w:hideMark/>
          </w:tcPr>
          <w:p w14:paraId="293CAD2A"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w:t>
            </w:r>
          </w:p>
        </w:tc>
        <w:tc>
          <w:tcPr>
            <w:tcW w:w="992" w:type="dxa"/>
            <w:tcBorders>
              <w:top w:val="nil"/>
              <w:left w:val="nil"/>
              <w:bottom w:val="nil"/>
              <w:right w:val="single" w:sz="4" w:space="0" w:color="auto"/>
            </w:tcBorders>
            <w:shd w:val="clear" w:color="auto" w:fill="auto"/>
            <w:noWrap/>
            <w:vAlign w:val="center"/>
            <w:hideMark/>
          </w:tcPr>
          <w:p w14:paraId="17CBFC14"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w:t>
            </w:r>
          </w:p>
        </w:tc>
        <w:tc>
          <w:tcPr>
            <w:tcW w:w="992" w:type="dxa"/>
            <w:tcBorders>
              <w:top w:val="nil"/>
              <w:left w:val="nil"/>
              <w:bottom w:val="nil"/>
              <w:right w:val="single" w:sz="4" w:space="0" w:color="auto"/>
            </w:tcBorders>
            <w:shd w:val="clear" w:color="auto" w:fill="auto"/>
            <w:noWrap/>
            <w:vAlign w:val="center"/>
            <w:hideMark/>
          </w:tcPr>
          <w:p w14:paraId="07923A40"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w:t>
            </w:r>
          </w:p>
        </w:tc>
        <w:tc>
          <w:tcPr>
            <w:tcW w:w="1134" w:type="dxa"/>
            <w:tcBorders>
              <w:top w:val="nil"/>
              <w:left w:val="nil"/>
              <w:bottom w:val="nil"/>
              <w:right w:val="nil"/>
            </w:tcBorders>
            <w:shd w:val="clear" w:color="auto" w:fill="auto"/>
            <w:noWrap/>
            <w:vAlign w:val="center"/>
            <w:hideMark/>
          </w:tcPr>
          <w:p w14:paraId="0FD15875"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w:t>
            </w:r>
          </w:p>
        </w:tc>
        <w:tc>
          <w:tcPr>
            <w:tcW w:w="993" w:type="dxa"/>
            <w:tcBorders>
              <w:top w:val="nil"/>
              <w:left w:val="single" w:sz="4" w:space="0" w:color="auto"/>
              <w:bottom w:val="nil"/>
              <w:right w:val="single" w:sz="4" w:space="0" w:color="auto"/>
            </w:tcBorders>
            <w:shd w:val="clear" w:color="auto" w:fill="auto"/>
            <w:noWrap/>
            <w:vAlign w:val="center"/>
            <w:hideMark/>
          </w:tcPr>
          <w:p w14:paraId="6D3B449C" w14:textId="77777777"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w:t>
            </w:r>
          </w:p>
        </w:tc>
        <w:tc>
          <w:tcPr>
            <w:tcW w:w="850" w:type="dxa"/>
            <w:tcBorders>
              <w:top w:val="nil"/>
              <w:left w:val="nil"/>
              <w:bottom w:val="nil"/>
              <w:right w:val="single" w:sz="4" w:space="0" w:color="auto"/>
            </w:tcBorders>
            <w:shd w:val="clear" w:color="auto" w:fill="auto"/>
            <w:noWrap/>
            <w:vAlign w:val="center"/>
            <w:hideMark/>
          </w:tcPr>
          <w:p w14:paraId="15C41926"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w:t>
            </w:r>
          </w:p>
        </w:tc>
        <w:tc>
          <w:tcPr>
            <w:tcW w:w="851" w:type="dxa"/>
            <w:tcBorders>
              <w:top w:val="nil"/>
              <w:left w:val="nil"/>
              <w:bottom w:val="nil"/>
              <w:right w:val="single" w:sz="4" w:space="0" w:color="auto"/>
            </w:tcBorders>
            <w:shd w:val="clear" w:color="auto" w:fill="auto"/>
            <w:noWrap/>
            <w:vAlign w:val="center"/>
            <w:hideMark/>
          </w:tcPr>
          <w:p w14:paraId="1F057FAD"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30FFE485"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w:t>
            </w:r>
          </w:p>
        </w:tc>
        <w:tc>
          <w:tcPr>
            <w:tcW w:w="875" w:type="dxa"/>
            <w:tcBorders>
              <w:top w:val="nil"/>
              <w:left w:val="nil"/>
              <w:bottom w:val="nil"/>
              <w:right w:val="single" w:sz="4" w:space="0" w:color="auto"/>
            </w:tcBorders>
            <w:shd w:val="clear" w:color="auto" w:fill="auto"/>
            <w:noWrap/>
            <w:vAlign w:val="center"/>
            <w:hideMark/>
          </w:tcPr>
          <w:p w14:paraId="63EE7F88" w14:textId="63253BC3"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3</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002</w:t>
            </w:r>
          </w:p>
        </w:tc>
        <w:tc>
          <w:tcPr>
            <w:tcW w:w="670" w:type="dxa"/>
            <w:tcBorders>
              <w:top w:val="nil"/>
              <w:left w:val="nil"/>
              <w:bottom w:val="nil"/>
              <w:right w:val="single" w:sz="4" w:space="0" w:color="auto"/>
            </w:tcBorders>
            <w:shd w:val="clear" w:color="auto" w:fill="auto"/>
            <w:noWrap/>
            <w:vAlign w:val="center"/>
            <w:hideMark/>
          </w:tcPr>
          <w:p w14:paraId="4F9F6D9B" w14:textId="15BCD5A8"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5</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236</w:t>
            </w:r>
          </w:p>
        </w:tc>
        <w:tc>
          <w:tcPr>
            <w:tcW w:w="709" w:type="dxa"/>
            <w:tcBorders>
              <w:top w:val="nil"/>
              <w:left w:val="nil"/>
              <w:bottom w:val="nil"/>
              <w:right w:val="single" w:sz="4" w:space="0" w:color="auto"/>
            </w:tcBorders>
            <w:shd w:val="clear" w:color="auto" w:fill="auto"/>
            <w:noWrap/>
            <w:vAlign w:val="center"/>
            <w:hideMark/>
          </w:tcPr>
          <w:p w14:paraId="323CAE0C"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-5</w:t>
            </w:r>
          </w:p>
        </w:tc>
        <w:tc>
          <w:tcPr>
            <w:tcW w:w="612" w:type="dxa"/>
            <w:tcBorders>
              <w:top w:val="nil"/>
              <w:left w:val="nil"/>
              <w:bottom w:val="nil"/>
              <w:right w:val="single" w:sz="4" w:space="0" w:color="auto"/>
            </w:tcBorders>
            <w:shd w:val="clear" w:color="auto" w:fill="auto"/>
            <w:noWrap/>
            <w:vAlign w:val="center"/>
            <w:hideMark/>
          </w:tcPr>
          <w:p w14:paraId="5CEDDAEC"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66</w:t>
            </w:r>
          </w:p>
        </w:tc>
        <w:tc>
          <w:tcPr>
            <w:tcW w:w="806" w:type="dxa"/>
            <w:tcBorders>
              <w:top w:val="nil"/>
              <w:left w:val="nil"/>
              <w:bottom w:val="nil"/>
              <w:right w:val="single" w:sz="4" w:space="0" w:color="auto"/>
            </w:tcBorders>
            <w:shd w:val="clear" w:color="auto" w:fill="auto"/>
            <w:noWrap/>
            <w:vAlign w:val="center"/>
            <w:hideMark/>
          </w:tcPr>
          <w:p w14:paraId="2BF48466"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1040" w:type="dxa"/>
            <w:tcBorders>
              <w:top w:val="nil"/>
              <w:left w:val="nil"/>
              <w:bottom w:val="nil"/>
              <w:right w:val="single" w:sz="4" w:space="0" w:color="auto"/>
            </w:tcBorders>
            <w:shd w:val="clear" w:color="auto" w:fill="auto"/>
            <w:noWrap/>
            <w:vAlign w:val="center"/>
            <w:hideMark/>
          </w:tcPr>
          <w:p w14:paraId="5E880FC6"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w:t>
            </w:r>
          </w:p>
        </w:tc>
        <w:tc>
          <w:tcPr>
            <w:tcW w:w="802" w:type="dxa"/>
            <w:tcBorders>
              <w:top w:val="nil"/>
              <w:left w:val="nil"/>
              <w:bottom w:val="nil"/>
              <w:right w:val="single" w:sz="4" w:space="0" w:color="auto"/>
            </w:tcBorders>
            <w:shd w:val="clear" w:color="auto" w:fill="auto"/>
            <w:noWrap/>
            <w:vAlign w:val="center"/>
            <w:hideMark/>
          </w:tcPr>
          <w:p w14:paraId="24D20D27" w14:textId="7E16D957"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8</w:t>
            </w:r>
            <w:r w:rsidR="00B634EB" w:rsidRPr="000C156A">
              <w:rPr>
                <w:rFonts w:eastAsia="Times New Roman" w:cs="Calibri"/>
                <w:b/>
                <w:bCs/>
                <w:sz w:val="16"/>
                <w:szCs w:val="16"/>
                <w:lang w:eastAsia="en-GB"/>
              </w:rPr>
              <w:t xml:space="preserve"> </w:t>
            </w:r>
            <w:r w:rsidRPr="000C156A">
              <w:rPr>
                <w:rFonts w:eastAsia="Times New Roman" w:cs="Calibri"/>
                <w:b/>
                <w:bCs/>
                <w:sz w:val="16"/>
                <w:szCs w:val="16"/>
                <w:lang w:eastAsia="en-GB"/>
              </w:rPr>
              <w:t>300</w:t>
            </w:r>
          </w:p>
        </w:tc>
      </w:tr>
      <w:tr w:rsidR="009630A9" w:rsidRPr="000C156A" w14:paraId="77BF0E10" w14:textId="77777777" w:rsidTr="00CD0CEA">
        <w:trPr>
          <w:trHeight w:val="255"/>
          <w:jc w:val="center"/>
        </w:trPr>
        <w:tc>
          <w:tcPr>
            <w:tcW w:w="1980" w:type="dxa"/>
            <w:tcBorders>
              <w:top w:val="nil"/>
              <w:left w:val="single" w:sz="4" w:space="0" w:color="auto"/>
              <w:bottom w:val="nil"/>
              <w:right w:val="nil"/>
            </w:tcBorders>
            <w:shd w:val="clear" w:color="auto" w:fill="auto"/>
            <w:vAlign w:val="center"/>
            <w:hideMark/>
          </w:tcPr>
          <w:p w14:paraId="6225D2CF" w14:textId="77777777" w:rsidR="009630A9" w:rsidRPr="000C156A" w:rsidRDefault="009630A9" w:rsidP="005D02F0">
            <w:pPr>
              <w:overflowPunct/>
              <w:autoSpaceDE/>
              <w:autoSpaceDN/>
              <w:adjustRightInd/>
              <w:spacing w:before="0"/>
              <w:textAlignment w:val="auto"/>
              <w:rPr>
                <w:rFonts w:eastAsia="Times New Roman" w:cs="Calibri"/>
                <w:color w:val="000000"/>
                <w:sz w:val="16"/>
                <w:szCs w:val="16"/>
                <w:lang w:eastAsia="en-GB"/>
              </w:rPr>
            </w:pPr>
            <w:r w:rsidRPr="000C156A">
              <w:rPr>
                <w:rFonts w:asciiTheme="minorHAnsi" w:hAnsiTheme="minorHAnsi" w:cs="Arial" w:hint="eastAsia"/>
                <w:sz w:val="16"/>
                <w:szCs w:val="16"/>
                <w:lang w:val="en-US" w:eastAsia="zh-CN"/>
              </w:rPr>
              <w:t>出版物</w:t>
            </w:r>
          </w:p>
        </w:tc>
        <w:tc>
          <w:tcPr>
            <w:tcW w:w="992" w:type="dxa"/>
            <w:tcBorders>
              <w:top w:val="nil"/>
              <w:left w:val="single" w:sz="4" w:space="0" w:color="auto"/>
              <w:bottom w:val="nil"/>
              <w:right w:val="single" w:sz="4" w:space="0" w:color="auto"/>
            </w:tcBorders>
            <w:shd w:val="clear" w:color="auto" w:fill="auto"/>
            <w:noWrap/>
            <w:vAlign w:val="center"/>
            <w:hideMark/>
          </w:tcPr>
          <w:p w14:paraId="60153699"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5</w:t>
            </w:r>
          </w:p>
        </w:tc>
        <w:tc>
          <w:tcPr>
            <w:tcW w:w="709" w:type="dxa"/>
            <w:tcBorders>
              <w:top w:val="nil"/>
              <w:left w:val="nil"/>
              <w:bottom w:val="nil"/>
              <w:right w:val="single" w:sz="4" w:space="0" w:color="auto"/>
            </w:tcBorders>
            <w:shd w:val="clear" w:color="auto" w:fill="auto"/>
            <w:noWrap/>
            <w:vAlign w:val="center"/>
            <w:hideMark/>
          </w:tcPr>
          <w:p w14:paraId="28DC7EE6" w14:textId="177B2D2C"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16</w:t>
            </w:r>
            <w:r w:rsidR="00B634EB" w:rsidRPr="000C156A">
              <w:rPr>
                <w:rFonts w:eastAsia="Times New Roman" w:cs="Calibri"/>
                <w:sz w:val="16"/>
                <w:szCs w:val="16"/>
                <w:lang w:eastAsia="en-GB"/>
              </w:rPr>
              <w:t xml:space="preserve"> </w:t>
            </w:r>
            <w:r w:rsidRPr="000C156A">
              <w:rPr>
                <w:rFonts w:eastAsia="Times New Roman" w:cs="Calibri"/>
                <w:sz w:val="16"/>
                <w:szCs w:val="16"/>
                <w:lang w:eastAsia="en-GB"/>
              </w:rPr>
              <w:t>995</w:t>
            </w:r>
          </w:p>
        </w:tc>
        <w:tc>
          <w:tcPr>
            <w:tcW w:w="992" w:type="dxa"/>
            <w:tcBorders>
              <w:top w:val="nil"/>
              <w:left w:val="nil"/>
              <w:bottom w:val="nil"/>
              <w:right w:val="single" w:sz="4" w:space="0" w:color="auto"/>
            </w:tcBorders>
            <w:shd w:val="clear" w:color="auto" w:fill="auto"/>
            <w:noWrap/>
            <w:vAlign w:val="center"/>
            <w:hideMark/>
          </w:tcPr>
          <w:p w14:paraId="2DFD05F0"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17</w:t>
            </w:r>
          </w:p>
        </w:tc>
        <w:tc>
          <w:tcPr>
            <w:tcW w:w="992" w:type="dxa"/>
            <w:tcBorders>
              <w:top w:val="nil"/>
              <w:left w:val="nil"/>
              <w:bottom w:val="nil"/>
              <w:right w:val="single" w:sz="4" w:space="0" w:color="auto"/>
            </w:tcBorders>
            <w:shd w:val="clear" w:color="auto" w:fill="auto"/>
            <w:noWrap/>
            <w:vAlign w:val="center"/>
            <w:hideMark/>
          </w:tcPr>
          <w:p w14:paraId="5ED98D7F"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72</w:t>
            </w:r>
          </w:p>
        </w:tc>
        <w:tc>
          <w:tcPr>
            <w:tcW w:w="1134" w:type="dxa"/>
            <w:tcBorders>
              <w:top w:val="nil"/>
              <w:left w:val="nil"/>
              <w:bottom w:val="nil"/>
              <w:right w:val="nil"/>
            </w:tcBorders>
            <w:shd w:val="clear" w:color="auto" w:fill="auto"/>
            <w:noWrap/>
            <w:vAlign w:val="center"/>
            <w:hideMark/>
          </w:tcPr>
          <w:p w14:paraId="5B161BA6"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27</w:t>
            </w:r>
          </w:p>
        </w:tc>
        <w:tc>
          <w:tcPr>
            <w:tcW w:w="993" w:type="dxa"/>
            <w:tcBorders>
              <w:top w:val="nil"/>
              <w:left w:val="single" w:sz="4" w:space="0" w:color="auto"/>
              <w:bottom w:val="nil"/>
              <w:right w:val="single" w:sz="4" w:space="0" w:color="auto"/>
            </w:tcBorders>
            <w:shd w:val="clear" w:color="auto" w:fill="auto"/>
            <w:noWrap/>
            <w:vAlign w:val="center"/>
            <w:hideMark/>
          </w:tcPr>
          <w:p w14:paraId="7A2F9953" w14:textId="4190F046"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17</w:t>
            </w:r>
            <w:r w:rsidR="00B634EB" w:rsidRPr="000C156A">
              <w:rPr>
                <w:rFonts w:eastAsia="Times New Roman" w:cs="Calibri"/>
                <w:b/>
                <w:bCs/>
                <w:sz w:val="16"/>
                <w:szCs w:val="16"/>
                <w:lang w:eastAsia="en-GB"/>
              </w:rPr>
              <w:t xml:space="preserve"> </w:t>
            </w:r>
            <w:r w:rsidRPr="000C156A">
              <w:rPr>
                <w:rFonts w:eastAsia="Times New Roman" w:cs="Calibri"/>
                <w:b/>
                <w:bCs/>
                <w:sz w:val="16"/>
                <w:szCs w:val="16"/>
                <w:lang w:eastAsia="en-GB"/>
              </w:rPr>
              <w:t>116</w:t>
            </w:r>
          </w:p>
        </w:tc>
        <w:tc>
          <w:tcPr>
            <w:tcW w:w="850" w:type="dxa"/>
            <w:tcBorders>
              <w:top w:val="nil"/>
              <w:left w:val="nil"/>
              <w:bottom w:val="nil"/>
              <w:right w:val="single" w:sz="4" w:space="0" w:color="auto"/>
            </w:tcBorders>
            <w:shd w:val="clear" w:color="auto" w:fill="auto"/>
            <w:noWrap/>
            <w:vAlign w:val="center"/>
            <w:hideMark/>
          </w:tcPr>
          <w:p w14:paraId="0F1A062F"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w:t>
            </w:r>
          </w:p>
        </w:tc>
        <w:tc>
          <w:tcPr>
            <w:tcW w:w="851" w:type="dxa"/>
            <w:tcBorders>
              <w:top w:val="nil"/>
              <w:left w:val="nil"/>
              <w:bottom w:val="nil"/>
              <w:right w:val="single" w:sz="4" w:space="0" w:color="auto"/>
            </w:tcBorders>
            <w:shd w:val="clear" w:color="auto" w:fill="auto"/>
            <w:noWrap/>
            <w:vAlign w:val="center"/>
            <w:hideMark/>
          </w:tcPr>
          <w:p w14:paraId="746BE474"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6A283CDC"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75" w:type="dxa"/>
            <w:tcBorders>
              <w:top w:val="nil"/>
              <w:left w:val="nil"/>
              <w:bottom w:val="nil"/>
              <w:right w:val="single" w:sz="4" w:space="0" w:color="auto"/>
            </w:tcBorders>
            <w:shd w:val="clear" w:color="auto" w:fill="auto"/>
            <w:noWrap/>
            <w:vAlign w:val="center"/>
            <w:hideMark/>
          </w:tcPr>
          <w:p w14:paraId="24B3B48B"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670" w:type="dxa"/>
            <w:tcBorders>
              <w:top w:val="nil"/>
              <w:left w:val="nil"/>
              <w:bottom w:val="nil"/>
              <w:right w:val="single" w:sz="4" w:space="0" w:color="auto"/>
            </w:tcBorders>
            <w:shd w:val="clear" w:color="auto" w:fill="auto"/>
            <w:noWrap/>
            <w:vAlign w:val="center"/>
            <w:hideMark/>
          </w:tcPr>
          <w:p w14:paraId="1D21EC33"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709" w:type="dxa"/>
            <w:tcBorders>
              <w:top w:val="nil"/>
              <w:left w:val="nil"/>
              <w:bottom w:val="nil"/>
              <w:right w:val="single" w:sz="4" w:space="0" w:color="auto"/>
            </w:tcBorders>
            <w:shd w:val="clear" w:color="auto" w:fill="auto"/>
            <w:noWrap/>
            <w:vAlign w:val="center"/>
            <w:hideMark/>
          </w:tcPr>
          <w:p w14:paraId="396F20BE"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612" w:type="dxa"/>
            <w:tcBorders>
              <w:top w:val="nil"/>
              <w:left w:val="nil"/>
              <w:bottom w:val="nil"/>
              <w:right w:val="single" w:sz="4" w:space="0" w:color="auto"/>
            </w:tcBorders>
            <w:shd w:val="clear" w:color="auto" w:fill="auto"/>
            <w:noWrap/>
            <w:vAlign w:val="center"/>
            <w:hideMark/>
          </w:tcPr>
          <w:p w14:paraId="7747E60C"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6" w:type="dxa"/>
            <w:tcBorders>
              <w:top w:val="nil"/>
              <w:left w:val="nil"/>
              <w:bottom w:val="nil"/>
              <w:right w:val="single" w:sz="4" w:space="0" w:color="auto"/>
            </w:tcBorders>
            <w:shd w:val="clear" w:color="auto" w:fill="auto"/>
            <w:noWrap/>
            <w:vAlign w:val="center"/>
            <w:hideMark/>
          </w:tcPr>
          <w:p w14:paraId="1C515013"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1040" w:type="dxa"/>
            <w:tcBorders>
              <w:top w:val="nil"/>
              <w:left w:val="nil"/>
              <w:bottom w:val="nil"/>
              <w:right w:val="single" w:sz="4" w:space="0" w:color="auto"/>
            </w:tcBorders>
            <w:shd w:val="clear" w:color="auto" w:fill="auto"/>
            <w:noWrap/>
            <w:vAlign w:val="center"/>
            <w:hideMark/>
          </w:tcPr>
          <w:p w14:paraId="7679AA29"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w:t>
            </w:r>
          </w:p>
        </w:tc>
        <w:tc>
          <w:tcPr>
            <w:tcW w:w="802" w:type="dxa"/>
            <w:tcBorders>
              <w:top w:val="nil"/>
              <w:left w:val="nil"/>
              <w:bottom w:val="nil"/>
              <w:right w:val="single" w:sz="4" w:space="0" w:color="auto"/>
            </w:tcBorders>
            <w:shd w:val="clear" w:color="auto" w:fill="auto"/>
            <w:noWrap/>
            <w:vAlign w:val="center"/>
            <w:hideMark/>
          </w:tcPr>
          <w:p w14:paraId="3481EF1D" w14:textId="7247D877"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17</w:t>
            </w:r>
            <w:r w:rsidR="00B634EB" w:rsidRPr="000C156A">
              <w:rPr>
                <w:rFonts w:eastAsia="Times New Roman" w:cs="Calibri"/>
                <w:b/>
                <w:bCs/>
                <w:sz w:val="16"/>
                <w:szCs w:val="16"/>
                <w:lang w:eastAsia="en-GB"/>
              </w:rPr>
              <w:t xml:space="preserve"> </w:t>
            </w:r>
            <w:r w:rsidRPr="000C156A">
              <w:rPr>
                <w:rFonts w:eastAsia="Times New Roman" w:cs="Calibri"/>
                <w:b/>
                <w:bCs/>
                <w:sz w:val="16"/>
                <w:szCs w:val="16"/>
                <w:lang w:eastAsia="en-GB"/>
              </w:rPr>
              <w:t>116</w:t>
            </w:r>
          </w:p>
        </w:tc>
      </w:tr>
      <w:tr w:rsidR="009630A9" w:rsidRPr="000C156A" w14:paraId="02FFF7C8" w14:textId="77777777" w:rsidTr="00CD0CEA">
        <w:trPr>
          <w:trHeight w:val="255"/>
          <w:jc w:val="center"/>
        </w:trPr>
        <w:tc>
          <w:tcPr>
            <w:tcW w:w="1980" w:type="dxa"/>
            <w:tcBorders>
              <w:top w:val="nil"/>
              <w:left w:val="single" w:sz="4" w:space="0" w:color="auto"/>
              <w:bottom w:val="nil"/>
              <w:right w:val="nil"/>
            </w:tcBorders>
            <w:shd w:val="clear" w:color="auto" w:fill="auto"/>
            <w:vAlign w:val="center"/>
            <w:hideMark/>
          </w:tcPr>
          <w:p w14:paraId="778B768B" w14:textId="77777777" w:rsidR="009630A9" w:rsidRPr="000C156A" w:rsidRDefault="009630A9" w:rsidP="005D02F0">
            <w:pPr>
              <w:overflowPunct/>
              <w:autoSpaceDE/>
              <w:autoSpaceDN/>
              <w:adjustRightInd/>
              <w:spacing w:before="0"/>
              <w:textAlignment w:val="auto"/>
              <w:rPr>
                <w:rFonts w:eastAsia="Times New Roman" w:cs="Calibri"/>
                <w:color w:val="000000"/>
                <w:sz w:val="16"/>
                <w:szCs w:val="16"/>
                <w:lang w:eastAsia="en-GB"/>
              </w:rPr>
            </w:pPr>
            <w:r w:rsidRPr="000C156A">
              <w:rPr>
                <w:rFonts w:asciiTheme="minorHAnsi" w:hAnsiTheme="minorHAnsi" w:cs="Arial" w:hint="eastAsia"/>
                <w:sz w:val="16"/>
                <w:szCs w:val="16"/>
                <w:lang w:val="en-US" w:eastAsia="zh-CN"/>
              </w:rPr>
              <w:t>成本回收</w:t>
            </w:r>
          </w:p>
        </w:tc>
        <w:tc>
          <w:tcPr>
            <w:tcW w:w="992" w:type="dxa"/>
            <w:tcBorders>
              <w:top w:val="nil"/>
              <w:left w:val="single" w:sz="4" w:space="0" w:color="auto"/>
              <w:bottom w:val="nil"/>
              <w:right w:val="single" w:sz="4" w:space="0" w:color="auto"/>
            </w:tcBorders>
            <w:shd w:val="clear" w:color="auto" w:fill="auto"/>
            <w:noWrap/>
            <w:vAlign w:val="center"/>
            <w:hideMark/>
          </w:tcPr>
          <w:p w14:paraId="3C4FA0B7"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19</w:t>
            </w:r>
          </w:p>
        </w:tc>
        <w:tc>
          <w:tcPr>
            <w:tcW w:w="709" w:type="dxa"/>
            <w:tcBorders>
              <w:top w:val="nil"/>
              <w:left w:val="nil"/>
              <w:bottom w:val="nil"/>
              <w:right w:val="single" w:sz="4" w:space="0" w:color="auto"/>
            </w:tcBorders>
            <w:shd w:val="clear" w:color="auto" w:fill="auto"/>
            <w:noWrap/>
            <w:vAlign w:val="center"/>
            <w:hideMark/>
          </w:tcPr>
          <w:p w14:paraId="55D56DD0" w14:textId="72EF8E2D"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13</w:t>
            </w:r>
            <w:r w:rsidR="00B634EB" w:rsidRPr="000C156A">
              <w:rPr>
                <w:rFonts w:eastAsia="Times New Roman" w:cs="Calibri"/>
                <w:sz w:val="16"/>
                <w:szCs w:val="16"/>
                <w:lang w:eastAsia="en-GB"/>
              </w:rPr>
              <w:t xml:space="preserve"> </w:t>
            </w:r>
            <w:r w:rsidRPr="000C156A">
              <w:rPr>
                <w:rFonts w:eastAsia="Times New Roman" w:cs="Calibri"/>
                <w:sz w:val="16"/>
                <w:szCs w:val="16"/>
                <w:lang w:eastAsia="en-GB"/>
              </w:rPr>
              <w:t>631</w:t>
            </w:r>
          </w:p>
        </w:tc>
        <w:tc>
          <w:tcPr>
            <w:tcW w:w="992" w:type="dxa"/>
            <w:tcBorders>
              <w:top w:val="nil"/>
              <w:left w:val="nil"/>
              <w:bottom w:val="nil"/>
              <w:right w:val="single" w:sz="4" w:space="0" w:color="auto"/>
            </w:tcBorders>
            <w:shd w:val="clear" w:color="auto" w:fill="auto"/>
            <w:noWrap/>
            <w:vAlign w:val="center"/>
            <w:hideMark/>
          </w:tcPr>
          <w:p w14:paraId="77E29C86"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264</w:t>
            </w:r>
          </w:p>
        </w:tc>
        <w:tc>
          <w:tcPr>
            <w:tcW w:w="992" w:type="dxa"/>
            <w:tcBorders>
              <w:top w:val="nil"/>
              <w:left w:val="nil"/>
              <w:bottom w:val="nil"/>
              <w:right w:val="single" w:sz="4" w:space="0" w:color="auto"/>
            </w:tcBorders>
            <w:shd w:val="clear" w:color="auto" w:fill="auto"/>
            <w:noWrap/>
            <w:vAlign w:val="center"/>
            <w:hideMark/>
          </w:tcPr>
          <w:p w14:paraId="4B9BCA53"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236</w:t>
            </w:r>
          </w:p>
        </w:tc>
        <w:tc>
          <w:tcPr>
            <w:tcW w:w="1134" w:type="dxa"/>
            <w:tcBorders>
              <w:top w:val="nil"/>
              <w:left w:val="nil"/>
              <w:bottom w:val="nil"/>
              <w:right w:val="nil"/>
            </w:tcBorders>
            <w:shd w:val="clear" w:color="auto" w:fill="auto"/>
            <w:noWrap/>
            <w:vAlign w:val="center"/>
            <w:hideMark/>
          </w:tcPr>
          <w:p w14:paraId="32AD9F8E" w14:textId="6988ACE6"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1</w:t>
            </w:r>
            <w:r w:rsidR="00B634EB" w:rsidRPr="000C156A">
              <w:rPr>
                <w:rFonts w:eastAsia="Times New Roman" w:cs="Calibri"/>
                <w:sz w:val="16"/>
                <w:szCs w:val="16"/>
                <w:lang w:eastAsia="en-GB"/>
              </w:rPr>
              <w:t xml:space="preserve"> </w:t>
            </w:r>
            <w:r w:rsidRPr="000C156A">
              <w:rPr>
                <w:rFonts w:eastAsia="Times New Roman" w:cs="Calibri"/>
                <w:sz w:val="16"/>
                <w:szCs w:val="16"/>
                <w:lang w:eastAsia="en-GB"/>
              </w:rPr>
              <w:t>383</w:t>
            </w:r>
          </w:p>
        </w:tc>
        <w:tc>
          <w:tcPr>
            <w:tcW w:w="993" w:type="dxa"/>
            <w:tcBorders>
              <w:top w:val="nil"/>
              <w:left w:val="single" w:sz="4" w:space="0" w:color="auto"/>
              <w:bottom w:val="nil"/>
              <w:right w:val="single" w:sz="4" w:space="0" w:color="auto"/>
            </w:tcBorders>
            <w:shd w:val="clear" w:color="auto" w:fill="auto"/>
            <w:noWrap/>
            <w:vAlign w:val="center"/>
            <w:hideMark/>
          </w:tcPr>
          <w:p w14:paraId="49CED66A" w14:textId="1B88CBBE"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15</w:t>
            </w:r>
            <w:r w:rsidR="00B634EB" w:rsidRPr="000C156A">
              <w:rPr>
                <w:rFonts w:eastAsia="Times New Roman" w:cs="Calibri"/>
                <w:b/>
                <w:bCs/>
                <w:sz w:val="16"/>
                <w:szCs w:val="16"/>
                <w:lang w:eastAsia="en-GB"/>
              </w:rPr>
              <w:t xml:space="preserve"> </w:t>
            </w:r>
            <w:r w:rsidRPr="000C156A">
              <w:rPr>
                <w:rFonts w:eastAsia="Times New Roman" w:cs="Calibri"/>
                <w:b/>
                <w:bCs/>
                <w:sz w:val="16"/>
                <w:szCs w:val="16"/>
                <w:lang w:eastAsia="en-GB"/>
              </w:rPr>
              <w:t>534</w:t>
            </w:r>
          </w:p>
        </w:tc>
        <w:tc>
          <w:tcPr>
            <w:tcW w:w="850" w:type="dxa"/>
            <w:tcBorders>
              <w:top w:val="nil"/>
              <w:left w:val="nil"/>
              <w:bottom w:val="nil"/>
              <w:right w:val="single" w:sz="4" w:space="0" w:color="auto"/>
            </w:tcBorders>
            <w:shd w:val="clear" w:color="auto" w:fill="auto"/>
            <w:noWrap/>
            <w:vAlign w:val="center"/>
            <w:hideMark/>
          </w:tcPr>
          <w:p w14:paraId="1F047375"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w:t>
            </w:r>
          </w:p>
        </w:tc>
        <w:tc>
          <w:tcPr>
            <w:tcW w:w="851" w:type="dxa"/>
            <w:tcBorders>
              <w:top w:val="nil"/>
              <w:left w:val="nil"/>
              <w:bottom w:val="nil"/>
              <w:right w:val="single" w:sz="4" w:space="0" w:color="auto"/>
            </w:tcBorders>
            <w:shd w:val="clear" w:color="auto" w:fill="auto"/>
            <w:noWrap/>
            <w:vAlign w:val="center"/>
            <w:hideMark/>
          </w:tcPr>
          <w:p w14:paraId="08CE05E8"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62C543CF"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w:t>
            </w:r>
          </w:p>
        </w:tc>
        <w:tc>
          <w:tcPr>
            <w:tcW w:w="875" w:type="dxa"/>
            <w:tcBorders>
              <w:top w:val="nil"/>
              <w:left w:val="nil"/>
              <w:bottom w:val="nil"/>
              <w:right w:val="single" w:sz="4" w:space="0" w:color="auto"/>
            </w:tcBorders>
            <w:shd w:val="clear" w:color="auto" w:fill="auto"/>
            <w:noWrap/>
            <w:vAlign w:val="center"/>
            <w:hideMark/>
          </w:tcPr>
          <w:p w14:paraId="44C754AF"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670" w:type="dxa"/>
            <w:tcBorders>
              <w:top w:val="nil"/>
              <w:left w:val="nil"/>
              <w:bottom w:val="nil"/>
              <w:right w:val="single" w:sz="4" w:space="0" w:color="auto"/>
            </w:tcBorders>
            <w:shd w:val="clear" w:color="auto" w:fill="auto"/>
            <w:noWrap/>
            <w:vAlign w:val="center"/>
            <w:hideMark/>
          </w:tcPr>
          <w:p w14:paraId="2E089A69"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709" w:type="dxa"/>
            <w:tcBorders>
              <w:top w:val="nil"/>
              <w:left w:val="nil"/>
              <w:bottom w:val="nil"/>
              <w:right w:val="single" w:sz="4" w:space="0" w:color="auto"/>
            </w:tcBorders>
            <w:shd w:val="clear" w:color="auto" w:fill="auto"/>
            <w:noWrap/>
            <w:vAlign w:val="center"/>
            <w:hideMark/>
          </w:tcPr>
          <w:p w14:paraId="1B188A02"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612" w:type="dxa"/>
            <w:tcBorders>
              <w:top w:val="nil"/>
              <w:left w:val="nil"/>
              <w:bottom w:val="nil"/>
              <w:right w:val="single" w:sz="4" w:space="0" w:color="auto"/>
            </w:tcBorders>
            <w:shd w:val="clear" w:color="auto" w:fill="auto"/>
            <w:noWrap/>
            <w:vAlign w:val="center"/>
            <w:hideMark/>
          </w:tcPr>
          <w:p w14:paraId="17733CBB"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6" w:type="dxa"/>
            <w:tcBorders>
              <w:top w:val="nil"/>
              <w:left w:val="nil"/>
              <w:bottom w:val="nil"/>
              <w:right w:val="single" w:sz="4" w:space="0" w:color="auto"/>
            </w:tcBorders>
            <w:shd w:val="clear" w:color="auto" w:fill="auto"/>
            <w:noWrap/>
            <w:vAlign w:val="center"/>
            <w:hideMark/>
          </w:tcPr>
          <w:p w14:paraId="3AED88C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1040" w:type="dxa"/>
            <w:tcBorders>
              <w:top w:val="nil"/>
              <w:left w:val="nil"/>
              <w:bottom w:val="nil"/>
              <w:right w:val="single" w:sz="4" w:space="0" w:color="auto"/>
            </w:tcBorders>
            <w:shd w:val="clear" w:color="auto" w:fill="auto"/>
            <w:noWrap/>
            <w:vAlign w:val="center"/>
            <w:hideMark/>
          </w:tcPr>
          <w:p w14:paraId="45A538FF"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02" w:type="dxa"/>
            <w:tcBorders>
              <w:top w:val="nil"/>
              <w:left w:val="nil"/>
              <w:bottom w:val="nil"/>
              <w:right w:val="single" w:sz="4" w:space="0" w:color="auto"/>
            </w:tcBorders>
            <w:shd w:val="clear" w:color="auto" w:fill="auto"/>
            <w:noWrap/>
            <w:vAlign w:val="center"/>
            <w:hideMark/>
          </w:tcPr>
          <w:p w14:paraId="6E886E64" w14:textId="27399B4B"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15</w:t>
            </w:r>
            <w:r w:rsidR="00B634EB" w:rsidRPr="000C156A">
              <w:rPr>
                <w:rFonts w:eastAsia="Times New Roman" w:cs="Calibri"/>
                <w:b/>
                <w:bCs/>
                <w:sz w:val="16"/>
                <w:szCs w:val="16"/>
                <w:lang w:eastAsia="en-GB"/>
              </w:rPr>
              <w:t xml:space="preserve"> </w:t>
            </w:r>
            <w:r w:rsidRPr="000C156A">
              <w:rPr>
                <w:rFonts w:eastAsia="Times New Roman" w:cs="Calibri"/>
                <w:b/>
                <w:bCs/>
                <w:sz w:val="16"/>
                <w:szCs w:val="16"/>
                <w:lang w:eastAsia="en-GB"/>
              </w:rPr>
              <w:t>534</w:t>
            </w:r>
          </w:p>
        </w:tc>
      </w:tr>
      <w:tr w:rsidR="009630A9" w:rsidRPr="000C156A" w14:paraId="7C95A0F3" w14:textId="77777777" w:rsidTr="00CD0CEA">
        <w:trPr>
          <w:trHeight w:val="255"/>
          <w:jc w:val="center"/>
        </w:trPr>
        <w:tc>
          <w:tcPr>
            <w:tcW w:w="1980" w:type="dxa"/>
            <w:tcBorders>
              <w:top w:val="nil"/>
              <w:left w:val="single" w:sz="4" w:space="0" w:color="auto"/>
              <w:bottom w:val="nil"/>
              <w:right w:val="nil"/>
            </w:tcBorders>
            <w:shd w:val="clear" w:color="auto" w:fill="auto"/>
            <w:vAlign w:val="center"/>
            <w:hideMark/>
          </w:tcPr>
          <w:p w14:paraId="30D1541A" w14:textId="77777777" w:rsidR="009630A9" w:rsidRPr="000C156A" w:rsidRDefault="009630A9" w:rsidP="005D02F0">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eastAsia="zh-CN"/>
              </w:rPr>
              <w:t>其它收入</w:t>
            </w:r>
          </w:p>
        </w:tc>
        <w:tc>
          <w:tcPr>
            <w:tcW w:w="992" w:type="dxa"/>
            <w:tcBorders>
              <w:top w:val="nil"/>
              <w:left w:val="single" w:sz="4" w:space="0" w:color="auto"/>
              <w:bottom w:val="nil"/>
              <w:right w:val="single" w:sz="4" w:space="0" w:color="auto"/>
            </w:tcBorders>
            <w:shd w:val="clear" w:color="auto" w:fill="auto"/>
            <w:noWrap/>
            <w:vAlign w:val="center"/>
            <w:hideMark/>
          </w:tcPr>
          <w:p w14:paraId="699435DF"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9</w:t>
            </w:r>
          </w:p>
        </w:tc>
        <w:tc>
          <w:tcPr>
            <w:tcW w:w="709" w:type="dxa"/>
            <w:tcBorders>
              <w:top w:val="nil"/>
              <w:left w:val="nil"/>
              <w:bottom w:val="nil"/>
              <w:right w:val="single" w:sz="4" w:space="0" w:color="auto"/>
            </w:tcBorders>
            <w:shd w:val="clear" w:color="auto" w:fill="auto"/>
            <w:noWrap/>
            <w:vAlign w:val="center"/>
            <w:hideMark/>
          </w:tcPr>
          <w:p w14:paraId="75E3A757"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218</w:t>
            </w:r>
          </w:p>
        </w:tc>
        <w:tc>
          <w:tcPr>
            <w:tcW w:w="992" w:type="dxa"/>
            <w:tcBorders>
              <w:top w:val="nil"/>
              <w:left w:val="nil"/>
              <w:bottom w:val="nil"/>
              <w:right w:val="single" w:sz="4" w:space="0" w:color="auto"/>
            </w:tcBorders>
            <w:shd w:val="clear" w:color="auto" w:fill="auto"/>
            <w:noWrap/>
            <w:vAlign w:val="center"/>
            <w:hideMark/>
          </w:tcPr>
          <w:p w14:paraId="3997B40F"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0</w:t>
            </w:r>
          </w:p>
        </w:tc>
        <w:tc>
          <w:tcPr>
            <w:tcW w:w="992" w:type="dxa"/>
            <w:tcBorders>
              <w:top w:val="nil"/>
              <w:left w:val="nil"/>
              <w:bottom w:val="nil"/>
              <w:right w:val="single" w:sz="4" w:space="0" w:color="auto"/>
            </w:tcBorders>
            <w:shd w:val="clear" w:color="auto" w:fill="auto"/>
            <w:noWrap/>
            <w:vAlign w:val="center"/>
            <w:hideMark/>
          </w:tcPr>
          <w:p w14:paraId="0BE37C3E"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3</w:t>
            </w:r>
          </w:p>
        </w:tc>
        <w:tc>
          <w:tcPr>
            <w:tcW w:w="1134" w:type="dxa"/>
            <w:tcBorders>
              <w:top w:val="nil"/>
              <w:left w:val="nil"/>
              <w:bottom w:val="nil"/>
              <w:right w:val="nil"/>
            </w:tcBorders>
            <w:shd w:val="clear" w:color="auto" w:fill="auto"/>
            <w:noWrap/>
            <w:vAlign w:val="center"/>
            <w:hideMark/>
          </w:tcPr>
          <w:p w14:paraId="3122135E" w14:textId="7D8B3B2E"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-1</w:t>
            </w:r>
            <w:r w:rsidR="00B634EB" w:rsidRPr="000C156A">
              <w:rPr>
                <w:rFonts w:eastAsia="Times New Roman" w:cs="Calibri"/>
                <w:sz w:val="16"/>
                <w:szCs w:val="16"/>
                <w:lang w:eastAsia="en-GB"/>
              </w:rPr>
              <w:t xml:space="preserve"> </w:t>
            </w:r>
            <w:r w:rsidRPr="000C156A">
              <w:rPr>
                <w:rFonts w:eastAsia="Times New Roman" w:cs="Calibri"/>
                <w:sz w:val="16"/>
                <w:szCs w:val="16"/>
                <w:lang w:eastAsia="en-GB"/>
              </w:rPr>
              <w:t>126</w:t>
            </w:r>
          </w:p>
        </w:tc>
        <w:tc>
          <w:tcPr>
            <w:tcW w:w="993" w:type="dxa"/>
            <w:tcBorders>
              <w:top w:val="nil"/>
              <w:left w:val="single" w:sz="4" w:space="0" w:color="auto"/>
              <w:bottom w:val="nil"/>
              <w:right w:val="single" w:sz="4" w:space="0" w:color="auto"/>
            </w:tcBorders>
            <w:shd w:val="clear" w:color="auto" w:fill="auto"/>
            <w:noWrap/>
            <w:vAlign w:val="center"/>
            <w:hideMark/>
          </w:tcPr>
          <w:p w14:paraId="034DC383" w14:textId="77777777"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-896</w:t>
            </w:r>
          </w:p>
        </w:tc>
        <w:tc>
          <w:tcPr>
            <w:tcW w:w="850" w:type="dxa"/>
            <w:tcBorders>
              <w:top w:val="nil"/>
              <w:left w:val="nil"/>
              <w:bottom w:val="nil"/>
              <w:right w:val="single" w:sz="4" w:space="0" w:color="auto"/>
            </w:tcBorders>
            <w:shd w:val="clear" w:color="auto" w:fill="auto"/>
            <w:noWrap/>
            <w:vAlign w:val="center"/>
            <w:hideMark/>
          </w:tcPr>
          <w:p w14:paraId="59521B35"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w:t>
            </w:r>
          </w:p>
        </w:tc>
        <w:tc>
          <w:tcPr>
            <w:tcW w:w="851" w:type="dxa"/>
            <w:tcBorders>
              <w:top w:val="nil"/>
              <w:left w:val="nil"/>
              <w:bottom w:val="nil"/>
              <w:right w:val="single" w:sz="4" w:space="0" w:color="auto"/>
            </w:tcBorders>
            <w:shd w:val="clear" w:color="auto" w:fill="auto"/>
            <w:noWrap/>
            <w:vAlign w:val="center"/>
            <w:hideMark/>
          </w:tcPr>
          <w:p w14:paraId="3DEA96F3" w14:textId="466FD1C6"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10</w:t>
            </w:r>
            <w:r w:rsidR="00B634EB" w:rsidRPr="000C156A">
              <w:rPr>
                <w:rFonts w:eastAsia="Times New Roman" w:cs="Calibri"/>
                <w:sz w:val="16"/>
                <w:szCs w:val="16"/>
                <w:lang w:eastAsia="en-GB"/>
              </w:rPr>
              <w:t xml:space="preserve"> </w:t>
            </w:r>
            <w:r w:rsidRPr="000C156A">
              <w:rPr>
                <w:rFonts w:eastAsia="Times New Roman" w:cs="Calibri"/>
                <w:sz w:val="16"/>
                <w:szCs w:val="16"/>
                <w:lang w:eastAsia="en-GB"/>
              </w:rPr>
              <w:t>000</w:t>
            </w:r>
          </w:p>
        </w:tc>
        <w:tc>
          <w:tcPr>
            <w:tcW w:w="864" w:type="dxa"/>
            <w:tcBorders>
              <w:top w:val="nil"/>
              <w:left w:val="nil"/>
              <w:bottom w:val="nil"/>
              <w:right w:val="single" w:sz="4" w:space="0" w:color="auto"/>
            </w:tcBorders>
            <w:shd w:val="clear" w:color="auto" w:fill="auto"/>
            <w:noWrap/>
            <w:vAlign w:val="center"/>
            <w:hideMark/>
          </w:tcPr>
          <w:p w14:paraId="6BADB8D3"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w:t>
            </w:r>
          </w:p>
        </w:tc>
        <w:tc>
          <w:tcPr>
            <w:tcW w:w="875" w:type="dxa"/>
            <w:tcBorders>
              <w:top w:val="nil"/>
              <w:left w:val="nil"/>
              <w:bottom w:val="nil"/>
              <w:right w:val="single" w:sz="4" w:space="0" w:color="auto"/>
            </w:tcBorders>
            <w:shd w:val="clear" w:color="auto" w:fill="auto"/>
            <w:noWrap/>
            <w:vAlign w:val="center"/>
            <w:hideMark/>
          </w:tcPr>
          <w:p w14:paraId="02985A9C"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670" w:type="dxa"/>
            <w:tcBorders>
              <w:top w:val="nil"/>
              <w:left w:val="nil"/>
              <w:bottom w:val="nil"/>
              <w:right w:val="single" w:sz="4" w:space="0" w:color="auto"/>
            </w:tcBorders>
            <w:shd w:val="clear" w:color="auto" w:fill="auto"/>
            <w:noWrap/>
            <w:vAlign w:val="center"/>
            <w:hideMark/>
          </w:tcPr>
          <w:p w14:paraId="29D8D223"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21</w:t>
            </w:r>
          </w:p>
        </w:tc>
        <w:tc>
          <w:tcPr>
            <w:tcW w:w="709" w:type="dxa"/>
            <w:tcBorders>
              <w:top w:val="nil"/>
              <w:left w:val="nil"/>
              <w:bottom w:val="nil"/>
              <w:right w:val="single" w:sz="4" w:space="0" w:color="auto"/>
            </w:tcBorders>
            <w:shd w:val="clear" w:color="auto" w:fill="auto"/>
            <w:noWrap/>
            <w:vAlign w:val="center"/>
            <w:hideMark/>
          </w:tcPr>
          <w:p w14:paraId="7E025CC9"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612" w:type="dxa"/>
            <w:tcBorders>
              <w:top w:val="nil"/>
              <w:left w:val="nil"/>
              <w:bottom w:val="nil"/>
              <w:right w:val="single" w:sz="4" w:space="0" w:color="auto"/>
            </w:tcBorders>
            <w:shd w:val="clear" w:color="auto" w:fill="auto"/>
            <w:noWrap/>
            <w:vAlign w:val="center"/>
            <w:hideMark/>
          </w:tcPr>
          <w:p w14:paraId="3BAE743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6" w:type="dxa"/>
            <w:tcBorders>
              <w:top w:val="nil"/>
              <w:left w:val="nil"/>
              <w:bottom w:val="nil"/>
              <w:right w:val="single" w:sz="4" w:space="0" w:color="auto"/>
            </w:tcBorders>
            <w:shd w:val="clear" w:color="auto" w:fill="auto"/>
            <w:noWrap/>
            <w:vAlign w:val="center"/>
            <w:hideMark/>
          </w:tcPr>
          <w:p w14:paraId="2EAD6315"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54</w:t>
            </w:r>
          </w:p>
        </w:tc>
        <w:tc>
          <w:tcPr>
            <w:tcW w:w="1040" w:type="dxa"/>
            <w:tcBorders>
              <w:top w:val="nil"/>
              <w:left w:val="nil"/>
              <w:bottom w:val="nil"/>
              <w:right w:val="single" w:sz="4" w:space="0" w:color="auto"/>
            </w:tcBorders>
            <w:shd w:val="clear" w:color="auto" w:fill="auto"/>
            <w:noWrap/>
            <w:vAlign w:val="center"/>
            <w:hideMark/>
          </w:tcPr>
          <w:p w14:paraId="4CBEF532" w14:textId="1278AC7E"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-1</w:t>
            </w:r>
            <w:r w:rsidR="00B634EB" w:rsidRPr="000C156A">
              <w:rPr>
                <w:rFonts w:eastAsia="Times New Roman" w:cs="Calibri"/>
                <w:sz w:val="16"/>
                <w:szCs w:val="16"/>
                <w:lang w:eastAsia="en-GB"/>
              </w:rPr>
              <w:t xml:space="preserve"> </w:t>
            </w:r>
            <w:r w:rsidRPr="000C156A">
              <w:rPr>
                <w:rFonts w:eastAsia="Times New Roman" w:cs="Calibri"/>
                <w:sz w:val="16"/>
                <w:szCs w:val="16"/>
                <w:lang w:eastAsia="en-GB"/>
              </w:rPr>
              <w:t>614</w:t>
            </w:r>
          </w:p>
        </w:tc>
        <w:tc>
          <w:tcPr>
            <w:tcW w:w="802" w:type="dxa"/>
            <w:tcBorders>
              <w:top w:val="nil"/>
              <w:left w:val="nil"/>
              <w:bottom w:val="nil"/>
              <w:right w:val="single" w:sz="4" w:space="0" w:color="auto"/>
            </w:tcBorders>
            <w:shd w:val="clear" w:color="auto" w:fill="auto"/>
            <w:noWrap/>
            <w:vAlign w:val="center"/>
            <w:hideMark/>
          </w:tcPr>
          <w:p w14:paraId="54D14D77" w14:textId="13541FCF"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7</w:t>
            </w:r>
            <w:r w:rsidR="00B634EB" w:rsidRPr="000C156A">
              <w:rPr>
                <w:rFonts w:eastAsia="Times New Roman" w:cs="Calibri"/>
                <w:b/>
                <w:bCs/>
                <w:sz w:val="16"/>
                <w:szCs w:val="16"/>
                <w:lang w:eastAsia="en-GB"/>
              </w:rPr>
              <w:t xml:space="preserve"> </w:t>
            </w:r>
            <w:r w:rsidRPr="000C156A">
              <w:rPr>
                <w:rFonts w:eastAsia="Times New Roman" w:cs="Calibri"/>
                <w:b/>
                <w:bCs/>
                <w:sz w:val="16"/>
                <w:szCs w:val="16"/>
                <w:lang w:eastAsia="en-GB"/>
              </w:rPr>
              <w:t>564</w:t>
            </w:r>
          </w:p>
        </w:tc>
      </w:tr>
      <w:tr w:rsidR="009630A9" w:rsidRPr="000C156A" w14:paraId="04E376D3" w14:textId="77777777" w:rsidTr="00CD0CEA">
        <w:trPr>
          <w:trHeight w:val="255"/>
          <w:jc w:val="center"/>
        </w:trPr>
        <w:tc>
          <w:tcPr>
            <w:tcW w:w="1980" w:type="dxa"/>
            <w:tcBorders>
              <w:top w:val="nil"/>
              <w:left w:val="single" w:sz="4" w:space="0" w:color="auto"/>
              <w:bottom w:val="nil"/>
              <w:right w:val="nil"/>
            </w:tcBorders>
            <w:shd w:val="clear" w:color="auto" w:fill="auto"/>
            <w:vAlign w:val="center"/>
            <w:hideMark/>
          </w:tcPr>
          <w:p w14:paraId="134C7880" w14:textId="77777777" w:rsidR="009630A9" w:rsidRPr="000C156A" w:rsidRDefault="009630A9" w:rsidP="005D02F0">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eastAsia="zh-CN"/>
              </w:rPr>
              <w:t>理财收入</w:t>
            </w:r>
          </w:p>
        </w:tc>
        <w:tc>
          <w:tcPr>
            <w:tcW w:w="992" w:type="dxa"/>
            <w:tcBorders>
              <w:top w:val="nil"/>
              <w:left w:val="single" w:sz="4" w:space="0" w:color="auto"/>
              <w:bottom w:val="nil"/>
              <w:right w:val="single" w:sz="4" w:space="0" w:color="auto"/>
            </w:tcBorders>
            <w:shd w:val="clear" w:color="auto" w:fill="auto"/>
            <w:noWrap/>
            <w:vAlign w:val="center"/>
            <w:hideMark/>
          </w:tcPr>
          <w:p w14:paraId="77B78177"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0</w:t>
            </w:r>
          </w:p>
        </w:tc>
        <w:tc>
          <w:tcPr>
            <w:tcW w:w="709" w:type="dxa"/>
            <w:tcBorders>
              <w:top w:val="nil"/>
              <w:left w:val="nil"/>
              <w:bottom w:val="nil"/>
              <w:right w:val="single" w:sz="4" w:space="0" w:color="auto"/>
            </w:tcBorders>
            <w:shd w:val="clear" w:color="auto" w:fill="auto"/>
            <w:noWrap/>
            <w:vAlign w:val="center"/>
            <w:hideMark/>
          </w:tcPr>
          <w:p w14:paraId="55EEB08F"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0</w:t>
            </w:r>
          </w:p>
        </w:tc>
        <w:tc>
          <w:tcPr>
            <w:tcW w:w="992" w:type="dxa"/>
            <w:tcBorders>
              <w:top w:val="nil"/>
              <w:left w:val="nil"/>
              <w:bottom w:val="nil"/>
              <w:right w:val="single" w:sz="4" w:space="0" w:color="auto"/>
            </w:tcBorders>
            <w:shd w:val="clear" w:color="auto" w:fill="auto"/>
            <w:noWrap/>
            <w:vAlign w:val="center"/>
            <w:hideMark/>
          </w:tcPr>
          <w:p w14:paraId="40F84161"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0</w:t>
            </w:r>
          </w:p>
        </w:tc>
        <w:tc>
          <w:tcPr>
            <w:tcW w:w="992" w:type="dxa"/>
            <w:tcBorders>
              <w:top w:val="nil"/>
              <w:left w:val="nil"/>
              <w:bottom w:val="nil"/>
              <w:right w:val="single" w:sz="4" w:space="0" w:color="auto"/>
            </w:tcBorders>
            <w:shd w:val="clear" w:color="auto" w:fill="auto"/>
            <w:noWrap/>
            <w:vAlign w:val="center"/>
            <w:hideMark/>
          </w:tcPr>
          <w:p w14:paraId="0EF10181"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2</w:t>
            </w:r>
          </w:p>
        </w:tc>
        <w:tc>
          <w:tcPr>
            <w:tcW w:w="1134" w:type="dxa"/>
            <w:tcBorders>
              <w:top w:val="nil"/>
              <w:left w:val="nil"/>
              <w:bottom w:val="nil"/>
              <w:right w:val="nil"/>
            </w:tcBorders>
            <w:shd w:val="clear" w:color="auto" w:fill="auto"/>
            <w:noWrap/>
            <w:vAlign w:val="center"/>
            <w:hideMark/>
          </w:tcPr>
          <w:p w14:paraId="4ED36E7B" w14:textId="63D72485"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-4</w:t>
            </w:r>
            <w:r w:rsidR="00B634EB" w:rsidRPr="000C156A">
              <w:rPr>
                <w:rFonts w:eastAsia="Times New Roman" w:cs="Calibri"/>
                <w:sz w:val="16"/>
                <w:szCs w:val="16"/>
                <w:lang w:eastAsia="en-GB"/>
              </w:rPr>
              <w:t xml:space="preserve"> </w:t>
            </w:r>
            <w:r w:rsidRPr="000C156A">
              <w:rPr>
                <w:rFonts w:eastAsia="Times New Roman" w:cs="Calibri"/>
                <w:sz w:val="16"/>
                <w:szCs w:val="16"/>
                <w:lang w:eastAsia="en-GB"/>
              </w:rPr>
              <w:t>790</w:t>
            </w:r>
          </w:p>
        </w:tc>
        <w:tc>
          <w:tcPr>
            <w:tcW w:w="993" w:type="dxa"/>
            <w:tcBorders>
              <w:top w:val="nil"/>
              <w:left w:val="single" w:sz="4" w:space="0" w:color="auto"/>
              <w:bottom w:val="nil"/>
              <w:right w:val="single" w:sz="4" w:space="0" w:color="auto"/>
            </w:tcBorders>
            <w:shd w:val="clear" w:color="auto" w:fill="auto"/>
            <w:noWrap/>
            <w:vAlign w:val="center"/>
            <w:hideMark/>
          </w:tcPr>
          <w:p w14:paraId="20423C80" w14:textId="6E8B9E41"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-4</w:t>
            </w:r>
            <w:r w:rsidR="00B634EB" w:rsidRPr="000C156A">
              <w:rPr>
                <w:rFonts w:eastAsia="Times New Roman" w:cs="Calibri"/>
                <w:b/>
                <w:bCs/>
                <w:sz w:val="16"/>
                <w:szCs w:val="16"/>
                <w:lang w:eastAsia="en-GB"/>
              </w:rPr>
              <w:t xml:space="preserve"> </w:t>
            </w:r>
            <w:r w:rsidRPr="000C156A">
              <w:rPr>
                <w:rFonts w:eastAsia="Times New Roman" w:cs="Calibri"/>
                <w:b/>
                <w:bCs/>
                <w:sz w:val="16"/>
                <w:szCs w:val="16"/>
                <w:lang w:eastAsia="en-GB"/>
              </w:rPr>
              <w:t>789</w:t>
            </w:r>
          </w:p>
        </w:tc>
        <w:tc>
          <w:tcPr>
            <w:tcW w:w="850" w:type="dxa"/>
            <w:tcBorders>
              <w:top w:val="nil"/>
              <w:left w:val="nil"/>
              <w:bottom w:val="nil"/>
              <w:right w:val="single" w:sz="4" w:space="0" w:color="auto"/>
            </w:tcBorders>
            <w:shd w:val="clear" w:color="auto" w:fill="auto"/>
            <w:noWrap/>
            <w:vAlign w:val="center"/>
            <w:hideMark/>
          </w:tcPr>
          <w:p w14:paraId="2817CFD8"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w:t>
            </w:r>
          </w:p>
        </w:tc>
        <w:tc>
          <w:tcPr>
            <w:tcW w:w="851" w:type="dxa"/>
            <w:tcBorders>
              <w:top w:val="nil"/>
              <w:left w:val="nil"/>
              <w:bottom w:val="nil"/>
              <w:right w:val="single" w:sz="4" w:space="0" w:color="auto"/>
            </w:tcBorders>
            <w:shd w:val="clear" w:color="auto" w:fill="auto"/>
            <w:noWrap/>
            <w:vAlign w:val="center"/>
            <w:hideMark/>
          </w:tcPr>
          <w:p w14:paraId="348D670A"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11</w:t>
            </w:r>
          </w:p>
        </w:tc>
        <w:tc>
          <w:tcPr>
            <w:tcW w:w="864" w:type="dxa"/>
            <w:tcBorders>
              <w:top w:val="nil"/>
              <w:left w:val="nil"/>
              <w:bottom w:val="nil"/>
              <w:right w:val="single" w:sz="4" w:space="0" w:color="auto"/>
            </w:tcBorders>
            <w:shd w:val="clear" w:color="auto" w:fill="auto"/>
            <w:noWrap/>
            <w:vAlign w:val="center"/>
            <w:hideMark/>
          </w:tcPr>
          <w:p w14:paraId="2FB6AEBE"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29</w:t>
            </w:r>
          </w:p>
        </w:tc>
        <w:tc>
          <w:tcPr>
            <w:tcW w:w="875" w:type="dxa"/>
            <w:tcBorders>
              <w:top w:val="nil"/>
              <w:left w:val="nil"/>
              <w:bottom w:val="nil"/>
              <w:right w:val="single" w:sz="4" w:space="0" w:color="auto"/>
            </w:tcBorders>
            <w:shd w:val="clear" w:color="auto" w:fill="auto"/>
            <w:noWrap/>
            <w:vAlign w:val="center"/>
            <w:hideMark/>
          </w:tcPr>
          <w:p w14:paraId="0E5A8D23"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62</w:t>
            </w:r>
          </w:p>
        </w:tc>
        <w:tc>
          <w:tcPr>
            <w:tcW w:w="670" w:type="dxa"/>
            <w:tcBorders>
              <w:top w:val="nil"/>
              <w:left w:val="nil"/>
              <w:bottom w:val="nil"/>
              <w:right w:val="single" w:sz="4" w:space="0" w:color="auto"/>
            </w:tcBorders>
            <w:shd w:val="clear" w:color="auto" w:fill="auto"/>
            <w:noWrap/>
            <w:vAlign w:val="center"/>
            <w:hideMark/>
          </w:tcPr>
          <w:p w14:paraId="42E53096"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486</w:t>
            </w:r>
          </w:p>
        </w:tc>
        <w:tc>
          <w:tcPr>
            <w:tcW w:w="709" w:type="dxa"/>
            <w:tcBorders>
              <w:top w:val="nil"/>
              <w:left w:val="nil"/>
              <w:bottom w:val="nil"/>
              <w:right w:val="single" w:sz="4" w:space="0" w:color="auto"/>
            </w:tcBorders>
            <w:shd w:val="clear" w:color="auto" w:fill="auto"/>
            <w:noWrap/>
            <w:vAlign w:val="center"/>
            <w:hideMark/>
          </w:tcPr>
          <w:p w14:paraId="6D85BF29"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156</w:t>
            </w:r>
          </w:p>
        </w:tc>
        <w:tc>
          <w:tcPr>
            <w:tcW w:w="612" w:type="dxa"/>
            <w:tcBorders>
              <w:top w:val="nil"/>
              <w:left w:val="nil"/>
              <w:bottom w:val="nil"/>
              <w:right w:val="single" w:sz="4" w:space="0" w:color="auto"/>
            </w:tcBorders>
            <w:shd w:val="clear" w:color="auto" w:fill="auto"/>
            <w:noWrap/>
            <w:vAlign w:val="center"/>
            <w:hideMark/>
          </w:tcPr>
          <w:p w14:paraId="3F036B7A"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176</w:t>
            </w:r>
          </w:p>
        </w:tc>
        <w:tc>
          <w:tcPr>
            <w:tcW w:w="806" w:type="dxa"/>
            <w:tcBorders>
              <w:top w:val="nil"/>
              <w:left w:val="nil"/>
              <w:bottom w:val="nil"/>
              <w:right w:val="single" w:sz="4" w:space="0" w:color="auto"/>
            </w:tcBorders>
            <w:shd w:val="clear" w:color="auto" w:fill="auto"/>
            <w:noWrap/>
            <w:vAlign w:val="center"/>
            <w:hideMark/>
          </w:tcPr>
          <w:p w14:paraId="013EEA3C"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-12</w:t>
            </w:r>
          </w:p>
        </w:tc>
        <w:tc>
          <w:tcPr>
            <w:tcW w:w="1040" w:type="dxa"/>
            <w:tcBorders>
              <w:top w:val="nil"/>
              <w:left w:val="nil"/>
              <w:bottom w:val="nil"/>
              <w:right w:val="single" w:sz="4" w:space="0" w:color="auto"/>
            </w:tcBorders>
            <w:shd w:val="clear" w:color="auto" w:fill="auto"/>
            <w:noWrap/>
            <w:vAlign w:val="center"/>
            <w:hideMark/>
          </w:tcPr>
          <w:p w14:paraId="65ACBB23"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02" w:type="dxa"/>
            <w:tcBorders>
              <w:top w:val="nil"/>
              <w:left w:val="nil"/>
              <w:bottom w:val="nil"/>
              <w:right w:val="single" w:sz="4" w:space="0" w:color="auto"/>
            </w:tcBorders>
            <w:shd w:val="clear" w:color="auto" w:fill="auto"/>
            <w:noWrap/>
            <w:vAlign w:val="center"/>
            <w:hideMark/>
          </w:tcPr>
          <w:p w14:paraId="2E942886" w14:textId="1112D982"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-3</w:t>
            </w:r>
            <w:r w:rsidR="00B634EB" w:rsidRPr="000C156A">
              <w:rPr>
                <w:rFonts w:eastAsia="Times New Roman" w:cs="Calibri"/>
                <w:b/>
                <w:bCs/>
                <w:sz w:val="16"/>
                <w:szCs w:val="16"/>
                <w:lang w:eastAsia="en-GB"/>
              </w:rPr>
              <w:t xml:space="preserve"> </w:t>
            </w:r>
            <w:r w:rsidRPr="000C156A">
              <w:rPr>
                <w:rFonts w:eastAsia="Times New Roman" w:cs="Calibri"/>
                <w:b/>
                <w:bCs/>
                <w:sz w:val="16"/>
                <w:szCs w:val="16"/>
                <w:lang w:eastAsia="en-GB"/>
              </w:rPr>
              <w:t>880</w:t>
            </w:r>
          </w:p>
        </w:tc>
      </w:tr>
      <w:tr w:rsidR="009630A9" w:rsidRPr="000C156A" w14:paraId="411F54FB" w14:textId="77777777" w:rsidTr="00CD0CEA">
        <w:trPr>
          <w:trHeight w:val="255"/>
          <w:jc w:val="center"/>
        </w:trPr>
        <w:tc>
          <w:tcPr>
            <w:tcW w:w="1980" w:type="dxa"/>
            <w:tcBorders>
              <w:top w:val="nil"/>
              <w:left w:val="single" w:sz="4" w:space="0" w:color="auto"/>
              <w:bottom w:val="nil"/>
              <w:right w:val="nil"/>
            </w:tcBorders>
            <w:shd w:val="clear" w:color="auto" w:fill="auto"/>
            <w:vAlign w:val="center"/>
            <w:hideMark/>
          </w:tcPr>
          <w:p w14:paraId="25521D79" w14:textId="77777777" w:rsidR="009630A9" w:rsidRPr="000C156A" w:rsidRDefault="009630A9" w:rsidP="005D02F0">
            <w:pPr>
              <w:overflowPunct/>
              <w:autoSpaceDE/>
              <w:autoSpaceDN/>
              <w:adjustRightInd/>
              <w:spacing w:before="0"/>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 </w:t>
            </w:r>
          </w:p>
        </w:tc>
        <w:tc>
          <w:tcPr>
            <w:tcW w:w="992" w:type="dxa"/>
            <w:tcBorders>
              <w:top w:val="nil"/>
              <w:left w:val="single" w:sz="4" w:space="0" w:color="auto"/>
              <w:bottom w:val="nil"/>
              <w:right w:val="single" w:sz="4" w:space="0" w:color="auto"/>
            </w:tcBorders>
            <w:shd w:val="clear" w:color="auto" w:fill="auto"/>
            <w:noWrap/>
            <w:vAlign w:val="center"/>
            <w:hideMark/>
          </w:tcPr>
          <w:p w14:paraId="5A4173DC"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709" w:type="dxa"/>
            <w:tcBorders>
              <w:top w:val="nil"/>
              <w:left w:val="nil"/>
              <w:bottom w:val="nil"/>
              <w:right w:val="single" w:sz="4" w:space="0" w:color="auto"/>
            </w:tcBorders>
            <w:shd w:val="clear" w:color="auto" w:fill="auto"/>
            <w:noWrap/>
            <w:vAlign w:val="center"/>
            <w:hideMark/>
          </w:tcPr>
          <w:p w14:paraId="1C06B503"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992" w:type="dxa"/>
            <w:tcBorders>
              <w:top w:val="nil"/>
              <w:left w:val="nil"/>
              <w:bottom w:val="nil"/>
              <w:right w:val="single" w:sz="4" w:space="0" w:color="auto"/>
            </w:tcBorders>
            <w:shd w:val="clear" w:color="auto" w:fill="auto"/>
            <w:noWrap/>
            <w:vAlign w:val="center"/>
            <w:hideMark/>
          </w:tcPr>
          <w:p w14:paraId="485AF1C1"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992" w:type="dxa"/>
            <w:tcBorders>
              <w:top w:val="nil"/>
              <w:left w:val="nil"/>
              <w:bottom w:val="nil"/>
              <w:right w:val="single" w:sz="4" w:space="0" w:color="auto"/>
            </w:tcBorders>
            <w:shd w:val="clear" w:color="auto" w:fill="auto"/>
            <w:noWrap/>
            <w:vAlign w:val="center"/>
            <w:hideMark/>
          </w:tcPr>
          <w:p w14:paraId="63F965C2"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1134" w:type="dxa"/>
            <w:tcBorders>
              <w:top w:val="nil"/>
              <w:left w:val="nil"/>
              <w:bottom w:val="nil"/>
              <w:right w:val="nil"/>
            </w:tcBorders>
            <w:shd w:val="clear" w:color="auto" w:fill="auto"/>
            <w:noWrap/>
            <w:vAlign w:val="center"/>
            <w:hideMark/>
          </w:tcPr>
          <w:p w14:paraId="71C1ABD9"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center"/>
            <w:hideMark/>
          </w:tcPr>
          <w:p w14:paraId="2DEAA503"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50" w:type="dxa"/>
            <w:tcBorders>
              <w:top w:val="nil"/>
              <w:left w:val="nil"/>
              <w:bottom w:val="nil"/>
              <w:right w:val="single" w:sz="4" w:space="0" w:color="auto"/>
            </w:tcBorders>
            <w:shd w:val="clear" w:color="auto" w:fill="auto"/>
            <w:noWrap/>
            <w:vAlign w:val="center"/>
            <w:hideMark/>
          </w:tcPr>
          <w:p w14:paraId="1DC91D43"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51" w:type="dxa"/>
            <w:tcBorders>
              <w:top w:val="nil"/>
              <w:left w:val="nil"/>
              <w:bottom w:val="nil"/>
              <w:right w:val="single" w:sz="4" w:space="0" w:color="auto"/>
            </w:tcBorders>
            <w:shd w:val="clear" w:color="auto" w:fill="auto"/>
            <w:noWrap/>
            <w:vAlign w:val="center"/>
            <w:hideMark/>
          </w:tcPr>
          <w:p w14:paraId="47745D85"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56348A69"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75" w:type="dxa"/>
            <w:tcBorders>
              <w:top w:val="nil"/>
              <w:left w:val="nil"/>
              <w:bottom w:val="nil"/>
              <w:right w:val="single" w:sz="4" w:space="0" w:color="auto"/>
            </w:tcBorders>
            <w:shd w:val="clear" w:color="auto" w:fill="auto"/>
            <w:noWrap/>
            <w:vAlign w:val="center"/>
            <w:hideMark/>
          </w:tcPr>
          <w:p w14:paraId="38AEC8D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670" w:type="dxa"/>
            <w:tcBorders>
              <w:top w:val="nil"/>
              <w:left w:val="nil"/>
              <w:bottom w:val="nil"/>
              <w:right w:val="single" w:sz="4" w:space="0" w:color="auto"/>
            </w:tcBorders>
            <w:shd w:val="clear" w:color="auto" w:fill="auto"/>
            <w:noWrap/>
            <w:vAlign w:val="center"/>
            <w:hideMark/>
          </w:tcPr>
          <w:p w14:paraId="245BD31F"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nil"/>
              <w:bottom w:val="nil"/>
              <w:right w:val="single" w:sz="4" w:space="0" w:color="auto"/>
            </w:tcBorders>
            <w:shd w:val="clear" w:color="auto" w:fill="auto"/>
            <w:noWrap/>
            <w:vAlign w:val="center"/>
            <w:hideMark/>
          </w:tcPr>
          <w:p w14:paraId="71BF1F21"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612" w:type="dxa"/>
            <w:tcBorders>
              <w:top w:val="nil"/>
              <w:left w:val="nil"/>
              <w:bottom w:val="nil"/>
              <w:right w:val="single" w:sz="4" w:space="0" w:color="auto"/>
            </w:tcBorders>
            <w:shd w:val="clear" w:color="auto" w:fill="auto"/>
            <w:noWrap/>
            <w:vAlign w:val="center"/>
            <w:hideMark/>
          </w:tcPr>
          <w:p w14:paraId="4C1A3125"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06" w:type="dxa"/>
            <w:tcBorders>
              <w:top w:val="nil"/>
              <w:left w:val="nil"/>
              <w:bottom w:val="nil"/>
              <w:right w:val="single" w:sz="4" w:space="0" w:color="auto"/>
            </w:tcBorders>
            <w:shd w:val="clear" w:color="auto" w:fill="auto"/>
            <w:noWrap/>
            <w:vAlign w:val="center"/>
            <w:hideMark/>
          </w:tcPr>
          <w:p w14:paraId="23DC318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1040" w:type="dxa"/>
            <w:tcBorders>
              <w:top w:val="nil"/>
              <w:left w:val="nil"/>
              <w:bottom w:val="nil"/>
              <w:right w:val="single" w:sz="4" w:space="0" w:color="auto"/>
            </w:tcBorders>
            <w:shd w:val="clear" w:color="auto" w:fill="auto"/>
            <w:noWrap/>
            <w:vAlign w:val="center"/>
            <w:hideMark/>
          </w:tcPr>
          <w:p w14:paraId="5165071F"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c>
          <w:tcPr>
            <w:tcW w:w="802" w:type="dxa"/>
            <w:tcBorders>
              <w:top w:val="nil"/>
              <w:left w:val="nil"/>
              <w:bottom w:val="nil"/>
              <w:right w:val="single" w:sz="4" w:space="0" w:color="auto"/>
            </w:tcBorders>
            <w:shd w:val="clear" w:color="auto" w:fill="auto"/>
            <w:noWrap/>
            <w:vAlign w:val="center"/>
            <w:hideMark/>
          </w:tcPr>
          <w:p w14:paraId="2BCF0C80" w14:textId="77777777"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p>
        </w:tc>
      </w:tr>
      <w:tr w:rsidR="009630A9" w:rsidRPr="000C156A" w14:paraId="76E44244" w14:textId="77777777" w:rsidTr="00CD0CEA">
        <w:trPr>
          <w:trHeight w:val="255"/>
          <w:jc w:val="center"/>
        </w:trPr>
        <w:tc>
          <w:tcPr>
            <w:tcW w:w="1980" w:type="dxa"/>
            <w:tcBorders>
              <w:top w:val="single" w:sz="4" w:space="0" w:color="auto"/>
              <w:left w:val="single" w:sz="4" w:space="0" w:color="auto"/>
              <w:bottom w:val="single" w:sz="4" w:space="0" w:color="auto"/>
              <w:right w:val="nil"/>
            </w:tcBorders>
            <w:shd w:val="clear" w:color="auto" w:fill="auto"/>
            <w:noWrap/>
            <w:vAlign w:val="center"/>
            <w:hideMark/>
          </w:tcPr>
          <w:p w14:paraId="6A0BE9C9" w14:textId="77777777" w:rsidR="009630A9" w:rsidRPr="000C156A" w:rsidRDefault="009630A9" w:rsidP="005D02F0">
            <w:pPr>
              <w:overflowPunct/>
              <w:autoSpaceDE/>
              <w:autoSpaceDN/>
              <w:adjustRightInd/>
              <w:spacing w:before="0"/>
              <w:textAlignment w:val="auto"/>
              <w:rPr>
                <w:rFonts w:eastAsia="Times New Roman" w:cs="Calibri"/>
                <w:b/>
                <w:bCs/>
                <w:color w:val="000000"/>
                <w:sz w:val="16"/>
                <w:szCs w:val="16"/>
                <w:lang w:eastAsia="en-GB"/>
              </w:rPr>
            </w:pPr>
            <w:r w:rsidRPr="000C156A">
              <w:rPr>
                <w:rFonts w:hint="eastAsia"/>
                <w:b/>
                <w:bCs/>
                <w:noProof/>
                <w:sz w:val="16"/>
                <w:szCs w:val="16"/>
                <w:lang w:val="en-US"/>
              </w:rPr>
              <w:t>收入合计</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4C498"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33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C6EFBB" w14:textId="5AC88C9D"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37</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389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BE7C414" w14:textId="77B37321"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8</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380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55A29BB" w14:textId="5D09D8B9"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1</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720</w:t>
            </w:r>
          </w:p>
        </w:tc>
        <w:tc>
          <w:tcPr>
            <w:tcW w:w="1134" w:type="dxa"/>
            <w:tcBorders>
              <w:top w:val="single" w:sz="4" w:space="0" w:color="auto"/>
              <w:left w:val="nil"/>
              <w:bottom w:val="single" w:sz="4" w:space="0" w:color="auto"/>
              <w:right w:val="nil"/>
            </w:tcBorders>
            <w:shd w:val="clear" w:color="auto" w:fill="auto"/>
            <w:noWrap/>
            <w:vAlign w:val="center"/>
            <w:hideMark/>
          </w:tcPr>
          <w:p w14:paraId="6EFFA526" w14:textId="7C628864"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105</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184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FA82D" w14:textId="7D02555B"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152</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705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693AC7A"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sz w:val="16"/>
                <w:szCs w:val="16"/>
                <w:lang w:eastAsia="en-GB"/>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A4C8DE6" w14:textId="341E3DFB"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10</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011</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5EC98A1"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29</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20A83DCB" w14:textId="3C946F30"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3</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064</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71575E66" w14:textId="614C094D"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5</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743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CD5E19"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151</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14:paraId="449FC66A"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243</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408BA879"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42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8CB0D3D" w14:textId="52D8054A"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-1</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614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30C7AA7D" w14:textId="456569BF"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170</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373</w:t>
            </w:r>
          </w:p>
        </w:tc>
      </w:tr>
      <w:tr w:rsidR="009630A9" w:rsidRPr="000C156A" w14:paraId="4DF362A8" w14:textId="77777777" w:rsidTr="00CD0CEA">
        <w:trPr>
          <w:trHeight w:val="255"/>
          <w:jc w:val="center"/>
        </w:trPr>
        <w:tc>
          <w:tcPr>
            <w:tcW w:w="1980" w:type="dxa"/>
            <w:tcBorders>
              <w:top w:val="nil"/>
              <w:left w:val="single" w:sz="4" w:space="0" w:color="auto"/>
              <w:bottom w:val="nil"/>
              <w:right w:val="nil"/>
            </w:tcBorders>
            <w:shd w:val="clear" w:color="auto" w:fill="auto"/>
            <w:vAlign w:val="center"/>
            <w:hideMark/>
          </w:tcPr>
          <w:p w14:paraId="2DCF2822" w14:textId="77777777" w:rsidR="009630A9" w:rsidRPr="000C156A" w:rsidRDefault="009630A9" w:rsidP="005D02F0">
            <w:pPr>
              <w:overflowPunct/>
              <w:autoSpaceDE/>
              <w:autoSpaceDN/>
              <w:adjustRightInd/>
              <w:spacing w:before="0"/>
              <w:textAlignment w:val="auto"/>
              <w:rPr>
                <w:rFonts w:eastAsia="Times New Roman" w:cs="Calibri"/>
                <w:b/>
                <w:bCs/>
                <w:color w:val="000000"/>
                <w:sz w:val="16"/>
                <w:szCs w:val="16"/>
                <w:lang w:eastAsia="en-GB"/>
              </w:rPr>
            </w:pPr>
            <w:r w:rsidRPr="000C156A">
              <w:rPr>
                <w:rFonts w:hint="eastAsia"/>
                <w:b/>
                <w:bCs/>
                <w:noProof/>
                <w:sz w:val="16"/>
                <w:szCs w:val="16"/>
                <w:lang w:val="en-US"/>
              </w:rPr>
              <w:t>费用</w:t>
            </w:r>
          </w:p>
        </w:tc>
        <w:tc>
          <w:tcPr>
            <w:tcW w:w="992" w:type="dxa"/>
            <w:tcBorders>
              <w:top w:val="nil"/>
              <w:left w:val="single" w:sz="4" w:space="0" w:color="auto"/>
              <w:bottom w:val="nil"/>
              <w:right w:val="single" w:sz="4" w:space="0" w:color="auto"/>
            </w:tcBorders>
            <w:shd w:val="clear" w:color="auto" w:fill="auto"/>
            <w:noWrap/>
            <w:vAlign w:val="center"/>
            <w:hideMark/>
          </w:tcPr>
          <w:p w14:paraId="7F437CE2"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nil"/>
              <w:bottom w:val="nil"/>
              <w:right w:val="single" w:sz="4" w:space="0" w:color="auto"/>
            </w:tcBorders>
            <w:shd w:val="clear" w:color="auto" w:fill="auto"/>
            <w:noWrap/>
            <w:vAlign w:val="center"/>
            <w:hideMark/>
          </w:tcPr>
          <w:p w14:paraId="5B1AF6D1"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992" w:type="dxa"/>
            <w:tcBorders>
              <w:top w:val="nil"/>
              <w:left w:val="nil"/>
              <w:bottom w:val="nil"/>
              <w:right w:val="single" w:sz="4" w:space="0" w:color="auto"/>
            </w:tcBorders>
            <w:shd w:val="clear" w:color="auto" w:fill="auto"/>
            <w:noWrap/>
            <w:vAlign w:val="center"/>
            <w:hideMark/>
          </w:tcPr>
          <w:p w14:paraId="347B8E90"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992" w:type="dxa"/>
            <w:tcBorders>
              <w:top w:val="nil"/>
              <w:left w:val="nil"/>
              <w:bottom w:val="nil"/>
              <w:right w:val="single" w:sz="4" w:space="0" w:color="auto"/>
            </w:tcBorders>
            <w:shd w:val="clear" w:color="auto" w:fill="auto"/>
            <w:noWrap/>
            <w:vAlign w:val="center"/>
            <w:hideMark/>
          </w:tcPr>
          <w:p w14:paraId="0318ED9A"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1134" w:type="dxa"/>
            <w:tcBorders>
              <w:top w:val="nil"/>
              <w:left w:val="nil"/>
              <w:bottom w:val="nil"/>
              <w:right w:val="nil"/>
            </w:tcBorders>
            <w:shd w:val="clear" w:color="auto" w:fill="auto"/>
            <w:noWrap/>
            <w:vAlign w:val="center"/>
            <w:hideMark/>
          </w:tcPr>
          <w:p w14:paraId="6E5FE4C4"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center"/>
            <w:hideMark/>
          </w:tcPr>
          <w:p w14:paraId="6FD8196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50" w:type="dxa"/>
            <w:tcBorders>
              <w:top w:val="nil"/>
              <w:left w:val="nil"/>
              <w:bottom w:val="nil"/>
              <w:right w:val="single" w:sz="4" w:space="0" w:color="auto"/>
            </w:tcBorders>
            <w:shd w:val="clear" w:color="auto" w:fill="auto"/>
            <w:noWrap/>
            <w:vAlign w:val="center"/>
            <w:hideMark/>
          </w:tcPr>
          <w:p w14:paraId="5053926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51" w:type="dxa"/>
            <w:tcBorders>
              <w:top w:val="nil"/>
              <w:left w:val="nil"/>
              <w:bottom w:val="nil"/>
              <w:right w:val="single" w:sz="4" w:space="0" w:color="auto"/>
            </w:tcBorders>
            <w:shd w:val="clear" w:color="auto" w:fill="auto"/>
            <w:noWrap/>
            <w:vAlign w:val="center"/>
            <w:hideMark/>
          </w:tcPr>
          <w:p w14:paraId="312481B7"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60910C77"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75" w:type="dxa"/>
            <w:tcBorders>
              <w:top w:val="nil"/>
              <w:left w:val="nil"/>
              <w:bottom w:val="nil"/>
              <w:right w:val="single" w:sz="4" w:space="0" w:color="auto"/>
            </w:tcBorders>
            <w:shd w:val="clear" w:color="auto" w:fill="auto"/>
            <w:noWrap/>
            <w:vAlign w:val="center"/>
            <w:hideMark/>
          </w:tcPr>
          <w:p w14:paraId="379819E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670" w:type="dxa"/>
            <w:tcBorders>
              <w:top w:val="nil"/>
              <w:left w:val="nil"/>
              <w:bottom w:val="nil"/>
              <w:right w:val="single" w:sz="4" w:space="0" w:color="auto"/>
            </w:tcBorders>
            <w:shd w:val="clear" w:color="auto" w:fill="auto"/>
            <w:noWrap/>
            <w:vAlign w:val="center"/>
            <w:hideMark/>
          </w:tcPr>
          <w:p w14:paraId="6126A99A"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nil"/>
              <w:bottom w:val="nil"/>
              <w:right w:val="single" w:sz="4" w:space="0" w:color="auto"/>
            </w:tcBorders>
            <w:shd w:val="clear" w:color="auto" w:fill="auto"/>
            <w:noWrap/>
            <w:vAlign w:val="center"/>
            <w:hideMark/>
          </w:tcPr>
          <w:p w14:paraId="23456E5C"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612" w:type="dxa"/>
            <w:tcBorders>
              <w:top w:val="nil"/>
              <w:left w:val="nil"/>
              <w:bottom w:val="nil"/>
              <w:right w:val="single" w:sz="4" w:space="0" w:color="auto"/>
            </w:tcBorders>
            <w:shd w:val="clear" w:color="auto" w:fill="auto"/>
            <w:noWrap/>
            <w:vAlign w:val="center"/>
            <w:hideMark/>
          </w:tcPr>
          <w:p w14:paraId="39A78B1A"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06" w:type="dxa"/>
            <w:tcBorders>
              <w:top w:val="nil"/>
              <w:left w:val="nil"/>
              <w:bottom w:val="nil"/>
              <w:right w:val="single" w:sz="4" w:space="0" w:color="auto"/>
            </w:tcBorders>
            <w:shd w:val="clear" w:color="auto" w:fill="auto"/>
            <w:noWrap/>
            <w:vAlign w:val="center"/>
            <w:hideMark/>
          </w:tcPr>
          <w:p w14:paraId="6B902974"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1040" w:type="dxa"/>
            <w:tcBorders>
              <w:top w:val="nil"/>
              <w:left w:val="nil"/>
              <w:bottom w:val="nil"/>
              <w:right w:val="single" w:sz="4" w:space="0" w:color="auto"/>
            </w:tcBorders>
            <w:shd w:val="clear" w:color="auto" w:fill="auto"/>
            <w:noWrap/>
            <w:vAlign w:val="center"/>
            <w:hideMark/>
          </w:tcPr>
          <w:p w14:paraId="14932C26"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02" w:type="dxa"/>
            <w:tcBorders>
              <w:top w:val="nil"/>
              <w:left w:val="nil"/>
              <w:bottom w:val="nil"/>
              <w:right w:val="single" w:sz="4" w:space="0" w:color="auto"/>
            </w:tcBorders>
            <w:shd w:val="clear" w:color="auto" w:fill="auto"/>
            <w:noWrap/>
            <w:vAlign w:val="center"/>
            <w:hideMark/>
          </w:tcPr>
          <w:p w14:paraId="6D115B95"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r>
      <w:tr w:rsidR="009630A9" w:rsidRPr="000C156A" w14:paraId="48E2A29C" w14:textId="77777777" w:rsidTr="00CD0CEA">
        <w:trPr>
          <w:trHeight w:val="255"/>
          <w:jc w:val="center"/>
        </w:trPr>
        <w:tc>
          <w:tcPr>
            <w:tcW w:w="1980" w:type="dxa"/>
            <w:tcBorders>
              <w:top w:val="nil"/>
              <w:left w:val="single" w:sz="4" w:space="0" w:color="auto"/>
              <w:bottom w:val="nil"/>
              <w:right w:val="nil"/>
            </w:tcBorders>
            <w:shd w:val="clear" w:color="auto" w:fill="auto"/>
            <w:vAlign w:val="center"/>
            <w:hideMark/>
          </w:tcPr>
          <w:p w14:paraId="0D1CA6DE" w14:textId="77777777" w:rsidR="009630A9" w:rsidRPr="000C156A" w:rsidRDefault="009630A9" w:rsidP="005D02F0">
            <w:pPr>
              <w:overflowPunct/>
              <w:autoSpaceDE/>
              <w:autoSpaceDN/>
              <w:adjustRightInd/>
              <w:spacing w:before="0"/>
              <w:textAlignment w:val="auto"/>
              <w:rPr>
                <w:rFonts w:eastAsia="Times New Roman" w:cs="Calibri"/>
                <w:b/>
                <w:bCs/>
                <w:color w:val="000000"/>
                <w:sz w:val="16"/>
                <w:szCs w:val="16"/>
                <w:lang w:eastAsia="en-GB"/>
              </w:rPr>
            </w:pPr>
          </w:p>
        </w:tc>
        <w:tc>
          <w:tcPr>
            <w:tcW w:w="992" w:type="dxa"/>
            <w:tcBorders>
              <w:top w:val="nil"/>
              <w:left w:val="single" w:sz="4" w:space="0" w:color="auto"/>
              <w:bottom w:val="nil"/>
              <w:right w:val="single" w:sz="4" w:space="0" w:color="auto"/>
            </w:tcBorders>
            <w:shd w:val="clear" w:color="auto" w:fill="auto"/>
            <w:noWrap/>
            <w:vAlign w:val="center"/>
            <w:hideMark/>
          </w:tcPr>
          <w:p w14:paraId="1F3A5257"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nil"/>
              <w:bottom w:val="nil"/>
              <w:right w:val="single" w:sz="4" w:space="0" w:color="auto"/>
            </w:tcBorders>
            <w:shd w:val="clear" w:color="auto" w:fill="auto"/>
            <w:noWrap/>
            <w:vAlign w:val="center"/>
            <w:hideMark/>
          </w:tcPr>
          <w:p w14:paraId="1B75963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992" w:type="dxa"/>
            <w:tcBorders>
              <w:top w:val="nil"/>
              <w:left w:val="nil"/>
              <w:bottom w:val="nil"/>
              <w:right w:val="single" w:sz="4" w:space="0" w:color="auto"/>
            </w:tcBorders>
            <w:shd w:val="clear" w:color="auto" w:fill="auto"/>
            <w:noWrap/>
            <w:vAlign w:val="center"/>
            <w:hideMark/>
          </w:tcPr>
          <w:p w14:paraId="0910A82E"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992" w:type="dxa"/>
            <w:tcBorders>
              <w:top w:val="nil"/>
              <w:left w:val="nil"/>
              <w:bottom w:val="nil"/>
              <w:right w:val="single" w:sz="4" w:space="0" w:color="auto"/>
            </w:tcBorders>
            <w:shd w:val="clear" w:color="auto" w:fill="auto"/>
            <w:noWrap/>
            <w:vAlign w:val="center"/>
            <w:hideMark/>
          </w:tcPr>
          <w:p w14:paraId="5F10AB46"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1134" w:type="dxa"/>
            <w:tcBorders>
              <w:top w:val="nil"/>
              <w:left w:val="nil"/>
              <w:bottom w:val="nil"/>
              <w:right w:val="nil"/>
            </w:tcBorders>
            <w:shd w:val="clear" w:color="auto" w:fill="auto"/>
            <w:noWrap/>
            <w:vAlign w:val="center"/>
            <w:hideMark/>
          </w:tcPr>
          <w:p w14:paraId="1D878FF9"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center"/>
            <w:hideMark/>
          </w:tcPr>
          <w:p w14:paraId="74AAFA60"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50" w:type="dxa"/>
            <w:tcBorders>
              <w:top w:val="nil"/>
              <w:left w:val="nil"/>
              <w:bottom w:val="nil"/>
              <w:right w:val="single" w:sz="4" w:space="0" w:color="auto"/>
            </w:tcBorders>
            <w:shd w:val="clear" w:color="auto" w:fill="auto"/>
            <w:noWrap/>
            <w:vAlign w:val="center"/>
            <w:hideMark/>
          </w:tcPr>
          <w:p w14:paraId="5E543A8C"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51" w:type="dxa"/>
            <w:tcBorders>
              <w:top w:val="nil"/>
              <w:left w:val="nil"/>
              <w:bottom w:val="nil"/>
              <w:right w:val="single" w:sz="4" w:space="0" w:color="auto"/>
            </w:tcBorders>
            <w:shd w:val="clear" w:color="auto" w:fill="auto"/>
            <w:noWrap/>
            <w:vAlign w:val="center"/>
            <w:hideMark/>
          </w:tcPr>
          <w:p w14:paraId="6056E87F"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01222F99"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75" w:type="dxa"/>
            <w:tcBorders>
              <w:top w:val="nil"/>
              <w:left w:val="nil"/>
              <w:bottom w:val="nil"/>
              <w:right w:val="single" w:sz="4" w:space="0" w:color="auto"/>
            </w:tcBorders>
            <w:shd w:val="clear" w:color="auto" w:fill="auto"/>
            <w:noWrap/>
            <w:vAlign w:val="center"/>
            <w:hideMark/>
          </w:tcPr>
          <w:p w14:paraId="1788C3CC"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670" w:type="dxa"/>
            <w:tcBorders>
              <w:top w:val="nil"/>
              <w:left w:val="nil"/>
              <w:bottom w:val="nil"/>
              <w:right w:val="single" w:sz="4" w:space="0" w:color="auto"/>
            </w:tcBorders>
            <w:shd w:val="clear" w:color="auto" w:fill="auto"/>
            <w:noWrap/>
            <w:vAlign w:val="center"/>
            <w:hideMark/>
          </w:tcPr>
          <w:p w14:paraId="74CC19F6"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nil"/>
              <w:bottom w:val="nil"/>
              <w:right w:val="single" w:sz="4" w:space="0" w:color="auto"/>
            </w:tcBorders>
            <w:shd w:val="clear" w:color="auto" w:fill="auto"/>
            <w:noWrap/>
            <w:vAlign w:val="center"/>
            <w:hideMark/>
          </w:tcPr>
          <w:p w14:paraId="550CE831"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612" w:type="dxa"/>
            <w:tcBorders>
              <w:top w:val="nil"/>
              <w:left w:val="nil"/>
              <w:bottom w:val="nil"/>
              <w:right w:val="single" w:sz="4" w:space="0" w:color="auto"/>
            </w:tcBorders>
            <w:shd w:val="clear" w:color="auto" w:fill="auto"/>
            <w:noWrap/>
            <w:vAlign w:val="center"/>
            <w:hideMark/>
          </w:tcPr>
          <w:p w14:paraId="6B347EBC"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06" w:type="dxa"/>
            <w:tcBorders>
              <w:top w:val="nil"/>
              <w:left w:val="nil"/>
              <w:bottom w:val="nil"/>
              <w:right w:val="single" w:sz="4" w:space="0" w:color="auto"/>
            </w:tcBorders>
            <w:shd w:val="clear" w:color="auto" w:fill="auto"/>
            <w:noWrap/>
            <w:vAlign w:val="center"/>
            <w:hideMark/>
          </w:tcPr>
          <w:p w14:paraId="57EED174"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1040" w:type="dxa"/>
            <w:tcBorders>
              <w:top w:val="nil"/>
              <w:left w:val="nil"/>
              <w:bottom w:val="nil"/>
              <w:right w:val="single" w:sz="4" w:space="0" w:color="auto"/>
            </w:tcBorders>
            <w:shd w:val="clear" w:color="auto" w:fill="auto"/>
            <w:noWrap/>
            <w:vAlign w:val="center"/>
            <w:hideMark/>
          </w:tcPr>
          <w:p w14:paraId="7FE6435A"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02" w:type="dxa"/>
            <w:tcBorders>
              <w:top w:val="nil"/>
              <w:left w:val="nil"/>
              <w:bottom w:val="nil"/>
              <w:right w:val="single" w:sz="4" w:space="0" w:color="auto"/>
            </w:tcBorders>
            <w:shd w:val="clear" w:color="auto" w:fill="auto"/>
            <w:noWrap/>
            <w:vAlign w:val="center"/>
            <w:hideMark/>
          </w:tcPr>
          <w:p w14:paraId="3FB2C955"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p>
        </w:tc>
      </w:tr>
      <w:tr w:rsidR="009630A9" w:rsidRPr="000C156A" w14:paraId="10312A32" w14:textId="77777777" w:rsidTr="00CD0CEA">
        <w:trPr>
          <w:trHeight w:val="255"/>
          <w:jc w:val="center"/>
        </w:trPr>
        <w:tc>
          <w:tcPr>
            <w:tcW w:w="1980" w:type="dxa"/>
            <w:tcBorders>
              <w:top w:val="nil"/>
              <w:left w:val="single" w:sz="4" w:space="0" w:color="auto"/>
              <w:bottom w:val="nil"/>
              <w:right w:val="nil"/>
            </w:tcBorders>
            <w:shd w:val="clear" w:color="auto" w:fill="auto"/>
            <w:vAlign w:val="center"/>
            <w:hideMark/>
          </w:tcPr>
          <w:p w14:paraId="3985279E" w14:textId="77777777" w:rsidR="009630A9" w:rsidRPr="000C156A" w:rsidRDefault="009630A9" w:rsidP="005D02F0">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eastAsia="zh-CN"/>
              </w:rPr>
              <w:t>人员</w:t>
            </w:r>
            <w:r w:rsidRPr="000C156A">
              <w:rPr>
                <w:rFonts w:hint="eastAsia"/>
                <w:noProof/>
                <w:sz w:val="16"/>
                <w:szCs w:val="16"/>
                <w:lang w:val="en-US"/>
              </w:rPr>
              <w:t>费用</w:t>
            </w:r>
          </w:p>
        </w:tc>
        <w:tc>
          <w:tcPr>
            <w:tcW w:w="992" w:type="dxa"/>
            <w:tcBorders>
              <w:top w:val="nil"/>
              <w:left w:val="single" w:sz="4" w:space="0" w:color="auto"/>
              <w:bottom w:val="nil"/>
              <w:right w:val="single" w:sz="4" w:space="0" w:color="auto"/>
            </w:tcBorders>
            <w:shd w:val="clear" w:color="auto" w:fill="auto"/>
            <w:noWrap/>
            <w:vAlign w:val="center"/>
            <w:hideMark/>
          </w:tcPr>
          <w:p w14:paraId="444DB649" w14:textId="53048B75"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60</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672</w:t>
            </w:r>
          </w:p>
        </w:tc>
        <w:tc>
          <w:tcPr>
            <w:tcW w:w="709" w:type="dxa"/>
            <w:tcBorders>
              <w:top w:val="nil"/>
              <w:left w:val="nil"/>
              <w:bottom w:val="nil"/>
              <w:right w:val="single" w:sz="4" w:space="0" w:color="auto"/>
            </w:tcBorders>
            <w:shd w:val="clear" w:color="auto" w:fill="auto"/>
            <w:noWrap/>
            <w:vAlign w:val="center"/>
            <w:hideMark/>
          </w:tcPr>
          <w:p w14:paraId="7456D8D8" w14:textId="37470E7A"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25</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419</w:t>
            </w:r>
          </w:p>
        </w:tc>
        <w:tc>
          <w:tcPr>
            <w:tcW w:w="992" w:type="dxa"/>
            <w:tcBorders>
              <w:top w:val="nil"/>
              <w:left w:val="nil"/>
              <w:bottom w:val="nil"/>
              <w:right w:val="single" w:sz="4" w:space="0" w:color="auto"/>
            </w:tcBorders>
            <w:shd w:val="clear" w:color="auto" w:fill="auto"/>
            <w:noWrap/>
            <w:vAlign w:val="center"/>
            <w:hideMark/>
          </w:tcPr>
          <w:p w14:paraId="42C9DDDD" w14:textId="600A6B89"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11</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926</w:t>
            </w:r>
          </w:p>
        </w:tc>
        <w:tc>
          <w:tcPr>
            <w:tcW w:w="992" w:type="dxa"/>
            <w:tcBorders>
              <w:top w:val="nil"/>
              <w:left w:val="nil"/>
              <w:bottom w:val="nil"/>
              <w:right w:val="single" w:sz="4" w:space="0" w:color="auto"/>
            </w:tcBorders>
            <w:shd w:val="clear" w:color="auto" w:fill="auto"/>
            <w:noWrap/>
            <w:vAlign w:val="center"/>
            <w:hideMark/>
          </w:tcPr>
          <w:p w14:paraId="555149D1" w14:textId="59222EFB"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22</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426</w:t>
            </w:r>
          </w:p>
        </w:tc>
        <w:tc>
          <w:tcPr>
            <w:tcW w:w="1134" w:type="dxa"/>
            <w:tcBorders>
              <w:top w:val="nil"/>
              <w:left w:val="nil"/>
              <w:bottom w:val="nil"/>
              <w:right w:val="single" w:sz="4" w:space="0" w:color="auto"/>
            </w:tcBorders>
            <w:shd w:val="clear" w:color="auto" w:fill="auto"/>
            <w:noWrap/>
            <w:vAlign w:val="center"/>
            <w:hideMark/>
          </w:tcPr>
          <w:p w14:paraId="2A89AB4C" w14:textId="04F883EC"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28</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123</w:t>
            </w:r>
          </w:p>
        </w:tc>
        <w:tc>
          <w:tcPr>
            <w:tcW w:w="993" w:type="dxa"/>
            <w:tcBorders>
              <w:top w:val="nil"/>
              <w:left w:val="nil"/>
              <w:bottom w:val="nil"/>
              <w:right w:val="single" w:sz="4" w:space="0" w:color="auto"/>
            </w:tcBorders>
            <w:shd w:val="clear" w:color="auto" w:fill="auto"/>
            <w:noWrap/>
            <w:vAlign w:val="center"/>
            <w:hideMark/>
          </w:tcPr>
          <w:p w14:paraId="7E7D4A50" w14:textId="3C5120FF"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148</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567</w:t>
            </w:r>
          </w:p>
        </w:tc>
        <w:tc>
          <w:tcPr>
            <w:tcW w:w="850" w:type="dxa"/>
            <w:tcBorders>
              <w:top w:val="nil"/>
              <w:left w:val="nil"/>
              <w:bottom w:val="nil"/>
              <w:right w:val="single" w:sz="4" w:space="0" w:color="auto"/>
            </w:tcBorders>
            <w:shd w:val="clear" w:color="auto" w:fill="auto"/>
            <w:noWrap/>
            <w:vAlign w:val="center"/>
            <w:hideMark/>
          </w:tcPr>
          <w:p w14:paraId="2798D8BF"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51" w:type="dxa"/>
            <w:tcBorders>
              <w:top w:val="nil"/>
              <w:left w:val="nil"/>
              <w:bottom w:val="nil"/>
              <w:right w:val="single" w:sz="4" w:space="0" w:color="auto"/>
            </w:tcBorders>
            <w:shd w:val="clear" w:color="auto" w:fill="auto"/>
            <w:noWrap/>
            <w:vAlign w:val="center"/>
            <w:hideMark/>
          </w:tcPr>
          <w:p w14:paraId="2DBFF0A1"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377F10C7"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17</w:t>
            </w:r>
          </w:p>
        </w:tc>
        <w:tc>
          <w:tcPr>
            <w:tcW w:w="875" w:type="dxa"/>
            <w:tcBorders>
              <w:top w:val="nil"/>
              <w:left w:val="nil"/>
              <w:bottom w:val="nil"/>
              <w:right w:val="single" w:sz="4" w:space="0" w:color="auto"/>
            </w:tcBorders>
            <w:shd w:val="clear" w:color="auto" w:fill="auto"/>
            <w:noWrap/>
            <w:vAlign w:val="center"/>
            <w:hideMark/>
          </w:tcPr>
          <w:p w14:paraId="20B3764A" w14:textId="2E392E34"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165</w:t>
            </w:r>
          </w:p>
        </w:tc>
        <w:tc>
          <w:tcPr>
            <w:tcW w:w="670" w:type="dxa"/>
            <w:tcBorders>
              <w:top w:val="nil"/>
              <w:left w:val="nil"/>
              <w:bottom w:val="nil"/>
              <w:right w:val="single" w:sz="4" w:space="0" w:color="auto"/>
            </w:tcBorders>
            <w:shd w:val="clear" w:color="auto" w:fill="auto"/>
            <w:noWrap/>
            <w:vAlign w:val="center"/>
            <w:hideMark/>
          </w:tcPr>
          <w:p w14:paraId="1FCDC01D" w14:textId="563D4535"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913</w:t>
            </w:r>
          </w:p>
        </w:tc>
        <w:tc>
          <w:tcPr>
            <w:tcW w:w="709" w:type="dxa"/>
            <w:tcBorders>
              <w:top w:val="nil"/>
              <w:left w:val="nil"/>
              <w:bottom w:val="nil"/>
              <w:right w:val="single" w:sz="4" w:space="0" w:color="auto"/>
            </w:tcBorders>
            <w:shd w:val="clear" w:color="auto" w:fill="auto"/>
            <w:noWrap/>
            <w:vAlign w:val="center"/>
            <w:hideMark/>
          </w:tcPr>
          <w:p w14:paraId="334FDA19"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612" w:type="dxa"/>
            <w:tcBorders>
              <w:top w:val="nil"/>
              <w:left w:val="nil"/>
              <w:bottom w:val="nil"/>
              <w:right w:val="single" w:sz="4" w:space="0" w:color="auto"/>
            </w:tcBorders>
            <w:shd w:val="clear" w:color="auto" w:fill="auto"/>
            <w:noWrap/>
            <w:vAlign w:val="center"/>
            <w:hideMark/>
          </w:tcPr>
          <w:p w14:paraId="196EC873"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6" w:type="dxa"/>
            <w:tcBorders>
              <w:top w:val="nil"/>
              <w:left w:val="nil"/>
              <w:bottom w:val="nil"/>
              <w:right w:val="single" w:sz="4" w:space="0" w:color="auto"/>
            </w:tcBorders>
            <w:shd w:val="clear" w:color="auto" w:fill="auto"/>
            <w:noWrap/>
            <w:vAlign w:val="center"/>
            <w:hideMark/>
          </w:tcPr>
          <w:p w14:paraId="4A0CB5AC" w14:textId="76BAC025"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2</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163</w:t>
            </w:r>
          </w:p>
        </w:tc>
        <w:tc>
          <w:tcPr>
            <w:tcW w:w="1040" w:type="dxa"/>
            <w:tcBorders>
              <w:top w:val="nil"/>
              <w:left w:val="nil"/>
              <w:bottom w:val="nil"/>
              <w:right w:val="single" w:sz="4" w:space="0" w:color="auto"/>
            </w:tcBorders>
            <w:shd w:val="clear" w:color="auto" w:fill="auto"/>
            <w:noWrap/>
            <w:vAlign w:val="center"/>
            <w:hideMark/>
          </w:tcPr>
          <w:p w14:paraId="64A275C7"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2" w:type="dxa"/>
            <w:tcBorders>
              <w:top w:val="nil"/>
              <w:left w:val="nil"/>
              <w:bottom w:val="nil"/>
              <w:right w:val="single" w:sz="4" w:space="0" w:color="auto"/>
            </w:tcBorders>
            <w:shd w:val="clear" w:color="auto" w:fill="auto"/>
            <w:noWrap/>
            <w:vAlign w:val="center"/>
            <w:hideMark/>
          </w:tcPr>
          <w:p w14:paraId="478D3B85" w14:textId="07162B06"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153</w:t>
            </w:r>
            <w:r w:rsidR="00B634EB" w:rsidRPr="000C156A">
              <w:rPr>
                <w:rFonts w:eastAsia="Times New Roman" w:cs="Calibri"/>
                <w:b/>
                <w:bCs/>
                <w:sz w:val="16"/>
                <w:szCs w:val="16"/>
                <w:lang w:eastAsia="en-GB"/>
              </w:rPr>
              <w:t xml:space="preserve"> </w:t>
            </w:r>
            <w:r w:rsidRPr="000C156A">
              <w:rPr>
                <w:rFonts w:eastAsia="Times New Roman" w:cs="Calibri"/>
                <w:b/>
                <w:bCs/>
                <w:sz w:val="16"/>
                <w:szCs w:val="16"/>
                <w:lang w:eastAsia="en-GB"/>
              </w:rPr>
              <w:t>825</w:t>
            </w:r>
          </w:p>
        </w:tc>
      </w:tr>
      <w:tr w:rsidR="009630A9" w:rsidRPr="000C156A" w14:paraId="2F26D3D5" w14:textId="77777777" w:rsidTr="00CD0CEA">
        <w:trPr>
          <w:trHeight w:val="255"/>
          <w:jc w:val="center"/>
        </w:trPr>
        <w:tc>
          <w:tcPr>
            <w:tcW w:w="1980" w:type="dxa"/>
            <w:tcBorders>
              <w:top w:val="nil"/>
              <w:left w:val="single" w:sz="4" w:space="0" w:color="auto"/>
              <w:bottom w:val="nil"/>
              <w:right w:val="nil"/>
            </w:tcBorders>
            <w:shd w:val="clear" w:color="auto" w:fill="auto"/>
            <w:vAlign w:val="center"/>
            <w:hideMark/>
          </w:tcPr>
          <w:p w14:paraId="492C8194" w14:textId="77777777" w:rsidR="009630A9" w:rsidRPr="000C156A" w:rsidRDefault="009630A9" w:rsidP="005D02F0">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30</w:t>
            </w:r>
          </w:p>
        </w:tc>
        <w:tc>
          <w:tcPr>
            <w:tcW w:w="992" w:type="dxa"/>
            <w:tcBorders>
              <w:top w:val="nil"/>
              <w:left w:val="single" w:sz="4" w:space="0" w:color="auto"/>
              <w:bottom w:val="nil"/>
              <w:right w:val="single" w:sz="4" w:space="0" w:color="auto"/>
            </w:tcBorders>
            <w:shd w:val="clear" w:color="auto" w:fill="auto"/>
            <w:noWrap/>
            <w:vAlign w:val="center"/>
            <w:hideMark/>
          </w:tcPr>
          <w:p w14:paraId="4B73D432" w14:textId="771B94E4"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46</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266</w:t>
            </w:r>
          </w:p>
        </w:tc>
        <w:tc>
          <w:tcPr>
            <w:tcW w:w="709" w:type="dxa"/>
            <w:tcBorders>
              <w:top w:val="nil"/>
              <w:left w:val="nil"/>
              <w:bottom w:val="nil"/>
              <w:right w:val="single" w:sz="4" w:space="0" w:color="auto"/>
            </w:tcBorders>
            <w:shd w:val="clear" w:color="auto" w:fill="auto"/>
            <w:noWrap/>
            <w:vAlign w:val="center"/>
            <w:hideMark/>
          </w:tcPr>
          <w:p w14:paraId="35A05C4E" w14:textId="4586F9CC"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19</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442</w:t>
            </w:r>
          </w:p>
        </w:tc>
        <w:tc>
          <w:tcPr>
            <w:tcW w:w="992" w:type="dxa"/>
            <w:tcBorders>
              <w:top w:val="nil"/>
              <w:left w:val="nil"/>
              <w:bottom w:val="nil"/>
              <w:right w:val="single" w:sz="4" w:space="0" w:color="auto"/>
            </w:tcBorders>
            <w:shd w:val="clear" w:color="auto" w:fill="auto"/>
            <w:noWrap/>
            <w:vAlign w:val="center"/>
            <w:hideMark/>
          </w:tcPr>
          <w:p w14:paraId="6401E384" w14:textId="6CF5BAFC"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8</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898</w:t>
            </w:r>
          </w:p>
        </w:tc>
        <w:tc>
          <w:tcPr>
            <w:tcW w:w="992" w:type="dxa"/>
            <w:tcBorders>
              <w:top w:val="nil"/>
              <w:left w:val="nil"/>
              <w:bottom w:val="nil"/>
              <w:right w:val="single" w:sz="4" w:space="0" w:color="auto"/>
            </w:tcBorders>
            <w:shd w:val="clear" w:color="auto" w:fill="auto"/>
            <w:noWrap/>
            <w:vAlign w:val="center"/>
            <w:hideMark/>
          </w:tcPr>
          <w:p w14:paraId="37822E39" w14:textId="417A47C2"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16</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590</w:t>
            </w:r>
          </w:p>
        </w:tc>
        <w:tc>
          <w:tcPr>
            <w:tcW w:w="1134" w:type="dxa"/>
            <w:tcBorders>
              <w:top w:val="nil"/>
              <w:left w:val="nil"/>
              <w:bottom w:val="nil"/>
              <w:right w:val="nil"/>
            </w:tcBorders>
            <w:shd w:val="clear" w:color="auto" w:fill="auto"/>
            <w:noWrap/>
            <w:vAlign w:val="center"/>
            <w:hideMark/>
          </w:tcPr>
          <w:p w14:paraId="1834106F"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101</w:t>
            </w:r>
          </w:p>
        </w:tc>
        <w:tc>
          <w:tcPr>
            <w:tcW w:w="993" w:type="dxa"/>
            <w:tcBorders>
              <w:top w:val="nil"/>
              <w:left w:val="single" w:sz="4" w:space="0" w:color="auto"/>
              <w:bottom w:val="nil"/>
              <w:right w:val="single" w:sz="4" w:space="0" w:color="auto"/>
            </w:tcBorders>
            <w:shd w:val="clear" w:color="auto" w:fill="auto"/>
            <w:noWrap/>
            <w:vAlign w:val="center"/>
            <w:hideMark/>
          </w:tcPr>
          <w:p w14:paraId="20672FFE" w14:textId="59E55A50"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91</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296</w:t>
            </w:r>
          </w:p>
        </w:tc>
        <w:tc>
          <w:tcPr>
            <w:tcW w:w="850" w:type="dxa"/>
            <w:tcBorders>
              <w:top w:val="nil"/>
              <w:left w:val="nil"/>
              <w:bottom w:val="nil"/>
              <w:right w:val="single" w:sz="4" w:space="0" w:color="auto"/>
            </w:tcBorders>
            <w:shd w:val="clear" w:color="auto" w:fill="auto"/>
            <w:noWrap/>
            <w:vAlign w:val="center"/>
            <w:hideMark/>
          </w:tcPr>
          <w:p w14:paraId="31A8E98F"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51" w:type="dxa"/>
            <w:tcBorders>
              <w:top w:val="nil"/>
              <w:left w:val="nil"/>
              <w:bottom w:val="nil"/>
              <w:right w:val="single" w:sz="4" w:space="0" w:color="auto"/>
            </w:tcBorders>
            <w:shd w:val="clear" w:color="auto" w:fill="auto"/>
            <w:noWrap/>
            <w:vAlign w:val="center"/>
            <w:hideMark/>
          </w:tcPr>
          <w:p w14:paraId="3814D4F6"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123ABC2F"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75" w:type="dxa"/>
            <w:tcBorders>
              <w:top w:val="nil"/>
              <w:left w:val="nil"/>
              <w:bottom w:val="nil"/>
              <w:right w:val="single" w:sz="4" w:space="0" w:color="auto"/>
            </w:tcBorders>
            <w:shd w:val="clear" w:color="auto" w:fill="auto"/>
            <w:noWrap/>
            <w:vAlign w:val="center"/>
            <w:hideMark/>
          </w:tcPr>
          <w:p w14:paraId="7252103E"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922</w:t>
            </w:r>
          </w:p>
        </w:tc>
        <w:tc>
          <w:tcPr>
            <w:tcW w:w="670" w:type="dxa"/>
            <w:tcBorders>
              <w:top w:val="nil"/>
              <w:left w:val="nil"/>
              <w:bottom w:val="nil"/>
              <w:right w:val="single" w:sz="4" w:space="0" w:color="auto"/>
            </w:tcBorders>
            <w:shd w:val="clear" w:color="auto" w:fill="auto"/>
            <w:noWrap/>
            <w:vAlign w:val="center"/>
            <w:hideMark/>
          </w:tcPr>
          <w:p w14:paraId="51460B11" w14:textId="3439582A"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404</w:t>
            </w:r>
          </w:p>
        </w:tc>
        <w:tc>
          <w:tcPr>
            <w:tcW w:w="709" w:type="dxa"/>
            <w:tcBorders>
              <w:top w:val="nil"/>
              <w:left w:val="nil"/>
              <w:bottom w:val="nil"/>
              <w:right w:val="single" w:sz="4" w:space="0" w:color="auto"/>
            </w:tcBorders>
            <w:shd w:val="clear" w:color="auto" w:fill="auto"/>
            <w:noWrap/>
            <w:vAlign w:val="center"/>
            <w:hideMark/>
          </w:tcPr>
          <w:p w14:paraId="07235E6D"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612" w:type="dxa"/>
            <w:tcBorders>
              <w:top w:val="nil"/>
              <w:left w:val="nil"/>
              <w:bottom w:val="nil"/>
              <w:right w:val="single" w:sz="4" w:space="0" w:color="auto"/>
            </w:tcBorders>
            <w:shd w:val="clear" w:color="auto" w:fill="auto"/>
            <w:noWrap/>
            <w:vAlign w:val="center"/>
            <w:hideMark/>
          </w:tcPr>
          <w:p w14:paraId="72EA2781"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6" w:type="dxa"/>
            <w:tcBorders>
              <w:top w:val="nil"/>
              <w:left w:val="nil"/>
              <w:bottom w:val="nil"/>
              <w:right w:val="single" w:sz="4" w:space="0" w:color="auto"/>
            </w:tcBorders>
            <w:shd w:val="clear" w:color="auto" w:fill="auto"/>
            <w:noWrap/>
            <w:vAlign w:val="center"/>
            <w:hideMark/>
          </w:tcPr>
          <w:p w14:paraId="1BFA6AA3" w14:textId="46D78162"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657</w:t>
            </w:r>
          </w:p>
        </w:tc>
        <w:tc>
          <w:tcPr>
            <w:tcW w:w="1040" w:type="dxa"/>
            <w:tcBorders>
              <w:top w:val="nil"/>
              <w:left w:val="nil"/>
              <w:bottom w:val="nil"/>
              <w:right w:val="single" w:sz="4" w:space="0" w:color="auto"/>
            </w:tcBorders>
            <w:shd w:val="clear" w:color="auto" w:fill="auto"/>
            <w:noWrap/>
            <w:vAlign w:val="center"/>
            <w:hideMark/>
          </w:tcPr>
          <w:p w14:paraId="70D9C2E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2" w:type="dxa"/>
            <w:tcBorders>
              <w:top w:val="nil"/>
              <w:left w:val="nil"/>
              <w:bottom w:val="nil"/>
              <w:right w:val="single" w:sz="4" w:space="0" w:color="auto"/>
            </w:tcBorders>
            <w:shd w:val="clear" w:color="auto" w:fill="auto"/>
            <w:noWrap/>
            <w:vAlign w:val="center"/>
            <w:hideMark/>
          </w:tcPr>
          <w:p w14:paraId="6D173A5C" w14:textId="04C5D921"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95</w:t>
            </w:r>
            <w:r w:rsidR="00B634EB" w:rsidRPr="000C156A">
              <w:rPr>
                <w:rFonts w:eastAsia="Times New Roman" w:cs="Calibri"/>
                <w:b/>
                <w:bCs/>
                <w:sz w:val="16"/>
                <w:szCs w:val="16"/>
                <w:lang w:eastAsia="en-GB"/>
              </w:rPr>
              <w:t xml:space="preserve"> </w:t>
            </w:r>
            <w:r w:rsidRPr="000C156A">
              <w:rPr>
                <w:rFonts w:eastAsia="Times New Roman" w:cs="Calibri"/>
                <w:b/>
                <w:bCs/>
                <w:sz w:val="16"/>
                <w:szCs w:val="16"/>
                <w:lang w:eastAsia="en-GB"/>
              </w:rPr>
              <w:t>278</w:t>
            </w:r>
          </w:p>
        </w:tc>
      </w:tr>
      <w:tr w:rsidR="009630A9" w:rsidRPr="000C156A" w14:paraId="7062429D" w14:textId="77777777" w:rsidTr="00CD0CEA">
        <w:trPr>
          <w:trHeight w:val="255"/>
          <w:jc w:val="center"/>
        </w:trPr>
        <w:tc>
          <w:tcPr>
            <w:tcW w:w="1980" w:type="dxa"/>
            <w:tcBorders>
              <w:top w:val="nil"/>
              <w:left w:val="single" w:sz="4" w:space="0" w:color="auto"/>
              <w:bottom w:val="nil"/>
              <w:right w:val="nil"/>
            </w:tcBorders>
            <w:shd w:val="clear" w:color="auto" w:fill="auto"/>
            <w:vAlign w:val="center"/>
            <w:hideMark/>
          </w:tcPr>
          <w:p w14:paraId="7F996851" w14:textId="77777777" w:rsidR="009630A9" w:rsidRPr="000C156A" w:rsidRDefault="009630A9" w:rsidP="005D02F0">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31</w:t>
            </w:r>
          </w:p>
        </w:tc>
        <w:tc>
          <w:tcPr>
            <w:tcW w:w="992" w:type="dxa"/>
            <w:tcBorders>
              <w:top w:val="nil"/>
              <w:left w:val="single" w:sz="4" w:space="0" w:color="auto"/>
              <w:bottom w:val="nil"/>
              <w:right w:val="single" w:sz="4" w:space="0" w:color="auto"/>
            </w:tcBorders>
            <w:shd w:val="clear" w:color="auto" w:fill="auto"/>
            <w:noWrap/>
            <w:vAlign w:val="center"/>
            <w:hideMark/>
          </w:tcPr>
          <w:p w14:paraId="3B43F8BE" w14:textId="46D9D5AB"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14</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406</w:t>
            </w:r>
          </w:p>
        </w:tc>
        <w:tc>
          <w:tcPr>
            <w:tcW w:w="709" w:type="dxa"/>
            <w:tcBorders>
              <w:top w:val="nil"/>
              <w:left w:val="nil"/>
              <w:bottom w:val="nil"/>
              <w:right w:val="single" w:sz="4" w:space="0" w:color="auto"/>
            </w:tcBorders>
            <w:shd w:val="clear" w:color="auto" w:fill="auto"/>
            <w:noWrap/>
            <w:vAlign w:val="center"/>
            <w:hideMark/>
          </w:tcPr>
          <w:p w14:paraId="39AA5AAE" w14:textId="0E286CFF"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5</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977</w:t>
            </w:r>
          </w:p>
        </w:tc>
        <w:tc>
          <w:tcPr>
            <w:tcW w:w="992" w:type="dxa"/>
            <w:tcBorders>
              <w:top w:val="nil"/>
              <w:left w:val="nil"/>
              <w:bottom w:val="nil"/>
              <w:right w:val="single" w:sz="4" w:space="0" w:color="auto"/>
            </w:tcBorders>
            <w:shd w:val="clear" w:color="auto" w:fill="auto"/>
            <w:noWrap/>
            <w:vAlign w:val="center"/>
            <w:hideMark/>
          </w:tcPr>
          <w:p w14:paraId="57658DE4" w14:textId="16B641D6"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3</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029</w:t>
            </w:r>
          </w:p>
        </w:tc>
        <w:tc>
          <w:tcPr>
            <w:tcW w:w="992" w:type="dxa"/>
            <w:tcBorders>
              <w:top w:val="nil"/>
              <w:left w:val="nil"/>
              <w:bottom w:val="nil"/>
              <w:right w:val="single" w:sz="4" w:space="0" w:color="auto"/>
            </w:tcBorders>
            <w:shd w:val="clear" w:color="auto" w:fill="auto"/>
            <w:noWrap/>
            <w:vAlign w:val="center"/>
            <w:hideMark/>
          </w:tcPr>
          <w:p w14:paraId="6E014502" w14:textId="03FFD540"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5</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836</w:t>
            </w:r>
          </w:p>
        </w:tc>
        <w:tc>
          <w:tcPr>
            <w:tcW w:w="1134" w:type="dxa"/>
            <w:tcBorders>
              <w:top w:val="nil"/>
              <w:left w:val="nil"/>
              <w:bottom w:val="nil"/>
              <w:right w:val="nil"/>
            </w:tcBorders>
            <w:shd w:val="clear" w:color="auto" w:fill="auto"/>
            <w:noWrap/>
            <w:vAlign w:val="center"/>
            <w:hideMark/>
          </w:tcPr>
          <w:p w14:paraId="41C14E1F" w14:textId="2EEFC0AB"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28</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023</w:t>
            </w:r>
          </w:p>
        </w:tc>
        <w:tc>
          <w:tcPr>
            <w:tcW w:w="993" w:type="dxa"/>
            <w:tcBorders>
              <w:top w:val="nil"/>
              <w:left w:val="single" w:sz="4" w:space="0" w:color="auto"/>
              <w:bottom w:val="nil"/>
              <w:right w:val="single" w:sz="4" w:space="0" w:color="auto"/>
            </w:tcBorders>
            <w:shd w:val="clear" w:color="auto" w:fill="auto"/>
            <w:noWrap/>
            <w:vAlign w:val="center"/>
            <w:hideMark/>
          </w:tcPr>
          <w:p w14:paraId="2FDEC06C" w14:textId="47001C7B"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57</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272</w:t>
            </w:r>
          </w:p>
        </w:tc>
        <w:tc>
          <w:tcPr>
            <w:tcW w:w="850" w:type="dxa"/>
            <w:tcBorders>
              <w:top w:val="nil"/>
              <w:left w:val="nil"/>
              <w:bottom w:val="nil"/>
              <w:right w:val="single" w:sz="4" w:space="0" w:color="auto"/>
            </w:tcBorders>
            <w:shd w:val="clear" w:color="auto" w:fill="auto"/>
            <w:noWrap/>
            <w:vAlign w:val="center"/>
            <w:hideMark/>
          </w:tcPr>
          <w:p w14:paraId="0F88BBD0"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51" w:type="dxa"/>
            <w:tcBorders>
              <w:top w:val="nil"/>
              <w:left w:val="nil"/>
              <w:bottom w:val="nil"/>
              <w:right w:val="single" w:sz="4" w:space="0" w:color="auto"/>
            </w:tcBorders>
            <w:shd w:val="clear" w:color="auto" w:fill="auto"/>
            <w:noWrap/>
            <w:vAlign w:val="center"/>
            <w:hideMark/>
          </w:tcPr>
          <w:p w14:paraId="0B99E67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2A2B3D25"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17</w:t>
            </w:r>
          </w:p>
        </w:tc>
        <w:tc>
          <w:tcPr>
            <w:tcW w:w="875" w:type="dxa"/>
            <w:tcBorders>
              <w:top w:val="nil"/>
              <w:left w:val="nil"/>
              <w:bottom w:val="nil"/>
              <w:right w:val="single" w:sz="4" w:space="0" w:color="auto"/>
            </w:tcBorders>
            <w:shd w:val="clear" w:color="auto" w:fill="auto"/>
            <w:noWrap/>
            <w:vAlign w:val="center"/>
            <w:hideMark/>
          </w:tcPr>
          <w:p w14:paraId="57D58D15"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243</w:t>
            </w:r>
          </w:p>
        </w:tc>
        <w:tc>
          <w:tcPr>
            <w:tcW w:w="670" w:type="dxa"/>
            <w:tcBorders>
              <w:top w:val="nil"/>
              <w:left w:val="nil"/>
              <w:bottom w:val="nil"/>
              <w:right w:val="single" w:sz="4" w:space="0" w:color="auto"/>
            </w:tcBorders>
            <w:shd w:val="clear" w:color="auto" w:fill="auto"/>
            <w:noWrap/>
            <w:vAlign w:val="center"/>
            <w:hideMark/>
          </w:tcPr>
          <w:p w14:paraId="369233E6"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509</w:t>
            </w:r>
          </w:p>
        </w:tc>
        <w:tc>
          <w:tcPr>
            <w:tcW w:w="709" w:type="dxa"/>
            <w:tcBorders>
              <w:top w:val="nil"/>
              <w:left w:val="nil"/>
              <w:bottom w:val="nil"/>
              <w:right w:val="single" w:sz="4" w:space="0" w:color="auto"/>
            </w:tcBorders>
            <w:shd w:val="clear" w:color="auto" w:fill="auto"/>
            <w:noWrap/>
            <w:vAlign w:val="center"/>
            <w:hideMark/>
          </w:tcPr>
          <w:p w14:paraId="21DDCD2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612" w:type="dxa"/>
            <w:tcBorders>
              <w:top w:val="nil"/>
              <w:left w:val="nil"/>
              <w:bottom w:val="nil"/>
              <w:right w:val="single" w:sz="4" w:space="0" w:color="auto"/>
            </w:tcBorders>
            <w:shd w:val="clear" w:color="auto" w:fill="auto"/>
            <w:noWrap/>
            <w:vAlign w:val="center"/>
            <w:hideMark/>
          </w:tcPr>
          <w:p w14:paraId="55143FC3"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6" w:type="dxa"/>
            <w:tcBorders>
              <w:top w:val="nil"/>
              <w:left w:val="nil"/>
              <w:bottom w:val="nil"/>
              <w:right w:val="single" w:sz="4" w:space="0" w:color="auto"/>
            </w:tcBorders>
            <w:shd w:val="clear" w:color="auto" w:fill="auto"/>
            <w:noWrap/>
            <w:vAlign w:val="center"/>
            <w:hideMark/>
          </w:tcPr>
          <w:p w14:paraId="04DEF994"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507</w:t>
            </w:r>
          </w:p>
        </w:tc>
        <w:tc>
          <w:tcPr>
            <w:tcW w:w="1040" w:type="dxa"/>
            <w:tcBorders>
              <w:top w:val="nil"/>
              <w:left w:val="nil"/>
              <w:bottom w:val="nil"/>
              <w:right w:val="single" w:sz="4" w:space="0" w:color="auto"/>
            </w:tcBorders>
            <w:shd w:val="clear" w:color="auto" w:fill="auto"/>
            <w:noWrap/>
            <w:vAlign w:val="center"/>
            <w:hideMark/>
          </w:tcPr>
          <w:p w14:paraId="79195F2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2" w:type="dxa"/>
            <w:tcBorders>
              <w:top w:val="nil"/>
              <w:left w:val="nil"/>
              <w:bottom w:val="nil"/>
              <w:right w:val="single" w:sz="4" w:space="0" w:color="auto"/>
            </w:tcBorders>
            <w:shd w:val="clear" w:color="auto" w:fill="auto"/>
            <w:noWrap/>
            <w:vAlign w:val="center"/>
            <w:hideMark/>
          </w:tcPr>
          <w:p w14:paraId="5D646ACE" w14:textId="539C5715"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58</w:t>
            </w:r>
            <w:r w:rsidR="00B634EB" w:rsidRPr="000C156A">
              <w:rPr>
                <w:rFonts w:eastAsia="Times New Roman" w:cs="Calibri"/>
                <w:b/>
                <w:bCs/>
                <w:sz w:val="16"/>
                <w:szCs w:val="16"/>
                <w:lang w:eastAsia="en-GB"/>
              </w:rPr>
              <w:t xml:space="preserve"> </w:t>
            </w:r>
            <w:r w:rsidRPr="000C156A">
              <w:rPr>
                <w:rFonts w:eastAsia="Times New Roman" w:cs="Calibri"/>
                <w:b/>
                <w:bCs/>
                <w:sz w:val="16"/>
                <w:szCs w:val="16"/>
                <w:lang w:eastAsia="en-GB"/>
              </w:rPr>
              <w:t>547</w:t>
            </w:r>
          </w:p>
        </w:tc>
      </w:tr>
      <w:tr w:rsidR="009630A9" w:rsidRPr="000C156A" w14:paraId="0FCDDE3E" w14:textId="77777777" w:rsidTr="00CD0CEA">
        <w:trPr>
          <w:trHeight w:val="255"/>
          <w:jc w:val="center"/>
        </w:trPr>
        <w:tc>
          <w:tcPr>
            <w:tcW w:w="1980" w:type="dxa"/>
            <w:tcBorders>
              <w:top w:val="nil"/>
              <w:left w:val="single" w:sz="4" w:space="0" w:color="auto"/>
              <w:bottom w:val="nil"/>
              <w:right w:val="nil"/>
            </w:tcBorders>
            <w:shd w:val="clear" w:color="auto" w:fill="auto"/>
            <w:vAlign w:val="center"/>
            <w:hideMark/>
          </w:tcPr>
          <w:p w14:paraId="04A282D1" w14:textId="77777777" w:rsidR="009630A9" w:rsidRPr="000C156A" w:rsidRDefault="009630A9" w:rsidP="005D02F0">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eastAsia="zh-CN"/>
              </w:rPr>
              <w:t>公务差旅</w:t>
            </w:r>
            <w:r w:rsidRPr="000C156A">
              <w:rPr>
                <w:noProof/>
                <w:sz w:val="16"/>
                <w:szCs w:val="16"/>
                <w:lang w:val="en-US"/>
              </w:rPr>
              <w:t>费</w:t>
            </w:r>
            <w:r w:rsidRPr="000C156A">
              <w:rPr>
                <w:rFonts w:hint="eastAsia"/>
                <w:noProof/>
                <w:sz w:val="16"/>
                <w:szCs w:val="16"/>
                <w:lang w:val="en-US"/>
              </w:rPr>
              <w:t>用</w:t>
            </w:r>
          </w:p>
        </w:tc>
        <w:tc>
          <w:tcPr>
            <w:tcW w:w="992" w:type="dxa"/>
            <w:tcBorders>
              <w:top w:val="nil"/>
              <w:left w:val="single" w:sz="4" w:space="0" w:color="auto"/>
              <w:bottom w:val="nil"/>
              <w:right w:val="single" w:sz="4" w:space="0" w:color="auto"/>
            </w:tcBorders>
            <w:shd w:val="clear" w:color="auto" w:fill="auto"/>
            <w:noWrap/>
            <w:vAlign w:val="center"/>
            <w:hideMark/>
          </w:tcPr>
          <w:p w14:paraId="6981301D"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105</w:t>
            </w:r>
          </w:p>
        </w:tc>
        <w:tc>
          <w:tcPr>
            <w:tcW w:w="709" w:type="dxa"/>
            <w:tcBorders>
              <w:top w:val="nil"/>
              <w:left w:val="nil"/>
              <w:bottom w:val="nil"/>
              <w:right w:val="single" w:sz="4" w:space="0" w:color="auto"/>
            </w:tcBorders>
            <w:shd w:val="clear" w:color="auto" w:fill="auto"/>
            <w:noWrap/>
            <w:vAlign w:val="center"/>
            <w:hideMark/>
          </w:tcPr>
          <w:p w14:paraId="1C1FBE7A"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142</w:t>
            </w:r>
          </w:p>
        </w:tc>
        <w:tc>
          <w:tcPr>
            <w:tcW w:w="992" w:type="dxa"/>
            <w:tcBorders>
              <w:top w:val="nil"/>
              <w:left w:val="nil"/>
              <w:bottom w:val="nil"/>
              <w:right w:val="single" w:sz="4" w:space="0" w:color="auto"/>
            </w:tcBorders>
            <w:shd w:val="clear" w:color="auto" w:fill="auto"/>
            <w:noWrap/>
            <w:vAlign w:val="center"/>
            <w:hideMark/>
          </w:tcPr>
          <w:p w14:paraId="08DAFE0E"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147</w:t>
            </w:r>
          </w:p>
        </w:tc>
        <w:tc>
          <w:tcPr>
            <w:tcW w:w="992" w:type="dxa"/>
            <w:tcBorders>
              <w:top w:val="nil"/>
              <w:left w:val="nil"/>
              <w:bottom w:val="nil"/>
              <w:right w:val="single" w:sz="4" w:space="0" w:color="auto"/>
            </w:tcBorders>
            <w:shd w:val="clear" w:color="auto" w:fill="auto"/>
            <w:noWrap/>
            <w:vAlign w:val="center"/>
            <w:hideMark/>
          </w:tcPr>
          <w:p w14:paraId="5451073F"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313</w:t>
            </w:r>
          </w:p>
        </w:tc>
        <w:tc>
          <w:tcPr>
            <w:tcW w:w="1134" w:type="dxa"/>
            <w:tcBorders>
              <w:top w:val="nil"/>
              <w:left w:val="nil"/>
              <w:bottom w:val="nil"/>
              <w:right w:val="nil"/>
            </w:tcBorders>
            <w:shd w:val="clear" w:color="auto" w:fill="auto"/>
            <w:noWrap/>
            <w:vAlign w:val="center"/>
            <w:hideMark/>
          </w:tcPr>
          <w:p w14:paraId="438FE383"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w:t>
            </w:r>
          </w:p>
        </w:tc>
        <w:tc>
          <w:tcPr>
            <w:tcW w:w="993" w:type="dxa"/>
            <w:tcBorders>
              <w:top w:val="nil"/>
              <w:left w:val="single" w:sz="4" w:space="0" w:color="auto"/>
              <w:bottom w:val="nil"/>
              <w:right w:val="single" w:sz="4" w:space="0" w:color="auto"/>
            </w:tcBorders>
            <w:shd w:val="clear" w:color="auto" w:fill="auto"/>
            <w:noWrap/>
            <w:vAlign w:val="center"/>
            <w:hideMark/>
          </w:tcPr>
          <w:p w14:paraId="0217FA73"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707</w:t>
            </w:r>
          </w:p>
        </w:tc>
        <w:tc>
          <w:tcPr>
            <w:tcW w:w="850" w:type="dxa"/>
            <w:tcBorders>
              <w:top w:val="nil"/>
              <w:left w:val="nil"/>
              <w:bottom w:val="nil"/>
              <w:right w:val="single" w:sz="4" w:space="0" w:color="auto"/>
            </w:tcBorders>
            <w:shd w:val="clear" w:color="auto" w:fill="auto"/>
            <w:noWrap/>
            <w:vAlign w:val="center"/>
            <w:hideMark/>
          </w:tcPr>
          <w:p w14:paraId="6CEFC9CB"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51" w:type="dxa"/>
            <w:tcBorders>
              <w:top w:val="nil"/>
              <w:left w:val="nil"/>
              <w:bottom w:val="nil"/>
              <w:right w:val="single" w:sz="4" w:space="0" w:color="auto"/>
            </w:tcBorders>
            <w:shd w:val="clear" w:color="auto" w:fill="auto"/>
            <w:noWrap/>
            <w:vAlign w:val="center"/>
            <w:hideMark/>
          </w:tcPr>
          <w:p w14:paraId="461D5D8B"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6F9A8485"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75" w:type="dxa"/>
            <w:tcBorders>
              <w:top w:val="nil"/>
              <w:left w:val="nil"/>
              <w:bottom w:val="nil"/>
              <w:right w:val="single" w:sz="4" w:space="0" w:color="auto"/>
            </w:tcBorders>
            <w:shd w:val="clear" w:color="auto" w:fill="auto"/>
            <w:noWrap/>
            <w:vAlign w:val="center"/>
            <w:hideMark/>
          </w:tcPr>
          <w:p w14:paraId="15DAD92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17</w:t>
            </w:r>
          </w:p>
        </w:tc>
        <w:tc>
          <w:tcPr>
            <w:tcW w:w="670" w:type="dxa"/>
            <w:tcBorders>
              <w:top w:val="nil"/>
              <w:left w:val="nil"/>
              <w:bottom w:val="nil"/>
              <w:right w:val="single" w:sz="4" w:space="0" w:color="auto"/>
            </w:tcBorders>
            <w:shd w:val="clear" w:color="auto" w:fill="auto"/>
            <w:noWrap/>
            <w:vAlign w:val="center"/>
            <w:hideMark/>
          </w:tcPr>
          <w:p w14:paraId="07C98A4F"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250</w:t>
            </w:r>
          </w:p>
        </w:tc>
        <w:tc>
          <w:tcPr>
            <w:tcW w:w="709" w:type="dxa"/>
            <w:tcBorders>
              <w:top w:val="nil"/>
              <w:left w:val="nil"/>
              <w:bottom w:val="nil"/>
              <w:right w:val="single" w:sz="4" w:space="0" w:color="auto"/>
            </w:tcBorders>
            <w:shd w:val="clear" w:color="auto" w:fill="auto"/>
            <w:noWrap/>
            <w:vAlign w:val="center"/>
            <w:hideMark/>
          </w:tcPr>
          <w:p w14:paraId="59CBA3B5"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612" w:type="dxa"/>
            <w:tcBorders>
              <w:top w:val="nil"/>
              <w:left w:val="nil"/>
              <w:bottom w:val="nil"/>
              <w:right w:val="single" w:sz="4" w:space="0" w:color="auto"/>
            </w:tcBorders>
            <w:shd w:val="clear" w:color="auto" w:fill="auto"/>
            <w:noWrap/>
            <w:vAlign w:val="center"/>
            <w:hideMark/>
          </w:tcPr>
          <w:p w14:paraId="74543AA1"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6" w:type="dxa"/>
            <w:tcBorders>
              <w:top w:val="nil"/>
              <w:left w:val="nil"/>
              <w:bottom w:val="nil"/>
              <w:right w:val="single" w:sz="4" w:space="0" w:color="auto"/>
            </w:tcBorders>
            <w:shd w:val="clear" w:color="auto" w:fill="auto"/>
            <w:noWrap/>
            <w:vAlign w:val="center"/>
            <w:hideMark/>
          </w:tcPr>
          <w:p w14:paraId="5E5A378F"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28</w:t>
            </w:r>
          </w:p>
        </w:tc>
        <w:tc>
          <w:tcPr>
            <w:tcW w:w="1040" w:type="dxa"/>
            <w:tcBorders>
              <w:top w:val="nil"/>
              <w:left w:val="nil"/>
              <w:bottom w:val="nil"/>
              <w:right w:val="single" w:sz="4" w:space="0" w:color="auto"/>
            </w:tcBorders>
            <w:shd w:val="clear" w:color="auto" w:fill="auto"/>
            <w:noWrap/>
            <w:vAlign w:val="center"/>
            <w:hideMark/>
          </w:tcPr>
          <w:p w14:paraId="46125991"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2" w:type="dxa"/>
            <w:tcBorders>
              <w:top w:val="nil"/>
              <w:left w:val="nil"/>
              <w:bottom w:val="nil"/>
              <w:right w:val="single" w:sz="4" w:space="0" w:color="auto"/>
            </w:tcBorders>
            <w:shd w:val="clear" w:color="auto" w:fill="auto"/>
            <w:noWrap/>
            <w:vAlign w:val="center"/>
            <w:hideMark/>
          </w:tcPr>
          <w:p w14:paraId="4902E9BD" w14:textId="4AA9E06E"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1</w:t>
            </w:r>
            <w:r w:rsidR="00B634EB" w:rsidRPr="000C156A">
              <w:rPr>
                <w:rFonts w:eastAsia="Times New Roman" w:cs="Calibri"/>
                <w:b/>
                <w:bCs/>
                <w:sz w:val="16"/>
                <w:szCs w:val="16"/>
                <w:lang w:eastAsia="en-GB"/>
              </w:rPr>
              <w:t xml:space="preserve"> </w:t>
            </w:r>
            <w:r w:rsidRPr="000C156A">
              <w:rPr>
                <w:rFonts w:eastAsia="Times New Roman" w:cs="Calibri"/>
                <w:b/>
                <w:bCs/>
                <w:sz w:val="16"/>
                <w:szCs w:val="16"/>
                <w:lang w:eastAsia="en-GB"/>
              </w:rPr>
              <w:t>003</w:t>
            </w:r>
          </w:p>
        </w:tc>
      </w:tr>
      <w:tr w:rsidR="009630A9" w:rsidRPr="000C156A" w14:paraId="7D66A2AD" w14:textId="77777777" w:rsidTr="00CD0CEA">
        <w:trPr>
          <w:trHeight w:val="255"/>
          <w:jc w:val="center"/>
        </w:trPr>
        <w:tc>
          <w:tcPr>
            <w:tcW w:w="1980" w:type="dxa"/>
            <w:tcBorders>
              <w:top w:val="nil"/>
              <w:left w:val="single" w:sz="4" w:space="0" w:color="auto"/>
              <w:bottom w:val="nil"/>
              <w:right w:val="nil"/>
            </w:tcBorders>
            <w:shd w:val="clear" w:color="auto" w:fill="auto"/>
            <w:vAlign w:val="center"/>
            <w:hideMark/>
          </w:tcPr>
          <w:p w14:paraId="67D3972F" w14:textId="77777777" w:rsidR="009630A9" w:rsidRPr="000C156A" w:rsidRDefault="009630A9" w:rsidP="005D02F0">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rPr>
              <w:t>合同服务</w:t>
            </w:r>
          </w:p>
        </w:tc>
        <w:tc>
          <w:tcPr>
            <w:tcW w:w="992" w:type="dxa"/>
            <w:tcBorders>
              <w:top w:val="nil"/>
              <w:left w:val="single" w:sz="4" w:space="0" w:color="auto"/>
              <w:bottom w:val="nil"/>
              <w:right w:val="single" w:sz="4" w:space="0" w:color="auto"/>
            </w:tcBorders>
            <w:shd w:val="clear" w:color="auto" w:fill="auto"/>
            <w:noWrap/>
            <w:vAlign w:val="center"/>
            <w:hideMark/>
          </w:tcPr>
          <w:p w14:paraId="3B5BDBCA" w14:textId="78F02E1E"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5</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565</w:t>
            </w:r>
          </w:p>
        </w:tc>
        <w:tc>
          <w:tcPr>
            <w:tcW w:w="709" w:type="dxa"/>
            <w:tcBorders>
              <w:top w:val="nil"/>
              <w:left w:val="nil"/>
              <w:bottom w:val="nil"/>
              <w:right w:val="single" w:sz="4" w:space="0" w:color="auto"/>
            </w:tcBorders>
            <w:shd w:val="clear" w:color="auto" w:fill="auto"/>
            <w:noWrap/>
            <w:vAlign w:val="center"/>
            <w:hideMark/>
          </w:tcPr>
          <w:p w14:paraId="4E0B9592"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470</w:t>
            </w:r>
          </w:p>
        </w:tc>
        <w:tc>
          <w:tcPr>
            <w:tcW w:w="992" w:type="dxa"/>
            <w:tcBorders>
              <w:top w:val="nil"/>
              <w:left w:val="nil"/>
              <w:bottom w:val="nil"/>
              <w:right w:val="single" w:sz="4" w:space="0" w:color="auto"/>
            </w:tcBorders>
            <w:shd w:val="clear" w:color="auto" w:fill="auto"/>
            <w:noWrap/>
            <w:vAlign w:val="center"/>
            <w:hideMark/>
          </w:tcPr>
          <w:p w14:paraId="2D75DCEE"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746</w:t>
            </w:r>
          </w:p>
        </w:tc>
        <w:tc>
          <w:tcPr>
            <w:tcW w:w="992" w:type="dxa"/>
            <w:tcBorders>
              <w:top w:val="nil"/>
              <w:left w:val="nil"/>
              <w:bottom w:val="nil"/>
              <w:right w:val="single" w:sz="4" w:space="0" w:color="auto"/>
            </w:tcBorders>
            <w:shd w:val="clear" w:color="auto" w:fill="auto"/>
            <w:noWrap/>
            <w:vAlign w:val="center"/>
            <w:hideMark/>
          </w:tcPr>
          <w:p w14:paraId="1DA9569A" w14:textId="1EB69BE3"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3</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701</w:t>
            </w:r>
          </w:p>
        </w:tc>
        <w:tc>
          <w:tcPr>
            <w:tcW w:w="1134" w:type="dxa"/>
            <w:tcBorders>
              <w:top w:val="nil"/>
              <w:left w:val="nil"/>
              <w:bottom w:val="nil"/>
              <w:right w:val="nil"/>
            </w:tcBorders>
            <w:shd w:val="clear" w:color="auto" w:fill="auto"/>
            <w:noWrap/>
            <w:vAlign w:val="center"/>
            <w:hideMark/>
          </w:tcPr>
          <w:p w14:paraId="046C1802"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945</w:t>
            </w:r>
          </w:p>
        </w:tc>
        <w:tc>
          <w:tcPr>
            <w:tcW w:w="993" w:type="dxa"/>
            <w:tcBorders>
              <w:top w:val="nil"/>
              <w:left w:val="single" w:sz="4" w:space="0" w:color="auto"/>
              <w:bottom w:val="nil"/>
              <w:right w:val="single" w:sz="4" w:space="0" w:color="auto"/>
            </w:tcBorders>
            <w:shd w:val="clear" w:color="auto" w:fill="auto"/>
            <w:noWrap/>
            <w:vAlign w:val="center"/>
            <w:hideMark/>
          </w:tcPr>
          <w:p w14:paraId="41E1B1D5" w14:textId="01D6870A"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11</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426</w:t>
            </w:r>
          </w:p>
        </w:tc>
        <w:tc>
          <w:tcPr>
            <w:tcW w:w="850" w:type="dxa"/>
            <w:tcBorders>
              <w:top w:val="nil"/>
              <w:left w:val="nil"/>
              <w:bottom w:val="nil"/>
              <w:right w:val="single" w:sz="4" w:space="0" w:color="auto"/>
            </w:tcBorders>
            <w:shd w:val="clear" w:color="auto" w:fill="auto"/>
            <w:noWrap/>
            <w:vAlign w:val="center"/>
            <w:hideMark/>
          </w:tcPr>
          <w:p w14:paraId="0A701F8F"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51" w:type="dxa"/>
            <w:tcBorders>
              <w:top w:val="nil"/>
              <w:left w:val="nil"/>
              <w:bottom w:val="nil"/>
              <w:right w:val="single" w:sz="4" w:space="0" w:color="auto"/>
            </w:tcBorders>
            <w:shd w:val="clear" w:color="auto" w:fill="auto"/>
            <w:noWrap/>
            <w:vAlign w:val="center"/>
            <w:hideMark/>
          </w:tcPr>
          <w:p w14:paraId="0A776900"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2203D362"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75" w:type="dxa"/>
            <w:tcBorders>
              <w:top w:val="nil"/>
              <w:left w:val="nil"/>
              <w:bottom w:val="nil"/>
              <w:right w:val="single" w:sz="4" w:space="0" w:color="auto"/>
            </w:tcBorders>
            <w:shd w:val="clear" w:color="auto" w:fill="auto"/>
            <w:noWrap/>
            <w:vAlign w:val="center"/>
            <w:hideMark/>
          </w:tcPr>
          <w:p w14:paraId="07D11ACA" w14:textId="16C6EB45"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399</w:t>
            </w:r>
          </w:p>
        </w:tc>
        <w:tc>
          <w:tcPr>
            <w:tcW w:w="670" w:type="dxa"/>
            <w:tcBorders>
              <w:top w:val="nil"/>
              <w:left w:val="nil"/>
              <w:bottom w:val="nil"/>
              <w:right w:val="single" w:sz="4" w:space="0" w:color="auto"/>
            </w:tcBorders>
            <w:shd w:val="clear" w:color="auto" w:fill="auto"/>
            <w:noWrap/>
            <w:vAlign w:val="center"/>
            <w:hideMark/>
          </w:tcPr>
          <w:p w14:paraId="7BFD7618" w14:textId="75165836"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567</w:t>
            </w:r>
          </w:p>
        </w:tc>
        <w:tc>
          <w:tcPr>
            <w:tcW w:w="709" w:type="dxa"/>
            <w:tcBorders>
              <w:top w:val="nil"/>
              <w:left w:val="nil"/>
              <w:bottom w:val="nil"/>
              <w:right w:val="single" w:sz="4" w:space="0" w:color="auto"/>
            </w:tcBorders>
            <w:shd w:val="clear" w:color="auto" w:fill="auto"/>
            <w:noWrap/>
            <w:vAlign w:val="center"/>
            <w:hideMark/>
          </w:tcPr>
          <w:p w14:paraId="45A87832"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612" w:type="dxa"/>
            <w:tcBorders>
              <w:top w:val="nil"/>
              <w:left w:val="nil"/>
              <w:bottom w:val="nil"/>
              <w:right w:val="single" w:sz="4" w:space="0" w:color="auto"/>
            </w:tcBorders>
            <w:shd w:val="clear" w:color="auto" w:fill="auto"/>
            <w:noWrap/>
            <w:vAlign w:val="center"/>
            <w:hideMark/>
          </w:tcPr>
          <w:p w14:paraId="6B17EB35"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6" w:type="dxa"/>
            <w:tcBorders>
              <w:top w:val="nil"/>
              <w:left w:val="nil"/>
              <w:bottom w:val="nil"/>
              <w:right w:val="single" w:sz="4" w:space="0" w:color="auto"/>
            </w:tcBorders>
            <w:shd w:val="clear" w:color="auto" w:fill="auto"/>
            <w:noWrap/>
            <w:vAlign w:val="center"/>
            <w:hideMark/>
          </w:tcPr>
          <w:p w14:paraId="0FA73051"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120</w:t>
            </w:r>
          </w:p>
        </w:tc>
        <w:tc>
          <w:tcPr>
            <w:tcW w:w="1040" w:type="dxa"/>
            <w:tcBorders>
              <w:top w:val="nil"/>
              <w:left w:val="nil"/>
              <w:bottom w:val="nil"/>
              <w:right w:val="single" w:sz="4" w:space="0" w:color="auto"/>
            </w:tcBorders>
            <w:shd w:val="clear" w:color="auto" w:fill="auto"/>
            <w:noWrap/>
            <w:vAlign w:val="center"/>
            <w:hideMark/>
          </w:tcPr>
          <w:p w14:paraId="1BF541CF"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2" w:type="dxa"/>
            <w:tcBorders>
              <w:top w:val="nil"/>
              <w:left w:val="nil"/>
              <w:bottom w:val="nil"/>
              <w:right w:val="single" w:sz="4" w:space="0" w:color="auto"/>
            </w:tcBorders>
            <w:shd w:val="clear" w:color="auto" w:fill="auto"/>
            <w:noWrap/>
            <w:vAlign w:val="center"/>
            <w:hideMark/>
          </w:tcPr>
          <w:p w14:paraId="2AEA6663" w14:textId="26D45348"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14</w:t>
            </w:r>
            <w:r w:rsidR="00B634EB" w:rsidRPr="000C156A">
              <w:rPr>
                <w:rFonts w:eastAsia="Times New Roman" w:cs="Calibri"/>
                <w:b/>
                <w:bCs/>
                <w:sz w:val="16"/>
                <w:szCs w:val="16"/>
                <w:lang w:eastAsia="en-GB"/>
              </w:rPr>
              <w:t xml:space="preserve"> </w:t>
            </w:r>
            <w:r w:rsidRPr="000C156A">
              <w:rPr>
                <w:rFonts w:eastAsia="Times New Roman" w:cs="Calibri"/>
                <w:b/>
                <w:bCs/>
                <w:sz w:val="16"/>
                <w:szCs w:val="16"/>
                <w:lang w:eastAsia="en-GB"/>
              </w:rPr>
              <w:t>512</w:t>
            </w:r>
          </w:p>
        </w:tc>
      </w:tr>
      <w:tr w:rsidR="009630A9" w:rsidRPr="000C156A" w14:paraId="60F8DC64" w14:textId="77777777" w:rsidTr="00CD0CEA">
        <w:trPr>
          <w:trHeight w:val="303"/>
          <w:jc w:val="center"/>
        </w:trPr>
        <w:tc>
          <w:tcPr>
            <w:tcW w:w="1980" w:type="dxa"/>
            <w:tcBorders>
              <w:top w:val="nil"/>
              <w:left w:val="single" w:sz="4" w:space="0" w:color="auto"/>
              <w:bottom w:val="nil"/>
              <w:right w:val="nil"/>
            </w:tcBorders>
            <w:shd w:val="clear" w:color="auto" w:fill="auto"/>
            <w:vAlign w:val="center"/>
            <w:hideMark/>
          </w:tcPr>
          <w:p w14:paraId="657BC852" w14:textId="77777777" w:rsidR="009630A9" w:rsidRPr="000C156A" w:rsidRDefault="009630A9" w:rsidP="005D02F0">
            <w:pPr>
              <w:overflowPunct/>
              <w:autoSpaceDE/>
              <w:autoSpaceDN/>
              <w:adjustRightInd/>
              <w:spacing w:before="0"/>
              <w:textAlignment w:val="auto"/>
              <w:rPr>
                <w:rFonts w:eastAsia="Times New Roman" w:cs="Calibri"/>
                <w:color w:val="000000"/>
                <w:sz w:val="16"/>
                <w:szCs w:val="16"/>
                <w:lang w:eastAsia="zh-CN"/>
              </w:rPr>
            </w:pPr>
            <w:r w:rsidRPr="000C156A">
              <w:rPr>
                <w:rFonts w:hint="eastAsia"/>
                <w:noProof/>
                <w:sz w:val="16"/>
                <w:szCs w:val="16"/>
                <w:lang w:val="en-US" w:eastAsia="zh-CN"/>
              </w:rPr>
              <w:t>房屋设备租金和维护费</w:t>
            </w:r>
          </w:p>
        </w:tc>
        <w:tc>
          <w:tcPr>
            <w:tcW w:w="992" w:type="dxa"/>
            <w:tcBorders>
              <w:top w:val="nil"/>
              <w:left w:val="single" w:sz="4" w:space="0" w:color="auto"/>
              <w:bottom w:val="nil"/>
              <w:right w:val="single" w:sz="4" w:space="0" w:color="auto"/>
            </w:tcBorders>
            <w:shd w:val="clear" w:color="auto" w:fill="auto"/>
            <w:noWrap/>
            <w:vAlign w:val="center"/>
            <w:hideMark/>
          </w:tcPr>
          <w:p w14:paraId="58C0ED32" w14:textId="1DF2019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2</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750</w:t>
            </w:r>
          </w:p>
        </w:tc>
        <w:tc>
          <w:tcPr>
            <w:tcW w:w="709" w:type="dxa"/>
            <w:tcBorders>
              <w:top w:val="nil"/>
              <w:left w:val="nil"/>
              <w:bottom w:val="nil"/>
              <w:right w:val="single" w:sz="4" w:space="0" w:color="auto"/>
            </w:tcBorders>
            <w:shd w:val="clear" w:color="auto" w:fill="auto"/>
            <w:noWrap/>
            <w:vAlign w:val="center"/>
            <w:hideMark/>
          </w:tcPr>
          <w:p w14:paraId="7C58773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2</w:t>
            </w:r>
          </w:p>
        </w:tc>
        <w:tc>
          <w:tcPr>
            <w:tcW w:w="992" w:type="dxa"/>
            <w:tcBorders>
              <w:top w:val="nil"/>
              <w:left w:val="nil"/>
              <w:bottom w:val="nil"/>
              <w:right w:val="single" w:sz="4" w:space="0" w:color="auto"/>
            </w:tcBorders>
            <w:shd w:val="clear" w:color="auto" w:fill="auto"/>
            <w:noWrap/>
            <w:vAlign w:val="center"/>
            <w:hideMark/>
          </w:tcPr>
          <w:p w14:paraId="68E29A4D"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3</w:t>
            </w:r>
          </w:p>
        </w:tc>
        <w:tc>
          <w:tcPr>
            <w:tcW w:w="992" w:type="dxa"/>
            <w:tcBorders>
              <w:top w:val="nil"/>
              <w:left w:val="nil"/>
              <w:bottom w:val="nil"/>
              <w:right w:val="single" w:sz="4" w:space="0" w:color="auto"/>
            </w:tcBorders>
            <w:shd w:val="clear" w:color="auto" w:fill="auto"/>
            <w:noWrap/>
            <w:vAlign w:val="center"/>
            <w:hideMark/>
          </w:tcPr>
          <w:p w14:paraId="584658A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24</w:t>
            </w:r>
          </w:p>
        </w:tc>
        <w:tc>
          <w:tcPr>
            <w:tcW w:w="1134" w:type="dxa"/>
            <w:tcBorders>
              <w:top w:val="nil"/>
              <w:left w:val="nil"/>
              <w:bottom w:val="nil"/>
              <w:right w:val="nil"/>
            </w:tcBorders>
            <w:shd w:val="clear" w:color="auto" w:fill="auto"/>
            <w:noWrap/>
            <w:vAlign w:val="center"/>
            <w:hideMark/>
          </w:tcPr>
          <w:p w14:paraId="1DC41953"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226</w:t>
            </w:r>
          </w:p>
        </w:tc>
        <w:tc>
          <w:tcPr>
            <w:tcW w:w="993" w:type="dxa"/>
            <w:tcBorders>
              <w:top w:val="nil"/>
              <w:left w:val="single" w:sz="4" w:space="0" w:color="auto"/>
              <w:bottom w:val="nil"/>
              <w:right w:val="single" w:sz="4" w:space="0" w:color="auto"/>
            </w:tcBorders>
            <w:shd w:val="clear" w:color="auto" w:fill="auto"/>
            <w:noWrap/>
            <w:vAlign w:val="center"/>
            <w:hideMark/>
          </w:tcPr>
          <w:p w14:paraId="070C3509" w14:textId="24040616"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3</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004</w:t>
            </w:r>
          </w:p>
        </w:tc>
        <w:tc>
          <w:tcPr>
            <w:tcW w:w="850" w:type="dxa"/>
            <w:tcBorders>
              <w:top w:val="nil"/>
              <w:left w:val="nil"/>
              <w:bottom w:val="nil"/>
              <w:right w:val="single" w:sz="4" w:space="0" w:color="auto"/>
            </w:tcBorders>
            <w:shd w:val="clear" w:color="auto" w:fill="auto"/>
            <w:noWrap/>
            <w:vAlign w:val="center"/>
            <w:hideMark/>
          </w:tcPr>
          <w:p w14:paraId="7A5B505D" w14:textId="77777777" w:rsidR="009630A9" w:rsidRPr="000C156A" w:rsidRDefault="009630A9" w:rsidP="00CD0CEA">
            <w:pPr>
              <w:overflowPunct/>
              <w:autoSpaceDE/>
              <w:autoSpaceDN/>
              <w:adjustRightInd/>
              <w:spacing w:before="0"/>
              <w:jc w:val="right"/>
              <w:textAlignment w:val="auto"/>
              <w:rPr>
                <w:rFonts w:eastAsia="Times New Roman" w:cs="Calibri"/>
                <w:sz w:val="16"/>
                <w:szCs w:val="16"/>
                <w:lang w:eastAsia="en-GB"/>
              </w:rPr>
            </w:pPr>
            <w:r w:rsidRPr="000C156A">
              <w:rPr>
                <w:rFonts w:eastAsia="Times New Roman" w:cs="Calibri"/>
                <w:sz w:val="16"/>
                <w:szCs w:val="16"/>
                <w:lang w:eastAsia="en-GB"/>
              </w:rPr>
              <w:t>-</w:t>
            </w:r>
          </w:p>
        </w:tc>
        <w:tc>
          <w:tcPr>
            <w:tcW w:w="851" w:type="dxa"/>
            <w:tcBorders>
              <w:top w:val="nil"/>
              <w:left w:val="nil"/>
              <w:bottom w:val="nil"/>
              <w:right w:val="single" w:sz="4" w:space="0" w:color="auto"/>
            </w:tcBorders>
            <w:shd w:val="clear" w:color="auto" w:fill="auto"/>
            <w:noWrap/>
            <w:vAlign w:val="center"/>
            <w:hideMark/>
          </w:tcPr>
          <w:p w14:paraId="1C270589"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200C1517"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75" w:type="dxa"/>
            <w:tcBorders>
              <w:top w:val="nil"/>
              <w:left w:val="nil"/>
              <w:bottom w:val="nil"/>
              <w:right w:val="single" w:sz="4" w:space="0" w:color="auto"/>
            </w:tcBorders>
            <w:shd w:val="clear" w:color="auto" w:fill="auto"/>
            <w:noWrap/>
            <w:vAlign w:val="center"/>
            <w:hideMark/>
          </w:tcPr>
          <w:p w14:paraId="0A91CF4D"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670" w:type="dxa"/>
            <w:tcBorders>
              <w:top w:val="nil"/>
              <w:left w:val="nil"/>
              <w:bottom w:val="nil"/>
              <w:right w:val="single" w:sz="4" w:space="0" w:color="auto"/>
            </w:tcBorders>
            <w:shd w:val="clear" w:color="auto" w:fill="auto"/>
            <w:noWrap/>
            <w:vAlign w:val="center"/>
            <w:hideMark/>
          </w:tcPr>
          <w:p w14:paraId="16CA7C71"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709" w:type="dxa"/>
            <w:tcBorders>
              <w:top w:val="nil"/>
              <w:left w:val="nil"/>
              <w:bottom w:val="nil"/>
              <w:right w:val="single" w:sz="4" w:space="0" w:color="auto"/>
            </w:tcBorders>
            <w:shd w:val="clear" w:color="auto" w:fill="auto"/>
            <w:noWrap/>
            <w:vAlign w:val="center"/>
            <w:hideMark/>
          </w:tcPr>
          <w:p w14:paraId="7114A8C1"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612" w:type="dxa"/>
            <w:tcBorders>
              <w:top w:val="nil"/>
              <w:left w:val="nil"/>
              <w:bottom w:val="nil"/>
              <w:right w:val="single" w:sz="4" w:space="0" w:color="auto"/>
            </w:tcBorders>
            <w:shd w:val="clear" w:color="auto" w:fill="auto"/>
            <w:noWrap/>
            <w:vAlign w:val="center"/>
            <w:hideMark/>
          </w:tcPr>
          <w:p w14:paraId="409AECAC"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6" w:type="dxa"/>
            <w:tcBorders>
              <w:top w:val="nil"/>
              <w:left w:val="nil"/>
              <w:bottom w:val="nil"/>
              <w:right w:val="single" w:sz="4" w:space="0" w:color="auto"/>
            </w:tcBorders>
            <w:shd w:val="clear" w:color="auto" w:fill="auto"/>
            <w:noWrap/>
            <w:vAlign w:val="center"/>
            <w:hideMark/>
          </w:tcPr>
          <w:p w14:paraId="1276665E"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1040" w:type="dxa"/>
            <w:tcBorders>
              <w:top w:val="nil"/>
              <w:left w:val="nil"/>
              <w:bottom w:val="nil"/>
              <w:right w:val="single" w:sz="4" w:space="0" w:color="auto"/>
            </w:tcBorders>
            <w:shd w:val="clear" w:color="auto" w:fill="auto"/>
            <w:noWrap/>
            <w:vAlign w:val="center"/>
            <w:hideMark/>
          </w:tcPr>
          <w:p w14:paraId="6341DC7E"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2" w:type="dxa"/>
            <w:tcBorders>
              <w:top w:val="nil"/>
              <w:left w:val="nil"/>
              <w:bottom w:val="nil"/>
              <w:right w:val="single" w:sz="4" w:space="0" w:color="auto"/>
            </w:tcBorders>
            <w:shd w:val="clear" w:color="auto" w:fill="auto"/>
            <w:noWrap/>
            <w:vAlign w:val="center"/>
            <w:hideMark/>
          </w:tcPr>
          <w:p w14:paraId="70B4BE63" w14:textId="0A451BEC"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3</w:t>
            </w:r>
            <w:r w:rsidR="00B634EB" w:rsidRPr="000C156A">
              <w:rPr>
                <w:rFonts w:eastAsia="Times New Roman" w:cs="Calibri"/>
                <w:b/>
                <w:bCs/>
                <w:sz w:val="16"/>
                <w:szCs w:val="16"/>
                <w:lang w:eastAsia="en-GB"/>
              </w:rPr>
              <w:t xml:space="preserve"> </w:t>
            </w:r>
            <w:r w:rsidRPr="000C156A">
              <w:rPr>
                <w:rFonts w:eastAsia="Times New Roman" w:cs="Calibri"/>
                <w:b/>
                <w:bCs/>
                <w:sz w:val="16"/>
                <w:szCs w:val="16"/>
                <w:lang w:eastAsia="en-GB"/>
              </w:rPr>
              <w:t>004</w:t>
            </w:r>
          </w:p>
        </w:tc>
      </w:tr>
      <w:tr w:rsidR="009630A9" w:rsidRPr="000C156A" w14:paraId="717AF581" w14:textId="77777777" w:rsidTr="00CD0CEA">
        <w:trPr>
          <w:trHeight w:val="255"/>
          <w:jc w:val="center"/>
        </w:trPr>
        <w:tc>
          <w:tcPr>
            <w:tcW w:w="1980" w:type="dxa"/>
            <w:tcBorders>
              <w:top w:val="nil"/>
              <w:left w:val="single" w:sz="4" w:space="0" w:color="auto"/>
              <w:bottom w:val="nil"/>
              <w:right w:val="nil"/>
            </w:tcBorders>
            <w:shd w:val="clear" w:color="auto" w:fill="auto"/>
            <w:vAlign w:val="center"/>
            <w:hideMark/>
          </w:tcPr>
          <w:p w14:paraId="462BCF0E" w14:textId="77777777" w:rsidR="009630A9" w:rsidRPr="000C156A" w:rsidRDefault="009630A9" w:rsidP="005D02F0">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rPr>
              <w:t>设备和办公用品</w:t>
            </w:r>
          </w:p>
        </w:tc>
        <w:tc>
          <w:tcPr>
            <w:tcW w:w="992" w:type="dxa"/>
            <w:tcBorders>
              <w:top w:val="nil"/>
              <w:left w:val="single" w:sz="4" w:space="0" w:color="auto"/>
              <w:bottom w:val="nil"/>
              <w:right w:val="single" w:sz="4" w:space="0" w:color="auto"/>
            </w:tcBorders>
            <w:shd w:val="clear" w:color="auto" w:fill="auto"/>
            <w:noWrap/>
            <w:vAlign w:val="center"/>
            <w:hideMark/>
          </w:tcPr>
          <w:p w14:paraId="19B3270D" w14:textId="5A86EF2A"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192</w:t>
            </w:r>
          </w:p>
        </w:tc>
        <w:tc>
          <w:tcPr>
            <w:tcW w:w="709" w:type="dxa"/>
            <w:tcBorders>
              <w:top w:val="nil"/>
              <w:left w:val="nil"/>
              <w:bottom w:val="nil"/>
              <w:right w:val="single" w:sz="4" w:space="0" w:color="auto"/>
            </w:tcBorders>
            <w:shd w:val="clear" w:color="auto" w:fill="auto"/>
            <w:noWrap/>
            <w:vAlign w:val="center"/>
            <w:hideMark/>
          </w:tcPr>
          <w:p w14:paraId="08EDE4D5"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354</w:t>
            </w:r>
          </w:p>
        </w:tc>
        <w:tc>
          <w:tcPr>
            <w:tcW w:w="992" w:type="dxa"/>
            <w:tcBorders>
              <w:top w:val="nil"/>
              <w:left w:val="nil"/>
              <w:bottom w:val="nil"/>
              <w:right w:val="single" w:sz="4" w:space="0" w:color="auto"/>
            </w:tcBorders>
            <w:shd w:val="clear" w:color="auto" w:fill="auto"/>
            <w:noWrap/>
            <w:vAlign w:val="center"/>
            <w:hideMark/>
          </w:tcPr>
          <w:p w14:paraId="29708151"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121</w:t>
            </w:r>
          </w:p>
        </w:tc>
        <w:tc>
          <w:tcPr>
            <w:tcW w:w="992" w:type="dxa"/>
            <w:tcBorders>
              <w:top w:val="nil"/>
              <w:left w:val="nil"/>
              <w:bottom w:val="nil"/>
              <w:right w:val="single" w:sz="4" w:space="0" w:color="auto"/>
            </w:tcBorders>
            <w:shd w:val="clear" w:color="auto" w:fill="auto"/>
            <w:noWrap/>
            <w:vAlign w:val="center"/>
            <w:hideMark/>
          </w:tcPr>
          <w:p w14:paraId="5C1DD445"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207</w:t>
            </w:r>
          </w:p>
        </w:tc>
        <w:tc>
          <w:tcPr>
            <w:tcW w:w="1134" w:type="dxa"/>
            <w:tcBorders>
              <w:top w:val="nil"/>
              <w:left w:val="nil"/>
              <w:bottom w:val="nil"/>
              <w:right w:val="nil"/>
            </w:tcBorders>
            <w:shd w:val="clear" w:color="auto" w:fill="auto"/>
            <w:noWrap/>
            <w:vAlign w:val="center"/>
            <w:hideMark/>
          </w:tcPr>
          <w:p w14:paraId="7F653EB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696</w:t>
            </w:r>
          </w:p>
        </w:tc>
        <w:tc>
          <w:tcPr>
            <w:tcW w:w="993" w:type="dxa"/>
            <w:tcBorders>
              <w:top w:val="nil"/>
              <w:left w:val="single" w:sz="4" w:space="0" w:color="auto"/>
              <w:bottom w:val="nil"/>
              <w:right w:val="single" w:sz="4" w:space="0" w:color="auto"/>
            </w:tcBorders>
            <w:shd w:val="clear" w:color="auto" w:fill="auto"/>
            <w:noWrap/>
            <w:vAlign w:val="center"/>
            <w:hideMark/>
          </w:tcPr>
          <w:p w14:paraId="6A240902" w14:textId="4D91159D"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2</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569</w:t>
            </w:r>
          </w:p>
        </w:tc>
        <w:tc>
          <w:tcPr>
            <w:tcW w:w="850" w:type="dxa"/>
            <w:tcBorders>
              <w:top w:val="nil"/>
              <w:left w:val="nil"/>
              <w:bottom w:val="nil"/>
              <w:right w:val="single" w:sz="4" w:space="0" w:color="auto"/>
            </w:tcBorders>
            <w:shd w:val="clear" w:color="auto" w:fill="auto"/>
            <w:noWrap/>
            <w:vAlign w:val="center"/>
            <w:hideMark/>
          </w:tcPr>
          <w:p w14:paraId="037A8EC9"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51" w:type="dxa"/>
            <w:tcBorders>
              <w:top w:val="nil"/>
              <w:left w:val="nil"/>
              <w:bottom w:val="nil"/>
              <w:right w:val="single" w:sz="4" w:space="0" w:color="auto"/>
            </w:tcBorders>
            <w:shd w:val="clear" w:color="auto" w:fill="auto"/>
            <w:noWrap/>
            <w:vAlign w:val="center"/>
            <w:hideMark/>
          </w:tcPr>
          <w:p w14:paraId="0FC46E91"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w:t>
            </w:r>
          </w:p>
        </w:tc>
        <w:tc>
          <w:tcPr>
            <w:tcW w:w="864" w:type="dxa"/>
            <w:tcBorders>
              <w:top w:val="nil"/>
              <w:left w:val="nil"/>
              <w:bottom w:val="nil"/>
              <w:right w:val="single" w:sz="4" w:space="0" w:color="auto"/>
            </w:tcBorders>
            <w:shd w:val="clear" w:color="auto" w:fill="auto"/>
            <w:noWrap/>
            <w:vAlign w:val="center"/>
            <w:hideMark/>
          </w:tcPr>
          <w:p w14:paraId="7DD27754"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75" w:type="dxa"/>
            <w:tcBorders>
              <w:top w:val="nil"/>
              <w:left w:val="nil"/>
              <w:bottom w:val="nil"/>
              <w:right w:val="single" w:sz="4" w:space="0" w:color="auto"/>
            </w:tcBorders>
            <w:shd w:val="clear" w:color="auto" w:fill="auto"/>
            <w:noWrap/>
            <w:vAlign w:val="center"/>
            <w:hideMark/>
          </w:tcPr>
          <w:p w14:paraId="0E38DCBC"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15</w:t>
            </w:r>
          </w:p>
        </w:tc>
        <w:tc>
          <w:tcPr>
            <w:tcW w:w="670" w:type="dxa"/>
            <w:tcBorders>
              <w:top w:val="nil"/>
              <w:left w:val="nil"/>
              <w:bottom w:val="nil"/>
              <w:right w:val="single" w:sz="4" w:space="0" w:color="auto"/>
            </w:tcBorders>
            <w:shd w:val="clear" w:color="auto" w:fill="auto"/>
            <w:noWrap/>
            <w:vAlign w:val="center"/>
            <w:hideMark/>
          </w:tcPr>
          <w:p w14:paraId="3678DEA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309</w:t>
            </w:r>
          </w:p>
        </w:tc>
        <w:tc>
          <w:tcPr>
            <w:tcW w:w="709" w:type="dxa"/>
            <w:tcBorders>
              <w:top w:val="nil"/>
              <w:left w:val="nil"/>
              <w:bottom w:val="nil"/>
              <w:right w:val="single" w:sz="4" w:space="0" w:color="auto"/>
            </w:tcBorders>
            <w:shd w:val="clear" w:color="auto" w:fill="auto"/>
            <w:noWrap/>
            <w:vAlign w:val="center"/>
            <w:hideMark/>
          </w:tcPr>
          <w:p w14:paraId="56029C03"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612" w:type="dxa"/>
            <w:tcBorders>
              <w:top w:val="nil"/>
              <w:left w:val="nil"/>
              <w:bottom w:val="nil"/>
              <w:right w:val="single" w:sz="4" w:space="0" w:color="auto"/>
            </w:tcBorders>
            <w:shd w:val="clear" w:color="auto" w:fill="auto"/>
            <w:noWrap/>
            <w:vAlign w:val="center"/>
            <w:hideMark/>
          </w:tcPr>
          <w:p w14:paraId="3D27F5C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6" w:type="dxa"/>
            <w:tcBorders>
              <w:top w:val="nil"/>
              <w:left w:val="nil"/>
              <w:bottom w:val="nil"/>
              <w:right w:val="single" w:sz="4" w:space="0" w:color="auto"/>
            </w:tcBorders>
            <w:shd w:val="clear" w:color="auto" w:fill="auto"/>
            <w:noWrap/>
            <w:vAlign w:val="center"/>
            <w:hideMark/>
          </w:tcPr>
          <w:p w14:paraId="410CD991"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2</w:t>
            </w:r>
          </w:p>
        </w:tc>
        <w:tc>
          <w:tcPr>
            <w:tcW w:w="1040" w:type="dxa"/>
            <w:tcBorders>
              <w:top w:val="nil"/>
              <w:left w:val="nil"/>
              <w:bottom w:val="nil"/>
              <w:right w:val="single" w:sz="4" w:space="0" w:color="auto"/>
            </w:tcBorders>
            <w:shd w:val="clear" w:color="auto" w:fill="auto"/>
            <w:noWrap/>
            <w:vAlign w:val="center"/>
            <w:hideMark/>
          </w:tcPr>
          <w:p w14:paraId="25035656"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2" w:type="dxa"/>
            <w:tcBorders>
              <w:top w:val="nil"/>
              <w:left w:val="nil"/>
              <w:bottom w:val="nil"/>
              <w:right w:val="single" w:sz="4" w:space="0" w:color="auto"/>
            </w:tcBorders>
            <w:shd w:val="clear" w:color="auto" w:fill="auto"/>
            <w:noWrap/>
            <w:vAlign w:val="center"/>
            <w:hideMark/>
          </w:tcPr>
          <w:p w14:paraId="0C13DFBC" w14:textId="0C93FA1A"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2</w:t>
            </w:r>
            <w:r w:rsidR="00B634EB" w:rsidRPr="000C156A">
              <w:rPr>
                <w:rFonts w:eastAsia="Times New Roman" w:cs="Calibri"/>
                <w:b/>
                <w:bCs/>
                <w:sz w:val="16"/>
                <w:szCs w:val="16"/>
                <w:lang w:eastAsia="en-GB"/>
              </w:rPr>
              <w:t xml:space="preserve"> </w:t>
            </w:r>
            <w:r w:rsidRPr="000C156A">
              <w:rPr>
                <w:rFonts w:eastAsia="Times New Roman" w:cs="Calibri"/>
                <w:b/>
                <w:bCs/>
                <w:sz w:val="16"/>
                <w:szCs w:val="16"/>
                <w:lang w:eastAsia="en-GB"/>
              </w:rPr>
              <w:t>896</w:t>
            </w:r>
          </w:p>
        </w:tc>
      </w:tr>
      <w:tr w:rsidR="009630A9" w:rsidRPr="000C156A" w14:paraId="63D61017" w14:textId="77777777" w:rsidTr="00CD0CEA">
        <w:trPr>
          <w:trHeight w:val="255"/>
          <w:jc w:val="center"/>
        </w:trPr>
        <w:tc>
          <w:tcPr>
            <w:tcW w:w="1980" w:type="dxa"/>
            <w:tcBorders>
              <w:top w:val="nil"/>
              <w:left w:val="single" w:sz="4" w:space="0" w:color="auto"/>
              <w:bottom w:val="nil"/>
              <w:right w:val="nil"/>
            </w:tcBorders>
            <w:shd w:val="clear" w:color="auto" w:fill="auto"/>
            <w:vAlign w:val="center"/>
            <w:hideMark/>
          </w:tcPr>
          <w:p w14:paraId="15293746" w14:textId="77777777" w:rsidR="009630A9" w:rsidRPr="000C156A" w:rsidRDefault="009630A9" w:rsidP="005D02F0">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rPr>
              <w:t>折旧</w:t>
            </w:r>
          </w:p>
        </w:tc>
        <w:tc>
          <w:tcPr>
            <w:tcW w:w="992" w:type="dxa"/>
            <w:tcBorders>
              <w:top w:val="nil"/>
              <w:left w:val="single" w:sz="4" w:space="0" w:color="auto"/>
              <w:bottom w:val="nil"/>
              <w:right w:val="single" w:sz="4" w:space="0" w:color="auto"/>
            </w:tcBorders>
            <w:shd w:val="clear" w:color="auto" w:fill="auto"/>
            <w:noWrap/>
            <w:vAlign w:val="center"/>
            <w:hideMark/>
          </w:tcPr>
          <w:p w14:paraId="693A3100"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709" w:type="dxa"/>
            <w:tcBorders>
              <w:top w:val="nil"/>
              <w:left w:val="nil"/>
              <w:bottom w:val="nil"/>
              <w:right w:val="single" w:sz="4" w:space="0" w:color="auto"/>
            </w:tcBorders>
            <w:shd w:val="clear" w:color="auto" w:fill="auto"/>
            <w:noWrap/>
            <w:vAlign w:val="center"/>
            <w:hideMark/>
          </w:tcPr>
          <w:p w14:paraId="7876AC2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992" w:type="dxa"/>
            <w:tcBorders>
              <w:top w:val="nil"/>
              <w:left w:val="nil"/>
              <w:bottom w:val="nil"/>
              <w:right w:val="single" w:sz="4" w:space="0" w:color="auto"/>
            </w:tcBorders>
            <w:shd w:val="clear" w:color="auto" w:fill="auto"/>
            <w:noWrap/>
            <w:vAlign w:val="center"/>
            <w:hideMark/>
          </w:tcPr>
          <w:p w14:paraId="7BB76E9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992" w:type="dxa"/>
            <w:tcBorders>
              <w:top w:val="nil"/>
              <w:left w:val="nil"/>
              <w:bottom w:val="nil"/>
              <w:right w:val="single" w:sz="4" w:space="0" w:color="auto"/>
            </w:tcBorders>
            <w:shd w:val="clear" w:color="auto" w:fill="auto"/>
            <w:noWrap/>
            <w:vAlign w:val="center"/>
            <w:hideMark/>
          </w:tcPr>
          <w:p w14:paraId="471AA4FF"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1134" w:type="dxa"/>
            <w:tcBorders>
              <w:top w:val="nil"/>
              <w:left w:val="nil"/>
              <w:bottom w:val="nil"/>
              <w:right w:val="nil"/>
            </w:tcBorders>
            <w:shd w:val="clear" w:color="auto" w:fill="auto"/>
            <w:noWrap/>
            <w:vAlign w:val="center"/>
            <w:hideMark/>
          </w:tcPr>
          <w:p w14:paraId="64389424" w14:textId="0CCDAE4E"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16</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437</w:t>
            </w:r>
          </w:p>
        </w:tc>
        <w:tc>
          <w:tcPr>
            <w:tcW w:w="993" w:type="dxa"/>
            <w:tcBorders>
              <w:top w:val="nil"/>
              <w:left w:val="single" w:sz="4" w:space="0" w:color="auto"/>
              <w:bottom w:val="nil"/>
              <w:right w:val="single" w:sz="4" w:space="0" w:color="auto"/>
            </w:tcBorders>
            <w:shd w:val="clear" w:color="auto" w:fill="auto"/>
            <w:noWrap/>
            <w:vAlign w:val="center"/>
            <w:hideMark/>
          </w:tcPr>
          <w:p w14:paraId="69980A2F" w14:textId="4D093713"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16</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437</w:t>
            </w:r>
          </w:p>
        </w:tc>
        <w:tc>
          <w:tcPr>
            <w:tcW w:w="850" w:type="dxa"/>
            <w:tcBorders>
              <w:top w:val="nil"/>
              <w:left w:val="nil"/>
              <w:bottom w:val="nil"/>
              <w:right w:val="single" w:sz="4" w:space="0" w:color="auto"/>
            </w:tcBorders>
            <w:shd w:val="clear" w:color="auto" w:fill="auto"/>
            <w:noWrap/>
            <w:vAlign w:val="center"/>
            <w:hideMark/>
          </w:tcPr>
          <w:p w14:paraId="08CB9681"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51" w:type="dxa"/>
            <w:tcBorders>
              <w:top w:val="nil"/>
              <w:left w:val="nil"/>
              <w:bottom w:val="nil"/>
              <w:right w:val="single" w:sz="4" w:space="0" w:color="auto"/>
            </w:tcBorders>
            <w:shd w:val="clear" w:color="auto" w:fill="auto"/>
            <w:noWrap/>
            <w:vAlign w:val="center"/>
            <w:hideMark/>
          </w:tcPr>
          <w:p w14:paraId="055975C9"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540845DC"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75" w:type="dxa"/>
            <w:tcBorders>
              <w:top w:val="nil"/>
              <w:left w:val="nil"/>
              <w:bottom w:val="nil"/>
              <w:right w:val="single" w:sz="4" w:space="0" w:color="auto"/>
            </w:tcBorders>
            <w:shd w:val="clear" w:color="auto" w:fill="auto"/>
            <w:noWrap/>
            <w:vAlign w:val="center"/>
            <w:hideMark/>
          </w:tcPr>
          <w:p w14:paraId="5C6CD85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161</w:t>
            </w:r>
          </w:p>
        </w:tc>
        <w:tc>
          <w:tcPr>
            <w:tcW w:w="670" w:type="dxa"/>
            <w:tcBorders>
              <w:top w:val="nil"/>
              <w:left w:val="nil"/>
              <w:bottom w:val="nil"/>
              <w:right w:val="single" w:sz="4" w:space="0" w:color="auto"/>
            </w:tcBorders>
            <w:shd w:val="clear" w:color="auto" w:fill="auto"/>
            <w:noWrap/>
            <w:vAlign w:val="center"/>
            <w:hideMark/>
          </w:tcPr>
          <w:p w14:paraId="56B4967D"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709" w:type="dxa"/>
            <w:tcBorders>
              <w:top w:val="nil"/>
              <w:left w:val="nil"/>
              <w:bottom w:val="nil"/>
              <w:right w:val="single" w:sz="4" w:space="0" w:color="auto"/>
            </w:tcBorders>
            <w:shd w:val="clear" w:color="auto" w:fill="auto"/>
            <w:noWrap/>
            <w:vAlign w:val="center"/>
            <w:hideMark/>
          </w:tcPr>
          <w:p w14:paraId="68FE102D"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612" w:type="dxa"/>
            <w:tcBorders>
              <w:top w:val="nil"/>
              <w:left w:val="nil"/>
              <w:bottom w:val="nil"/>
              <w:right w:val="single" w:sz="4" w:space="0" w:color="auto"/>
            </w:tcBorders>
            <w:shd w:val="clear" w:color="auto" w:fill="auto"/>
            <w:noWrap/>
            <w:vAlign w:val="center"/>
            <w:hideMark/>
          </w:tcPr>
          <w:p w14:paraId="75BF7539"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6" w:type="dxa"/>
            <w:tcBorders>
              <w:top w:val="nil"/>
              <w:left w:val="nil"/>
              <w:bottom w:val="nil"/>
              <w:right w:val="single" w:sz="4" w:space="0" w:color="auto"/>
            </w:tcBorders>
            <w:shd w:val="clear" w:color="auto" w:fill="auto"/>
            <w:noWrap/>
            <w:vAlign w:val="center"/>
            <w:hideMark/>
          </w:tcPr>
          <w:p w14:paraId="4D00F49B"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1040" w:type="dxa"/>
            <w:tcBorders>
              <w:top w:val="nil"/>
              <w:left w:val="nil"/>
              <w:bottom w:val="nil"/>
              <w:right w:val="single" w:sz="4" w:space="0" w:color="auto"/>
            </w:tcBorders>
            <w:shd w:val="clear" w:color="auto" w:fill="auto"/>
            <w:noWrap/>
            <w:vAlign w:val="center"/>
            <w:hideMark/>
          </w:tcPr>
          <w:p w14:paraId="38B4C38A"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2" w:type="dxa"/>
            <w:tcBorders>
              <w:top w:val="nil"/>
              <w:left w:val="nil"/>
              <w:bottom w:val="nil"/>
              <w:right w:val="single" w:sz="4" w:space="0" w:color="auto"/>
            </w:tcBorders>
            <w:shd w:val="clear" w:color="auto" w:fill="auto"/>
            <w:noWrap/>
            <w:vAlign w:val="center"/>
            <w:hideMark/>
          </w:tcPr>
          <w:p w14:paraId="09BE47D3" w14:textId="1998873F"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16</w:t>
            </w:r>
            <w:r w:rsidR="00B634EB" w:rsidRPr="000C156A">
              <w:rPr>
                <w:rFonts w:eastAsia="Times New Roman" w:cs="Calibri"/>
                <w:b/>
                <w:bCs/>
                <w:sz w:val="16"/>
                <w:szCs w:val="16"/>
                <w:lang w:eastAsia="en-GB"/>
              </w:rPr>
              <w:t xml:space="preserve"> </w:t>
            </w:r>
            <w:r w:rsidRPr="000C156A">
              <w:rPr>
                <w:rFonts w:eastAsia="Times New Roman" w:cs="Calibri"/>
                <w:b/>
                <w:bCs/>
                <w:sz w:val="16"/>
                <w:szCs w:val="16"/>
                <w:lang w:eastAsia="en-GB"/>
              </w:rPr>
              <w:t>598</w:t>
            </w:r>
          </w:p>
        </w:tc>
      </w:tr>
      <w:tr w:rsidR="009630A9" w:rsidRPr="000C156A" w14:paraId="0B5BE30E" w14:textId="77777777" w:rsidTr="00CD0CEA">
        <w:trPr>
          <w:trHeight w:val="202"/>
          <w:jc w:val="center"/>
        </w:trPr>
        <w:tc>
          <w:tcPr>
            <w:tcW w:w="1980" w:type="dxa"/>
            <w:tcBorders>
              <w:top w:val="nil"/>
              <w:left w:val="single" w:sz="4" w:space="0" w:color="auto"/>
              <w:bottom w:val="nil"/>
              <w:right w:val="nil"/>
            </w:tcBorders>
            <w:shd w:val="clear" w:color="auto" w:fill="auto"/>
            <w:vAlign w:val="center"/>
            <w:hideMark/>
          </w:tcPr>
          <w:p w14:paraId="2634232A" w14:textId="77777777" w:rsidR="009630A9" w:rsidRPr="000C156A" w:rsidRDefault="009630A9" w:rsidP="005D02F0">
            <w:pPr>
              <w:overflowPunct/>
              <w:autoSpaceDE/>
              <w:autoSpaceDN/>
              <w:adjustRightInd/>
              <w:spacing w:before="40"/>
              <w:textAlignment w:val="auto"/>
              <w:rPr>
                <w:rFonts w:eastAsia="Times New Roman" w:cs="Calibri"/>
                <w:color w:val="000000"/>
                <w:sz w:val="16"/>
                <w:szCs w:val="16"/>
                <w:lang w:eastAsia="zh-CN"/>
              </w:rPr>
            </w:pPr>
            <w:r w:rsidRPr="000C156A">
              <w:rPr>
                <w:rFonts w:hint="eastAsia"/>
                <w:noProof/>
                <w:sz w:val="16"/>
                <w:szCs w:val="16"/>
                <w:lang w:val="en-US" w:eastAsia="zh-CN"/>
              </w:rPr>
              <w:t>运输、电信和服务费用</w:t>
            </w:r>
          </w:p>
        </w:tc>
        <w:tc>
          <w:tcPr>
            <w:tcW w:w="992" w:type="dxa"/>
            <w:tcBorders>
              <w:top w:val="nil"/>
              <w:left w:val="single" w:sz="4" w:space="0" w:color="auto"/>
              <w:bottom w:val="nil"/>
              <w:right w:val="single" w:sz="4" w:space="0" w:color="auto"/>
            </w:tcBorders>
            <w:shd w:val="clear" w:color="auto" w:fill="auto"/>
            <w:noWrap/>
            <w:vAlign w:val="center"/>
            <w:hideMark/>
          </w:tcPr>
          <w:p w14:paraId="3935CFCF"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899</w:t>
            </w:r>
          </w:p>
        </w:tc>
        <w:tc>
          <w:tcPr>
            <w:tcW w:w="709" w:type="dxa"/>
            <w:tcBorders>
              <w:top w:val="nil"/>
              <w:left w:val="nil"/>
              <w:bottom w:val="nil"/>
              <w:right w:val="single" w:sz="4" w:space="0" w:color="auto"/>
            </w:tcBorders>
            <w:shd w:val="clear" w:color="auto" w:fill="auto"/>
            <w:noWrap/>
            <w:vAlign w:val="center"/>
            <w:hideMark/>
          </w:tcPr>
          <w:p w14:paraId="607211F6"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-0</w:t>
            </w:r>
          </w:p>
        </w:tc>
        <w:tc>
          <w:tcPr>
            <w:tcW w:w="992" w:type="dxa"/>
            <w:tcBorders>
              <w:top w:val="nil"/>
              <w:left w:val="nil"/>
              <w:bottom w:val="nil"/>
              <w:right w:val="single" w:sz="4" w:space="0" w:color="auto"/>
            </w:tcBorders>
            <w:shd w:val="clear" w:color="auto" w:fill="auto"/>
            <w:noWrap/>
            <w:vAlign w:val="center"/>
            <w:hideMark/>
          </w:tcPr>
          <w:p w14:paraId="1327FB70"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w:t>
            </w:r>
          </w:p>
        </w:tc>
        <w:tc>
          <w:tcPr>
            <w:tcW w:w="992" w:type="dxa"/>
            <w:tcBorders>
              <w:top w:val="nil"/>
              <w:left w:val="nil"/>
              <w:bottom w:val="nil"/>
              <w:right w:val="single" w:sz="4" w:space="0" w:color="auto"/>
            </w:tcBorders>
            <w:shd w:val="clear" w:color="auto" w:fill="auto"/>
            <w:noWrap/>
            <w:vAlign w:val="center"/>
            <w:hideMark/>
          </w:tcPr>
          <w:p w14:paraId="7FE5AED5"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44</w:t>
            </w:r>
          </w:p>
        </w:tc>
        <w:tc>
          <w:tcPr>
            <w:tcW w:w="1134" w:type="dxa"/>
            <w:tcBorders>
              <w:top w:val="nil"/>
              <w:left w:val="nil"/>
              <w:bottom w:val="nil"/>
              <w:right w:val="nil"/>
            </w:tcBorders>
            <w:shd w:val="clear" w:color="auto" w:fill="auto"/>
            <w:noWrap/>
            <w:vAlign w:val="center"/>
            <w:hideMark/>
          </w:tcPr>
          <w:p w14:paraId="2971159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655</w:t>
            </w:r>
          </w:p>
        </w:tc>
        <w:tc>
          <w:tcPr>
            <w:tcW w:w="993" w:type="dxa"/>
            <w:tcBorders>
              <w:top w:val="nil"/>
              <w:left w:val="single" w:sz="4" w:space="0" w:color="auto"/>
              <w:bottom w:val="nil"/>
              <w:right w:val="single" w:sz="4" w:space="0" w:color="auto"/>
            </w:tcBorders>
            <w:shd w:val="clear" w:color="auto" w:fill="auto"/>
            <w:noWrap/>
            <w:vAlign w:val="center"/>
            <w:hideMark/>
          </w:tcPr>
          <w:p w14:paraId="72563791" w14:textId="2AFBBCAA"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1</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597</w:t>
            </w:r>
          </w:p>
        </w:tc>
        <w:tc>
          <w:tcPr>
            <w:tcW w:w="850" w:type="dxa"/>
            <w:tcBorders>
              <w:top w:val="nil"/>
              <w:left w:val="nil"/>
              <w:bottom w:val="nil"/>
              <w:right w:val="single" w:sz="4" w:space="0" w:color="auto"/>
            </w:tcBorders>
            <w:shd w:val="clear" w:color="auto" w:fill="auto"/>
            <w:noWrap/>
            <w:vAlign w:val="center"/>
            <w:hideMark/>
          </w:tcPr>
          <w:p w14:paraId="709E9D39"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51" w:type="dxa"/>
            <w:tcBorders>
              <w:top w:val="nil"/>
              <w:left w:val="nil"/>
              <w:bottom w:val="nil"/>
              <w:right w:val="single" w:sz="4" w:space="0" w:color="auto"/>
            </w:tcBorders>
            <w:shd w:val="clear" w:color="auto" w:fill="auto"/>
            <w:noWrap/>
            <w:vAlign w:val="center"/>
            <w:hideMark/>
          </w:tcPr>
          <w:p w14:paraId="1002951D"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4E1F2152"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75" w:type="dxa"/>
            <w:tcBorders>
              <w:top w:val="nil"/>
              <w:left w:val="nil"/>
              <w:bottom w:val="nil"/>
              <w:right w:val="single" w:sz="4" w:space="0" w:color="auto"/>
            </w:tcBorders>
            <w:shd w:val="clear" w:color="auto" w:fill="auto"/>
            <w:noWrap/>
            <w:vAlign w:val="center"/>
            <w:hideMark/>
          </w:tcPr>
          <w:p w14:paraId="1B4E31F0"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0</w:t>
            </w:r>
          </w:p>
        </w:tc>
        <w:tc>
          <w:tcPr>
            <w:tcW w:w="670" w:type="dxa"/>
            <w:tcBorders>
              <w:top w:val="nil"/>
              <w:left w:val="nil"/>
              <w:bottom w:val="nil"/>
              <w:right w:val="single" w:sz="4" w:space="0" w:color="auto"/>
            </w:tcBorders>
            <w:shd w:val="clear" w:color="auto" w:fill="auto"/>
            <w:noWrap/>
            <w:vAlign w:val="center"/>
            <w:hideMark/>
          </w:tcPr>
          <w:p w14:paraId="21DE944A"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w:t>
            </w:r>
          </w:p>
        </w:tc>
        <w:tc>
          <w:tcPr>
            <w:tcW w:w="709" w:type="dxa"/>
            <w:tcBorders>
              <w:top w:val="nil"/>
              <w:left w:val="nil"/>
              <w:bottom w:val="nil"/>
              <w:right w:val="single" w:sz="4" w:space="0" w:color="auto"/>
            </w:tcBorders>
            <w:shd w:val="clear" w:color="auto" w:fill="auto"/>
            <w:noWrap/>
            <w:vAlign w:val="center"/>
            <w:hideMark/>
          </w:tcPr>
          <w:p w14:paraId="72EB9506"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612" w:type="dxa"/>
            <w:tcBorders>
              <w:top w:val="nil"/>
              <w:left w:val="nil"/>
              <w:bottom w:val="nil"/>
              <w:right w:val="single" w:sz="4" w:space="0" w:color="auto"/>
            </w:tcBorders>
            <w:shd w:val="clear" w:color="auto" w:fill="auto"/>
            <w:noWrap/>
            <w:vAlign w:val="center"/>
            <w:hideMark/>
          </w:tcPr>
          <w:p w14:paraId="52C10595"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6" w:type="dxa"/>
            <w:tcBorders>
              <w:top w:val="nil"/>
              <w:left w:val="nil"/>
              <w:bottom w:val="nil"/>
              <w:right w:val="single" w:sz="4" w:space="0" w:color="auto"/>
            </w:tcBorders>
            <w:shd w:val="clear" w:color="auto" w:fill="auto"/>
            <w:noWrap/>
            <w:vAlign w:val="center"/>
            <w:hideMark/>
          </w:tcPr>
          <w:p w14:paraId="52000F74"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1040" w:type="dxa"/>
            <w:tcBorders>
              <w:top w:val="nil"/>
              <w:left w:val="nil"/>
              <w:bottom w:val="nil"/>
              <w:right w:val="single" w:sz="4" w:space="0" w:color="auto"/>
            </w:tcBorders>
            <w:shd w:val="clear" w:color="auto" w:fill="auto"/>
            <w:noWrap/>
            <w:vAlign w:val="center"/>
            <w:hideMark/>
          </w:tcPr>
          <w:p w14:paraId="675DA550"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2" w:type="dxa"/>
            <w:tcBorders>
              <w:top w:val="nil"/>
              <w:left w:val="nil"/>
              <w:bottom w:val="nil"/>
              <w:right w:val="single" w:sz="4" w:space="0" w:color="auto"/>
            </w:tcBorders>
            <w:shd w:val="clear" w:color="auto" w:fill="auto"/>
            <w:noWrap/>
            <w:vAlign w:val="center"/>
            <w:hideMark/>
          </w:tcPr>
          <w:p w14:paraId="0E9BD58B" w14:textId="015C75BB"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1</w:t>
            </w:r>
            <w:r w:rsidR="00B634EB" w:rsidRPr="000C156A">
              <w:rPr>
                <w:rFonts w:eastAsia="Times New Roman" w:cs="Calibri"/>
                <w:b/>
                <w:bCs/>
                <w:sz w:val="16"/>
                <w:szCs w:val="16"/>
                <w:lang w:eastAsia="en-GB"/>
              </w:rPr>
              <w:t xml:space="preserve"> </w:t>
            </w:r>
            <w:r w:rsidRPr="000C156A">
              <w:rPr>
                <w:rFonts w:eastAsia="Times New Roman" w:cs="Calibri"/>
                <w:b/>
                <w:bCs/>
                <w:sz w:val="16"/>
                <w:szCs w:val="16"/>
                <w:lang w:eastAsia="en-GB"/>
              </w:rPr>
              <w:t>599</w:t>
            </w:r>
          </w:p>
        </w:tc>
      </w:tr>
      <w:tr w:rsidR="009630A9" w:rsidRPr="000C156A" w14:paraId="41984C05" w14:textId="77777777" w:rsidTr="00CD0CEA">
        <w:trPr>
          <w:trHeight w:val="233"/>
          <w:jc w:val="center"/>
        </w:trPr>
        <w:tc>
          <w:tcPr>
            <w:tcW w:w="1980" w:type="dxa"/>
            <w:tcBorders>
              <w:top w:val="nil"/>
              <w:left w:val="single" w:sz="4" w:space="0" w:color="auto"/>
              <w:bottom w:val="nil"/>
              <w:right w:val="nil"/>
            </w:tcBorders>
            <w:shd w:val="clear" w:color="auto" w:fill="auto"/>
            <w:vAlign w:val="center"/>
            <w:hideMark/>
          </w:tcPr>
          <w:p w14:paraId="5F225458" w14:textId="77777777" w:rsidR="009630A9" w:rsidRPr="000C156A" w:rsidRDefault="009630A9" w:rsidP="005D02F0">
            <w:pPr>
              <w:overflowPunct/>
              <w:autoSpaceDE/>
              <w:autoSpaceDN/>
              <w:adjustRightInd/>
              <w:spacing w:before="40"/>
              <w:textAlignment w:val="auto"/>
              <w:rPr>
                <w:rFonts w:eastAsia="Times New Roman" w:cs="Calibri"/>
                <w:color w:val="000000"/>
                <w:sz w:val="16"/>
                <w:szCs w:val="16"/>
                <w:lang w:eastAsia="zh-CN"/>
              </w:rPr>
            </w:pPr>
            <w:r w:rsidRPr="000C156A">
              <w:rPr>
                <w:rFonts w:hint="eastAsia"/>
                <w:noProof/>
                <w:sz w:val="16"/>
                <w:szCs w:val="16"/>
                <w:lang w:val="en-US" w:eastAsia="zh-CN"/>
              </w:rPr>
              <w:t>账目审计和跨组织缴费</w:t>
            </w:r>
          </w:p>
        </w:tc>
        <w:tc>
          <w:tcPr>
            <w:tcW w:w="992" w:type="dxa"/>
            <w:tcBorders>
              <w:top w:val="nil"/>
              <w:left w:val="single" w:sz="4" w:space="0" w:color="auto"/>
              <w:bottom w:val="nil"/>
              <w:right w:val="single" w:sz="4" w:space="0" w:color="auto"/>
            </w:tcBorders>
            <w:shd w:val="clear" w:color="auto" w:fill="auto"/>
            <w:noWrap/>
            <w:vAlign w:val="center"/>
            <w:hideMark/>
          </w:tcPr>
          <w:p w14:paraId="430AA004"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6</w:t>
            </w:r>
          </w:p>
        </w:tc>
        <w:tc>
          <w:tcPr>
            <w:tcW w:w="709" w:type="dxa"/>
            <w:tcBorders>
              <w:top w:val="nil"/>
              <w:left w:val="nil"/>
              <w:bottom w:val="nil"/>
              <w:right w:val="single" w:sz="4" w:space="0" w:color="auto"/>
            </w:tcBorders>
            <w:shd w:val="clear" w:color="auto" w:fill="auto"/>
            <w:noWrap/>
            <w:vAlign w:val="center"/>
            <w:hideMark/>
          </w:tcPr>
          <w:p w14:paraId="09A99073"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992" w:type="dxa"/>
            <w:tcBorders>
              <w:top w:val="nil"/>
              <w:left w:val="nil"/>
              <w:bottom w:val="nil"/>
              <w:right w:val="single" w:sz="4" w:space="0" w:color="auto"/>
            </w:tcBorders>
            <w:shd w:val="clear" w:color="auto" w:fill="auto"/>
            <w:noWrap/>
            <w:vAlign w:val="center"/>
            <w:hideMark/>
          </w:tcPr>
          <w:p w14:paraId="49173AD5"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992" w:type="dxa"/>
            <w:tcBorders>
              <w:top w:val="nil"/>
              <w:left w:val="nil"/>
              <w:bottom w:val="nil"/>
              <w:right w:val="single" w:sz="4" w:space="0" w:color="auto"/>
            </w:tcBorders>
            <w:shd w:val="clear" w:color="auto" w:fill="auto"/>
            <w:noWrap/>
            <w:vAlign w:val="center"/>
            <w:hideMark/>
          </w:tcPr>
          <w:p w14:paraId="1B38D9EB"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35</w:t>
            </w:r>
          </w:p>
        </w:tc>
        <w:tc>
          <w:tcPr>
            <w:tcW w:w="1134" w:type="dxa"/>
            <w:tcBorders>
              <w:top w:val="nil"/>
              <w:left w:val="nil"/>
              <w:bottom w:val="nil"/>
              <w:right w:val="nil"/>
            </w:tcBorders>
            <w:shd w:val="clear" w:color="auto" w:fill="auto"/>
            <w:noWrap/>
            <w:vAlign w:val="center"/>
            <w:hideMark/>
          </w:tcPr>
          <w:p w14:paraId="6F0CCC5B"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441</w:t>
            </w:r>
          </w:p>
        </w:tc>
        <w:tc>
          <w:tcPr>
            <w:tcW w:w="993" w:type="dxa"/>
            <w:tcBorders>
              <w:top w:val="nil"/>
              <w:left w:val="single" w:sz="4" w:space="0" w:color="auto"/>
              <w:bottom w:val="nil"/>
              <w:right w:val="single" w:sz="4" w:space="0" w:color="auto"/>
            </w:tcBorders>
            <w:shd w:val="clear" w:color="auto" w:fill="auto"/>
            <w:noWrap/>
            <w:vAlign w:val="center"/>
            <w:hideMark/>
          </w:tcPr>
          <w:p w14:paraId="5908C3E8"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481</w:t>
            </w:r>
          </w:p>
        </w:tc>
        <w:tc>
          <w:tcPr>
            <w:tcW w:w="850" w:type="dxa"/>
            <w:tcBorders>
              <w:top w:val="nil"/>
              <w:left w:val="nil"/>
              <w:bottom w:val="nil"/>
              <w:right w:val="single" w:sz="4" w:space="0" w:color="auto"/>
            </w:tcBorders>
            <w:shd w:val="clear" w:color="auto" w:fill="auto"/>
            <w:noWrap/>
            <w:vAlign w:val="center"/>
            <w:hideMark/>
          </w:tcPr>
          <w:p w14:paraId="40507712"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51" w:type="dxa"/>
            <w:tcBorders>
              <w:top w:val="nil"/>
              <w:left w:val="nil"/>
              <w:bottom w:val="nil"/>
              <w:right w:val="single" w:sz="4" w:space="0" w:color="auto"/>
            </w:tcBorders>
            <w:shd w:val="clear" w:color="auto" w:fill="auto"/>
            <w:noWrap/>
            <w:vAlign w:val="center"/>
            <w:hideMark/>
          </w:tcPr>
          <w:p w14:paraId="69F4B492"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6BC0265E"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75" w:type="dxa"/>
            <w:tcBorders>
              <w:top w:val="nil"/>
              <w:left w:val="nil"/>
              <w:bottom w:val="nil"/>
              <w:right w:val="single" w:sz="4" w:space="0" w:color="auto"/>
            </w:tcBorders>
            <w:shd w:val="clear" w:color="auto" w:fill="auto"/>
            <w:noWrap/>
            <w:vAlign w:val="center"/>
            <w:hideMark/>
          </w:tcPr>
          <w:p w14:paraId="458CE27A"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670" w:type="dxa"/>
            <w:tcBorders>
              <w:top w:val="nil"/>
              <w:left w:val="nil"/>
              <w:bottom w:val="nil"/>
              <w:right w:val="single" w:sz="4" w:space="0" w:color="auto"/>
            </w:tcBorders>
            <w:shd w:val="clear" w:color="auto" w:fill="auto"/>
            <w:noWrap/>
            <w:vAlign w:val="center"/>
            <w:hideMark/>
          </w:tcPr>
          <w:p w14:paraId="48D945C0"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0</w:t>
            </w:r>
          </w:p>
        </w:tc>
        <w:tc>
          <w:tcPr>
            <w:tcW w:w="709" w:type="dxa"/>
            <w:tcBorders>
              <w:top w:val="nil"/>
              <w:left w:val="nil"/>
              <w:bottom w:val="nil"/>
              <w:right w:val="single" w:sz="4" w:space="0" w:color="auto"/>
            </w:tcBorders>
            <w:shd w:val="clear" w:color="auto" w:fill="auto"/>
            <w:noWrap/>
            <w:vAlign w:val="center"/>
            <w:hideMark/>
          </w:tcPr>
          <w:p w14:paraId="5255B203"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612" w:type="dxa"/>
            <w:tcBorders>
              <w:top w:val="nil"/>
              <w:left w:val="nil"/>
              <w:bottom w:val="nil"/>
              <w:right w:val="single" w:sz="4" w:space="0" w:color="auto"/>
            </w:tcBorders>
            <w:shd w:val="clear" w:color="auto" w:fill="auto"/>
            <w:noWrap/>
            <w:vAlign w:val="center"/>
            <w:hideMark/>
          </w:tcPr>
          <w:p w14:paraId="3C9B0012"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6" w:type="dxa"/>
            <w:tcBorders>
              <w:top w:val="nil"/>
              <w:left w:val="nil"/>
              <w:bottom w:val="nil"/>
              <w:right w:val="single" w:sz="4" w:space="0" w:color="auto"/>
            </w:tcBorders>
            <w:shd w:val="clear" w:color="auto" w:fill="auto"/>
            <w:noWrap/>
            <w:vAlign w:val="center"/>
            <w:hideMark/>
          </w:tcPr>
          <w:p w14:paraId="215E8A5B"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1040" w:type="dxa"/>
            <w:tcBorders>
              <w:top w:val="nil"/>
              <w:left w:val="nil"/>
              <w:bottom w:val="nil"/>
              <w:right w:val="single" w:sz="4" w:space="0" w:color="auto"/>
            </w:tcBorders>
            <w:shd w:val="clear" w:color="auto" w:fill="auto"/>
            <w:noWrap/>
            <w:vAlign w:val="center"/>
            <w:hideMark/>
          </w:tcPr>
          <w:p w14:paraId="42EE9A67"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2" w:type="dxa"/>
            <w:tcBorders>
              <w:top w:val="nil"/>
              <w:left w:val="nil"/>
              <w:bottom w:val="nil"/>
              <w:right w:val="single" w:sz="4" w:space="0" w:color="auto"/>
            </w:tcBorders>
            <w:shd w:val="clear" w:color="auto" w:fill="auto"/>
            <w:noWrap/>
            <w:vAlign w:val="center"/>
            <w:hideMark/>
          </w:tcPr>
          <w:p w14:paraId="56A636FC" w14:textId="77777777"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482</w:t>
            </w:r>
          </w:p>
        </w:tc>
      </w:tr>
      <w:tr w:rsidR="009630A9" w:rsidRPr="000C156A" w14:paraId="70433C91" w14:textId="77777777" w:rsidTr="00CD0CEA">
        <w:trPr>
          <w:trHeight w:val="255"/>
          <w:jc w:val="center"/>
        </w:trPr>
        <w:tc>
          <w:tcPr>
            <w:tcW w:w="1980" w:type="dxa"/>
            <w:tcBorders>
              <w:top w:val="nil"/>
              <w:left w:val="single" w:sz="4" w:space="0" w:color="auto"/>
              <w:bottom w:val="nil"/>
              <w:right w:val="nil"/>
            </w:tcBorders>
            <w:shd w:val="clear" w:color="auto" w:fill="auto"/>
            <w:vAlign w:val="center"/>
            <w:hideMark/>
          </w:tcPr>
          <w:p w14:paraId="0AA939EE" w14:textId="77777777" w:rsidR="009630A9" w:rsidRPr="000C156A" w:rsidRDefault="009630A9" w:rsidP="005D02F0">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eastAsia="zh-CN"/>
              </w:rPr>
              <w:t>其他</w:t>
            </w:r>
            <w:r w:rsidRPr="000C156A">
              <w:rPr>
                <w:rFonts w:hint="eastAsia"/>
                <w:noProof/>
                <w:sz w:val="16"/>
                <w:szCs w:val="16"/>
                <w:lang w:val="en-US"/>
              </w:rPr>
              <w:t>费用</w:t>
            </w:r>
          </w:p>
        </w:tc>
        <w:tc>
          <w:tcPr>
            <w:tcW w:w="992" w:type="dxa"/>
            <w:tcBorders>
              <w:top w:val="nil"/>
              <w:left w:val="single" w:sz="4" w:space="0" w:color="auto"/>
              <w:bottom w:val="nil"/>
              <w:right w:val="single" w:sz="4" w:space="0" w:color="auto"/>
            </w:tcBorders>
            <w:shd w:val="clear" w:color="auto" w:fill="auto"/>
            <w:noWrap/>
            <w:vAlign w:val="center"/>
            <w:hideMark/>
          </w:tcPr>
          <w:p w14:paraId="19201856"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24</w:t>
            </w:r>
          </w:p>
        </w:tc>
        <w:tc>
          <w:tcPr>
            <w:tcW w:w="709" w:type="dxa"/>
            <w:tcBorders>
              <w:top w:val="nil"/>
              <w:left w:val="nil"/>
              <w:bottom w:val="nil"/>
              <w:right w:val="single" w:sz="4" w:space="0" w:color="auto"/>
            </w:tcBorders>
            <w:shd w:val="clear" w:color="auto" w:fill="auto"/>
            <w:noWrap/>
            <w:vAlign w:val="center"/>
            <w:hideMark/>
          </w:tcPr>
          <w:p w14:paraId="7F52498B"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925</w:t>
            </w:r>
          </w:p>
        </w:tc>
        <w:tc>
          <w:tcPr>
            <w:tcW w:w="992" w:type="dxa"/>
            <w:tcBorders>
              <w:top w:val="nil"/>
              <w:left w:val="nil"/>
              <w:bottom w:val="nil"/>
              <w:right w:val="single" w:sz="4" w:space="0" w:color="auto"/>
            </w:tcBorders>
            <w:shd w:val="clear" w:color="auto" w:fill="auto"/>
            <w:noWrap/>
            <w:vAlign w:val="center"/>
            <w:hideMark/>
          </w:tcPr>
          <w:p w14:paraId="12DC6371"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6</w:t>
            </w:r>
          </w:p>
        </w:tc>
        <w:tc>
          <w:tcPr>
            <w:tcW w:w="992" w:type="dxa"/>
            <w:tcBorders>
              <w:top w:val="nil"/>
              <w:left w:val="nil"/>
              <w:bottom w:val="nil"/>
              <w:right w:val="single" w:sz="4" w:space="0" w:color="auto"/>
            </w:tcBorders>
            <w:shd w:val="clear" w:color="auto" w:fill="auto"/>
            <w:noWrap/>
            <w:vAlign w:val="center"/>
            <w:hideMark/>
          </w:tcPr>
          <w:p w14:paraId="2BDFA8F7" w14:textId="21DB30E4"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3</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041</w:t>
            </w:r>
          </w:p>
        </w:tc>
        <w:tc>
          <w:tcPr>
            <w:tcW w:w="1134" w:type="dxa"/>
            <w:tcBorders>
              <w:top w:val="nil"/>
              <w:left w:val="nil"/>
              <w:bottom w:val="nil"/>
              <w:right w:val="nil"/>
            </w:tcBorders>
            <w:shd w:val="clear" w:color="auto" w:fill="auto"/>
            <w:noWrap/>
            <w:vAlign w:val="center"/>
            <w:hideMark/>
          </w:tcPr>
          <w:p w14:paraId="3E61C713" w14:textId="2A4AD91A"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5</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528</w:t>
            </w:r>
          </w:p>
        </w:tc>
        <w:tc>
          <w:tcPr>
            <w:tcW w:w="993" w:type="dxa"/>
            <w:tcBorders>
              <w:top w:val="nil"/>
              <w:left w:val="single" w:sz="4" w:space="0" w:color="auto"/>
              <w:bottom w:val="nil"/>
              <w:right w:val="single" w:sz="4" w:space="0" w:color="auto"/>
            </w:tcBorders>
            <w:shd w:val="clear" w:color="auto" w:fill="auto"/>
            <w:noWrap/>
            <w:vAlign w:val="center"/>
            <w:hideMark/>
          </w:tcPr>
          <w:p w14:paraId="481EF859" w14:textId="46927375"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9</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524</w:t>
            </w:r>
          </w:p>
        </w:tc>
        <w:tc>
          <w:tcPr>
            <w:tcW w:w="850" w:type="dxa"/>
            <w:tcBorders>
              <w:top w:val="nil"/>
              <w:left w:val="nil"/>
              <w:bottom w:val="nil"/>
              <w:right w:val="single" w:sz="4" w:space="0" w:color="auto"/>
            </w:tcBorders>
            <w:shd w:val="clear" w:color="auto" w:fill="auto"/>
            <w:noWrap/>
            <w:vAlign w:val="center"/>
            <w:hideMark/>
          </w:tcPr>
          <w:p w14:paraId="672A3D01"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51" w:type="dxa"/>
            <w:tcBorders>
              <w:top w:val="nil"/>
              <w:left w:val="nil"/>
              <w:bottom w:val="nil"/>
              <w:right w:val="single" w:sz="4" w:space="0" w:color="auto"/>
            </w:tcBorders>
            <w:shd w:val="clear" w:color="auto" w:fill="auto"/>
            <w:noWrap/>
            <w:vAlign w:val="center"/>
            <w:hideMark/>
          </w:tcPr>
          <w:p w14:paraId="5A7344ED"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132811B7"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75" w:type="dxa"/>
            <w:tcBorders>
              <w:top w:val="nil"/>
              <w:left w:val="nil"/>
              <w:bottom w:val="nil"/>
              <w:right w:val="single" w:sz="4" w:space="0" w:color="auto"/>
            </w:tcBorders>
            <w:shd w:val="clear" w:color="auto" w:fill="auto"/>
            <w:noWrap/>
            <w:vAlign w:val="center"/>
            <w:hideMark/>
          </w:tcPr>
          <w:p w14:paraId="033C5640"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32</w:t>
            </w:r>
          </w:p>
        </w:tc>
        <w:tc>
          <w:tcPr>
            <w:tcW w:w="670" w:type="dxa"/>
            <w:tcBorders>
              <w:top w:val="nil"/>
              <w:left w:val="nil"/>
              <w:bottom w:val="nil"/>
              <w:right w:val="single" w:sz="4" w:space="0" w:color="auto"/>
            </w:tcBorders>
            <w:shd w:val="clear" w:color="auto" w:fill="auto"/>
            <w:noWrap/>
            <w:vAlign w:val="center"/>
            <w:hideMark/>
          </w:tcPr>
          <w:p w14:paraId="3CC594A4"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237</w:t>
            </w:r>
          </w:p>
        </w:tc>
        <w:tc>
          <w:tcPr>
            <w:tcW w:w="709" w:type="dxa"/>
            <w:tcBorders>
              <w:top w:val="nil"/>
              <w:left w:val="nil"/>
              <w:bottom w:val="nil"/>
              <w:right w:val="single" w:sz="4" w:space="0" w:color="auto"/>
            </w:tcBorders>
            <w:shd w:val="clear" w:color="auto" w:fill="auto"/>
            <w:noWrap/>
            <w:vAlign w:val="center"/>
            <w:hideMark/>
          </w:tcPr>
          <w:p w14:paraId="02E424B0"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612" w:type="dxa"/>
            <w:tcBorders>
              <w:top w:val="nil"/>
              <w:left w:val="nil"/>
              <w:bottom w:val="nil"/>
              <w:right w:val="single" w:sz="4" w:space="0" w:color="auto"/>
            </w:tcBorders>
            <w:shd w:val="clear" w:color="auto" w:fill="auto"/>
            <w:noWrap/>
            <w:vAlign w:val="center"/>
            <w:hideMark/>
          </w:tcPr>
          <w:p w14:paraId="05601489"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sz w:val="16"/>
                <w:szCs w:val="16"/>
                <w:lang w:eastAsia="en-GB"/>
              </w:rPr>
              <w:t>-</w:t>
            </w:r>
          </w:p>
        </w:tc>
        <w:tc>
          <w:tcPr>
            <w:tcW w:w="806" w:type="dxa"/>
            <w:tcBorders>
              <w:top w:val="nil"/>
              <w:left w:val="nil"/>
              <w:bottom w:val="nil"/>
              <w:right w:val="single" w:sz="4" w:space="0" w:color="auto"/>
            </w:tcBorders>
            <w:shd w:val="clear" w:color="auto" w:fill="auto"/>
            <w:noWrap/>
            <w:vAlign w:val="center"/>
            <w:hideMark/>
          </w:tcPr>
          <w:p w14:paraId="52007FC5"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-354</w:t>
            </w:r>
          </w:p>
        </w:tc>
        <w:tc>
          <w:tcPr>
            <w:tcW w:w="1040" w:type="dxa"/>
            <w:tcBorders>
              <w:top w:val="nil"/>
              <w:left w:val="nil"/>
              <w:bottom w:val="nil"/>
              <w:right w:val="single" w:sz="4" w:space="0" w:color="auto"/>
            </w:tcBorders>
            <w:shd w:val="clear" w:color="auto" w:fill="auto"/>
            <w:noWrap/>
            <w:vAlign w:val="center"/>
            <w:hideMark/>
          </w:tcPr>
          <w:p w14:paraId="78329BA5" w14:textId="4A31820F"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614</w:t>
            </w:r>
          </w:p>
        </w:tc>
        <w:tc>
          <w:tcPr>
            <w:tcW w:w="802" w:type="dxa"/>
            <w:tcBorders>
              <w:top w:val="nil"/>
              <w:left w:val="nil"/>
              <w:bottom w:val="nil"/>
              <w:right w:val="single" w:sz="4" w:space="0" w:color="auto"/>
            </w:tcBorders>
            <w:shd w:val="clear" w:color="auto" w:fill="auto"/>
            <w:noWrap/>
            <w:vAlign w:val="center"/>
            <w:hideMark/>
          </w:tcPr>
          <w:p w14:paraId="4889F9DC" w14:textId="77CA1F12"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7</w:t>
            </w:r>
            <w:r w:rsidR="00B634EB" w:rsidRPr="000C156A">
              <w:rPr>
                <w:rFonts w:eastAsia="Times New Roman" w:cs="Calibri"/>
                <w:b/>
                <w:bCs/>
                <w:sz w:val="16"/>
                <w:szCs w:val="16"/>
                <w:lang w:eastAsia="en-GB"/>
              </w:rPr>
              <w:t xml:space="preserve"> </w:t>
            </w:r>
            <w:r w:rsidRPr="000C156A">
              <w:rPr>
                <w:rFonts w:eastAsia="Times New Roman" w:cs="Calibri"/>
                <w:b/>
                <w:bCs/>
                <w:sz w:val="16"/>
                <w:szCs w:val="16"/>
                <w:lang w:eastAsia="en-GB"/>
              </w:rPr>
              <w:t>824</w:t>
            </w:r>
          </w:p>
        </w:tc>
      </w:tr>
      <w:tr w:rsidR="009630A9" w:rsidRPr="000C156A" w14:paraId="646606E3" w14:textId="77777777" w:rsidTr="00CD0CEA">
        <w:trPr>
          <w:trHeight w:val="255"/>
          <w:jc w:val="center"/>
        </w:trPr>
        <w:tc>
          <w:tcPr>
            <w:tcW w:w="1980" w:type="dxa"/>
            <w:tcBorders>
              <w:top w:val="nil"/>
              <w:left w:val="single" w:sz="4" w:space="0" w:color="auto"/>
              <w:right w:val="nil"/>
            </w:tcBorders>
            <w:shd w:val="clear" w:color="auto" w:fill="auto"/>
            <w:vAlign w:val="center"/>
            <w:hideMark/>
          </w:tcPr>
          <w:p w14:paraId="5E778A19" w14:textId="77777777" w:rsidR="009630A9" w:rsidRPr="000C156A" w:rsidRDefault="009630A9" w:rsidP="005D02F0">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eastAsia="zh-CN"/>
              </w:rPr>
              <w:t>理财费用</w:t>
            </w:r>
          </w:p>
        </w:tc>
        <w:tc>
          <w:tcPr>
            <w:tcW w:w="992" w:type="dxa"/>
            <w:tcBorders>
              <w:top w:val="nil"/>
              <w:left w:val="single" w:sz="4" w:space="0" w:color="auto"/>
              <w:bottom w:val="nil"/>
              <w:right w:val="single" w:sz="4" w:space="0" w:color="auto"/>
            </w:tcBorders>
            <w:shd w:val="clear" w:color="auto" w:fill="auto"/>
            <w:noWrap/>
            <w:vAlign w:val="center"/>
            <w:hideMark/>
          </w:tcPr>
          <w:p w14:paraId="2AF9D200"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62</w:t>
            </w:r>
          </w:p>
        </w:tc>
        <w:tc>
          <w:tcPr>
            <w:tcW w:w="709" w:type="dxa"/>
            <w:tcBorders>
              <w:top w:val="nil"/>
              <w:left w:val="nil"/>
              <w:bottom w:val="nil"/>
              <w:right w:val="single" w:sz="4" w:space="0" w:color="auto"/>
            </w:tcBorders>
            <w:shd w:val="clear" w:color="auto" w:fill="auto"/>
            <w:noWrap/>
            <w:vAlign w:val="center"/>
            <w:hideMark/>
          </w:tcPr>
          <w:p w14:paraId="4CFA1993"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0</w:t>
            </w:r>
          </w:p>
        </w:tc>
        <w:tc>
          <w:tcPr>
            <w:tcW w:w="992" w:type="dxa"/>
            <w:tcBorders>
              <w:top w:val="nil"/>
              <w:left w:val="nil"/>
              <w:bottom w:val="nil"/>
              <w:right w:val="single" w:sz="4" w:space="0" w:color="auto"/>
            </w:tcBorders>
            <w:shd w:val="clear" w:color="auto" w:fill="auto"/>
            <w:noWrap/>
            <w:vAlign w:val="center"/>
            <w:hideMark/>
          </w:tcPr>
          <w:p w14:paraId="31B3F27F"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w:t>
            </w:r>
          </w:p>
        </w:tc>
        <w:tc>
          <w:tcPr>
            <w:tcW w:w="992" w:type="dxa"/>
            <w:tcBorders>
              <w:top w:val="nil"/>
              <w:left w:val="nil"/>
              <w:bottom w:val="nil"/>
              <w:right w:val="single" w:sz="4" w:space="0" w:color="auto"/>
            </w:tcBorders>
            <w:shd w:val="clear" w:color="auto" w:fill="auto"/>
            <w:noWrap/>
            <w:vAlign w:val="center"/>
            <w:hideMark/>
          </w:tcPr>
          <w:p w14:paraId="5F6AC0A9"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9</w:t>
            </w:r>
          </w:p>
        </w:tc>
        <w:tc>
          <w:tcPr>
            <w:tcW w:w="1134" w:type="dxa"/>
            <w:tcBorders>
              <w:top w:val="nil"/>
              <w:left w:val="nil"/>
              <w:bottom w:val="nil"/>
              <w:right w:val="nil"/>
            </w:tcBorders>
            <w:shd w:val="clear" w:color="auto" w:fill="auto"/>
            <w:noWrap/>
            <w:vAlign w:val="center"/>
            <w:hideMark/>
          </w:tcPr>
          <w:p w14:paraId="1D6DFB06" w14:textId="2B2C13CA"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11</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687</w:t>
            </w:r>
          </w:p>
        </w:tc>
        <w:tc>
          <w:tcPr>
            <w:tcW w:w="993" w:type="dxa"/>
            <w:tcBorders>
              <w:top w:val="nil"/>
              <w:left w:val="single" w:sz="4" w:space="0" w:color="auto"/>
              <w:bottom w:val="nil"/>
              <w:right w:val="single" w:sz="4" w:space="0" w:color="auto"/>
            </w:tcBorders>
            <w:shd w:val="clear" w:color="auto" w:fill="auto"/>
            <w:noWrap/>
            <w:vAlign w:val="center"/>
            <w:hideMark/>
          </w:tcPr>
          <w:p w14:paraId="1F43D0AD" w14:textId="7C0175A0"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11</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759</w:t>
            </w:r>
          </w:p>
        </w:tc>
        <w:tc>
          <w:tcPr>
            <w:tcW w:w="850" w:type="dxa"/>
            <w:tcBorders>
              <w:top w:val="nil"/>
              <w:left w:val="nil"/>
              <w:bottom w:val="nil"/>
              <w:right w:val="single" w:sz="4" w:space="0" w:color="auto"/>
            </w:tcBorders>
            <w:shd w:val="clear" w:color="auto" w:fill="auto"/>
            <w:noWrap/>
            <w:vAlign w:val="center"/>
            <w:hideMark/>
          </w:tcPr>
          <w:p w14:paraId="07A938DE"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0</w:t>
            </w:r>
          </w:p>
        </w:tc>
        <w:tc>
          <w:tcPr>
            <w:tcW w:w="851" w:type="dxa"/>
            <w:tcBorders>
              <w:top w:val="nil"/>
              <w:left w:val="nil"/>
              <w:bottom w:val="nil"/>
              <w:right w:val="single" w:sz="4" w:space="0" w:color="auto"/>
            </w:tcBorders>
            <w:shd w:val="clear" w:color="auto" w:fill="auto"/>
            <w:noWrap/>
            <w:vAlign w:val="center"/>
            <w:hideMark/>
          </w:tcPr>
          <w:p w14:paraId="01F76316"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345</w:t>
            </w:r>
          </w:p>
        </w:tc>
        <w:tc>
          <w:tcPr>
            <w:tcW w:w="864" w:type="dxa"/>
            <w:tcBorders>
              <w:top w:val="nil"/>
              <w:left w:val="nil"/>
              <w:bottom w:val="nil"/>
              <w:right w:val="single" w:sz="4" w:space="0" w:color="auto"/>
            </w:tcBorders>
            <w:shd w:val="clear" w:color="auto" w:fill="auto"/>
            <w:noWrap/>
            <w:vAlign w:val="center"/>
            <w:hideMark/>
          </w:tcPr>
          <w:p w14:paraId="0AA0EC95"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414</w:t>
            </w:r>
          </w:p>
        </w:tc>
        <w:tc>
          <w:tcPr>
            <w:tcW w:w="875" w:type="dxa"/>
            <w:tcBorders>
              <w:top w:val="nil"/>
              <w:left w:val="nil"/>
              <w:bottom w:val="nil"/>
              <w:right w:val="single" w:sz="4" w:space="0" w:color="auto"/>
            </w:tcBorders>
            <w:shd w:val="clear" w:color="auto" w:fill="auto"/>
            <w:noWrap/>
            <w:vAlign w:val="center"/>
            <w:hideMark/>
          </w:tcPr>
          <w:p w14:paraId="5AA0BC56"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483</w:t>
            </w:r>
          </w:p>
        </w:tc>
        <w:tc>
          <w:tcPr>
            <w:tcW w:w="670" w:type="dxa"/>
            <w:tcBorders>
              <w:top w:val="nil"/>
              <w:left w:val="nil"/>
              <w:bottom w:val="nil"/>
              <w:right w:val="single" w:sz="4" w:space="0" w:color="auto"/>
            </w:tcBorders>
            <w:shd w:val="clear" w:color="auto" w:fill="auto"/>
            <w:noWrap/>
            <w:vAlign w:val="center"/>
            <w:hideMark/>
          </w:tcPr>
          <w:p w14:paraId="63662684" w14:textId="3215A139"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2</w:t>
            </w:r>
            <w:r w:rsidR="00B634EB" w:rsidRPr="000C156A">
              <w:rPr>
                <w:rFonts w:eastAsia="Times New Roman" w:cs="Calibri"/>
                <w:color w:val="000000"/>
                <w:sz w:val="16"/>
                <w:szCs w:val="16"/>
                <w:lang w:eastAsia="en-GB"/>
              </w:rPr>
              <w:t xml:space="preserve"> </w:t>
            </w:r>
            <w:r w:rsidRPr="000C156A">
              <w:rPr>
                <w:rFonts w:eastAsia="Times New Roman" w:cs="Calibri"/>
                <w:color w:val="000000"/>
                <w:sz w:val="16"/>
                <w:szCs w:val="16"/>
                <w:lang w:eastAsia="en-GB"/>
              </w:rPr>
              <w:t>485</w:t>
            </w:r>
          </w:p>
        </w:tc>
        <w:tc>
          <w:tcPr>
            <w:tcW w:w="709" w:type="dxa"/>
            <w:tcBorders>
              <w:top w:val="nil"/>
              <w:left w:val="nil"/>
              <w:bottom w:val="nil"/>
              <w:right w:val="single" w:sz="4" w:space="0" w:color="auto"/>
            </w:tcBorders>
            <w:shd w:val="clear" w:color="auto" w:fill="auto"/>
            <w:noWrap/>
            <w:vAlign w:val="center"/>
            <w:hideMark/>
          </w:tcPr>
          <w:p w14:paraId="60E08D76"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151</w:t>
            </w:r>
          </w:p>
        </w:tc>
        <w:tc>
          <w:tcPr>
            <w:tcW w:w="612" w:type="dxa"/>
            <w:tcBorders>
              <w:top w:val="nil"/>
              <w:left w:val="nil"/>
              <w:bottom w:val="nil"/>
              <w:right w:val="single" w:sz="4" w:space="0" w:color="auto"/>
            </w:tcBorders>
            <w:shd w:val="clear" w:color="auto" w:fill="auto"/>
            <w:noWrap/>
            <w:vAlign w:val="center"/>
            <w:hideMark/>
          </w:tcPr>
          <w:p w14:paraId="219FDD35"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243</w:t>
            </w:r>
          </w:p>
        </w:tc>
        <w:tc>
          <w:tcPr>
            <w:tcW w:w="806" w:type="dxa"/>
            <w:tcBorders>
              <w:top w:val="nil"/>
              <w:left w:val="nil"/>
              <w:bottom w:val="nil"/>
              <w:right w:val="single" w:sz="4" w:space="0" w:color="auto"/>
            </w:tcBorders>
            <w:shd w:val="clear" w:color="auto" w:fill="auto"/>
            <w:noWrap/>
            <w:vAlign w:val="center"/>
            <w:hideMark/>
          </w:tcPr>
          <w:p w14:paraId="0CF5FEF7"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9</w:t>
            </w:r>
          </w:p>
        </w:tc>
        <w:tc>
          <w:tcPr>
            <w:tcW w:w="1040" w:type="dxa"/>
            <w:tcBorders>
              <w:top w:val="nil"/>
              <w:left w:val="nil"/>
              <w:bottom w:val="nil"/>
              <w:right w:val="single" w:sz="4" w:space="0" w:color="auto"/>
            </w:tcBorders>
            <w:shd w:val="clear" w:color="auto" w:fill="auto"/>
            <w:noWrap/>
            <w:vAlign w:val="center"/>
            <w:hideMark/>
          </w:tcPr>
          <w:p w14:paraId="544312DC"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02" w:type="dxa"/>
            <w:tcBorders>
              <w:top w:val="nil"/>
              <w:left w:val="nil"/>
              <w:bottom w:val="nil"/>
              <w:right w:val="single" w:sz="4" w:space="0" w:color="auto"/>
            </w:tcBorders>
            <w:shd w:val="clear" w:color="auto" w:fill="auto"/>
            <w:noWrap/>
            <w:vAlign w:val="center"/>
            <w:hideMark/>
          </w:tcPr>
          <w:p w14:paraId="2C37668D" w14:textId="087DAAB3"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r w:rsidRPr="000C156A">
              <w:rPr>
                <w:rFonts w:eastAsia="Times New Roman" w:cs="Calibri"/>
                <w:b/>
                <w:bCs/>
                <w:sz w:val="16"/>
                <w:szCs w:val="16"/>
                <w:lang w:eastAsia="en-GB"/>
              </w:rPr>
              <w:t>15</w:t>
            </w:r>
            <w:r w:rsidR="00B634EB" w:rsidRPr="000C156A">
              <w:rPr>
                <w:rFonts w:eastAsia="Times New Roman" w:cs="Calibri"/>
                <w:b/>
                <w:bCs/>
                <w:sz w:val="16"/>
                <w:szCs w:val="16"/>
                <w:lang w:eastAsia="en-GB"/>
              </w:rPr>
              <w:t xml:space="preserve"> </w:t>
            </w:r>
            <w:r w:rsidRPr="000C156A">
              <w:rPr>
                <w:rFonts w:eastAsia="Times New Roman" w:cs="Calibri"/>
                <w:b/>
                <w:bCs/>
                <w:sz w:val="16"/>
                <w:szCs w:val="16"/>
                <w:lang w:eastAsia="en-GB"/>
              </w:rPr>
              <w:t>889</w:t>
            </w:r>
          </w:p>
        </w:tc>
      </w:tr>
      <w:tr w:rsidR="009630A9" w:rsidRPr="000C156A" w14:paraId="073F8526" w14:textId="77777777" w:rsidTr="00CD0CEA">
        <w:trPr>
          <w:trHeight w:val="255"/>
          <w:jc w:val="center"/>
        </w:trPr>
        <w:tc>
          <w:tcPr>
            <w:tcW w:w="1980" w:type="dxa"/>
            <w:tcBorders>
              <w:left w:val="single" w:sz="4" w:space="0" w:color="auto"/>
              <w:bottom w:val="single" w:sz="4" w:space="0" w:color="auto"/>
              <w:right w:val="nil"/>
            </w:tcBorders>
            <w:shd w:val="clear" w:color="auto" w:fill="auto"/>
            <w:vAlign w:val="center"/>
            <w:hideMark/>
          </w:tcPr>
          <w:p w14:paraId="3923203C" w14:textId="77777777" w:rsidR="009630A9" w:rsidRPr="000C156A" w:rsidRDefault="009630A9" w:rsidP="005D02F0">
            <w:pPr>
              <w:overflowPunct/>
              <w:autoSpaceDE/>
              <w:autoSpaceDN/>
              <w:adjustRightInd/>
              <w:spacing w:before="0"/>
              <w:textAlignment w:val="auto"/>
              <w:rPr>
                <w:rFonts w:eastAsia="Times New Roman" w:cs="Calibri"/>
                <w:color w:val="000000"/>
                <w:sz w:val="16"/>
                <w:szCs w:val="16"/>
                <w:lang w:eastAsia="en-GB"/>
              </w:rPr>
            </w:pPr>
          </w:p>
        </w:tc>
        <w:tc>
          <w:tcPr>
            <w:tcW w:w="992" w:type="dxa"/>
            <w:tcBorders>
              <w:top w:val="nil"/>
              <w:left w:val="single" w:sz="4" w:space="0" w:color="auto"/>
              <w:bottom w:val="nil"/>
              <w:right w:val="single" w:sz="4" w:space="0" w:color="auto"/>
            </w:tcBorders>
            <w:shd w:val="clear" w:color="auto" w:fill="auto"/>
            <w:noWrap/>
            <w:vAlign w:val="center"/>
            <w:hideMark/>
          </w:tcPr>
          <w:p w14:paraId="13987B9C"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nil"/>
              <w:bottom w:val="nil"/>
              <w:right w:val="single" w:sz="4" w:space="0" w:color="auto"/>
            </w:tcBorders>
            <w:shd w:val="clear" w:color="auto" w:fill="auto"/>
            <w:noWrap/>
            <w:vAlign w:val="center"/>
            <w:hideMark/>
          </w:tcPr>
          <w:p w14:paraId="5BCAD30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992" w:type="dxa"/>
            <w:tcBorders>
              <w:top w:val="nil"/>
              <w:left w:val="nil"/>
              <w:bottom w:val="nil"/>
              <w:right w:val="single" w:sz="4" w:space="0" w:color="auto"/>
            </w:tcBorders>
            <w:shd w:val="clear" w:color="auto" w:fill="auto"/>
            <w:noWrap/>
            <w:vAlign w:val="center"/>
            <w:hideMark/>
          </w:tcPr>
          <w:p w14:paraId="0F0EBF10"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992" w:type="dxa"/>
            <w:tcBorders>
              <w:top w:val="nil"/>
              <w:left w:val="nil"/>
              <w:bottom w:val="nil"/>
              <w:right w:val="single" w:sz="4" w:space="0" w:color="auto"/>
            </w:tcBorders>
            <w:shd w:val="clear" w:color="auto" w:fill="auto"/>
            <w:noWrap/>
            <w:vAlign w:val="center"/>
            <w:hideMark/>
          </w:tcPr>
          <w:p w14:paraId="43C4848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1134" w:type="dxa"/>
            <w:tcBorders>
              <w:top w:val="nil"/>
              <w:left w:val="nil"/>
              <w:bottom w:val="nil"/>
              <w:right w:val="nil"/>
            </w:tcBorders>
            <w:shd w:val="clear" w:color="auto" w:fill="auto"/>
            <w:noWrap/>
            <w:vAlign w:val="center"/>
            <w:hideMark/>
          </w:tcPr>
          <w:p w14:paraId="651D2654"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center"/>
            <w:hideMark/>
          </w:tcPr>
          <w:p w14:paraId="2A5444F3"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50" w:type="dxa"/>
            <w:tcBorders>
              <w:top w:val="nil"/>
              <w:left w:val="nil"/>
              <w:bottom w:val="nil"/>
              <w:right w:val="single" w:sz="4" w:space="0" w:color="auto"/>
            </w:tcBorders>
            <w:shd w:val="clear" w:color="auto" w:fill="auto"/>
            <w:noWrap/>
            <w:vAlign w:val="center"/>
            <w:hideMark/>
          </w:tcPr>
          <w:p w14:paraId="7DE5EF59"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51" w:type="dxa"/>
            <w:tcBorders>
              <w:top w:val="nil"/>
              <w:left w:val="nil"/>
              <w:bottom w:val="nil"/>
              <w:right w:val="single" w:sz="4" w:space="0" w:color="auto"/>
            </w:tcBorders>
            <w:shd w:val="clear" w:color="auto" w:fill="auto"/>
            <w:noWrap/>
            <w:vAlign w:val="center"/>
            <w:hideMark/>
          </w:tcPr>
          <w:p w14:paraId="791C17B3"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45C61D4C"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75" w:type="dxa"/>
            <w:tcBorders>
              <w:top w:val="nil"/>
              <w:left w:val="nil"/>
              <w:bottom w:val="nil"/>
              <w:right w:val="single" w:sz="4" w:space="0" w:color="auto"/>
            </w:tcBorders>
            <w:shd w:val="clear" w:color="auto" w:fill="auto"/>
            <w:noWrap/>
            <w:vAlign w:val="center"/>
            <w:hideMark/>
          </w:tcPr>
          <w:p w14:paraId="5C5EBC6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670" w:type="dxa"/>
            <w:tcBorders>
              <w:top w:val="nil"/>
              <w:left w:val="nil"/>
              <w:bottom w:val="nil"/>
              <w:right w:val="single" w:sz="4" w:space="0" w:color="auto"/>
            </w:tcBorders>
            <w:shd w:val="clear" w:color="auto" w:fill="auto"/>
            <w:noWrap/>
            <w:vAlign w:val="center"/>
            <w:hideMark/>
          </w:tcPr>
          <w:p w14:paraId="396ECCC8"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nil"/>
              <w:bottom w:val="nil"/>
              <w:right w:val="single" w:sz="4" w:space="0" w:color="auto"/>
            </w:tcBorders>
            <w:shd w:val="clear" w:color="auto" w:fill="auto"/>
            <w:noWrap/>
            <w:vAlign w:val="center"/>
            <w:hideMark/>
          </w:tcPr>
          <w:p w14:paraId="6AB2D6D1"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612" w:type="dxa"/>
            <w:tcBorders>
              <w:top w:val="nil"/>
              <w:left w:val="nil"/>
              <w:bottom w:val="nil"/>
              <w:right w:val="single" w:sz="4" w:space="0" w:color="auto"/>
            </w:tcBorders>
            <w:shd w:val="clear" w:color="auto" w:fill="auto"/>
            <w:noWrap/>
            <w:vAlign w:val="center"/>
            <w:hideMark/>
          </w:tcPr>
          <w:p w14:paraId="69E7F8AC"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06" w:type="dxa"/>
            <w:tcBorders>
              <w:top w:val="nil"/>
              <w:left w:val="nil"/>
              <w:bottom w:val="nil"/>
              <w:right w:val="single" w:sz="4" w:space="0" w:color="auto"/>
            </w:tcBorders>
            <w:shd w:val="clear" w:color="auto" w:fill="auto"/>
            <w:noWrap/>
            <w:vAlign w:val="center"/>
            <w:hideMark/>
          </w:tcPr>
          <w:p w14:paraId="033BDC25"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1040" w:type="dxa"/>
            <w:tcBorders>
              <w:top w:val="nil"/>
              <w:left w:val="nil"/>
              <w:bottom w:val="nil"/>
              <w:right w:val="single" w:sz="4" w:space="0" w:color="auto"/>
            </w:tcBorders>
            <w:shd w:val="clear" w:color="auto" w:fill="auto"/>
            <w:noWrap/>
            <w:vAlign w:val="center"/>
            <w:hideMark/>
          </w:tcPr>
          <w:p w14:paraId="2A791C02" w14:textId="77777777" w:rsidR="009630A9" w:rsidRPr="000C156A" w:rsidRDefault="009630A9" w:rsidP="00CD0CEA">
            <w:pPr>
              <w:overflowPunct/>
              <w:autoSpaceDE/>
              <w:autoSpaceDN/>
              <w:adjustRightInd/>
              <w:spacing w:before="0"/>
              <w:jc w:val="right"/>
              <w:textAlignment w:val="auto"/>
              <w:rPr>
                <w:rFonts w:eastAsia="Times New Roman" w:cs="Calibri"/>
                <w:color w:val="000000"/>
                <w:sz w:val="16"/>
                <w:szCs w:val="16"/>
                <w:lang w:eastAsia="en-GB"/>
              </w:rPr>
            </w:pPr>
          </w:p>
        </w:tc>
        <w:tc>
          <w:tcPr>
            <w:tcW w:w="802" w:type="dxa"/>
            <w:tcBorders>
              <w:top w:val="nil"/>
              <w:left w:val="nil"/>
              <w:bottom w:val="nil"/>
              <w:right w:val="single" w:sz="4" w:space="0" w:color="auto"/>
            </w:tcBorders>
            <w:shd w:val="clear" w:color="auto" w:fill="auto"/>
            <w:noWrap/>
            <w:vAlign w:val="center"/>
            <w:hideMark/>
          </w:tcPr>
          <w:p w14:paraId="033444C9" w14:textId="77777777" w:rsidR="009630A9" w:rsidRPr="000C156A" w:rsidRDefault="009630A9" w:rsidP="00CD0CEA">
            <w:pPr>
              <w:overflowPunct/>
              <w:autoSpaceDE/>
              <w:autoSpaceDN/>
              <w:adjustRightInd/>
              <w:spacing w:before="0"/>
              <w:jc w:val="right"/>
              <w:textAlignment w:val="auto"/>
              <w:rPr>
                <w:rFonts w:eastAsia="Times New Roman" w:cs="Calibri"/>
                <w:b/>
                <w:bCs/>
                <w:sz w:val="16"/>
                <w:szCs w:val="16"/>
                <w:lang w:eastAsia="en-GB"/>
              </w:rPr>
            </w:pPr>
          </w:p>
        </w:tc>
      </w:tr>
      <w:tr w:rsidR="009630A9" w:rsidRPr="000C156A" w14:paraId="60DD5290" w14:textId="77777777" w:rsidTr="00CD0CEA">
        <w:trPr>
          <w:trHeight w:val="255"/>
          <w:jc w:val="center"/>
        </w:trPr>
        <w:tc>
          <w:tcPr>
            <w:tcW w:w="1980" w:type="dxa"/>
            <w:tcBorders>
              <w:top w:val="single" w:sz="4" w:space="0" w:color="auto"/>
              <w:left w:val="single" w:sz="4" w:space="0" w:color="auto"/>
              <w:bottom w:val="single" w:sz="4" w:space="0" w:color="auto"/>
              <w:right w:val="nil"/>
            </w:tcBorders>
            <w:shd w:val="clear" w:color="auto" w:fill="auto"/>
            <w:noWrap/>
            <w:vAlign w:val="center"/>
            <w:hideMark/>
          </w:tcPr>
          <w:p w14:paraId="2AE3CA24" w14:textId="77777777" w:rsidR="009630A9" w:rsidRPr="000C156A" w:rsidRDefault="009630A9" w:rsidP="005D02F0">
            <w:pPr>
              <w:overflowPunct/>
              <w:autoSpaceDE/>
              <w:autoSpaceDN/>
              <w:adjustRightInd/>
              <w:spacing w:before="0"/>
              <w:textAlignment w:val="auto"/>
              <w:rPr>
                <w:rFonts w:eastAsia="Times New Roman" w:cs="Calibri"/>
                <w:b/>
                <w:bCs/>
                <w:color w:val="000000"/>
                <w:sz w:val="16"/>
                <w:szCs w:val="16"/>
                <w:lang w:eastAsia="en-GB"/>
              </w:rPr>
            </w:pPr>
            <w:r w:rsidRPr="000C156A">
              <w:rPr>
                <w:rFonts w:asciiTheme="minorHAnsi" w:hAnsiTheme="minorHAnsi" w:cs="Arial" w:hint="eastAsia"/>
                <w:b/>
                <w:bCs/>
                <w:color w:val="000000"/>
                <w:sz w:val="16"/>
                <w:szCs w:val="16"/>
                <w:lang w:val="en-US" w:eastAsia="zh-CN"/>
              </w:rPr>
              <w:t>费用合计</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E8E8C" w14:textId="1D4A4881"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71</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275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3F8CC1" w14:textId="4A2454B4"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27</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312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B079BF5" w14:textId="146F5ADF"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12</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949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DF6E9A8" w14:textId="399EA3CF"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29</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799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6EC234" w14:textId="738AAB7F"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64</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737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81CF539" w14:textId="60A22DAA"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206</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072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9F84540"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4859545"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346</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53BC5CFE"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431</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7C486FCF" w14:textId="5AB0248C"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3</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272</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01F65BDA" w14:textId="19F1A85C"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6</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762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2E7337"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151</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14:paraId="0806E798"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243</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0BEF57D6" w14:textId="0698A814"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1</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970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8096742" w14:textId="7D3E476D"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-1</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614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1BCB49DD" w14:textId="183550A2"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217</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632</w:t>
            </w:r>
          </w:p>
        </w:tc>
      </w:tr>
      <w:tr w:rsidR="009630A9" w:rsidRPr="000C156A" w14:paraId="085FED05" w14:textId="77777777" w:rsidTr="00CD0CEA">
        <w:trPr>
          <w:trHeight w:val="255"/>
          <w:jc w:val="center"/>
        </w:trPr>
        <w:tc>
          <w:tcPr>
            <w:tcW w:w="1980" w:type="dxa"/>
            <w:tcBorders>
              <w:top w:val="nil"/>
              <w:left w:val="single" w:sz="4" w:space="0" w:color="auto"/>
              <w:bottom w:val="nil"/>
              <w:right w:val="nil"/>
            </w:tcBorders>
            <w:shd w:val="clear" w:color="auto" w:fill="auto"/>
            <w:vAlign w:val="center"/>
            <w:hideMark/>
          </w:tcPr>
          <w:p w14:paraId="25B54FC2" w14:textId="77777777" w:rsidR="009630A9" w:rsidRPr="000C156A" w:rsidRDefault="009630A9" w:rsidP="005D02F0">
            <w:pPr>
              <w:overflowPunct/>
              <w:autoSpaceDE/>
              <w:autoSpaceDN/>
              <w:adjustRightInd/>
              <w:spacing w:before="0"/>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 </w:t>
            </w:r>
          </w:p>
        </w:tc>
        <w:tc>
          <w:tcPr>
            <w:tcW w:w="992" w:type="dxa"/>
            <w:tcBorders>
              <w:top w:val="nil"/>
              <w:left w:val="single" w:sz="4" w:space="0" w:color="auto"/>
              <w:bottom w:val="nil"/>
              <w:right w:val="single" w:sz="4" w:space="0" w:color="auto"/>
            </w:tcBorders>
            <w:shd w:val="clear" w:color="auto" w:fill="auto"/>
            <w:noWrap/>
            <w:vAlign w:val="center"/>
            <w:hideMark/>
          </w:tcPr>
          <w:p w14:paraId="37C1791A"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p>
        </w:tc>
        <w:tc>
          <w:tcPr>
            <w:tcW w:w="709" w:type="dxa"/>
            <w:tcBorders>
              <w:top w:val="nil"/>
              <w:left w:val="nil"/>
              <w:bottom w:val="nil"/>
              <w:right w:val="single" w:sz="4" w:space="0" w:color="auto"/>
            </w:tcBorders>
            <w:shd w:val="clear" w:color="auto" w:fill="auto"/>
            <w:noWrap/>
            <w:vAlign w:val="center"/>
            <w:hideMark/>
          </w:tcPr>
          <w:p w14:paraId="144FBA0F"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p>
        </w:tc>
        <w:tc>
          <w:tcPr>
            <w:tcW w:w="992" w:type="dxa"/>
            <w:tcBorders>
              <w:top w:val="nil"/>
              <w:left w:val="nil"/>
              <w:bottom w:val="nil"/>
              <w:right w:val="single" w:sz="4" w:space="0" w:color="auto"/>
            </w:tcBorders>
            <w:shd w:val="clear" w:color="auto" w:fill="auto"/>
            <w:noWrap/>
            <w:vAlign w:val="center"/>
            <w:hideMark/>
          </w:tcPr>
          <w:p w14:paraId="51A17C3C"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p>
        </w:tc>
        <w:tc>
          <w:tcPr>
            <w:tcW w:w="992" w:type="dxa"/>
            <w:tcBorders>
              <w:top w:val="nil"/>
              <w:left w:val="nil"/>
              <w:bottom w:val="nil"/>
              <w:right w:val="single" w:sz="4" w:space="0" w:color="auto"/>
            </w:tcBorders>
            <w:shd w:val="clear" w:color="auto" w:fill="auto"/>
            <w:noWrap/>
            <w:vAlign w:val="center"/>
            <w:hideMark/>
          </w:tcPr>
          <w:p w14:paraId="3B27D8C6"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p>
        </w:tc>
        <w:tc>
          <w:tcPr>
            <w:tcW w:w="1134" w:type="dxa"/>
            <w:tcBorders>
              <w:top w:val="nil"/>
              <w:left w:val="nil"/>
              <w:bottom w:val="nil"/>
              <w:right w:val="nil"/>
            </w:tcBorders>
            <w:shd w:val="clear" w:color="auto" w:fill="auto"/>
            <w:noWrap/>
            <w:vAlign w:val="center"/>
            <w:hideMark/>
          </w:tcPr>
          <w:p w14:paraId="02B3E8A5"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center"/>
            <w:hideMark/>
          </w:tcPr>
          <w:p w14:paraId="4AF0A4B5"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p>
        </w:tc>
        <w:tc>
          <w:tcPr>
            <w:tcW w:w="850" w:type="dxa"/>
            <w:tcBorders>
              <w:top w:val="nil"/>
              <w:left w:val="nil"/>
              <w:bottom w:val="nil"/>
              <w:right w:val="single" w:sz="4" w:space="0" w:color="auto"/>
            </w:tcBorders>
            <w:shd w:val="clear" w:color="auto" w:fill="auto"/>
            <w:noWrap/>
            <w:vAlign w:val="center"/>
            <w:hideMark/>
          </w:tcPr>
          <w:p w14:paraId="0CEB9863"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p>
        </w:tc>
        <w:tc>
          <w:tcPr>
            <w:tcW w:w="851" w:type="dxa"/>
            <w:tcBorders>
              <w:top w:val="nil"/>
              <w:left w:val="nil"/>
              <w:bottom w:val="nil"/>
              <w:right w:val="single" w:sz="4" w:space="0" w:color="auto"/>
            </w:tcBorders>
            <w:shd w:val="clear" w:color="auto" w:fill="auto"/>
            <w:noWrap/>
            <w:vAlign w:val="center"/>
            <w:hideMark/>
          </w:tcPr>
          <w:p w14:paraId="4541D645"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09C5F9C6"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p>
        </w:tc>
        <w:tc>
          <w:tcPr>
            <w:tcW w:w="875" w:type="dxa"/>
            <w:tcBorders>
              <w:top w:val="nil"/>
              <w:left w:val="nil"/>
              <w:bottom w:val="nil"/>
              <w:right w:val="single" w:sz="4" w:space="0" w:color="auto"/>
            </w:tcBorders>
            <w:shd w:val="clear" w:color="auto" w:fill="auto"/>
            <w:noWrap/>
            <w:vAlign w:val="center"/>
            <w:hideMark/>
          </w:tcPr>
          <w:p w14:paraId="0B0BD934"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p>
        </w:tc>
        <w:tc>
          <w:tcPr>
            <w:tcW w:w="670" w:type="dxa"/>
            <w:tcBorders>
              <w:top w:val="nil"/>
              <w:left w:val="nil"/>
              <w:bottom w:val="nil"/>
              <w:right w:val="single" w:sz="4" w:space="0" w:color="auto"/>
            </w:tcBorders>
            <w:shd w:val="clear" w:color="auto" w:fill="auto"/>
            <w:noWrap/>
            <w:vAlign w:val="center"/>
            <w:hideMark/>
          </w:tcPr>
          <w:p w14:paraId="6098632D"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p>
        </w:tc>
        <w:tc>
          <w:tcPr>
            <w:tcW w:w="709" w:type="dxa"/>
            <w:tcBorders>
              <w:top w:val="nil"/>
              <w:left w:val="nil"/>
              <w:bottom w:val="nil"/>
              <w:right w:val="single" w:sz="4" w:space="0" w:color="auto"/>
            </w:tcBorders>
            <w:shd w:val="clear" w:color="auto" w:fill="auto"/>
            <w:noWrap/>
            <w:vAlign w:val="center"/>
            <w:hideMark/>
          </w:tcPr>
          <w:p w14:paraId="51219388"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p>
        </w:tc>
        <w:tc>
          <w:tcPr>
            <w:tcW w:w="612" w:type="dxa"/>
            <w:tcBorders>
              <w:top w:val="nil"/>
              <w:left w:val="nil"/>
              <w:bottom w:val="nil"/>
              <w:right w:val="single" w:sz="4" w:space="0" w:color="auto"/>
            </w:tcBorders>
            <w:shd w:val="clear" w:color="auto" w:fill="auto"/>
            <w:noWrap/>
            <w:vAlign w:val="center"/>
            <w:hideMark/>
          </w:tcPr>
          <w:p w14:paraId="1025AE9D"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p>
        </w:tc>
        <w:tc>
          <w:tcPr>
            <w:tcW w:w="806" w:type="dxa"/>
            <w:tcBorders>
              <w:top w:val="nil"/>
              <w:left w:val="nil"/>
              <w:bottom w:val="nil"/>
              <w:right w:val="single" w:sz="4" w:space="0" w:color="auto"/>
            </w:tcBorders>
            <w:shd w:val="clear" w:color="auto" w:fill="auto"/>
            <w:noWrap/>
            <w:vAlign w:val="center"/>
            <w:hideMark/>
          </w:tcPr>
          <w:p w14:paraId="10A86739"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p>
        </w:tc>
        <w:tc>
          <w:tcPr>
            <w:tcW w:w="1040" w:type="dxa"/>
            <w:tcBorders>
              <w:top w:val="nil"/>
              <w:left w:val="nil"/>
              <w:bottom w:val="nil"/>
              <w:right w:val="single" w:sz="4" w:space="0" w:color="auto"/>
            </w:tcBorders>
            <w:shd w:val="clear" w:color="auto" w:fill="auto"/>
            <w:noWrap/>
            <w:vAlign w:val="center"/>
            <w:hideMark/>
          </w:tcPr>
          <w:p w14:paraId="278CB34D"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p>
        </w:tc>
        <w:tc>
          <w:tcPr>
            <w:tcW w:w="802" w:type="dxa"/>
            <w:tcBorders>
              <w:top w:val="nil"/>
              <w:left w:val="nil"/>
              <w:bottom w:val="nil"/>
              <w:right w:val="single" w:sz="4" w:space="0" w:color="auto"/>
            </w:tcBorders>
            <w:shd w:val="clear" w:color="auto" w:fill="auto"/>
            <w:noWrap/>
            <w:vAlign w:val="center"/>
            <w:hideMark/>
          </w:tcPr>
          <w:p w14:paraId="5BC75049"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p>
        </w:tc>
      </w:tr>
      <w:tr w:rsidR="009630A9" w:rsidRPr="000C156A" w14:paraId="140DD678" w14:textId="77777777" w:rsidTr="00CD0CEA">
        <w:trPr>
          <w:trHeight w:val="246"/>
          <w:jc w:val="center"/>
        </w:trPr>
        <w:tc>
          <w:tcPr>
            <w:tcW w:w="1980" w:type="dxa"/>
            <w:tcBorders>
              <w:top w:val="single" w:sz="4" w:space="0" w:color="auto"/>
              <w:left w:val="single" w:sz="4" w:space="0" w:color="auto"/>
              <w:bottom w:val="single" w:sz="4" w:space="0" w:color="auto"/>
              <w:right w:val="nil"/>
            </w:tcBorders>
            <w:shd w:val="clear" w:color="auto" w:fill="auto"/>
            <w:vAlign w:val="center"/>
            <w:hideMark/>
          </w:tcPr>
          <w:p w14:paraId="63148CE4" w14:textId="77777777" w:rsidR="009630A9" w:rsidRPr="000C156A" w:rsidRDefault="009630A9" w:rsidP="005D02F0">
            <w:pPr>
              <w:overflowPunct/>
              <w:autoSpaceDE/>
              <w:autoSpaceDN/>
              <w:adjustRightInd/>
              <w:spacing w:before="0"/>
              <w:textAlignment w:val="auto"/>
              <w:rPr>
                <w:rFonts w:eastAsia="Times New Roman" w:cs="Calibri"/>
                <w:b/>
                <w:bCs/>
                <w:color w:val="000000"/>
                <w:sz w:val="16"/>
                <w:szCs w:val="16"/>
                <w:lang w:eastAsia="en-GB"/>
              </w:rPr>
            </w:pPr>
            <w:r w:rsidRPr="000C156A">
              <w:rPr>
                <w:rFonts w:asciiTheme="minorHAnsi" w:hAnsiTheme="minorHAnsi" w:cs="Arial" w:hint="eastAsia"/>
                <w:b/>
                <w:bCs/>
                <w:color w:val="000000"/>
                <w:sz w:val="16"/>
                <w:szCs w:val="16"/>
                <w:lang w:val="en-US" w:eastAsia="zh-CN"/>
              </w:rPr>
              <w:t>本期盈余</w:t>
            </w:r>
            <w:r w:rsidRPr="000C156A">
              <w:rPr>
                <w:rFonts w:asciiTheme="minorHAnsi" w:hAnsiTheme="minorHAnsi" w:cs="Arial" w:hint="eastAsia"/>
                <w:b/>
                <w:bCs/>
                <w:color w:val="000000"/>
                <w:sz w:val="16"/>
                <w:szCs w:val="16"/>
                <w:lang w:val="en-US" w:eastAsia="zh-CN"/>
              </w:rPr>
              <w:t>/</w:t>
            </w:r>
            <w:r w:rsidRPr="000C156A">
              <w:rPr>
                <w:rFonts w:asciiTheme="minorHAnsi" w:hAnsiTheme="minorHAnsi" w:cs="Arial" w:hint="eastAsia"/>
                <w:b/>
                <w:bCs/>
                <w:color w:val="000000"/>
                <w:sz w:val="16"/>
                <w:szCs w:val="16"/>
                <w:lang w:val="en-US" w:eastAsia="zh-CN"/>
              </w:rPr>
              <w:t>（赤字）</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DE9E3" w14:textId="06198174"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-71</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243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1B261E2" w14:textId="4A50BF1D"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10</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077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36212B1" w14:textId="738E884C"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-4</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569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473BFE2" w14:textId="7C89B912"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-28</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080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79501B0" w14:textId="40ACD999"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40</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446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A6EACCF" w14:textId="0E80F03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-53</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368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2E83BF1"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25075FA" w14:textId="33BB225B"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9</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665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53CAC119"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-401</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245ECEA6"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-208</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642A85BA" w14:textId="047ABB89"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-1</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019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591F17" w14:textId="5AC754A0"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14:paraId="4C0A8C1F"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4BAE6823" w14:textId="097EEE43"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-1</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928</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CDDEF9C" w14:textId="77777777"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693E3F43" w14:textId="0F20A77F" w:rsidR="009630A9" w:rsidRPr="000C156A" w:rsidRDefault="009630A9" w:rsidP="00CD0CEA">
            <w:pPr>
              <w:overflowPunct/>
              <w:autoSpaceDE/>
              <w:autoSpaceDN/>
              <w:adjustRightInd/>
              <w:spacing w:before="0"/>
              <w:jc w:val="right"/>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-47</w:t>
            </w:r>
            <w:r w:rsidR="00B634EB" w:rsidRPr="000C156A">
              <w:rPr>
                <w:rFonts w:eastAsia="Times New Roman" w:cs="Calibri"/>
                <w:b/>
                <w:bCs/>
                <w:color w:val="000000"/>
                <w:sz w:val="16"/>
                <w:szCs w:val="16"/>
                <w:lang w:eastAsia="en-GB"/>
              </w:rPr>
              <w:t xml:space="preserve"> </w:t>
            </w:r>
            <w:r w:rsidRPr="000C156A">
              <w:rPr>
                <w:rFonts w:eastAsia="Times New Roman" w:cs="Calibri"/>
                <w:b/>
                <w:bCs/>
                <w:color w:val="000000"/>
                <w:sz w:val="16"/>
                <w:szCs w:val="16"/>
                <w:lang w:eastAsia="en-GB"/>
              </w:rPr>
              <w:t>259</w:t>
            </w:r>
          </w:p>
        </w:tc>
      </w:tr>
    </w:tbl>
    <w:p w14:paraId="71E966FF" w14:textId="77777777" w:rsidR="009630A9" w:rsidRPr="000C156A" w:rsidRDefault="009630A9" w:rsidP="009630A9">
      <w:pPr>
        <w:pStyle w:val="Headingb"/>
        <w:spacing w:before="0" w:after="120"/>
        <w:rPr>
          <w:rFonts w:cs="Microsoft YaHei"/>
          <w:lang w:val="fr-FR" w:eastAsia="zh-CN"/>
        </w:rPr>
      </w:pPr>
      <w:r w:rsidRPr="000C156A">
        <w:rPr>
          <w:rFonts w:cs="Microsoft YaHei"/>
          <w:lang w:val="fr-FR" w:eastAsia="zh-CN"/>
        </w:rPr>
        <w:br w:type="page"/>
      </w:r>
    </w:p>
    <w:p w14:paraId="222147B0" w14:textId="56718CC6" w:rsidR="009630A9" w:rsidRPr="000C156A" w:rsidRDefault="009630A9" w:rsidP="00E43A2D">
      <w:pPr>
        <w:pStyle w:val="Heading1"/>
        <w:spacing w:before="240" w:after="240"/>
        <w:rPr>
          <w:rFonts w:cs="Microsoft YaHei"/>
          <w:sz w:val="24"/>
          <w:szCs w:val="24"/>
          <w:lang w:val="fr-FR" w:eastAsia="zh-CN"/>
        </w:rPr>
      </w:pPr>
      <w:bookmarkStart w:id="985" w:name="_Toc73518726"/>
      <w:bookmarkStart w:id="986" w:name="_Toc73518873"/>
      <w:bookmarkStart w:id="987" w:name="_Toc73519273"/>
      <w:bookmarkStart w:id="988" w:name="_Toc73636312"/>
      <w:r w:rsidRPr="000C156A">
        <w:rPr>
          <w:rFonts w:cs="Microsoft YaHei" w:hint="eastAsia"/>
          <w:sz w:val="24"/>
          <w:szCs w:val="24"/>
          <w:lang w:val="fr-FR" w:eastAsia="zh-CN"/>
        </w:rPr>
        <w:lastRenderedPageBreak/>
        <w:t>分部门报告</w:t>
      </w:r>
      <w:r w:rsidRPr="000C156A">
        <w:rPr>
          <w:rFonts w:cs="Microsoft YaHei" w:hint="eastAsia"/>
          <w:sz w:val="24"/>
          <w:szCs w:val="24"/>
          <w:lang w:val="fr-FR" w:eastAsia="zh-CN"/>
        </w:rPr>
        <w:t xml:space="preserve"> </w:t>
      </w:r>
      <w:r w:rsidRPr="000C156A">
        <w:rPr>
          <w:rFonts w:cs="Microsoft YaHei"/>
          <w:sz w:val="24"/>
          <w:szCs w:val="24"/>
          <w:lang w:val="fr-FR" w:eastAsia="zh-CN"/>
        </w:rPr>
        <w:t xml:space="preserve">– </w:t>
      </w:r>
      <w:r w:rsidR="00B67A45">
        <w:rPr>
          <w:rFonts w:cs="Microsoft YaHei"/>
          <w:sz w:val="24"/>
          <w:szCs w:val="24"/>
          <w:lang w:val="fr-FR" w:eastAsia="zh-CN"/>
        </w:rPr>
        <w:t>2019</w:t>
      </w:r>
      <w:r w:rsidR="00B67A45">
        <w:rPr>
          <w:rFonts w:cs="Microsoft YaHei" w:hint="eastAsia"/>
          <w:sz w:val="24"/>
          <w:szCs w:val="24"/>
          <w:lang w:val="fr-FR" w:eastAsia="zh-CN"/>
        </w:rPr>
        <w:t>年</w:t>
      </w:r>
      <w:r w:rsidRPr="000C156A">
        <w:rPr>
          <w:rFonts w:cs="Microsoft YaHei" w:hint="eastAsia"/>
          <w:sz w:val="24"/>
          <w:szCs w:val="24"/>
          <w:lang w:val="fr-FR" w:eastAsia="zh-CN"/>
        </w:rPr>
        <w:t>财务业绩报表</w:t>
      </w:r>
      <w:bookmarkEnd w:id="971"/>
      <w:bookmarkEnd w:id="972"/>
      <w:bookmarkEnd w:id="973"/>
      <w:bookmarkEnd w:id="974"/>
      <w:bookmarkEnd w:id="975"/>
      <w:bookmarkEnd w:id="976"/>
      <w:bookmarkEnd w:id="977"/>
      <w:bookmarkEnd w:id="978"/>
      <w:bookmarkEnd w:id="979"/>
      <w:bookmarkEnd w:id="980"/>
      <w:bookmarkEnd w:id="981"/>
      <w:bookmarkEnd w:id="982"/>
      <w:bookmarkEnd w:id="985"/>
      <w:bookmarkEnd w:id="986"/>
      <w:bookmarkEnd w:id="987"/>
      <w:bookmarkEnd w:id="988"/>
    </w:p>
    <w:tbl>
      <w:tblPr>
        <w:tblW w:w="5141" w:type="pct"/>
        <w:tblInd w:w="-289" w:type="dxa"/>
        <w:tblLayout w:type="fixed"/>
        <w:tblLook w:val="04A0" w:firstRow="1" w:lastRow="0" w:firstColumn="1" w:lastColumn="0" w:noHBand="0" w:noVBand="1"/>
      </w:tblPr>
      <w:tblGrid>
        <w:gridCol w:w="1669"/>
        <w:gridCol w:w="769"/>
        <w:gridCol w:w="817"/>
        <w:gridCol w:w="854"/>
        <w:gridCol w:w="768"/>
        <w:gridCol w:w="1027"/>
        <w:gridCol w:w="1041"/>
        <w:gridCol w:w="851"/>
        <w:gridCol w:w="851"/>
        <w:gridCol w:w="598"/>
        <w:gridCol w:w="679"/>
        <w:gridCol w:w="733"/>
        <w:gridCol w:w="644"/>
        <w:gridCol w:w="667"/>
        <w:gridCol w:w="745"/>
        <w:gridCol w:w="895"/>
        <w:gridCol w:w="774"/>
      </w:tblGrid>
      <w:tr w:rsidR="009630A9" w:rsidRPr="000C156A" w14:paraId="2145F47E" w14:textId="77777777" w:rsidTr="005D02F0">
        <w:trPr>
          <w:trHeight w:val="675"/>
        </w:trPr>
        <w:tc>
          <w:tcPr>
            <w:tcW w:w="580" w:type="pct"/>
            <w:tcBorders>
              <w:top w:val="single" w:sz="4" w:space="0" w:color="auto"/>
              <w:left w:val="single" w:sz="4" w:space="0" w:color="auto"/>
              <w:bottom w:val="single" w:sz="4" w:space="0" w:color="auto"/>
              <w:right w:val="nil"/>
            </w:tcBorders>
            <w:shd w:val="clear" w:color="auto" w:fill="auto"/>
            <w:noWrap/>
            <w:vAlign w:val="center"/>
            <w:hideMark/>
          </w:tcPr>
          <w:p w14:paraId="71C7F8EF" w14:textId="77777777" w:rsidR="009630A9" w:rsidRPr="000C156A" w:rsidRDefault="009630A9" w:rsidP="005D02F0">
            <w:pPr>
              <w:overflowPunct/>
              <w:adjustRightInd/>
              <w:spacing w:before="0"/>
              <w:textAlignment w:val="auto"/>
              <w:rPr>
                <w:rFonts w:asciiTheme="minorHAnsi" w:hAnsiTheme="minorHAnsi" w:cs="Arial"/>
                <w:b/>
                <w:bCs/>
                <w:color w:val="000000"/>
                <w:sz w:val="16"/>
                <w:szCs w:val="16"/>
                <w:lang w:val="en-US" w:eastAsia="zh-CN"/>
              </w:rPr>
            </w:pPr>
            <w:r w:rsidRPr="000C156A">
              <w:rPr>
                <w:rFonts w:asciiTheme="minorHAnsi" w:hAnsiTheme="minorHAnsi" w:cs="Arial" w:hint="eastAsia"/>
                <w:b/>
                <w:bCs/>
                <w:color w:val="000000"/>
                <w:sz w:val="16"/>
                <w:szCs w:val="16"/>
                <w:lang w:val="en-US" w:eastAsia="zh-CN"/>
              </w:rPr>
              <w:t>单位</w:t>
            </w:r>
            <w:r w:rsidRPr="000C156A">
              <w:rPr>
                <w:rFonts w:asciiTheme="minorHAnsi" w:hAnsiTheme="minorHAnsi" w:cs="Arial"/>
                <w:b/>
                <w:bCs/>
                <w:color w:val="000000"/>
                <w:sz w:val="16"/>
                <w:szCs w:val="16"/>
                <w:lang w:val="en-US" w:eastAsia="zh-CN"/>
              </w:rPr>
              <w:t>：千瑞郎</w:t>
            </w:r>
          </w:p>
        </w:tc>
        <w:tc>
          <w:tcPr>
            <w:tcW w:w="267" w:type="pct"/>
            <w:tcBorders>
              <w:top w:val="single" w:sz="4" w:space="0" w:color="auto"/>
              <w:left w:val="single" w:sz="4" w:space="0" w:color="auto"/>
              <w:bottom w:val="single" w:sz="4" w:space="0" w:color="auto"/>
              <w:right w:val="nil"/>
            </w:tcBorders>
            <w:shd w:val="clear" w:color="auto" w:fill="auto"/>
            <w:vAlign w:val="center"/>
            <w:hideMark/>
          </w:tcPr>
          <w:p w14:paraId="1FA5EC67" w14:textId="77777777" w:rsidR="009630A9" w:rsidRPr="000C156A" w:rsidRDefault="009630A9" w:rsidP="005D02F0">
            <w:pPr>
              <w:snapToGrid w:val="0"/>
              <w:spacing w:before="0"/>
              <w:jc w:val="center"/>
              <w:rPr>
                <w:b/>
                <w:noProof/>
                <w:sz w:val="16"/>
                <w:szCs w:val="16"/>
                <w:lang w:val="en-US"/>
              </w:rPr>
            </w:pPr>
            <w:r w:rsidRPr="000C156A">
              <w:rPr>
                <w:rFonts w:hint="eastAsia"/>
                <w:b/>
                <w:noProof/>
                <w:sz w:val="16"/>
                <w:szCs w:val="16"/>
                <w:lang w:val="en-US"/>
              </w:rPr>
              <w:t>总秘</w:t>
            </w:r>
            <w:r w:rsidRPr="000C156A">
              <w:rPr>
                <w:b/>
                <w:noProof/>
                <w:sz w:val="16"/>
                <w:szCs w:val="16"/>
                <w:lang w:val="en-US" w:eastAsia="zh-CN"/>
              </w:rPr>
              <w:br/>
            </w:r>
            <w:r w:rsidRPr="000C156A">
              <w:rPr>
                <w:rFonts w:hint="eastAsia"/>
                <w:b/>
                <w:noProof/>
                <w:sz w:val="16"/>
                <w:szCs w:val="16"/>
                <w:lang w:val="en-US"/>
              </w:rPr>
              <w:t>书处</w:t>
            </w:r>
          </w:p>
        </w:tc>
        <w:tc>
          <w:tcPr>
            <w:tcW w:w="284" w:type="pct"/>
            <w:tcBorders>
              <w:top w:val="single" w:sz="4" w:space="0" w:color="auto"/>
              <w:left w:val="single" w:sz="4" w:space="0" w:color="auto"/>
              <w:bottom w:val="single" w:sz="4" w:space="0" w:color="auto"/>
              <w:right w:val="nil"/>
            </w:tcBorders>
            <w:shd w:val="clear" w:color="auto" w:fill="auto"/>
            <w:vAlign w:val="center"/>
            <w:hideMark/>
          </w:tcPr>
          <w:p w14:paraId="3B6ADD65" w14:textId="77777777" w:rsidR="009630A9" w:rsidRPr="000C156A" w:rsidRDefault="009630A9" w:rsidP="005D02F0">
            <w:pPr>
              <w:snapToGrid w:val="0"/>
              <w:spacing w:before="0"/>
              <w:jc w:val="center"/>
              <w:rPr>
                <w:b/>
                <w:noProof/>
                <w:sz w:val="16"/>
                <w:szCs w:val="16"/>
                <w:lang w:val="en-US" w:eastAsia="zh-CN"/>
              </w:rPr>
            </w:pPr>
            <w:r w:rsidRPr="000C156A">
              <w:rPr>
                <w:rFonts w:hint="eastAsia"/>
                <w:b/>
                <w:noProof/>
                <w:sz w:val="16"/>
                <w:szCs w:val="16"/>
                <w:lang w:val="en-US"/>
              </w:rPr>
              <w:t>无线电通信</w:t>
            </w:r>
            <w:r w:rsidRPr="000C156A">
              <w:rPr>
                <w:b/>
                <w:noProof/>
                <w:sz w:val="16"/>
                <w:szCs w:val="16"/>
                <w:lang w:val="en-US" w:eastAsia="zh-CN"/>
              </w:rPr>
              <w:br/>
            </w:r>
            <w:r w:rsidRPr="000C156A">
              <w:rPr>
                <w:rFonts w:hint="eastAsia"/>
                <w:b/>
                <w:noProof/>
                <w:sz w:val="16"/>
                <w:szCs w:val="16"/>
                <w:lang w:val="en-US"/>
              </w:rPr>
              <w:t>部门</w:t>
            </w:r>
          </w:p>
        </w:tc>
        <w:tc>
          <w:tcPr>
            <w:tcW w:w="297" w:type="pct"/>
            <w:tcBorders>
              <w:top w:val="single" w:sz="4" w:space="0" w:color="auto"/>
              <w:left w:val="single" w:sz="4" w:space="0" w:color="auto"/>
              <w:bottom w:val="single" w:sz="4" w:space="0" w:color="auto"/>
              <w:right w:val="nil"/>
            </w:tcBorders>
            <w:shd w:val="clear" w:color="auto" w:fill="auto"/>
            <w:vAlign w:val="center"/>
            <w:hideMark/>
          </w:tcPr>
          <w:p w14:paraId="0DBC4B74" w14:textId="77777777" w:rsidR="009630A9" w:rsidRPr="000C156A" w:rsidRDefault="009630A9" w:rsidP="005D02F0">
            <w:pPr>
              <w:snapToGrid w:val="0"/>
              <w:spacing w:before="0"/>
              <w:jc w:val="center"/>
              <w:rPr>
                <w:b/>
                <w:noProof/>
                <w:sz w:val="16"/>
                <w:szCs w:val="16"/>
                <w:lang w:val="en-US" w:eastAsia="zh-CN"/>
              </w:rPr>
            </w:pPr>
            <w:r w:rsidRPr="000C156A">
              <w:rPr>
                <w:rFonts w:hint="eastAsia"/>
                <w:b/>
                <w:noProof/>
                <w:sz w:val="16"/>
                <w:szCs w:val="16"/>
                <w:lang w:val="en-US"/>
              </w:rPr>
              <w:t>电信标准化</w:t>
            </w:r>
            <w:r w:rsidRPr="000C156A">
              <w:rPr>
                <w:b/>
                <w:noProof/>
                <w:sz w:val="16"/>
                <w:szCs w:val="16"/>
                <w:lang w:val="en-US" w:eastAsia="zh-CN"/>
              </w:rPr>
              <w:br/>
            </w:r>
            <w:r w:rsidRPr="000C156A">
              <w:rPr>
                <w:rFonts w:hint="eastAsia"/>
                <w:b/>
                <w:noProof/>
                <w:sz w:val="16"/>
                <w:szCs w:val="16"/>
                <w:lang w:val="en-US"/>
              </w:rPr>
              <w:t>部门</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759DD" w14:textId="77777777" w:rsidR="009630A9" w:rsidRPr="000C156A" w:rsidRDefault="009630A9" w:rsidP="005D02F0">
            <w:pPr>
              <w:snapToGrid w:val="0"/>
              <w:spacing w:before="0"/>
              <w:jc w:val="center"/>
              <w:rPr>
                <w:b/>
                <w:noProof/>
                <w:sz w:val="16"/>
                <w:szCs w:val="16"/>
                <w:lang w:val="en-US" w:eastAsia="zh-CN"/>
              </w:rPr>
            </w:pPr>
            <w:r w:rsidRPr="000C156A">
              <w:rPr>
                <w:rFonts w:hint="eastAsia"/>
                <w:b/>
                <w:noProof/>
                <w:sz w:val="16"/>
                <w:szCs w:val="16"/>
                <w:lang w:val="en-US"/>
              </w:rPr>
              <w:t>电信发展部门</w:t>
            </w:r>
          </w:p>
        </w:tc>
        <w:tc>
          <w:tcPr>
            <w:tcW w:w="357" w:type="pct"/>
            <w:tcBorders>
              <w:top w:val="single" w:sz="4" w:space="0" w:color="auto"/>
              <w:left w:val="nil"/>
              <w:bottom w:val="single" w:sz="4" w:space="0" w:color="auto"/>
              <w:right w:val="nil"/>
            </w:tcBorders>
            <w:shd w:val="clear" w:color="auto" w:fill="auto"/>
            <w:vAlign w:val="center"/>
            <w:hideMark/>
          </w:tcPr>
          <w:p w14:paraId="2E2F3A05" w14:textId="1B1265B4" w:rsidR="009630A9" w:rsidRPr="000C156A" w:rsidRDefault="009630A9" w:rsidP="0011120B">
            <w:pPr>
              <w:snapToGrid w:val="0"/>
              <w:spacing w:before="0"/>
              <w:jc w:val="center"/>
              <w:rPr>
                <w:b/>
                <w:noProof/>
                <w:sz w:val="16"/>
                <w:szCs w:val="16"/>
                <w:lang w:val="en-US" w:eastAsia="zh-CN"/>
              </w:rPr>
            </w:pPr>
            <w:r w:rsidRPr="000C156A">
              <w:rPr>
                <w:rFonts w:hint="eastAsia"/>
                <w:b/>
                <w:noProof/>
                <w:sz w:val="16"/>
                <w:szCs w:val="16"/>
                <w:lang w:val="en-US" w:eastAsia="zh-CN"/>
              </w:rPr>
              <w:t>不归属任何一个分部门</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D19746" w14:textId="77777777" w:rsidR="009630A9" w:rsidRPr="000C156A" w:rsidRDefault="009630A9" w:rsidP="005D02F0">
            <w:pPr>
              <w:overflowPunct/>
              <w:adjustRightInd/>
              <w:spacing w:before="0"/>
              <w:jc w:val="center"/>
              <w:textAlignment w:val="auto"/>
              <w:rPr>
                <w:rFonts w:asciiTheme="minorHAnsi" w:hAnsiTheme="minorHAnsi" w:cs="Arial"/>
                <w:b/>
                <w:bCs/>
                <w:color w:val="000000"/>
                <w:sz w:val="16"/>
                <w:szCs w:val="16"/>
                <w:lang w:val="en-US" w:eastAsia="zh-CN"/>
              </w:rPr>
            </w:pPr>
            <w:r w:rsidRPr="000C156A">
              <w:rPr>
                <w:b/>
                <w:noProof/>
                <w:sz w:val="16"/>
                <w:szCs w:val="16"/>
                <w:lang w:val="en-US" w:eastAsia="zh-CN"/>
              </w:rPr>
              <w:t>1000+1010</w:t>
            </w:r>
            <w:r w:rsidRPr="000C156A">
              <w:rPr>
                <w:rFonts w:hint="eastAsia"/>
                <w:b/>
                <w:noProof/>
                <w:sz w:val="16"/>
                <w:szCs w:val="16"/>
                <w:lang w:val="en-US" w:eastAsia="zh-CN"/>
              </w:rPr>
              <w:t>资金合计</w:t>
            </w:r>
          </w:p>
        </w:tc>
        <w:tc>
          <w:tcPr>
            <w:tcW w:w="296" w:type="pct"/>
            <w:tcBorders>
              <w:top w:val="single" w:sz="4" w:space="0" w:color="auto"/>
              <w:left w:val="nil"/>
              <w:bottom w:val="single" w:sz="4" w:space="0" w:color="auto"/>
              <w:right w:val="single" w:sz="4" w:space="0" w:color="auto"/>
            </w:tcBorders>
            <w:shd w:val="clear" w:color="auto" w:fill="auto"/>
            <w:vAlign w:val="center"/>
            <w:hideMark/>
          </w:tcPr>
          <w:p w14:paraId="57A540E1" w14:textId="77777777" w:rsidR="009630A9" w:rsidRPr="000C156A" w:rsidRDefault="009630A9" w:rsidP="005D02F0">
            <w:pPr>
              <w:overflowPunct/>
              <w:adjustRightInd/>
              <w:spacing w:before="0"/>
              <w:jc w:val="center"/>
              <w:textAlignment w:val="auto"/>
              <w:rPr>
                <w:rFonts w:asciiTheme="minorHAnsi" w:hAnsiTheme="minorHAnsi" w:cs="Arial"/>
                <w:b/>
                <w:bCs/>
                <w:color w:val="000000"/>
                <w:sz w:val="16"/>
                <w:szCs w:val="16"/>
                <w:lang w:val="en-US" w:eastAsia="zh-CN"/>
              </w:rPr>
            </w:pPr>
            <w:r w:rsidRPr="000C156A">
              <w:rPr>
                <w:rFonts w:asciiTheme="minorHAnsi" w:hAnsiTheme="minorHAnsi" w:cs="Arial" w:hint="eastAsia"/>
                <w:b/>
                <w:bCs/>
                <w:color w:val="000000"/>
                <w:sz w:val="16"/>
                <w:szCs w:val="16"/>
                <w:lang w:val="en-US" w:eastAsia="zh-CN"/>
              </w:rPr>
              <w:t>新办公楼</w:t>
            </w:r>
            <w:r w:rsidRPr="000C156A">
              <w:rPr>
                <w:rFonts w:asciiTheme="minorHAnsi" w:hAnsiTheme="minorHAnsi" w:cs="Arial"/>
                <w:b/>
                <w:bCs/>
                <w:color w:val="000000"/>
                <w:sz w:val="16"/>
                <w:szCs w:val="16"/>
                <w:lang w:val="en-US" w:eastAsia="zh-CN"/>
              </w:rPr>
              <w:t>基金</w:t>
            </w:r>
          </w:p>
        </w:tc>
        <w:tc>
          <w:tcPr>
            <w:tcW w:w="296" w:type="pct"/>
            <w:tcBorders>
              <w:top w:val="single" w:sz="4" w:space="0" w:color="auto"/>
              <w:left w:val="nil"/>
              <w:bottom w:val="single" w:sz="4" w:space="0" w:color="auto"/>
              <w:right w:val="single" w:sz="4" w:space="0" w:color="auto"/>
            </w:tcBorders>
            <w:shd w:val="clear" w:color="auto" w:fill="auto"/>
            <w:vAlign w:val="center"/>
            <w:hideMark/>
          </w:tcPr>
          <w:p w14:paraId="79B6D984" w14:textId="77777777" w:rsidR="009630A9" w:rsidRPr="000C156A" w:rsidRDefault="009630A9" w:rsidP="005D02F0">
            <w:pPr>
              <w:overflowPunct/>
              <w:autoSpaceDE/>
              <w:autoSpaceDN/>
              <w:adjustRightInd/>
              <w:spacing w:before="0"/>
              <w:jc w:val="center"/>
              <w:textAlignment w:val="auto"/>
              <w:rPr>
                <w:rFonts w:cs="Arial"/>
                <w:b/>
                <w:bCs/>
                <w:color w:val="000000"/>
                <w:sz w:val="16"/>
                <w:szCs w:val="16"/>
                <w:lang w:val="en-US" w:eastAsia="zh-CN"/>
              </w:rPr>
            </w:pPr>
            <w:r w:rsidRPr="000C156A">
              <w:rPr>
                <w:rFonts w:cs="Arial" w:hint="eastAsia"/>
                <w:b/>
                <w:bCs/>
                <w:color w:val="000000"/>
                <w:sz w:val="16"/>
                <w:szCs w:val="16"/>
                <w:lang w:val="en-US" w:eastAsia="zh-CN"/>
              </w:rPr>
              <w:t>新办公楼储备金</w:t>
            </w:r>
          </w:p>
        </w:tc>
        <w:tc>
          <w:tcPr>
            <w:tcW w:w="208" w:type="pct"/>
            <w:tcBorders>
              <w:top w:val="single" w:sz="4" w:space="0" w:color="auto"/>
              <w:left w:val="nil"/>
              <w:bottom w:val="single" w:sz="4" w:space="0" w:color="auto"/>
              <w:right w:val="single" w:sz="4" w:space="0" w:color="auto"/>
            </w:tcBorders>
            <w:shd w:val="clear" w:color="auto" w:fill="auto"/>
            <w:vAlign w:val="center"/>
            <w:hideMark/>
          </w:tcPr>
          <w:p w14:paraId="76C39EBA" w14:textId="77777777" w:rsidR="009630A9" w:rsidRPr="000C156A" w:rsidRDefault="009630A9" w:rsidP="005D02F0">
            <w:pPr>
              <w:snapToGrid w:val="0"/>
              <w:spacing w:before="0"/>
              <w:jc w:val="center"/>
              <w:rPr>
                <w:b/>
                <w:noProof/>
                <w:sz w:val="16"/>
                <w:szCs w:val="16"/>
                <w:lang w:val="en-US" w:eastAsia="zh-CN"/>
              </w:rPr>
            </w:pPr>
            <w:r w:rsidRPr="000C156A">
              <w:rPr>
                <w:rFonts w:hint="eastAsia"/>
                <w:b/>
                <w:noProof/>
                <w:sz w:val="16"/>
                <w:szCs w:val="16"/>
                <w:lang w:val="en-US" w:eastAsia="zh-CN"/>
              </w:rPr>
              <w:t>保险</w:t>
            </w:r>
            <w:r w:rsidRPr="000C156A">
              <w:rPr>
                <w:b/>
                <w:noProof/>
                <w:sz w:val="16"/>
                <w:szCs w:val="16"/>
                <w:lang w:val="en-US" w:eastAsia="zh-CN"/>
              </w:rPr>
              <w:br/>
            </w:r>
            <w:r w:rsidRPr="000C156A">
              <w:rPr>
                <w:rFonts w:hint="eastAsia"/>
                <w:b/>
                <w:noProof/>
                <w:sz w:val="16"/>
                <w:szCs w:val="16"/>
                <w:lang w:val="en-US" w:eastAsia="zh-CN"/>
              </w:rPr>
              <w:t>资金</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49AD367D" w14:textId="77777777" w:rsidR="009630A9" w:rsidRPr="000C156A" w:rsidRDefault="009630A9" w:rsidP="005D02F0">
            <w:pPr>
              <w:snapToGrid w:val="0"/>
              <w:spacing w:before="0"/>
              <w:jc w:val="center"/>
              <w:rPr>
                <w:b/>
                <w:noProof/>
                <w:sz w:val="16"/>
                <w:szCs w:val="16"/>
                <w:lang w:val="en-US" w:eastAsia="zh-CN"/>
              </w:rPr>
            </w:pPr>
            <w:r w:rsidRPr="000C156A">
              <w:rPr>
                <w:rFonts w:hint="eastAsia"/>
                <w:b/>
                <w:noProof/>
                <w:sz w:val="16"/>
                <w:szCs w:val="16"/>
                <w:lang w:val="en-US" w:eastAsia="zh-CN"/>
              </w:rPr>
              <w:t>自愿</w:t>
            </w:r>
            <w:r w:rsidRPr="000C156A">
              <w:rPr>
                <w:b/>
                <w:noProof/>
                <w:sz w:val="16"/>
                <w:szCs w:val="16"/>
                <w:lang w:val="en-US" w:eastAsia="zh-CN"/>
              </w:rPr>
              <w:br/>
            </w:r>
            <w:r w:rsidRPr="000C156A">
              <w:rPr>
                <w:rFonts w:hint="eastAsia"/>
                <w:b/>
                <w:noProof/>
                <w:sz w:val="16"/>
                <w:szCs w:val="16"/>
                <w:lang w:val="en-US" w:eastAsia="zh-CN"/>
              </w:rPr>
              <w:t>捐款</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15102910" w14:textId="77777777" w:rsidR="009630A9" w:rsidRPr="000C156A" w:rsidRDefault="009630A9" w:rsidP="005D02F0">
            <w:pPr>
              <w:overflowPunct/>
              <w:adjustRightInd/>
              <w:spacing w:before="0"/>
              <w:jc w:val="center"/>
              <w:textAlignment w:val="auto"/>
              <w:rPr>
                <w:rFonts w:asciiTheme="minorHAnsi" w:hAnsiTheme="minorHAnsi" w:cs="Arial"/>
                <w:b/>
                <w:bCs/>
                <w:color w:val="000000"/>
                <w:sz w:val="16"/>
                <w:szCs w:val="16"/>
                <w:lang w:val="en-US" w:eastAsia="zh-CN"/>
              </w:rPr>
            </w:pPr>
            <w:r w:rsidRPr="000C156A">
              <w:rPr>
                <w:rFonts w:asciiTheme="minorHAnsi" w:hAnsiTheme="minorHAnsi" w:cs="Arial"/>
                <w:b/>
                <w:bCs/>
                <w:color w:val="000000"/>
                <w:sz w:val="16"/>
                <w:szCs w:val="16"/>
                <w:lang w:val="en-US" w:eastAsia="zh-CN"/>
              </w:rPr>
              <w:t xml:space="preserve">FIT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28040183" w14:textId="77777777" w:rsidR="009630A9" w:rsidRPr="000C156A" w:rsidRDefault="009630A9" w:rsidP="005D02F0">
            <w:pPr>
              <w:snapToGrid w:val="0"/>
              <w:spacing w:before="0"/>
              <w:jc w:val="center"/>
              <w:rPr>
                <w:b/>
                <w:noProof/>
                <w:sz w:val="16"/>
                <w:szCs w:val="16"/>
                <w:lang w:val="en-US" w:eastAsia="zh-CN"/>
              </w:rPr>
            </w:pPr>
            <w:r w:rsidRPr="000C156A">
              <w:rPr>
                <w:b/>
                <w:noProof/>
                <w:sz w:val="16"/>
                <w:szCs w:val="16"/>
                <w:lang w:val="en-US" w:eastAsia="zh-CN"/>
              </w:rPr>
              <w:t>ICT</w:t>
            </w:r>
            <w:r w:rsidRPr="000C156A">
              <w:rPr>
                <w:b/>
                <w:noProof/>
                <w:sz w:val="16"/>
                <w:szCs w:val="16"/>
                <w:lang w:val="en-US" w:eastAsia="zh-CN"/>
              </w:rPr>
              <w:br/>
            </w:r>
            <w:r w:rsidRPr="000C156A">
              <w:rPr>
                <w:rFonts w:hint="eastAsia"/>
                <w:b/>
                <w:noProof/>
                <w:sz w:val="16"/>
                <w:szCs w:val="16"/>
                <w:lang w:val="en-US" w:eastAsia="zh-CN"/>
              </w:rPr>
              <w:t>发展</w:t>
            </w:r>
            <w:r w:rsidRPr="000C156A">
              <w:rPr>
                <w:b/>
                <w:noProof/>
                <w:sz w:val="16"/>
                <w:szCs w:val="16"/>
                <w:lang w:val="en-US" w:eastAsia="zh-CN"/>
              </w:rPr>
              <w:br/>
            </w:r>
            <w:r w:rsidRPr="000C156A">
              <w:rPr>
                <w:rFonts w:hint="eastAsia"/>
                <w:b/>
                <w:noProof/>
                <w:sz w:val="16"/>
                <w:szCs w:val="16"/>
                <w:lang w:val="en-US" w:eastAsia="zh-CN"/>
              </w:rPr>
              <w:t>基金</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3CBAC8FF" w14:textId="77777777" w:rsidR="009630A9" w:rsidRPr="000C156A" w:rsidRDefault="009630A9" w:rsidP="005D02F0">
            <w:pPr>
              <w:snapToGrid w:val="0"/>
              <w:spacing w:before="0"/>
              <w:jc w:val="center"/>
              <w:rPr>
                <w:b/>
                <w:noProof/>
                <w:sz w:val="16"/>
                <w:szCs w:val="16"/>
                <w:lang w:val="en-US" w:eastAsia="zh-CN"/>
              </w:rPr>
            </w:pPr>
            <w:r w:rsidRPr="000C156A">
              <w:rPr>
                <w:b/>
                <w:noProof/>
                <w:sz w:val="16"/>
                <w:szCs w:val="16"/>
                <w:lang w:val="en-US" w:eastAsia="zh-CN"/>
              </w:rPr>
              <w:t>UNDP</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64BDA046" w14:textId="77777777" w:rsidR="009630A9" w:rsidRPr="000C156A" w:rsidRDefault="009630A9" w:rsidP="005D02F0">
            <w:pPr>
              <w:snapToGrid w:val="0"/>
              <w:spacing w:before="0"/>
              <w:jc w:val="center"/>
              <w:rPr>
                <w:b/>
                <w:noProof/>
                <w:sz w:val="16"/>
                <w:szCs w:val="16"/>
                <w:lang w:val="en-US" w:eastAsia="zh-CN"/>
              </w:rPr>
            </w:pPr>
            <w:r w:rsidRPr="000C156A">
              <w:rPr>
                <w:rFonts w:hint="eastAsia"/>
                <w:b/>
                <w:noProof/>
                <w:sz w:val="16"/>
                <w:szCs w:val="16"/>
                <w:lang w:val="en-US" w:eastAsia="zh-CN"/>
              </w:rPr>
              <w:t>电信展</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59BA7BC3" w14:textId="77777777" w:rsidR="009630A9" w:rsidRPr="000C156A" w:rsidRDefault="009630A9" w:rsidP="005D02F0">
            <w:pPr>
              <w:snapToGrid w:val="0"/>
              <w:spacing w:before="0"/>
              <w:jc w:val="center"/>
              <w:rPr>
                <w:b/>
                <w:noProof/>
                <w:sz w:val="16"/>
                <w:szCs w:val="16"/>
                <w:lang w:val="en-US" w:eastAsia="zh-CN"/>
              </w:rPr>
            </w:pPr>
            <w:r w:rsidRPr="000C156A">
              <w:rPr>
                <w:rFonts w:hint="eastAsia"/>
                <w:b/>
                <w:noProof/>
                <w:sz w:val="16"/>
                <w:szCs w:val="16"/>
                <w:lang w:val="en-US" w:eastAsia="zh-CN"/>
              </w:rPr>
              <w:t>部门间</w:t>
            </w:r>
            <w:r w:rsidRPr="000C156A">
              <w:rPr>
                <w:b/>
                <w:noProof/>
                <w:sz w:val="16"/>
                <w:szCs w:val="16"/>
                <w:lang w:val="en-US" w:eastAsia="zh-CN"/>
              </w:rPr>
              <w:br/>
            </w:r>
            <w:r w:rsidRPr="000C156A">
              <w:rPr>
                <w:rFonts w:hint="eastAsia"/>
                <w:b/>
                <w:noProof/>
                <w:sz w:val="16"/>
                <w:szCs w:val="16"/>
                <w:lang w:val="en-US" w:eastAsia="zh-CN"/>
              </w:rPr>
              <w:t>冲销</w:t>
            </w: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622ADBFA" w14:textId="77777777" w:rsidR="009630A9" w:rsidRPr="000C156A" w:rsidRDefault="009630A9" w:rsidP="005D02F0">
            <w:pPr>
              <w:snapToGrid w:val="0"/>
              <w:spacing w:before="0"/>
              <w:jc w:val="center"/>
              <w:rPr>
                <w:b/>
                <w:noProof/>
                <w:sz w:val="16"/>
                <w:szCs w:val="16"/>
                <w:lang w:val="en-US" w:eastAsia="zh-CN"/>
              </w:rPr>
            </w:pPr>
            <w:r w:rsidRPr="000C156A">
              <w:rPr>
                <w:rFonts w:hint="eastAsia"/>
                <w:b/>
                <w:noProof/>
                <w:sz w:val="16"/>
                <w:szCs w:val="16"/>
                <w:lang w:val="en-US" w:eastAsia="zh-CN"/>
              </w:rPr>
              <w:t>合计</w:t>
            </w:r>
          </w:p>
        </w:tc>
      </w:tr>
      <w:tr w:rsidR="009630A9" w:rsidRPr="000C156A" w14:paraId="0781188A" w14:textId="77777777" w:rsidTr="0011120B">
        <w:trPr>
          <w:trHeight w:val="255"/>
        </w:trPr>
        <w:tc>
          <w:tcPr>
            <w:tcW w:w="580" w:type="pct"/>
            <w:tcBorders>
              <w:top w:val="nil"/>
              <w:left w:val="single" w:sz="4" w:space="0" w:color="auto"/>
              <w:bottom w:val="nil"/>
              <w:right w:val="nil"/>
            </w:tcBorders>
            <w:shd w:val="clear" w:color="auto" w:fill="auto"/>
            <w:vAlign w:val="center"/>
            <w:hideMark/>
          </w:tcPr>
          <w:p w14:paraId="13C1441E" w14:textId="77777777" w:rsidR="009630A9" w:rsidRPr="000C156A" w:rsidRDefault="009630A9" w:rsidP="005D02F0">
            <w:pPr>
              <w:overflowPunct/>
              <w:autoSpaceDE/>
              <w:autoSpaceDN/>
              <w:adjustRightInd/>
              <w:spacing w:before="0"/>
              <w:textAlignment w:val="auto"/>
              <w:rPr>
                <w:rFonts w:cs="Arial"/>
                <w:color w:val="000000"/>
                <w:sz w:val="16"/>
                <w:szCs w:val="16"/>
                <w:lang w:val="en-US" w:eastAsia="zh-CN"/>
              </w:rPr>
            </w:pPr>
            <w:r w:rsidRPr="000C156A">
              <w:rPr>
                <w:rFonts w:cs="Arial"/>
                <w:color w:val="000000"/>
                <w:sz w:val="16"/>
                <w:szCs w:val="16"/>
                <w:lang w:val="en-US" w:eastAsia="zh-CN"/>
              </w:rPr>
              <w:t> </w:t>
            </w:r>
          </w:p>
        </w:tc>
        <w:tc>
          <w:tcPr>
            <w:tcW w:w="267" w:type="pct"/>
            <w:tcBorders>
              <w:top w:val="nil"/>
              <w:left w:val="single" w:sz="4" w:space="0" w:color="auto"/>
              <w:bottom w:val="nil"/>
              <w:right w:val="single" w:sz="4" w:space="0" w:color="auto"/>
            </w:tcBorders>
            <w:shd w:val="clear" w:color="auto" w:fill="auto"/>
            <w:vAlign w:val="center"/>
            <w:hideMark/>
          </w:tcPr>
          <w:p w14:paraId="785EEB2B"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84" w:type="pct"/>
            <w:tcBorders>
              <w:top w:val="nil"/>
              <w:left w:val="nil"/>
              <w:bottom w:val="nil"/>
              <w:right w:val="single" w:sz="4" w:space="0" w:color="auto"/>
            </w:tcBorders>
            <w:shd w:val="clear" w:color="auto" w:fill="auto"/>
            <w:noWrap/>
            <w:vAlign w:val="center"/>
            <w:hideMark/>
          </w:tcPr>
          <w:p w14:paraId="6C70BA45"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97" w:type="pct"/>
            <w:tcBorders>
              <w:top w:val="nil"/>
              <w:left w:val="nil"/>
              <w:bottom w:val="nil"/>
              <w:right w:val="single" w:sz="4" w:space="0" w:color="auto"/>
            </w:tcBorders>
            <w:shd w:val="clear" w:color="auto" w:fill="auto"/>
            <w:noWrap/>
            <w:vAlign w:val="center"/>
            <w:hideMark/>
          </w:tcPr>
          <w:p w14:paraId="3BA6C767"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67" w:type="pct"/>
            <w:tcBorders>
              <w:top w:val="nil"/>
              <w:left w:val="nil"/>
              <w:bottom w:val="nil"/>
              <w:right w:val="single" w:sz="4" w:space="0" w:color="auto"/>
            </w:tcBorders>
            <w:shd w:val="clear" w:color="auto" w:fill="auto"/>
            <w:noWrap/>
            <w:vAlign w:val="center"/>
            <w:hideMark/>
          </w:tcPr>
          <w:p w14:paraId="083C8846"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357" w:type="pct"/>
            <w:tcBorders>
              <w:top w:val="nil"/>
              <w:left w:val="nil"/>
              <w:bottom w:val="nil"/>
              <w:right w:val="nil"/>
            </w:tcBorders>
            <w:shd w:val="clear" w:color="auto" w:fill="auto"/>
            <w:noWrap/>
            <w:vAlign w:val="center"/>
            <w:hideMark/>
          </w:tcPr>
          <w:p w14:paraId="15448E58"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362" w:type="pct"/>
            <w:tcBorders>
              <w:top w:val="nil"/>
              <w:left w:val="single" w:sz="4" w:space="0" w:color="auto"/>
              <w:bottom w:val="nil"/>
              <w:right w:val="single" w:sz="4" w:space="0" w:color="auto"/>
            </w:tcBorders>
            <w:shd w:val="clear" w:color="auto" w:fill="auto"/>
            <w:noWrap/>
            <w:vAlign w:val="center"/>
            <w:hideMark/>
          </w:tcPr>
          <w:p w14:paraId="02158031"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96" w:type="pct"/>
            <w:tcBorders>
              <w:top w:val="nil"/>
              <w:left w:val="nil"/>
              <w:bottom w:val="nil"/>
              <w:right w:val="single" w:sz="4" w:space="0" w:color="auto"/>
            </w:tcBorders>
            <w:shd w:val="clear" w:color="auto" w:fill="auto"/>
            <w:noWrap/>
            <w:vAlign w:val="center"/>
            <w:hideMark/>
          </w:tcPr>
          <w:p w14:paraId="0DE39073"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96" w:type="pct"/>
            <w:tcBorders>
              <w:top w:val="nil"/>
              <w:left w:val="nil"/>
              <w:bottom w:val="nil"/>
              <w:right w:val="single" w:sz="4" w:space="0" w:color="auto"/>
            </w:tcBorders>
            <w:shd w:val="clear" w:color="auto" w:fill="auto"/>
            <w:noWrap/>
            <w:vAlign w:val="center"/>
            <w:hideMark/>
          </w:tcPr>
          <w:p w14:paraId="6E294B8B"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08" w:type="pct"/>
            <w:tcBorders>
              <w:top w:val="nil"/>
              <w:left w:val="nil"/>
              <w:bottom w:val="nil"/>
              <w:right w:val="single" w:sz="4" w:space="0" w:color="auto"/>
            </w:tcBorders>
            <w:shd w:val="clear" w:color="auto" w:fill="auto"/>
            <w:noWrap/>
            <w:vAlign w:val="center"/>
            <w:hideMark/>
          </w:tcPr>
          <w:p w14:paraId="4143F414"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36" w:type="pct"/>
            <w:tcBorders>
              <w:top w:val="nil"/>
              <w:left w:val="nil"/>
              <w:bottom w:val="nil"/>
              <w:right w:val="single" w:sz="4" w:space="0" w:color="auto"/>
            </w:tcBorders>
            <w:shd w:val="clear" w:color="auto" w:fill="auto"/>
            <w:noWrap/>
            <w:vAlign w:val="center"/>
            <w:hideMark/>
          </w:tcPr>
          <w:p w14:paraId="66F78259"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55" w:type="pct"/>
            <w:tcBorders>
              <w:top w:val="nil"/>
              <w:left w:val="nil"/>
              <w:bottom w:val="nil"/>
              <w:right w:val="single" w:sz="4" w:space="0" w:color="auto"/>
            </w:tcBorders>
            <w:shd w:val="clear" w:color="auto" w:fill="auto"/>
            <w:noWrap/>
            <w:vAlign w:val="center"/>
            <w:hideMark/>
          </w:tcPr>
          <w:p w14:paraId="40507D6E"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24" w:type="pct"/>
            <w:tcBorders>
              <w:top w:val="nil"/>
              <w:left w:val="nil"/>
              <w:bottom w:val="nil"/>
              <w:right w:val="single" w:sz="4" w:space="0" w:color="auto"/>
            </w:tcBorders>
            <w:shd w:val="clear" w:color="auto" w:fill="auto"/>
            <w:noWrap/>
            <w:vAlign w:val="center"/>
            <w:hideMark/>
          </w:tcPr>
          <w:p w14:paraId="6AE8AA6B"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32" w:type="pct"/>
            <w:tcBorders>
              <w:top w:val="nil"/>
              <w:left w:val="nil"/>
              <w:bottom w:val="nil"/>
              <w:right w:val="single" w:sz="4" w:space="0" w:color="auto"/>
            </w:tcBorders>
            <w:shd w:val="clear" w:color="auto" w:fill="auto"/>
            <w:noWrap/>
            <w:vAlign w:val="center"/>
            <w:hideMark/>
          </w:tcPr>
          <w:p w14:paraId="7ADEB351"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59" w:type="pct"/>
            <w:tcBorders>
              <w:top w:val="nil"/>
              <w:left w:val="nil"/>
              <w:bottom w:val="nil"/>
              <w:right w:val="single" w:sz="4" w:space="0" w:color="auto"/>
            </w:tcBorders>
            <w:shd w:val="clear" w:color="auto" w:fill="auto"/>
            <w:noWrap/>
            <w:vAlign w:val="center"/>
            <w:hideMark/>
          </w:tcPr>
          <w:p w14:paraId="4C9232B8"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311" w:type="pct"/>
            <w:tcBorders>
              <w:top w:val="nil"/>
              <w:left w:val="nil"/>
              <w:bottom w:val="nil"/>
              <w:right w:val="single" w:sz="4" w:space="0" w:color="auto"/>
            </w:tcBorders>
            <w:shd w:val="clear" w:color="auto" w:fill="auto"/>
            <w:noWrap/>
            <w:vAlign w:val="center"/>
            <w:hideMark/>
          </w:tcPr>
          <w:p w14:paraId="1FB0A645"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69" w:type="pct"/>
            <w:tcBorders>
              <w:top w:val="nil"/>
              <w:left w:val="nil"/>
              <w:bottom w:val="nil"/>
              <w:right w:val="single" w:sz="4" w:space="0" w:color="auto"/>
            </w:tcBorders>
            <w:shd w:val="clear" w:color="auto" w:fill="auto"/>
            <w:noWrap/>
            <w:vAlign w:val="center"/>
            <w:hideMark/>
          </w:tcPr>
          <w:p w14:paraId="56E76E58"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r>
      <w:tr w:rsidR="009630A9" w:rsidRPr="000C156A" w14:paraId="054FDC53" w14:textId="77777777" w:rsidTr="0011120B">
        <w:trPr>
          <w:trHeight w:val="255"/>
        </w:trPr>
        <w:tc>
          <w:tcPr>
            <w:tcW w:w="580" w:type="pct"/>
            <w:tcBorders>
              <w:top w:val="nil"/>
              <w:left w:val="single" w:sz="4" w:space="0" w:color="auto"/>
              <w:bottom w:val="nil"/>
              <w:right w:val="nil"/>
            </w:tcBorders>
            <w:shd w:val="clear" w:color="auto" w:fill="FFFFFF" w:themeFill="background1"/>
            <w:vAlign w:val="center"/>
            <w:hideMark/>
          </w:tcPr>
          <w:p w14:paraId="7E970F31" w14:textId="77777777" w:rsidR="009630A9" w:rsidRPr="000C156A" w:rsidRDefault="009630A9" w:rsidP="005D02F0">
            <w:pPr>
              <w:overflowPunct/>
              <w:autoSpaceDE/>
              <w:autoSpaceDN/>
              <w:adjustRightInd/>
              <w:spacing w:before="0"/>
              <w:textAlignment w:val="auto"/>
              <w:rPr>
                <w:rFonts w:cs="Arial"/>
                <w:b/>
                <w:bCs/>
                <w:color w:val="000000"/>
                <w:sz w:val="16"/>
                <w:szCs w:val="16"/>
                <w:lang w:val="en-US" w:eastAsia="zh-CN"/>
              </w:rPr>
            </w:pPr>
            <w:r w:rsidRPr="000C156A">
              <w:rPr>
                <w:rFonts w:cs="Arial" w:hint="eastAsia"/>
                <w:b/>
                <w:bCs/>
                <w:color w:val="000000"/>
                <w:sz w:val="16"/>
                <w:szCs w:val="16"/>
                <w:lang w:val="en-US" w:eastAsia="zh-CN"/>
              </w:rPr>
              <w:t>收入</w:t>
            </w:r>
          </w:p>
        </w:tc>
        <w:tc>
          <w:tcPr>
            <w:tcW w:w="267" w:type="pct"/>
            <w:tcBorders>
              <w:top w:val="nil"/>
              <w:left w:val="single" w:sz="4" w:space="0" w:color="auto"/>
              <w:bottom w:val="nil"/>
              <w:right w:val="single" w:sz="4" w:space="0" w:color="auto"/>
            </w:tcBorders>
            <w:shd w:val="clear" w:color="auto" w:fill="auto"/>
            <w:noWrap/>
            <w:vAlign w:val="center"/>
            <w:hideMark/>
          </w:tcPr>
          <w:p w14:paraId="042EB953"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84" w:type="pct"/>
            <w:tcBorders>
              <w:top w:val="nil"/>
              <w:left w:val="nil"/>
              <w:bottom w:val="nil"/>
              <w:right w:val="single" w:sz="4" w:space="0" w:color="auto"/>
            </w:tcBorders>
            <w:shd w:val="clear" w:color="auto" w:fill="auto"/>
            <w:noWrap/>
            <w:vAlign w:val="center"/>
            <w:hideMark/>
          </w:tcPr>
          <w:p w14:paraId="0F8855A2"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97" w:type="pct"/>
            <w:tcBorders>
              <w:top w:val="nil"/>
              <w:left w:val="nil"/>
              <w:bottom w:val="nil"/>
              <w:right w:val="single" w:sz="4" w:space="0" w:color="auto"/>
            </w:tcBorders>
            <w:shd w:val="clear" w:color="auto" w:fill="auto"/>
            <w:noWrap/>
            <w:vAlign w:val="center"/>
            <w:hideMark/>
          </w:tcPr>
          <w:p w14:paraId="7C49EF54"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67" w:type="pct"/>
            <w:tcBorders>
              <w:top w:val="nil"/>
              <w:left w:val="nil"/>
              <w:bottom w:val="nil"/>
              <w:right w:val="single" w:sz="4" w:space="0" w:color="auto"/>
            </w:tcBorders>
            <w:shd w:val="clear" w:color="auto" w:fill="auto"/>
            <w:noWrap/>
            <w:vAlign w:val="center"/>
            <w:hideMark/>
          </w:tcPr>
          <w:p w14:paraId="3B6F74A8"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357" w:type="pct"/>
            <w:tcBorders>
              <w:top w:val="nil"/>
              <w:left w:val="nil"/>
              <w:bottom w:val="nil"/>
              <w:right w:val="nil"/>
            </w:tcBorders>
            <w:shd w:val="clear" w:color="auto" w:fill="auto"/>
            <w:noWrap/>
            <w:vAlign w:val="center"/>
            <w:hideMark/>
          </w:tcPr>
          <w:p w14:paraId="3DDB36B6"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362" w:type="pct"/>
            <w:tcBorders>
              <w:top w:val="nil"/>
              <w:left w:val="single" w:sz="4" w:space="0" w:color="auto"/>
              <w:bottom w:val="nil"/>
              <w:right w:val="single" w:sz="4" w:space="0" w:color="auto"/>
            </w:tcBorders>
            <w:shd w:val="clear" w:color="auto" w:fill="auto"/>
            <w:noWrap/>
            <w:vAlign w:val="center"/>
            <w:hideMark/>
          </w:tcPr>
          <w:p w14:paraId="1DCEAA41"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96" w:type="pct"/>
            <w:tcBorders>
              <w:top w:val="nil"/>
              <w:left w:val="nil"/>
              <w:bottom w:val="nil"/>
              <w:right w:val="single" w:sz="4" w:space="0" w:color="auto"/>
            </w:tcBorders>
            <w:shd w:val="clear" w:color="auto" w:fill="auto"/>
            <w:noWrap/>
            <w:vAlign w:val="center"/>
            <w:hideMark/>
          </w:tcPr>
          <w:p w14:paraId="1C6633B1"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96" w:type="pct"/>
            <w:tcBorders>
              <w:top w:val="nil"/>
              <w:left w:val="nil"/>
              <w:bottom w:val="nil"/>
              <w:right w:val="single" w:sz="4" w:space="0" w:color="auto"/>
            </w:tcBorders>
            <w:shd w:val="clear" w:color="auto" w:fill="auto"/>
            <w:noWrap/>
            <w:vAlign w:val="center"/>
            <w:hideMark/>
          </w:tcPr>
          <w:p w14:paraId="17D9C9FF"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08" w:type="pct"/>
            <w:tcBorders>
              <w:top w:val="nil"/>
              <w:left w:val="nil"/>
              <w:bottom w:val="nil"/>
              <w:right w:val="single" w:sz="4" w:space="0" w:color="auto"/>
            </w:tcBorders>
            <w:shd w:val="clear" w:color="auto" w:fill="auto"/>
            <w:noWrap/>
            <w:vAlign w:val="center"/>
            <w:hideMark/>
          </w:tcPr>
          <w:p w14:paraId="1926F40F"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36" w:type="pct"/>
            <w:tcBorders>
              <w:top w:val="nil"/>
              <w:left w:val="nil"/>
              <w:bottom w:val="nil"/>
              <w:right w:val="single" w:sz="4" w:space="0" w:color="auto"/>
            </w:tcBorders>
            <w:shd w:val="clear" w:color="auto" w:fill="auto"/>
            <w:noWrap/>
            <w:vAlign w:val="center"/>
            <w:hideMark/>
          </w:tcPr>
          <w:p w14:paraId="066DB4AD"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55" w:type="pct"/>
            <w:tcBorders>
              <w:top w:val="nil"/>
              <w:left w:val="nil"/>
              <w:bottom w:val="nil"/>
              <w:right w:val="single" w:sz="4" w:space="0" w:color="auto"/>
            </w:tcBorders>
            <w:shd w:val="clear" w:color="auto" w:fill="auto"/>
            <w:noWrap/>
            <w:vAlign w:val="center"/>
            <w:hideMark/>
          </w:tcPr>
          <w:p w14:paraId="39B9006E"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24" w:type="pct"/>
            <w:tcBorders>
              <w:top w:val="nil"/>
              <w:left w:val="nil"/>
              <w:bottom w:val="nil"/>
              <w:right w:val="single" w:sz="4" w:space="0" w:color="auto"/>
            </w:tcBorders>
            <w:shd w:val="clear" w:color="auto" w:fill="auto"/>
            <w:noWrap/>
            <w:vAlign w:val="center"/>
            <w:hideMark/>
          </w:tcPr>
          <w:p w14:paraId="09523C8E"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32" w:type="pct"/>
            <w:tcBorders>
              <w:top w:val="nil"/>
              <w:left w:val="nil"/>
              <w:bottom w:val="nil"/>
              <w:right w:val="single" w:sz="4" w:space="0" w:color="auto"/>
            </w:tcBorders>
            <w:shd w:val="clear" w:color="auto" w:fill="auto"/>
            <w:noWrap/>
            <w:vAlign w:val="center"/>
            <w:hideMark/>
          </w:tcPr>
          <w:p w14:paraId="32E9B6BA"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59" w:type="pct"/>
            <w:tcBorders>
              <w:top w:val="nil"/>
              <w:left w:val="nil"/>
              <w:bottom w:val="nil"/>
              <w:right w:val="single" w:sz="4" w:space="0" w:color="auto"/>
            </w:tcBorders>
            <w:shd w:val="clear" w:color="auto" w:fill="auto"/>
            <w:noWrap/>
            <w:vAlign w:val="center"/>
            <w:hideMark/>
          </w:tcPr>
          <w:p w14:paraId="4B13DEAD"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311" w:type="pct"/>
            <w:tcBorders>
              <w:top w:val="nil"/>
              <w:left w:val="nil"/>
              <w:bottom w:val="nil"/>
              <w:right w:val="single" w:sz="4" w:space="0" w:color="auto"/>
            </w:tcBorders>
            <w:shd w:val="clear" w:color="auto" w:fill="auto"/>
            <w:noWrap/>
            <w:vAlign w:val="center"/>
            <w:hideMark/>
          </w:tcPr>
          <w:p w14:paraId="54527C45"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69" w:type="pct"/>
            <w:tcBorders>
              <w:top w:val="nil"/>
              <w:left w:val="nil"/>
              <w:bottom w:val="nil"/>
              <w:right w:val="single" w:sz="4" w:space="0" w:color="auto"/>
            </w:tcBorders>
            <w:shd w:val="clear" w:color="auto" w:fill="auto"/>
            <w:noWrap/>
            <w:vAlign w:val="center"/>
            <w:hideMark/>
          </w:tcPr>
          <w:p w14:paraId="7B7652B5"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r>
      <w:tr w:rsidR="009630A9" w:rsidRPr="000C156A" w14:paraId="7651C1EB" w14:textId="77777777" w:rsidTr="0011120B">
        <w:trPr>
          <w:trHeight w:val="255"/>
        </w:trPr>
        <w:tc>
          <w:tcPr>
            <w:tcW w:w="580" w:type="pct"/>
            <w:tcBorders>
              <w:top w:val="nil"/>
              <w:left w:val="single" w:sz="4" w:space="0" w:color="auto"/>
              <w:bottom w:val="nil"/>
              <w:right w:val="nil"/>
            </w:tcBorders>
            <w:shd w:val="clear" w:color="auto" w:fill="FFFFFF" w:themeFill="background1"/>
            <w:vAlign w:val="center"/>
            <w:hideMark/>
          </w:tcPr>
          <w:p w14:paraId="63C40549" w14:textId="77777777" w:rsidR="009630A9" w:rsidRPr="000C156A" w:rsidRDefault="009630A9" w:rsidP="005D02F0">
            <w:pPr>
              <w:overflowPunct/>
              <w:autoSpaceDE/>
              <w:autoSpaceDN/>
              <w:adjustRightInd/>
              <w:spacing w:before="0"/>
              <w:textAlignment w:val="auto"/>
              <w:rPr>
                <w:rFonts w:asciiTheme="minorHAnsi" w:hAnsiTheme="minorHAnsi" w:cs="Arial"/>
                <w:color w:val="000000"/>
                <w:sz w:val="16"/>
                <w:szCs w:val="16"/>
                <w:lang w:val="en-US" w:eastAsia="zh-CN"/>
              </w:rPr>
            </w:pPr>
            <w:r w:rsidRPr="000C156A">
              <w:rPr>
                <w:rFonts w:asciiTheme="minorHAnsi" w:hAnsiTheme="minorHAnsi" w:cs="Arial" w:hint="eastAsia"/>
                <w:color w:val="000000"/>
                <w:sz w:val="16"/>
                <w:szCs w:val="16"/>
                <w:lang w:val="en-US" w:eastAsia="zh-CN"/>
              </w:rPr>
              <w:t>分摊会费</w:t>
            </w:r>
          </w:p>
        </w:tc>
        <w:tc>
          <w:tcPr>
            <w:tcW w:w="267" w:type="pct"/>
            <w:tcBorders>
              <w:top w:val="nil"/>
              <w:left w:val="single" w:sz="4" w:space="0" w:color="auto"/>
              <w:bottom w:val="nil"/>
              <w:right w:val="single" w:sz="4" w:space="0" w:color="auto"/>
            </w:tcBorders>
            <w:shd w:val="clear" w:color="auto" w:fill="auto"/>
            <w:noWrap/>
            <w:vAlign w:val="center"/>
            <w:hideMark/>
          </w:tcPr>
          <w:p w14:paraId="720BB701"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84" w:type="pct"/>
            <w:tcBorders>
              <w:top w:val="nil"/>
              <w:left w:val="nil"/>
              <w:bottom w:val="nil"/>
              <w:right w:val="single" w:sz="4" w:space="0" w:color="auto"/>
            </w:tcBorders>
            <w:shd w:val="clear" w:color="auto" w:fill="auto"/>
            <w:noWrap/>
            <w:vAlign w:val="center"/>
            <w:hideMark/>
          </w:tcPr>
          <w:p w14:paraId="46789A5F" w14:textId="1641C143"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6</w:t>
            </w:r>
            <w:r w:rsidR="0011120B" w:rsidRPr="000C156A">
              <w:rPr>
                <w:rFonts w:cs="Calibri"/>
                <w:sz w:val="16"/>
                <w:szCs w:val="16"/>
                <w:lang w:eastAsia="en-GB"/>
              </w:rPr>
              <w:t xml:space="preserve"> </w:t>
            </w:r>
            <w:r w:rsidRPr="000C156A">
              <w:rPr>
                <w:rFonts w:cs="Calibri"/>
                <w:sz w:val="16"/>
                <w:szCs w:val="16"/>
                <w:lang w:eastAsia="en-GB"/>
              </w:rPr>
              <w:t>565</w:t>
            </w:r>
          </w:p>
        </w:tc>
        <w:tc>
          <w:tcPr>
            <w:tcW w:w="297" w:type="pct"/>
            <w:tcBorders>
              <w:top w:val="nil"/>
              <w:left w:val="nil"/>
              <w:bottom w:val="nil"/>
              <w:right w:val="single" w:sz="4" w:space="0" w:color="auto"/>
            </w:tcBorders>
            <w:shd w:val="clear" w:color="auto" w:fill="auto"/>
            <w:noWrap/>
            <w:vAlign w:val="center"/>
            <w:hideMark/>
          </w:tcPr>
          <w:p w14:paraId="1BC715D7" w14:textId="5A2C6C79"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8</w:t>
            </w:r>
            <w:r w:rsidR="0011120B" w:rsidRPr="000C156A">
              <w:rPr>
                <w:rFonts w:cs="Calibri"/>
                <w:sz w:val="16"/>
                <w:szCs w:val="16"/>
                <w:lang w:eastAsia="en-GB"/>
              </w:rPr>
              <w:t xml:space="preserve"> </w:t>
            </w:r>
            <w:r w:rsidRPr="000C156A">
              <w:rPr>
                <w:rFonts w:cs="Calibri"/>
                <w:sz w:val="16"/>
                <w:szCs w:val="16"/>
                <w:lang w:eastAsia="en-GB"/>
              </w:rPr>
              <w:t>161</w:t>
            </w:r>
          </w:p>
        </w:tc>
        <w:tc>
          <w:tcPr>
            <w:tcW w:w="267" w:type="pct"/>
            <w:tcBorders>
              <w:top w:val="nil"/>
              <w:left w:val="nil"/>
              <w:bottom w:val="nil"/>
              <w:right w:val="single" w:sz="4" w:space="0" w:color="auto"/>
            </w:tcBorders>
            <w:shd w:val="clear" w:color="auto" w:fill="auto"/>
            <w:noWrap/>
            <w:vAlign w:val="center"/>
            <w:hideMark/>
          </w:tcPr>
          <w:p w14:paraId="3F9D9F17" w14:textId="3A4E6A2A"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1</w:t>
            </w:r>
            <w:r w:rsidR="0011120B" w:rsidRPr="000C156A">
              <w:rPr>
                <w:rFonts w:cs="Calibri"/>
                <w:sz w:val="16"/>
                <w:szCs w:val="16"/>
                <w:lang w:eastAsia="en-GB"/>
              </w:rPr>
              <w:t xml:space="preserve"> </w:t>
            </w:r>
            <w:r w:rsidRPr="000C156A">
              <w:rPr>
                <w:rFonts w:cs="Calibri"/>
                <w:sz w:val="16"/>
                <w:szCs w:val="16"/>
                <w:lang w:eastAsia="en-GB"/>
              </w:rPr>
              <w:t>500</w:t>
            </w:r>
          </w:p>
        </w:tc>
        <w:tc>
          <w:tcPr>
            <w:tcW w:w="357" w:type="pct"/>
            <w:tcBorders>
              <w:top w:val="nil"/>
              <w:left w:val="nil"/>
              <w:bottom w:val="nil"/>
              <w:right w:val="nil"/>
            </w:tcBorders>
            <w:shd w:val="clear" w:color="auto" w:fill="auto"/>
            <w:noWrap/>
            <w:vAlign w:val="center"/>
            <w:hideMark/>
          </w:tcPr>
          <w:p w14:paraId="1CED01DC" w14:textId="0725E07C"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110</w:t>
            </w:r>
            <w:r w:rsidR="0011120B" w:rsidRPr="000C156A">
              <w:rPr>
                <w:rFonts w:cs="Calibri"/>
                <w:sz w:val="16"/>
                <w:szCs w:val="16"/>
                <w:lang w:eastAsia="en-GB"/>
              </w:rPr>
              <w:t xml:space="preserve"> </w:t>
            </w:r>
            <w:r w:rsidRPr="000C156A">
              <w:rPr>
                <w:rFonts w:cs="Calibri"/>
                <w:sz w:val="16"/>
                <w:szCs w:val="16"/>
                <w:lang w:eastAsia="en-GB"/>
              </w:rPr>
              <w:t>259</w:t>
            </w:r>
          </w:p>
        </w:tc>
        <w:tc>
          <w:tcPr>
            <w:tcW w:w="362" w:type="pct"/>
            <w:tcBorders>
              <w:top w:val="nil"/>
              <w:left w:val="single" w:sz="4" w:space="0" w:color="auto"/>
              <w:bottom w:val="nil"/>
              <w:right w:val="single" w:sz="4" w:space="0" w:color="auto"/>
            </w:tcBorders>
            <w:shd w:val="clear" w:color="auto" w:fill="auto"/>
            <w:noWrap/>
            <w:vAlign w:val="center"/>
            <w:hideMark/>
          </w:tcPr>
          <w:p w14:paraId="4B6D19DB" w14:textId="502ACD3E"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126</w:t>
            </w:r>
            <w:r w:rsidR="0011120B" w:rsidRPr="000C156A">
              <w:rPr>
                <w:rFonts w:cs="Calibri"/>
                <w:b/>
                <w:bCs/>
                <w:sz w:val="16"/>
                <w:szCs w:val="16"/>
                <w:lang w:eastAsia="en-GB"/>
              </w:rPr>
              <w:t xml:space="preserve"> </w:t>
            </w:r>
            <w:r w:rsidRPr="000C156A">
              <w:rPr>
                <w:rFonts w:cs="Calibri"/>
                <w:b/>
                <w:bCs/>
                <w:sz w:val="16"/>
                <w:szCs w:val="16"/>
                <w:lang w:eastAsia="en-GB"/>
              </w:rPr>
              <w:t>485</w:t>
            </w:r>
          </w:p>
        </w:tc>
        <w:tc>
          <w:tcPr>
            <w:tcW w:w="296" w:type="pct"/>
            <w:tcBorders>
              <w:top w:val="nil"/>
              <w:left w:val="nil"/>
              <w:bottom w:val="nil"/>
              <w:right w:val="single" w:sz="4" w:space="0" w:color="auto"/>
            </w:tcBorders>
            <w:shd w:val="clear" w:color="auto" w:fill="auto"/>
            <w:noWrap/>
            <w:vAlign w:val="center"/>
            <w:hideMark/>
          </w:tcPr>
          <w:p w14:paraId="3385C498"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96" w:type="pct"/>
            <w:tcBorders>
              <w:top w:val="nil"/>
              <w:left w:val="nil"/>
              <w:bottom w:val="nil"/>
              <w:right w:val="single" w:sz="4" w:space="0" w:color="auto"/>
            </w:tcBorders>
            <w:shd w:val="clear" w:color="auto" w:fill="auto"/>
            <w:noWrap/>
            <w:vAlign w:val="center"/>
            <w:hideMark/>
          </w:tcPr>
          <w:p w14:paraId="2DD3D37C"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08" w:type="pct"/>
            <w:tcBorders>
              <w:top w:val="nil"/>
              <w:left w:val="nil"/>
              <w:bottom w:val="nil"/>
              <w:right w:val="single" w:sz="4" w:space="0" w:color="auto"/>
            </w:tcBorders>
            <w:shd w:val="clear" w:color="auto" w:fill="auto"/>
            <w:noWrap/>
            <w:vAlign w:val="center"/>
            <w:hideMark/>
          </w:tcPr>
          <w:p w14:paraId="326514D7"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36" w:type="pct"/>
            <w:tcBorders>
              <w:top w:val="nil"/>
              <w:left w:val="nil"/>
              <w:bottom w:val="nil"/>
              <w:right w:val="nil"/>
            </w:tcBorders>
            <w:shd w:val="clear" w:color="auto" w:fill="auto"/>
            <w:noWrap/>
            <w:vAlign w:val="center"/>
            <w:hideMark/>
          </w:tcPr>
          <w:p w14:paraId="6ADD38F2"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55" w:type="pct"/>
            <w:tcBorders>
              <w:top w:val="nil"/>
              <w:left w:val="single" w:sz="4" w:space="0" w:color="auto"/>
              <w:bottom w:val="nil"/>
              <w:right w:val="nil"/>
            </w:tcBorders>
            <w:shd w:val="clear" w:color="auto" w:fill="auto"/>
            <w:noWrap/>
            <w:vAlign w:val="center"/>
            <w:hideMark/>
          </w:tcPr>
          <w:p w14:paraId="43DE88A3"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24" w:type="pct"/>
            <w:tcBorders>
              <w:top w:val="nil"/>
              <w:left w:val="single" w:sz="4" w:space="0" w:color="auto"/>
              <w:bottom w:val="nil"/>
              <w:right w:val="nil"/>
            </w:tcBorders>
            <w:shd w:val="clear" w:color="auto" w:fill="auto"/>
            <w:noWrap/>
            <w:vAlign w:val="center"/>
            <w:hideMark/>
          </w:tcPr>
          <w:p w14:paraId="4B2C9E45"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2" w:type="pct"/>
            <w:tcBorders>
              <w:top w:val="nil"/>
              <w:left w:val="single" w:sz="4" w:space="0" w:color="auto"/>
              <w:bottom w:val="nil"/>
              <w:right w:val="single" w:sz="4" w:space="0" w:color="auto"/>
            </w:tcBorders>
            <w:shd w:val="clear" w:color="auto" w:fill="auto"/>
            <w:noWrap/>
            <w:vAlign w:val="center"/>
            <w:hideMark/>
          </w:tcPr>
          <w:p w14:paraId="09C09ABB"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59" w:type="pct"/>
            <w:tcBorders>
              <w:top w:val="nil"/>
              <w:left w:val="nil"/>
              <w:bottom w:val="nil"/>
              <w:right w:val="single" w:sz="4" w:space="0" w:color="auto"/>
            </w:tcBorders>
            <w:shd w:val="clear" w:color="auto" w:fill="auto"/>
            <w:noWrap/>
            <w:vAlign w:val="center"/>
            <w:hideMark/>
          </w:tcPr>
          <w:p w14:paraId="3CFCAD5C"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311" w:type="pct"/>
            <w:tcBorders>
              <w:top w:val="nil"/>
              <w:left w:val="nil"/>
              <w:bottom w:val="nil"/>
              <w:right w:val="nil"/>
            </w:tcBorders>
            <w:shd w:val="clear" w:color="auto" w:fill="auto"/>
            <w:noWrap/>
            <w:vAlign w:val="center"/>
            <w:hideMark/>
          </w:tcPr>
          <w:p w14:paraId="44936974"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69" w:type="pct"/>
            <w:tcBorders>
              <w:top w:val="nil"/>
              <w:left w:val="single" w:sz="4" w:space="0" w:color="auto"/>
              <w:bottom w:val="nil"/>
              <w:right w:val="single" w:sz="4" w:space="0" w:color="auto"/>
            </w:tcBorders>
            <w:shd w:val="clear" w:color="auto" w:fill="auto"/>
            <w:noWrap/>
            <w:vAlign w:val="center"/>
            <w:hideMark/>
          </w:tcPr>
          <w:p w14:paraId="66416878" w14:textId="3C406A20"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126</w:t>
            </w:r>
            <w:r w:rsidR="0011120B" w:rsidRPr="000C156A">
              <w:rPr>
                <w:rFonts w:cs="Calibri"/>
                <w:b/>
                <w:bCs/>
                <w:sz w:val="16"/>
                <w:szCs w:val="16"/>
                <w:lang w:eastAsia="en-GB"/>
              </w:rPr>
              <w:t xml:space="preserve"> </w:t>
            </w:r>
            <w:r w:rsidRPr="000C156A">
              <w:rPr>
                <w:rFonts w:cs="Calibri"/>
                <w:b/>
                <w:bCs/>
                <w:sz w:val="16"/>
                <w:szCs w:val="16"/>
                <w:lang w:eastAsia="en-GB"/>
              </w:rPr>
              <w:t>485</w:t>
            </w:r>
          </w:p>
        </w:tc>
      </w:tr>
      <w:tr w:rsidR="009630A9" w:rsidRPr="000C156A" w14:paraId="14302A09" w14:textId="77777777" w:rsidTr="0011120B">
        <w:trPr>
          <w:trHeight w:val="255"/>
        </w:trPr>
        <w:tc>
          <w:tcPr>
            <w:tcW w:w="580" w:type="pct"/>
            <w:tcBorders>
              <w:top w:val="nil"/>
              <w:left w:val="single" w:sz="4" w:space="0" w:color="auto"/>
              <w:bottom w:val="nil"/>
              <w:right w:val="nil"/>
            </w:tcBorders>
            <w:shd w:val="clear" w:color="auto" w:fill="auto"/>
            <w:vAlign w:val="center"/>
            <w:hideMark/>
          </w:tcPr>
          <w:p w14:paraId="39895E04" w14:textId="77777777" w:rsidR="009630A9" w:rsidRPr="000C156A" w:rsidRDefault="009630A9" w:rsidP="005D02F0">
            <w:pPr>
              <w:spacing w:before="0"/>
              <w:rPr>
                <w:noProof/>
                <w:sz w:val="16"/>
                <w:szCs w:val="16"/>
                <w:lang w:val="en-US" w:eastAsia="zh-CN"/>
              </w:rPr>
            </w:pPr>
            <w:r w:rsidRPr="000C156A">
              <w:rPr>
                <w:noProof/>
                <w:sz w:val="16"/>
                <w:szCs w:val="16"/>
                <w:lang w:val="en-US" w:eastAsia="zh-CN"/>
              </w:rPr>
              <w:t>自愿捐</w:t>
            </w:r>
            <w:r w:rsidRPr="000C156A">
              <w:rPr>
                <w:rFonts w:hint="eastAsia"/>
                <w:noProof/>
                <w:sz w:val="16"/>
                <w:szCs w:val="16"/>
                <w:lang w:val="en-US" w:eastAsia="zh-CN"/>
              </w:rPr>
              <w:t>款</w:t>
            </w:r>
          </w:p>
        </w:tc>
        <w:tc>
          <w:tcPr>
            <w:tcW w:w="267" w:type="pct"/>
            <w:tcBorders>
              <w:top w:val="nil"/>
              <w:left w:val="single" w:sz="4" w:space="0" w:color="auto"/>
              <w:bottom w:val="nil"/>
              <w:right w:val="single" w:sz="4" w:space="0" w:color="auto"/>
            </w:tcBorders>
            <w:shd w:val="clear" w:color="auto" w:fill="auto"/>
            <w:noWrap/>
            <w:vAlign w:val="center"/>
            <w:hideMark/>
          </w:tcPr>
          <w:p w14:paraId="65E88CDA"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84" w:type="pct"/>
            <w:tcBorders>
              <w:top w:val="nil"/>
              <w:left w:val="nil"/>
              <w:bottom w:val="nil"/>
              <w:right w:val="single" w:sz="4" w:space="0" w:color="auto"/>
            </w:tcBorders>
            <w:shd w:val="clear" w:color="auto" w:fill="auto"/>
            <w:noWrap/>
            <w:vAlign w:val="center"/>
            <w:hideMark/>
          </w:tcPr>
          <w:p w14:paraId="25707963"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97" w:type="pct"/>
            <w:tcBorders>
              <w:top w:val="nil"/>
              <w:left w:val="nil"/>
              <w:bottom w:val="nil"/>
              <w:right w:val="single" w:sz="4" w:space="0" w:color="auto"/>
            </w:tcBorders>
            <w:shd w:val="clear" w:color="auto" w:fill="auto"/>
            <w:noWrap/>
            <w:vAlign w:val="center"/>
            <w:hideMark/>
          </w:tcPr>
          <w:p w14:paraId="66ED9DE9"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67" w:type="pct"/>
            <w:tcBorders>
              <w:top w:val="nil"/>
              <w:left w:val="nil"/>
              <w:bottom w:val="nil"/>
              <w:right w:val="single" w:sz="4" w:space="0" w:color="auto"/>
            </w:tcBorders>
            <w:shd w:val="clear" w:color="auto" w:fill="auto"/>
            <w:noWrap/>
            <w:vAlign w:val="center"/>
            <w:hideMark/>
          </w:tcPr>
          <w:p w14:paraId="44CFD068"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357" w:type="pct"/>
            <w:tcBorders>
              <w:top w:val="nil"/>
              <w:left w:val="nil"/>
              <w:bottom w:val="nil"/>
              <w:right w:val="nil"/>
            </w:tcBorders>
            <w:shd w:val="clear" w:color="auto" w:fill="auto"/>
            <w:noWrap/>
            <w:vAlign w:val="center"/>
            <w:hideMark/>
          </w:tcPr>
          <w:p w14:paraId="737AFAAC"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1</w:t>
            </w:r>
          </w:p>
        </w:tc>
        <w:tc>
          <w:tcPr>
            <w:tcW w:w="362" w:type="pct"/>
            <w:tcBorders>
              <w:top w:val="nil"/>
              <w:left w:val="single" w:sz="4" w:space="0" w:color="auto"/>
              <w:bottom w:val="nil"/>
              <w:right w:val="single" w:sz="4" w:space="0" w:color="auto"/>
            </w:tcBorders>
            <w:shd w:val="clear" w:color="auto" w:fill="auto"/>
            <w:noWrap/>
            <w:vAlign w:val="center"/>
            <w:hideMark/>
          </w:tcPr>
          <w:p w14:paraId="4FEF90F8" w14:textId="77777777"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1</w:t>
            </w:r>
          </w:p>
        </w:tc>
        <w:tc>
          <w:tcPr>
            <w:tcW w:w="296" w:type="pct"/>
            <w:tcBorders>
              <w:top w:val="nil"/>
              <w:left w:val="nil"/>
              <w:bottom w:val="nil"/>
              <w:right w:val="single" w:sz="4" w:space="0" w:color="auto"/>
            </w:tcBorders>
            <w:shd w:val="clear" w:color="auto" w:fill="auto"/>
            <w:noWrap/>
            <w:vAlign w:val="center"/>
            <w:hideMark/>
          </w:tcPr>
          <w:p w14:paraId="349956EE"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96" w:type="pct"/>
            <w:tcBorders>
              <w:top w:val="nil"/>
              <w:left w:val="nil"/>
              <w:bottom w:val="nil"/>
              <w:right w:val="single" w:sz="4" w:space="0" w:color="auto"/>
            </w:tcBorders>
            <w:shd w:val="clear" w:color="auto" w:fill="auto"/>
            <w:noWrap/>
            <w:vAlign w:val="center"/>
            <w:hideMark/>
          </w:tcPr>
          <w:p w14:paraId="79A8C452"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08" w:type="pct"/>
            <w:tcBorders>
              <w:top w:val="nil"/>
              <w:left w:val="nil"/>
              <w:bottom w:val="nil"/>
              <w:right w:val="single" w:sz="4" w:space="0" w:color="auto"/>
            </w:tcBorders>
            <w:shd w:val="clear" w:color="auto" w:fill="auto"/>
            <w:noWrap/>
            <w:vAlign w:val="center"/>
            <w:hideMark/>
          </w:tcPr>
          <w:p w14:paraId="5A807227"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36" w:type="pct"/>
            <w:tcBorders>
              <w:top w:val="nil"/>
              <w:left w:val="nil"/>
              <w:bottom w:val="nil"/>
              <w:right w:val="single" w:sz="4" w:space="0" w:color="auto"/>
            </w:tcBorders>
            <w:shd w:val="clear" w:color="auto" w:fill="auto"/>
            <w:noWrap/>
            <w:vAlign w:val="center"/>
            <w:hideMark/>
          </w:tcPr>
          <w:p w14:paraId="0CA81F75" w14:textId="029E491D"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3</w:t>
            </w:r>
            <w:r w:rsidR="0011120B" w:rsidRPr="000C156A">
              <w:rPr>
                <w:rFonts w:cs="Calibri"/>
                <w:color w:val="000000"/>
                <w:sz w:val="16"/>
                <w:szCs w:val="16"/>
                <w:lang w:eastAsia="en-GB"/>
              </w:rPr>
              <w:t xml:space="preserve"> </w:t>
            </w:r>
            <w:r w:rsidRPr="000C156A">
              <w:rPr>
                <w:rFonts w:cs="Calibri"/>
                <w:color w:val="000000"/>
                <w:sz w:val="16"/>
                <w:szCs w:val="16"/>
                <w:lang w:eastAsia="en-GB"/>
              </w:rPr>
              <w:t>740</w:t>
            </w:r>
          </w:p>
        </w:tc>
        <w:tc>
          <w:tcPr>
            <w:tcW w:w="255" w:type="pct"/>
            <w:tcBorders>
              <w:top w:val="nil"/>
              <w:left w:val="nil"/>
              <w:bottom w:val="nil"/>
              <w:right w:val="single" w:sz="4" w:space="0" w:color="auto"/>
            </w:tcBorders>
            <w:shd w:val="clear" w:color="auto" w:fill="auto"/>
            <w:noWrap/>
            <w:vAlign w:val="center"/>
            <w:hideMark/>
          </w:tcPr>
          <w:p w14:paraId="28CB8473" w14:textId="576146B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6</w:t>
            </w:r>
            <w:r w:rsidR="0011120B" w:rsidRPr="000C156A">
              <w:rPr>
                <w:rFonts w:cs="Calibri"/>
                <w:color w:val="000000"/>
                <w:sz w:val="16"/>
                <w:szCs w:val="16"/>
                <w:lang w:eastAsia="en-GB"/>
              </w:rPr>
              <w:t xml:space="preserve"> </w:t>
            </w:r>
            <w:r w:rsidRPr="000C156A">
              <w:rPr>
                <w:rFonts w:cs="Calibri"/>
                <w:color w:val="000000"/>
                <w:sz w:val="16"/>
                <w:szCs w:val="16"/>
                <w:lang w:eastAsia="en-GB"/>
              </w:rPr>
              <w:t>603</w:t>
            </w:r>
          </w:p>
        </w:tc>
        <w:tc>
          <w:tcPr>
            <w:tcW w:w="224" w:type="pct"/>
            <w:tcBorders>
              <w:top w:val="nil"/>
              <w:left w:val="nil"/>
              <w:bottom w:val="nil"/>
              <w:right w:val="single" w:sz="4" w:space="0" w:color="auto"/>
            </w:tcBorders>
            <w:shd w:val="clear" w:color="auto" w:fill="auto"/>
            <w:noWrap/>
            <w:vAlign w:val="center"/>
            <w:hideMark/>
          </w:tcPr>
          <w:p w14:paraId="22A50B6B"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566</w:t>
            </w:r>
          </w:p>
        </w:tc>
        <w:tc>
          <w:tcPr>
            <w:tcW w:w="232" w:type="pct"/>
            <w:tcBorders>
              <w:top w:val="nil"/>
              <w:left w:val="nil"/>
              <w:bottom w:val="nil"/>
              <w:right w:val="single" w:sz="4" w:space="0" w:color="auto"/>
            </w:tcBorders>
            <w:shd w:val="clear" w:color="auto" w:fill="auto"/>
            <w:noWrap/>
            <w:vAlign w:val="center"/>
            <w:hideMark/>
          </w:tcPr>
          <w:p w14:paraId="30B3C0F8"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-453</w:t>
            </w:r>
          </w:p>
        </w:tc>
        <w:tc>
          <w:tcPr>
            <w:tcW w:w="259" w:type="pct"/>
            <w:tcBorders>
              <w:top w:val="nil"/>
              <w:left w:val="nil"/>
              <w:bottom w:val="nil"/>
              <w:right w:val="single" w:sz="4" w:space="0" w:color="auto"/>
            </w:tcBorders>
            <w:shd w:val="clear" w:color="auto" w:fill="auto"/>
            <w:noWrap/>
            <w:vAlign w:val="center"/>
            <w:hideMark/>
          </w:tcPr>
          <w:p w14:paraId="7AFEAD4D"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311" w:type="pct"/>
            <w:tcBorders>
              <w:top w:val="nil"/>
              <w:left w:val="nil"/>
              <w:bottom w:val="nil"/>
              <w:right w:val="single" w:sz="4" w:space="0" w:color="auto"/>
            </w:tcBorders>
            <w:shd w:val="clear" w:color="auto" w:fill="auto"/>
            <w:noWrap/>
            <w:vAlign w:val="center"/>
            <w:hideMark/>
          </w:tcPr>
          <w:p w14:paraId="174B608E"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69" w:type="pct"/>
            <w:tcBorders>
              <w:top w:val="nil"/>
              <w:left w:val="nil"/>
              <w:bottom w:val="nil"/>
              <w:right w:val="single" w:sz="4" w:space="0" w:color="auto"/>
            </w:tcBorders>
            <w:shd w:val="clear" w:color="auto" w:fill="auto"/>
            <w:noWrap/>
            <w:vAlign w:val="center"/>
            <w:hideMark/>
          </w:tcPr>
          <w:p w14:paraId="41C3EB8C" w14:textId="191E201C"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10</w:t>
            </w:r>
            <w:r w:rsidR="0011120B" w:rsidRPr="000C156A">
              <w:rPr>
                <w:rFonts w:cs="Calibri"/>
                <w:b/>
                <w:bCs/>
                <w:sz w:val="16"/>
                <w:szCs w:val="16"/>
                <w:lang w:eastAsia="en-GB"/>
              </w:rPr>
              <w:t xml:space="preserve"> </w:t>
            </w:r>
            <w:r w:rsidRPr="000C156A">
              <w:rPr>
                <w:rFonts w:cs="Calibri"/>
                <w:b/>
                <w:bCs/>
                <w:sz w:val="16"/>
                <w:szCs w:val="16"/>
                <w:lang w:eastAsia="en-GB"/>
              </w:rPr>
              <w:t>456</w:t>
            </w:r>
          </w:p>
        </w:tc>
      </w:tr>
      <w:tr w:rsidR="009630A9" w:rsidRPr="000C156A" w14:paraId="42238E26" w14:textId="77777777" w:rsidTr="0011120B">
        <w:trPr>
          <w:trHeight w:val="255"/>
        </w:trPr>
        <w:tc>
          <w:tcPr>
            <w:tcW w:w="580" w:type="pct"/>
            <w:tcBorders>
              <w:top w:val="nil"/>
              <w:left w:val="single" w:sz="4" w:space="0" w:color="auto"/>
              <w:bottom w:val="nil"/>
              <w:right w:val="nil"/>
            </w:tcBorders>
            <w:shd w:val="clear" w:color="auto" w:fill="auto"/>
            <w:vAlign w:val="center"/>
            <w:hideMark/>
          </w:tcPr>
          <w:p w14:paraId="16C95C63" w14:textId="77777777" w:rsidR="009630A9" w:rsidRPr="000C156A" w:rsidRDefault="009630A9" w:rsidP="005D02F0">
            <w:pPr>
              <w:overflowPunct/>
              <w:adjustRightInd/>
              <w:spacing w:before="0"/>
              <w:textAlignment w:val="auto"/>
              <w:rPr>
                <w:rFonts w:asciiTheme="minorHAnsi" w:hAnsiTheme="minorHAnsi" w:cs="Arial"/>
                <w:sz w:val="16"/>
                <w:szCs w:val="16"/>
                <w:lang w:val="en-US" w:eastAsia="zh-CN"/>
              </w:rPr>
            </w:pPr>
            <w:r w:rsidRPr="000C156A">
              <w:rPr>
                <w:rFonts w:asciiTheme="minorHAnsi" w:hAnsiTheme="minorHAnsi" w:cs="Arial" w:hint="eastAsia"/>
                <w:sz w:val="16"/>
                <w:szCs w:val="16"/>
                <w:lang w:val="en-US" w:eastAsia="zh-CN"/>
              </w:rPr>
              <w:t>出版物</w:t>
            </w:r>
          </w:p>
        </w:tc>
        <w:tc>
          <w:tcPr>
            <w:tcW w:w="267" w:type="pct"/>
            <w:tcBorders>
              <w:top w:val="nil"/>
              <w:left w:val="single" w:sz="4" w:space="0" w:color="auto"/>
              <w:bottom w:val="nil"/>
              <w:right w:val="single" w:sz="4" w:space="0" w:color="auto"/>
            </w:tcBorders>
            <w:shd w:val="clear" w:color="auto" w:fill="auto"/>
            <w:noWrap/>
            <w:vAlign w:val="center"/>
            <w:hideMark/>
          </w:tcPr>
          <w:p w14:paraId="45E9EF85"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84" w:type="pct"/>
            <w:tcBorders>
              <w:top w:val="nil"/>
              <w:left w:val="nil"/>
              <w:bottom w:val="nil"/>
              <w:right w:val="single" w:sz="4" w:space="0" w:color="auto"/>
            </w:tcBorders>
            <w:shd w:val="clear" w:color="auto" w:fill="auto"/>
            <w:noWrap/>
            <w:vAlign w:val="center"/>
            <w:hideMark/>
          </w:tcPr>
          <w:p w14:paraId="3A96ABF1"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97" w:type="pct"/>
            <w:tcBorders>
              <w:top w:val="nil"/>
              <w:left w:val="nil"/>
              <w:bottom w:val="nil"/>
              <w:right w:val="single" w:sz="4" w:space="0" w:color="auto"/>
            </w:tcBorders>
            <w:shd w:val="clear" w:color="auto" w:fill="auto"/>
            <w:noWrap/>
            <w:vAlign w:val="center"/>
            <w:hideMark/>
          </w:tcPr>
          <w:p w14:paraId="414F023C"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67" w:type="pct"/>
            <w:tcBorders>
              <w:top w:val="nil"/>
              <w:left w:val="nil"/>
              <w:bottom w:val="nil"/>
              <w:right w:val="single" w:sz="4" w:space="0" w:color="auto"/>
            </w:tcBorders>
            <w:shd w:val="clear" w:color="auto" w:fill="auto"/>
            <w:noWrap/>
            <w:vAlign w:val="center"/>
            <w:hideMark/>
          </w:tcPr>
          <w:p w14:paraId="0F158ECB"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357" w:type="pct"/>
            <w:tcBorders>
              <w:top w:val="nil"/>
              <w:left w:val="nil"/>
              <w:bottom w:val="nil"/>
              <w:right w:val="nil"/>
            </w:tcBorders>
            <w:shd w:val="clear" w:color="auto" w:fill="auto"/>
            <w:noWrap/>
            <w:vAlign w:val="center"/>
            <w:hideMark/>
          </w:tcPr>
          <w:p w14:paraId="4913B0CD"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362" w:type="pct"/>
            <w:tcBorders>
              <w:top w:val="nil"/>
              <w:left w:val="single" w:sz="4" w:space="0" w:color="auto"/>
              <w:bottom w:val="nil"/>
              <w:right w:val="single" w:sz="4" w:space="0" w:color="auto"/>
            </w:tcBorders>
            <w:shd w:val="clear" w:color="auto" w:fill="auto"/>
            <w:noWrap/>
            <w:vAlign w:val="center"/>
            <w:hideMark/>
          </w:tcPr>
          <w:p w14:paraId="13728503" w14:textId="77777777"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w:t>
            </w:r>
          </w:p>
        </w:tc>
        <w:tc>
          <w:tcPr>
            <w:tcW w:w="296" w:type="pct"/>
            <w:tcBorders>
              <w:top w:val="nil"/>
              <w:left w:val="nil"/>
              <w:bottom w:val="nil"/>
              <w:right w:val="single" w:sz="4" w:space="0" w:color="auto"/>
            </w:tcBorders>
            <w:shd w:val="clear" w:color="auto" w:fill="auto"/>
            <w:noWrap/>
            <w:vAlign w:val="center"/>
            <w:hideMark/>
          </w:tcPr>
          <w:p w14:paraId="2B658415"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96" w:type="pct"/>
            <w:tcBorders>
              <w:top w:val="nil"/>
              <w:left w:val="nil"/>
              <w:bottom w:val="nil"/>
              <w:right w:val="single" w:sz="4" w:space="0" w:color="auto"/>
            </w:tcBorders>
            <w:shd w:val="clear" w:color="auto" w:fill="auto"/>
            <w:noWrap/>
            <w:vAlign w:val="center"/>
            <w:hideMark/>
          </w:tcPr>
          <w:p w14:paraId="7088D1BF"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08" w:type="pct"/>
            <w:tcBorders>
              <w:top w:val="nil"/>
              <w:left w:val="nil"/>
              <w:bottom w:val="nil"/>
              <w:right w:val="single" w:sz="4" w:space="0" w:color="auto"/>
            </w:tcBorders>
            <w:shd w:val="clear" w:color="auto" w:fill="auto"/>
            <w:noWrap/>
            <w:vAlign w:val="center"/>
            <w:hideMark/>
          </w:tcPr>
          <w:p w14:paraId="4BE38E76"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36" w:type="pct"/>
            <w:tcBorders>
              <w:top w:val="nil"/>
              <w:left w:val="nil"/>
              <w:bottom w:val="nil"/>
              <w:right w:val="single" w:sz="4" w:space="0" w:color="auto"/>
            </w:tcBorders>
            <w:shd w:val="clear" w:color="auto" w:fill="auto"/>
            <w:noWrap/>
            <w:vAlign w:val="center"/>
            <w:hideMark/>
          </w:tcPr>
          <w:p w14:paraId="73DD2B4B"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55" w:type="pct"/>
            <w:tcBorders>
              <w:top w:val="nil"/>
              <w:left w:val="nil"/>
              <w:bottom w:val="nil"/>
              <w:right w:val="single" w:sz="4" w:space="0" w:color="auto"/>
            </w:tcBorders>
            <w:shd w:val="clear" w:color="auto" w:fill="auto"/>
            <w:noWrap/>
            <w:vAlign w:val="center"/>
            <w:hideMark/>
          </w:tcPr>
          <w:p w14:paraId="06D2C1B4"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24" w:type="pct"/>
            <w:tcBorders>
              <w:top w:val="nil"/>
              <w:left w:val="nil"/>
              <w:bottom w:val="nil"/>
              <w:right w:val="single" w:sz="4" w:space="0" w:color="auto"/>
            </w:tcBorders>
            <w:shd w:val="clear" w:color="auto" w:fill="auto"/>
            <w:noWrap/>
            <w:vAlign w:val="center"/>
            <w:hideMark/>
          </w:tcPr>
          <w:p w14:paraId="5E5DC7C4"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2" w:type="pct"/>
            <w:tcBorders>
              <w:top w:val="nil"/>
              <w:left w:val="nil"/>
              <w:bottom w:val="nil"/>
              <w:right w:val="single" w:sz="4" w:space="0" w:color="auto"/>
            </w:tcBorders>
            <w:shd w:val="clear" w:color="auto" w:fill="auto"/>
            <w:noWrap/>
            <w:vAlign w:val="center"/>
            <w:hideMark/>
          </w:tcPr>
          <w:p w14:paraId="4EC59EF1"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59" w:type="pct"/>
            <w:tcBorders>
              <w:top w:val="nil"/>
              <w:left w:val="nil"/>
              <w:bottom w:val="nil"/>
              <w:right w:val="single" w:sz="4" w:space="0" w:color="auto"/>
            </w:tcBorders>
            <w:shd w:val="clear" w:color="auto" w:fill="auto"/>
            <w:noWrap/>
            <w:vAlign w:val="center"/>
            <w:hideMark/>
          </w:tcPr>
          <w:p w14:paraId="0E6F5D3E"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311" w:type="pct"/>
            <w:tcBorders>
              <w:top w:val="nil"/>
              <w:left w:val="nil"/>
              <w:bottom w:val="nil"/>
              <w:right w:val="single" w:sz="4" w:space="0" w:color="auto"/>
            </w:tcBorders>
            <w:shd w:val="clear" w:color="auto" w:fill="auto"/>
            <w:noWrap/>
            <w:vAlign w:val="center"/>
            <w:hideMark/>
          </w:tcPr>
          <w:p w14:paraId="6158D742"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69" w:type="pct"/>
            <w:tcBorders>
              <w:top w:val="nil"/>
              <w:left w:val="nil"/>
              <w:bottom w:val="nil"/>
              <w:right w:val="single" w:sz="4" w:space="0" w:color="auto"/>
            </w:tcBorders>
            <w:shd w:val="clear" w:color="auto" w:fill="auto"/>
            <w:noWrap/>
            <w:vAlign w:val="center"/>
            <w:hideMark/>
          </w:tcPr>
          <w:p w14:paraId="2846E09C" w14:textId="77777777"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w:t>
            </w:r>
          </w:p>
        </w:tc>
      </w:tr>
      <w:tr w:rsidR="009630A9" w:rsidRPr="000C156A" w14:paraId="49EEA7E9" w14:textId="77777777" w:rsidTr="0011120B">
        <w:trPr>
          <w:trHeight w:val="255"/>
        </w:trPr>
        <w:tc>
          <w:tcPr>
            <w:tcW w:w="580" w:type="pct"/>
            <w:tcBorders>
              <w:top w:val="nil"/>
              <w:left w:val="single" w:sz="4" w:space="0" w:color="auto"/>
              <w:bottom w:val="nil"/>
              <w:right w:val="nil"/>
            </w:tcBorders>
            <w:shd w:val="clear" w:color="auto" w:fill="auto"/>
            <w:vAlign w:val="center"/>
            <w:hideMark/>
          </w:tcPr>
          <w:p w14:paraId="69111A99" w14:textId="77777777" w:rsidR="009630A9" w:rsidRPr="000C156A" w:rsidRDefault="009630A9" w:rsidP="005D02F0">
            <w:pPr>
              <w:overflowPunct/>
              <w:adjustRightInd/>
              <w:spacing w:before="0"/>
              <w:textAlignment w:val="auto"/>
              <w:rPr>
                <w:rFonts w:asciiTheme="minorHAnsi" w:hAnsiTheme="minorHAnsi" w:cs="Arial"/>
                <w:sz w:val="16"/>
                <w:szCs w:val="16"/>
                <w:lang w:val="en-US" w:eastAsia="zh-CN"/>
              </w:rPr>
            </w:pPr>
            <w:r w:rsidRPr="000C156A">
              <w:rPr>
                <w:rFonts w:asciiTheme="minorHAnsi" w:hAnsiTheme="minorHAnsi" w:cs="Arial" w:hint="eastAsia"/>
                <w:sz w:val="16"/>
                <w:szCs w:val="16"/>
                <w:lang w:val="en-US" w:eastAsia="zh-CN"/>
              </w:rPr>
              <w:t>成本回收</w:t>
            </w:r>
          </w:p>
        </w:tc>
        <w:tc>
          <w:tcPr>
            <w:tcW w:w="267" w:type="pct"/>
            <w:tcBorders>
              <w:top w:val="nil"/>
              <w:left w:val="single" w:sz="4" w:space="0" w:color="auto"/>
              <w:bottom w:val="nil"/>
              <w:right w:val="single" w:sz="4" w:space="0" w:color="auto"/>
            </w:tcBorders>
            <w:shd w:val="clear" w:color="auto" w:fill="auto"/>
            <w:noWrap/>
            <w:vAlign w:val="center"/>
            <w:hideMark/>
          </w:tcPr>
          <w:p w14:paraId="503654C5" w14:textId="4B934030"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1</w:t>
            </w:r>
            <w:r w:rsidR="0011120B" w:rsidRPr="000C156A">
              <w:rPr>
                <w:rFonts w:cs="Calibri"/>
                <w:sz w:val="16"/>
                <w:szCs w:val="16"/>
                <w:lang w:eastAsia="en-GB"/>
              </w:rPr>
              <w:t xml:space="preserve"> </w:t>
            </w:r>
            <w:r w:rsidRPr="000C156A">
              <w:rPr>
                <w:rFonts w:cs="Calibri"/>
                <w:sz w:val="16"/>
                <w:szCs w:val="16"/>
                <w:lang w:eastAsia="en-GB"/>
              </w:rPr>
              <w:t>585</w:t>
            </w:r>
          </w:p>
        </w:tc>
        <w:tc>
          <w:tcPr>
            <w:tcW w:w="284" w:type="pct"/>
            <w:tcBorders>
              <w:top w:val="nil"/>
              <w:left w:val="nil"/>
              <w:bottom w:val="nil"/>
              <w:right w:val="single" w:sz="4" w:space="0" w:color="auto"/>
            </w:tcBorders>
            <w:shd w:val="clear" w:color="auto" w:fill="auto"/>
            <w:noWrap/>
            <w:vAlign w:val="center"/>
            <w:hideMark/>
          </w:tcPr>
          <w:p w14:paraId="4F5EE6B4" w14:textId="3865CE63"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27</w:t>
            </w:r>
            <w:r w:rsidR="0011120B" w:rsidRPr="000C156A">
              <w:rPr>
                <w:rFonts w:cs="Calibri"/>
                <w:sz w:val="16"/>
                <w:szCs w:val="16"/>
                <w:lang w:eastAsia="en-GB"/>
              </w:rPr>
              <w:t xml:space="preserve"> </w:t>
            </w:r>
            <w:r w:rsidRPr="000C156A">
              <w:rPr>
                <w:rFonts w:cs="Calibri"/>
                <w:sz w:val="16"/>
                <w:szCs w:val="16"/>
                <w:lang w:eastAsia="en-GB"/>
              </w:rPr>
              <w:t>507</w:t>
            </w:r>
          </w:p>
        </w:tc>
        <w:tc>
          <w:tcPr>
            <w:tcW w:w="297" w:type="pct"/>
            <w:tcBorders>
              <w:top w:val="nil"/>
              <w:left w:val="nil"/>
              <w:bottom w:val="nil"/>
              <w:right w:val="single" w:sz="4" w:space="0" w:color="auto"/>
            </w:tcBorders>
            <w:shd w:val="clear" w:color="auto" w:fill="auto"/>
            <w:noWrap/>
            <w:vAlign w:val="center"/>
            <w:hideMark/>
          </w:tcPr>
          <w:p w14:paraId="06C558C4"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141</w:t>
            </w:r>
          </w:p>
        </w:tc>
        <w:tc>
          <w:tcPr>
            <w:tcW w:w="267" w:type="pct"/>
            <w:tcBorders>
              <w:top w:val="nil"/>
              <w:left w:val="nil"/>
              <w:bottom w:val="nil"/>
              <w:right w:val="single" w:sz="4" w:space="0" w:color="auto"/>
            </w:tcBorders>
            <w:shd w:val="clear" w:color="auto" w:fill="auto"/>
            <w:noWrap/>
            <w:vAlign w:val="center"/>
            <w:hideMark/>
          </w:tcPr>
          <w:p w14:paraId="5BEB14B8"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110</w:t>
            </w:r>
          </w:p>
        </w:tc>
        <w:tc>
          <w:tcPr>
            <w:tcW w:w="357" w:type="pct"/>
            <w:tcBorders>
              <w:top w:val="nil"/>
              <w:left w:val="nil"/>
              <w:bottom w:val="nil"/>
              <w:right w:val="nil"/>
            </w:tcBorders>
            <w:shd w:val="clear" w:color="auto" w:fill="auto"/>
            <w:noWrap/>
            <w:vAlign w:val="center"/>
            <w:hideMark/>
          </w:tcPr>
          <w:p w14:paraId="6486B58D"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881</w:t>
            </w:r>
          </w:p>
        </w:tc>
        <w:tc>
          <w:tcPr>
            <w:tcW w:w="362" w:type="pct"/>
            <w:tcBorders>
              <w:top w:val="nil"/>
              <w:left w:val="single" w:sz="4" w:space="0" w:color="auto"/>
              <w:bottom w:val="nil"/>
              <w:right w:val="single" w:sz="4" w:space="0" w:color="auto"/>
            </w:tcBorders>
            <w:shd w:val="clear" w:color="auto" w:fill="auto"/>
            <w:noWrap/>
            <w:vAlign w:val="center"/>
            <w:hideMark/>
          </w:tcPr>
          <w:p w14:paraId="1EEFD2D8" w14:textId="32E2C564"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30</w:t>
            </w:r>
            <w:r w:rsidR="0011120B" w:rsidRPr="000C156A">
              <w:rPr>
                <w:rFonts w:cs="Calibri"/>
                <w:b/>
                <w:bCs/>
                <w:sz w:val="16"/>
                <w:szCs w:val="16"/>
                <w:lang w:eastAsia="en-GB"/>
              </w:rPr>
              <w:t xml:space="preserve"> </w:t>
            </w:r>
            <w:r w:rsidRPr="000C156A">
              <w:rPr>
                <w:rFonts w:cs="Calibri"/>
                <w:b/>
                <w:bCs/>
                <w:sz w:val="16"/>
                <w:szCs w:val="16"/>
                <w:lang w:eastAsia="en-GB"/>
              </w:rPr>
              <w:t>224</w:t>
            </w:r>
          </w:p>
        </w:tc>
        <w:tc>
          <w:tcPr>
            <w:tcW w:w="296" w:type="pct"/>
            <w:tcBorders>
              <w:top w:val="nil"/>
              <w:left w:val="nil"/>
              <w:bottom w:val="nil"/>
              <w:right w:val="single" w:sz="4" w:space="0" w:color="auto"/>
            </w:tcBorders>
            <w:shd w:val="clear" w:color="auto" w:fill="auto"/>
            <w:noWrap/>
            <w:vAlign w:val="center"/>
            <w:hideMark/>
          </w:tcPr>
          <w:p w14:paraId="71785C2B"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96" w:type="pct"/>
            <w:tcBorders>
              <w:top w:val="nil"/>
              <w:left w:val="nil"/>
              <w:bottom w:val="nil"/>
              <w:right w:val="single" w:sz="4" w:space="0" w:color="auto"/>
            </w:tcBorders>
            <w:shd w:val="clear" w:color="auto" w:fill="auto"/>
            <w:noWrap/>
            <w:vAlign w:val="center"/>
            <w:hideMark/>
          </w:tcPr>
          <w:p w14:paraId="3174C433"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08" w:type="pct"/>
            <w:tcBorders>
              <w:top w:val="nil"/>
              <w:left w:val="nil"/>
              <w:bottom w:val="nil"/>
              <w:right w:val="single" w:sz="4" w:space="0" w:color="auto"/>
            </w:tcBorders>
            <w:shd w:val="clear" w:color="auto" w:fill="auto"/>
            <w:noWrap/>
            <w:vAlign w:val="center"/>
            <w:hideMark/>
          </w:tcPr>
          <w:p w14:paraId="6797A5A0"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36" w:type="pct"/>
            <w:tcBorders>
              <w:top w:val="nil"/>
              <w:left w:val="nil"/>
              <w:bottom w:val="nil"/>
              <w:right w:val="single" w:sz="4" w:space="0" w:color="auto"/>
            </w:tcBorders>
            <w:shd w:val="clear" w:color="auto" w:fill="auto"/>
            <w:noWrap/>
            <w:vAlign w:val="center"/>
            <w:hideMark/>
          </w:tcPr>
          <w:p w14:paraId="3FB9E7CE"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55" w:type="pct"/>
            <w:tcBorders>
              <w:top w:val="nil"/>
              <w:left w:val="nil"/>
              <w:bottom w:val="nil"/>
              <w:right w:val="single" w:sz="4" w:space="0" w:color="auto"/>
            </w:tcBorders>
            <w:shd w:val="clear" w:color="auto" w:fill="auto"/>
            <w:noWrap/>
            <w:vAlign w:val="center"/>
            <w:hideMark/>
          </w:tcPr>
          <w:p w14:paraId="59FEAD44"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24" w:type="pct"/>
            <w:tcBorders>
              <w:top w:val="nil"/>
              <w:left w:val="nil"/>
              <w:bottom w:val="nil"/>
              <w:right w:val="single" w:sz="4" w:space="0" w:color="auto"/>
            </w:tcBorders>
            <w:shd w:val="clear" w:color="auto" w:fill="auto"/>
            <w:noWrap/>
            <w:vAlign w:val="center"/>
            <w:hideMark/>
          </w:tcPr>
          <w:p w14:paraId="1A49E4F8"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2" w:type="pct"/>
            <w:tcBorders>
              <w:top w:val="nil"/>
              <w:left w:val="nil"/>
              <w:bottom w:val="nil"/>
              <w:right w:val="single" w:sz="4" w:space="0" w:color="auto"/>
            </w:tcBorders>
            <w:shd w:val="clear" w:color="auto" w:fill="auto"/>
            <w:noWrap/>
            <w:vAlign w:val="center"/>
            <w:hideMark/>
          </w:tcPr>
          <w:p w14:paraId="1FE1BAB7"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59" w:type="pct"/>
            <w:tcBorders>
              <w:top w:val="nil"/>
              <w:left w:val="nil"/>
              <w:bottom w:val="nil"/>
              <w:right w:val="single" w:sz="4" w:space="0" w:color="auto"/>
            </w:tcBorders>
            <w:shd w:val="clear" w:color="auto" w:fill="auto"/>
            <w:noWrap/>
            <w:vAlign w:val="center"/>
            <w:hideMark/>
          </w:tcPr>
          <w:p w14:paraId="31C4AFEF"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311" w:type="pct"/>
            <w:tcBorders>
              <w:top w:val="nil"/>
              <w:left w:val="nil"/>
              <w:bottom w:val="nil"/>
              <w:right w:val="single" w:sz="4" w:space="0" w:color="auto"/>
            </w:tcBorders>
            <w:shd w:val="clear" w:color="auto" w:fill="auto"/>
            <w:noWrap/>
            <w:vAlign w:val="center"/>
            <w:hideMark/>
          </w:tcPr>
          <w:p w14:paraId="619E392A" w14:textId="6BE8628A"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-1</w:t>
            </w:r>
            <w:r w:rsidR="0011120B" w:rsidRPr="000C156A">
              <w:rPr>
                <w:rFonts w:cs="Calibri"/>
                <w:sz w:val="16"/>
                <w:szCs w:val="16"/>
                <w:lang w:eastAsia="en-GB"/>
              </w:rPr>
              <w:t xml:space="preserve"> </w:t>
            </w:r>
            <w:r w:rsidRPr="000C156A">
              <w:rPr>
                <w:rFonts w:cs="Calibri"/>
                <w:sz w:val="16"/>
                <w:szCs w:val="16"/>
                <w:lang w:eastAsia="en-GB"/>
              </w:rPr>
              <w:t>971</w:t>
            </w:r>
          </w:p>
        </w:tc>
        <w:tc>
          <w:tcPr>
            <w:tcW w:w="269" w:type="pct"/>
            <w:tcBorders>
              <w:top w:val="nil"/>
              <w:left w:val="nil"/>
              <w:bottom w:val="nil"/>
              <w:right w:val="single" w:sz="4" w:space="0" w:color="auto"/>
            </w:tcBorders>
            <w:shd w:val="clear" w:color="auto" w:fill="auto"/>
            <w:noWrap/>
            <w:vAlign w:val="center"/>
            <w:hideMark/>
          </w:tcPr>
          <w:p w14:paraId="0E03FC31" w14:textId="5A724599"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28</w:t>
            </w:r>
            <w:r w:rsidR="0011120B" w:rsidRPr="000C156A">
              <w:rPr>
                <w:rFonts w:cs="Calibri"/>
                <w:b/>
                <w:bCs/>
                <w:sz w:val="16"/>
                <w:szCs w:val="16"/>
                <w:lang w:eastAsia="en-GB"/>
              </w:rPr>
              <w:t xml:space="preserve"> </w:t>
            </w:r>
            <w:r w:rsidRPr="000C156A">
              <w:rPr>
                <w:rFonts w:cs="Calibri"/>
                <w:b/>
                <w:bCs/>
                <w:sz w:val="16"/>
                <w:szCs w:val="16"/>
                <w:lang w:eastAsia="en-GB"/>
              </w:rPr>
              <w:t>253</w:t>
            </w:r>
          </w:p>
        </w:tc>
      </w:tr>
      <w:tr w:rsidR="009630A9" w:rsidRPr="000C156A" w14:paraId="3E5C75B9" w14:textId="77777777" w:rsidTr="0011120B">
        <w:trPr>
          <w:trHeight w:val="255"/>
        </w:trPr>
        <w:tc>
          <w:tcPr>
            <w:tcW w:w="580" w:type="pct"/>
            <w:tcBorders>
              <w:top w:val="nil"/>
              <w:left w:val="single" w:sz="4" w:space="0" w:color="auto"/>
              <w:bottom w:val="nil"/>
              <w:right w:val="nil"/>
            </w:tcBorders>
            <w:shd w:val="clear" w:color="auto" w:fill="auto"/>
            <w:vAlign w:val="center"/>
            <w:hideMark/>
          </w:tcPr>
          <w:p w14:paraId="63AC73C1" w14:textId="77777777" w:rsidR="009630A9" w:rsidRPr="000C156A" w:rsidRDefault="009630A9" w:rsidP="005D02F0">
            <w:pPr>
              <w:spacing w:before="0"/>
              <w:rPr>
                <w:noProof/>
                <w:sz w:val="16"/>
                <w:szCs w:val="16"/>
                <w:lang w:val="en-US" w:eastAsia="zh-CN"/>
              </w:rPr>
            </w:pPr>
            <w:r w:rsidRPr="000C156A">
              <w:rPr>
                <w:rFonts w:hint="eastAsia"/>
                <w:noProof/>
                <w:sz w:val="16"/>
                <w:szCs w:val="16"/>
                <w:lang w:val="en-US" w:eastAsia="zh-CN"/>
              </w:rPr>
              <w:t>其它收入</w:t>
            </w:r>
          </w:p>
        </w:tc>
        <w:tc>
          <w:tcPr>
            <w:tcW w:w="267" w:type="pct"/>
            <w:tcBorders>
              <w:top w:val="nil"/>
              <w:left w:val="single" w:sz="4" w:space="0" w:color="auto"/>
              <w:bottom w:val="nil"/>
              <w:right w:val="single" w:sz="4" w:space="0" w:color="auto"/>
            </w:tcBorders>
            <w:shd w:val="clear" w:color="auto" w:fill="auto"/>
            <w:noWrap/>
            <w:vAlign w:val="center"/>
            <w:hideMark/>
          </w:tcPr>
          <w:p w14:paraId="69E19258"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47</w:t>
            </w:r>
          </w:p>
        </w:tc>
        <w:tc>
          <w:tcPr>
            <w:tcW w:w="284" w:type="pct"/>
            <w:tcBorders>
              <w:top w:val="nil"/>
              <w:left w:val="nil"/>
              <w:bottom w:val="nil"/>
              <w:right w:val="single" w:sz="4" w:space="0" w:color="auto"/>
            </w:tcBorders>
            <w:shd w:val="clear" w:color="auto" w:fill="auto"/>
            <w:noWrap/>
            <w:vAlign w:val="center"/>
            <w:hideMark/>
          </w:tcPr>
          <w:p w14:paraId="0DB83501"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178</w:t>
            </w:r>
          </w:p>
        </w:tc>
        <w:tc>
          <w:tcPr>
            <w:tcW w:w="297" w:type="pct"/>
            <w:tcBorders>
              <w:top w:val="nil"/>
              <w:left w:val="nil"/>
              <w:bottom w:val="nil"/>
              <w:right w:val="single" w:sz="4" w:space="0" w:color="auto"/>
            </w:tcBorders>
            <w:shd w:val="clear" w:color="auto" w:fill="auto"/>
            <w:noWrap/>
            <w:vAlign w:val="center"/>
            <w:hideMark/>
          </w:tcPr>
          <w:p w14:paraId="6ED62494"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1</w:t>
            </w:r>
          </w:p>
        </w:tc>
        <w:tc>
          <w:tcPr>
            <w:tcW w:w="267" w:type="pct"/>
            <w:tcBorders>
              <w:top w:val="nil"/>
              <w:left w:val="nil"/>
              <w:bottom w:val="nil"/>
              <w:right w:val="single" w:sz="4" w:space="0" w:color="auto"/>
            </w:tcBorders>
            <w:shd w:val="clear" w:color="auto" w:fill="auto"/>
            <w:noWrap/>
            <w:vAlign w:val="center"/>
            <w:hideMark/>
          </w:tcPr>
          <w:p w14:paraId="28462AF7"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1</w:t>
            </w:r>
          </w:p>
        </w:tc>
        <w:tc>
          <w:tcPr>
            <w:tcW w:w="357" w:type="pct"/>
            <w:tcBorders>
              <w:top w:val="nil"/>
              <w:left w:val="nil"/>
              <w:bottom w:val="nil"/>
              <w:right w:val="nil"/>
            </w:tcBorders>
            <w:shd w:val="clear" w:color="auto" w:fill="auto"/>
            <w:noWrap/>
            <w:vAlign w:val="center"/>
            <w:hideMark/>
          </w:tcPr>
          <w:p w14:paraId="26EB2078" w14:textId="21BCDF81"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1</w:t>
            </w:r>
            <w:r w:rsidR="0011120B" w:rsidRPr="000C156A">
              <w:rPr>
                <w:rFonts w:cs="Calibri"/>
                <w:sz w:val="16"/>
                <w:szCs w:val="16"/>
                <w:lang w:eastAsia="en-GB"/>
              </w:rPr>
              <w:t xml:space="preserve"> </w:t>
            </w:r>
            <w:r w:rsidRPr="000C156A">
              <w:rPr>
                <w:rFonts w:cs="Calibri"/>
                <w:sz w:val="16"/>
                <w:szCs w:val="16"/>
                <w:lang w:eastAsia="en-GB"/>
              </w:rPr>
              <w:t>104</w:t>
            </w:r>
          </w:p>
        </w:tc>
        <w:tc>
          <w:tcPr>
            <w:tcW w:w="362" w:type="pct"/>
            <w:tcBorders>
              <w:top w:val="nil"/>
              <w:left w:val="single" w:sz="4" w:space="0" w:color="auto"/>
              <w:bottom w:val="nil"/>
              <w:right w:val="single" w:sz="4" w:space="0" w:color="auto"/>
            </w:tcBorders>
            <w:shd w:val="clear" w:color="auto" w:fill="auto"/>
            <w:noWrap/>
            <w:vAlign w:val="center"/>
            <w:hideMark/>
          </w:tcPr>
          <w:p w14:paraId="25497429" w14:textId="088CBB3E"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1</w:t>
            </w:r>
            <w:r w:rsidR="0011120B" w:rsidRPr="000C156A">
              <w:rPr>
                <w:rFonts w:cs="Calibri"/>
                <w:b/>
                <w:bCs/>
                <w:sz w:val="16"/>
                <w:szCs w:val="16"/>
                <w:lang w:eastAsia="en-GB"/>
              </w:rPr>
              <w:t xml:space="preserve"> </w:t>
            </w:r>
            <w:r w:rsidRPr="000C156A">
              <w:rPr>
                <w:rFonts w:cs="Calibri"/>
                <w:b/>
                <w:bCs/>
                <w:sz w:val="16"/>
                <w:szCs w:val="16"/>
                <w:lang w:eastAsia="en-GB"/>
              </w:rPr>
              <w:t>332</w:t>
            </w:r>
          </w:p>
        </w:tc>
        <w:tc>
          <w:tcPr>
            <w:tcW w:w="296" w:type="pct"/>
            <w:tcBorders>
              <w:top w:val="nil"/>
              <w:left w:val="nil"/>
              <w:bottom w:val="nil"/>
              <w:right w:val="single" w:sz="4" w:space="0" w:color="auto"/>
            </w:tcBorders>
            <w:shd w:val="clear" w:color="auto" w:fill="auto"/>
            <w:noWrap/>
            <w:vAlign w:val="center"/>
            <w:hideMark/>
          </w:tcPr>
          <w:p w14:paraId="0DFA1733"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96" w:type="pct"/>
            <w:tcBorders>
              <w:top w:val="nil"/>
              <w:left w:val="nil"/>
              <w:bottom w:val="nil"/>
              <w:right w:val="single" w:sz="4" w:space="0" w:color="auto"/>
            </w:tcBorders>
            <w:shd w:val="clear" w:color="auto" w:fill="auto"/>
            <w:noWrap/>
            <w:vAlign w:val="center"/>
            <w:hideMark/>
          </w:tcPr>
          <w:p w14:paraId="4E58ABE2" w14:textId="587C9CF6"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3</w:t>
            </w:r>
            <w:r w:rsidR="0011120B" w:rsidRPr="000C156A">
              <w:rPr>
                <w:rFonts w:cs="Calibri"/>
                <w:sz w:val="16"/>
                <w:szCs w:val="16"/>
                <w:lang w:eastAsia="en-GB"/>
              </w:rPr>
              <w:t xml:space="preserve"> </w:t>
            </w:r>
            <w:r w:rsidRPr="000C156A">
              <w:rPr>
                <w:rFonts w:cs="Calibri"/>
                <w:sz w:val="16"/>
                <w:szCs w:val="16"/>
                <w:lang w:eastAsia="en-GB"/>
              </w:rPr>
              <w:t>040</w:t>
            </w:r>
          </w:p>
        </w:tc>
        <w:tc>
          <w:tcPr>
            <w:tcW w:w="208" w:type="pct"/>
            <w:tcBorders>
              <w:top w:val="nil"/>
              <w:left w:val="nil"/>
              <w:bottom w:val="nil"/>
              <w:right w:val="single" w:sz="4" w:space="0" w:color="auto"/>
            </w:tcBorders>
            <w:shd w:val="clear" w:color="auto" w:fill="auto"/>
            <w:noWrap/>
            <w:vAlign w:val="center"/>
            <w:hideMark/>
          </w:tcPr>
          <w:p w14:paraId="3AC6EB52"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36" w:type="pct"/>
            <w:tcBorders>
              <w:top w:val="nil"/>
              <w:left w:val="nil"/>
              <w:bottom w:val="nil"/>
              <w:right w:val="single" w:sz="4" w:space="0" w:color="auto"/>
            </w:tcBorders>
            <w:shd w:val="clear" w:color="auto" w:fill="auto"/>
            <w:noWrap/>
            <w:vAlign w:val="center"/>
            <w:hideMark/>
          </w:tcPr>
          <w:p w14:paraId="7C3E8A0B"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116</w:t>
            </w:r>
          </w:p>
        </w:tc>
        <w:tc>
          <w:tcPr>
            <w:tcW w:w="255" w:type="pct"/>
            <w:tcBorders>
              <w:top w:val="nil"/>
              <w:left w:val="nil"/>
              <w:bottom w:val="nil"/>
              <w:right w:val="single" w:sz="4" w:space="0" w:color="auto"/>
            </w:tcBorders>
            <w:shd w:val="clear" w:color="auto" w:fill="auto"/>
            <w:noWrap/>
            <w:vAlign w:val="center"/>
            <w:hideMark/>
          </w:tcPr>
          <w:p w14:paraId="0642BF5C"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132</w:t>
            </w:r>
          </w:p>
        </w:tc>
        <w:tc>
          <w:tcPr>
            <w:tcW w:w="224" w:type="pct"/>
            <w:tcBorders>
              <w:top w:val="nil"/>
              <w:left w:val="nil"/>
              <w:bottom w:val="nil"/>
              <w:right w:val="single" w:sz="4" w:space="0" w:color="auto"/>
            </w:tcBorders>
            <w:shd w:val="clear" w:color="auto" w:fill="auto"/>
            <w:noWrap/>
            <w:vAlign w:val="center"/>
            <w:hideMark/>
          </w:tcPr>
          <w:p w14:paraId="49B3ED89"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2" w:type="pct"/>
            <w:tcBorders>
              <w:top w:val="nil"/>
              <w:left w:val="nil"/>
              <w:bottom w:val="nil"/>
              <w:right w:val="single" w:sz="4" w:space="0" w:color="auto"/>
            </w:tcBorders>
            <w:shd w:val="clear" w:color="auto" w:fill="auto"/>
            <w:noWrap/>
            <w:vAlign w:val="center"/>
            <w:hideMark/>
          </w:tcPr>
          <w:p w14:paraId="16AC74B1"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59" w:type="pct"/>
            <w:tcBorders>
              <w:top w:val="nil"/>
              <w:left w:val="nil"/>
              <w:bottom w:val="nil"/>
              <w:right w:val="single" w:sz="4" w:space="0" w:color="auto"/>
            </w:tcBorders>
            <w:shd w:val="clear" w:color="auto" w:fill="auto"/>
            <w:noWrap/>
            <w:vAlign w:val="center"/>
            <w:hideMark/>
          </w:tcPr>
          <w:p w14:paraId="71056E8F" w14:textId="3DC61218"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6</w:t>
            </w:r>
            <w:r w:rsidR="0011120B" w:rsidRPr="000C156A">
              <w:rPr>
                <w:rFonts w:cs="Calibri"/>
                <w:color w:val="000000"/>
                <w:sz w:val="16"/>
                <w:szCs w:val="16"/>
                <w:lang w:eastAsia="en-GB"/>
              </w:rPr>
              <w:t xml:space="preserve"> </w:t>
            </w:r>
            <w:r w:rsidRPr="000C156A">
              <w:rPr>
                <w:rFonts w:cs="Calibri"/>
                <w:color w:val="000000"/>
                <w:sz w:val="16"/>
                <w:szCs w:val="16"/>
                <w:lang w:eastAsia="en-GB"/>
              </w:rPr>
              <w:t>908</w:t>
            </w:r>
          </w:p>
        </w:tc>
        <w:tc>
          <w:tcPr>
            <w:tcW w:w="311" w:type="pct"/>
            <w:tcBorders>
              <w:top w:val="nil"/>
              <w:left w:val="nil"/>
              <w:bottom w:val="nil"/>
              <w:right w:val="single" w:sz="4" w:space="0" w:color="auto"/>
            </w:tcBorders>
            <w:shd w:val="clear" w:color="auto" w:fill="auto"/>
            <w:noWrap/>
            <w:vAlign w:val="center"/>
            <w:hideMark/>
          </w:tcPr>
          <w:p w14:paraId="786F4FFE"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-415</w:t>
            </w:r>
          </w:p>
        </w:tc>
        <w:tc>
          <w:tcPr>
            <w:tcW w:w="269" w:type="pct"/>
            <w:tcBorders>
              <w:top w:val="nil"/>
              <w:left w:val="nil"/>
              <w:bottom w:val="nil"/>
              <w:right w:val="single" w:sz="4" w:space="0" w:color="auto"/>
            </w:tcBorders>
            <w:shd w:val="clear" w:color="auto" w:fill="auto"/>
            <w:noWrap/>
            <w:vAlign w:val="center"/>
            <w:hideMark/>
          </w:tcPr>
          <w:p w14:paraId="615CC0C7" w14:textId="0A461217"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11</w:t>
            </w:r>
            <w:r w:rsidR="0011120B" w:rsidRPr="000C156A">
              <w:rPr>
                <w:rFonts w:cs="Calibri"/>
                <w:b/>
                <w:bCs/>
                <w:sz w:val="16"/>
                <w:szCs w:val="16"/>
                <w:lang w:eastAsia="en-GB"/>
              </w:rPr>
              <w:t xml:space="preserve"> </w:t>
            </w:r>
            <w:r w:rsidRPr="000C156A">
              <w:rPr>
                <w:rFonts w:cs="Calibri"/>
                <w:b/>
                <w:bCs/>
                <w:sz w:val="16"/>
                <w:szCs w:val="16"/>
                <w:lang w:eastAsia="en-GB"/>
              </w:rPr>
              <w:t>113</w:t>
            </w:r>
          </w:p>
        </w:tc>
      </w:tr>
      <w:tr w:rsidR="009630A9" w:rsidRPr="000C156A" w14:paraId="6B062CE3" w14:textId="77777777" w:rsidTr="0011120B">
        <w:trPr>
          <w:trHeight w:val="255"/>
        </w:trPr>
        <w:tc>
          <w:tcPr>
            <w:tcW w:w="580" w:type="pct"/>
            <w:tcBorders>
              <w:top w:val="nil"/>
              <w:left w:val="single" w:sz="4" w:space="0" w:color="auto"/>
              <w:bottom w:val="nil"/>
              <w:right w:val="nil"/>
            </w:tcBorders>
            <w:shd w:val="clear" w:color="auto" w:fill="auto"/>
            <w:vAlign w:val="center"/>
            <w:hideMark/>
          </w:tcPr>
          <w:p w14:paraId="7C1D1577" w14:textId="77777777" w:rsidR="009630A9" w:rsidRPr="000C156A" w:rsidRDefault="009630A9" w:rsidP="005D02F0">
            <w:pPr>
              <w:spacing w:before="0"/>
              <w:rPr>
                <w:noProof/>
                <w:sz w:val="16"/>
                <w:szCs w:val="16"/>
                <w:lang w:val="en-US" w:eastAsia="zh-CN"/>
              </w:rPr>
            </w:pPr>
            <w:r w:rsidRPr="000C156A">
              <w:rPr>
                <w:rFonts w:hint="eastAsia"/>
                <w:noProof/>
                <w:sz w:val="16"/>
                <w:szCs w:val="16"/>
                <w:lang w:val="en-US" w:eastAsia="zh-CN"/>
              </w:rPr>
              <w:t>财务收入</w:t>
            </w:r>
          </w:p>
        </w:tc>
        <w:tc>
          <w:tcPr>
            <w:tcW w:w="267" w:type="pct"/>
            <w:tcBorders>
              <w:top w:val="nil"/>
              <w:left w:val="single" w:sz="4" w:space="0" w:color="auto"/>
              <w:bottom w:val="nil"/>
              <w:right w:val="single" w:sz="4" w:space="0" w:color="auto"/>
            </w:tcBorders>
            <w:shd w:val="clear" w:color="auto" w:fill="auto"/>
            <w:noWrap/>
            <w:vAlign w:val="center"/>
            <w:hideMark/>
          </w:tcPr>
          <w:p w14:paraId="02CD7F94"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84" w:type="pct"/>
            <w:tcBorders>
              <w:top w:val="nil"/>
              <w:left w:val="nil"/>
              <w:bottom w:val="nil"/>
              <w:right w:val="single" w:sz="4" w:space="0" w:color="auto"/>
            </w:tcBorders>
            <w:shd w:val="clear" w:color="auto" w:fill="auto"/>
            <w:noWrap/>
            <w:vAlign w:val="center"/>
            <w:hideMark/>
          </w:tcPr>
          <w:p w14:paraId="20A4024C"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97" w:type="pct"/>
            <w:tcBorders>
              <w:top w:val="nil"/>
              <w:left w:val="nil"/>
              <w:bottom w:val="nil"/>
              <w:right w:val="single" w:sz="4" w:space="0" w:color="auto"/>
            </w:tcBorders>
            <w:shd w:val="clear" w:color="auto" w:fill="auto"/>
            <w:noWrap/>
            <w:vAlign w:val="center"/>
            <w:hideMark/>
          </w:tcPr>
          <w:p w14:paraId="4EF8D38F"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67" w:type="pct"/>
            <w:tcBorders>
              <w:top w:val="nil"/>
              <w:left w:val="nil"/>
              <w:bottom w:val="nil"/>
              <w:right w:val="single" w:sz="4" w:space="0" w:color="auto"/>
            </w:tcBorders>
            <w:shd w:val="clear" w:color="auto" w:fill="auto"/>
            <w:noWrap/>
            <w:vAlign w:val="center"/>
            <w:hideMark/>
          </w:tcPr>
          <w:p w14:paraId="3AD8FD66"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1</w:t>
            </w:r>
          </w:p>
        </w:tc>
        <w:tc>
          <w:tcPr>
            <w:tcW w:w="357" w:type="pct"/>
            <w:tcBorders>
              <w:top w:val="nil"/>
              <w:left w:val="nil"/>
              <w:bottom w:val="nil"/>
              <w:right w:val="nil"/>
            </w:tcBorders>
            <w:shd w:val="clear" w:color="auto" w:fill="auto"/>
            <w:noWrap/>
            <w:vAlign w:val="center"/>
            <w:hideMark/>
          </w:tcPr>
          <w:p w14:paraId="317E13D6" w14:textId="11E73842"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9</w:t>
            </w:r>
            <w:r w:rsidR="0011120B" w:rsidRPr="000C156A">
              <w:rPr>
                <w:rFonts w:cs="Calibri"/>
                <w:sz w:val="16"/>
                <w:szCs w:val="16"/>
                <w:lang w:eastAsia="en-GB"/>
              </w:rPr>
              <w:t xml:space="preserve"> </w:t>
            </w:r>
            <w:r w:rsidRPr="000C156A">
              <w:rPr>
                <w:rFonts w:cs="Calibri"/>
                <w:sz w:val="16"/>
                <w:szCs w:val="16"/>
                <w:lang w:eastAsia="en-GB"/>
              </w:rPr>
              <w:t>940</w:t>
            </w:r>
          </w:p>
        </w:tc>
        <w:tc>
          <w:tcPr>
            <w:tcW w:w="362" w:type="pct"/>
            <w:tcBorders>
              <w:top w:val="nil"/>
              <w:left w:val="single" w:sz="4" w:space="0" w:color="auto"/>
              <w:bottom w:val="nil"/>
              <w:right w:val="single" w:sz="4" w:space="0" w:color="auto"/>
            </w:tcBorders>
            <w:shd w:val="clear" w:color="auto" w:fill="auto"/>
            <w:noWrap/>
            <w:vAlign w:val="center"/>
            <w:hideMark/>
          </w:tcPr>
          <w:p w14:paraId="4CCBD427" w14:textId="58E7B811"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9</w:t>
            </w:r>
            <w:r w:rsidR="0011120B" w:rsidRPr="000C156A">
              <w:rPr>
                <w:rFonts w:cs="Calibri"/>
                <w:b/>
                <w:bCs/>
                <w:sz w:val="16"/>
                <w:szCs w:val="16"/>
                <w:lang w:eastAsia="en-GB"/>
              </w:rPr>
              <w:t xml:space="preserve"> </w:t>
            </w:r>
            <w:r w:rsidRPr="000C156A">
              <w:rPr>
                <w:rFonts w:cs="Calibri"/>
                <w:b/>
                <w:bCs/>
                <w:sz w:val="16"/>
                <w:szCs w:val="16"/>
                <w:lang w:eastAsia="en-GB"/>
              </w:rPr>
              <w:t>942</w:t>
            </w:r>
          </w:p>
        </w:tc>
        <w:tc>
          <w:tcPr>
            <w:tcW w:w="296" w:type="pct"/>
            <w:tcBorders>
              <w:top w:val="nil"/>
              <w:left w:val="nil"/>
              <w:bottom w:val="nil"/>
              <w:right w:val="single" w:sz="4" w:space="0" w:color="auto"/>
            </w:tcBorders>
            <w:shd w:val="clear" w:color="auto" w:fill="auto"/>
            <w:noWrap/>
            <w:vAlign w:val="center"/>
            <w:hideMark/>
          </w:tcPr>
          <w:p w14:paraId="4296CD16"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96" w:type="pct"/>
            <w:tcBorders>
              <w:top w:val="nil"/>
              <w:left w:val="nil"/>
              <w:bottom w:val="nil"/>
              <w:right w:val="single" w:sz="4" w:space="0" w:color="auto"/>
            </w:tcBorders>
            <w:shd w:val="clear" w:color="auto" w:fill="auto"/>
            <w:noWrap/>
            <w:vAlign w:val="center"/>
            <w:hideMark/>
          </w:tcPr>
          <w:p w14:paraId="2E469491"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08" w:type="pct"/>
            <w:tcBorders>
              <w:top w:val="nil"/>
              <w:left w:val="nil"/>
              <w:bottom w:val="nil"/>
              <w:right w:val="single" w:sz="4" w:space="0" w:color="auto"/>
            </w:tcBorders>
            <w:shd w:val="clear" w:color="auto" w:fill="auto"/>
            <w:noWrap/>
            <w:vAlign w:val="center"/>
            <w:hideMark/>
          </w:tcPr>
          <w:p w14:paraId="64BE54C4"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36" w:type="pct"/>
            <w:tcBorders>
              <w:top w:val="nil"/>
              <w:left w:val="nil"/>
              <w:bottom w:val="nil"/>
              <w:right w:val="single" w:sz="4" w:space="0" w:color="auto"/>
            </w:tcBorders>
            <w:shd w:val="clear" w:color="auto" w:fill="auto"/>
            <w:noWrap/>
            <w:vAlign w:val="center"/>
            <w:hideMark/>
          </w:tcPr>
          <w:p w14:paraId="74C6D817"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12</w:t>
            </w:r>
          </w:p>
        </w:tc>
        <w:tc>
          <w:tcPr>
            <w:tcW w:w="255" w:type="pct"/>
            <w:tcBorders>
              <w:top w:val="nil"/>
              <w:left w:val="nil"/>
              <w:bottom w:val="nil"/>
              <w:right w:val="single" w:sz="4" w:space="0" w:color="auto"/>
            </w:tcBorders>
            <w:shd w:val="clear" w:color="auto" w:fill="auto"/>
            <w:noWrap/>
            <w:vAlign w:val="center"/>
            <w:hideMark/>
          </w:tcPr>
          <w:p w14:paraId="0B5CD1FC"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709</w:t>
            </w:r>
          </w:p>
        </w:tc>
        <w:tc>
          <w:tcPr>
            <w:tcW w:w="224" w:type="pct"/>
            <w:tcBorders>
              <w:top w:val="nil"/>
              <w:left w:val="nil"/>
              <w:bottom w:val="nil"/>
              <w:right w:val="single" w:sz="4" w:space="0" w:color="auto"/>
            </w:tcBorders>
            <w:shd w:val="clear" w:color="auto" w:fill="auto"/>
            <w:noWrap/>
            <w:vAlign w:val="center"/>
            <w:hideMark/>
          </w:tcPr>
          <w:p w14:paraId="02F06C1E"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110</w:t>
            </w:r>
          </w:p>
        </w:tc>
        <w:tc>
          <w:tcPr>
            <w:tcW w:w="232" w:type="pct"/>
            <w:tcBorders>
              <w:top w:val="nil"/>
              <w:left w:val="nil"/>
              <w:bottom w:val="nil"/>
              <w:right w:val="single" w:sz="4" w:space="0" w:color="auto"/>
            </w:tcBorders>
            <w:shd w:val="clear" w:color="auto" w:fill="auto"/>
            <w:noWrap/>
            <w:vAlign w:val="center"/>
            <w:hideMark/>
          </w:tcPr>
          <w:p w14:paraId="5C707DE2"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96</w:t>
            </w:r>
          </w:p>
        </w:tc>
        <w:tc>
          <w:tcPr>
            <w:tcW w:w="259" w:type="pct"/>
            <w:tcBorders>
              <w:top w:val="nil"/>
              <w:left w:val="nil"/>
              <w:bottom w:val="nil"/>
              <w:right w:val="single" w:sz="4" w:space="0" w:color="auto"/>
            </w:tcBorders>
            <w:shd w:val="clear" w:color="auto" w:fill="auto"/>
            <w:noWrap/>
            <w:vAlign w:val="center"/>
            <w:hideMark/>
          </w:tcPr>
          <w:p w14:paraId="629A2FC7"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2</w:t>
            </w:r>
          </w:p>
        </w:tc>
        <w:tc>
          <w:tcPr>
            <w:tcW w:w="311" w:type="pct"/>
            <w:tcBorders>
              <w:top w:val="nil"/>
              <w:left w:val="nil"/>
              <w:bottom w:val="nil"/>
              <w:right w:val="single" w:sz="4" w:space="0" w:color="auto"/>
            </w:tcBorders>
            <w:shd w:val="clear" w:color="auto" w:fill="auto"/>
            <w:noWrap/>
            <w:vAlign w:val="center"/>
            <w:hideMark/>
          </w:tcPr>
          <w:p w14:paraId="5027CC9E"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r w:rsidRPr="000C156A">
              <w:rPr>
                <w:rFonts w:cs="Calibri"/>
                <w:sz w:val="16"/>
                <w:szCs w:val="16"/>
                <w:lang w:eastAsia="en-GB"/>
              </w:rPr>
              <w:t>-</w:t>
            </w:r>
          </w:p>
        </w:tc>
        <w:tc>
          <w:tcPr>
            <w:tcW w:w="269" w:type="pct"/>
            <w:tcBorders>
              <w:top w:val="nil"/>
              <w:left w:val="nil"/>
              <w:bottom w:val="nil"/>
              <w:right w:val="single" w:sz="4" w:space="0" w:color="auto"/>
            </w:tcBorders>
            <w:shd w:val="clear" w:color="auto" w:fill="auto"/>
            <w:noWrap/>
            <w:vAlign w:val="center"/>
            <w:hideMark/>
          </w:tcPr>
          <w:p w14:paraId="21E1B5BF" w14:textId="65D53FFB"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10</w:t>
            </w:r>
            <w:r w:rsidR="0011120B" w:rsidRPr="000C156A">
              <w:rPr>
                <w:rFonts w:cs="Calibri"/>
                <w:b/>
                <w:bCs/>
                <w:sz w:val="16"/>
                <w:szCs w:val="16"/>
                <w:lang w:eastAsia="en-GB"/>
              </w:rPr>
              <w:t xml:space="preserve"> </w:t>
            </w:r>
            <w:r w:rsidRPr="000C156A">
              <w:rPr>
                <w:rFonts w:cs="Calibri"/>
                <w:b/>
                <w:bCs/>
                <w:sz w:val="16"/>
                <w:szCs w:val="16"/>
                <w:lang w:eastAsia="en-GB"/>
              </w:rPr>
              <w:t>871</w:t>
            </w:r>
          </w:p>
        </w:tc>
      </w:tr>
      <w:tr w:rsidR="009630A9" w:rsidRPr="000C156A" w14:paraId="14B77D7C" w14:textId="77777777" w:rsidTr="0011120B">
        <w:trPr>
          <w:trHeight w:val="255"/>
        </w:trPr>
        <w:tc>
          <w:tcPr>
            <w:tcW w:w="580" w:type="pct"/>
            <w:tcBorders>
              <w:top w:val="nil"/>
              <w:left w:val="single" w:sz="4" w:space="0" w:color="auto"/>
              <w:bottom w:val="nil"/>
              <w:right w:val="nil"/>
            </w:tcBorders>
            <w:shd w:val="clear" w:color="auto" w:fill="auto"/>
            <w:vAlign w:val="center"/>
            <w:hideMark/>
          </w:tcPr>
          <w:p w14:paraId="66F4EBC3" w14:textId="77777777" w:rsidR="009630A9" w:rsidRPr="000C156A" w:rsidRDefault="009630A9" w:rsidP="005D02F0">
            <w:pPr>
              <w:overflowPunct/>
              <w:autoSpaceDE/>
              <w:autoSpaceDN/>
              <w:adjustRightInd/>
              <w:spacing w:before="0"/>
              <w:textAlignment w:val="auto"/>
              <w:rPr>
                <w:rFonts w:asciiTheme="minorHAnsi" w:hAnsiTheme="minorHAnsi" w:cs="Arial"/>
                <w:color w:val="000000"/>
                <w:sz w:val="16"/>
                <w:szCs w:val="16"/>
                <w:lang w:val="en-US" w:eastAsia="zh-CN"/>
              </w:rPr>
            </w:pPr>
            <w:r w:rsidRPr="000C156A">
              <w:rPr>
                <w:rFonts w:asciiTheme="minorHAnsi" w:hAnsiTheme="minorHAnsi" w:cs="Arial"/>
                <w:color w:val="000000"/>
                <w:sz w:val="16"/>
                <w:szCs w:val="16"/>
                <w:lang w:val="en-US" w:eastAsia="zh-CN"/>
              </w:rPr>
              <w:t> </w:t>
            </w:r>
          </w:p>
        </w:tc>
        <w:tc>
          <w:tcPr>
            <w:tcW w:w="267" w:type="pct"/>
            <w:tcBorders>
              <w:top w:val="nil"/>
              <w:left w:val="single" w:sz="4" w:space="0" w:color="auto"/>
              <w:bottom w:val="nil"/>
              <w:right w:val="single" w:sz="4" w:space="0" w:color="auto"/>
            </w:tcBorders>
            <w:shd w:val="clear" w:color="auto" w:fill="auto"/>
            <w:noWrap/>
            <w:vAlign w:val="center"/>
            <w:hideMark/>
          </w:tcPr>
          <w:p w14:paraId="5D0575E0"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84" w:type="pct"/>
            <w:tcBorders>
              <w:top w:val="nil"/>
              <w:left w:val="nil"/>
              <w:bottom w:val="nil"/>
              <w:right w:val="single" w:sz="4" w:space="0" w:color="auto"/>
            </w:tcBorders>
            <w:shd w:val="clear" w:color="auto" w:fill="auto"/>
            <w:noWrap/>
            <w:vAlign w:val="center"/>
            <w:hideMark/>
          </w:tcPr>
          <w:p w14:paraId="3587EAA4"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97" w:type="pct"/>
            <w:tcBorders>
              <w:top w:val="nil"/>
              <w:left w:val="nil"/>
              <w:bottom w:val="nil"/>
              <w:right w:val="single" w:sz="4" w:space="0" w:color="auto"/>
            </w:tcBorders>
            <w:shd w:val="clear" w:color="auto" w:fill="auto"/>
            <w:noWrap/>
            <w:vAlign w:val="center"/>
            <w:hideMark/>
          </w:tcPr>
          <w:p w14:paraId="3A416E5E"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67" w:type="pct"/>
            <w:tcBorders>
              <w:top w:val="nil"/>
              <w:left w:val="nil"/>
              <w:bottom w:val="nil"/>
              <w:right w:val="single" w:sz="4" w:space="0" w:color="auto"/>
            </w:tcBorders>
            <w:shd w:val="clear" w:color="auto" w:fill="auto"/>
            <w:noWrap/>
            <w:vAlign w:val="center"/>
            <w:hideMark/>
          </w:tcPr>
          <w:p w14:paraId="7B33EF5A"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357" w:type="pct"/>
            <w:tcBorders>
              <w:top w:val="nil"/>
              <w:left w:val="nil"/>
              <w:bottom w:val="nil"/>
              <w:right w:val="nil"/>
            </w:tcBorders>
            <w:shd w:val="clear" w:color="auto" w:fill="auto"/>
            <w:noWrap/>
            <w:vAlign w:val="center"/>
            <w:hideMark/>
          </w:tcPr>
          <w:p w14:paraId="12723C6B"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362" w:type="pct"/>
            <w:tcBorders>
              <w:top w:val="nil"/>
              <w:left w:val="single" w:sz="4" w:space="0" w:color="auto"/>
              <w:bottom w:val="nil"/>
              <w:right w:val="single" w:sz="4" w:space="0" w:color="auto"/>
            </w:tcBorders>
            <w:shd w:val="clear" w:color="auto" w:fill="auto"/>
            <w:noWrap/>
            <w:vAlign w:val="center"/>
            <w:hideMark/>
          </w:tcPr>
          <w:p w14:paraId="43849DED"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96" w:type="pct"/>
            <w:tcBorders>
              <w:top w:val="nil"/>
              <w:left w:val="nil"/>
              <w:bottom w:val="nil"/>
              <w:right w:val="single" w:sz="4" w:space="0" w:color="auto"/>
            </w:tcBorders>
            <w:shd w:val="clear" w:color="auto" w:fill="auto"/>
            <w:noWrap/>
            <w:vAlign w:val="center"/>
            <w:hideMark/>
          </w:tcPr>
          <w:p w14:paraId="51AB6AC2"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96" w:type="pct"/>
            <w:tcBorders>
              <w:top w:val="nil"/>
              <w:left w:val="nil"/>
              <w:bottom w:val="nil"/>
              <w:right w:val="single" w:sz="4" w:space="0" w:color="auto"/>
            </w:tcBorders>
            <w:shd w:val="clear" w:color="auto" w:fill="auto"/>
            <w:noWrap/>
            <w:vAlign w:val="center"/>
            <w:hideMark/>
          </w:tcPr>
          <w:p w14:paraId="382B7044"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08" w:type="pct"/>
            <w:tcBorders>
              <w:top w:val="nil"/>
              <w:left w:val="nil"/>
              <w:bottom w:val="nil"/>
              <w:right w:val="single" w:sz="4" w:space="0" w:color="auto"/>
            </w:tcBorders>
            <w:shd w:val="clear" w:color="auto" w:fill="auto"/>
            <w:noWrap/>
            <w:vAlign w:val="center"/>
            <w:hideMark/>
          </w:tcPr>
          <w:p w14:paraId="757EA7BB"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36" w:type="pct"/>
            <w:tcBorders>
              <w:top w:val="nil"/>
              <w:left w:val="nil"/>
              <w:bottom w:val="nil"/>
              <w:right w:val="single" w:sz="4" w:space="0" w:color="auto"/>
            </w:tcBorders>
            <w:shd w:val="clear" w:color="auto" w:fill="auto"/>
            <w:noWrap/>
            <w:vAlign w:val="center"/>
            <w:hideMark/>
          </w:tcPr>
          <w:p w14:paraId="16F5B8A2"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55" w:type="pct"/>
            <w:tcBorders>
              <w:top w:val="nil"/>
              <w:left w:val="nil"/>
              <w:bottom w:val="nil"/>
              <w:right w:val="single" w:sz="4" w:space="0" w:color="auto"/>
            </w:tcBorders>
            <w:shd w:val="clear" w:color="auto" w:fill="auto"/>
            <w:noWrap/>
            <w:vAlign w:val="center"/>
            <w:hideMark/>
          </w:tcPr>
          <w:p w14:paraId="6BB8D087"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24" w:type="pct"/>
            <w:tcBorders>
              <w:top w:val="nil"/>
              <w:left w:val="nil"/>
              <w:bottom w:val="nil"/>
              <w:right w:val="single" w:sz="4" w:space="0" w:color="auto"/>
            </w:tcBorders>
            <w:shd w:val="clear" w:color="auto" w:fill="auto"/>
            <w:noWrap/>
            <w:vAlign w:val="center"/>
            <w:hideMark/>
          </w:tcPr>
          <w:p w14:paraId="2C24B54B"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32" w:type="pct"/>
            <w:tcBorders>
              <w:top w:val="nil"/>
              <w:left w:val="nil"/>
              <w:bottom w:val="nil"/>
              <w:right w:val="single" w:sz="4" w:space="0" w:color="auto"/>
            </w:tcBorders>
            <w:shd w:val="clear" w:color="auto" w:fill="auto"/>
            <w:noWrap/>
            <w:vAlign w:val="center"/>
            <w:hideMark/>
          </w:tcPr>
          <w:p w14:paraId="174BC79B"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59" w:type="pct"/>
            <w:tcBorders>
              <w:top w:val="nil"/>
              <w:left w:val="nil"/>
              <w:bottom w:val="nil"/>
              <w:right w:val="single" w:sz="4" w:space="0" w:color="auto"/>
            </w:tcBorders>
            <w:shd w:val="clear" w:color="auto" w:fill="auto"/>
            <w:noWrap/>
            <w:vAlign w:val="center"/>
            <w:hideMark/>
          </w:tcPr>
          <w:p w14:paraId="5135321D"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311" w:type="pct"/>
            <w:tcBorders>
              <w:top w:val="nil"/>
              <w:left w:val="nil"/>
              <w:bottom w:val="nil"/>
              <w:right w:val="single" w:sz="4" w:space="0" w:color="auto"/>
            </w:tcBorders>
            <w:shd w:val="clear" w:color="auto" w:fill="auto"/>
            <w:noWrap/>
            <w:vAlign w:val="center"/>
            <w:hideMark/>
          </w:tcPr>
          <w:p w14:paraId="00D07435"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69" w:type="pct"/>
            <w:tcBorders>
              <w:top w:val="nil"/>
              <w:left w:val="nil"/>
              <w:bottom w:val="nil"/>
              <w:right w:val="single" w:sz="4" w:space="0" w:color="auto"/>
            </w:tcBorders>
            <w:shd w:val="clear" w:color="auto" w:fill="auto"/>
            <w:noWrap/>
            <w:vAlign w:val="center"/>
            <w:hideMark/>
          </w:tcPr>
          <w:p w14:paraId="5806B76C" w14:textId="77777777" w:rsidR="009630A9" w:rsidRPr="000C156A" w:rsidRDefault="009630A9" w:rsidP="005D02F0">
            <w:pPr>
              <w:overflowPunct/>
              <w:autoSpaceDE/>
              <w:autoSpaceDN/>
              <w:adjustRightInd/>
              <w:spacing w:before="0"/>
              <w:jc w:val="right"/>
              <w:textAlignment w:val="auto"/>
              <w:rPr>
                <w:rFonts w:cs="Calibri"/>
                <w:b/>
                <w:bCs/>
                <w:sz w:val="16"/>
                <w:szCs w:val="16"/>
                <w:lang w:eastAsia="en-GB"/>
              </w:rPr>
            </w:pPr>
          </w:p>
        </w:tc>
      </w:tr>
      <w:tr w:rsidR="009630A9" w:rsidRPr="000C156A" w14:paraId="58104C2F" w14:textId="77777777" w:rsidTr="0011120B">
        <w:trPr>
          <w:trHeight w:val="255"/>
        </w:trPr>
        <w:tc>
          <w:tcPr>
            <w:tcW w:w="580" w:type="pct"/>
            <w:tcBorders>
              <w:top w:val="single" w:sz="4" w:space="0" w:color="auto"/>
              <w:left w:val="single" w:sz="4" w:space="0" w:color="auto"/>
              <w:bottom w:val="single" w:sz="4" w:space="0" w:color="auto"/>
              <w:right w:val="nil"/>
            </w:tcBorders>
            <w:shd w:val="clear" w:color="auto" w:fill="auto"/>
            <w:noWrap/>
            <w:vAlign w:val="center"/>
            <w:hideMark/>
          </w:tcPr>
          <w:p w14:paraId="5E55B56B" w14:textId="77777777" w:rsidR="009630A9" w:rsidRPr="000C156A" w:rsidRDefault="009630A9" w:rsidP="005D02F0">
            <w:pPr>
              <w:overflowPunct/>
              <w:autoSpaceDE/>
              <w:autoSpaceDN/>
              <w:adjustRightInd/>
              <w:spacing w:before="0"/>
              <w:textAlignment w:val="auto"/>
              <w:rPr>
                <w:rFonts w:asciiTheme="minorHAnsi" w:hAnsiTheme="minorHAnsi" w:cs="Arial"/>
                <w:b/>
                <w:bCs/>
                <w:color w:val="000000"/>
                <w:sz w:val="16"/>
                <w:szCs w:val="16"/>
                <w:lang w:val="en-US" w:eastAsia="zh-CN"/>
              </w:rPr>
            </w:pPr>
            <w:r w:rsidRPr="000C156A">
              <w:rPr>
                <w:rFonts w:hint="eastAsia"/>
                <w:b/>
                <w:bCs/>
                <w:noProof/>
                <w:sz w:val="16"/>
                <w:szCs w:val="16"/>
                <w:lang w:val="en-US"/>
              </w:rPr>
              <w:t>收入合计</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ACA1" w14:textId="5FF59EBA"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1</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632</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14:paraId="22745F67" w14:textId="182C9F28"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34</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250</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14:paraId="657CADC2" w14:textId="48F3EE41"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8</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304</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14:paraId="7B22E648" w14:textId="3DF038B2"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1</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612</w:t>
            </w:r>
          </w:p>
        </w:tc>
        <w:tc>
          <w:tcPr>
            <w:tcW w:w="357" w:type="pct"/>
            <w:tcBorders>
              <w:top w:val="single" w:sz="4" w:space="0" w:color="auto"/>
              <w:left w:val="nil"/>
              <w:bottom w:val="single" w:sz="4" w:space="0" w:color="auto"/>
              <w:right w:val="nil"/>
            </w:tcBorders>
            <w:shd w:val="clear" w:color="auto" w:fill="auto"/>
            <w:noWrap/>
            <w:vAlign w:val="center"/>
            <w:hideMark/>
          </w:tcPr>
          <w:p w14:paraId="04E94D33" w14:textId="16880CBD"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22</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184</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34684" w14:textId="29C659A2"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167</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983</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00F4F725"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50B9FAF7" w14:textId="1AE97A9A"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3</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040</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14:paraId="09DDBC3D"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14:paraId="1A8B1B52" w14:textId="4C905B56"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3</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867</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14:paraId="65A3E43D" w14:textId="5DDDF231"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7</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443</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5B77F4FD"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675</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14:paraId="23FE7F47"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-357</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756599D0" w14:textId="107CD3EC"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6</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910</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14:paraId="55CAA44B" w14:textId="259D387F"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-2</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385</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14:paraId="5A0DA218" w14:textId="12245272"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187</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177</w:t>
            </w:r>
          </w:p>
        </w:tc>
      </w:tr>
      <w:tr w:rsidR="009630A9" w:rsidRPr="000C156A" w14:paraId="00A96FFD" w14:textId="77777777" w:rsidTr="0011120B">
        <w:trPr>
          <w:trHeight w:val="255"/>
        </w:trPr>
        <w:tc>
          <w:tcPr>
            <w:tcW w:w="580" w:type="pct"/>
            <w:tcBorders>
              <w:top w:val="nil"/>
              <w:left w:val="single" w:sz="4" w:space="0" w:color="auto"/>
              <w:bottom w:val="nil"/>
              <w:right w:val="nil"/>
            </w:tcBorders>
            <w:shd w:val="clear" w:color="auto" w:fill="auto"/>
            <w:vAlign w:val="center"/>
            <w:hideMark/>
          </w:tcPr>
          <w:p w14:paraId="04477C46" w14:textId="77777777" w:rsidR="009630A9" w:rsidRPr="000C156A" w:rsidRDefault="009630A9" w:rsidP="005D02F0">
            <w:pPr>
              <w:overflowPunct/>
              <w:autoSpaceDE/>
              <w:autoSpaceDN/>
              <w:adjustRightInd/>
              <w:spacing w:before="0"/>
              <w:textAlignment w:val="auto"/>
              <w:rPr>
                <w:rFonts w:asciiTheme="minorHAnsi" w:hAnsiTheme="minorHAnsi" w:cs="Arial"/>
                <w:b/>
                <w:bCs/>
                <w:color w:val="000000"/>
                <w:sz w:val="16"/>
                <w:szCs w:val="16"/>
                <w:lang w:val="en-US" w:eastAsia="zh-CN"/>
              </w:rPr>
            </w:pPr>
            <w:r w:rsidRPr="000C156A">
              <w:rPr>
                <w:rFonts w:asciiTheme="minorHAnsi" w:hAnsiTheme="minorHAnsi" w:cs="Arial"/>
                <w:b/>
                <w:bCs/>
                <w:color w:val="000000"/>
                <w:sz w:val="16"/>
                <w:szCs w:val="16"/>
                <w:lang w:val="en-US" w:eastAsia="zh-CN"/>
              </w:rPr>
              <w:t> </w:t>
            </w:r>
          </w:p>
        </w:tc>
        <w:tc>
          <w:tcPr>
            <w:tcW w:w="267" w:type="pct"/>
            <w:tcBorders>
              <w:top w:val="nil"/>
              <w:left w:val="single" w:sz="4" w:space="0" w:color="auto"/>
              <w:bottom w:val="nil"/>
              <w:right w:val="single" w:sz="4" w:space="0" w:color="auto"/>
            </w:tcBorders>
            <w:shd w:val="clear" w:color="auto" w:fill="auto"/>
            <w:noWrap/>
            <w:vAlign w:val="center"/>
            <w:hideMark/>
          </w:tcPr>
          <w:p w14:paraId="45772AB3"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84" w:type="pct"/>
            <w:tcBorders>
              <w:top w:val="nil"/>
              <w:left w:val="nil"/>
              <w:bottom w:val="nil"/>
              <w:right w:val="single" w:sz="4" w:space="0" w:color="auto"/>
            </w:tcBorders>
            <w:shd w:val="clear" w:color="auto" w:fill="auto"/>
            <w:noWrap/>
            <w:vAlign w:val="center"/>
            <w:hideMark/>
          </w:tcPr>
          <w:p w14:paraId="07ADE162"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97" w:type="pct"/>
            <w:tcBorders>
              <w:top w:val="nil"/>
              <w:left w:val="nil"/>
              <w:bottom w:val="nil"/>
              <w:right w:val="single" w:sz="4" w:space="0" w:color="auto"/>
            </w:tcBorders>
            <w:shd w:val="clear" w:color="auto" w:fill="auto"/>
            <w:noWrap/>
            <w:vAlign w:val="center"/>
            <w:hideMark/>
          </w:tcPr>
          <w:p w14:paraId="34AC239A"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67" w:type="pct"/>
            <w:tcBorders>
              <w:top w:val="nil"/>
              <w:left w:val="nil"/>
              <w:bottom w:val="nil"/>
              <w:right w:val="single" w:sz="4" w:space="0" w:color="auto"/>
            </w:tcBorders>
            <w:shd w:val="clear" w:color="auto" w:fill="auto"/>
            <w:noWrap/>
            <w:vAlign w:val="center"/>
            <w:hideMark/>
          </w:tcPr>
          <w:p w14:paraId="4ADE8ADC"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357" w:type="pct"/>
            <w:tcBorders>
              <w:top w:val="nil"/>
              <w:left w:val="nil"/>
              <w:bottom w:val="nil"/>
              <w:right w:val="nil"/>
            </w:tcBorders>
            <w:shd w:val="clear" w:color="auto" w:fill="auto"/>
            <w:noWrap/>
            <w:vAlign w:val="center"/>
            <w:hideMark/>
          </w:tcPr>
          <w:p w14:paraId="5681F170"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362" w:type="pct"/>
            <w:tcBorders>
              <w:top w:val="nil"/>
              <w:left w:val="single" w:sz="4" w:space="0" w:color="auto"/>
              <w:bottom w:val="nil"/>
              <w:right w:val="single" w:sz="4" w:space="0" w:color="auto"/>
            </w:tcBorders>
            <w:shd w:val="clear" w:color="auto" w:fill="auto"/>
            <w:noWrap/>
            <w:vAlign w:val="center"/>
            <w:hideMark/>
          </w:tcPr>
          <w:p w14:paraId="52183585"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96" w:type="pct"/>
            <w:tcBorders>
              <w:top w:val="nil"/>
              <w:left w:val="nil"/>
              <w:bottom w:val="nil"/>
              <w:right w:val="single" w:sz="4" w:space="0" w:color="auto"/>
            </w:tcBorders>
            <w:shd w:val="clear" w:color="auto" w:fill="auto"/>
            <w:noWrap/>
            <w:vAlign w:val="center"/>
            <w:hideMark/>
          </w:tcPr>
          <w:p w14:paraId="05CA155F"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96" w:type="pct"/>
            <w:tcBorders>
              <w:top w:val="nil"/>
              <w:left w:val="nil"/>
              <w:bottom w:val="nil"/>
              <w:right w:val="single" w:sz="4" w:space="0" w:color="auto"/>
            </w:tcBorders>
            <w:shd w:val="clear" w:color="auto" w:fill="auto"/>
            <w:noWrap/>
            <w:vAlign w:val="center"/>
            <w:hideMark/>
          </w:tcPr>
          <w:p w14:paraId="34A2A020"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08" w:type="pct"/>
            <w:tcBorders>
              <w:top w:val="nil"/>
              <w:left w:val="nil"/>
              <w:bottom w:val="nil"/>
              <w:right w:val="single" w:sz="4" w:space="0" w:color="auto"/>
            </w:tcBorders>
            <w:shd w:val="clear" w:color="auto" w:fill="auto"/>
            <w:noWrap/>
            <w:vAlign w:val="center"/>
            <w:hideMark/>
          </w:tcPr>
          <w:p w14:paraId="5DE5B175"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36" w:type="pct"/>
            <w:tcBorders>
              <w:top w:val="nil"/>
              <w:left w:val="nil"/>
              <w:bottom w:val="nil"/>
              <w:right w:val="single" w:sz="4" w:space="0" w:color="auto"/>
            </w:tcBorders>
            <w:shd w:val="clear" w:color="auto" w:fill="auto"/>
            <w:noWrap/>
            <w:vAlign w:val="center"/>
            <w:hideMark/>
          </w:tcPr>
          <w:p w14:paraId="4FD5BA6F"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55" w:type="pct"/>
            <w:tcBorders>
              <w:top w:val="nil"/>
              <w:left w:val="nil"/>
              <w:bottom w:val="nil"/>
              <w:right w:val="single" w:sz="4" w:space="0" w:color="auto"/>
            </w:tcBorders>
            <w:shd w:val="clear" w:color="auto" w:fill="auto"/>
            <w:noWrap/>
            <w:vAlign w:val="center"/>
            <w:hideMark/>
          </w:tcPr>
          <w:p w14:paraId="555E0180"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24" w:type="pct"/>
            <w:tcBorders>
              <w:top w:val="nil"/>
              <w:left w:val="nil"/>
              <w:bottom w:val="nil"/>
              <w:right w:val="single" w:sz="4" w:space="0" w:color="auto"/>
            </w:tcBorders>
            <w:shd w:val="clear" w:color="auto" w:fill="auto"/>
            <w:noWrap/>
            <w:vAlign w:val="center"/>
            <w:hideMark/>
          </w:tcPr>
          <w:p w14:paraId="126C68CA"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32" w:type="pct"/>
            <w:tcBorders>
              <w:top w:val="nil"/>
              <w:left w:val="nil"/>
              <w:bottom w:val="nil"/>
              <w:right w:val="single" w:sz="4" w:space="0" w:color="auto"/>
            </w:tcBorders>
            <w:shd w:val="clear" w:color="auto" w:fill="auto"/>
            <w:noWrap/>
            <w:vAlign w:val="center"/>
            <w:hideMark/>
          </w:tcPr>
          <w:p w14:paraId="63FCC654"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59" w:type="pct"/>
            <w:tcBorders>
              <w:top w:val="nil"/>
              <w:left w:val="nil"/>
              <w:bottom w:val="nil"/>
              <w:right w:val="single" w:sz="4" w:space="0" w:color="auto"/>
            </w:tcBorders>
            <w:shd w:val="clear" w:color="auto" w:fill="auto"/>
            <w:noWrap/>
            <w:vAlign w:val="center"/>
            <w:hideMark/>
          </w:tcPr>
          <w:p w14:paraId="73516026"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311" w:type="pct"/>
            <w:tcBorders>
              <w:top w:val="nil"/>
              <w:left w:val="nil"/>
              <w:bottom w:val="nil"/>
              <w:right w:val="single" w:sz="4" w:space="0" w:color="auto"/>
            </w:tcBorders>
            <w:shd w:val="clear" w:color="auto" w:fill="auto"/>
            <w:noWrap/>
            <w:vAlign w:val="center"/>
            <w:hideMark/>
          </w:tcPr>
          <w:p w14:paraId="13E297A1"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c>
          <w:tcPr>
            <w:tcW w:w="269" w:type="pct"/>
            <w:tcBorders>
              <w:top w:val="nil"/>
              <w:left w:val="nil"/>
              <w:bottom w:val="nil"/>
              <w:right w:val="single" w:sz="4" w:space="0" w:color="auto"/>
            </w:tcBorders>
            <w:shd w:val="clear" w:color="auto" w:fill="auto"/>
            <w:noWrap/>
            <w:vAlign w:val="center"/>
            <w:hideMark/>
          </w:tcPr>
          <w:p w14:paraId="76DFBED9"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r>
      <w:tr w:rsidR="009630A9" w:rsidRPr="000C156A" w14:paraId="53FA8FE4" w14:textId="77777777" w:rsidTr="0011120B">
        <w:trPr>
          <w:trHeight w:val="255"/>
        </w:trPr>
        <w:tc>
          <w:tcPr>
            <w:tcW w:w="580" w:type="pct"/>
            <w:tcBorders>
              <w:top w:val="nil"/>
              <w:left w:val="single" w:sz="4" w:space="0" w:color="auto"/>
              <w:bottom w:val="nil"/>
              <w:right w:val="nil"/>
            </w:tcBorders>
            <w:shd w:val="clear" w:color="auto" w:fill="auto"/>
            <w:vAlign w:val="center"/>
            <w:hideMark/>
          </w:tcPr>
          <w:p w14:paraId="7F39F8C6" w14:textId="77777777" w:rsidR="009630A9" w:rsidRPr="000C156A" w:rsidRDefault="009630A9" w:rsidP="005D02F0">
            <w:pPr>
              <w:overflowPunct/>
              <w:autoSpaceDE/>
              <w:autoSpaceDN/>
              <w:adjustRightInd/>
              <w:spacing w:before="0"/>
              <w:textAlignment w:val="auto"/>
              <w:rPr>
                <w:rFonts w:asciiTheme="minorHAnsi" w:hAnsiTheme="minorHAnsi" w:cs="Arial"/>
                <w:b/>
                <w:bCs/>
                <w:color w:val="000000"/>
                <w:sz w:val="16"/>
                <w:szCs w:val="16"/>
                <w:lang w:val="en-US" w:eastAsia="zh-CN"/>
              </w:rPr>
            </w:pPr>
            <w:r w:rsidRPr="000C156A">
              <w:rPr>
                <w:rFonts w:hint="eastAsia"/>
                <w:b/>
                <w:bCs/>
                <w:noProof/>
                <w:sz w:val="16"/>
                <w:szCs w:val="16"/>
                <w:lang w:val="en-US"/>
              </w:rPr>
              <w:t>费用</w:t>
            </w:r>
          </w:p>
        </w:tc>
        <w:tc>
          <w:tcPr>
            <w:tcW w:w="267" w:type="pct"/>
            <w:tcBorders>
              <w:top w:val="nil"/>
              <w:left w:val="single" w:sz="4" w:space="0" w:color="auto"/>
              <w:bottom w:val="nil"/>
              <w:right w:val="single" w:sz="4" w:space="0" w:color="auto"/>
            </w:tcBorders>
            <w:shd w:val="clear" w:color="auto" w:fill="auto"/>
            <w:noWrap/>
            <w:vAlign w:val="center"/>
            <w:hideMark/>
          </w:tcPr>
          <w:p w14:paraId="6E09C927"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84" w:type="pct"/>
            <w:tcBorders>
              <w:top w:val="nil"/>
              <w:left w:val="nil"/>
              <w:bottom w:val="nil"/>
              <w:right w:val="single" w:sz="4" w:space="0" w:color="auto"/>
            </w:tcBorders>
            <w:shd w:val="clear" w:color="auto" w:fill="auto"/>
            <w:noWrap/>
            <w:vAlign w:val="center"/>
            <w:hideMark/>
          </w:tcPr>
          <w:p w14:paraId="0876C0E7"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97" w:type="pct"/>
            <w:tcBorders>
              <w:top w:val="nil"/>
              <w:left w:val="nil"/>
              <w:bottom w:val="nil"/>
              <w:right w:val="single" w:sz="4" w:space="0" w:color="auto"/>
            </w:tcBorders>
            <w:shd w:val="clear" w:color="auto" w:fill="auto"/>
            <w:noWrap/>
            <w:vAlign w:val="center"/>
            <w:hideMark/>
          </w:tcPr>
          <w:p w14:paraId="4ED30867"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67" w:type="pct"/>
            <w:tcBorders>
              <w:top w:val="nil"/>
              <w:left w:val="nil"/>
              <w:bottom w:val="nil"/>
              <w:right w:val="single" w:sz="4" w:space="0" w:color="auto"/>
            </w:tcBorders>
            <w:shd w:val="clear" w:color="auto" w:fill="auto"/>
            <w:noWrap/>
            <w:vAlign w:val="center"/>
            <w:hideMark/>
          </w:tcPr>
          <w:p w14:paraId="10F630E3"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357" w:type="pct"/>
            <w:tcBorders>
              <w:top w:val="nil"/>
              <w:left w:val="nil"/>
              <w:bottom w:val="nil"/>
              <w:right w:val="nil"/>
            </w:tcBorders>
            <w:shd w:val="clear" w:color="auto" w:fill="auto"/>
            <w:noWrap/>
            <w:vAlign w:val="center"/>
            <w:hideMark/>
          </w:tcPr>
          <w:p w14:paraId="4FBE234B"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362" w:type="pct"/>
            <w:tcBorders>
              <w:top w:val="nil"/>
              <w:left w:val="single" w:sz="4" w:space="0" w:color="auto"/>
              <w:bottom w:val="nil"/>
              <w:right w:val="single" w:sz="4" w:space="0" w:color="auto"/>
            </w:tcBorders>
            <w:shd w:val="clear" w:color="auto" w:fill="auto"/>
            <w:noWrap/>
            <w:vAlign w:val="center"/>
            <w:hideMark/>
          </w:tcPr>
          <w:p w14:paraId="4C5CE23E"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96" w:type="pct"/>
            <w:tcBorders>
              <w:top w:val="nil"/>
              <w:left w:val="nil"/>
              <w:bottom w:val="nil"/>
              <w:right w:val="single" w:sz="4" w:space="0" w:color="auto"/>
            </w:tcBorders>
            <w:shd w:val="clear" w:color="auto" w:fill="auto"/>
            <w:noWrap/>
            <w:vAlign w:val="center"/>
            <w:hideMark/>
          </w:tcPr>
          <w:p w14:paraId="226030E1"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96" w:type="pct"/>
            <w:tcBorders>
              <w:top w:val="nil"/>
              <w:left w:val="nil"/>
              <w:bottom w:val="nil"/>
              <w:right w:val="single" w:sz="4" w:space="0" w:color="auto"/>
            </w:tcBorders>
            <w:shd w:val="clear" w:color="auto" w:fill="auto"/>
            <w:noWrap/>
            <w:vAlign w:val="center"/>
            <w:hideMark/>
          </w:tcPr>
          <w:p w14:paraId="5F3FDEBC"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08" w:type="pct"/>
            <w:tcBorders>
              <w:top w:val="nil"/>
              <w:left w:val="nil"/>
              <w:bottom w:val="nil"/>
              <w:right w:val="single" w:sz="4" w:space="0" w:color="auto"/>
            </w:tcBorders>
            <w:shd w:val="clear" w:color="auto" w:fill="auto"/>
            <w:noWrap/>
            <w:vAlign w:val="center"/>
            <w:hideMark/>
          </w:tcPr>
          <w:p w14:paraId="3050B893"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36" w:type="pct"/>
            <w:tcBorders>
              <w:top w:val="nil"/>
              <w:left w:val="nil"/>
              <w:bottom w:val="nil"/>
              <w:right w:val="single" w:sz="4" w:space="0" w:color="auto"/>
            </w:tcBorders>
            <w:shd w:val="clear" w:color="auto" w:fill="auto"/>
            <w:noWrap/>
            <w:vAlign w:val="center"/>
            <w:hideMark/>
          </w:tcPr>
          <w:p w14:paraId="23C5B6EC"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55" w:type="pct"/>
            <w:tcBorders>
              <w:top w:val="nil"/>
              <w:left w:val="nil"/>
              <w:bottom w:val="nil"/>
              <w:right w:val="single" w:sz="4" w:space="0" w:color="auto"/>
            </w:tcBorders>
            <w:shd w:val="clear" w:color="auto" w:fill="auto"/>
            <w:noWrap/>
            <w:vAlign w:val="center"/>
            <w:hideMark/>
          </w:tcPr>
          <w:p w14:paraId="73073534"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24" w:type="pct"/>
            <w:tcBorders>
              <w:top w:val="nil"/>
              <w:left w:val="nil"/>
              <w:bottom w:val="nil"/>
              <w:right w:val="single" w:sz="4" w:space="0" w:color="auto"/>
            </w:tcBorders>
            <w:shd w:val="clear" w:color="auto" w:fill="auto"/>
            <w:noWrap/>
            <w:vAlign w:val="center"/>
            <w:hideMark/>
          </w:tcPr>
          <w:p w14:paraId="7690F1F1"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32" w:type="pct"/>
            <w:tcBorders>
              <w:top w:val="nil"/>
              <w:left w:val="nil"/>
              <w:bottom w:val="nil"/>
              <w:right w:val="single" w:sz="4" w:space="0" w:color="auto"/>
            </w:tcBorders>
            <w:shd w:val="clear" w:color="auto" w:fill="auto"/>
            <w:noWrap/>
            <w:vAlign w:val="center"/>
            <w:hideMark/>
          </w:tcPr>
          <w:p w14:paraId="319E93AD"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59" w:type="pct"/>
            <w:tcBorders>
              <w:top w:val="nil"/>
              <w:left w:val="nil"/>
              <w:bottom w:val="nil"/>
              <w:right w:val="single" w:sz="4" w:space="0" w:color="auto"/>
            </w:tcBorders>
            <w:shd w:val="clear" w:color="auto" w:fill="auto"/>
            <w:noWrap/>
            <w:vAlign w:val="center"/>
            <w:hideMark/>
          </w:tcPr>
          <w:p w14:paraId="2B9427B2"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311" w:type="pct"/>
            <w:tcBorders>
              <w:top w:val="nil"/>
              <w:left w:val="nil"/>
              <w:bottom w:val="nil"/>
              <w:right w:val="single" w:sz="4" w:space="0" w:color="auto"/>
            </w:tcBorders>
            <w:shd w:val="clear" w:color="auto" w:fill="auto"/>
            <w:noWrap/>
            <w:vAlign w:val="center"/>
            <w:hideMark/>
          </w:tcPr>
          <w:p w14:paraId="6DC394F4"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69" w:type="pct"/>
            <w:tcBorders>
              <w:top w:val="nil"/>
              <w:left w:val="nil"/>
              <w:bottom w:val="nil"/>
              <w:right w:val="single" w:sz="4" w:space="0" w:color="auto"/>
            </w:tcBorders>
            <w:shd w:val="clear" w:color="auto" w:fill="auto"/>
            <w:noWrap/>
            <w:vAlign w:val="center"/>
            <w:hideMark/>
          </w:tcPr>
          <w:p w14:paraId="033644D0" w14:textId="77777777" w:rsidR="009630A9" w:rsidRPr="000C156A" w:rsidRDefault="009630A9" w:rsidP="005D02F0">
            <w:pPr>
              <w:overflowPunct/>
              <w:autoSpaceDE/>
              <w:autoSpaceDN/>
              <w:adjustRightInd/>
              <w:spacing w:before="0"/>
              <w:jc w:val="right"/>
              <w:textAlignment w:val="auto"/>
              <w:rPr>
                <w:rFonts w:cs="Calibri"/>
                <w:sz w:val="16"/>
                <w:szCs w:val="16"/>
                <w:lang w:eastAsia="en-GB"/>
              </w:rPr>
            </w:pPr>
          </w:p>
        </w:tc>
      </w:tr>
      <w:tr w:rsidR="009630A9" w:rsidRPr="000C156A" w14:paraId="50C42E49" w14:textId="77777777" w:rsidTr="0011120B">
        <w:trPr>
          <w:trHeight w:val="66"/>
        </w:trPr>
        <w:tc>
          <w:tcPr>
            <w:tcW w:w="580" w:type="pct"/>
            <w:tcBorders>
              <w:top w:val="nil"/>
              <w:left w:val="single" w:sz="4" w:space="0" w:color="auto"/>
              <w:bottom w:val="nil"/>
              <w:right w:val="nil"/>
            </w:tcBorders>
            <w:shd w:val="clear" w:color="auto" w:fill="auto"/>
            <w:vAlign w:val="center"/>
            <w:hideMark/>
          </w:tcPr>
          <w:p w14:paraId="4E6EFDBD" w14:textId="77777777" w:rsidR="009630A9" w:rsidRPr="000C156A" w:rsidRDefault="009630A9" w:rsidP="005D02F0">
            <w:pPr>
              <w:overflowPunct/>
              <w:autoSpaceDE/>
              <w:autoSpaceDN/>
              <w:adjustRightInd/>
              <w:spacing w:before="0"/>
              <w:textAlignment w:val="auto"/>
              <w:rPr>
                <w:rFonts w:asciiTheme="minorHAnsi" w:hAnsiTheme="minorHAnsi" w:cs="Arial"/>
                <w:color w:val="000000"/>
                <w:sz w:val="16"/>
                <w:szCs w:val="16"/>
                <w:lang w:val="en-US" w:eastAsia="zh-CN"/>
              </w:rPr>
            </w:pPr>
            <w:r w:rsidRPr="000C156A">
              <w:rPr>
                <w:rFonts w:hint="eastAsia"/>
                <w:noProof/>
                <w:sz w:val="16"/>
                <w:szCs w:val="16"/>
                <w:lang w:val="en-US" w:eastAsia="zh-CN"/>
              </w:rPr>
              <w:t>人员</w:t>
            </w:r>
            <w:r w:rsidRPr="000C156A">
              <w:rPr>
                <w:rFonts w:hint="eastAsia"/>
                <w:noProof/>
                <w:sz w:val="16"/>
                <w:szCs w:val="16"/>
                <w:lang w:val="en-US"/>
              </w:rPr>
              <w:t>费用</w:t>
            </w:r>
          </w:p>
        </w:tc>
        <w:tc>
          <w:tcPr>
            <w:tcW w:w="267" w:type="pct"/>
            <w:tcBorders>
              <w:top w:val="nil"/>
              <w:left w:val="single" w:sz="4" w:space="0" w:color="auto"/>
              <w:bottom w:val="nil"/>
              <w:right w:val="single" w:sz="4" w:space="0" w:color="auto"/>
            </w:tcBorders>
            <w:shd w:val="clear" w:color="auto" w:fill="auto"/>
            <w:noWrap/>
            <w:vAlign w:val="center"/>
            <w:hideMark/>
          </w:tcPr>
          <w:p w14:paraId="13091953" w14:textId="1FFDECA3"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66</w:t>
            </w:r>
            <w:r w:rsidR="0011120B" w:rsidRPr="000C156A">
              <w:rPr>
                <w:rFonts w:cs="Calibri"/>
                <w:color w:val="000000"/>
                <w:sz w:val="16"/>
                <w:szCs w:val="16"/>
                <w:lang w:eastAsia="en-GB"/>
              </w:rPr>
              <w:t xml:space="preserve"> </w:t>
            </w:r>
            <w:r w:rsidRPr="000C156A">
              <w:rPr>
                <w:rFonts w:cs="Calibri"/>
                <w:color w:val="000000"/>
                <w:sz w:val="16"/>
                <w:szCs w:val="16"/>
                <w:lang w:eastAsia="en-GB"/>
              </w:rPr>
              <w:t>704</w:t>
            </w:r>
          </w:p>
        </w:tc>
        <w:tc>
          <w:tcPr>
            <w:tcW w:w="284" w:type="pct"/>
            <w:tcBorders>
              <w:top w:val="nil"/>
              <w:left w:val="nil"/>
              <w:bottom w:val="nil"/>
              <w:right w:val="single" w:sz="4" w:space="0" w:color="auto"/>
            </w:tcBorders>
            <w:shd w:val="clear" w:color="auto" w:fill="auto"/>
            <w:noWrap/>
            <w:vAlign w:val="center"/>
            <w:hideMark/>
          </w:tcPr>
          <w:p w14:paraId="5F1D3A93" w14:textId="26E3E29C"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25</w:t>
            </w:r>
            <w:r w:rsidR="0011120B" w:rsidRPr="000C156A">
              <w:rPr>
                <w:rFonts w:cs="Calibri"/>
                <w:color w:val="000000"/>
                <w:sz w:val="16"/>
                <w:szCs w:val="16"/>
                <w:lang w:eastAsia="en-GB"/>
              </w:rPr>
              <w:t xml:space="preserve"> </w:t>
            </w:r>
            <w:r w:rsidRPr="000C156A">
              <w:rPr>
                <w:rFonts w:cs="Calibri"/>
                <w:color w:val="000000"/>
                <w:sz w:val="16"/>
                <w:szCs w:val="16"/>
                <w:lang w:eastAsia="en-GB"/>
              </w:rPr>
              <w:t>865</w:t>
            </w:r>
          </w:p>
        </w:tc>
        <w:tc>
          <w:tcPr>
            <w:tcW w:w="297" w:type="pct"/>
            <w:tcBorders>
              <w:top w:val="nil"/>
              <w:left w:val="nil"/>
              <w:bottom w:val="nil"/>
              <w:right w:val="single" w:sz="4" w:space="0" w:color="auto"/>
            </w:tcBorders>
            <w:shd w:val="clear" w:color="auto" w:fill="auto"/>
            <w:noWrap/>
            <w:vAlign w:val="center"/>
            <w:hideMark/>
          </w:tcPr>
          <w:p w14:paraId="7F5D06CB" w14:textId="387EA75F"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11</w:t>
            </w:r>
            <w:r w:rsidR="0011120B" w:rsidRPr="000C156A">
              <w:rPr>
                <w:rFonts w:cs="Calibri"/>
                <w:color w:val="000000"/>
                <w:sz w:val="16"/>
                <w:szCs w:val="16"/>
                <w:lang w:eastAsia="en-GB"/>
              </w:rPr>
              <w:t xml:space="preserve"> </w:t>
            </w:r>
            <w:r w:rsidRPr="000C156A">
              <w:rPr>
                <w:rFonts w:cs="Calibri"/>
                <w:color w:val="000000"/>
                <w:sz w:val="16"/>
                <w:szCs w:val="16"/>
                <w:lang w:eastAsia="en-GB"/>
              </w:rPr>
              <w:t>662</w:t>
            </w:r>
          </w:p>
        </w:tc>
        <w:tc>
          <w:tcPr>
            <w:tcW w:w="267" w:type="pct"/>
            <w:tcBorders>
              <w:top w:val="nil"/>
              <w:left w:val="nil"/>
              <w:bottom w:val="nil"/>
              <w:right w:val="single" w:sz="4" w:space="0" w:color="auto"/>
            </w:tcBorders>
            <w:shd w:val="clear" w:color="auto" w:fill="auto"/>
            <w:noWrap/>
            <w:vAlign w:val="center"/>
            <w:hideMark/>
          </w:tcPr>
          <w:p w14:paraId="2EDAA171" w14:textId="6EA6AEBA"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21</w:t>
            </w:r>
            <w:r w:rsidR="0011120B" w:rsidRPr="000C156A">
              <w:rPr>
                <w:rFonts w:cs="Calibri"/>
                <w:color w:val="000000"/>
                <w:sz w:val="16"/>
                <w:szCs w:val="16"/>
                <w:lang w:eastAsia="en-GB"/>
              </w:rPr>
              <w:t xml:space="preserve"> </w:t>
            </w:r>
            <w:r w:rsidRPr="000C156A">
              <w:rPr>
                <w:rFonts w:cs="Calibri"/>
                <w:color w:val="000000"/>
                <w:sz w:val="16"/>
                <w:szCs w:val="16"/>
                <w:lang w:eastAsia="en-GB"/>
              </w:rPr>
              <w:t>543</w:t>
            </w:r>
          </w:p>
        </w:tc>
        <w:tc>
          <w:tcPr>
            <w:tcW w:w="357" w:type="pct"/>
            <w:tcBorders>
              <w:top w:val="nil"/>
              <w:left w:val="nil"/>
              <w:bottom w:val="nil"/>
              <w:right w:val="single" w:sz="4" w:space="0" w:color="auto"/>
            </w:tcBorders>
            <w:shd w:val="clear" w:color="auto" w:fill="auto"/>
            <w:noWrap/>
            <w:vAlign w:val="center"/>
            <w:hideMark/>
          </w:tcPr>
          <w:p w14:paraId="14704418" w14:textId="4A302D29"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71</w:t>
            </w:r>
            <w:r w:rsidR="0011120B" w:rsidRPr="000C156A">
              <w:rPr>
                <w:rFonts w:cs="Calibri"/>
                <w:color w:val="000000"/>
                <w:sz w:val="16"/>
                <w:szCs w:val="16"/>
                <w:lang w:eastAsia="en-GB"/>
              </w:rPr>
              <w:t xml:space="preserve"> </w:t>
            </w:r>
            <w:r w:rsidRPr="000C156A">
              <w:rPr>
                <w:rFonts w:cs="Calibri"/>
                <w:color w:val="000000"/>
                <w:sz w:val="16"/>
                <w:szCs w:val="16"/>
                <w:lang w:eastAsia="en-GB"/>
              </w:rPr>
              <w:t>694</w:t>
            </w:r>
          </w:p>
        </w:tc>
        <w:tc>
          <w:tcPr>
            <w:tcW w:w="362" w:type="pct"/>
            <w:tcBorders>
              <w:top w:val="nil"/>
              <w:left w:val="nil"/>
              <w:bottom w:val="nil"/>
              <w:right w:val="single" w:sz="4" w:space="0" w:color="auto"/>
            </w:tcBorders>
            <w:shd w:val="clear" w:color="auto" w:fill="auto"/>
            <w:noWrap/>
            <w:vAlign w:val="center"/>
            <w:hideMark/>
          </w:tcPr>
          <w:p w14:paraId="31F1109B" w14:textId="27F7ABA6"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197</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468</w:t>
            </w:r>
          </w:p>
        </w:tc>
        <w:tc>
          <w:tcPr>
            <w:tcW w:w="296" w:type="pct"/>
            <w:tcBorders>
              <w:top w:val="nil"/>
              <w:left w:val="nil"/>
              <w:bottom w:val="nil"/>
              <w:right w:val="single" w:sz="4" w:space="0" w:color="auto"/>
            </w:tcBorders>
            <w:shd w:val="clear" w:color="auto" w:fill="auto"/>
            <w:noWrap/>
            <w:vAlign w:val="center"/>
            <w:hideMark/>
          </w:tcPr>
          <w:p w14:paraId="0816D384"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96" w:type="pct"/>
            <w:tcBorders>
              <w:top w:val="nil"/>
              <w:left w:val="nil"/>
              <w:bottom w:val="nil"/>
              <w:right w:val="single" w:sz="4" w:space="0" w:color="auto"/>
            </w:tcBorders>
            <w:shd w:val="clear" w:color="auto" w:fill="auto"/>
            <w:noWrap/>
            <w:vAlign w:val="center"/>
            <w:hideMark/>
          </w:tcPr>
          <w:p w14:paraId="6EBD342F"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08" w:type="pct"/>
            <w:tcBorders>
              <w:top w:val="nil"/>
              <w:left w:val="nil"/>
              <w:bottom w:val="nil"/>
              <w:right w:val="single" w:sz="4" w:space="0" w:color="auto"/>
            </w:tcBorders>
            <w:shd w:val="clear" w:color="auto" w:fill="auto"/>
            <w:noWrap/>
            <w:vAlign w:val="center"/>
            <w:hideMark/>
          </w:tcPr>
          <w:p w14:paraId="6B87E8FB"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17</w:t>
            </w:r>
          </w:p>
        </w:tc>
        <w:tc>
          <w:tcPr>
            <w:tcW w:w="236" w:type="pct"/>
            <w:tcBorders>
              <w:top w:val="nil"/>
              <w:left w:val="nil"/>
              <w:bottom w:val="nil"/>
              <w:right w:val="single" w:sz="4" w:space="0" w:color="auto"/>
            </w:tcBorders>
            <w:shd w:val="clear" w:color="auto" w:fill="auto"/>
            <w:noWrap/>
            <w:vAlign w:val="center"/>
            <w:hideMark/>
          </w:tcPr>
          <w:p w14:paraId="5801D367" w14:textId="60A71728"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w:t>
            </w:r>
            <w:r w:rsidR="0011120B" w:rsidRPr="000C156A">
              <w:rPr>
                <w:rFonts w:cs="Calibri"/>
                <w:color w:val="000000"/>
                <w:sz w:val="16"/>
                <w:szCs w:val="16"/>
                <w:lang w:eastAsia="en-GB"/>
              </w:rPr>
              <w:t xml:space="preserve"> </w:t>
            </w:r>
            <w:r w:rsidRPr="000C156A">
              <w:rPr>
                <w:rFonts w:cs="Calibri"/>
                <w:color w:val="000000"/>
                <w:sz w:val="16"/>
                <w:szCs w:val="16"/>
                <w:lang w:eastAsia="en-GB"/>
              </w:rPr>
              <w:t>394</w:t>
            </w:r>
          </w:p>
        </w:tc>
        <w:tc>
          <w:tcPr>
            <w:tcW w:w="255" w:type="pct"/>
            <w:tcBorders>
              <w:top w:val="nil"/>
              <w:left w:val="nil"/>
              <w:bottom w:val="nil"/>
              <w:right w:val="single" w:sz="4" w:space="0" w:color="auto"/>
            </w:tcBorders>
            <w:shd w:val="clear" w:color="auto" w:fill="auto"/>
            <w:noWrap/>
            <w:vAlign w:val="center"/>
            <w:hideMark/>
          </w:tcPr>
          <w:p w14:paraId="5917F7C0" w14:textId="2635296B"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2</w:t>
            </w:r>
            <w:r w:rsidR="0011120B" w:rsidRPr="000C156A">
              <w:rPr>
                <w:rFonts w:cs="Calibri"/>
                <w:color w:val="000000"/>
                <w:sz w:val="16"/>
                <w:szCs w:val="16"/>
                <w:lang w:eastAsia="en-GB"/>
              </w:rPr>
              <w:t xml:space="preserve"> </w:t>
            </w:r>
            <w:r w:rsidRPr="000C156A">
              <w:rPr>
                <w:rFonts w:cs="Calibri"/>
                <w:color w:val="000000"/>
                <w:sz w:val="16"/>
                <w:szCs w:val="16"/>
                <w:lang w:eastAsia="en-GB"/>
              </w:rPr>
              <w:t>490</w:t>
            </w:r>
          </w:p>
        </w:tc>
        <w:tc>
          <w:tcPr>
            <w:tcW w:w="224" w:type="pct"/>
            <w:tcBorders>
              <w:top w:val="nil"/>
              <w:left w:val="nil"/>
              <w:bottom w:val="nil"/>
              <w:right w:val="single" w:sz="4" w:space="0" w:color="auto"/>
            </w:tcBorders>
            <w:shd w:val="clear" w:color="auto" w:fill="auto"/>
            <w:noWrap/>
            <w:vAlign w:val="center"/>
            <w:hideMark/>
          </w:tcPr>
          <w:p w14:paraId="078858B8"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2" w:type="pct"/>
            <w:tcBorders>
              <w:top w:val="nil"/>
              <w:left w:val="nil"/>
              <w:bottom w:val="nil"/>
              <w:right w:val="single" w:sz="4" w:space="0" w:color="auto"/>
            </w:tcBorders>
            <w:shd w:val="clear" w:color="auto" w:fill="auto"/>
            <w:noWrap/>
            <w:vAlign w:val="center"/>
            <w:hideMark/>
          </w:tcPr>
          <w:p w14:paraId="14C047C3"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59" w:type="pct"/>
            <w:tcBorders>
              <w:top w:val="nil"/>
              <w:left w:val="nil"/>
              <w:bottom w:val="nil"/>
              <w:right w:val="single" w:sz="4" w:space="0" w:color="auto"/>
            </w:tcBorders>
            <w:shd w:val="clear" w:color="auto" w:fill="auto"/>
            <w:noWrap/>
            <w:vAlign w:val="center"/>
            <w:hideMark/>
          </w:tcPr>
          <w:p w14:paraId="2F8DD12B" w14:textId="0FADF6E9"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2</w:t>
            </w:r>
            <w:r w:rsidR="0011120B" w:rsidRPr="000C156A">
              <w:rPr>
                <w:rFonts w:cs="Calibri"/>
                <w:color w:val="000000"/>
                <w:sz w:val="16"/>
                <w:szCs w:val="16"/>
                <w:lang w:eastAsia="en-GB"/>
              </w:rPr>
              <w:t xml:space="preserve"> </w:t>
            </w:r>
            <w:r w:rsidRPr="000C156A">
              <w:rPr>
                <w:rFonts w:cs="Calibri"/>
                <w:color w:val="000000"/>
                <w:sz w:val="16"/>
                <w:szCs w:val="16"/>
                <w:lang w:eastAsia="en-GB"/>
              </w:rPr>
              <w:t>574</w:t>
            </w:r>
          </w:p>
        </w:tc>
        <w:tc>
          <w:tcPr>
            <w:tcW w:w="311" w:type="pct"/>
            <w:tcBorders>
              <w:top w:val="nil"/>
              <w:left w:val="nil"/>
              <w:bottom w:val="nil"/>
              <w:right w:val="single" w:sz="4" w:space="0" w:color="auto"/>
            </w:tcBorders>
            <w:shd w:val="clear" w:color="auto" w:fill="auto"/>
            <w:noWrap/>
            <w:vAlign w:val="center"/>
            <w:hideMark/>
          </w:tcPr>
          <w:p w14:paraId="6E9E237A"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69" w:type="pct"/>
            <w:tcBorders>
              <w:top w:val="nil"/>
              <w:left w:val="nil"/>
              <w:bottom w:val="nil"/>
              <w:right w:val="single" w:sz="4" w:space="0" w:color="auto"/>
            </w:tcBorders>
            <w:shd w:val="clear" w:color="auto" w:fill="auto"/>
            <w:noWrap/>
            <w:vAlign w:val="center"/>
            <w:hideMark/>
          </w:tcPr>
          <w:p w14:paraId="43C3FCC0" w14:textId="56A11070"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203</w:t>
            </w:r>
            <w:r w:rsidR="0011120B" w:rsidRPr="000C156A">
              <w:rPr>
                <w:rFonts w:cs="Calibri"/>
                <w:b/>
                <w:bCs/>
                <w:sz w:val="16"/>
                <w:szCs w:val="16"/>
                <w:lang w:eastAsia="en-GB"/>
              </w:rPr>
              <w:t xml:space="preserve"> </w:t>
            </w:r>
            <w:r w:rsidRPr="000C156A">
              <w:rPr>
                <w:rFonts w:cs="Calibri"/>
                <w:b/>
                <w:bCs/>
                <w:sz w:val="16"/>
                <w:szCs w:val="16"/>
                <w:lang w:eastAsia="en-GB"/>
              </w:rPr>
              <w:t>942</w:t>
            </w:r>
          </w:p>
        </w:tc>
      </w:tr>
      <w:tr w:rsidR="009630A9" w:rsidRPr="000C156A" w14:paraId="1C5FFDC0" w14:textId="77777777" w:rsidTr="0011120B">
        <w:trPr>
          <w:trHeight w:val="255"/>
        </w:trPr>
        <w:tc>
          <w:tcPr>
            <w:tcW w:w="580" w:type="pct"/>
            <w:tcBorders>
              <w:top w:val="nil"/>
              <w:left w:val="single" w:sz="4" w:space="0" w:color="auto"/>
              <w:bottom w:val="nil"/>
              <w:right w:val="nil"/>
            </w:tcBorders>
            <w:shd w:val="clear" w:color="auto" w:fill="auto"/>
            <w:vAlign w:val="center"/>
            <w:hideMark/>
          </w:tcPr>
          <w:p w14:paraId="11308CE0" w14:textId="77777777" w:rsidR="009630A9" w:rsidRPr="000C156A" w:rsidRDefault="009630A9" w:rsidP="005D02F0">
            <w:pPr>
              <w:overflowPunct/>
              <w:autoSpaceDE/>
              <w:autoSpaceDN/>
              <w:adjustRightInd/>
              <w:spacing w:before="0"/>
              <w:jc w:val="right"/>
              <w:textAlignment w:val="auto"/>
              <w:rPr>
                <w:rFonts w:asciiTheme="minorHAnsi" w:hAnsiTheme="minorHAnsi" w:cs="Arial"/>
                <w:color w:val="000000"/>
                <w:sz w:val="16"/>
                <w:szCs w:val="16"/>
                <w:lang w:val="en-US" w:eastAsia="zh-CN"/>
              </w:rPr>
            </w:pPr>
            <w:r w:rsidRPr="000C156A">
              <w:rPr>
                <w:rFonts w:asciiTheme="minorHAnsi" w:hAnsiTheme="minorHAnsi" w:cs="Arial"/>
                <w:color w:val="000000"/>
                <w:sz w:val="16"/>
                <w:szCs w:val="16"/>
                <w:lang w:val="en-US" w:eastAsia="zh-CN"/>
              </w:rPr>
              <w:t>30</w:t>
            </w:r>
          </w:p>
        </w:tc>
        <w:tc>
          <w:tcPr>
            <w:tcW w:w="267" w:type="pct"/>
            <w:tcBorders>
              <w:top w:val="nil"/>
              <w:left w:val="single" w:sz="4" w:space="0" w:color="auto"/>
              <w:bottom w:val="nil"/>
              <w:right w:val="single" w:sz="4" w:space="0" w:color="auto"/>
            </w:tcBorders>
            <w:shd w:val="clear" w:color="auto" w:fill="auto"/>
            <w:noWrap/>
            <w:vAlign w:val="center"/>
            <w:hideMark/>
          </w:tcPr>
          <w:p w14:paraId="0E992580" w14:textId="3BD12D34"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46</w:t>
            </w:r>
            <w:r w:rsidR="0011120B" w:rsidRPr="000C156A">
              <w:rPr>
                <w:rFonts w:cs="Calibri"/>
                <w:color w:val="000000"/>
                <w:sz w:val="16"/>
                <w:szCs w:val="16"/>
                <w:lang w:eastAsia="en-GB"/>
              </w:rPr>
              <w:t xml:space="preserve"> </w:t>
            </w:r>
            <w:r w:rsidRPr="000C156A">
              <w:rPr>
                <w:rFonts w:cs="Calibri"/>
                <w:color w:val="000000"/>
                <w:sz w:val="16"/>
                <w:szCs w:val="16"/>
                <w:lang w:eastAsia="en-GB"/>
              </w:rPr>
              <w:t>326</w:t>
            </w:r>
          </w:p>
        </w:tc>
        <w:tc>
          <w:tcPr>
            <w:tcW w:w="284" w:type="pct"/>
            <w:tcBorders>
              <w:top w:val="nil"/>
              <w:left w:val="nil"/>
              <w:bottom w:val="nil"/>
              <w:right w:val="single" w:sz="4" w:space="0" w:color="auto"/>
            </w:tcBorders>
            <w:shd w:val="clear" w:color="auto" w:fill="auto"/>
            <w:noWrap/>
            <w:vAlign w:val="center"/>
            <w:hideMark/>
          </w:tcPr>
          <w:p w14:paraId="244054DA" w14:textId="77A16131"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19</w:t>
            </w:r>
            <w:r w:rsidR="0011120B" w:rsidRPr="000C156A">
              <w:rPr>
                <w:rFonts w:cs="Calibri"/>
                <w:color w:val="000000"/>
                <w:sz w:val="16"/>
                <w:szCs w:val="16"/>
                <w:lang w:eastAsia="en-GB"/>
              </w:rPr>
              <w:t xml:space="preserve"> </w:t>
            </w:r>
            <w:r w:rsidRPr="000C156A">
              <w:rPr>
                <w:rFonts w:cs="Calibri"/>
                <w:color w:val="000000"/>
                <w:sz w:val="16"/>
                <w:szCs w:val="16"/>
                <w:lang w:eastAsia="en-GB"/>
              </w:rPr>
              <w:t>723</w:t>
            </w:r>
          </w:p>
        </w:tc>
        <w:tc>
          <w:tcPr>
            <w:tcW w:w="297" w:type="pct"/>
            <w:tcBorders>
              <w:top w:val="nil"/>
              <w:left w:val="nil"/>
              <w:bottom w:val="nil"/>
              <w:right w:val="single" w:sz="4" w:space="0" w:color="auto"/>
            </w:tcBorders>
            <w:shd w:val="clear" w:color="auto" w:fill="auto"/>
            <w:noWrap/>
            <w:vAlign w:val="center"/>
            <w:hideMark/>
          </w:tcPr>
          <w:p w14:paraId="5303EF42" w14:textId="6829553A"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8</w:t>
            </w:r>
            <w:r w:rsidR="0011120B" w:rsidRPr="000C156A">
              <w:rPr>
                <w:rFonts w:cs="Calibri"/>
                <w:color w:val="000000"/>
                <w:sz w:val="16"/>
                <w:szCs w:val="16"/>
                <w:lang w:eastAsia="en-GB"/>
              </w:rPr>
              <w:t xml:space="preserve"> </w:t>
            </w:r>
            <w:r w:rsidRPr="000C156A">
              <w:rPr>
                <w:rFonts w:cs="Calibri"/>
                <w:color w:val="000000"/>
                <w:sz w:val="16"/>
                <w:szCs w:val="16"/>
                <w:lang w:eastAsia="en-GB"/>
              </w:rPr>
              <w:t>811</w:t>
            </w:r>
          </w:p>
        </w:tc>
        <w:tc>
          <w:tcPr>
            <w:tcW w:w="267" w:type="pct"/>
            <w:tcBorders>
              <w:top w:val="nil"/>
              <w:left w:val="nil"/>
              <w:bottom w:val="nil"/>
              <w:right w:val="single" w:sz="4" w:space="0" w:color="auto"/>
            </w:tcBorders>
            <w:shd w:val="clear" w:color="auto" w:fill="auto"/>
            <w:noWrap/>
            <w:vAlign w:val="center"/>
            <w:hideMark/>
          </w:tcPr>
          <w:p w14:paraId="58FE9C6E" w14:textId="6125BC9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15</w:t>
            </w:r>
            <w:r w:rsidR="0011120B" w:rsidRPr="000C156A">
              <w:rPr>
                <w:rFonts w:cs="Calibri"/>
                <w:color w:val="000000"/>
                <w:sz w:val="16"/>
                <w:szCs w:val="16"/>
                <w:lang w:eastAsia="en-GB"/>
              </w:rPr>
              <w:t xml:space="preserve"> </w:t>
            </w:r>
            <w:r w:rsidRPr="000C156A">
              <w:rPr>
                <w:rFonts w:cs="Calibri"/>
                <w:color w:val="000000"/>
                <w:sz w:val="16"/>
                <w:szCs w:val="16"/>
                <w:lang w:eastAsia="en-GB"/>
              </w:rPr>
              <w:t>787</w:t>
            </w:r>
          </w:p>
        </w:tc>
        <w:tc>
          <w:tcPr>
            <w:tcW w:w="357" w:type="pct"/>
            <w:tcBorders>
              <w:top w:val="nil"/>
              <w:left w:val="nil"/>
              <w:bottom w:val="nil"/>
              <w:right w:val="nil"/>
            </w:tcBorders>
            <w:shd w:val="clear" w:color="auto" w:fill="auto"/>
            <w:noWrap/>
            <w:vAlign w:val="center"/>
            <w:hideMark/>
          </w:tcPr>
          <w:p w14:paraId="3AC3FF8E"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362" w:type="pct"/>
            <w:tcBorders>
              <w:top w:val="nil"/>
              <w:left w:val="single" w:sz="4" w:space="0" w:color="auto"/>
              <w:bottom w:val="nil"/>
              <w:right w:val="single" w:sz="4" w:space="0" w:color="auto"/>
            </w:tcBorders>
            <w:shd w:val="clear" w:color="auto" w:fill="auto"/>
            <w:noWrap/>
            <w:vAlign w:val="center"/>
            <w:hideMark/>
          </w:tcPr>
          <w:p w14:paraId="0C2FAB07" w14:textId="26AF517F"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90</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647</w:t>
            </w:r>
          </w:p>
        </w:tc>
        <w:tc>
          <w:tcPr>
            <w:tcW w:w="296" w:type="pct"/>
            <w:tcBorders>
              <w:top w:val="nil"/>
              <w:left w:val="nil"/>
              <w:bottom w:val="nil"/>
              <w:right w:val="single" w:sz="4" w:space="0" w:color="auto"/>
            </w:tcBorders>
            <w:shd w:val="clear" w:color="auto" w:fill="auto"/>
            <w:noWrap/>
            <w:vAlign w:val="center"/>
            <w:hideMark/>
          </w:tcPr>
          <w:p w14:paraId="1BC0E71D"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96" w:type="pct"/>
            <w:tcBorders>
              <w:top w:val="nil"/>
              <w:left w:val="nil"/>
              <w:bottom w:val="nil"/>
              <w:right w:val="single" w:sz="4" w:space="0" w:color="auto"/>
            </w:tcBorders>
            <w:shd w:val="clear" w:color="auto" w:fill="auto"/>
            <w:noWrap/>
            <w:vAlign w:val="center"/>
            <w:hideMark/>
          </w:tcPr>
          <w:p w14:paraId="526F0685"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08" w:type="pct"/>
            <w:tcBorders>
              <w:top w:val="nil"/>
              <w:left w:val="nil"/>
              <w:bottom w:val="nil"/>
              <w:right w:val="single" w:sz="4" w:space="0" w:color="auto"/>
            </w:tcBorders>
            <w:shd w:val="clear" w:color="auto" w:fill="auto"/>
            <w:noWrap/>
            <w:vAlign w:val="center"/>
            <w:hideMark/>
          </w:tcPr>
          <w:p w14:paraId="085A04FF"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6" w:type="pct"/>
            <w:tcBorders>
              <w:top w:val="nil"/>
              <w:left w:val="nil"/>
              <w:bottom w:val="nil"/>
              <w:right w:val="single" w:sz="4" w:space="0" w:color="auto"/>
            </w:tcBorders>
            <w:shd w:val="clear" w:color="auto" w:fill="auto"/>
            <w:noWrap/>
            <w:vAlign w:val="center"/>
            <w:hideMark/>
          </w:tcPr>
          <w:p w14:paraId="007E549A" w14:textId="69879934"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w:t>
            </w:r>
            <w:r w:rsidR="0011120B" w:rsidRPr="000C156A">
              <w:rPr>
                <w:rFonts w:cs="Calibri"/>
                <w:color w:val="000000"/>
                <w:sz w:val="16"/>
                <w:szCs w:val="16"/>
                <w:lang w:eastAsia="en-GB"/>
              </w:rPr>
              <w:t xml:space="preserve"> </w:t>
            </w:r>
            <w:r w:rsidRPr="000C156A">
              <w:rPr>
                <w:rFonts w:cs="Calibri"/>
                <w:color w:val="000000"/>
                <w:sz w:val="16"/>
                <w:szCs w:val="16"/>
                <w:lang w:eastAsia="en-GB"/>
              </w:rPr>
              <w:t>112</w:t>
            </w:r>
          </w:p>
        </w:tc>
        <w:tc>
          <w:tcPr>
            <w:tcW w:w="255" w:type="pct"/>
            <w:tcBorders>
              <w:top w:val="nil"/>
              <w:left w:val="nil"/>
              <w:bottom w:val="nil"/>
              <w:right w:val="single" w:sz="4" w:space="0" w:color="auto"/>
            </w:tcBorders>
            <w:shd w:val="clear" w:color="auto" w:fill="auto"/>
            <w:noWrap/>
            <w:vAlign w:val="center"/>
            <w:hideMark/>
          </w:tcPr>
          <w:p w14:paraId="098040A3" w14:textId="24C7DA6E"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2</w:t>
            </w:r>
            <w:r w:rsidR="0011120B" w:rsidRPr="000C156A">
              <w:rPr>
                <w:rFonts w:cs="Calibri"/>
                <w:color w:val="000000"/>
                <w:sz w:val="16"/>
                <w:szCs w:val="16"/>
                <w:lang w:eastAsia="en-GB"/>
              </w:rPr>
              <w:t xml:space="preserve"> </w:t>
            </w:r>
            <w:r w:rsidRPr="000C156A">
              <w:rPr>
                <w:rFonts w:cs="Calibri"/>
                <w:color w:val="000000"/>
                <w:sz w:val="16"/>
                <w:szCs w:val="16"/>
                <w:lang w:eastAsia="en-GB"/>
              </w:rPr>
              <w:t>010</w:t>
            </w:r>
          </w:p>
        </w:tc>
        <w:tc>
          <w:tcPr>
            <w:tcW w:w="224" w:type="pct"/>
            <w:tcBorders>
              <w:top w:val="nil"/>
              <w:left w:val="nil"/>
              <w:bottom w:val="nil"/>
              <w:right w:val="single" w:sz="4" w:space="0" w:color="auto"/>
            </w:tcBorders>
            <w:shd w:val="clear" w:color="auto" w:fill="auto"/>
            <w:noWrap/>
            <w:vAlign w:val="center"/>
            <w:hideMark/>
          </w:tcPr>
          <w:p w14:paraId="183C5288"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2" w:type="pct"/>
            <w:tcBorders>
              <w:top w:val="nil"/>
              <w:left w:val="nil"/>
              <w:bottom w:val="nil"/>
              <w:right w:val="single" w:sz="4" w:space="0" w:color="auto"/>
            </w:tcBorders>
            <w:shd w:val="clear" w:color="auto" w:fill="auto"/>
            <w:noWrap/>
            <w:vAlign w:val="center"/>
            <w:hideMark/>
          </w:tcPr>
          <w:p w14:paraId="5D36FBEA"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59" w:type="pct"/>
            <w:tcBorders>
              <w:top w:val="nil"/>
              <w:left w:val="nil"/>
              <w:bottom w:val="nil"/>
              <w:right w:val="single" w:sz="4" w:space="0" w:color="auto"/>
            </w:tcBorders>
            <w:shd w:val="clear" w:color="auto" w:fill="auto"/>
            <w:noWrap/>
            <w:vAlign w:val="center"/>
            <w:hideMark/>
          </w:tcPr>
          <w:p w14:paraId="216B33A9" w14:textId="5E5402ED"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w:t>
            </w:r>
            <w:r w:rsidR="0011120B" w:rsidRPr="000C156A">
              <w:rPr>
                <w:rFonts w:cs="Calibri"/>
                <w:color w:val="000000"/>
                <w:sz w:val="16"/>
                <w:szCs w:val="16"/>
                <w:lang w:eastAsia="en-GB"/>
              </w:rPr>
              <w:t xml:space="preserve"> </w:t>
            </w:r>
            <w:r w:rsidRPr="000C156A">
              <w:rPr>
                <w:rFonts w:cs="Calibri"/>
                <w:color w:val="000000"/>
                <w:sz w:val="16"/>
                <w:szCs w:val="16"/>
                <w:lang w:eastAsia="en-GB"/>
              </w:rPr>
              <w:t>987</w:t>
            </w:r>
          </w:p>
        </w:tc>
        <w:tc>
          <w:tcPr>
            <w:tcW w:w="311" w:type="pct"/>
            <w:tcBorders>
              <w:top w:val="nil"/>
              <w:left w:val="nil"/>
              <w:bottom w:val="nil"/>
              <w:right w:val="single" w:sz="4" w:space="0" w:color="auto"/>
            </w:tcBorders>
            <w:shd w:val="clear" w:color="auto" w:fill="auto"/>
            <w:noWrap/>
            <w:vAlign w:val="center"/>
            <w:hideMark/>
          </w:tcPr>
          <w:p w14:paraId="28A9AEEA"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69" w:type="pct"/>
            <w:tcBorders>
              <w:top w:val="nil"/>
              <w:left w:val="nil"/>
              <w:bottom w:val="nil"/>
              <w:right w:val="single" w:sz="4" w:space="0" w:color="auto"/>
            </w:tcBorders>
            <w:shd w:val="clear" w:color="auto" w:fill="auto"/>
            <w:noWrap/>
            <w:vAlign w:val="center"/>
            <w:hideMark/>
          </w:tcPr>
          <w:p w14:paraId="10A81CA7" w14:textId="3D1722D3"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95</w:t>
            </w:r>
            <w:r w:rsidR="0011120B" w:rsidRPr="000C156A">
              <w:rPr>
                <w:rFonts w:cs="Calibri"/>
                <w:b/>
                <w:bCs/>
                <w:sz w:val="16"/>
                <w:szCs w:val="16"/>
                <w:lang w:eastAsia="en-GB"/>
              </w:rPr>
              <w:t xml:space="preserve"> </w:t>
            </w:r>
            <w:r w:rsidRPr="000C156A">
              <w:rPr>
                <w:rFonts w:cs="Calibri"/>
                <w:b/>
                <w:bCs/>
                <w:sz w:val="16"/>
                <w:szCs w:val="16"/>
                <w:lang w:eastAsia="en-GB"/>
              </w:rPr>
              <w:t>756</w:t>
            </w:r>
          </w:p>
        </w:tc>
      </w:tr>
      <w:tr w:rsidR="009630A9" w:rsidRPr="000C156A" w14:paraId="69F19402" w14:textId="77777777" w:rsidTr="0011120B">
        <w:trPr>
          <w:trHeight w:val="255"/>
        </w:trPr>
        <w:tc>
          <w:tcPr>
            <w:tcW w:w="580" w:type="pct"/>
            <w:tcBorders>
              <w:top w:val="nil"/>
              <w:left w:val="single" w:sz="4" w:space="0" w:color="auto"/>
              <w:bottom w:val="nil"/>
              <w:right w:val="nil"/>
            </w:tcBorders>
            <w:shd w:val="clear" w:color="auto" w:fill="auto"/>
            <w:vAlign w:val="center"/>
            <w:hideMark/>
          </w:tcPr>
          <w:p w14:paraId="29966261" w14:textId="77777777" w:rsidR="009630A9" w:rsidRPr="000C156A" w:rsidRDefault="009630A9" w:rsidP="005D02F0">
            <w:pPr>
              <w:overflowPunct/>
              <w:autoSpaceDE/>
              <w:autoSpaceDN/>
              <w:adjustRightInd/>
              <w:spacing w:before="0"/>
              <w:jc w:val="right"/>
              <w:textAlignment w:val="auto"/>
              <w:rPr>
                <w:rFonts w:asciiTheme="minorHAnsi" w:hAnsiTheme="minorHAnsi" w:cs="Arial"/>
                <w:color w:val="000000"/>
                <w:sz w:val="16"/>
                <w:szCs w:val="16"/>
                <w:lang w:val="en-US" w:eastAsia="zh-CN"/>
              </w:rPr>
            </w:pPr>
            <w:r w:rsidRPr="000C156A">
              <w:rPr>
                <w:rFonts w:asciiTheme="minorHAnsi" w:hAnsiTheme="minorHAnsi" w:cs="Arial"/>
                <w:color w:val="000000"/>
                <w:sz w:val="16"/>
                <w:szCs w:val="16"/>
                <w:lang w:val="en-US" w:eastAsia="zh-CN"/>
              </w:rPr>
              <w:t>31</w:t>
            </w:r>
          </w:p>
        </w:tc>
        <w:tc>
          <w:tcPr>
            <w:tcW w:w="267" w:type="pct"/>
            <w:tcBorders>
              <w:top w:val="nil"/>
              <w:left w:val="single" w:sz="4" w:space="0" w:color="auto"/>
              <w:bottom w:val="nil"/>
              <w:right w:val="single" w:sz="4" w:space="0" w:color="auto"/>
            </w:tcBorders>
            <w:shd w:val="clear" w:color="auto" w:fill="auto"/>
            <w:noWrap/>
            <w:vAlign w:val="center"/>
            <w:hideMark/>
          </w:tcPr>
          <w:p w14:paraId="0948DC7D" w14:textId="7E18B4E8"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20</w:t>
            </w:r>
            <w:r w:rsidR="0011120B" w:rsidRPr="000C156A">
              <w:rPr>
                <w:rFonts w:cs="Calibri"/>
                <w:color w:val="000000"/>
                <w:sz w:val="16"/>
                <w:szCs w:val="16"/>
                <w:lang w:eastAsia="en-GB"/>
              </w:rPr>
              <w:t xml:space="preserve"> </w:t>
            </w:r>
            <w:r w:rsidRPr="000C156A">
              <w:rPr>
                <w:rFonts w:cs="Calibri"/>
                <w:color w:val="000000"/>
                <w:sz w:val="16"/>
                <w:szCs w:val="16"/>
                <w:lang w:eastAsia="en-GB"/>
              </w:rPr>
              <w:t>378</w:t>
            </w:r>
          </w:p>
        </w:tc>
        <w:tc>
          <w:tcPr>
            <w:tcW w:w="284" w:type="pct"/>
            <w:tcBorders>
              <w:top w:val="nil"/>
              <w:left w:val="nil"/>
              <w:bottom w:val="nil"/>
              <w:right w:val="single" w:sz="4" w:space="0" w:color="auto"/>
            </w:tcBorders>
            <w:shd w:val="clear" w:color="auto" w:fill="auto"/>
            <w:noWrap/>
            <w:vAlign w:val="center"/>
            <w:hideMark/>
          </w:tcPr>
          <w:p w14:paraId="4B3F5232" w14:textId="1C457585"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6</w:t>
            </w:r>
            <w:r w:rsidR="0011120B" w:rsidRPr="000C156A">
              <w:rPr>
                <w:rFonts w:cs="Calibri"/>
                <w:color w:val="000000"/>
                <w:sz w:val="16"/>
                <w:szCs w:val="16"/>
                <w:lang w:eastAsia="en-GB"/>
              </w:rPr>
              <w:t xml:space="preserve"> </w:t>
            </w:r>
            <w:r w:rsidRPr="000C156A">
              <w:rPr>
                <w:rFonts w:cs="Calibri"/>
                <w:color w:val="000000"/>
                <w:sz w:val="16"/>
                <w:szCs w:val="16"/>
                <w:lang w:eastAsia="en-GB"/>
              </w:rPr>
              <w:t>142</w:t>
            </w:r>
          </w:p>
        </w:tc>
        <w:tc>
          <w:tcPr>
            <w:tcW w:w="297" w:type="pct"/>
            <w:tcBorders>
              <w:top w:val="nil"/>
              <w:left w:val="nil"/>
              <w:bottom w:val="nil"/>
              <w:right w:val="single" w:sz="4" w:space="0" w:color="auto"/>
            </w:tcBorders>
            <w:shd w:val="clear" w:color="auto" w:fill="auto"/>
            <w:noWrap/>
            <w:vAlign w:val="center"/>
            <w:hideMark/>
          </w:tcPr>
          <w:p w14:paraId="57411723" w14:textId="172E055F"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2</w:t>
            </w:r>
            <w:r w:rsidR="0011120B" w:rsidRPr="000C156A">
              <w:rPr>
                <w:rFonts w:cs="Calibri"/>
                <w:color w:val="000000"/>
                <w:sz w:val="16"/>
                <w:szCs w:val="16"/>
                <w:lang w:eastAsia="en-GB"/>
              </w:rPr>
              <w:t xml:space="preserve"> </w:t>
            </w:r>
            <w:r w:rsidRPr="000C156A">
              <w:rPr>
                <w:rFonts w:cs="Calibri"/>
                <w:color w:val="000000"/>
                <w:sz w:val="16"/>
                <w:szCs w:val="16"/>
                <w:lang w:eastAsia="en-GB"/>
              </w:rPr>
              <w:t>851</w:t>
            </w:r>
          </w:p>
        </w:tc>
        <w:tc>
          <w:tcPr>
            <w:tcW w:w="267" w:type="pct"/>
            <w:tcBorders>
              <w:top w:val="nil"/>
              <w:left w:val="nil"/>
              <w:bottom w:val="nil"/>
              <w:right w:val="single" w:sz="4" w:space="0" w:color="auto"/>
            </w:tcBorders>
            <w:shd w:val="clear" w:color="auto" w:fill="auto"/>
            <w:noWrap/>
            <w:vAlign w:val="center"/>
            <w:hideMark/>
          </w:tcPr>
          <w:p w14:paraId="772184C9" w14:textId="5DACC009"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5</w:t>
            </w:r>
            <w:r w:rsidR="0011120B" w:rsidRPr="000C156A">
              <w:rPr>
                <w:rFonts w:cs="Calibri"/>
                <w:color w:val="000000"/>
                <w:sz w:val="16"/>
                <w:szCs w:val="16"/>
                <w:lang w:eastAsia="en-GB"/>
              </w:rPr>
              <w:t xml:space="preserve"> </w:t>
            </w:r>
            <w:r w:rsidRPr="000C156A">
              <w:rPr>
                <w:rFonts w:cs="Calibri"/>
                <w:color w:val="000000"/>
                <w:sz w:val="16"/>
                <w:szCs w:val="16"/>
                <w:lang w:eastAsia="en-GB"/>
              </w:rPr>
              <w:t>756</w:t>
            </w:r>
          </w:p>
        </w:tc>
        <w:tc>
          <w:tcPr>
            <w:tcW w:w="357" w:type="pct"/>
            <w:tcBorders>
              <w:top w:val="nil"/>
              <w:left w:val="nil"/>
              <w:bottom w:val="nil"/>
              <w:right w:val="nil"/>
            </w:tcBorders>
            <w:shd w:val="clear" w:color="auto" w:fill="auto"/>
            <w:noWrap/>
            <w:vAlign w:val="center"/>
            <w:hideMark/>
          </w:tcPr>
          <w:p w14:paraId="5BF00283" w14:textId="61CC63BB"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71</w:t>
            </w:r>
            <w:r w:rsidR="0011120B" w:rsidRPr="000C156A">
              <w:rPr>
                <w:rFonts w:cs="Calibri"/>
                <w:color w:val="000000"/>
                <w:sz w:val="16"/>
                <w:szCs w:val="16"/>
                <w:lang w:eastAsia="en-GB"/>
              </w:rPr>
              <w:t xml:space="preserve"> </w:t>
            </w:r>
            <w:r w:rsidRPr="000C156A">
              <w:rPr>
                <w:rFonts w:cs="Calibri"/>
                <w:color w:val="000000"/>
                <w:sz w:val="16"/>
                <w:szCs w:val="16"/>
                <w:lang w:eastAsia="en-GB"/>
              </w:rPr>
              <w:t>694</w:t>
            </w:r>
          </w:p>
        </w:tc>
        <w:tc>
          <w:tcPr>
            <w:tcW w:w="362" w:type="pct"/>
            <w:tcBorders>
              <w:top w:val="nil"/>
              <w:left w:val="single" w:sz="4" w:space="0" w:color="auto"/>
              <w:bottom w:val="nil"/>
              <w:right w:val="single" w:sz="4" w:space="0" w:color="auto"/>
            </w:tcBorders>
            <w:shd w:val="clear" w:color="auto" w:fill="auto"/>
            <w:noWrap/>
            <w:vAlign w:val="center"/>
            <w:hideMark/>
          </w:tcPr>
          <w:p w14:paraId="219D4039" w14:textId="1624164D"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106</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821</w:t>
            </w:r>
          </w:p>
        </w:tc>
        <w:tc>
          <w:tcPr>
            <w:tcW w:w="296" w:type="pct"/>
            <w:tcBorders>
              <w:top w:val="nil"/>
              <w:left w:val="nil"/>
              <w:bottom w:val="nil"/>
              <w:right w:val="single" w:sz="4" w:space="0" w:color="auto"/>
            </w:tcBorders>
            <w:shd w:val="clear" w:color="auto" w:fill="auto"/>
            <w:noWrap/>
            <w:vAlign w:val="center"/>
            <w:hideMark/>
          </w:tcPr>
          <w:p w14:paraId="28B57C03"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96" w:type="pct"/>
            <w:tcBorders>
              <w:top w:val="nil"/>
              <w:left w:val="nil"/>
              <w:bottom w:val="nil"/>
              <w:right w:val="single" w:sz="4" w:space="0" w:color="auto"/>
            </w:tcBorders>
            <w:shd w:val="clear" w:color="auto" w:fill="auto"/>
            <w:noWrap/>
            <w:vAlign w:val="center"/>
            <w:hideMark/>
          </w:tcPr>
          <w:p w14:paraId="5563467F"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08" w:type="pct"/>
            <w:tcBorders>
              <w:top w:val="nil"/>
              <w:left w:val="nil"/>
              <w:bottom w:val="nil"/>
              <w:right w:val="single" w:sz="4" w:space="0" w:color="auto"/>
            </w:tcBorders>
            <w:shd w:val="clear" w:color="auto" w:fill="auto"/>
            <w:noWrap/>
            <w:vAlign w:val="center"/>
            <w:hideMark/>
          </w:tcPr>
          <w:p w14:paraId="5C9453F2"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17</w:t>
            </w:r>
          </w:p>
        </w:tc>
        <w:tc>
          <w:tcPr>
            <w:tcW w:w="236" w:type="pct"/>
            <w:tcBorders>
              <w:top w:val="nil"/>
              <w:left w:val="nil"/>
              <w:bottom w:val="nil"/>
              <w:right w:val="single" w:sz="4" w:space="0" w:color="auto"/>
            </w:tcBorders>
            <w:shd w:val="clear" w:color="auto" w:fill="auto"/>
            <w:noWrap/>
            <w:vAlign w:val="center"/>
            <w:hideMark/>
          </w:tcPr>
          <w:p w14:paraId="416554A3"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282</w:t>
            </w:r>
          </w:p>
        </w:tc>
        <w:tc>
          <w:tcPr>
            <w:tcW w:w="255" w:type="pct"/>
            <w:tcBorders>
              <w:top w:val="nil"/>
              <w:left w:val="nil"/>
              <w:bottom w:val="nil"/>
              <w:right w:val="single" w:sz="4" w:space="0" w:color="auto"/>
            </w:tcBorders>
            <w:shd w:val="clear" w:color="auto" w:fill="auto"/>
            <w:noWrap/>
            <w:vAlign w:val="center"/>
            <w:hideMark/>
          </w:tcPr>
          <w:p w14:paraId="676CD65E"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480</w:t>
            </w:r>
          </w:p>
        </w:tc>
        <w:tc>
          <w:tcPr>
            <w:tcW w:w="224" w:type="pct"/>
            <w:tcBorders>
              <w:top w:val="nil"/>
              <w:left w:val="nil"/>
              <w:bottom w:val="nil"/>
              <w:right w:val="single" w:sz="4" w:space="0" w:color="auto"/>
            </w:tcBorders>
            <w:shd w:val="clear" w:color="auto" w:fill="auto"/>
            <w:noWrap/>
            <w:vAlign w:val="center"/>
            <w:hideMark/>
          </w:tcPr>
          <w:p w14:paraId="5568B63B"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2" w:type="pct"/>
            <w:tcBorders>
              <w:top w:val="nil"/>
              <w:left w:val="nil"/>
              <w:bottom w:val="nil"/>
              <w:right w:val="single" w:sz="4" w:space="0" w:color="auto"/>
            </w:tcBorders>
            <w:shd w:val="clear" w:color="auto" w:fill="auto"/>
            <w:noWrap/>
            <w:vAlign w:val="center"/>
            <w:hideMark/>
          </w:tcPr>
          <w:p w14:paraId="2D23C65C"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59" w:type="pct"/>
            <w:tcBorders>
              <w:top w:val="nil"/>
              <w:left w:val="nil"/>
              <w:bottom w:val="nil"/>
              <w:right w:val="single" w:sz="4" w:space="0" w:color="auto"/>
            </w:tcBorders>
            <w:shd w:val="clear" w:color="auto" w:fill="auto"/>
            <w:noWrap/>
            <w:vAlign w:val="center"/>
            <w:hideMark/>
          </w:tcPr>
          <w:p w14:paraId="507D717E"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586</w:t>
            </w:r>
          </w:p>
        </w:tc>
        <w:tc>
          <w:tcPr>
            <w:tcW w:w="311" w:type="pct"/>
            <w:tcBorders>
              <w:top w:val="nil"/>
              <w:left w:val="nil"/>
              <w:bottom w:val="nil"/>
              <w:right w:val="single" w:sz="4" w:space="0" w:color="auto"/>
            </w:tcBorders>
            <w:shd w:val="clear" w:color="auto" w:fill="auto"/>
            <w:noWrap/>
            <w:vAlign w:val="center"/>
            <w:hideMark/>
          </w:tcPr>
          <w:p w14:paraId="7777BFD8"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69" w:type="pct"/>
            <w:tcBorders>
              <w:top w:val="nil"/>
              <w:left w:val="nil"/>
              <w:bottom w:val="nil"/>
              <w:right w:val="single" w:sz="4" w:space="0" w:color="auto"/>
            </w:tcBorders>
            <w:shd w:val="clear" w:color="auto" w:fill="auto"/>
            <w:noWrap/>
            <w:vAlign w:val="center"/>
            <w:hideMark/>
          </w:tcPr>
          <w:p w14:paraId="4807AFD7" w14:textId="7FEBD5A6"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108</w:t>
            </w:r>
            <w:r w:rsidR="0011120B" w:rsidRPr="000C156A">
              <w:rPr>
                <w:rFonts w:cs="Calibri"/>
                <w:b/>
                <w:bCs/>
                <w:sz w:val="16"/>
                <w:szCs w:val="16"/>
                <w:lang w:eastAsia="en-GB"/>
              </w:rPr>
              <w:t xml:space="preserve"> </w:t>
            </w:r>
            <w:r w:rsidRPr="000C156A">
              <w:rPr>
                <w:rFonts w:cs="Calibri"/>
                <w:b/>
                <w:bCs/>
                <w:sz w:val="16"/>
                <w:szCs w:val="16"/>
                <w:lang w:eastAsia="en-GB"/>
              </w:rPr>
              <w:t>186</w:t>
            </w:r>
          </w:p>
        </w:tc>
      </w:tr>
      <w:tr w:rsidR="009630A9" w:rsidRPr="000C156A" w14:paraId="39365BF5" w14:textId="77777777" w:rsidTr="0011120B">
        <w:trPr>
          <w:trHeight w:val="255"/>
        </w:trPr>
        <w:tc>
          <w:tcPr>
            <w:tcW w:w="580" w:type="pct"/>
            <w:tcBorders>
              <w:top w:val="nil"/>
              <w:left w:val="single" w:sz="4" w:space="0" w:color="auto"/>
              <w:bottom w:val="nil"/>
              <w:right w:val="nil"/>
            </w:tcBorders>
            <w:shd w:val="clear" w:color="auto" w:fill="auto"/>
            <w:vAlign w:val="center"/>
            <w:hideMark/>
          </w:tcPr>
          <w:p w14:paraId="73C806D0" w14:textId="77777777" w:rsidR="009630A9" w:rsidRPr="000C156A" w:rsidRDefault="009630A9" w:rsidP="005D02F0">
            <w:pPr>
              <w:spacing w:before="0"/>
              <w:rPr>
                <w:noProof/>
                <w:sz w:val="16"/>
                <w:szCs w:val="16"/>
                <w:lang w:val="en-US"/>
              </w:rPr>
            </w:pPr>
            <w:r w:rsidRPr="000C156A">
              <w:rPr>
                <w:rFonts w:hint="eastAsia"/>
                <w:noProof/>
                <w:sz w:val="16"/>
                <w:szCs w:val="16"/>
                <w:lang w:val="en-US" w:eastAsia="zh-CN"/>
              </w:rPr>
              <w:t>公务差旅</w:t>
            </w:r>
            <w:r w:rsidRPr="000C156A">
              <w:rPr>
                <w:noProof/>
                <w:sz w:val="16"/>
                <w:szCs w:val="16"/>
                <w:lang w:val="en-US"/>
              </w:rPr>
              <w:t>费</w:t>
            </w:r>
            <w:r w:rsidRPr="000C156A">
              <w:rPr>
                <w:rFonts w:hint="eastAsia"/>
                <w:noProof/>
                <w:sz w:val="16"/>
                <w:szCs w:val="16"/>
                <w:lang w:val="en-US"/>
              </w:rPr>
              <w:t>用</w:t>
            </w:r>
          </w:p>
        </w:tc>
        <w:tc>
          <w:tcPr>
            <w:tcW w:w="267" w:type="pct"/>
            <w:tcBorders>
              <w:top w:val="nil"/>
              <w:left w:val="single" w:sz="4" w:space="0" w:color="auto"/>
              <w:bottom w:val="nil"/>
              <w:right w:val="single" w:sz="4" w:space="0" w:color="auto"/>
            </w:tcBorders>
            <w:shd w:val="clear" w:color="auto" w:fill="auto"/>
            <w:noWrap/>
            <w:vAlign w:val="center"/>
            <w:hideMark/>
          </w:tcPr>
          <w:p w14:paraId="5BBA3D97"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943</w:t>
            </w:r>
          </w:p>
        </w:tc>
        <w:tc>
          <w:tcPr>
            <w:tcW w:w="284" w:type="pct"/>
            <w:tcBorders>
              <w:top w:val="nil"/>
              <w:left w:val="nil"/>
              <w:bottom w:val="nil"/>
              <w:right w:val="single" w:sz="4" w:space="0" w:color="auto"/>
            </w:tcBorders>
            <w:shd w:val="clear" w:color="auto" w:fill="auto"/>
            <w:noWrap/>
            <w:vAlign w:val="center"/>
            <w:hideMark/>
          </w:tcPr>
          <w:p w14:paraId="12D9B694" w14:textId="0D2F454B"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w:t>
            </w:r>
            <w:r w:rsidR="0011120B" w:rsidRPr="000C156A">
              <w:rPr>
                <w:rFonts w:cs="Calibri"/>
                <w:color w:val="000000"/>
                <w:sz w:val="16"/>
                <w:szCs w:val="16"/>
                <w:lang w:eastAsia="en-GB"/>
              </w:rPr>
              <w:t xml:space="preserve"> </w:t>
            </w:r>
            <w:r w:rsidRPr="000C156A">
              <w:rPr>
                <w:rFonts w:cs="Calibri"/>
                <w:color w:val="000000"/>
                <w:sz w:val="16"/>
                <w:szCs w:val="16"/>
                <w:lang w:eastAsia="en-GB"/>
              </w:rPr>
              <w:t>150</w:t>
            </w:r>
          </w:p>
        </w:tc>
        <w:tc>
          <w:tcPr>
            <w:tcW w:w="297" w:type="pct"/>
            <w:tcBorders>
              <w:top w:val="nil"/>
              <w:left w:val="nil"/>
              <w:bottom w:val="nil"/>
              <w:right w:val="single" w:sz="4" w:space="0" w:color="auto"/>
            </w:tcBorders>
            <w:shd w:val="clear" w:color="auto" w:fill="auto"/>
            <w:noWrap/>
            <w:vAlign w:val="center"/>
            <w:hideMark/>
          </w:tcPr>
          <w:p w14:paraId="453E14BF"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986</w:t>
            </w:r>
          </w:p>
        </w:tc>
        <w:tc>
          <w:tcPr>
            <w:tcW w:w="267" w:type="pct"/>
            <w:tcBorders>
              <w:top w:val="nil"/>
              <w:left w:val="nil"/>
              <w:bottom w:val="nil"/>
              <w:right w:val="single" w:sz="4" w:space="0" w:color="auto"/>
            </w:tcBorders>
            <w:shd w:val="clear" w:color="auto" w:fill="auto"/>
            <w:noWrap/>
            <w:vAlign w:val="center"/>
            <w:hideMark/>
          </w:tcPr>
          <w:p w14:paraId="79AEBA13" w14:textId="3CF5F774"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2</w:t>
            </w:r>
            <w:r w:rsidR="0011120B" w:rsidRPr="000C156A">
              <w:rPr>
                <w:rFonts w:cs="Calibri"/>
                <w:color w:val="000000"/>
                <w:sz w:val="16"/>
                <w:szCs w:val="16"/>
                <w:lang w:eastAsia="en-GB"/>
              </w:rPr>
              <w:t xml:space="preserve"> </w:t>
            </w:r>
            <w:r w:rsidRPr="000C156A">
              <w:rPr>
                <w:rFonts w:cs="Calibri"/>
                <w:color w:val="000000"/>
                <w:sz w:val="16"/>
                <w:szCs w:val="16"/>
                <w:lang w:eastAsia="en-GB"/>
              </w:rPr>
              <w:t>512</w:t>
            </w:r>
          </w:p>
        </w:tc>
        <w:tc>
          <w:tcPr>
            <w:tcW w:w="357" w:type="pct"/>
            <w:tcBorders>
              <w:top w:val="nil"/>
              <w:left w:val="nil"/>
              <w:bottom w:val="nil"/>
              <w:right w:val="nil"/>
            </w:tcBorders>
            <w:shd w:val="clear" w:color="auto" w:fill="auto"/>
            <w:noWrap/>
            <w:vAlign w:val="center"/>
            <w:hideMark/>
          </w:tcPr>
          <w:p w14:paraId="3F25712D"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19</w:t>
            </w:r>
          </w:p>
        </w:tc>
        <w:tc>
          <w:tcPr>
            <w:tcW w:w="362" w:type="pct"/>
            <w:tcBorders>
              <w:top w:val="nil"/>
              <w:left w:val="single" w:sz="4" w:space="0" w:color="auto"/>
              <w:bottom w:val="nil"/>
              <w:right w:val="single" w:sz="4" w:space="0" w:color="auto"/>
            </w:tcBorders>
            <w:shd w:val="clear" w:color="auto" w:fill="auto"/>
            <w:noWrap/>
            <w:vAlign w:val="center"/>
            <w:hideMark/>
          </w:tcPr>
          <w:p w14:paraId="1A739202" w14:textId="316695F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5</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609</w:t>
            </w:r>
          </w:p>
        </w:tc>
        <w:tc>
          <w:tcPr>
            <w:tcW w:w="296" w:type="pct"/>
            <w:tcBorders>
              <w:top w:val="nil"/>
              <w:left w:val="nil"/>
              <w:bottom w:val="nil"/>
              <w:right w:val="single" w:sz="4" w:space="0" w:color="auto"/>
            </w:tcBorders>
            <w:shd w:val="clear" w:color="auto" w:fill="auto"/>
            <w:noWrap/>
            <w:vAlign w:val="center"/>
            <w:hideMark/>
          </w:tcPr>
          <w:p w14:paraId="5EB51537"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96" w:type="pct"/>
            <w:tcBorders>
              <w:top w:val="nil"/>
              <w:left w:val="nil"/>
              <w:bottom w:val="nil"/>
              <w:right w:val="single" w:sz="4" w:space="0" w:color="auto"/>
            </w:tcBorders>
            <w:shd w:val="clear" w:color="auto" w:fill="auto"/>
            <w:noWrap/>
            <w:vAlign w:val="center"/>
            <w:hideMark/>
          </w:tcPr>
          <w:p w14:paraId="63FBCB8D"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08" w:type="pct"/>
            <w:tcBorders>
              <w:top w:val="nil"/>
              <w:left w:val="nil"/>
              <w:bottom w:val="nil"/>
              <w:right w:val="single" w:sz="4" w:space="0" w:color="auto"/>
            </w:tcBorders>
            <w:shd w:val="clear" w:color="auto" w:fill="auto"/>
            <w:noWrap/>
            <w:vAlign w:val="center"/>
            <w:hideMark/>
          </w:tcPr>
          <w:p w14:paraId="4DBCC1A1"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6" w:type="pct"/>
            <w:tcBorders>
              <w:top w:val="nil"/>
              <w:left w:val="nil"/>
              <w:bottom w:val="nil"/>
              <w:right w:val="single" w:sz="4" w:space="0" w:color="auto"/>
            </w:tcBorders>
            <w:shd w:val="clear" w:color="auto" w:fill="auto"/>
            <w:noWrap/>
            <w:vAlign w:val="center"/>
            <w:hideMark/>
          </w:tcPr>
          <w:p w14:paraId="5D5D1C6C"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405</w:t>
            </w:r>
          </w:p>
        </w:tc>
        <w:tc>
          <w:tcPr>
            <w:tcW w:w="255" w:type="pct"/>
            <w:tcBorders>
              <w:top w:val="nil"/>
              <w:left w:val="nil"/>
              <w:bottom w:val="nil"/>
              <w:right w:val="single" w:sz="4" w:space="0" w:color="auto"/>
            </w:tcBorders>
            <w:shd w:val="clear" w:color="auto" w:fill="auto"/>
            <w:noWrap/>
            <w:vAlign w:val="center"/>
            <w:hideMark/>
          </w:tcPr>
          <w:p w14:paraId="58183A64" w14:textId="13749A65"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w:t>
            </w:r>
            <w:r w:rsidR="0011120B" w:rsidRPr="000C156A">
              <w:rPr>
                <w:rFonts w:cs="Calibri"/>
                <w:color w:val="000000"/>
                <w:sz w:val="16"/>
                <w:szCs w:val="16"/>
                <w:lang w:eastAsia="en-GB"/>
              </w:rPr>
              <w:t xml:space="preserve"> </w:t>
            </w:r>
            <w:r w:rsidRPr="000C156A">
              <w:rPr>
                <w:rFonts w:cs="Calibri"/>
                <w:color w:val="000000"/>
                <w:sz w:val="16"/>
                <w:szCs w:val="16"/>
                <w:lang w:eastAsia="en-GB"/>
              </w:rPr>
              <w:t>500</w:t>
            </w:r>
          </w:p>
        </w:tc>
        <w:tc>
          <w:tcPr>
            <w:tcW w:w="224" w:type="pct"/>
            <w:tcBorders>
              <w:top w:val="nil"/>
              <w:left w:val="nil"/>
              <w:bottom w:val="nil"/>
              <w:right w:val="single" w:sz="4" w:space="0" w:color="auto"/>
            </w:tcBorders>
            <w:shd w:val="clear" w:color="auto" w:fill="auto"/>
            <w:noWrap/>
            <w:vAlign w:val="center"/>
            <w:hideMark/>
          </w:tcPr>
          <w:p w14:paraId="34850265"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2" w:type="pct"/>
            <w:tcBorders>
              <w:top w:val="nil"/>
              <w:left w:val="nil"/>
              <w:bottom w:val="nil"/>
              <w:right w:val="single" w:sz="4" w:space="0" w:color="auto"/>
            </w:tcBorders>
            <w:shd w:val="clear" w:color="auto" w:fill="auto"/>
            <w:noWrap/>
            <w:vAlign w:val="center"/>
            <w:hideMark/>
          </w:tcPr>
          <w:p w14:paraId="6DB99E07"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59" w:type="pct"/>
            <w:tcBorders>
              <w:top w:val="nil"/>
              <w:left w:val="nil"/>
              <w:bottom w:val="nil"/>
              <w:right w:val="single" w:sz="4" w:space="0" w:color="auto"/>
            </w:tcBorders>
            <w:shd w:val="clear" w:color="auto" w:fill="auto"/>
            <w:noWrap/>
            <w:vAlign w:val="center"/>
            <w:hideMark/>
          </w:tcPr>
          <w:p w14:paraId="04F05B5F"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253</w:t>
            </w:r>
          </w:p>
        </w:tc>
        <w:tc>
          <w:tcPr>
            <w:tcW w:w="311" w:type="pct"/>
            <w:tcBorders>
              <w:top w:val="nil"/>
              <w:left w:val="nil"/>
              <w:bottom w:val="nil"/>
              <w:right w:val="single" w:sz="4" w:space="0" w:color="auto"/>
            </w:tcBorders>
            <w:shd w:val="clear" w:color="auto" w:fill="auto"/>
            <w:noWrap/>
            <w:vAlign w:val="center"/>
            <w:hideMark/>
          </w:tcPr>
          <w:p w14:paraId="13EE037C"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69" w:type="pct"/>
            <w:tcBorders>
              <w:top w:val="nil"/>
              <w:left w:val="nil"/>
              <w:bottom w:val="nil"/>
              <w:right w:val="single" w:sz="4" w:space="0" w:color="auto"/>
            </w:tcBorders>
            <w:shd w:val="clear" w:color="auto" w:fill="auto"/>
            <w:noWrap/>
            <w:vAlign w:val="center"/>
            <w:hideMark/>
          </w:tcPr>
          <w:p w14:paraId="2D0879D3" w14:textId="5A6931D1"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7</w:t>
            </w:r>
            <w:r w:rsidR="0011120B" w:rsidRPr="000C156A">
              <w:rPr>
                <w:rFonts w:cs="Calibri"/>
                <w:b/>
                <w:bCs/>
                <w:sz w:val="16"/>
                <w:szCs w:val="16"/>
                <w:lang w:eastAsia="en-GB"/>
              </w:rPr>
              <w:t xml:space="preserve"> </w:t>
            </w:r>
            <w:r w:rsidRPr="000C156A">
              <w:rPr>
                <w:rFonts w:cs="Calibri"/>
                <w:b/>
                <w:bCs/>
                <w:sz w:val="16"/>
                <w:szCs w:val="16"/>
                <w:lang w:eastAsia="en-GB"/>
              </w:rPr>
              <w:t>767</w:t>
            </w:r>
          </w:p>
        </w:tc>
      </w:tr>
      <w:tr w:rsidR="009630A9" w:rsidRPr="000C156A" w14:paraId="519EE826" w14:textId="77777777" w:rsidTr="0011120B">
        <w:trPr>
          <w:trHeight w:val="255"/>
        </w:trPr>
        <w:tc>
          <w:tcPr>
            <w:tcW w:w="580" w:type="pct"/>
            <w:tcBorders>
              <w:top w:val="nil"/>
              <w:left w:val="single" w:sz="4" w:space="0" w:color="auto"/>
              <w:bottom w:val="nil"/>
              <w:right w:val="nil"/>
            </w:tcBorders>
            <w:shd w:val="clear" w:color="auto" w:fill="auto"/>
            <w:vAlign w:val="center"/>
            <w:hideMark/>
          </w:tcPr>
          <w:p w14:paraId="7572AAB4" w14:textId="77777777" w:rsidR="009630A9" w:rsidRPr="000C156A" w:rsidRDefault="009630A9" w:rsidP="005D02F0">
            <w:pPr>
              <w:spacing w:before="0"/>
              <w:rPr>
                <w:noProof/>
                <w:sz w:val="16"/>
                <w:szCs w:val="16"/>
                <w:lang w:val="en-US"/>
              </w:rPr>
            </w:pPr>
            <w:r w:rsidRPr="000C156A">
              <w:rPr>
                <w:rFonts w:hint="eastAsia"/>
                <w:noProof/>
                <w:sz w:val="16"/>
                <w:szCs w:val="16"/>
                <w:lang w:val="en-US"/>
              </w:rPr>
              <w:t>合同服务</w:t>
            </w:r>
          </w:p>
        </w:tc>
        <w:tc>
          <w:tcPr>
            <w:tcW w:w="267" w:type="pct"/>
            <w:tcBorders>
              <w:top w:val="nil"/>
              <w:left w:val="single" w:sz="4" w:space="0" w:color="auto"/>
              <w:bottom w:val="nil"/>
              <w:right w:val="single" w:sz="4" w:space="0" w:color="auto"/>
            </w:tcBorders>
            <w:shd w:val="clear" w:color="auto" w:fill="auto"/>
            <w:noWrap/>
            <w:vAlign w:val="center"/>
            <w:hideMark/>
          </w:tcPr>
          <w:p w14:paraId="4B0BC063" w14:textId="3C5F5442"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5</w:t>
            </w:r>
            <w:r w:rsidR="0011120B" w:rsidRPr="000C156A">
              <w:rPr>
                <w:rFonts w:cs="Calibri"/>
                <w:color w:val="000000"/>
                <w:sz w:val="16"/>
                <w:szCs w:val="16"/>
                <w:lang w:eastAsia="en-GB"/>
              </w:rPr>
              <w:t xml:space="preserve"> </w:t>
            </w:r>
            <w:r w:rsidRPr="000C156A">
              <w:rPr>
                <w:rFonts w:cs="Calibri"/>
                <w:color w:val="000000"/>
                <w:sz w:val="16"/>
                <w:szCs w:val="16"/>
                <w:lang w:eastAsia="en-GB"/>
              </w:rPr>
              <w:t>854</w:t>
            </w:r>
          </w:p>
        </w:tc>
        <w:tc>
          <w:tcPr>
            <w:tcW w:w="284" w:type="pct"/>
            <w:tcBorders>
              <w:top w:val="nil"/>
              <w:left w:val="nil"/>
              <w:bottom w:val="nil"/>
              <w:right w:val="single" w:sz="4" w:space="0" w:color="auto"/>
            </w:tcBorders>
            <w:shd w:val="clear" w:color="auto" w:fill="auto"/>
            <w:noWrap/>
            <w:vAlign w:val="center"/>
            <w:hideMark/>
          </w:tcPr>
          <w:p w14:paraId="1CE07FB1"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397</w:t>
            </w:r>
          </w:p>
        </w:tc>
        <w:tc>
          <w:tcPr>
            <w:tcW w:w="297" w:type="pct"/>
            <w:tcBorders>
              <w:top w:val="nil"/>
              <w:left w:val="nil"/>
              <w:bottom w:val="nil"/>
              <w:right w:val="single" w:sz="4" w:space="0" w:color="auto"/>
            </w:tcBorders>
            <w:shd w:val="clear" w:color="auto" w:fill="auto"/>
            <w:noWrap/>
            <w:vAlign w:val="center"/>
            <w:hideMark/>
          </w:tcPr>
          <w:p w14:paraId="6B8F6817"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531</w:t>
            </w:r>
          </w:p>
        </w:tc>
        <w:tc>
          <w:tcPr>
            <w:tcW w:w="267" w:type="pct"/>
            <w:tcBorders>
              <w:top w:val="nil"/>
              <w:left w:val="nil"/>
              <w:bottom w:val="nil"/>
              <w:right w:val="single" w:sz="4" w:space="0" w:color="auto"/>
            </w:tcBorders>
            <w:shd w:val="clear" w:color="auto" w:fill="auto"/>
            <w:noWrap/>
            <w:vAlign w:val="center"/>
            <w:hideMark/>
          </w:tcPr>
          <w:p w14:paraId="77991C6F" w14:textId="4323A596"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2</w:t>
            </w:r>
            <w:r w:rsidR="0011120B" w:rsidRPr="000C156A">
              <w:rPr>
                <w:rFonts w:cs="Calibri"/>
                <w:color w:val="000000"/>
                <w:sz w:val="16"/>
                <w:szCs w:val="16"/>
                <w:lang w:eastAsia="en-GB"/>
              </w:rPr>
              <w:t xml:space="preserve"> </w:t>
            </w:r>
            <w:r w:rsidRPr="000C156A">
              <w:rPr>
                <w:rFonts w:cs="Calibri"/>
                <w:color w:val="000000"/>
                <w:sz w:val="16"/>
                <w:szCs w:val="16"/>
                <w:lang w:eastAsia="en-GB"/>
              </w:rPr>
              <w:t>399</w:t>
            </w:r>
          </w:p>
        </w:tc>
        <w:tc>
          <w:tcPr>
            <w:tcW w:w="357" w:type="pct"/>
            <w:tcBorders>
              <w:top w:val="nil"/>
              <w:left w:val="nil"/>
              <w:bottom w:val="nil"/>
              <w:right w:val="nil"/>
            </w:tcBorders>
            <w:shd w:val="clear" w:color="auto" w:fill="auto"/>
            <w:noWrap/>
            <w:vAlign w:val="center"/>
            <w:hideMark/>
          </w:tcPr>
          <w:p w14:paraId="47E4C5AF"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546</w:t>
            </w:r>
          </w:p>
        </w:tc>
        <w:tc>
          <w:tcPr>
            <w:tcW w:w="362" w:type="pct"/>
            <w:tcBorders>
              <w:top w:val="nil"/>
              <w:left w:val="single" w:sz="4" w:space="0" w:color="auto"/>
              <w:bottom w:val="nil"/>
              <w:right w:val="single" w:sz="4" w:space="0" w:color="auto"/>
            </w:tcBorders>
            <w:shd w:val="clear" w:color="auto" w:fill="auto"/>
            <w:noWrap/>
            <w:vAlign w:val="center"/>
            <w:hideMark/>
          </w:tcPr>
          <w:p w14:paraId="2E80B20D" w14:textId="568B32B1"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9</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727</w:t>
            </w:r>
          </w:p>
        </w:tc>
        <w:tc>
          <w:tcPr>
            <w:tcW w:w="296" w:type="pct"/>
            <w:tcBorders>
              <w:top w:val="nil"/>
              <w:left w:val="nil"/>
              <w:bottom w:val="nil"/>
              <w:right w:val="single" w:sz="4" w:space="0" w:color="auto"/>
            </w:tcBorders>
            <w:shd w:val="clear" w:color="auto" w:fill="auto"/>
            <w:noWrap/>
            <w:vAlign w:val="center"/>
            <w:hideMark/>
          </w:tcPr>
          <w:p w14:paraId="1A3B70A5"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5</w:t>
            </w:r>
          </w:p>
        </w:tc>
        <w:tc>
          <w:tcPr>
            <w:tcW w:w="296" w:type="pct"/>
            <w:tcBorders>
              <w:top w:val="nil"/>
              <w:left w:val="nil"/>
              <w:bottom w:val="nil"/>
              <w:right w:val="single" w:sz="4" w:space="0" w:color="auto"/>
            </w:tcBorders>
            <w:shd w:val="clear" w:color="auto" w:fill="auto"/>
            <w:noWrap/>
            <w:vAlign w:val="center"/>
            <w:hideMark/>
          </w:tcPr>
          <w:p w14:paraId="755D2E33"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08" w:type="pct"/>
            <w:tcBorders>
              <w:top w:val="nil"/>
              <w:left w:val="nil"/>
              <w:bottom w:val="nil"/>
              <w:right w:val="single" w:sz="4" w:space="0" w:color="auto"/>
            </w:tcBorders>
            <w:shd w:val="clear" w:color="auto" w:fill="auto"/>
            <w:noWrap/>
            <w:vAlign w:val="center"/>
            <w:hideMark/>
          </w:tcPr>
          <w:p w14:paraId="12C24694"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6" w:type="pct"/>
            <w:tcBorders>
              <w:top w:val="nil"/>
              <w:left w:val="nil"/>
              <w:bottom w:val="nil"/>
              <w:right w:val="single" w:sz="4" w:space="0" w:color="auto"/>
            </w:tcBorders>
            <w:shd w:val="clear" w:color="auto" w:fill="auto"/>
            <w:noWrap/>
            <w:vAlign w:val="center"/>
            <w:hideMark/>
          </w:tcPr>
          <w:p w14:paraId="421A4C8B" w14:textId="552DA040"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w:t>
            </w:r>
            <w:r w:rsidR="0011120B" w:rsidRPr="000C156A">
              <w:rPr>
                <w:rFonts w:cs="Calibri"/>
                <w:color w:val="000000"/>
                <w:sz w:val="16"/>
                <w:szCs w:val="16"/>
                <w:lang w:eastAsia="en-GB"/>
              </w:rPr>
              <w:t xml:space="preserve"> </w:t>
            </w:r>
            <w:r w:rsidRPr="000C156A">
              <w:rPr>
                <w:rFonts w:cs="Calibri"/>
                <w:color w:val="000000"/>
                <w:sz w:val="16"/>
                <w:szCs w:val="16"/>
                <w:lang w:eastAsia="en-GB"/>
              </w:rPr>
              <w:t>303</w:t>
            </w:r>
          </w:p>
        </w:tc>
        <w:tc>
          <w:tcPr>
            <w:tcW w:w="255" w:type="pct"/>
            <w:tcBorders>
              <w:top w:val="nil"/>
              <w:left w:val="nil"/>
              <w:bottom w:val="nil"/>
              <w:right w:val="single" w:sz="4" w:space="0" w:color="auto"/>
            </w:tcBorders>
            <w:shd w:val="clear" w:color="auto" w:fill="auto"/>
            <w:noWrap/>
            <w:vAlign w:val="center"/>
            <w:hideMark/>
          </w:tcPr>
          <w:p w14:paraId="05F753DB" w14:textId="3831E28B"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w:t>
            </w:r>
            <w:r w:rsidR="0011120B" w:rsidRPr="000C156A">
              <w:rPr>
                <w:rFonts w:cs="Calibri"/>
                <w:color w:val="000000"/>
                <w:sz w:val="16"/>
                <w:szCs w:val="16"/>
                <w:lang w:eastAsia="en-GB"/>
              </w:rPr>
              <w:t xml:space="preserve"> </w:t>
            </w:r>
            <w:r w:rsidRPr="000C156A">
              <w:rPr>
                <w:rFonts w:cs="Calibri"/>
                <w:color w:val="000000"/>
                <w:sz w:val="16"/>
                <w:szCs w:val="16"/>
                <w:lang w:eastAsia="en-GB"/>
              </w:rPr>
              <w:t>518</w:t>
            </w:r>
          </w:p>
        </w:tc>
        <w:tc>
          <w:tcPr>
            <w:tcW w:w="224" w:type="pct"/>
            <w:tcBorders>
              <w:top w:val="nil"/>
              <w:left w:val="nil"/>
              <w:bottom w:val="nil"/>
              <w:right w:val="single" w:sz="4" w:space="0" w:color="auto"/>
            </w:tcBorders>
            <w:shd w:val="clear" w:color="auto" w:fill="auto"/>
            <w:noWrap/>
            <w:vAlign w:val="center"/>
            <w:hideMark/>
          </w:tcPr>
          <w:p w14:paraId="7C58A67C"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2" w:type="pct"/>
            <w:tcBorders>
              <w:top w:val="nil"/>
              <w:left w:val="nil"/>
              <w:bottom w:val="nil"/>
              <w:right w:val="single" w:sz="4" w:space="0" w:color="auto"/>
            </w:tcBorders>
            <w:shd w:val="clear" w:color="auto" w:fill="auto"/>
            <w:noWrap/>
            <w:vAlign w:val="center"/>
            <w:hideMark/>
          </w:tcPr>
          <w:p w14:paraId="6FF7F082"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59" w:type="pct"/>
            <w:tcBorders>
              <w:top w:val="nil"/>
              <w:left w:val="nil"/>
              <w:bottom w:val="nil"/>
              <w:right w:val="single" w:sz="4" w:space="0" w:color="auto"/>
            </w:tcBorders>
            <w:shd w:val="clear" w:color="auto" w:fill="auto"/>
            <w:noWrap/>
            <w:vAlign w:val="center"/>
            <w:hideMark/>
          </w:tcPr>
          <w:p w14:paraId="15D2A909" w14:textId="06EF1FC3"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w:t>
            </w:r>
            <w:r w:rsidR="0011120B" w:rsidRPr="000C156A">
              <w:rPr>
                <w:rFonts w:cs="Calibri"/>
                <w:color w:val="000000"/>
                <w:sz w:val="16"/>
                <w:szCs w:val="16"/>
                <w:lang w:eastAsia="en-GB"/>
              </w:rPr>
              <w:t xml:space="preserve"> </w:t>
            </w:r>
            <w:r w:rsidRPr="000C156A">
              <w:rPr>
                <w:rFonts w:cs="Calibri"/>
                <w:color w:val="000000"/>
                <w:sz w:val="16"/>
                <w:szCs w:val="16"/>
                <w:lang w:eastAsia="en-GB"/>
              </w:rPr>
              <w:t>269</w:t>
            </w:r>
          </w:p>
        </w:tc>
        <w:tc>
          <w:tcPr>
            <w:tcW w:w="311" w:type="pct"/>
            <w:tcBorders>
              <w:top w:val="nil"/>
              <w:left w:val="nil"/>
              <w:bottom w:val="nil"/>
              <w:right w:val="single" w:sz="4" w:space="0" w:color="auto"/>
            </w:tcBorders>
            <w:shd w:val="clear" w:color="auto" w:fill="auto"/>
            <w:noWrap/>
            <w:vAlign w:val="center"/>
            <w:hideMark/>
          </w:tcPr>
          <w:p w14:paraId="4DAB70D8"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69" w:type="pct"/>
            <w:tcBorders>
              <w:top w:val="nil"/>
              <w:left w:val="nil"/>
              <w:bottom w:val="nil"/>
              <w:right w:val="single" w:sz="4" w:space="0" w:color="auto"/>
            </w:tcBorders>
            <w:shd w:val="clear" w:color="auto" w:fill="auto"/>
            <w:noWrap/>
            <w:vAlign w:val="center"/>
            <w:hideMark/>
          </w:tcPr>
          <w:p w14:paraId="4514FF9C" w14:textId="510370D1"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13</w:t>
            </w:r>
            <w:r w:rsidR="0011120B" w:rsidRPr="000C156A">
              <w:rPr>
                <w:rFonts w:cs="Calibri"/>
                <w:b/>
                <w:bCs/>
                <w:sz w:val="16"/>
                <w:szCs w:val="16"/>
                <w:lang w:eastAsia="en-GB"/>
              </w:rPr>
              <w:t xml:space="preserve"> </w:t>
            </w:r>
            <w:r w:rsidRPr="000C156A">
              <w:rPr>
                <w:rFonts w:cs="Calibri"/>
                <w:b/>
                <w:bCs/>
                <w:sz w:val="16"/>
                <w:szCs w:val="16"/>
                <w:lang w:eastAsia="en-GB"/>
              </w:rPr>
              <w:t>821</w:t>
            </w:r>
          </w:p>
        </w:tc>
      </w:tr>
      <w:tr w:rsidR="009630A9" w:rsidRPr="000C156A" w14:paraId="6AC92DD1" w14:textId="77777777" w:rsidTr="0011120B">
        <w:trPr>
          <w:trHeight w:val="516"/>
        </w:trPr>
        <w:tc>
          <w:tcPr>
            <w:tcW w:w="580" w:type="pct"/>
            <w:tcBorders>
              <w:top w:val="nil"/>
              <w:left w:val="single" w:sz="4" w:space="0" w:color="auto"/>
              <w:bottom w:val="nil"/>
              <w:right w:val="nil"/>
            </w:tcBorders>
            <w:shd w:val="clear" w:color="auto" w:fill="auto"/>
            <w:vAlign w:val="center"/>
            <w:hideMark/>
          </w:tcPr>
          <w:p w14:paraId="583CE9E5" w14:textId="77777777" w:rsidR="009630A9" w:rsidRPr="000C156A" w:rsidRDefault="009630A9" w:rsidP="005D02F0">
            <w:pPr>
              <w:spacing w:before="0"/>
              <w:rPr>
                <w:noProof/>
                <w:sz w:val="16"/>
                <w:szCs w:val="16"/>
                <w:lang w:val="en-US" w:eastAsia="zh-CN"/>
              </w:rPr>
            </w:pPr>
            <w:r w:rsidRPr="000C156A">
              <w:rPr>
                <w:rFonts w:hint="eastAsia"/>
                <w:noProof/>
                <w:sz w:val="16"/>
                <w:szCs w:val="16"/>
                <w:lang w:val="en-US" w:eastAsia="zh-CN"/>
              </w:rPr>
              <w:t>房屋设备租金和维护费</w:t>
            </w:r>
          </w:p>
        </w:tc>
        <w:tc>
          <w:tcPr>
            <w:tcW w:w="267" w:type="pct"/>
            <w:tcBorders>
              <w:top w:val="nil"/>
              <w:left w:val="single" w:sz="4" w:space="0" w:color="auto"/>
              <w:bottom w:val="nil"/>
              <w:right w:val="single" w:sz="4" w:space="0" w:color="auto"/>
            </w:tcBorders>
            <w:shd w:val="clear" w:color="auto" w:fill="auto"/>
            <w:noWrap/>
            <w:vAlign w:val="center"/>
            <w:hideMark/>
          </w:tcPr>
          <w:p w14:paraId="33E5EC34" w14:textId="41BAD4AE"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3</w:t>
            </w:r>
            <w:r w:rsidR="0011120B" w:rsidRPr="000C156A">
              <w:rPr>
                <w:rFonts w:cs="Calibri"/>
                <w:color w:val="000000"/>
                <w:sz w:val="16"/>
                <w:szCs w:val="16"/>
                <w:lang w:eastAsia="en-GB"/>
              </w:rPr>
              <w:t xml:space="preserve"> </w:t>
            </w:r>
            <w:r w:rsidRPr="000C156A">
              <w:rPr>
                <w:rFonts w:cs="Calibri"/>
                <w:color w:val="000000"/>
                <w:sz w:val="16"/>
                <w:szCs w:val="16"/>
                <w:lang w:eastAsia="en-GB"/>
              </w:rPr>
              <w:t>285</w:t>
            </w:r>
          </w:p>
        </w:tc>
        <w:tc>
          <w:tcPr>
            <w:tcW w:w="284" w:type="pct"/>
            <w:tcBorders>
              <w:top w:val="nil"/>
              <w:left w:val="nil"/>
              <w:bottom w:val="nil"/>
              <w:right w:val="single" w:sz="4" w:space="0" w:color="auto"/>
            </w:tcBorders>
            <w:shd w:val="clear" w:color="auto" w:fill="auto"/>
            <w:noWrap/>
            <w:vAlign w:val="center"/>
            <w:hideMark/>
          </w:tcPr>
          <w:p w14:paraId="16A363F4"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103</w:t>
            </w:r>
          </w:p>
        </w:tc>
        <w:tc>
          <w:tcPr>
            <w:tcW w:w="297" w:type="pct"/>
            <w:tcBorders>
              <w:top w:val="nil"/>
              <w:left w:val="nil"/>
              <w:bottom w:val="nil"/>
              <w:right w:val="single" w:sz="4" w:space="0" w:color="auto"/>
            </w:tcBorders>
            <w:shd w:val="clear" w:color="auto" w:fill="auto"/>
            <w:noWrap/>
            <w:vAlign w:val="center"/>
            <w:hideMark/>
          </w:tcPr>
          <w:p w14:paraId="153E520C"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55</w:t>
            </w:r>
          </w:p>
        </w:tc>
        <w:tc>
          <w:tcPr>
            <w:tcW w:w="267" w:type="pct"/>
            <w:tcBorders>
              <w:top w:val="nil"/>
              <w:left w:val="nil"/>
              <w:bottom w:val="nil"/>
              <w:right w:val="single" w:sz="4" w:space="0" w:color="auto"/>
            </w:tcBorders>
            <w:shd w:val="clear" w:color="auto" w:fill="auto"/>
            <w:noWrap/>
            <w:vAlign w:val="center"/>
            <w:hideMark/>
          </w:tcPr>
          <w:p w14:paraId="12DE5800"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86</w:t>
            </w:r>
          </w:p>
        </w:tc>
        <w:tc>
          <w:tcPr>
            <w:tcW w:w="357" w:type="pct"/>
            <w:tcBorders>
              <w:top w:val="nil"/>
              <w:left w:val="nil"/>
              <w:bottom w:val="nil"/>
              <w:right w:val="nil"/>
            </w:tcBorders>
            <w:shd w:val="clear" w:color="auto" w:fill="auto"/>
            <w:noWrap/>
            <w:vAlign w:val="center"/>
            <w:hideMark/>
          </w:tcPr>
          <w:p w14:paraId="76E2AFF8"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36</w:t>
            </w:r>
          </w:p>
        </w:tc>
        <w:tc>
          <w:tcPr>
            <w:tcW w:w="362" w:type="pct"/>
            <w:tcBorders>
              <w:top w:val="nil"/>
              <w:left w:val="single" w:sz="4" w:space="0" w:color="auto"/>
              <w:bottom w:val="nil"/>
              <w:right w:val="single" w:sz="4" w:space="0" w:color="auto"/>
            </w:tcBorders>
            <w:shd w:val="clear" w:color="auto" w:fill="auto"/>
            <w:noWrap/>
            <w:vAlign w:val="center"/>
            <w:hideMark/>
          </w:tcPr>
          <w:p w14:paraId="7185B13B" w14:textId="76364A26"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3</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565</w:t>
            </w:r>
          </w:p>
        </w:tc>
        <w:tc>
          <w:tcPr>
            <w:tcW w:w="296" w:type="pct"/>
            <w:tcBorders>
              <w:top w:val="nil"/>
              <w:left w:val="nil"/>
              <w:bottom w:val="nil"/>
              <w:right w:val="single" w:sz="4" w:space="0" w:color="auto"/>
            </w:tcBorders>
            <w:shd w:val="clear" w:color="auto" w:fill="auto"/>
            <w:noWrap/>
            <w:vAlign w:val="center"/>
            <w:hideMark/>
          </w:tcPr>
          <w:p w14:paraId="30ED1341"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96" w:type="pct"/>
            <w:tcBorders>
              <w:top w:val="nil"/>
              <w:left w:val="nil"/>
              <w:bottom w:val="nil"/>
              <w:right w:val="single" w:sz="4" w:space="0" w:color="auto"/>
            </w:tcBorders>
            <w:shd w:val="clear" w:color="auto" w:fill="auto"/>
            <w:noWrap/>
            <w:vAlign w:val="center"/>
            <w:hideMark/>
          </w:tcPr>
          <w:p w14:paraId="120870F8"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08" w:type="pct"/>
            <w:tcBorders>
              <w:top w:val="nil"/>
              <w:left w:val="nil"/>
              <w:bottom w:val="nil"/>
              <w:right w:val="single" w:sz="4" w:space="0" w:color="auto"/>
            </w:tcBorders>
            <w:shd w:val="clear" w:color="auto" w:fill="auto"/>
            <w:noWrap/>
            <w:vAlign w:val="center"/>
            <w:hideMark/>
          </w:tcPr>
          <w:p w14:paraId="68E29117"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6" w:type="pct"/>
            <w:tcBorders>
              <w:top w:val="nil"/>
              <w:left w:val="nil"/>
              <w:bottom w:val="nil"/>
              <w:right w:val="single" w:sz="4" w:space="0" w:color="auto"/>
            </w:tcBorders>
            <w:shd w:val="clear" w:color="auto" w:fill="auto"/>
            <w:noWrap/>
            <w:vAlign w:val="center"/>
            <w:hideMark/>
          </w:tcPr>
          <w:p w14:paraId="56E505A2"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381</w:t>
            </w:r>
          </w:p>
        </w:tc>
        <w:tc>
          <w:tcPr>
            <w:tcW w:w="255" w:type="pct"/>
            <w:tcBorders>
              <w:top w:val="nil"/>
              <w:left w:val="nil"/>
              <w:bottom w:val="nil"/>
              <w:right w:val="single" w:sz="4" w:space="0" w:color="auto"/>
            </w:tcBorders>
            <w:shd w:val="clear" w:color="auto" w:fill="auto"/>
            <w:noWrap/>
            <w:vAlign w:val="center"/>
            <w:hideMark/>
          </w:tcPr>
          <w:p w14:paraId="2B15EF5F"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24" w:type="pct"/>
            <w:tcBorders>
              <w:top w:val="nil"/>
              <w:left w:val="nil"/>
              <w:bottom w:val="nil"/>
              <w:right w:val="single" w:sz="4" w:space="0" w:color="auto"/>
            </w:tcBorders>
            <w:shd w:val="clear" w:color="auto" w:fill="auto"/>
            <w:noWrap/>
            <w:vAlign w:val="center"/>
            <w:hideMark/>
          </w:tcPr>
          <w:p w14:paraId="038CC8FC"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2" w:type="pct"/>
            <w:tcBorders>
              <w:top w:val="nil"/>
              <w:left w:val="nil"/>
              <w:bottom w:val="nil"/>
              <w:right w:val="single" w:sz="4" w:space="0" w:color="auto"/>
            </w:tcBorders>
            <w:shd w:val="clear" w:color="auto" w:fill="auto"/>
            <w:noWrap/>
            <w:vAlign w:val="center"/>
            <w:hideMark/>
          </w:tcPr>
          <w:p w14:paraId="4B072B3C"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59" w:type="pct"/>
            <w:tcBorders>
              <w:top w:val="nil"/>
              <w:left w:val="nil"/>
              <w:bottom w:val="nil"/>
              <w:right w:val="single" w:sz="4" w:space="0" w:color="auto"/>
            </w:tcBorders>
            <w:shd w:val="clear" w:color="auto" w:fill="auto"/>
            <w:noWrap/>
            <w:vAlign w:val="center"/>
            <w:hideMark/>
          </w:tcPr>
          <w:p w14:paraId="6D1285C5"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229</w:t>
            </w:r>
          </w:p>
        </w:tc>
        <w:tc>
          <w:tcPr>
            <w:tcW w:w="311" w:type="pct"/>
            <w:tcBorders>
              <w:top w:val="nil"/>
              <w:left w:val="nil"/>
              <w:bottom w:val="nil"/>
              <w:right w:val="single" w:sz="4" w:space="0" w:color="auto"/>
            </w:tcBorders>
            <w:shd w:val="clear" w:color="auto" w:fill="auto"/>
            <w:noWrap/>
            <w:vAlign w:val="center"/>
            <w:hideMark/>
          </w:tcPr>
          <w:p w14:paraId="7AA2C2C2"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69" w:type="pct"/>
            <w:tcBorders>
              <w:top w:val="nil"/>
              <w:left w:val="nil"/>
              <w:bottom w:val="nil"/>
              <w:right w:val="single" w:sz="4" w:space="0" w:color="auto"/>
            </w:tcBorders>
            <w:shd w:val="clear" w:color="auto" w:fill="auto"/>
            <w:noWrap/>
            <w:vAlign w:val="center"/>
            <w:hideMark/>
          </w:tcPr>
          <w:p w14:paraId="511697C4" w14:textId="525DA448"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4</w:t>
            </w:r>
            <w:r w:rsidR="0011120B" w:rsidRPr="000C156A">
              <w:rPr>
                <w:rFonts w:cs="Calibri"/>
                <w:b/>
                <w:bCs/>
                <w:sz w:val="16"/>
                <w:szCs w:val="16"/>
                <w:lang w:eastAsia="en-GB"/>
              </w:rPr>
              <w:t xml:space="preserve"> </w:t>
            </w:r>
            <w:r w:rsidRPr="000C156A">
              <w:rPr>
                <w:rFonts w:cs="Calibri"/>
                <w:b/>
                <w:bCs/>
                <w:sz w:val="16"/>
                <w:szCs w:val="16"/>
                <w:lang w:eastAsia="en-GB"/>
              </w:rPr>
              <w:t>175</w:t>
            </w:r>
          </w:p>
        </w:tc>
      </w:tr>
      <w:tr w:rsidR="009630A9" w:rsidRPr="000C156A" w14:paraId="7FE78C9A" w14:textId="77777777" w:rsidTr="0011120B">
        <w:trPr>
          <w:trHeight w:val="255"/>
        </w:trPr>
        <w:tc>
          <w:tcPr>
            <w:tcW w:w="580" w:type="pct"/>
            <w:tcBorders>
              <w:top w:val="nil"/>
              <w:left w:val="single" w:sz="4" w:space="0" w:color="auto"/>
              <w:bottom w:val="nil"/>
              <w:right w:val="nil"/>
            </w:tcBorders>
            <w:shd w:val="clear" w:color="auto" w:fill="auto"/>
            <w:vAlign w:val="center"/>
            <w:hideMark/>
          </w:tcPr>
          <w:p w14:paraId="42EF8F2E" w14:textId="77777777" w:rsidR="009630A9" w:rsidRPr="000C156A" w:rsidRDefault="009630A9" w:rsidP="005D02F0">
            <w:pPr>
              <w:spacing w:before="0"/>
              <w:rPr>
                <w:noProof/>
                <w:sz w:val="16"/>
                <w:szCs w:val="16"/>
                <w:lang w:val="en-US" w:eastAsia="zh-CN"/>
              </w:rPr>
            </w:pPr>
            <w:r w:rsidRPr="000C156A">
              <w:rPr>
                <w:rFonts w:hint="eastAsia"/>
                <w:noProof/>
                <w:sz w:val="16"/>
                <w:szCs w:val="16"/>
                <w:lang w:val="en-US"/>
              </w:rPr>
              <w:t>设备和办公用品</w:t>
            </w:r>
          </w:p>
        </w:tc>
        <w:tc>
          <w:tcPr>
            <w:tcW w:w="267" w:type="pct"/>
            <w:tcBorders>
              <w:top w:val="nil"/>
              <w:left w:val="single" w:sz="4" w:space="0" w:color="auto"/>
              <w:bottom w:val="nil"/>
              <w:right w:val="single" w:sz="4" w:space="0" w:color="auto"/>
            </w:tcBorders>
            <w:shd w:val="clear" w:color="auto" w:fill="auto"/>
            <w:noWrap/>
            <w:vAlign w:val="center"/>
            <w:hideMark/>
          </w:tcPr>
          <w:p w14:paraId="7B54B30C" w14:textId="2274B6B1"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w:t>
            </w:r>
            <w:r w:rsidR="0011120B" w:rsidRPr="000C156A">
              <w:rPr>
                <w:rFonts w:cs="Calibri"/>
                <w:color w:val="000000"/>
                <w:sz w:val="16"/>
                <w:szCs w:val="16"/>
                <w:lang w:eastAsia="en-GB"/>
              </w:rPr>
              <w:t xml:space="preserve"> </w:t>
            </w:r>
            <w:r w:rsidRPr="000C156A">
              <w:rPr>
                <w:rFonts w:cs="Calibri"/>
                <w:color w:val="000000"/>
                <w:sz w:val="16"/>
                <w:szCs w:val="16"/>
                <w:lang w:eastAsia="en-GB"/>
              </w:rPr>
              <w:t>513</w:t>
            </w:r>
          </w:p>
        </w:tc>
        <w:tc>
          <w:tcPr>
            <w:tcW w:w="284" w:type="pct"/>
            <w:tcBorders>
              <w:top w:val="nil"/>
              <w:left w:val="nil"/>
              <w:bottom w:val="nil"/>
              <w:right w:val="single" w:sz="4" w:space="0" w:color="auto"/>
            </w:tcBorders>
            <w:shd w:val="clear" w:color="auto" w:fill="auto"/>
            <w:noWrap/>
            <w:vAlign w:val="center"/>
            <w:hideMark/>
          </w:tcPr>
          <w:p w14:paraId="7B65BD4E"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497</w:t>
            </w:r>
          </w:p>
        </w:tc>
        <w:tc>
          <w:tcPr>
            <w:tcW w:w="297" w:type="pct"/>
            <w:tcBorders>
              <w:top w:val="nil"/>
              <w:left w:val="nil"/>
              <w:bottom w:val="nil"/>
              <w:right w:val="single" w:sz="4" w:space="0" w:color="auto"/>
            </w:tcBorders>
            <w:shd w:val="clear" w:color="auto" w:fill="auto"/>
            <w:noWrap/>
            <w:vAlign w:val="center"/>
            <w:hideMark/>
          </w:tcPr>
          <w:p w14:paraId="091C538C"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164</w:t>
            </w:r>
          </w:p>
        </w:tc>
        <w:tc>
          <w:tcPr>
            <w:tcW w:w="267" w:type="pct"/>
            <w:tcBorders>
              <w:top w:val="nil"/>
              <w:left w:val="nil"/>
              <w:bottom w:val="nil"/>
              <w:right w:val="single" w:sz="4" w:space="0" w:color="auto"/>
            </w:tcBorders>
            <w:shd w:val="clear" w:color="auto" w:fill="auto"/>
            <w:noWrap/>
            <w:vAlign w:val="center"/>
            <w:hideMark/>
          </w:tcPr>
          <w:p w14:paraId="1EBDDF3A"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315</w:t>
            </w:r>
          </w:p>
        </w:tc>
        <w:tc>
          <w:tcPr>
            <w:tcW w:w="357" w:type="pct"/>
            <w:tcBorders>
              <w:top w:val="nil"/>
              <w:left w:val="nil"/>
              <w:bottom w:val="nil"/>
              <w:right w:val="nil"/>
            </w:tcBorders>
            <w:shd w:val="clear" w:color="auto" w:fill="auto"/>
            <w:noWrap/>
            <w:vAlign w:val="center"/>
            <w:hideMark/>
          </w:tcPr>
          <w:p w14:paraId="752984D7"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35</w:t>
            </w:r>
          </w:p>
        </w:tc>
        <w:tc>
          <w:tcPr>
            <w:tcW w:w="362" w:type="pct"/>
            <w:tcBorders>
              <w:top w:val="nil"/>
              <w:left w:val="single" w:sz="4" w:space="0" w:color="auto"/>
              <w:bottom w:val="nil"/>
              <w:right w:val="single" w:sz="4" w:space="0" w:color="auto"/>
            </w:tcBorders>
            <w:shd w:val="clear" w:color="auto" w:fill="auto"/>
            <w:noWrap/>
            <w:vAlign w:val="center"/>
            <w:hideMark/>
          </w:tcPr>
          <w:p w14:paraId="54DA24F7" w14:textId="52398168"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2</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523</w:t>
            </w:r>
          </w:p>
        </w:tc>
        <w:tc>
          <w:tcPr>
            <w:tcW w:w="296" w:type="pct"/>
            <w:tcBorders>
              <w:top w:val="nil"/>
              <w:left w:val="nil"/>
              <w:bottom w:val="nil"/>
              <w:right w:val="single" w:sz="4" w:space="0" w:color="auto"/>
            </w:tcBorders>
            <w:shd w:val="clear" w:color="auto" w:fill="auto"/>
            <w:noWrap/>
            <w:vAlign w:val="center"/>
            <w:hideMark/>
          </w:tcPr>
          <w:p w14:paraId="4FC8F11F"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3</w:t>
            </w:r>
          </w:p>
        </w:tc>
        <w:tc>
          <w:tcPr>
            <w:tcW w:w="296" w:type="pct"/>
            <w:tcBorders>
              <w:top w:val="nil"/>
              <w:left w:val="nil"/>
              <w:bottom w:val="nil"/>
              <w:right w:val="single" w:sz="4" w:space="0" w:color="auto"/>
            </w:tcBorders>
            <w:shd w:val="clear" w:color="auto" w:fill="auto"/>
            <w:noWrap/>
            <w:vAlign w:val="center"/>
            <w:hideMark/>
          </w:tcPr>
          <w:p w14:paraId="6AD7007C"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08" w:type="pct"/>
            <w:tcBorders>
              <w:top w:val="nil"/>
              <w:left w:val="nil"/>
              <w:bottom w:val="nil"/>
              <w:right w:val="single" w:sz="4" w:space="0" w:color="auto"/>
            </w:tcBorders>
            <w:shd w:val="clear" w:color="auto" w:fill="auto"/>
            <w:noWrap/>
            <w:vAlign w:val="center"/>
            <w:hideMark/>
          </w:tcPr>
          <w:p w14:paraId="553A8729"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6" w:type="pct"/>
            <w:tcBorders>
              <w:top w:val="nil"/>
              <w:left w:val="nil"/>
              <w:bottom w:val="nil"/>
              <w:right w:val="single" w:sz="4" w:space="0" w:color="auto"/>
            </w:tcBorders>
            <w:shd w:val="clear" w:color="auto" w:fill="auto"/>
            <w:noWrap/>
            <w:vAlign w:val="center"/>
            <w:hideMark/>
          </w:tcPr>
          <w:p w14:paraId="4160224F"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305</w:t>
            </w:r>
          </w:p>
        </w:tc>
        <w:tc>
          <w:tcPr>
            <w:tcW w:w="255" w:type="pct"/>
            <w:tcBorders>
              <w:top w:val="nil"/>
              <w:left w:val="nil"/>
              <w:bottom w:val="nil"/>
              <w:right w:val="single" w:sz="4" w:space="0" w:color="auto"/>
            </w:tcBorders>
            <w:shd w:val="clear" w:color="auto" w:fill="auto"/>
            <w:noWrap/>
            <w:vAlign w:val="center"/>
            <w:hideMark/>
          </w:tcPr>
          <w:p w14:paraId="2011188D"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823</w:t>
            </w:r>
          </w:p>
        </w:tc>
        <w:tc>
          <w:tcPr>
            <w:tcW w:w="224" w:type="pct"/>
            <w:tcBorders>
              <w:top w:val="nil"/>
              <w:left w:val="nil"/>
              <w:bottom w:val="nil"/>
              <w:right w:val="single" w:sz="4" w:space="0" w:color="auto"/>
            </w:tcBorders>
            <w:shd w:val="clear" w:color="auto" w:fill="auto"/>
            <w:noWrap/>
            <w:vAlign w:val="center"/>
            <w:hideMark/>
          </w:tcPr>
          <w:p w14:paraId="4AE7A99F"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2" w:type="pct"/>
            <w:tcBorders>
              <w:top w:val="nil"/>
              <w:left w:val="nil"/>
              <w:bottom w:val="nil"/>
              <w:right w:val="single" w:sz="4" w:space="0" w:color="auto"/>
            </w:tcBorders>
            <w:shd w:val="clear" w:color="auto" w:fill="auto"/>
            <w:noWrap/>
            <w:vAlign w:val="center"/>
            <w:hideMark/>
          </w:tcPr>
          <w:p w14:paraId="34630EC8"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59" w:type="pct"/>
            <w:tcBorders>
              <w:top w:val="nil"/>
              <w:left w:val="nil"/>
              <w:bottom w:val="nil"/>
              <w:right w:val="single" w:sz="4" w:space="0" w:color="auto"/>
            </w:tcBorders>
            <w:shd w:val="clear" w:color="auto" w:fill="auto"/>
            <w:noWrap/>
            <w:vAlign w:val="center"/>
            <w:hideMark/>
          </w:tcPr>
          <w:p w14:paraId="573AD636"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161</w:t>
            </w:r>
          </w:p>
        </w:tc>
        <w:tc>
          <w:tcPr>
            <w:tcW w:w="311" w:type="pct"/>
            <w:tcBorders>
              <w:top w:val="nil"/>
              <w:left w:val="nil"/>
              <w:bottom w:val="nil"/>
              <w:right w:val="single" w:sz="4" w:space="0" w:color="auto"/>
            </w:tcBorders>
            <w:shd w:val="clear" w:color="auto" w:fill="auto"/>
            <w:noWrap/>
            <w:vAlign w:val="center"/>
            <w:hideMark/>
          </w:tcPr>
          <w:p w14:paraId="0738C15E"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69" w:type="pct"/>
            <w:tcBorders>
              <w:top w:val="nil"/>
              <w:left w:val="nil"/>
              <w:bottom w:val="nil"/>
              <w:right w:val="single" w:sz="4" w:space="0" w:color="auto"/>
            </w:tcBorders>
            <w:shd w:val="clear" w:color="auto" w:fill="auto"/>
            <w:noWrap/>
            <w:vAlign w:val="center"/>
            <w:hideMark/>
          </w:tcPr>
          <w:p w14:paraId="275EEE45" w14:textId="6E874ABE"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3</w:t>
            </w:r>
            <w:r w:rsidR="0011120B" w:rsidRPr="000C156A">
              <w:rPr>
                <w:rFonts w:cs="Calibri"/>
                <w:b/>
                <w:bCs/>
                <w:sz w:val="16"/>
                <w:szCs w:val="16"/>
                <w:lang w:eastAsia="en-GB"/>
              </w:rPr>
              <w:t xml:space="preserve"> </w:t>
            </w:r>
            <w:r w:rsidRPr="000C156A">
              <w:rPr>
                <w:rFonts w:cs="Calibri"/>
                <w:b/>
                <w:bCs/>
                <w:sz w:val="16"/>
                <w:szCs w:val="16"/>
                <w:lang w:eastAsia="en-GB"/>
              </w:rPr>
              <w:t>816</w:t>
            </w:r>
          </w:p>
        </w:tc>
      </w:tr>
      <w:tr w:rsidR="009630A9" w:rsidRPr="000C156A" w14:paraId="4459C766" w14:textId="77777777" w:rsidTr="0011120B">
        <w:trPr>
          <w:trHeight w:val="255"/>
        </w:trPr>
        <w:tc>
          <w:tcPr>
            <w:tcW w:w="580" w:type="pct"/>
            <w:tcBorders>
              <w:top w:val="nil"/>
              <w:left w:val="single" w:sz="4" w:space="0" w:color="auto"/>
              <w:bottom w:val="nil"/>
              <w:right w:val="nil"/>
            </w:tcBorders>
            <w:shd w:val="clear" w:color="auto" w:fill="auto"/>
            <w:vAlign w:val="center"/>
            <w:hideMark/>
          </w:tcPr>
          <w:p w14:paraId="7109F158" w14:textId="77777777" w:rsidR="009630A9" w:rsidRPr="000C156A" w:rsidRDefault="009630A9" w:rsidP="005D02F0">
            <w:pPr>
              <w:spacing w:before="0"/>
              <w:rPr>
                <w:noProof/>
                <w:sz w:val="16"/>
                <w:szCs w:val="16"/>
                <w:lang w:val="en-US"/>
              </w:rPr>
            </w:pPr>
            <w:r w:rsidRPr="000C156A">
              <w:rPr>
                <w:rFonts w:hint="eastAsia"/>
                <w:noProof/>
                <w:sz w:val="16"/>
                <w:szCs w:val="16"/>
                <w:lang w:val="en-US"/>
              </w:rPr>
              <w:t>折旧</w:t>
            </w:r>
          </w:p>
        </w:tc>
        <w:tc>
          <w:tcPr>
            <w:tcW w:w="267" w:type="pct"/>
            <w:tcBorders>
              <w:top w:val="nil"/>
              <w:left w:val="single" w:sz="4" w:space="0" w:color="auto"/>
              <w:bottom w:val="nil"/>
              <w:right w:val="single" w:sz="4" w:space="0" w:color="auto"/>
            </w:tcBorders>
            <w:shd w:val="clear" w:color="auto" w:fill="auto"/>
            <w:noWrap/>
            <w:vAlign w:val="center"/>
            <w:hideMark/>
          </w:tcPr>
          <w:p w14:paraId="257CB17C"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84" w:type="pct"/>
            <w:tcBorders>
              <w:top w:val="nil"/>
              <w:left w:val="nil"/>
              <w:bottom w:val="nil"/>
              <w:right w:val="single" w:sz="4" w:space="0" w:color="auto"/>
            </w:tcBorders>
            <w:shd w:val="clear" w:color="auto" w:fill="auto"/>
            <w:noWrap/>
            <w:vAlign w:val="center"/>
            <w:hideMark/>
          </w:tcPr>
          <w:p w14:paraId="3BB1A6E8"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97" w:type="pct"/>
            <w:tcBorders>
              <w:top w:val="nil"/>
              <w:left w:val="nil"/>
              <w:bottom w:val="nil"/>
              <w:right w:val="single" w:sz="4" w:space="0" w:color="auto"/>
            </w:tcBorders>
            <w:shd w:val="clear" w:color="auto" w:fill="auto"/>
            <w:noWrap/>
            <w:vAlign w:val="center"/>
            <w:hideMark/>
          </w:tcPr>
          <w:p w14:paraId="295CE95A"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67" w:type="pct"/>
            <w:tcBorders>
              <w:top w:val="nil"/>
              <w:left w:val="nil"/>
              <w:bottom w:val="nil"/>
              <w:right w:val="single" w:sz="4" w:space="0" w:color="auto"/>
            </w:tcBorders>
            <w:shd w:val="clear" w:color="auto" w:fill="auto"/>
            <w:noWrap/>
            <w:vAlign w:val="center"/>
            <w:hideMark/>
          </w:tcPr>
          <w:p w14:paraId="6C70D7B7"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357" w:type="pct"/>
            <w:tcBorders>
              <w:top w:val="nil"/>
              <w:left w:val="nil"/>
              <w:bottom w:val="nil"/>
              <w:right w:val="nil"/>
            </w:tcBorders>
            <w:shd w:val="clear" w:color="auto" w:fill="auto"/>
            <w:noWrap/>
            <w:vAlign w:val="center"/>
            <w:hideMark/>
          </w:tcPr>
          <w:p w14:paraId="40108642" w14:textId="7F5F7B1B"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4</w:t>
            </w:r>
            <w:r w:rsidR="0011120B" w:rsidRPr="000C156A">
              <w:rPr>
                <w:rFonts w:cs="Calibri"/>
                <w:color w:val="000000"/>
                <w:sz w:val="16"/>
                <w:szCs w:val="16"/>
                <w:lang w:eastAsia="en-GB"/>
              </w:rPr>
              <w:t xml:space="preserve"> </w:t>
            </w:r>
            <w:r w:rsidRPr="000C156A">
              <w:rPr>
                <w:rFonts w:cs="Calibri"/>
                <w:color w:val="000000"/>
                <w:sz w:val="16"/>
                <w:szCs w:val="16"/>
                <w:lang w:eastAsia="en-GB"/>
              </w:rPr>
              <w:t>452</w:t>
            </w:r>
          </w:p>
        </w:tc>
        <w:tc>
          <w:tcPr>
            <w:tcW w:w="362" w:type="pct"/>
            <w:tcBorders>
              <w:top w:val="nil"/>
              <w:left w:val="single" w:sz="4" w:space="0" w:color="auto"/>
              <w:bottom w:val="nil"/>
              <w:right w:val="single" w:sz="4" w:space="0" w:color="auto"/>
            </w:tcBorders>
            <w:shd w:val="clear" w:color="auto" w:fill="auto"/>
            <w:noWrap/>
            <w:vAlign w:val="center"/>
            <w:hideMark/>
          </w:tcPr>
          <w:p w14:paraId="54FB78B4" w14:textId="3CD5D386"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4</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452</w:t>
            </w:r>
          </w:p>
        </w:tc>
        <w:tc>
          <w:tcPr>
            <w:tcW w:w="296" w:type="pct"/>
            <w:tcBorders>
              <w:top w:val="nil"/>
              <w:left w:val="nil"/>
              <w:bottom w:val="nil"/>
              <w:right w:val="single" w:sz="4" w:space="0" w:color="auto"/>
            </w:tcBorders>
            <w:shd w:val="clear" w:color="auto" w:fill="auto"/>
            <w:noWrap/>
            <w:vAlign w:val="center"/>
            <w:hideMark/>
          </w:tcPr>
          <w:p w14:paraId="4E526C5A"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96" w:type="pct"/>
            <w:tcBorders>
              <w:top w:val="nil"/>
              <w:left w:val="nil"/>
              <w:bottom w:val="nil"/>
              <w:right w:val="single" w:sz="4" w:space="0" w:color="auto"/>
            </w:tcBorders>
            <w:shd w:val="clear" w:color="auto" w:fill="auto"/>
            <w:noWrap/>
            <w:vAlign w:val="center"/>
            <w:hideMark/>
          </w:tcPr>
          <w:p w14:paraId="4B13A62A"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08" w:type="pct"/>
            <w:tcBorders>
              <w:top w:val="nil"/>
              <w:left w:val="nil"/>
              <w:bottom w:val="nil"/>
              <w:right w:val="single" w:sz="4" w:space="0" w:color="auto"/>
            </w:tcBorders>
            <w:shd w:val="clear" w:color="auto" w:fill="auto"/>
            <w:noWrap/>
            <w:vAlign w:val="center"/>
            <w:hideMark/>
          </w:tcPr>
          <w:p w14:paraId="4BDA818F"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6" w:type="pct"/>
            <w:tcBorders>
              <w:top w:val="nil"/>
              <w:left w:val="nil"/>
              <w:bottom w:val="nil"/>
              <w:right w:val="single" w:sz="4" w:space="0" w:color="auto"/>
            </w:tcBorders>
            <w:shd w:val="clear" w:color="auto" w:fill="auto"/>
            <w:noWrap/>
            <w:vAlign w:val="center"/>
            <w:hideMark/>
          </w:tcPr>
          <w:p w14:paraId="18A91ECC"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105</w:t>
            </w:r>
          </w:p>
        </w:tc>
        <w:tc>
          <w:tcPr>
            <w:tcW w:w="255" w:type="pct"/>
            <w:tcBorders>
              <w:top w:val="nil"/>
              <w:left w:val="nil"/>
              <w:bottom w:val="nil"/>
              <w:right w:val="single" w:sz="4" w:space="0" w:color="auto"/>
            </w:tcBorders>
            <w:shd w:val="clear" w:color="auto" w:fill="auto"/>
            <w:noWrap/>
            <w:vAlign w:val="center"/>
            <w:hideMark/>
          </w:tcPr>
          <w:p w14:paraId="2B0F3567"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13</w:t>
            </w:r>
          </w:p>
        </w:tc>
        <w:tc>
          <w:tcPr>
            <w:tcW w:w="224" w:type="pct"/>
            <w:tcBorders>
              <w:top w:val="nil"/>
              <w:left w:val="nil"/>
              <w:bottom w:val="nil"/>
              <w:right w:val="single" w:sz="4" w:space="0" w:color="auto"/>
            </w:tcBorders>
            <w:shd w:val="clear" w:color="auto" w:fill="auto"/>
            <w:noWrap/>
            <w:vAlign w:val="center"/>
            <w:hideMark/>
          </w:tcPr>
          <w:p w14:paraId="01807A3A"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2" w:type="pct"/>
            <w:tcBorders>
              <w:top w:val="nil"/>
              <w:left w:val="nil"/>
              <w:bottom w:val="nil"/>
              <w:right w:val="single" w:sz="4" w:space="0" w:color="auto"/>
            </w:tcBorders>
            <w:shd w:val="clear" w:color="auto" w:fill="auto"/>
            <w:noWrap/>
            <w:vAlign w:val="center"/>
            <w:hideMark/>
          </w:tcPr>
          <w:p w14:paraId="38DDB353"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59" w:type="pct"/>
            <w:tcBorders>
              <w:top w:val="nil"/>
              <w:left w:val="nil"/>
              <w:bottom w:val="nil"/>
              <w:right w:val="single" w:sz="4" w:space="0" w:color="auto"/>
            </w:tcBorders>
            <w:shd w:val="clear" w:color="auto" w:fill="auto"/>
            <w:noWrap/>
            <w:vAlign w:val="center"/>
            <w:hideMark/>
          </w:tcPr>
          <w:p w14:paraId="2C355018"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311" w:type="pct"/>
            <w:tcBorders>
              <w:top w:val="nil"/>
              <w:left w:val="nil"/>
              <w:bottom w:val="nil"/>
              <w:right w:val="single" w:sz="4" w:space="0" w:color="auto"/>
            </w:tcBorders>
            <w:shd w:val="clear" w:color="auto" w:fill="auto"/>
            <w:noWrap/>
            <w:vAlign w:val="center"/>
            <w:hideMark/>
          </w:tcPr>
          <w:p w14:paraId="144E7EF7"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69" w:type="pct"/>
            <w:tcBorders>
              <w:top w:val="nil"/>
              <w:left w:val="nil"/>
              <w:bottom w:val="nil"/>
              <w:right w:val="single" w:sz="4" w:space="0" w:color="auto"/>
            </w:tcBorders>
            <w:shd w:val="clear" w:color="auto" w:fill="auto"/>
            <w:noWrap/>
            <w:vAlign w:val="center"/>
            <w:hideMark/>
          </w:tcPr>
          <w:p w14:paraId="22697FD5" w14:textId="673FFF0C"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4</w:t>
            </w:r>
            <w:r w:rsidR="0011120B" w:rsidRPr="000C156A">
              <w:rPr>
                <w:rFonts w:cs="Calibri"/>
                <w:b/>
                <w:bCs/>
                <w:sz w:val="16"/>
                <w:szCs w:val="16"/>
                <w:lang w:eastAsia="en-GB"/>
              </w:rPr>
              <w:t xml:space="preserve"> </w:t>
            </w:r>
            <w:r w:rsidRPr="000C156A">
              <w:rPr>
                <w:rFonts w:cs="Calibri"/>
                <w:b/>
                <w:bCs/>
                <w:sz w:val="16"/>
                <w:szCs w:val="16"/>
                <w:lang w:eastAsia="en-GB"/>
              </w:rPr>
              <w:t>570</w:t>
            </w:r>
          </w:p>
        </w:tc>
      </w:tr>
      <w:tr w:rsidR="009630A9" w:rsidRPr="000C156A" w14:paraId="697237AC" w14:textId="77777777" w:rsidTr="0011120B">
        <w:trPr>
          <w:trHeight w:val="324"/>
        </w:trPr>
        <w:tc>
          <w:tcPr>
            <w:tcW w:w="580" w:type="pct"/>
            <w:tcBorders>
              <w:top w:val="nil"/>
              <w:left w:val="single" w:sz="4" w:space="0" w:color="auto"/>
              <w:bottom w:val="nil"/>
              <w:right w:val="nil"/>
            </w:tcBorders>
            <w:shd w:val="clear" w:color="auto" w:fill="auto"/>
            <w:vAlign w:val="center"/>
            <w:hideMark/>
          </w:tcPr>
          <w:p w14:paraId="434376A9" w14:textId="77777777" w:rsidR="009630A9" w:rsidRPr="000C156A" w:rsidRDefault="009630A9" w:rsidP="005D02F0">
            <w:pPr>
              <w:spacing w:before="0"/>
              <w:rPr>
                <w:noProof/>
                <w:sz w:val="16"/>
                <w:szCs w:val="16"/>
                <w:lang w:val="en-US" w:eastAsia="zh-CN"/>
              </w:rPr>
            </w:pPr>
            <w:r w:rsidRPr="000C156A">
              <w:rPr>
                <w:rFonts w:hint="eastAsia"/>
                <w:noProof/>
                <w:sz w:val="16"/>
                <w:szCs w:val="16"/>
                <w:lang w:val="en-US" w:eastAsia="zh-CN"/>
              </w:rPr>
              <w:t>运输、电信和服务费用</w:t>
            </w:r>
          </w:p>
        </w:tc>
        <w:tc>
          <w:tcPr>
            <w:tcW w:w="267" w:type="pct"/>
            <w:tcBorders>
              <w:top w:val="nil"/>
              <w:left w:val="single" w:sz="4" w:space="0" w:color="auto"/>
              <w:bottom w:val="nil"/>
              <w:right w:val="single" w:sz="4" w:space="0" w:color="auto"/>
            </w:tcBorders>
            <w:shd w:val="clear" w:color="auto" w:fill="auto"/>
            <w:noWrap/>
            <w:vAlign w:val="center"/>
            <w:hideMark/>
          </w:tcPr>
          <w:p w14:paraId="0E2C0CBC" w14:textId="2FBAA21C"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w:t>
            </w:r>
            <w:r w:rsidR="0011120B" w:rsidRPr="000C156A">
              <w:rPr>
                <w:rFonts w:cs="Calibri"/>
                <w:color w:val="000000"/>
                <w:sz w:val="16"/>
                <w:szCs w:val="16"/>
                <w:lang w:eastAsia="en-GB"/>
              </w:rPr>
              <w:t xml:space="preserve"> </w:t>
            </w:r>
            <w:r w:rsidRPr="000C156A">
              <w:rPr>
                <w:rFonts w:cs="Calibri"/>
                <w:color w:val="000000"/>
                <w:sz w:val="16"/>
                <w:szCs w:val="16"/>
                <w:lang w:eastAsia="en-GB"/>
              </w:rPr>
              <w:t>218</w:t>
            </w:r>
          </w:p>
        </w:tc>
        <w:tc>
          <w:tcPr>
            <w:tcW w:w="284" w:type="pct"/>
            <w:tcBorders>
              <w:top w:val="nil"/>
              <w:left w:val="nil"/>
              <w:bottom w:val="nil"/>
              <w:right w:val="single" w:sz="4" w:space="0" w:color="auto"/>
            </w:tcBorders>
            <w:shd w:val="clear" w:color="auto" w:fill="auto"/>
            <w:noWrap/>
            <w:vAlign w:val="center"/>
            <w:hideMark/>
          </w:tcPr>
          <w:p w14:paraId="4AF14BE2"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162</w:t>
            </w:r>
          </w:p>
        </w:tc>
        <w:tc>
          <w:tcPr>
            <w:tcW w:w="297" w:type="pct"/>
            <w:tcBorders>
              <w:top w:val="nil"/>
              <w:left w:val="nil"/>
              <w:bottom w:val="nil"/>
              <w:right w:val="single" w:sz="4" w:space="0" w:color="auto"/>
            </w:tcBorders>
            <w:shd w:val="clear" w:color="auto" w:fill="auto"/>
            <w:noWrap/>
            <w:vAlign w:val="center"/>
            <w:hideMark/>
          </w:tcPr>
          <w:p w14:paraId="25F8F0CC"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41</w:t>
            </w:r>
          </w:p>
        </w:tc>
        <w:tc>
          <w:tcPr>
            <w:tcW w:w="267" w:type="pct"/>
            <w:tcBorders>
              <w:top w:val="nil"/>
              <w:left w:val="nil"/>
              <w:bottom w:val="nil"/>
              <w:right w:val="single" w:sz="4" w:space="0" w:color="auto"/>
            </w:tcBorders>
            <w:shd w:val="clear" w:color="auto" w:fill="auto"/>
            <w:noWrap/>
            <w:vAlign w:val="center"/>
            <w:hideMark/>
          </w:tcPr>
          <w:p w14:paraId="5A3A97D3"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127</w:t>
            </w:r>
          </w:p>
        </w:tc>
        <w:tc>
          <w:tcPr>
            <w:tcW w:w="357" w:type="pct"/>
            <w:tcBorders>
              <w:top w:val="nil"/>
              <w:left w:val="nil"/>
              <w:bottom w:val="nil"/>
              <w:right w:val="nil"/>
            </w:tcBorders>
            <w:shd w:val="clear" w:color="auto" w:fill="auto"/>
            <w:noWrap/>
            <w:vAlign w:val="center"/>
            <w:hideMark/>
          </w:tcPr>
          <w:p w14:paraId="14DF7211"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21</w:t>
            </w:r>
          </w:p>
        </w:tc>
        <w:tc>
          <w:tcPr>
            <w:tcW w:w="362" w:type="pct"/>
            <w:tcBorders>
              <w:top w:val="nil"/>
              <w:left w:val="single" w:sz="4" w:space="0" w:color="auto"/>
              <w:bottom w:val="nil"/>
              <w:right w:val="single" w:sz="4" w:space="0" w:color="auto"/>
            </w:tcBorders>
            <w:shd w:val="clear" w:color="auto" w:fill="auto"/>
            <w:noWrap/>
            <w:vAlign w:val="center"/>
            <w:hideMark/>
          </w:tcPr>
          <w:p w14:paraId="5B27A5AE" w14:textId="1A0448F0"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1</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570</w:t>
            </w:r>
          </w:p>
        </w:tc>
        <w:tc>
          <w:tcPr>
            <w:tcW w:w="296" w:type="pct"/>
            <w:tcBorders>
              <w:top w:val="nil"/>
              <w:left w:val="nil"/>
              <w:bottom w:val="nil"/>
              <w:right w:val="single" w:sz="4" w:space="0" w:color="auto"/>
            </w:tcBorders>
            <w:shd w:val="clear" w:color="auto" w:fill="auto"/>
            <w:noWrap/>
            <w:vAlign w:val="center"/>
            <w:hideMark/>
          </w:tcPr>
          <w:p w14:paraId="1B0BE432"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96" w:type="pct"/>
            <w:tcBorders>
              <w:top w:val="nil"/>
              <w:left w:val="nil"/>
              <w:bottom w:val="nil"/>
              <w:right w:val="single" w:sz="4" w:space="0" w:color="auto"/>
            </w:tcBorders>
            <w:shd w:val="clear" w:color="auto" w:fill="auto"/>
            <w:noWrap/>
            <w:vAlign w:val="center"/>
            <w:hideMark/>
          </w:tcPr>
          <w:p w14:paraId="323E1FCA"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08" w:type="pct"/>
            <w:tcBorders>
              <w:top w:val="nil"/>
              <w:left w:val="nil"/>
              <w:bottom w:val="nil"/>
              <w:right w:val="single" w:sz="4" w:space="0" w:color="auto"/>
            </w:tcBorders>
            <w:shd w:val="clear" w:color="auto" w:fill="auto"/>
            <w:noWrap/>
            <w:vAlign w:val="center"/>
            <w:hideMark/>
          </w:tcPr>
          <w:p w14:paraId="1456691E"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6" w:type="pct"/>
            <w:tcBorders>
              <w:top w:val="nil"/>
              <w:left w:val="nil"/>
              <w:bottom w:val="nil"/>
              <w:right w:val="single" w:sz="4" w:space="0" w:color="auto"/>
            </w:tcBorders>
            <w:shd w:val="clear" w:color="auto" w:fill="auto"/>
            <w:noWrap/>
            <w:vAlign w:val="center"/>
            <w:hideMark/>
          </w:tcPr>
          <w:p w14:paraId="520B6A7B"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sz w:val="16"/>
                <w:szCs w:val="16"/>
                <w:lang w:eastAsia="en-GB"/>
              </w:rPr>
              <w:t>-</w:t>
            </w:r>
          </w:p>
        </w:tc>
        <w:tc>
          <w:tcPr>
            <w:tcW w:w="255" w:type="pct"/>
            <w:tcBorders>
              <w:top w:val="nil"/>
              <w:left w:val="nil"/>
              <w:bottom w:val="nil"/>
              <w:right w:val="single" w:sz="4" w:space="0" w:color="auto"/>
            </w:tcBorders>
            <w:shd w:val="clear" w:color="auto" w:fill="auto"/>
            <w:noWrap/>
            <w:vAlign w:val="center"/>
            <w:hideMark/>
          </w:tcPr>
          <w:p w14:paraId="1B00CE92"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39</w:t>
            </w:r>
          </w:p>
        </w:tc>
        <w:tc>
          <w:tcPr>
            <w:tcW w:w="224" w:type="pct"/>
            <w:tcBorders>
              <w:top w:val="nil"/>
              <w:left w:val="nil"/>
              <w:bottom w:val="nil"/>
              <w:right w:val="single" w:sz="4" w:space="0" w:color="auto"/>
            </w:tcBorders>
            <w:shd w:val="clear" w:color="auto" w:fill="auto"/>
            <w:noWrap/>
            <w:vAlign w:val="center"/>
            <w:hideMark/>
          </w:tcPr>
          <w:p w14:paraId="0901815F"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2" w:type="pct"/>
            <w:tcBorders>
              <w:top w:val="nil"/>
              <w:left w:val="nil"/>
              <w:bottom w:val="nil"/>
              <w:right w:val="single" w:sz="4" w:space="0" w:color="auto"/>
            </w:tcBorders>
            <w:shd w:val="clear" w:color="auto" w:fill="auto"/>
            <w:noWrap/>
            <w:vAlign w:val="center"/>
            <w:hideMark/>
          </w:tcPr>
          <w:p w14:paraId="19CCD42F"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59" w:type="pct"/>
            <w:tcBorders>
              <w:top w:val="nil"/>
              <w:left w:val="nil"/>
              <w:bottom w:val="nil"/>
              <w:right w:val="single" w:sz="4" w:space="0" w:color="auto"/>
            </w:tcBorders>
            <w:shd w:val="clear" w:color="auto" w:fill="auto"/>
            <w:noWrap/>
            <w:vAlign w:val="center"/>
            <w:hideMark/>
          </w:tcPr>
          <w:p w14:paraId="61F4CB2A"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10</w:t>
            </w:r>
          </w:p>
        </w:tc>
        <w:tc>
          <w:tcPr>
            <w:tcW w:w="311" w:type="pct"/>
            <w:tcBorders>
              <w:top w:val="nil"/>
              <w:left w:val="nil"/>
              <w:bottom w:val="nil"/>
              <w:right w:val="single" w:sz="4" w:space="0" w:color="auto"/>
            </w:tcBorders>
            <w:shd w:val="clear" w:color="auto" w:fill="auto"/>
            <w:noWrap/>
            <w:vAlign w:val="center"/>
            <w:hideMark/>
          </w:tcPr>
          <w:p w14:paraId="0722FE07"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69" w:type="pct"/>
            <w:tcBorders>
              <w:top w:val="nil"/>
              <w:left w:val="nil"/>
              <w:bottom w:val="nil"/>
              <w:right w:val="single" w:sz="4" w:space="0" w:color="auto"/>
            </w:tcBorders>
            <w:shd w:val="clear" w:color="auto" w:fill="auto"/>
            <w:noWrap/>
            <w:vAlign w:val="center"/>
            <w:hideMark/>
          </w:tcPr>
          <w:p w14:paraId="6477F801" w14:textId="0291E113"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1</w:t>
            </w:r>
            <w:r w:rsidR="0011120B" w:rsidRPr="000C156A">
              <w:rPr>
                <w:rFonts w:cs="Calibri"/>
                <w:b/>
                <w:bCs/>
                <w:sz w:val="16"/>
                <w:szCs w:val="16"/>
                <w:lang w:eastAsia="en-GB"/>
              </w:rPr>
              <w:t xml:space="preserve"> </w:t>
            </w:r>
            <w:r w:rsidRPr="000C156A">
              <w:rPr>
                <w:rFonts w:cs="Calibri"/>
                <w:b/>
                <w:bCs/>
                <w:sz w:val="16"/>
                <w:szCs w:val="16"/>
                <w:lang w:eastAsia="en-GB"/>
              </w:rPr>
              <w:t>619</w:t>
            </w:r>
          </w:p>
        </w:tc>
      </w:tr>
      <w:tr w:rsidR="009630A9" w:rsidRPr="000C156A" w14:paraId="77D9518E" w14:textId="77777777" w:rsidTr="0011120B">
        <w:trPr>
          <w:trHeight w:val="547"/>
        </w:trPr>
        <w:tc>
          <w:tcPr>
            <w:tcW w:w="580" w:type="pct"/>
            <w:tcBorders>
              <w:top w:val="nil"/>
              <w:left w:val="single" w:sz="4" w:space="0" w:color="auto"/>
              <w:bottom w:val="nil"/>
              <w:right w:val="nil"/>
            </w:tcBorders>
            <w:shd w:val="clear" w:color="auto" w:fill="auto"/>
            <w:vAlign w:val="center"/>
            <w:hideMark/>
          </w:tcPr>
          <w:p w14:paraId="5DCE9E3E" w14:textId="77777777" w:rsidR="009630A9" w:rsidRPr="000C156A" w:rsidRDefault="009630A9" w:rsidP="005D02F0">
            <w:pPr>
              <w:spacing w:before="0"/>
              <w:rPr>
                <w:noProof/>
                <w:sz w:val="16"/>
                <w:szCs w:val="16"/>
                <w:lang w:val="en-US" w:eastAsia="zh-CN"/>
              </w:rPr>
            </w:pPr>
            <w:r w:rsidRPr="000C156A">
              <w:rPr>
                <w:rFonts w:hint="eastAsia"/>
                <w:noProof/>
                <w:sz w:val="16"/>
                <w:szCs w:val="16"/>
                <w:lang w:val="en-US" w:eastAsia="zh-CN"/>
              </w:rPr>
              <w:t>账目审计和跨组织缴费</w:t>
            </w:r>
          </w:p>
        </w:tc>
        <w:tc>
          <w:tcPr>
            <w:tcW w:w="267" w:type="pct"/>
            <w:tcBorders>
              <w:top w:val="nil"/>
              <w:left w:val="single" w:sz="4" w:space="0" w:color="auto"/>
              <w:bottom w:val="nil"/>
              <w:right w:val="single" w:sz="4" w:space="0" w:color="auto"/>
            </w:tcBorders>
            <w:shd w:val="clear" w:color="auto" w:fill="auto"/>
            <w:noWrap/>
            <w:vAlign w:val="center"/>
            <w:hideMark/>
          </w:tcPr>
          <w:p w14:paraId="5A99ABC7"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724</w:t>
            </w:r>
          </w:p>
        </w:tc>
        <w:tc>
          <w:tcPr>
            <w:tcW w:w="284" w:type="pct"/>
            <w:tcBorders>
              <w:top w:val="nil"/>
              <w:left w:val="nil"/>
              <w:bottom w:val="nil"/>
              <w:right w:val="single" w:sz="4" w:space="0" w:color="auto"/>
            </w:tcBorders>
            <w:shd w:val="clear" w:color="auto" w:fill="auto"/>
            <w:noWrap/>
            <w:vAlign w:val="center"/>
            <w:hideMark/>
          </w:tcPr>
          <w:p w14:paraId="545FE9C7"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97" w:type="pct"/>
            <w:tcBorders>
              <w:top w:val="nil"/>
              <w:left w:val="nil"/>
              <w:bottom w:val="nil"/>
              <w:right w:val="single" w:sz="4" w:space="0" w:color="auto"/>
            </w:tcBorders>
            <w:shd w:val="clear" w:color="auto" w:fill="auto"/>
            <w:noWrap/>
            <w:vAlign w:val="center"/>
            <w:hideMark/>
          </w:tcPr>
          <w:p w14:paraId="7E985420"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67" w:type="pct"/>
            <w:tcBorders>
              <w:top w:val="nil"/>
              <w:left w:val="nil"/>
              <w:bottom w:val="nil"/>
              <w:right w:val="single" w:sz="4" w:space="0" w:color="auto"/>
            </w:tcBorders>
            <w:shd w:val="clear" w:color="auto" w:fill="auto"/>
            <w:noWrap/>
            <w:vAlign w:val="center"/>
            <w:hideMark/>
          </w:tcPr>
          <w:p w14:paraId="34E051DA"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48</w:t>
            </w:r>
          </w:p>
        </w:tc>
        <w:tc>
          <w:tcPr>
            <w:tcW w:w="357" w:type="pct"/>
            <w:tcBorders>
              <w:top w:val="nil"/>
              <w:left w:val="nil"/>
              <w:bottom w:val="nil"/>
              <w:right w:val="nil"/>
            </w:tcBorders>
            <w:shd w:val="clear" w:color="auto" w:fill="auto"/>
            <w:noWrap/>
            <w:vAlign w:val="center"/>
            <w:hideMark/>
          </w:tcPr>
          <w:p w14:paraId="1CB0E659"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362" w:type="pct"/>
            <w:tcBorders>
              <w:top w:val="nil"/>
              <w:left w:val="single" w:sz="4" w:space="0" w:color="auto"/>
              <w:bottom w:val="nil"/>
              <w:right w:val="single" w:sz="4" w:space="0" w:color="auto"/>
            </w:tcBorders>
            <w:shd w:val="clear" w:color="auto" w:fill="auto"/>
            <w:noWrap/>
            <w:vAlign w:val="center"/>
            <w:hideMark/>
          </w:tcPr>
          <w:p w14:paraId="4981A91E"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772</w:t>
            </w:r>
          </w:p>
        </w:tc>
        <w:tc>
          <w:tcPr>
            <w:tcW w:w="296" w:type="pct"/>
            <w:tcBorders>
              <w:top w:val="nil"/>
              <w:left w:val="nil"/>
              <w:bottom w:val="nil"/>
              <w:right w:val="single" w:sz="4" w:space="0" w:color="auto"/>
            </w:tcBorders>
            <w:shd w:val="clear" w:color="auto" w:fill="auto"/>
            <w:noWrap/>
            <w:vAlign w:val="center"/>
            <w:hideMark/>
          </w:tcPr>
          <w:p w14:paraId="0E41B400"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96" w:type="pct"/>
            <w:tcBorders>
              <w:top w:val="nil"/>
              <w:left w:val="nil"/>
              <w:bottom w:val="nil"/>
              <w:right w:val="single" w:sz="4" w:space="0" w:color="auto"/>
            </w:tcBorders>
            <w:shd w:val="clear" w:color="auto" w:fill="auto"/>
            <w:noWrap/>
            <w:vAlign w:val="center"/>
            <w:hideMark/>
          </w:tcPr>
          <w:p w14:paraId="09A31E26"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08" w:type="pct"/>
            <w:tcBorders>
              <w:top w:val="nil"/>
              <w:left w:val="nil"/>
              <w:bottom w:val="nil"/>
              <w:right w:val="single" w:sz="4" w:space="0" w:color="auto"/>
            </w:tcBorders>
            <w:shd w:val="clear" w:color="auto" w:fill="auto"/>
            <w:noWrap/>
            <w:vAlign w:val="center"/>
            <w:hideMark/>
          </w:tcPr>
          <w:p w14:paraId="51C8497B"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6" w:type="pct"/>
            <w:tcBorders>
              <w:top w:val="nil"/>
              <w:left w:val="nil"/>
              <w:bottom w:val="nil"/>
              <w:right w:val="single" w:sz="4" w:space="0" w:color="auto"/>
            </w:tcBorders>
            <w:shd w:val="clear" w:color="auto" w:fill="auto"/>
            <w:noWrap/>
            <w:vAlign w:val="center"/>
            <w:hideMark/>
          </w:tcPr>
          <w:p w14:paraId="0BB7DDEF"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55" w:type="pct"/>
            <w:tcBorders>
              <w:top w:val="nil"/>
              <w:left w:val="nil"/>
              <w:bottom w:val="nil"/>
              <w:right w:val="single" w:sz="4" w:space="0" w:color="auto"/>
            </w:tcBorders>
            <w:shd w:val="clear" w:color="auto" w:fill="auto"/>
            <w:noWrap/>
            <w:vAlign w:val="center"/>
            <w:hideMark/>
          </w:tcPr>
          <w:p w14:paraId="27C9E308"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24" w:type="pct"/>
            <w:tcBorders>
              <w:top w:val="nil"/>
              <w:left w:val="nil"/>
              <w:bottom w:val="nil"/>
              <w:right w:val="single" w:sz="4" w:space="0" w:color="auto"/>
            </w:tcBorders>
            <w:shd w:val="clear" w:color="auto" w:fill="auto"/>
            <w:noWrap/>
            <w:vAlign w:val="center"/>
            <w:hideMark/>
          </w:tcPr>
          <w:p w14:paraId="07176F25"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2" w:type="pct"/>
            <w:tcBorders>
              <w:top w:val="nil"/>
              <w:left w:val="nil"/>
              <w:bottom w:val="nil"/>
              <w:right w:val="single" w:sz="4" w:space="0" w:color="auto"/>
            </w:tcBorders>
            <w:shd w:val="clear" w:color="auto" w:fill="auto"/>
            <w:noWrap/>
            <w:vAlign w:val="center"/>
            <w:hideMark/>
          </w:tcPr>
          <w:p w14:paraId="290F8BA0"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59" w:type="pct"/>
            <w:tcBorders>
              <w:top w:val="nil"/>
              <w:left w:val="nil"/>
              <w:bottom w:val="nil"/>
              <w:right w:val="single" w:sz="4" w:space="0" w:color="auto"/>
            </w:tcBorders>
            <w:shd w:val="clear" w:color="auto" w:fill="auto"/>
            <w:noWrap/>
            <w:vAlign w:val="center"/>
            <w:hideMark/>
          </w:tcPr>
          <w:p w14:paraId="546C40E8"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311" w:type="pct"/>
            <w:tcBorders>
              <w:top w:val="nil"/>
              <w:left w:val="nil"/>
              <w:bottom w:val="nil"/>
              <w:right w:val="single" w:sz="4" w:space="0" w:color="auto"/>
            </w:tcBorders>
            <w:shd w:val="clear" w:color="auto" w:fill="auto"/>
            <w:noWrap/>
            <w:vAlign w:val="center"/>
            <w:hideMark/>
          </w:tcPr>
          <w:p w14:paraId="5802DE92"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69" w:type="pct"/>
            <w:tcBorders>
              <w:top w:val="nil"/>
              <w:left w:val="nil"/>
              <w:bottom w:val="nil"/>
              <w:right w:val="single" w:sz="4" w:space="0" w:color="auto"/>
            </w:tcBorders>
            <w:shd w:val="clear" w:color="auto" w:fill="auto"/>
            <w:noWrap/>
            <w:vAlign w:val="center"/>
            <w:hideMark/>
          </w:tcPr>
          <w:p w14:paraId="01215C29" w14:textId="77777777"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772</w:t>
            </w:r>
          </w:p>
        </w:tc>
      </w:tr>
      <w:tr w:rsidR="009630A9" w:rsidRPr="000C156A" w14:paraId="1A403892" w14:textId="77777777" w:rsidTr="0011120B">
        <w:trPr>
          <w:trHeight w:val="255"/>
        </w:trPr>
        <w:tc>
          <w:tcPr>
            <w:tcW w:w="580" w:type="pct"/>
            <w:tcBorders>
              <w:top w:val="nil"/>
              <w:left w:val="single" w:sz="4" w:space="0" w:color="auto"/>
              <w:bottom w:val="nil"/>
              <w:right w:val="nil"/>
            </w:tcBorders>
            <w:shd w:val="clear" w:color="auto" w:fill="auto"/>
            <w:vAlign w:val="center"/>
            <w:hideMark/>
          </w:tcPr>
          <w:p w14:paraId="671AAB6C" w14:textId="77777777" w:rsidR="009630A9" w:rsidRPr="000C156A" w:rsidRDefault="009630A9" w:rsidP="005D02F0">
            <w:pPr>
              <w:spacing w:before="0"/>
              <w:rPr>
                <w:noProof/>
                <w:sz w:val="16"/>
                <w:szCs w:val="16"/>
                <w:lang w:val="en-US"/>
              </w:rPr>
            </w:pPr>
            <w:r w:rsidRPr="000C156A">
              <w:rPr>
                <w:rFonts w:hint="eastAsia"/>
                <w:noProof/>
                <w:sz w:val="16"/>
                <w:szCs w:val="16"/>
                <w:lang w:val="en-US" w:eastAsia="zh-CN"/>
              </w:rPr>
              <w:t>其他</w:t>
            </w:r>
            <w:r w:rsidRPr="000C156A">
              <w:rPr>
                <w:rFonts w:hint="eastAsia"/>
                <w:noProof/>
                <w:sz w:val="16"/>
                <w:szCs w:val="16"/>
                <w:lang w:val="en-US"/>
              </w:rPr>
              <w:t>费用</w:t>
            </w:r>
          </w:p>
        </w:tc>
        <w:tc>
          <w:tcPr>
            <w:tcW w:w="267" w:type="pct"/>
            <w:tcBorders>
              <w:top w:val="nil"/>
              <w:left w:val="single" w:sz="4" w:space="0" w:color="auto"/>
              <w:bottom w:val="nil"/>
              <w:right w:val="single" w:sz="4" w:space="0" w:color="auto"/>
            </w:tcBorders>
            <w:shd w:val="clear" w:color="auto" w:fill="auto"/>
            <w:noWrap/>
            <w:vAlign w:val="center"/>
            <w:hideMark/>
          </w:tcPr>
          <w:p w14:paraId="052F36C3"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82</w:t>
            </w:r>
          </w:p>
        </w:tc>
        <w:tc>
          <w:tcPr>
            <w:tcW w:w="284" w:type="pct"/>
            <w:tcBorders>
              <w:top w:val="nil"/>
              <w:left w:val="nil"/>
              <w:bottom w:val="nil"/>
              <w:right w:val="single" w:sz="4" w:space="0" w:color="auto"/>
            </w:tcBorders>
            <w:shd w:val="clear" w:color="auto" w:fill="auto"/>
            <w:noWrap/>
            <w:vAlign w:val="center"/>
            <w:hideMark/>
          </w:tcPr>
          <w:p w14:paraId="7F549939"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8</w:t>
            </w:r>
          </w:p>
        </w:tc>
        <w:tc>
          <w:tcPr>
            <w:tcW w:w="297" w:type="pct"/>
            <w:tcBorders>
              <w:top w:val="nil"/>
              <w:left w:val="nil"/>
              <w:bottom w:val="nil"/>
              <w:right w:val="single" w:sz="4" w:space="0" w:color="auto"/>
            </w:tcBorders>
            <w:shd w:val="clear" w:color="auto" w:fill="auto"/>
            <w:noWrap/>
            <w:vAlign w:val="center"/>
            <w:hideMark/>
          </w:tcPr>
          <w:p w14:paraId="6B871D5C"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7</w:t>
            </w:r>
          </w:p>
        </w:tc>
        <w:tc>
          <w:tcPr>
            <w:tcW w:w="267" w:type="pct"/>
            <w:tcBorders>
              <w:top w:val="nil"/>
              <w:left w:val="nil"/>
              <w:bottom w:val="nil"/>
              <w:right w:val="single" w:sz="4" w:space="0" w:color="auto"/>
            </w:tcBorders>
            <w:shd w:val="clear" w:color="auto" w:fill="auto"/>
            <w:noWrap/>
            <w:vAlign w:val="center"/>
            <w:hideMark/>
          </w:tcPr>
          <w:p w14:paraId="397E43CA"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48</w:t>
            </w:r>
          </w:p>
        </w:tc>
        <w:tc>
          <w:tcPr>
            <w:tcW w:w="357" w:type="pct"/>
            <w:tcBorders>
              <w:top w:val="nil"/>
              <w:left w:val="nil"/>
              <w:bottom w:val="nil"/>
              <w:right w:val="nil"/>
            </w:tcBorders>
            <w:shd w:val="clear" w:color="auto" w:fill="auto"/>
            <w:noWrap/>
            <w:vAlign w:val="center"/>
            <w:hideMark/>
          </w:tcPr>
          <w:p w14:paraId="3BFB6F7B"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704</w:t>
            </w:r>
          </w:p>
        </w:tc>
        <w:tc>
          <w:tcPr>
            <w:tcW w:w="362" w:type="pct"/>
            <w:tcBorders>
              <w:top w:val="nil"/>
              <w:left w:val="single" w:sz="4" w:space="0" w:color="auto"/>
              <w:bottom w:val="nil"/>
              <w:right w:val="single" w:sz="4" w:space="0" w:color="auto"/>
            </w:tcBorders>
            <w:shd w:val="clear" w:color="auto" w:fill="auto"/>
            <w:noWrap/>
            <w:vAlign w:val="center"/>
            <w:hideMark/>
          </w:tcPr>
          <w:p w14:paraId="37F08605"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850</w:t>
            </w:r>
          </w:p>
        </w:tc>
        <w:tc>
          <w:tcPr>
            <w:tcW w:w="296" w:type="pct"/>
            <w:tcBorders>
              <w:top w:val="nil"/>
              <w:left w:val="nil"/>
              <w:bottom w:val="nil"/>
              <w:right w:val="single" w:sz="4" w:space="0" w:color="auto"/>
            </w:tcBorders>
            <w:shd w:val="clear" w:color="auto" w:fill="auto"/>
            <w:noWrap/>
            <w:vAlign w:val="center"/>
            <w:hideMark/>
          </w:tcPr>
          <w:p w14:paraId="21523A78"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96" w:type="pct"/>
            <w:tcBorders>
              <w:top w:val="nil"/>
              <w:left w:val="nil"/>
              <w:bottom w:val="nil"/>
              <w:right w:val="single" w:sz="4" w:space="0" w:color="auto"/>
            </w:tcBorders>
            <w:shd w:val="clear" w:color="auto" w:fill="auto"/>
            <w:noWrap/>
            <w:vAlign w:val="center"/>
            <w:hideMark/>
          </w:tcPr>
          <w:p w14:paraId="6A99E076"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08" w:type="pct"/>
            <w:tcBorders>
              <w:top w:val="nil"/>
              <w:left w:val="nil"/>
              <w:bottom w:val="nil"/>
              <w:right w:val="single" w:sz="4" w:space="0" w:color="auto"/>
            </w:tcBorders>
            <w:shd w:val="clear" w:color="auto" w:fill="auto"/>
            <w:noWrap/>
            <w:vAlign w:val="center"/>
            <w:hideMark/>
          </w:tcPr>
          <w:p w14:paraId="2C450B06"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6" w:type="pct"/>
            <w:tcBorders>
              <w:top w:val="nil"/>
              <w:left w:val="nil"/>
              <w:bottom w:val="nil"/>
              <w:right w:val="single" w:sz="4" w:space="0" w:color="auto"/>
            </w:tcBorders>
            <w:shd w:val="clear" w:color="auto" w:fill="auto"/>
            <w:noWrap/>
            <w:vAlign w:val="center"/>
            <w:hideMark/>
          </w:tcPr>
          <w:p w14:paraId="6FC4BE31"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3</w:t>
            </w:r>
          </w:p>
        </w:tc>
        <w:tc>
          <w:tcPr>
            <w:tcW w:w="255" w:type="pct"/>
            <w:tcBorders>
              <w:top w:val="nil"/>
              <w:left w:val="nil"/>
              <w:bottom w:val="nil"/>
              <w:right w:val="single" w:sz="4" w:space="0" w:color="auto"/>
            </w:tcBorders>
            <w:shd w:val="clear" w:color="auto" w:fill="auto"/>
            <w:noWrap/>
            <w:vAlign w:val="center"/>
            <w:hideMark/>
          </w:tcPr>
          <w:p w14:paraId="69C155E9"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447</w:t>
            </w:r>
          </w:p>
        </w:tc>
        <w:tc>
          <w:tcPr>
            <w:tcW w:w="224" w:type="pct"/>
            <w:tcBorders>
              <w:top w:val="nil"/>
              <w:left w:val="nil"/>
              <w:bottom w:val="nil"/>
              <w:right w:val="single" w:sz="4" w:space="0" w:color="auto"/>
            </w:tcBorders>
            <w:shd w:val="clear" w:color="auto" w:fill="auto"/>
            <w:noWrap/>
            <w:vAlign w:val="center"/>
            <w:hideMark/>
          </w:tcPr>
          <w:p w14:paraId="3909AC14"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2" w:type="pct"/>
            <w:tcBorders>
              <w:top w:val="nil"/>
              <w:left w:val="nil"/>
              <w:bottom w:val="nil"/>
              <w:right w:val="single" w:sz="4" w:space="0" w:color="auto"/>
            </w:tcBorders>
            <w:shd w:val="clear" w:color="auto" w:fill="auto"/>
            <w:noWrap/>
            <w:vAlign w:val="center"/>
            <w:hideMark/>
          </w:tcPr>
          <w:p w14:paraId="431B4C57"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59" w:type="pct"/>
            <w:tcBorders>
              <w:top w:val="nil"/>
              <w:left w:val="nil"/>
              <w:bottom w:val="nil"/>
              <w:right w:val="single" w:sz="4" w:space="0" w:color="auto"/>
            </w:tcBorders>
            <w:shd w:val="clear" w:color="auto" w:fill="auto"/>
            <w:noWrap/>
            <w:vAlign w:val="center"/>
            <w:hideMark/>
          </w:tcPr>
          <w:p w14:paraId="094C6D9D" w14:textId="5335F6AC"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w:t>
            </w:r>
            <w:r w:rsidR="0011120B" w:rsidRPr="000C156A">
              <w:rPr>
                <w:rFonts w:cs="Calibri"/>
                <w:color w:val="000000"/>
                <w:sz w:val="16"/>
                <w:szCs w:val="16"/>
                <w:lang w:eastAsia="en-GB"/>
              </w:rPr>
              <w:t xml:space="preserve"> </w:t>
            </w:r>
            <w:r w:rsidRPr="000C156A">
              <w:rPr>
                <w:rFonts w:cs="Calibri"/>
                <w:color w:val="000000"/>
                <w:sz w:val="16"/>
                <w:szCs w:val="16"/>
                <w:lang w:eastAsia="en-GB"/>
              </w:rPr>
              <w:t>566</w:t>
            </w:r>
          </w:p>
        </w:tc>
        <w:tc>
          <w:tcPr>
            <w:tcW w:w="311" w:type="pct"/>
            <w:tcBorders>
              <w:top w:val="nil"/>
              <w:left w:val="nil"/>
              <w:bottom w:val="nil"/>
              <w:right w:val="single" w:sz="4" w:space="0" w:color="auto"/>
            </w:tcBorders>
            <w:shd w:val="clear" w:color="auto" w:fill="auto"/>
            <w:noWrap/>
            <w:vAlign w:val="center"/>
            <w:hideMark/>
          </w:tcPr>
          <w:p w14:paraId="5415E8DD" w14:textId="6CB4C71A"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-2</w:t>
            </w:r>
            <w:r w:rsidR="0011120B" w:rsidRPr="000C156A">
              <w:rPr>
                <w:rFonts w:cs="Calibri"/>
                <w:color w:val="000000"/>
                <w:sz w:val="16"/>
                <w:szCs w:val="16"/>
                <w:lang w:eastAsia="en-GB"/>
              </w:rPr>
              <w:t xml:space="preserve"> </w:t>
            </w:r>
            <w:r w:rsidRPr="000C156A">
              <w:rPr>
                <w:rFonts w:cs="Calibri"/>
                <w:color w:val="000000"/>
                <w:sz w:val="16"/>
                <w:szCs w:val="16"/>
                <w:lang w:eastAsia="en-GB"/>
              </w:rPr>
              <w:t>385</w:t>
            </w:r>
          </w:p>
        </w:tc>
        <w:tc>
          <w:tcPr>
            <w:tcW w:w="269" w:type="pct"/>
            <w:tcBorders>
              <w:top w:val="nil"/>
              <w:left w:val="nil"/>
              <w:bottom w:val="nil"/>
              <w:right w:val="single" w:sz="4" w:space="0" w:color="auto"/>
            </w:tcBorders>
            <w:shd w:val="clear" w:color="auto" w:fill="auto"/>
            <w:noWrap/>
            <w:vAlign w:val="center"/>
            <w:hideMark/>
          </w:tcPr>
          <w:p w14:paraId="67935567" w14:textId="77777777"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480</w:t>
            </w:r>
          </w:p>
        </w:tc>
      </w:tr>
      <w:tr w:rsidR="009630A9" w:rsidRPr="000C156A" w14:paraId="4D35E29B" w14:textId="77777777" w:rsidTr="0011120B">
        <w:trPr>
          <w:trHeight w:val="255"/>
        </w:trPr>
        <w:tc>
          <w:tcPr>
            <w:tcW w:w="580" w:type="pct"/>
            <w:tcBorders>
              <w:top w:val="nil"/>
              <w:left w:val="single" w:sz="4" w:space="0" w:color="auto"/>
              <w:bottom w:val="nil"/>
              <w:right w:val="nil"/>
            </w:tcBorders>
            <w:shd w:val="clear" w:color="auto" w:fill="auto"/>
            <w:vAlign w:val="center"/>
            <w:hideMark/>
          </w:tcPr>
          <w:p w14:paraId="2CC6FEF3" w14:textId="77777777" w:rsidR="009630A9" w:rsidRPr="000C156A" w:rsidRDefault="009630A9" w:rsidP="005D02F0">
            <w:pPr>
              <w:spacing w:before="0"/>
              <w:rPr>
                <w:noProof/>
                <w:sz w:val="16"/>
                <w:szCs w:val="16"/>
                <w:lang w:val="en-US"/>
              </w:rPr>
            </w:pPr>
            <w:r w:rsidRPr="000C156A">
              <w:rPr>
                <w:rFonts w:hint="eastAsia"/>
                <w:noProof/>
                <w:sz w:val="16"/>
                <w:szCs w:val="16"/>
                <w:lang w:val="en-US" w:eastAsia="zh-CN"/>
              </w:rPr>
              <w:t>财务费用</w:t>
            </w:r>
          </w:p>
        </w:tc>
        <w:tc>
          <w:tcPr>
            <w:tcW w:w="267" w:type="pct"/>
            <w:tcBorders>
              <w:top w:val="nil"/>
              <w:left w:val="single" w:sz="4" w:space="0" w:color="auto"/>
              <w:bottom w:val="nil"/>
              <w:right w:val="single" w:sz="4" w:space="0" w:color="auto"/>
            </w:tcBorders>
            <w:shd w:val="clear" w:color="auto" w:fill="auto"/>
            <w:noWrap/>
            <w:vAlign w:val="center"/>
            <w:hideMark/>
          </w:tcPr>
          <w:p w14:paraId="692F75CF"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107</w:t>
            </w:r>
          </w:p>
        </w:tc>
        <w:tc>
          <w:tcPr>
            <w:tcW w:w="284" w:type="pct"/>
            <w:tcBorders>
              <w:top w:val="nil"/>
              <w:left w:val="nil"/>
              <w:bottom w:val="nil"/>
              <w:right w:val="single" w:sz="4" w:space="0" w:color="auto"/>
            </w:tcBorders>
            <w:shd w:val="clear" w:color="auto" w:fill="auto"/>
            <w:noWrap/>
            <w:vAlign w:val="center"/>
            <w:hideMark/>
          </w:tcPr>
          <w:p w14:paraId="5CC7759E"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17</w:t>
            </w:r>
          </w:p>
        </w:tc>
        <w:tc>
          <w:tcPr>
            <w:tcW w:w="297" w:type="pct"/>
            <w:tcBorders>
              <w:top w:val="nil"/>
              <w:left w:val="nil"/>
              <w:bottom w:val="nil"/>
              <w:right w:val="single" w:sz="4" w:space="0" w:color="auto"/>
            </w:tcBorders>
            <w:shd w:val="clear" w:color="auto" w:fill="auto"/>
            <w:noWrap/>
            <w:vAlign w:val="center"/>
            <w:hideMark/>
          </w:tcPr>
          <w:p w14:paraId="6AF80C0E"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12</w:t>
            </w:r>
          </w:p>
        </w:tc>
        <w:tc>
          <w:tcPr>
            <w:tcW w:w="267" w:type="pct"/>
            <w:tcBorders>
              <w:top w:val="nil"/>
              <w:left w:val="nil"/>
              <w:bottom w:val="nil"/>
              <w:right w:val="single" w:sz="4" w:space="0" w:color="auto"/>
            </w:tcBorders>
            <w:shd w:val="clear" w:color="auto" w:fill="auto"/>
            <w:noWrap/>
            <w:vAlign w:val="center"/>
            <w:hideMark/>
          </w:tcPr>
          <w:p w14:paraId="48F3773C"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48</w:t>
            </w:r>
          </w:p>
        </w:tc>
        <w:tc>
          <w:tcPr>
            <w:tcW w:w="357" w:type="pct"/>
            <w:tcBorders>
              <w:top w:val="nil"/>
              <w:left w:val="nil"/>
              <w:bottom w:val="nil"/>
              <w:right w:val="nil"/>
            </w:tcBorders>
            <w:shd w:val="clear" w:color="auto" w:fill="auto"/>
            <w:noWrap/>
            <w:vAlign w:val="center"/>
            <w:hideMark/>
          </w:tcPr>
          <w:p w14:paraId="3F322644"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809</w:t>
            </w:r>
          </w:p>
        </w:tc>
        <w:tc>
          <w:tcPr>
            <w:tcW w:w="362" w:type="pct"/>
            <w:tcBorders>
              <w:top w:val="nil"/>
              <w:left w:val="single" w:sz="4" w:space="0" w:color="auto"/>
              <w:bottom w:val="nil"/>
              <w:right w:val="single" w:sz="4" w:space="0" w:color="auto"/>
            </w:tcBorders>
            <w:shd w:val="clear" w:color="auto" w:fill="auto"/>
            <w:noWrap/>
            <w:vAlign w:val="center"/>
            <w:hideMark/>
          </w:tcPr>
          <w:p w14:paraId="01F2E702"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992</w:t>
            </w:r>
          </w:p>
        </w:tc>
        <w:tc>
          <w:tcPr>
            <w:tcW w:w="296" w:type="pct"/>
            <w:tcBorders>
              <w:top w:val="nil"/>
              <w:left w:val="nil"/>
              <w:bottom w:val="nil"/>
              <w:right w:val="single" w:sz="4" w:space="0" w:color="auto"/>
            </w:tcBorders>
            <w:shd w:val="clear" w:color="auto" w:fill="auto"/>
            <w:noWrap/>
            <w:vAlign w:val="center"/>
            <w:hideMark/>
          </w:tcPr>
          <w:p w14:paraId="5E94E535"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w:t>
            </w:r>
          </w:p>
        </w:tc>
        <w:tc>
          <w:tcPr>
            <w:tcW w:w="296" w:type="pct"/>
            <w:tcBorders>
              <w:top w:val="nil"/>
              <w:left w:val="nil"/>
              <w:bottom w:val="nil"/>
              <w:right w:val="single" w:sz="4" w:space="0" w:color="auto"/>
            </w:tcBorders>
            <w:shd w:val="clear" w:color="auto" w:fill="auto"/>
            <w:noWrap/>
            <w:vAlign w:val="center"/>
            <w:hideMark/>
          </w:tcPr>
          <w:p w14:paraId="112A05EA"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w:t>
            </w:r>
          </w:p>
        </w:tc>
        <w:tc>
          <w:tcPr>
            <w:tcW w:w="208" w:type="pct"/>
            <w:tcBorders>
              <w:top w:val="nil"/>
              <w:left w:val="nil"/>
              <w:bottom w:val="nil"/>
              <w:right w:val="single" w:sz="4" w:space="0" w:color="auto"/>
            </w:tcBorders>
            <w:shd w:val="clear" w:color="auto" w:fill="auto"/>
            <w:noWrap/>
            <w:vAlign w:val="center"/>
            <w:hideMark/>
          </w:tcPr>
          <w:p w14:paraId="14319C74"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w:t>
            </w:r>
          </w:p>
        </w:tc>
        <w:tc>
          <w:tcPr>
            <w:tcW w:w="236" w:type="pct"/>
            <w:tcBorders>
              <w:top w:val="nil"/>
              <w:left w:val="nil"/>
              <w:bottom w:val="nil"/>
              <w:right w:val="single" w:sz="4" w:space="0" w:color="auto"/>
            </w:tcBorders>
            <w:shd w:val="clear" w:color="auto" w:fill="auto"/>
            <w:noWrap/>
            <w:vAlign w:val="center"/>
            <w:hideMark/>
          </w:tcPr>
          <w:p w14:paraId="4E4BDBB1"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530</w:t>
            </w:r>
          </w:p>
        </w:tc>
        <w:tc>
          <w:tcPr>
            <w:tcW w:w="255" w:type="pct"/>
            <w:tcBorders>
              <w:top w:val="nil"/>
              <w:left w:val="nil"/>
              <w:bottom w:val="nil"/>
              <w:right w:val="single" w:sz="4" w:space="0" w:color="auto"/>
            </w:tcBorders>
            <w:shd w:val="clear" w:color="auto" w:fill="auto"/>
            <w:noWrap/>
            <w:vAlign w:val="center"/>
            <w:hideMark/>
          </w:tcPr>
          <w:p w14:paraId="4F37EF10" w14:textId="3B0B4EAC"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w:t>
            </w:r>
            <w:r w:rsidR="0011120B" w:rsidRPr="000C156A">
              <w:rPr>
                <w:rFonts w:cs="Calibri"/>
                <w:color w:val="000000"/>
                <w:sz w:val="16"/>
                <w:szCs w:val="16"/>
                <w:lang w:eastAsia="en-GB"/>
              </w:rPr>
              <w:t xml:space="preserve"> </w:t>
            </w:r>
            <w:r w:rsidRPr="000C156A">
              <w:rPr>
                <w:rFonts w:cs="Calibri"/>
                <w:color w:val="000000"/>
                <w:sz w:val="16"/>
                <w:szCs w:val="16"/>
                <w:lang w:eastAsia="en-GB"/>
              </w:rPr>
              <w:t>896</w:t>
            </w:r>
          </w:p>
        </w:tc>
        <w:tc>
          <w:tcPr>
            <w:tcW w:w="224" w:type="pct"/>
            <w:tcBorders>
              <w:top w:val="nil"/>
              <w:left w:val="nil"/>
              <w:bottom w:val="nil"/>
              <w:right w:val="single" w:sz="4" w:space="0" w:color="auto"/>
            </w:tcBorders>
            <w:shd w:val="clear" w:color="auto" w:fill="auto"/>
            <w:noWrap/>
            <w:vAlign w:val="center"/>
            <w:hideMark/>
          </w:tcPr>
          <w:p w14:paraId="2FDB29E1"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605</w:t>
            </w:r>
          </w:p>
        </w:tc>
        <w:tc>
          <w:tcPr>
            <w:tcW w:w="232" w:type="pct"/>
            <w:tcBorders>
              <w:top w:val="nil"/>
              <w:left w:val="nil"/>
              <w:bottom w:val="nil"/>
              <w:right w:val="single" w:sz="4" w:space="0" w:color="auto"/>
            </w:tcBorders>
            <w:shd w:val="clear" w:color="auto" w:fill="auto"/>
            <w:noWrap/>
            <w:vAlign w:val="center"/>
            <w:hideMark/>
          </w:tcPr>
          <w:p w14:paraId="05E27A41"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-357</w:t>
            </w:r>
          </w:p>
        </w:tc>
        <w:tc>
          <w:tcPr>
            <w:tcW w:w="259" w:type="pct"/>
            <w:tcBorders>
              <w:top w:val="nil"/>
              <w:left w:val="nil"/>
              <w:bottom w:val="nil"/>
              <w:right w:val="single" w:sz="4" w:space="0" w:color="auto"/>
            </w:tcBorders>
            <w:shd w:val="clear" w:color="auto" w:fill="auto"/>
            <w:noWrap/>
            <w:vAlign w:val="center"/>
            <w:hideMark/>
          </w:tcPr>
          <w:p w14:paraId="5C78B719"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r w:rsidRPr="000C156A">
              <w:rPr>
                <w:rFonts w:cs="Calibri"/>
                <w:color w:val="000000"/>
                <w:sz w:val="16"/>
                <w:szCs w:val="16"/>
                <w:lang w:eastAsia="en-GB"/>
              </w:rPr>
              <w:t>12</w:t>
            </w:r>
          </w:p>
        </w:tc>
        <w:tc>
          <w:tcPr>
            <w:tcW w:w="311" w:type="pct"/>
            <w:tcBorders>
              <w:top w:val="nil"/>
              <w:left w:val="nil"/>
              <w:bottom w:val="nil"/>
              <w:right w:val="single" w:sz="4" w:space="0" w:color="auto"/>
            </w:tcBorders>
            <w:shd w:val="clear" w:color="auto" w:fill="auto"/>
            <w:noWrap/>
            <w:vAlign w:val="center"/>
            <w:hideMark/>
          </w:tcPr>
          <w:p w14:paraId="1E152FB9" w14:textId="77777777" w:rsidR="009630A9" w:rsidRPr="000C156A" w:rsidRDefault="009630A9" w:rsidP="005D02F0">
            <w:pPr>
              <w:overflowPunct/>
              <w:autoSpaceDE/>
              <w:autoSpaceDN/>
              <w:adjustRightInd/>
              <w:spacing w:before="0"/>
              <w:jc w:val="right"/>
              <w:textAlignment w:val="auto"/>
              <w:rPr>
                <w:rFonts w:cs="Calibri"/>
                <w:color w:val="000000"/>
                <w:sz w:val="16"/>
                <w:szCs w:val="16"/>
                <w:lang w:eastAsia="en-GB"/>
              </w:rPr>
            </w:pPr>
          </w:p>
        </w:tc>
        <w:tc>
          <w:tcPr>
            <w:tcW w:w="269" w:type="pct"/>
            <w:tcBorders>
              <w:top w:val="nil"/>
              <w:left w:val="nil"/>
              <w:bottom w:val="nil"/>
              <w:right w:val="single" w:sz="4" w:space="0" w:color="auto"/>
            </w:tcBorders>
            <w:shd w:val="clear" w:color="auto" w:fill="auto"/>
            <w:noWrap/>
            <w:vAlign w:val="center"/>
            <w:hideMark/>
          </w:tcPr>
          <w:p w14:paraId="2DD4866E" w14:textId="190A2ED4" w:rsidR="009630A9" w:rsidRPr="000C156A" w:rsidRDefault="009630A9" w:rsidP="005D02F0">
            <w:pPr>
              <w:overflowPunct/>
              <w:autoSpaceDE/>
              <w:autoSpaceDN/>
              <w:adjustRightInd/>
              <w:spacing w:before="0"/>
              <w:jc w:val="right"/>
              <w:textAlignment w:val="auto"/>
              <w:rPr>
                <w:rFonts w:cs="Calibri"/>
                <w:b/>
                <w:bCs/>
                <w:sz w:val="16"/>
                <w:szCs w:val="16"/>
                <w:lang w:eastAsia="en-GB"/>
              </w:rPr>
            </w:pPr>
            <w:r w:rsidRPr="000C156A">
              <w:rPr>
                <w:rFonts w:cs="Calibri"/>
                <w:b/>
                <w:bCs/>
                <w:sz w:val="16"/>
                <w:szCs w:val="16"/>
                <w:lang w:eastAsia="en-GB"/>
              </w:rPr>
              <w:t>3</w:t>
            </w:r>
            <w:r w:rsidR="0011120B" w:rsidRPr="000C156A">
              <w:rPr>
                <w:rFonts w:cs="Calibri"/>
                <w:b/>
                <w:bCs/>
                <w:sz w:val="16"/>
                <w:szCs w:val="16"/>
                <w:lang w:eastAsia="en-GB"/>
              </w:rPr>
              <w:t xml:space="preserve"> </w:t>
            </w:r>
            <w:r w:rsidRPr="000C156A">
              <w:rPr>
                <w:rFonts w:cs="Calibri"/>
                <w:b/>
                <w:bCs/>
                <w:sz w:val="16"/>
                <w:szCs w:val="16"/>
                <w:lang w:eastAsia="en-GB"/>
              </w:rPr>
              <w:t>679</w:t>
            </w:r>
          </w:p>
        </w:tc>
      </w:tr>
      <w:tr w:rsidR="009630A9" w:rsidRPr="000C156A" w14:paraId="0C81D056" w14:textId="77777777" w:rsidTr="0011120B">
        <w:trPr>
          <w:trHeight w:val="255"/>
        </w:trPr>
        <w:tc>
          <w:tcPr>
            <w:tcW w:w="580" w:type="pct"/>
            <w:tcBorders>
              <w:top w:val="single" w:sz="4" w:space="0" w:color="auto"/>
              <w:left w:val="single" w:sz="4" w:space="0" w:color="auto"/>
              <w:bottom w:val="single" w:sz="4" w:space="0" w:color="auto"/>
              <w:right w:val="nil"/>
            </w:tcBorders>
            <w:shd w:val="clear" w:color="auto" w:fill="auto"/>
            <w:noWrap/>
            <w:vAlign w:val="center"/>
            <w:hideMark/>
          </w:tcPr>
          <w:p w14:paraId="27433A70" w14:textId="77777777" w:rsidR="009630A9" w:rsidRPr="000C156A" w:rsidRDefault="009630A9" w:rsidP="005D02F0">
            <w:pPr>
              <w:overflowPunct/>
              <w:autoSpaceDE/>
              <w:autoSpaceDN/>
              <w:adjustRightInd/>
              <w:spacing w:before="0"/>
              <w:textAlignment w:val="auto"/>
              <w:rPr>
                <w:rFonts w:asciiTheme="minorHAnsi" w:hAnsiTheme="minorHAnsi" w:cs="Arial"/>
                <w:b/>
                <w:bCs/>
                <w:color w:val="000000"/>
                <w:sz w:val="16"/>
                <w:szCs w:val="16"/>
                <w:lang w:val="en-US" w:eastAsia="zh-CN"/>
              </w:rPr>
            </w:pPr>
            <w:r w:rsidRPr="000C156A">
              <w:rPr>
                <w:rFonts w:asciiTheme="minorHAnsi" w:hAnsiTheme="minorHAnsi" w:cs="Arial" w:hint="eastAsia"/>
                <w:b/>
                <w:bCs/>
                <w:color w:val="000000"/>
                <w:sz w:val="16"/>
                <w:szCs w:val="16"/>
                <w:lang w:val="en-US" w:eastAsia="zh-CN"/>
              </w:rPr>
              <w:t>费用合计</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5A444" w14:textId="15A08BB4"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80</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430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14:paraId="141BACC8" w14:textId="1469A2B3"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28</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199</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14:paraId="04C0339A" w14:textId="3AE6A423"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13</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458</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14:paraId="5C883E3C" w14:textId="7F113C0D"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27</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125</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71C872D6" w14:textId="6A9A8D9E"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78</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316</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1EA834A" w14:textId="65DEFE6C"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227</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528</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0CBB77FE"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8</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0EF6F10A"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1</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14:paraId="3289D517"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17</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14:paraId="6CC09FA1" w14:textId="66AF597D"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4</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425</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14:paraId="34B8E03F" w14:textId="26E9078C"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8</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724</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337F94FF"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605</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14:paraId="4083D8BF"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-357</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1D1EF69F" w14:textId="466DE85D"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6</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075</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14:paraId="47E8066E" w14:textId="748E4CB6"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-2</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385</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14:paraId="2B4B8D8B" w14:textId="3642601D"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244</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640</w:t>
            </w:r>
          </w:p>
        </w:tc>
      </w:tr>
      <w:tr w:rsidR="009630A9" w:rsidRPr="000C156A" w14:paraId="4F70EB78" w14:textId="77777777" w:rsidTr="0011120B">
        <w:trPr>
          <w:trHeight w:val="255"/>
        </w:trPr>
        <w:tc>
          <w:tcPr>
            <w:tcW w:w="580" w:type="pct"/>
            <w:tcBorders>
              <w:top w:val="single" w:sz="4" w:space="0" w:color="auto"/>
              <w:left w:val="single" w:sz="4" w:space="0" w:color="auto"/>
              <w:bottom w:val="single" w:sz="4" w:space="0" w:color="auto"/>
              <w:right w:val="nil"/>
            </w:tcBorders>
            <w:shd w:val="clear" w:color="auto" w:fill="auto"/>
            <w:noWrap/>
            <w:vAlign w:val="center"/>
          </w:tcPr>
          <w:p w14:paraId="6B22279D" w14:textId="77777777" w:rsidR="009630A9" w:rsidRPr="000C156A" w:rsidRDefault="009630A9" w:rsidP="005D02F0">
            <w:pPr>
              <w:overflowPunct/>
              <w:autoSpaceDE/>
              <w:autoSpaceDN/>
              <w:adjustRightInd/>
              <w:spacing w:before="0"/>
              <w:textAlignment w:val="auto"/>
              <w:rPr>
                <w:rFonts w:asciiTheme="minorHAnsi" w:hAnsiTheme="minorHAnsi" w:cs="Arial"/>
                <w:b/>
                <w:bCs/>
                <w:color w:val="000000"/>
                <w:sz w:val="16"/>
                <w:szCs w:val="16"/>
                <w:lang w:val="en-US" w:eastAsia="zh-CN"/>
              </w:rPr>
            </w:pPr>
          </w:p>
        </w:tc>
        <w:tc>
          <w:tcPr>
            <w:tcW w:w="267" w:type="pct"/>
            <w:tcBorders>
              <w:top w:val="nil"/>
              <w:left w:val="single" w:sz="4" w:space="0" w:color="auto"/>
              <w:bottom w:val="nil"/>
              <w:right w:val="single" w:sz="4" w:space="0" w:color="auto"/>
            </w:tcBorders>
            <w:shd w:val="clear" w:color="auto" w:fill="auto"/>
            <w:noWrap/>
            <w:vAlign w:val="center"/>
          </w:tcPr>
          <w:p w14:paraId="1856B0F7"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p>
        </w:tc>
        <w:tc>
          <w:tcPr>
            <w:tcW w:w="284" w:type="pct"/>
            <w:tcBorders>
              <w:top w:val="nil"/>
              <w:left w:val="nil"/>
              <w:bottom w:val="nil"/>
              <w:right w:val="single" w:sz="4" w:space="0" w:color="auto"/>
            </w:tcBorders>
            <w:shd w:val="clear" w:color="auto" w:fill="auto"/>
            <w:noWrap/>
            <w:vAlign w:val="center"/>
          </w:tcPr>
          <w:p w14:paraId="50CFC22E"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p>
        </w:tc>
        <w:tc>
          <w:tcPr>
            <w:tcW w:w="297" w:type="pct"/>
            <w:tcBorders>
              <w:top w:val="nil"/>
              <w:left w:val="nil"/>
              <w:bottom w:val="nil"/>
              <w:right w:val="single" w:sz="4" w:space="0" w:color="auto"/>
            </w:tcBorders>
            <w:shd w:val="clear" w:color="auto" w:fill="auto"/>
            <w:noWrap/>
            <w:vAlign w:val="center"/>
          </w:tcPr>
          <w:p w14:paraId="4D593F5E"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p>
        </w:tc>
        <w:tc>
          <w:tcPr>
            <w:tcW w:w="267" w:type="pct"/>
            <w:tcBorders>
              <w:top w:val="nil"/>
              <w:left w:val="nil"/>
              <w:bottom w:val="nil"/>
              <w:right w:val="single" w:sz="4" w:space="0" w:color="auto"/>
            </w:tcBorders>
            <w:shd w:val="clear" w:color="auto" w:fill="auto"/>
            <w:noWrap/>
            <w:vAlign w:val="center"/>
          </w:tcPr>
          <w:p w14:paraId="73E0DF1F"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p>
        </w:tc>
        <w:tc>
          <w:tcPr>
            <w:tcW w:w="357" w:type="pct"/>
            <w:tcBorders>
              <w:top w:val="nil"/>
              <w:left w:val="nil"/>
              <w:bottom w:val="nil"/>
              <w:right w:val="nil"/>
            </w:tcBorders>
            <w:shd w:val="clear" w:color="auto" w:fill="auto"/>
            <w:noWrap/>
            <w:vAlign w:val="center"/>
          </w:tcPr>
          <w:p w14:paraId="14DCB0A2"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p>
        </w:tc>
        <w:tc>
          <w:tcPr>
            <w:tcW w:w="362" w:type="pct"/>
            <w:tcBorders>
              <w:top w:val="nil"/>
              <w:left w:val="single" w:sz="4" w:space="0" w:color="auto"/>
              <w:bottom w:val="nil"/>
              <w:right w:val="single" w:sz="4" w:space="0" w:color="auto"/>
            </w:tcBorders>
            <w:shd w:val="clear" w:color="auto" w:fill="auto"/>
            <w:noWrap/>
            <w:vAlign w:val="center"/>
          </w:tcPr>
          <w:p w14:paraId="717100CE"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p>
        </w:tc>
        <w:tc>
          <w:tcPr>
            <w:tcW w:w="296" w:type="pct"/>
            <w:tcBorders>
              <w:top w:val="nil"/>
              <w:left w:val="nil"/>
              <w:bottom w:val="nil"/>
              <w:right w:val="single" w:sz="4" w:space="0" w:color="auto"/>
            </w:tcBorders>
            <w:shd w:val="clear" w:color="auto" w:fill="auto"/>
            <w:noWrap/>
            <w:vAlign w:val="center"/>
          </w:tcPr>
          <w:p w14:paraId="1738C364"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p>
        </w:tc>
        <w:tc>
          <w:tcPr>
            <w:tcW w:w="296" w:type="pct"/>
            <w:tcBorders>
              <w:top w:val="nil"/>
              <w:left w:val="nil"/>
              <w:bottom w:val="nil"/>
              <w:right w:val="single" w:sz="4" w:space="0" w:color="auto"/>
            </w:tcBorders>
            <w:shd w:val="clear" w:color="auto" w:fill="auto"/>
            <w:noWrap/>
            <w:vAlign w:val="center"/>
          </w:tcPr>
          <w:p w14:paraId="77ACA42C"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p>
        </w:tc>
        <w:tc>
          <w:tcPr>
            <w:tcW w:w="208" w:type="pct"/>
            <w:tcBorders>
              <w:top w:val="nil"/>
              <w:left w:val="nil"/>
              <w:bottom w:val="nil"/>
              <w:right w:val="single" w:sz="4" w:space="0" w:color="auto"/>
            </w:tcBorders>
            <w:shd w:val="clear" w:color="auto" w:fill="auto"/>
            <w:noWrap/>
            <w:vAlign w:val="center"/>
          </w:tcPr>
          <w:p w14:paraId="35232BD0"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p>
        </w:tc>
        <w:tc>
          <w:tcPr>
            <w:tcW w:w="236" w:type="pct"/>
            <w:tcBorders>
              <w:top w:val="nil"/>
              <w:left w:val="nil"/>
              <w:bottom w:val="nil"/>
              <w:right w:val="single" w:sz="4" w:space="0" w:color="auto"/>
            </w:tcBorders>
            <w:shd w:val="clear" w:color="auto" w:fill="auto"/>
            <w:noWrap/>
            <w:vAlign w:val="center"/>
          </w:tcPr>
          <w:p w14:paraId="21549FE8"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p>
        </w:tc>
        <w:tc>
          <w:tcPr>
            <w:tcW w:w="255" w:type="pct"/>
            <w:tcBorders>
              <w:top w:val="nil"/>
              <w:left w:val="nil"/>
              <w:bottom w:val="nil"/>
              <w:right w:val="single" w:sz="4" w:space="0" w:color="auto"/>
            </w:tcBorders>
            <w:shd w:val="clear" w:color="auto" w:fill="auto"/>
            <w:noWrap/>
            <w:vAlign w:val="center"/>
          </w:tcPr>
          <w:p w14:paraId="46875CD9"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p>
        </w:tc>
        <w:tc>
          <w:tcPr>
            <w:tcW w:w="224" w:type="pct"/>
            <w:tcBorders>
              <w:top w:val="nil"/>
              <w:left w:val="nil"/>
              <w:bottom w:val="nil"/>
              <w:right w:val="single" w:sz="4" w:space="0" w:color="auto"/>
            </w:tcBorders>
            <w:shd w:val="clear" w:color="auto" w:fill="auto"/>
            <w:noWrap/>
            <w:vAlign w:val="center"/>
          </w:tcPr>
          <w:p w14:paraId="5201DB4E"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p>
        </w:tc>
        <w:tc>
          <w:tcPr>
            <w:tcW w:w="232" w:type="pct"/>
            <w:tcBorders>
              <w:top w:val="nil"/>
              <w:left w:val="nil"/>
              <w:bottom w:val="nil"/>
              <w:right w:val="single" w:sz="4" w:space="0" w:color="auto"/>
            </w:tcBorders>
            <w:shd w:val="clear" w:color="auto" w:fill="auto"/>
            <w:noWrap/>
            <w:vAlign w:val="center"/>
          </w:tcPr>
          <w:p w14:paraId="2C471D73"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p>
        </w:tc>
        <w:tc>
          <w:tcPr>
            <w:tcW w:w="259" w:type="pct"/>
            <w:tcBorders>
              <w:top w:val="nil"/>
              <w:left w:val="nil"/>
              <w:bottom w:val="nil"/>
              <w:right w:val="single" w:sz="4" w:space="0" w:color="auto"/>
            </w:tcBorders>
            <w:shd w:val="clear" w:color="auto" w:fill="auto"/>
            <w:noWrap/>
            <w:vAlign w:val="center"/>
          </w:tcPr>
          <w:p w14:paraId="3F417DA6"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p>
        </w:tc>
        <w:tc>
          <w:tcPr>
            <w:tcW w:w="311" w:type="pct"/>
            <w:tcBorders>
              <w:top w:val="nil"/>
              <w:left w:val="nil"/>
              <w:bottom w:val="nil"/>
              <w:right w:val="single" w:sz="4" w:space="0" w:color="auto"/>
            </w:tcBorders>
            <w:shd w:val="clear" w:color="auto" w:fill="auto"/>
            <w:noWrap/>
            <w:vAlign w:val="center"/>
          </w:tcPr>
          <w:p w14:paraId="4E7E1DF9"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p>
        </w:tc>
        <w:tc>
          <w:tcPr>
            <w:tcW w:w="269" w:type="pct"/>
            <w:tcBorders>
              <w:top w:val="nil"/>
              <w:left w:val="nil"/>
              <w:bottom w:val="nil"/>
              <w:right w:val="single" w:sz="4" w:space="0" w:color="auto"/>
            </w:tcBorders>
            <w:shd w:val="clear" w:color="auto" w:fill="auto"/>
            <w:noWrap/>
            <w:vAlign w:val="center"/>
          </w:tcPr>
          <w:p w14:paraId="5750BD09"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p>
        </w:tc>
      </w:tr>
      <w:tr w:rsidR="009630A9" w:rsidRPr="000C156A" w14:paraId="5A00FA44" w14:textId="77777777" w:rsidTr="0011120B">
        <w:trPr>
          <w:trHeight w:val="510"/>
        </w:trPr>
        <w:tc>
          <w:tcPr>
            <w:tcW w:w="580" w:type="pct"/>
            <w:tcBorders>
              <w:top w:val="single" w:sz="4" w:space="0" w:color="auto"/>
              <w:left w:val="single" w:sz="4" w:space="0" w:color="auto"/>
              <w:bottom w:val="single" w:sz="4" w:space="0" w:color="auto"/>
              <w:right w:val="nil"/>
            </w:tcBorders>
            <w:shd w:val="clear" w:color="auto" w:fill="auto"/>
            <w:vAlign w:val="center"/>
            <w:hideMark/>
          </w:tcPr>
          <w:p w14:paraId="3A063555" w14:textId="77777777" w:rsidR="009630A9" w:rsidRPr="000C156A" w:rsidRDefault="009630A9" w:rsidP="005D02F0">
            <w:pPr>
              <w:overflowPunct/>
              <w:autoSpaceDE/>
              <w:autoSpaceDN/>
              <w:adjustRightInd/>
              <w:spacing w:before="0"/>
              <w:textAlignment w:val="auto"/>
              <w:rPr>
                <w:rFonts w:asciiTheme="minorHAnsi" w:hAnsiTheme="minorHAnsi" w:cs="Arial"/>
                <w:b/>
                <w:bCs/>
                <w:color w:val="000000"/>
                <w:sz w:val="16"/>
                <w:szCs w:val="16"/>
                <w:lang w:val="en-US" w:eastAsia="zh-CN"/>
              </w:rPr>
            </w:pPr>
            <w:r w:rsidRPr="000C156A">
              <w:rPr>
                <w:rFonts w:asciiTheme="minorHAnsi" w:hAnsiTheme="minorHAnsi" w:cs="Arial" w:hint="eastAsia"/>
                <w:b/>
                <w:bCs/>
                <w:color w:val="000000"/>
                <w:sz w:val="16"/>
                <w:szCs w:val="16"/>
                <w:lang w:val="en-US" w:eastAsia="zh-CN"/>
              </w:rPr>
              <w:t>本期盈余</w:t>
            </w:r>
            <w:r w:rsidRPr="000C156A">
              <w:rPr>
                <w:rFonts w:asciiTheme="minorHAnsi" w:hAnsiTheme="minorHAnsi" w:cs="Arial" w:hint="eastAsia"/>
                <w:b/>
                <w:bCs/>
                <w:color w:val="000000"/>
                <w:sz w:val="16"/>
                <w:szCs w:val="16"/>
                <w:lang w:val="en-US" w:eastAsia="zh-CN"/>
              </w:rPr>
              <w:t>/</w:t>
            </w:r>
            <w:r w:rsidRPr="000C156A">
              <w:rPr>
                <w:rFonts w:asciiTheme="minorHAnsi" w:hAnsiTheme="minorHAnsi" w:cs="Arial" w:hint="eastAsia"/>
                <w:b/>
                <w:bCs/>
                <w:color w:val="000000"/>
                <w:sz w:val="16"/>
                <w:szCs w:val="16"/>
                <w:lang w:val="en-US" w:eastAsia="zh-CN"/>
              </w:rPr>
              <w:t>（赤字）</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8D672" w14:textId="3853A39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-78</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799</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14:paraId="6E87A1B6" w14:textId="522E5F91"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6</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052</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14:paraId="6453BC33" w14:textId="3D702666"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-5</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154</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14:paraId="7B67DEBE" w14:textId="058C477D"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-25</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513</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5AD926A4" w14:textId="01D069EC"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43</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868</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57AC5916" w14:textId="3CA924C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-59</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546</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09E29655"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-8</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54ADFF96" w14:textId="2BF184B9"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3</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039</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14:paraId="32330CFD"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-17</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14:paraId="6B86042C"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-557</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14:paraId="0F5B0A04" w14:textId="474E6494"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-1</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281</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329C0303"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71</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14:paraId="262C4F7A"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0CF1B671"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836</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14:paraId="2FF0CC97" w14:textId="77777777"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14:paraId="43E597E5" w14:textId="218A6385" w:rsidR="009630A9" w:rsidRPr="000C156A" w:rsidRDefault="009630A9" w:rsidP="005D02F0">
            <w:pPr>
              <w:overflowPunct/>
              <w:autoSpaceDE/>
              <w:autoSpaceDN/>
              <w:adjustRightInd/>
              <w:spacing w:before="0"/>
              <w:jc w:val="right"/>
              <w:textAlignment w:val="auto"/>
              <w:rPr>
                <w:rFonts w:cs="Calibri"/>
                <w:b/>
                <w:bCs/>
                <w:color w:val="000000"/>
                <w:sz w:val="16"/>
                <w:szCs w:val="16"/>
                <w:lang w:eastAsia="en-GB"/>
              </w:rPr>
            </w:pPr>
            <w:r w:rsidRPr="000C156A">
              <w:rPr>
                <w:rFonts w:cs="Calibri"/>
                <w:b/>
                <w:bCs/>
                <w:color w:val="000000"/>
                <w:sz w:val="16"/>
                <w:szCs w:val="16"/>
                <w:lang w:eastAsia="en-GB"/>
              </w:rPr>
              <w:t>-57</w:t>
            </w:r>
            <w:r w:rsidR="0011120B" w:rsidRPr="000C156A">
              <w:rPr>
                <w:rFonts w:cs="Calibri"/>
                <w:b/>
                <w:bCs/>
                <w:color w:val="000000"/>
                <w:sz w:val="16"/>
                <w:szCs w:val="16"/>
                <w:lang w:eastAsia="en-GB"/>
              </w:rPr>
              <w:t xml:space="preserve"> </w:t>
            </w:r>
            <w:r w:rsidRPr="000C156A">
              <w:rPr>
                <w:rFonts w:cs="Calibri"/>
                <w:b/>
                <w:bCs/>
                <w:color w:val="000000"/>
                <w:sz w:val="16"/>
                <w:szCs w:val="16"/>
                <w:lang w:eastAsia="en-GB"/>
              </w:rPr>
              <w:t>463</w:t>
            </w:r>
          </w:p>
        </w:tc>
      </w:tr>
      <w:bookmarkEnd w:id="983"/>
      <w:bookmarkEnd w:id="984"/>
    </w:tbl>
    <w:p w14:paraId="728DE6E1" w14:textId="77777777" w:rsidR="009630A9" w:rsidRPr="000C156A" w:rsidRDefault="009630A9" w:rsidP="009630A9">
      <w:pPr>
        <w:rPr>
          <w:lang w:val="en-US" w:eastAsia="zh-CN"/>
        </w:rPr>
        <w:sectPr w:rsidR="009630A9" w:rsidRPr="000C156A" w:rsidSect="005D02F0">
          <w:headerReference w:type="first" r:id="rId43"/>
          <w:footerReference w:type="first" r:id="rId44"/>
          <w:pgSz w:w="16834" w:h="11907" w:orient="landscape"/>
          <w:pgMar w:top="1134" w:right="1418" w:bottom="1134" w:left="1418" w:header="720" w:footer="720" w:gutter="0"/>
          <w:paperSrc w:first="7" w:other="7"/>
          <w:cols w:space="720"/>
          <w:titlePg/>
          <w:docGrid w:linePitch="326"/>
        </w:sectPr>
      </w:pPr>
    </w:p>
    <w:p w14:paraId="48DF4052" w14:textId="77777777" w:rsidR="009630A9" w:rsidRPr="000C156A" w:rsidRDefault="009630A9" w:rsidP="00E43A2D">
      <w:pPr>
        <w:pStyle w:val="Heading1"/>
        <w:spacing w:before="240" w:after="240"/>
        <w:rPr>
          <w:rFonts w:cs="Microsoft YaHei"/>
          <w:sz w:val="24"/>
          <w:szCs w:val="24"/>
          <w:lang w:val="fr-FR" w:eastAsia="zh-CN"/>
        </w:rPr>
      </w:pPr>
      <w:bookmarkStart w:id="989" w:name="_Toc482892586"/>
      <w:bookmarkStart w:id="990" w:name="_Toc511813770"/>
      <w:bookmarkStart w:id="991" w:name="_Toc511817853"/>
      <w:bookmarkStart w:id="992" w:name="_Toc520280753"/>
      <w:bookmarkStart w:id="993" w:name="_Toc10536847"/>
      <w:bookmarkStart w:id="994" w:name="_Toc41905899"/>
      <w:bookmarkStart w:id="995" w:name="_Toc41906920"/>
      <w:bookmarkStart w:id="996" w:name="_Toc41908069"/>
      <w:bookmarkStart w:id="997" w:name="_Toc73518727"/>
      <w:bookmarkStart w:id="998" w:name="_Toc73518874"/>
      <w:bookmarkStart w:id="999" w:name="_Toc73519274"/>
      <w:bookmarkStart w:id="1000" w:name="_Toc73636313"/>
      <w:bookmarkStart w:id="1001" w:name="_Toc387089405"/>
      <w:bookmarkStart w:id="1002" w:name="_Toc329165810"/>
      <w:bookmarkStart w:id="1003" w:name="_Toc387089407"/>
      <w:bookmarkStart w:id="1004" w:name="_Toc329165812"/>
      <w:bookmarkStart w:id="1005" w:name="_Toc329011662"/>
      <w:bookmarkStart w:id="1006" w:name="_Toc305764120"/>
      <w:r w:rsidRPr="000C156A">
        <w:rPr>
          <w:rFonts w:cs="Microsoft YaHei" w:hint="eastAsia"/>
          <w:sz w:val="24"/>
          <w:szCs w:val="24"/>
          <w:lang w:val="fr-FR" w:eastAsia="zh-CN"/>
        </w:rPr>
        <w:lastRenderedPageBreak/>
        <w:t>说明</w:t>
      </w:r>
      <w:r w:rsidRPr="000C156A">
        <w:rPr>
          <w:rFonts w:cs="Microsoft YaHei"/>
          <w:sz w:val="24"/>
          <w:szCs w:val="24"/>
          <w:lang w:val="fr-FR" w:eastAsia="zh-CN"/>
        </w:rPr>
        <w:t>25</w:t>
      </w:r>
      <w:r w:rsidRPr="000C156A">
        <w:rPr>
          <w:rFonts w:cs="Microsoft YaHei"/>
          <w:sz w:val="24"/>
          <w:szCs w:val="24"/>
          <w:lang w:val="fr-FR" w:eastAsia="zh-CN"/>
        </w:rPr>
        <w:tab/>
      </w:r>
      <w:r w:rsidRPr="000C156A">
        <w:rPr>
          <w:rFonts w:cs="Microsoft YaHei" w:hint="eastAsia"/>
          <w:sz w:val="24"/>
          <w:szCs w:val="24"/>
          <w:lang w:val="fr-FR" w:eastAsia="zh-CN"/>
        </w:rPr>
        <w:t>区域代表处</w:t>
      </w:r>
      <w:bookmarkEnd w:id="989"/>
      <w:bookmarkEnd w:id="990"/>
      <w:bookmarkEnd w:id="991"/>
      <w:bookmarkEnd w:id="992"/>
      <w:bookmarkEnd w:id="993"/>
      <w:bookmarkEnd w:id="994"/>
      <w:bookmarkEnd w:id="995"/>
      <w:bookmarkEnd w:id="996"/>
      <w:bookmarkEnd w:id="997"/>
      <w:bookmarkEnd w:id="998"/>
      <w:bookmarkEnd w:id="999"/>
      <w:bookmarkEnd w:id="1000"/>
    </w:p>
    <w:tbl>
      <w:tblPr>
        <w:tblW w:w="10719" w:type="dxa"/>
        <w:tblInd w:w="-567" w:type="dxa"/>
        <w:tblLook w:val="04A0" w:firstRow="1" w:lastRow="0" w:firstColumn="1" w:lastColumn="0" w:noHBand="0" w:noVBand="1"/>
      </w:tblPr>
      <w:tblGrid>
        <w:gridCol w:w="1886"/>
        <w:gridCol w:w="683"/>
        <w:gridCol w:w="857"/>
        <w:gridCol w:w="695"/>
        <w:gridCol w:w="866"/>
        <w:gridCol w:w="711"/>
        <w:gridCol w:w="726"/>
        <w:gridCol w:w="789"/>
        <w:gridCol w:w="683"/>
        <w:gridCol w:w="693"/>
        <w:gridCol w:w="726"/>
        <w:gridCol w:w="678"/>
        <w:gridCol w:w="726"/>
      </w:tblGrid>
      <w:tr w:rsidR="009630A9" w:rsidRPr="000C156A" w14:paraId="08AB9DAD" w14:textId="77777777" w:rsidTr="005D02F0">
        <w:trPr>
          <w:trHeight w:val="220"/>
        </w:trPr>
        <w:tc>
          <w:tcPr>
            <w:tcW w:w="1886" w:type="dxa"/>
            <w:noWrap/>
            <w:vAlign w:val="bottom"/>
            <w:hideMark/>
          </w:tcPr>
          <w:p w14:paraId="37B369EC" w14:textId="77777777" w:rsidR="009630A9" w:rsidRPr="000C156A" w:rsidRDefault="009630A9" w:rsidP="005D02F0">
            <w:pPr>
              <w:rPr>
                <w:sz w:val="16"/>
                <w:szCs w:val="16"/>
                <w:lang w:val="en-US" w:eastAsia="zh-CN"/>
              </w:rPr>
            </w:pPr>
          </w:p>
        </w:tc>
        <w:tc>
          <w:tcPr>
            <w:tcW w:w="1540" w:type="dxa"/>
            <w:gridSpan w:val="2"/>
            <w:tcBorders>
              <w:top w:val="single" w:sz="8" w:space="0" w:color="auto"/>
              <w:left w:val="single" w:sz="8" w:space="0" w:color="auto"/>
              <w:bottom w:val="single" w:sz="8" w:space="0" w:color="auto"/>
              <w:right w:val="single" w:sz="8" w:space="0" w:color="000000"/>
            </w:tcBorders>
            <w:noWrap/>
            <w:vAlign w:val="bottom"/>
            <w:hideMark/>
          </w:tcPr>
          <w:p w14:paraId="78F35E4B" w14:textId="77777777" w:rsidR="009630A9" w:rsidRPr="000C156A" w:rsidRDefault="009630A9" w:rsidP="005D02F0">
            <w:pPr>
              <w:overflowPunct/>
              <w:adjustRightInd/>
              <w:spacing w:before="0"/>
              <w:jc w:val="center"/>
              <w:rPr>
                <w:rFonts w:asciiTheme="minorHAnsi" w:hAnsiTheme="minorHAnsi" w:cs="Arial"/>
                <w:b/>
                <w:bCs/>
                <w:color w:val="000000"/>
                <w:sz w:val="16"/>
                <w:szCs w:val="16"/>
                <w:lang w:val="en-US" w:eastAsia="zh-CN"/>
              </w:rPr>
            </w:pPr>
            <w:r w:rsidRPr="000C156A">
              <w:rPr>
                <w:rFonts w:asciiTheme="minorHAnsi" w:hAnsiTheme="minorHAnsi" w:cs="Arial" w:hint="eastAsia"/>
                <w:b/>
                <w:bCs/>
                <w:color w:val="000000"/>
                <w:sz w:val="16"/>
                <w:szCs w:val="16"/>
                <w:lang w:val="en-US" w:eastAsia="zh-CN"/>
              </w:rPr>
              <w:t>非洲</w:t>
            </w:r>
          </w:p>
        </w:tc>
        <w:tc>
          <w:tcPr>
            <w:tcW w:w="1561" w:type="dxa"/>
            <w:gridSpan w:val="2"/>
            <w:tcBorders>
              <w:top w:val="single" w:sz="8" w:space="0" w:color="auto"/>
              <w:left w:val="nil"/>
              <w:bottom w:val="single" w:sz="8" w:space="0" w:color="auto"/>
              <w:right w:val="single" w:sz="8" w:space="0" w:color="000000"/>
            </w:tcBorders>
            <w:noWrap/>
            <w:vAlign w:val="bottom"/>
            <w:hideMark/>
          </w:tcPr>
          <w:p w14:paraId="2B75621A" w14:textId="77777777" w:rsidR="009630A9" w:rsidRPr="000C156A" w:rsidRDefault="009630A9" w:rsidP="005D02F0">
            <w:pPr>
              <w:overflowPunct/>
              <w:adjustRightInd/>
              <w:spacing w:before="0"/>
              <w:jc w:val="center"/>
              <w:rPr>
                <w:rFonts w:asciiTheme="minorHAnsi" w:hAnsiTheme="minorHAnsi" w:cs="Arial"/>
                <w:b/>
                <w:bCs/>
                <w:color w:val="000000"/>
                <w:sz w:val="16"/>
                <w:szCs w:val="16"/>
                <w:lang w:val="en-US" w:eastAsia="zh-CN"/>
              </w:rPr>
            </w:pPr>
            <w:r w:rsidRPr="000C156A">
              <w:rPr>
                <w:rFonts w:asciiTheme="minorHAnsi" w:hAnsiTheme="minorHAnsi" w:cs="Arial" w:hint="eastAsia"/>
                <w:b/>
                <w:bCs/>
                <w:color w:val="000000"/>
                <w:sz w:val="16"/>
                <w:szCs w:val="16"/>
                <w:lang w:val="en-US" w:eastAsia="zh-CN"/>
              </w:rPr>
              <w:t>美洲</w:t>
            </w:r>
          </w:p>
        </w:tc>
        <w:tc>
          <w:tcPr>
            <w:tcW w:w="1437" w:type="dxa"/>
            <w:gridSpan w:val="2"/>
            <w:tcBorders>
              <w:top w:val="single" w:sz="8" w:space="0" w:color="auto"/>
              <w:left w:val="nil"/>
              <w:bottom w:val="single" w:sz="8" w:space="0" w:color="auto"/>
              <w:right w:val="single" w:sz="8" w:space="0" w:color="000000"/>
            </w:tcBorders>
            <w:noWrap/>
            <w:vAlign w:val="bottom"/>
            <w:hideMark/>
          </w:tcPr>
          <w:p w14:paraId="514146DA" w14:textId="77777777" w:rsidR="009630A9" w:rsidRPr="000C156A" w:rsidRDefault="009630A9" w:rsidP="005D02F0">
            <w:pPr>
              <w:overflowPunct/>
              <w:adjustRightInd/>
              <w:spacing w:before="0"/>
              <w:jc w:val="center"/>
              <w:rPr>
                <w:rFonts w:asciiTheme="minorHAnsi" w:hAnsiTheme="minorHAnsi" w:cs="Arial"/>
                <w:b/>
                <w:bCs/>
                <w:color w:val="000000"/>
                <w:sz w:val="16"/>
                <w:szCs w:val="16"/>
                <w:lang w:val="en-US" w:eastAsia="zh-CN"/>
              </w:rPr>
            </w:pPr>
            <w:r w:rsidRPr="000C156A">
              <w:rPr>
                <w:rFonts w:asciiTheme="minorHAnsi" w:hAnsiTheme="minorHAnsi" w:cs="Arial" w:hint="eastAsia"/>
                <w:b/>
                <w:bCs/>
                <w:color w:val="000000"/>
                <w:sz w:val="16"/>
                <w:szCs w:val="16"/>
                <w:lang w:val="en-US" w:eastAsia="zh-CN"/>
              </w:rPr>
              <w:t>阿拉伯</w:t>
            </w:r>
          </w:p>
        </w:tc>
        <w:tc>
          <w:tcPr>
            <w:tcW w:w="1472" w:type="dxa"/>
            <w:gridSpan w:val="2"/>
            <w:tcBorders>
              <w:top w:val="single" w:sz="8" w:space="0" w:color="auto"/>
              <w:left w:val="nil"/>
              <w:bottom w:val="single" w:sz="8" w:space="0" w:color="auto"/>
              <w:right w:val="single" w:sz="8" w:space="0" w:color="000000"/>
            </w:tcBorders>
            <w:noWrap/>
            <w:vAlign w:val="bottom"/>
            <w:hideMark/>
          </w:tcPr>
          <w:p w14:paraId="5047F701" w14:textId="77777777" w:rsidR="009630A9" w:rsidRPr="000C156A" w:rsidRDefault="009630A9" w:rsidP="005D02F0">
            <w:pPr>
              <w:overflowPunct/>
              <w:adjustRightInd/>
              <w:spacing w:before="0"/>
              <w:jc w:val="center"/>
              <w:rPr>
                <w:rFonts w:asciiTheme="minorHAnsi" w:hAnsiTheme="minorHAnsi" w:cs="Arial"/>
                <w:b/>
                <w:bCs/>
                <w:color w:val="000000"/>
                <w:sz w:val="16"/>
                <w:szCs w:val="16"/>
                <w:lang w:val="en-US" w:eastAsia="zh-CN"/>
              </w:rPr>
            </w:pPr>
            <w:r w:rsidRPr="000C156A">
              <w:rPr>
                <w:rFonts w:asciiTheme="minorHAnsi" w:hAnsiTheme="minorHAnsi" w:cs="Arial" w:hint="eastAsia"/>
                <w:b/>
                <w:bCs/>
                <w:color w:val="000000"/>
                <w:sz w:val="16"/>
                <w:szCs w:val="16"/>
                <w:lang w:val="en-US" w:eastAsia="zh-CN"/>
              </w:rPr>
              <w:t>亚太</w:t>
            </w:r>
          </w:p>
        </w:tc>
        <w:tc>
          <w:tcPr>
            <w:tcW w:w="1419" w:type="dxa"/>
            <w:gridSpan w:val="2"/>
            <w:tcBorders>
              <w:top w:val="single" w:sz="8" w:space="0" w:color="auto"/>
              <w:left w:val="nil"/>
              <w:bottom w:val="single" w:sz="8" w:space="0" w:color="auto"/>
              <w:right w:val="single" w:sz="8" w:space="0" w:color="000000"/>
            </w:tcBorders>
            <w:noWrap/>
            <w:vAlign w:val="bottom"/>
            <w:hideMark/>
          </w:tcPr>
          <w:p w14:paraId="73DBCB16" w14:textId="77777777" w:rsidR="009630A9" w:rsidRPr="000C156A" w:rsidRDefault="009630A9" w:rsidP="005D02F0">
            <w:pPr>
              <w:overflowPunct/>
              <w:adjustRightInd/>
              <w:spacing w:before="0"/>
              <w:jc w:val="center"/>
              <w:rPr>
                <w:rFonts w:asciiTheme="minorHAnsi" w:hAnsiTheme="minorHAnsi" w:cs="Arial"/>
                <w:b/>
                <w:bCs/>
                <w:color w:val="000000"/>
                <w:sz w:val="16"/>
                <w:szCs w:val="16"/>
                <w:lang w:val="en-US" w:eastAsia="zh-CN"/>
              </w:rPr>
            </w:pPr>
            <w:r w:rsidRPr="000C156A">
              <w:rPr>
                <w:rFonts w:asciiTheme="minorHAnsi" w:hAnsiTheme="minorHAnsi" w:cs="Arial" w:hint="eastAsia"/>
                <w:b/>
                <w:bCs/>
                <w:color w:val="000000"/>
                <w:sz w:val="16"/>
                <w:szCs w:val="16"/>
                <w:lang w:val="en-US" w:eastAsia="zh-CN"/>
              </w:rPr>
              <w:t>独联体</w:t>
            </w:r>
          </w:p>
        </w:tc>
        <w:tc>
          <w:tcPr>
            <w:tcW w:w="1404" w:type="dxa"/>
            <w:gridSpan w:val="2"/>
            <w:tcBorders>
              <w:top w:val="single" w:sz="8" w:space="0" w:color="auto"/>
              <w:left w:val="nil"/>
              <w:bottom w:val="single" w:sz="8" w:space="0" w:color="auto"/>
              <w:right w:val="single" w:sz="8" w:space="0" w:color="000000"/>
            </w:tcBorders>
            <w:noWrap/>
            <w:vAlign w:val="bottom"/>
            <w:hideMark/>
          </w:tcPr>
          <w:p w14:paraId="520AF025" w14:textId="77777777" w:rsidR="009630A9" w:rsidRPr="000C156A" w:rsidRDefault="009630A9" w:rsidP="005D02F0">
            <w:pPr>
              <w:overflowPunct/>
              <w:adjustRightInd/>
              <w:spacing w:before="0"/>
              <w:jc w:val="center"/>
              <w:rPr>
                <w:rFonts w:asciiTheme="minorHAnsi" w:hAnsiTheme="minorHAnsi" w:cs="Arial"/>
                <w:b/>
                <w:bCs/>
                <w:color w:val="000000"/>
                <w:sz w:val="16"/>
                <w:szCs w:val="16"/>
                <w:lang w:val="en-US" w:eastAsia="zh-CN"/>
              </w:rPr>
            </w:pPr>
            <w:r w:rsidRPr="000C156A">
              <w:rPr>
                <w:rFonts w:asciiTheme="minorHAnsi" w:hAnsiTheme="minorHAnsi" w:cs="Arial" w:hint="eastAsia"/>
                <w:b/>
                <w:bCs/>
                <w:color w:val="000000"/>
                <w:sz w:val="16"/>
                <w:szCs w:val="16"/>
                <w:lang w:val="en-US" w:eastAsia="zh-CN"/>
              </w:rPr>
              <w:t>欧洲</w:t>
            </w:r>
          </w:p>
        </w:tc>
      </w:tr>
      <w:tr w:rsidR="009630A9" w:rsidRPr="000C156A" w14:paraId="64242850" w14:textId="77777777" w:rsidTr="005D02F0">
        <w:trPr>
          <w:trHeight w:val="306"/>
        </w:trPr>
        <w:tc>
          <w:tcPr>
            <w:tcW w:w="1886" w:type="dxa"/>
            <w:tcBorders>
              <w:top w:val="nil"/>
              <w:left w:val="nil"/>
              <w:bottom w:val="single" w:sz="8" w:space="0" w:color="auto"/>
              <w:right w:val="nil"/>
            </w:tcBorders>
            <w:noWrap/>
            <w:vAlign w:val="bottom"/>
            <w:hideMark/>
          </w:tcPr>
          <w:p w14:paraId="3ACCAE58" w14:textId="77777777" w:rsidR="009630A9" w:rsidRPr="000C156A" w:rsidRDefault="009630A9" w:rsidP="005D02F0">
            <w:pPr>
              <w:overflowPunct/>
              <w:adjustRightInd/>
              <w:spacing w:before="0"/>
              <w:rPr>
                <w:rFonts w:ascii="Arial" w:hAnsi="Arial" w:cs="Arial"/>
                <w:color w:val="000000"/>
                <w:sz w:val="16"/>
                <w:szCs w:val="16"/>
                <w:lang w:val="en-US" w:eastAsia="zh-CN"/>
              </w:rPr>
            </w:pPr>
            <w:r w:rsidRPr="000C156A">
              <w:rPr>
                <w:rFonts w:ascii="Arial" w:hAnsi="Arial" w:cs="Arial"/>
                <w:color w:val="000000"/>
                <w:sz w:val="16"/>
                <w:szCs w:val="16"/>
                <w:lang w:val="en-US" w:eastAsia="zh-CN"/>
              </w:rPr>
              <w:t> </w:t>
            </w:r>
          </w:p>
        </w:tc>
        <w:tc>
          <w:tcPr>
            <w:tcW w:w="683" w:type="dxa"/>
            <w:tcBorders>
              <w:top w:val="nil"/>
              <w:left w:val="single" w:sz="8" w:space="0" w:color="auto"/>
              <w:bottom w:val="single" w:sz="8" w:space="0" w:color="auto"/>
              <w:right w:val="nil"/>
            </w:tcBorders>
            <w:noWrap/>
            <w:vAlign w:val="center"/>
            <w:hideMark/>
          </w:tcPr>
          <w:p w14:paraId="59493E28" w14:textId="77777777" w:rsidR="009630A9" w:rsidRPr="000C156A" w:rsidRDefault="009630A9" w:rsidP="005D02F0">
            <w:pPr>
              <w:overflowPunct/>
              <w:adjustRightInd/>
              <w:spacing w:before="0"/>
              <w:jc w:val="center"/>
              <w:rPr>
                <w:rFonts w:asciiTheme="minorHAnsi" w:hAnsiTheme="minorHAnsi" w:cs="Arial"/>
                <w:b/>
                <w:bCs/>
                <w:color w:val="000000"/>
                <w:sz w:val="16"/>
                <w:szCs w:val="16"/>
                <w:lang w:val="en-US" w:eastAsia="zh-CN"/>
              </w:rPr>
            </w:pPr>
            <w:r w:rsidRPr="000C156A">
              <w:rPr>
                <w:rFonts w:asciiTheme="minorHAnsi" w:hAnsiTheme="minorHAnsi" w:cs="Arial" w:hint="eastAsia"/>
                <w:b/>
                <w:bCs/>
                <w:color w:val="000000"/>
                <w:sz w:val="16"/>
                <w:szCs w:val="16"/>
                <w:lang w:val="en-US" w:eastAsia="zh-CN"/>
              </w:rPr>
              <w:t>预算</w:t>
            </w:r>
          </w:p>
        </w:tc>
        <w:tc>
          <w:tcPr>
            <w:tcW w:w="857" w:type="dxa"/>
            <w:tcBorders>
              <w:top w:val="nil"/>
              <w:left w:val="nil"/>
              <w:bottom w:val="single" w:sz="8" w:space="0" w:color="auto"/>
              <w:right w:val="single" w:sz="8" w:space="0" w:color="auto"/>
            </w:tcBorders>
            <w:noWrap/>
            <w:vAlign w:val="center"/>
            <w:hideMark/>
          </w:tcPr>
          <w:p w14:paraId="69E27CB7" w14:textId="77777777" w:rsidR="009630A9" w:rsidRPr="000C156A" w:rsidRDefault="009630A9" w:rsidP="005D02F0">
            <w:pPr>
              <w:overflowPunct/>
              <w:adjustRightInd/>
              <w:spacing w:before="0"/>
              <w:jc w:val="center"/>
              <w:rPr>
                <w:rFonts w:asciiTheme="minorHAnsi" w:hAnsiTheme="minorHAnsi" w:cs="Arial"/>
                <w:b/>
                <w:bCs/>
                <w:color w:val="000000"/>
                <w:sz w:val="16"/>
                <w:szCs w:val="16"/>
                <w:lang w:val="en-US" w:eastAsia="zh-CN"/>
              </w:rPr>
            </w:pPr>
            <w:r w:rsidRPr="000C156A">
              <w:rPr>
                <w:rFonts w:asciiTheme="minorHAnsi" w:hAnsiTheme="minorHAnsi" w:cs="Arial" w:hint="eastAsia"/>
                <w:b/>
                <w:bCs/>
                <w:color w:val="000000"/>
                <w:sz w:val="16"/>
                <w:szCs w:val="16"/>
                <w:lang w:val="en-US" w:eastAsia="zh-CN"/>
              </w:rPr>
              <w:t>实际</w:t>
            </w:r>
          </w:p>
        </w:tc>
        <w:tc>
          <w:tcPr>
            <w:tcW w:w="695" w:type="dxa"/>
            <w:tcBorders>
              <w:top w:val="nil"/>
              <w:left w:val="nil"/>
              <w:bottom w:val="single" w:sz="8" w:space="0" w:color="auto"/>
              <w:right w:val="nil"/>
            </w:tcBorders>
            <w:noWrap/>
            <w:vAlign w:val="center"/>
            <w:hideMark/>
          </w:tcPr>
          <w:p w14:paraId="30D75FCF" w14:textId="77777777" w:rsidR="009630A9" w:rsidRPr="000C156A" w:rsidRDefault="009630A9" w:rsidP="005D02F0">
            <w:pPr>
              <w:overflowPunct/>
              <w:adjustRightInd/>
              <w:spacing w:before="0"/>
              <w:jc w:val="center"/>
              <w:rPr>
                <w:rFonts w:asciiTheme="minorHAnsi" w:hAnsiTheme="minorHAnsi" w:cs="Arial"/>
                <w:b/>
                <w:bCs/>
                <w:color w:val="000000"/>
                <w:sz w:val="16"/>
                <w:szCs w:val="16"/>
                <w:lang w:val="en-US" w:eastAsia="zh-CN"/>
              </w:rPr>
            </w:pPr>
            <w:r w:rsidRPr="000C156A">
              <w:rPr>
                <w:rFonts w:asciiTheme="minorHAnsi" w:hAnsiTheme="minorHAnsi" w:cs="Arial" w:hint="eastAsia"/>
                <w:b/>
                <w:bCs/>
                <w:color w:val="000000"/>
                <w:sz w:val="16"/>
                <w:szCs w:val="16"/>
                <w:lang w:val="en-US" w:eastAsia="zh-CN"/>
              </w:rPr>
              <w:t>预算</w:t>
            </w:r>
          </w:p>
        </w:tc>
        <w:tc>
          <w:tcPr>
            <w:tcW w:w="866" w:type="dxa"/>
            <w:tcBorders>
              <w:top w:val="nil"/>
              <w:left w:val="nil"/>
              <w:bottom w:val="single" w:sz="8" w:space="0" w:color="auto"/>
              <w:right w:val="single" w:sz="8" w:space="0" w:color="auto"/>
            </w:tcBorders>
            <w:noWrap/>
            <w:vAlign w:val="center"/>
            <w:hideMark/>
          </w:tcPr>
          <w:p w14:paraId="51834E2E" w14:textId="77777777" w:rsidR="009630A9" w:rsidRPr="000C156A" w:rsidRDefault="009630A9" w:rsidP="005D02F0">
            <w:pPr>
              <w:overflowPunct/>
              <w:adjustRightInd/>
              <w:spacing w:before="0"/>
              <w:jc w:val="center"/>
              <w:rPr>
                <w:rFonts w:asciiTheme="minorHAnsi" w:hAnsiTheme="minorHAnsi" w:cs="Arial"/>
                <w:b/>
                <w:bCs/>
                <w:color w:val="000000"/>
                <w:sz w:val="16"/>
                <w:szCs w:val="16"/>
                <w:lang w:val="en-US" w:eastAsia="zh-CN"/>
              </w:rPr>
            </w:pPr>
            <w:r w:rsidRPr="000C156A">
              <w:rPr>
                <w:rFonts w:asciiTheme="minorHAnsi" w:hAnsiTheme="minorHAnsi" w:cs="Arial" w:hint="eastAsia"/>
                <w:b/>
                <w:bCs/>
                <w:color w:val="000000"/>
                <w:sz w:val="16"/>
                <w:szCs w:val="16"/>
                <w:lang w:val="en-US" w:eastAsia="zh-CN"/>
              </w:rPr>
              <w:t>实际</w:t>
            </w:r>
          </w:p>
        </w:tc>
        <w:tc>
          <w:tcPr>
            <w:tcW w:w="711" w:type="dxa"/>
            <w:tcBorders>
              <w:top w:val="nil"/>
              <w:left w:val="nil"/>
              <w:bottom w:val="single" w:sz="8" w:space="0" w:color="auto"/>
              <w:right w:val="nil"/>
            </w:tcBorders>
            <w:noWrap/>
            <w:vAlign w:val="center"/>
            <w:hideMark/>
          </w:tcPr>
          <w:p w14:paraId="355B2D94" w14:textId="77777777" w:rsidR="009630A9" w:rsidRPr="000C156A" w:rsidRDefault="009630A9" w:rsidP="005D02F0">
            <w:pPr>
              <w:overflowPunct/>
              <w:adjustRightInd/>
              <w:spacing w:before="0"/>
              <w:jc w:val="center"/>
              <w:rPr>
                <w:rFonts w:asciiTheme="minorHAnsi" w:hAnsiTheme="minorHAnsi" w:cs="Arial"/>
                <w:b/>
                <w:bCs/>
                <w:color w:val="000000"/>
                <w:sz w:val="16"/>
                <w:szCs w:val="16"/>
                <w:lang w:val="en-US" w:eastAsia="zh-CN"/>
              </w:rPr>
            </w:pPr>
            <w:r w:rsidRPr="000C156A">
              <w:rPr>
                <w:rFonts w:asciiTheme="minorHAnsi" w:hAnsiTheme="minorHAnsi" w:cs="Arial" w:hint="eastAsia"/>
                <w:b/>
                <w:bCs/>
                <w:color w:val="000000"/>
                <w:sz w:val="16"/>
                <w:szCs w:val="16"/>
                <w:lang w:val="en-US" w:eastAsia="zh-CN"/>
              </w:rPr>
              <w:t>预算</w:t>
            </w:r>
          </w:p>
        </w:tc>
        <w:tc>
          <w:tcPr>
            <w:tcW w:w="726" w:type="dxa"/>
            <w:tcBorders>
              <w:top w:val="nil"/>
              <w:left w:val="nil"/>
              <w:bottom w:val="single" w:sz="8" w:space="0" w:color="auto"/>
              <w:right w:val="single" w:sz="8" w:space="0" w:color="auto"/>
            </w:tcBorders>
            <w:noWrap/>
            <w:vAlign w:val="center"/>
            <w:hideMark/>
          </w:tcPr>
          <w:p w14:paraId="05F04BB4" w14:textId="77777777" w:rsidR="009630A9" w:rsidRPr="000C156A" w:rsidRDefault="009630A9" w:rsidP="005D02F0">
            <w:pPr>
              <w:overflowPunct/>
              <w:adjustRightInd/>
              <w:spacing w:before="0"/>
              <w:jc w:val="center"/>
              <w:rPr>
                <w:rFonts w:asciiTheme="minorHAnsi" w:hAnsiTheme="minorHAnsi" w:cs="Arial"/>
                <w:b/>
                <w:bCs/>
                <w:color w:val="000000"/>
                <w:sz w:val="16"/>
                <w:szCs w:val="16"/>
                <w:lang w:val="en-US" w:eastAsia="zh-CN"/>
              </w:rPr>
            </w:pPr>
            <w:r w:rsidRPr="000C156A">
              <w:rPr>
                <w:rFonts w:asciiTheme="minorHAnsi" w:hAnsiTheme="minorHAnsi" w:cs="Arial" w:hint="eastAsia"/>
                <w:b/>
                <w:bCs/>
                <w:color w:val="000000"/>
                <w:sz w:val="16"/>
                <w:szCs w:val="16"/>
                <w:lang w:val="en-US" w:eastAsia="zh-CN"/>
              </w:rPr>
              <w:t>实际</w:t>
            </w:r>
          </w:p>
        </w:tc>
        <w:tc>
          <w:tcPr>
            <w:tcW w:w="789" w:type="dxa"/>
            <w:tcBorders>
              <w:top w:val="nil"/>
              <w:left w:val="nil"/>
              <w:bottom w:val="single" w:sz="8" w:space="0" w:color="auto"/>
              <w:right w:val="nil"/>
            </w:tcBorders>
            <w:noWrap/>
            <w:vAlign w:val="center"/>
            <w:hideMark/>
          </w:tcPr>
          <w:p w14:paraId="6E94F00F" w14:textId="77777777" w:rsidR="009630A9" w:rsidRPr="000C156A" w:rsidRDefault="009630A9" w:rsidP="005D02F0">
            <w:pPr>
              <w:overflowPunct/>
              <w:adjustRightInd/>
              <w:spacing w:before="0"/>
              <w:jc w:val="center"/>
              <w:rPr>
                <w:rFonts w:asciiTheme="minorHAnsi" w:hAnsiTheme="minorHAnsi" w:cs="Arial"/>
                <w:b/>
                <w:bCs/>
                <w:color w:val="000000"/>
                <w:sz w:val="16"/>
                <w:szCs w:val="16"/>
                <w:lang w:val="en-US" w:eastAsia="zh-CN"/>
              </w:rPr>
            </w:pPr>
            <w:r w:rsidRPr="000C156A">
              <w:rPr>
                <w:rFonts w:asciiTheme="minorHAnsi" w:hAnsiTheme="minorHAnsi" w:cs="Arial" w:hint="eastAsia"/>
                <w:b/>
                <w:bCs/>
                <w:color w:val="000000"/>
                <w:sz w:val="16"/>
                <w:szCs w:val="16"/>
                <w:lang w:val="en-US" w:eastAsia="zh-CN"/>
              </w:rPr>
              <w:t>预算</w:t>
            </w:r>
          </w:p>
        </w:tc>
        <w:tc>
          <w:tcPr>
            <w:tcW w:w="683" w:type="dxa"/>
            <w:tcBorders>
              <w:top w:val="nil"/>
              <w:left w:val="nil"/>
              <w:bottom w:val="single" w:sz="8" w:space="0" w:color="auto"/>
              <w:right w:val="single" w:sz="8" w:space="0" w:color="auto"/>
            </w:tcBorders>
            <w:noWrap/>
            <w:vAlign w:val="center"/>
            <w:hideMark/>
          </w:tcPr>
          <w:p w14:paraId="62CA6E14" w14:textId="77777777" w:rsidR="009630A9" w:rsidRPr="000C156A" w:rsidRDefault="009630A9" w:rsidP="005D02F0">
            <w:pPr>
              <w:overflowPunct/>
              <w:adjustRightInd/>
              <w:spacing w:before="0"/>
              <w:jc w:val="center"/>
              <w:rPr>
                <w:rFonts w:asciiTheme="minorHAnsi" w:hAnsiTheme="minorHAnsi" w:cs="Arial"/>
                <w:b/>
                <w:bCs/>
                <w:color w:val="000000"/>
                <w:sz w:val="16"/>
                <w:szCs w:val="16"/>
                <w:lang w:val="en-US" w:eastAsia="zh-CN"/>
              </w:rPr>
            </w:pPr>
            <w:r w:rsidRPr="000C156A">
              <w:rPr>
                <w:rFonts w:asciiTheme="minorHAnsi" w:hAnsiTheme="minorHAnsi" w:cs="Arial" w:hint="eastAsia"/>
                <w:b/>
                <w:bCs/>
                <w:color w:val="000000"/>
                <w:sz w:val="16"/>
                <w:szCs w:val="16"/>
                <w:lang w:val="en-US" w:eastAsia="zh-CN"/>
              </w:rPr>
              <w:t>实际</w:t>
            </w:r>
          </w:p>
        </w:tc>
        <w:tc>
          <w:tcPr>
            <w:tcW w:w="693" w:type="dxa"/>
            <w:tcBorders>
              <w:top w:val="nil"/>
              <w:left w:val="nil"/>
              <w:bottom w:val="single" w:sz="8" w:space="0" w:color="auto"/>
              <w:right w:val="nil"/>
            </w:tcBorders>
            <w:noWrap/>
            <w:vAlign w:val="center"/>
            <w:hideMark/>
          </w:tcPr>
          <w:p w14:paraId="0AEDCE36" w14:textId="77777777" w:rsidR="009630A9" w:rsidRPr="000C156A" w:rsidRDefault="009630A9" w:rsidP="005D02F0">
            <w:pPr>
              <w:overflowPunct/>
              <w:adjustRightInd/>
              <w:spacing w:before="0"/>
              <w:jc w:val="center"/>
              <w:rPr>
                <w:rFonts w:asciiTheme="minorHAnsi" w:hAnsiTheme="minorHAnsi" w:cs="Arial"/>
                <w:b/>
                <w:bCs/>
                <w:color w:val="000000"/>
                <w:sz w:val="16"/>
                <w:szCs w:val="16"/>
                <w:lang w:val="en-US" w:eastAsia="zh-CN"/>
              </w:rPr>
            </w:pPr>
            <w:r w:rsidRPr="000C156A">
              <w:rPr>
                <w:rFonts w:asciiTheme="minorHAnsi" w:hAnsiTheme="minorHAnsi" w:cs="Arial" w:hint="eastAsia"/>
                <w:b/>
                <w:bCs/>
                <w:color w:val="000000"/>
                <w:sz w:val="16"/>
                <w:szCs w:val="16"/>
                <w:lang w:val="en-US" w:eastAsia="zh-CN"/>
              </w:rPr>
              <w:t>预算</w:t>
            </w:r>
          </w:p>
        </w:tc>
        <w:tc>
          <w:tcPr>
            <w:tcW w:w="726" w:type="dxa"/>
            <w:tcBorders>
              <w:top w:val="nil"/>
              <w:left w:val="nil"/>
              <w:bottom w:val="single" w:sz="8" w:space="0" w:color="auto"/>
              <w:right w:val="single" w:sz="8" w:space="0" w:color="auto"/>
            </w:tcBorders>
            <w:noWrap/>
            <w:vAlign w:val="center"/>
            <w:hideMark/>
          </w:tcPr>
          <w:p w14:paraId="600C9208" w14:textId="77777777" w:rsidR="009630A9" w:rsidRPr="000C156A" w:rsidRDefault="009630A9" w:rsidP="005D02F0">
            <w:pPr>
              <w:overflowPunct/>
              <w:adjustRightInd/>
              <w:spacing w:before="0"/>
              <w:jc w:val="center"/>
              <w:rPr>
                <w:rFonts w:asciiTheme="minorHAnsi" w:hAnsiTheme="minorHAnsi" w:cs="Arial"/>
                <w:b/>
                <w:bCs/>
                <w:color w:val="000000"/>
                <w:sz w:val="16"/>
                <w:szCs w:val="16"/>
                <w:lang w:val="en-US" w:eastAsia="zh-CN"/>
              </w:rPr>
            </w:pPr>
            <w:r w:rsidRPr="000C156A">
              <w:rPr>
                <w:rFonts w:asciiTheme="minorHAnsi" w:hAnsiTheme="minorHAnsi" w:cs="Arial" w:hint="eastAsia"/>
                <w:b/>
                <w:bCs/>
                <w:color w:val="000000"/>
                <w:sz w:val="16"/>
                <w:szCs w:val="16"/>
                <w:lang w:val="en-US" w:eastAsia="zh-CN"/>
              </w:rPr>
              <w:t>实际</w:t>
            </w:r>
          </w:p>
        </w:tc>
        <w:tc>
          <w:tcPr>
            <w:tcW w:w="678" w:type="dxa"/>
            <w:tcBorders>
              <w:top w:val="nil"/>
              <w:left w:val="nil"/>
              <w:bottom w:val="single" w:sz="8" w:space="0" w:color="auto"/>
              <w:right w:val="nil"/>
            </w:tcBorders>
            <w:noWrap/>
            <w:vAlign w:val="center"/>
            <w:hideMark/>
          </w:tcPr>
          <w:p w14:paraId="5D4B2162" w14:textId="77777777" w:rsidR="009630A9" w:rsidRPr="000C156A" w:rsidRDefault="009630A9" w:rsidP="005D02F0">
            <w:pPr>
              <w:overflowPunct/>
              <w:adjustRightInd/>
              <w:spacing w:before="0"/>
              <w:jc w:val="center"/>
              <w:rPr>
                <w:rFonts w:asciiTheme="minorHAnsi" w:hAnsiTheme="minorHAnsi" w:cs="Arial"/>
                <w:b/>
                <w:bCs/>
                <w:color w:val="000000"/>
                <w:sz w:val="16"/>
                <w:szCs w:val="16"/>
                <w:lang w:val="en-US" w:eastAsia="zh-CN"/>
              </w:rPr>
            </w:pPr>
            <w:r w:rsidRPr="000C156A">
              <w:rPr>
                <w:rFonts w:asciiTheme="minorHAnsi" w:hAnsiTheme="minorHAnsi" w:cs="Arial" w:hint="eastAsia"/>
                <w:b/>
                <w:bCs/>
                <w:color w:val="000000"/>
                <w:sz w:val="16"/>
                <w:szCs w:val="16"/>
                <w:lang w:val="en-US" w:eastAsia="zh-CN"/>
              </w:rPr>
              <w:t>预算</w:t>
            </w:r>
          </w:p>
        </w:tc>
        <w:tc>
          <w:tcPr>
            <w:tcW w:w="726" w:type="dxa"/>
            <w:tcBorders>
              <w:top w:val="nil"/>
              <w:left w:val="nil"/>
              <w:bottom w:val="single" w:sz="8" w:space="0" w:color="auto"/>
              <w:right w:val="single" w:sz="8" w:space="0" w:color="auto"/>
            </w:tcBorders>
            <w:noWrap/>
            <w:vAlign w:val="center"/>
            <w:hideMark/>
          </w:tcPr>
          <w:p w14:paraId="264C9CB2" w14:textId="77777777" w:rsidR="009630A9" w:rsidRPr="000C156A" w:rsidRDefault="009630A9" w:rsidP="005D02F0">
            <w:pPr>
              <w:overflowPunct/>
              <w:adjustRightInd/>
              <w:spacing w:before="0"/>
              <w:jc w:val="center"/>
              <w:rPr>
                <w:rFonts w:asciiTheme="minorHAnsi" w:hAnsiTheme="minorHAnsi" w:cs="Arial"/>
                <w:b/>
                <w:bCs/>
                <w:color w:val="000000"/>
                <w:sz w:val="16"/>
                <w:szCs w:val="16"/>
                <w:lang w:val="en-US" w:eastAsia="zh-CN"/>
              </w:rPr>
            </w:pPr>
            <w:r w:rsidRPr="000C156A">
              <w:rPr>
                <w:rFonts w:asciiTheme="minorHAnsi" w:hAnsiTheme="minorHAnsi" w:cs="Arial" w:hint="eastAsia"/>
                <w:b/>
                <w:bCs/>
                <w:color w:val="000000"/>
                <w:sz w:val="16"/>
                <w:szCs w:val="16"/>
                <w:lang w:val="en-US" w:eastAsia="zh-CN"/>
              </w:rPr>
              <w:t>实际</w:t>
            </w:r>
          </w:p>
        </w:tc>
      </w:tr>
      <w:tr w:rsidR="009630A9" w:rsidRPr="000C156A" w14:paraId="3A3BC73B" w14:textId="77777777" w:rsidTr="0011120B">
        <w:trPr>
          <w:trHeight w:val="245"/>
        </w:trPr>
        <w:tc>
          <w:tcPr>
            <w:tcW w:w="1886" w:type="dxa"/>
            <w:tcBorders>
              <w:top w:val="nil"/>
              <w:left w:val="single" w:sz="8" w:space="0" w:color="auto"/>
              <w:bottom w:val="nil"/>
              <w:right w:val="nil"/>
            </w:tcBorders>
            <w:noWrap/>
            <w:vAlign w:val="center"/>
            <w:hideMark/>
          </w:tcPr>
          <w:p w14:paraId="5A2B621F" w14:textId="77777777" w:rsidR="009630A9" w:rsidRPr="000C156A" w:rsidRDefault="009630A9" w:rsidP="005D02F0">
            <w:pPr>
              <w:spacing w:before="40" w:after="40"/>
              <w:rPr>
                <w:noProof/>
                <w:sz w:val="16"/>
                <w:szCs w:val="16"/>
                <w:lang w:val="en-US"/>
              </w:rPr>
            </w:pPr>
            <w:r w:rsidRPr="000C156A">
              <w:rPr>
                <w:rFonts w:hint="eastAsia"/>
                <w:noProof/>
                <w:sz w:val="16"/>
                <w:szCs w:val="16"/>
                <w:lang w:val="en-US"/>
              </w:rPr>
              <w:t>人员费用</w:t>
            </w:r>
          </w:p>
        </w:tc>
        <w:tc>
          <w:tcPr>
            <w:tcW w:w="683" w:type="dxa"/>
            <w:tcBorders>
              <w:top w:val="nil"/>
              <w:left w:val="single" w:sz="8" w:space="0" w:color="auto"/>
              <w:bottom w:val="nil"/>
              <w:right w:val="single" w:sz="4" w:space="0" w:color="auto"/>
            </w:tcBorders>
            <w:shd w:val="clear" w:color="auto" w:fill="auto"/>
            <w:noWrap/>
            <w:vAlign w:val="center"/>
            <w:hideMark/>
          </w:tcPr>
          <w:p w14:paraId="4D603007" w14:textId="335D32B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2</w:t>
            </w:r>
            <w:r w:rsidR="0011120B" w:rsidRPr="000C156A">
              <w:rPr>
                <w:rFonts w:asciiTheme="minorHAnsi" w:hAnsiTheme="minorHAnsi" w:cstheme="minorHAnsi"/>
                <w:color w:val="000000"/>
                <w:sz w:val="16"/>
                <w:szCs w:val="16"/>
                <w:lang w:eastAsia="en-GB"/>
              </w:rPr>
              <w:t xml:space="preserve"> </w:t>
            </w:r>
            <w:r w:rsidRPr="000C156A">
              <w:rPr>
                <w:rFonts w:asciiTheme="minorHAnsi" w:hAnsiTheme="minorHAnsi" w:cstheme="minorHAnsi"/>
                <w:color w:val="000000"/>
                <w:sz w:val="16"/>
                <w:szCs w:val="16"/>
                <w:lang w:eastAsia="en-GB"/>
              </w:rPr>
              <w:t>0</w:t>
            </w:r>
            <w:r w:rsidRPr="000C156A">
              <w:rPr>
                <w:rFonts w:asciiTheme="minorHAnsi" w:hAnsiTheme="minorHAnsi" w:cstheme="minorHAnsi" w:hint="eastAsia"/>
                <w:color w:val="000000"/>
                <w:sz w:val="16"/>
                <w:szCs w:val="16"/>
                <w:lang w:eastAsia="zh-CN"/>
              </w:rPr>
              <w:t>53</w:t>
            </w:r>
          </w:p>
        </w:tc>
        <w:tc>
          <w:tcPr>
            <w:tcW w:w="857" w:type="dxa"/>
            <w:tcBorders>
              <w:top w:val="nil"/>
              <w:left w:val="nil"/>
              <w:bottom w:val="nil"/>
              <w:right w:val="single" w:sz="8" w:space="0" w:color="auto"/>
            </w:tcBorders>
            <w:shd w:val="clear" w:color="auto" w:fill="auto"/>
            <w:noWrap/>
            <w:vAlign w:val="center"/>
            <w:hideMark/>
          </w:tcPr>
          <w:p w14:paraId="7E1F648A" w14:textId="6393A731"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1</w:t>
            </w:r>
            <w:r w:rsidR="0011120B" w:rsidRPr="000C156A">
              <w:rPr>
                <w:rFonts w:asciiTheme="minorHAnsi" w:hAnsiTheme="minorHAnsi" w:cstheme="minorHAnsi"/>
                <w:color w:val="000000"/>
                <w:sz w:val="16"/>
                <w:szCs w:val="16"/>
                <w:lang w:eastAsia="en-GB"/>
              </w:rPr>
              <w:t xml:space="preserve"> </w:t>
            </w:r>
            <w:r w:rsidRPr="000C156A">
              <w:rPr>
                <w:rFonts w:asciiTheme="minorHAnsi" w:hAnsiTheme="minorHAnsi" w:cstheme="minorHAnsi"/>
                <w:color w:val="000000"/>
                <w:sz w:val="16"/>
                <w:szCs w:val="16"/>
                <w:lang w:eastAsia="en-GB"/>
              </w:rPr>
              <w:t>9</w:t>
            </w:r>
            <w:r w:rsidRPr="000C156A">
              <w:rPr>
                <w:rFonts w:asciiTheme="minorHAnsi" w:hAnsiTheme="minorHAnsi" w:cstheme="minorHAnsi" w:hint="eastAsia"/>
                <w:color w:val="000000"/>
                <w:sz w:val="16"/>
                <w:szCs w:val="16"/>
                <w:lang w:eastAsia="zh-CN"/>
              </w:rPr>
              <w:t>57</w:t>
            </w:r>
          </w:p>
        </w:tc>
        <w:tc>
          <w:tcPr>
            <w:tcW w:w="695" w:type="dxa"/>
            <w:tcBorders>
              <w:top w:val="nil"/>
              <w:left w:val="nil"/>
              <w:bottom w:val="nil"/>
              <w:right w:val="single" w:sz="4" w:space="0" w:color="auto"/>
            </w:tcBorders>
            <w:shd w:val="clear" w:color="auto" w:fill="auto"/>
            <w:noWrap/>
            <w:vAlign w:val="center"/>
            <w:hideMark/>
          </w:tcPr>
          <w:p w14:paraId="156106D5" w14:textId="3D86D3E5"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hint="eastAsia"/>
                <w:color w:val="000000"/>
                <w:sz w:val="16"/>
                <w:szCs w:val="16"/>
                <w:lang w:eastAsia="zh-CN"/>
              </w:rPr>
              <w:t>1</w:t>
            </w:r>
            <w:r w:rsidR="0011120B" w:rsidRPr="000C156A">
              <w:rPr>
                <w:rFonts w:asciiTheme="minorHAnsi" w:hAnsiTheme="minorHAnsi" w:cstheme="minorHAnsi"/>
                <w:color w:val="000000"/>
                <w:sz w:val="16"/>
                <w:szCs w:val="16"/>
                <w:lang w:eastAsia="zh-CN"/>
              </w:rPr>
              <w:t xml:space="preserve"> </w:t>
            </w:r>
            <w:r w:rsidRPr="000C156A">
              <w:rPr>
                <w:rFonts w:asciiTheme="minorHAnsi" w:hAnsiTheme="minorHAnsi" w:cstheme="minorHAnsi" w:hint="eastAsia"/>
                <w:color w:val="000000"/>
                <w:sz w:val="16"/>
                <w:szCs w:val="16"/>
                <w:lang w:eastAsia="zh-CN"/>
              </w:rPr>
              <w:t>922</w:t>
            </w:r>
          </w:p>
        </w:tc>
        <w:tc>
          <w:tcPr>
            <w:tcW w:w="866" w:type="dxa"/>
            <w:tcBorders>
              <w:top w:val="nil"/>
              <w:left w:val="nil"/>
              <w:bottom w:val="nil"/>
              <w:right w:val="single" w:sz="8" w:space="0" w:color="auto"/>
            </w:tcBorders>
            <w:shd w:val="clear" w:color="auto" w:fill="auto"/>
            <w:noWrap/>
            <w:vAlign w:val="center"/>
            <w:hideMark/>
          </w:tcPr>
          <w:p w14:paraId="464FE73B" w14:textId="3EEDC8D5"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1</w:t>
            </w:r>
            <w:r w:rsidR="0011120B" w:rsidRPr="000C156A">
              <w:rPr>
                <w:rFonts w:asciiTheme="minorHAnsi" w:hAnsiTheme="minorHAnsi" w:cstheme="minorHAnsi"/>
                <w:color w:val="000000"/>
                <w:sz w:val="16"/>
                <w:szCs w:val="16"/>
                <w:lang w:eastAsia="en-GB"/>
              </w:rPr>
              <w:t xml:space="preserve"> </w:t>
            </w:r>
            <w:r w:rsidRPr="000C156A">
              <w:rPr>
                <w:rFonts w:asciiTheme="minorHAnsi" w:hAnsiTheme="minorHAnsi" w:cstheme="minorHAnsi"/>
                <w:color w:val="000000"/>
                <w:sz w:val="16"/>
                <w:szCs w:val="16"/>
                <w:lang w:eastAsia="en-GB"/>
              </w:rPr>
              <w:t>801</w:t>
            </w:r>
          </w:p>
        </w:tc>
        <w:tc>
          <w:tcPr>
            <w:tcW w:w="711" w:type="dxa"/>
            <w:tcBorders>
              <w:top w:val="nil"/>
              <w:left w:val="nil"/>
              <w:bottom w:val="nil"/>
              <w:right w:val="single" w:sz="4" w:space="0" w:color="auto"/>
            </w:tcBorders>
            <w:shd w:val="clear" w:color="auto" w:fill="auto"/>
            <w:noWrap/>
            <w:vAlign w:val="center"/>
            <w:hideMark/>
          </w:tcPr>
          <w:p w14:paraId="026691B6"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863</w:t>
            </w:r>
          </w:p>
        </w:tc>
        <w:tc>
          <w:tcPr>
            <w:tcW w:w="726" w:type="dxa"/>
            <w:tcBorders>
              <w:top w:val="nil"/>
              <w:left w:val="nil"/>
              <w:bottom w:val="nil"/>
              <w:right w:val="single" w:sz="8" w:space="0" w:color="auto"/>
            </w:tcBorders>
            <w:shd w:val="clear" w:color="auto" w:fill="auto"/>
            <w:noWrap/>
            <w:vAlign w:val="center"/>
            <w:hideMark/>
          </w:tcPr>
          <w:p w14:paraId="33F0AD56"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826</w:t>
            </w:r>
          </w:p>
        </w:tc>
        <w:tc>
          <w:tcPr>
            <w:tcW w:w="789" w:type="dxa"/>
            <w:tcBorders>
              <w:top w:val="nil"/>
              <w:left w:val="nil"/>
              <w:bottom w:val="nil"/>
              <w:right w:val="single" w:sz="4" w:space="0" w:color="auto"/>
            </w:tcBorders>
            <w:shd w:val="clear" w:color="auto" w:fill="auto"/>
            <w:noWrap/>
            <w:vAlign w:val="center"/>
            <w:hideMark/>
          </w:tcPr>
          <w:p w14:paraId="33369B41" w14:textId="4BC5DC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1</w:t>
            </w:r>
            <w:r w:rsidR="0011120B" w:rsidRPr="000C156A">
              <w:rPr>
                <w:rFonts w:asciiTheme="minorHAnsi" w:hAnsiTheme="minorHAnsi" w:cstheme="minorHAnsi"/>
                <w:color w:val="000000"/>
                <w:sz w:val="16"/>
                <w:szCs w:val="16"/>
                <w:lang w:eastAsia="en-GB"/>
              </w:rPr>
              <w:t xml:space="preserve"> </w:t>
            </w:r>
            <w:r w:rsidRPr="000C156A">
              <w:rPr>
                <w:rFonts w:asciiTheme="minorHAnsi" w:hAnsiTheme="minorHAnsi" w:cstheme="minorHAnsi"/>
                <w:color w:val="000000"/>
                <w:sz w:val="16"/>
                <w:szCs w:val="16"/>
                <w:lang w:eastAsia="en-GB"/>
              </w:rPr>
              <w:t>260</w:t>
            </w:r>
          </w:p>
        </w:tc>
        <w:tc>
          <w:tcPr>
            <w:tcW w:w="683" w:type="dxa"/>
            <w:tcBorders>
              <w:top w:val="nil"/>
              <w:left w:val="nil"/>
              <w:bottom w:val="nil"/>
              <w:right w:val="single" w:sz="8" w:space="0" w:color="auto"/>
            </w:tcBorders>
            <w:shd w:val="clear" w:color="auto" w:fill="auto"/>
            <w:noWrap/>
            <w:vAlign w:val="center"/>
            <w:hideMark/>
          </w:tcPr>
          <w:p w14:paraId="50EEE361" w14:textId="39E0889B"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1</w:t>
            </w:r>
            <w:r w:rsidR="0011120B" w:rsidRPr="000C156A">
              <w:rPr>
                <w:rFonts w:asciiTheme="minorHAnsi" w:hAnsiTheme="minorHAnsi" w:cstheme="minorHAnsi"/>
                <w:color w:val="000000"/>
                <w:sz w:val="16"/>
                <w:szCs w:val="16"/>
                <w:lang w:eastAsia="en-GB"/>
              </w:rPr>
              <w:t xml:space="preserve"> </w:t>
            </w:r>
            <w:r w:rsidRPr="000C156A">
              <w:rPr>
                <w:rFonts w:asciiTheme="minorHAnsi" w:hAnsiTheme="minorHAnsi" w:cstheme="minorHAnsi"/>
                <w:color w:val="000000"/>
                <w:sz w:val="16"/>
                <w:szCs w:val="16"/>
                <w:lang w:eastAsia="en-GB"/>
              </w:rPr>
              <w:t>250</w:t>
            </w:r>
          </w:p>
        </w:tc>
        <w:tc>
          <w:tcPr>
            <w:tcW w:w="693" w:type="dxa"/>
            <w:tcBorders>
              <w:top w:val="nil"/>
              <w:left w:val="nil"/>
              <w:bottom w:val="nil"/>
              <w:right w:val="single" w:sz="4" w:space="0" w:color="auto"/>
            </w:tcBorders>
            <w:shd w:val="clear" w:color="auto" w:fill="auto"/>
            <w:noWrap/>
            <w:vAlign w:val="center"/>
            <w:hideMark/>
          </w:tcPr>
          <w:p w14:paraId="7795E71D"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4</w:t>
            </w:r>
            <w:r w:rsidRPr="000C156A">
              <w:rPr>
                <w:rFonts w:asciiTheme="minorHAnsi" w:hAnsiTheme="minorHAnsi" w:cstheme="minorHAnsi" w:hint="eastAsia"/>
                <w:color w:val="000000"/>
                <w:sz w:val="16"/>
                <w:szCs w:val="16"/>
                <w:lang w:eastAsia="zh-CN"/>
              </w:rPr>
              <w:t>61</w:t>
            </w:r>
          </w:p>
        </w:tc>
        <w:tc>
          <w:tcPr>
            <w:tcW w:w="726" w:type="dxa"/>
            <w:tcBorders>
              <w:top w:val="nil"/>
              <w:left w:val="nil"/>
              <w:bottom w:val="nil"/>
              <w:right w:val="single" w:sz="8" w:space="0" w:color="auto"/>
            </w:tcBorders>
            <w:shd w:val="clear" w:color="auto" w:fill="auto"/>
            <w:noWrap/>
            <w:vAlign w:val="center"/>
            <w:hideMark/>
          </w:tcPr>
          <w:p w14:paraId="4CD02C6F"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3</w:t>
            </w:r>
            <w:r w:rsidRPr="000C156A">
              <w:rPr>
                <w:rFonts w:asciiTheme="minorHAnsi" w:hAnsiTheme="minorHAnsi" w:cstheme="minorHAnsi" w:hint="eastAsia"/>
                <w:color w:val="000000"/>
                <w:sz w:val="16"/>
                <w:szCs w:val="16"/>
                <w:lang w:eastAsia="zh-CN"/>
              </w:rPr>
              <w:t>76</w:t>
            </w:r>
          </w:p>
        </w:tc>
        <w:tc>
          <w:tcPr>
            <w:tcW w:w="678" w:type="dxa"/>
            <w:tcBorders>
              <w:top w:val="nil"/>
              <w:left w:val="nil"/>
              <w:bottom w:val="nil"/>
              <w:right w:val="single" w:sz="4" w:space="0" w:color="auto"/>
            </w:tcBorders>
            <w:shd w:val="clear" w:color="auto" w:fill="auto"/>
            <w:noWrap/>
            <w:vAlign w:val="center"/>
            <w:hideMark/>
          </w:tcPr>
          <w:p w14:paraId="6945838D"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hint="eastAsia"/>
                <w:color w:val="000000"/>
                <w:sz w:val="16"/>
                <w:szCs w:val="16"/>
                <w:lang w:eastAsia="zh-CN"/>
              </w:rPr>
              <w:t>513</w:t>
            </w:r>
          </w:p>
        </w:tc>
        <w:tc>
          <w:tcPr>
            <w:tcW w:w="726" w:type="dxa"/>
            <w:tcBorders>
              <w:top w:val="nil"/>
              <w:left w:val="nil"/>
              <w:bottom w:val="nil"/>
              <w:right w:val="single" w:sz="8" w:space="0" w:color="auto"/>
            </w:tcBorders>
            <w:shd w:val="clear" w:color="auto" w:fill="auto"/>
            <w:noWrap/>
            <w:vAlign w:val="center"/>
            <w:hideMark/>
          </w:tcPr>
          <w:p w14:paraId="2AD4A146"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hint="eastAsia"/>
                <w:color w:val="000000"/>
                <w:sz w:val="16"/>
                <w:szCs w:val="16"/>
                <w:lang w:eastAsia="zh-CN"/>
              </w:rPr>
              <w:t>373</w:t>
            </w:r>
          </w:p>
        </w:tc>
      </w:tr>
      <w:tr w:rsidR="009630A9" w:rsidRPr="000C156A" w14:paraId="4833C282" w14:textId="77777777" w:rsidTr="0011120B">
        <w:trPr>
          <w:trHeight w:val="245"/>
        </w:trPr>
        <w:tc>
          <w:tcPr>
            <w:tcW w:w="1886" w:type="dxa"/>
            <w:tcBorders>
              <w:top w:val="nil"/>
              <w:left w:val="single" w:sz="8" w:space="0" w:color="auto"/>
              <w:bottom w:val="nil"/>
              <w:right w:val="nil"/>
            </w:tcBorders>
            <w:noWrap/>
            <w:vAlign w:val="center"/>
            <w:hideMark/>
          </w:tcPr>
          <w:p w14:paraId="2257033E" w14:textId="77777777" w:rsidR="009630A9" w:rsidRPr="000C156A" w:rsidRDefault="009630A9" w:rsidP="005D02F0">
            <w:pPr>
              <w:spacing w:before="40" w:after="40"/>
              <w:rPr>
                <w:noProof/>
                <w:sz w:val="16"/>
                <w:szCs w:val="16"/>
                <w:lang w:val="en-US"/>
              </w:rPr>
            </w:pPr>
            <w:r w:rsidRPr="000C156A">
              <w:rPr>
                <w:rFonts w:hint="eastAsia"/>
                <w:noProof/>
                <w:sz w:val="16"/>
                <w:szCs w:val="16"/>
                <w:lang w:val="en-US" w:eastAsia="zh-CN"/>
              </w:rPr>
              <w:t>公务</w:t>
            </w:r>
            <w:r w:rsidRPr="000C156A">
              <w:rPr>
                <w:rFonts w:hint="eastAsia"/>
                <w:noProof/>
                <w:sz w:val="16"/>
                <w:szCs w:val="16"/>
                <w:lang w:val="en-US"/>
              </w:rPr>
              <w:t>费用</w:t>
            </w:r>
          </w:p>
        </w:tc>
        <w:tc>
          <w:tcPr>
            <w:tcW w:w="683" w:type="dxa"/>
            <w:tcBorders>
              <w:top w:val="nil"/>
              <w:left w:val="single" w:sz="8" w:space="0" w:color="auto"/>
              <w:bottom w:val="nil"/>
              <w:right w:val="single" w:sz="4" w:space="0" w:color="auto"/>
            </w:tcBorders>
            <w:shd w:val="clear" w:color="auto" w:fill="auto"/>
            <w:noWrap/>
            <w:vAlign w:val="center"/>
            <w:hideMark/>
          </w:tcPr>
          <w:p w14:paraId="7F242F12"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50</w:t>
            </w:r>
          </w:p>
        </w:tc>
        <w:tc>
          <w:tcPr>
            <w:tcW w:w="857" w:type="dxa"/>
            <w:tcBorders>
              <w:top w:val="nil"/>
              <w:left w:val="nil"/>
              <w:bottom w:val="nil"/>
              <w:right w:val="single" w:sz="8" w:space="0" w:color="auto"/>
            </w:tcBorders>
            <w:shd w:val="clear" w:color="auto" w:fill="auto"/>
            <w:noWrap/>
            <w:vAlign w:val="center"/>
            <w:hideMark/>
          </w:tcPr>
          <w:p w14:paraId="2A2EC5AB"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hint="eastAsia"/>
                <w:color w:val="000000"/>
                <w:sz w:val="16"/>
                <w:szCs w:val="16"/>
                <w:lang w:eastAsia="zh-CN"/>
              </w:rPr>
              <w:t>10</w:t>
            </w:r>
          </w:p>
        </w:tc>
        <w:tc>
          <w:tcPr>
            <w:tcW w:w="695" w:type="dxa"/>
            <w:tcBorders>
              <w:top w:val="nil"/>
              <w:left w:val="nil"/>
              <w:bottom w:val="nil"/>
              <w:right w:val="single" w:sz="4" w:space="0" w:color="auto"/>
            </w:tcBorders>
            <w:shd w:val="clear" w:color="auto" w:fill="auto"/>
            <w:noWrap/>
            <w:vAlign w:val="center"/>
            <w:hideMark/>
          </w:tcPr>
          <w:p w14:paraId="5F61FBF9"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50</w:t>
            </w:r>
          </w:p>
        </w:tc>
        <w:tc>
          <w:tcPr>
            <w:tcW w:w="866" w:type="dxa"/>
            <w:tcBorders>
              <w:top w:val="nil"/>
              <w:left w:val="nil"/>
              <w:bottom w:val="nil"/>
              <w:right w:val="single" w:sz="8" w:space="0" w:color="auto"/>
            </w:tcBorders>
            <w:shd w:val="clear" w:color="auto" w:fill="auto"/>
            <w:noWrap/>
            <w:vAlign w:val="center"/>
            <w:hideMark/>
          </w:tcPr>
          <w:p w14:paraId="4D0C6AE7"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3</w:t>
            </w:r>
          </w:p>
        </w:tc>
        <w:tc>
          <w:tcPr>
            <w:tcW w:w="711" w:type="dxa"/>
            <w:tcBorders>
              <w:top w:val="nil"/>
              <w:left w:val="nil"/>
              <w:bottom w:val="nil"/>
              <w:right w:val="single" w:sz="4" w:space="0" w:color="auto"/>
            </w:tcBorders>
            <w:shd w:val="clear" w:color="auto" w:fill="auto"/>
            <w:noWrap/>
            <w:vAlign w:val="center"/>
            <w:hideMark/>
          </w:tcPr>
          <w:p w14:paraId="706E0BE3"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32</w:t>
            </w:r>
          </w:p>
        </w:tc>
        <w:tc>
          <w:tcPr>
            <w:tcW w:w="726" w:type="dxa"/>
            <w:tcBorders>
              <w:top w:val="nil"/>
              <w:left w:val="nil"/>
              <w:bottom w:val="nil"/>
              <w:right w:val="single" w:sz="8" w:space="0" w:color="auto"/>
            </w:tcBorders>
            <w:shd w:val="clear" w:color="auto" w:fill="auto"/>
            <w:noWrap/>
            <w:vAlign w:val="center"/>
            <w:hideMark/>
          </w:tcPr>
          <w:p w14:paraId="48CAF9DA"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6</w:t>
            </w:r>
          </w:p>
        </w:tc>
        <w:tc>
          <w:tcPr>
            <w:tcW w:w="789" w:type="dxa"/>
            <w:tcBorders>
              <w:top w:val="nil"/>
              <w:left w:val="nil"/>
              <w:bottom w:val="nil"/>
              <w:right w:val="single" w:sz="4" w:space="0" w:color="auto"/>
            </w:tcBorders>
            <w:shd w:val="clear" w:color="auto" w:fill="auto"/>
            <w:noWrap/>
            <w:vAlign w:val="center"/>
            <w:hideMark/>
          </w:tcPr>
          <w:p w14:paraId="2DDFF9BC"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36</w:t>
            </w:r>
          </w:p>
        </w:tc>
        <w:tc>
          <w:tcPr>
            <w:tcW w:w="683" w:type="dxa"/>
            <w:tcBorders>
              <w:top w:val="nil"/>
              <w:left w:val="nil"/>
              <w:bottom w:val="nil"/>
              <w:right w:val="single" w:sz="8" w:space="0" w:color="auto"/>
            </w:tcBorders>
            <w:shd w:val="clear" w:color="auto" w:fill="auto"/>
            <w:noWrap/>
            <w:vAlign w:val="center"/>
            <w:hideMark/>
          </w:tcPr>
          <w:p w14:paraId="047C7D76"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2</w:t>
            </w:r>
          </w:p>
        </w:tc>
        <w:tc>
          <w:tcPr>
            <w:tcW w:w="693" w:type="dxa"/>
            <w:tcBorders>
              <w:top w:val="nil"/>
              <w:left w:val="nil"/>
              <w:bottom w:val="nil"/>
              <w:right w:val="single" w:sz="4" w:space="0" w:color="auto"/>
            </w:tcBorders>
            <w:shd w:val="clear" w:color="auto" w:fill="auto"/>
            <w:noWrap/>
            <w:vAlign w:val="center"/>
            <w:hideMark/>
          </w:tcPr>
          <w:p w14:paraId="36E5DB61"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23</w:t>
            </w:r>
          </w:p>
        </w:tc>
        <w:tc>
          <w:tcPr>
            <w:tcW w:w="726" w:type="dxa"/>
            <w:tcBorders>
              <w:top w:val="nil"/>
              <w:left w:val="nil"/>
              <w:bottom w:val="nil"/>
              <w:right w:val="single" w:sz="8" w:space="0" w:color="auto"/>
            </w:tcBorders>
            <w:shd w:val="clear" w:color="auto" w:fill="auto"/>
            <w:noWrap/>
            <w:vAlign w:val="center"/>
            <w:hideMark/>
          </w:tcPr>
          <w:p w14:paraId="2B1DE4F7"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hint="eastAsia"/>
                <w:color w:val="000000"/>
                <w:sz w:val="16"/>
                <w:szCs w:val="16"/>
                <w:lang w:eastAsia="zh-CN"/>
              </w:rPr>
              <w:t>3</w:t>
            </w:r>
          </w:p>
        </w:tc>
        <w:tc>
          <w:tcPr>
            <w:tcW w:w="678" w:type="dxa"/>
            <w:tcBorders>
              <w:top w:val="nil"/>
              <w:left w:val="nil"/>
              <w:bottom w:val="nil"/>
              <w:right w:val="single" w:sz="4" w:space="0" w:color="auto"/>
            </w:tcBorders>
            <w:shd w:val="clear" w:color="auto" w:fill="auto"/>
            <w:noWrap/>
            <w:vAlign w:val="center"/>
            <w:hideMark/>
          </w:tcPr>
          <w:p w14:paraId="34E5B192"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18</w:t>
            </w:r>
          </w:p>
        </w:tc>
        <w:tc>
          <w:tcPr>
            <w:tcW w:w="726" w:type="dxa"/>
            <w:tcBorders>
              <w:top w:val="nil"/>
              <w:left w:val="nil"/>
              <w:bottom w:val="nil"/>
              <w:right w:val="single" w:sz="8" w:space="0" w:color="auto"/>
            </w:tcBorders>
            <w:shd w:val="clear" w:color="auto" w:fill="auto"/>
            <w:noWrap/>
            <w:vAlign w:val="center"/>
            <w:hideMark/>
          </w:tcPr>
          <w:p w14:paraId="6AD9FFB5"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hint="eastAsia"/>
                <w:color w:val="000000"/>
                <w:sz w:val="16"/>
                <w:szCs w:val="16"/>
                <w:lang w:eastAsia="zh-CN"/>
              </w:rPr>
              <w:t>3</w:t>
            </w:r>
          </w:p>
        </w:tc>
      </w:tr>
      <w:tr w:rsidR="009630A9" w:rsidRPr="000C156A" w14:paraId="6F889ACB" w14:textId="77777777" w:rsidTr="0011120B">
        <w:trPr>
          <w:trHeight w:val="245"/>
        </w:trPr>
        <w:tc>
          <w:tcPr>
            <w:tcW w:w="1886" w:type="dxa"/>
            <w:tcBorders>
              <w:top w:val="nil"/>
              <w:left w:val="single" w:sz="8" w:space="0" w:color="auto"/>
              <w:bottom w:val="nil"/>
              <w:right w:val="nil"/>
            </w:tcBorders>
            <w:noWrap/>
            <w:vAlign w:val="center"/>
            <w:hideMark/>
          </w:tcPr>
          <w:p w14:paraId="04B9C388" w14:textId="77777777" w:rsidR="009630A9" w:rsidRPr="000C156A" w:rsidRDefault="009630A9" w:rsidP="005D02F0">
            <w:pPr>
              <w:spacing w:before="40" w:after="40"/>
              <w:rPr>
                <w:noProof/>
                <w:sz w:val="16"/>
                <w:szCs w:val="16"/>
                <w:lang w:val="en-US"/>
              </w:rPr>
            </w:pPr>
            <w:r w:rsidRPr="000C156A">
              <w:rPr>
                <w:rFonts w:hint="eastAsia"/>
                <w:noProof/>
                <w:sz w:val="16"/>
                <w:szCs w:val="16"/>
                <w:lang w:val="en-US"/>
              </w:rPr>
              <w:t>合同服务</w:t>
            </w:r>
          </w:p>
        </w:tc>
        <w:tc>
          <w:tcPr>
            <w:tcW w:w="683" w:type="dxa"/>
            <w:tcBorders>
              <w:top w:val="nil"/>
              <w:left w:val="single" w:sz="8" w:space="0" w:color="auto"/>
              <w:bottom w:val="nil"/>
              <w:right w:val="single" w:sz="4" w:space="0" w:color="auto"/>
            </w:tcBorders>
            <w:shd w:val="clear" w:color="auto" w:fill="auto"/>
            <w:noWrap/>
            <w:vAlign w:val="center"/>
            <w:hideMark/>
          </w:tcPr>
          <w:p w14:paraId="658EE4C3"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21</w:t>
            </w:r>
          </w:p>
        </w:tc>
        <w:tc>
          <w:tcPr>
            <w:tcW w:w="857" w:type="dxa"/>
            <w:tcBorders>
              <w:top w:val="nil"/>
              <w:left w:val="nil"/>
              <w:bottom w:val="nil"/>
              <w:right w:val="single" w:sz="8" w:space="0" w:color="auto"/>
            </w:tcBorders>
            <w:shd w:val="clear" w:color="auto" w:fill="auto"/>
            <w:noWrap/>
            <w:vAlign w:val="center"/>
            <w:hideMark/>
          </w:tcPr>
          <w:p w14:paraId="35EAFB0F"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1</w:t>
            </w:r>
            <w:r w:rsidRPr="000C156A">
              <w:rPr>
                <w:rFonts w:asciiTheme="minorHAnsi" w:hAnsiTheme="minorHAnsi" w:cstheme="minorHAnsi" w:hint="eastAsia"/>
                <w:color w:val="000000"/>
                <w:sz w:val="16"/>
                <w:szCs w:val="16"/>
                <w:lang w:eastAsia="zh-CN"/>
              </w:rPr>
              <w:t>3</w:t>
            </w:r>
          </w:p>
        </w:tc>
        <w:tc>
          <w:tcPr>
            <w:tcW w:w="695" w:type="dxa"/>
            <w:tcBorders>
              <w:top w:val="nil"/>
              <w:left w:val="nil"/>
              <w:bottom w:val="nil"/>
              <w:right w:val="single" w:sz="4" w:space="0" w:color="auto"/>
            </w:tcBorders>
            <w:shd w:val="clear" w:color="auto" w:fill="auto"/>
            <w:noWrap/>
            <w:vAlign w:val="center"/>
            <w:hideMark/>
          </w:tcPr>
          <w:p w14:paraId="12AE4FB6"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4</w:t>
            </w:r>
          </w:p>
        </w:tc>
        <w:tc>
          <w:tcPr>
            <w:tcW w:w="866" w:type="dxa"/>
            <w:tcBorders>
              <w:top w:val="nil"/>
              <w:left w:val="nil"/>
              <w:bottom w:val="nil"/>
              <w:right w:val="single" w:sz="8" w:space="0" w:color="auto"/>
            </w:tcBorders>
            <w:shd w:val="clear" w:color="auto" w:fill="auto"/>
            <w:noWrap/>
            <w:vAlign w:val="center"/>
            <w:hideMark/>
          </w:tcPr>
          <w:p w14:paraId="4434A3C0"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0</w:t>
            </w:r>
          </w:p>
        </w:tc>
        <w:tc>
          <w:tcPr>
            <w:tcW w:w="711" w:type="dxa"/>
            <w:tcBorders>
              <w:top w:val="nil"/>
              <w:left w:val="nil"/>
              <w:bottom w:val="nil"/>
              <w:right w:val="single" w:sz="4" w:space="0" w:color="auto"/>
            </w:tcBorders>
            <w:shd w:val="clear" w:color="auto" w:fill="auto"/>
            <w:noWrap/>
            <w:vAlign w:val="center"/>
            <w:hideMark/>
          </w:tcPr>
          <w:p w14:paraId="327AE427"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5</w:t>
            </w:r>
          </w:p>
        </w:tc>
        <w:tc>
          <w:tcPr>
            <w:tcW w:w="726" w:type="dxa"/>
            <w:tcBorders>
              <w:top w:val="nil"/>
              <w:left w:val="nil"/>
              <w:bottom w:val="nil"/>
              <w:right w:val="single" w:sz="8" w:space="0" w:color="auto"/>
            </w:tcBorders>
            <w:shd w:val="clear" w:color="auto" w:fill="auto"/>
            <w:noWrap/>
            <w:vAlign w:val="center"/>
            <w:hideMark/>
          </w:tcPr>
          <w:p w14:paraId="2F8F791F"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3</w:t>
            </w:r>
          </w:p>
        </w:tc>
        <w:tc>
          <w:tcPr>
            <w:tcW w:w="789" w:type="dxa"/>
            <w:tcBorders>
              <w:top w:val="nil"/>
              <w:left w:val="nil"/>
              <w:bottom w:val="nil"/>
              <w:right w:val="single" w:sz="4" w:space="0" w:color="auto"/>
            </w:tcBorders>
            <w:shd w:val="clear" w:color="auto" w:fill="auto"/>
            <w:noWrap/>
            <w:vAlign w:val="center"/>
            <w:hideMark/>
          </w:tcPr>
          <w:p w14:paraId="2E2662A5"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3</w:t>
            </w:r>
          </w:p>
        </w:tc>
        <w:tc>
          <w:tcPr>
            <w:tcW w:w="683" w:type="dxa"/>
            <w:tcBorders>
              <w:top w:val="nil"/>
              <w:left w:val="nil"/>
              <w:bottom w:val="nil"/>
              <w:right w:val="single" w:sz="8" w:space="0" w:color="auto"/>
            </w:tcBorders>
            <w:shd w:val="clear" w:color="auto" w:fill="auto"/>
            <w:noWrap/>
            <w:vAlign w:val="center"/>
            <w:hideMark/>
          </w:tcPr>
          <w:p w14:paraId="11A31941"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5</w:t>
            </w:r>
          </w:p>
        </w:tc>
        <w:tc>
          <w:tcPr>
            <w:tcW w:w="693" w:type="dxa"/>
            <w:tcBorders>
              <w:top w:val="nil"/>
              <w:left w:val="nil"/>
              <w:bottom w:val="nil"/>
              <w:right w:val="single" w:sz="4" w:space="0" w:color="auto"/>
            </w:tcBorders>
            <w:shd w:val="clear" w:color="auto" w:fill="auto"/>
            <w:noWrap/>
            <w:vAlign w:val="center"/>
            <w:hideMark/>
          </w:tcPr>
          <w:p w14:paraId="390C86C4"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3</w:t>
            </w:r>
          </w:p>
        </w:tc>
        <w:tc>
          <w:tcPr>
            <w:tcW w:w="726" w:type="dxa"/>
            <w:tcBorders>
              <w:top w:val="nil"/>
              <w:left w:val="nil"/>
              <w:bottom w:val="nil"/>
              <w:right w:val="single" w:sz="8" w:space="0" w:color="auto"/>
            </w:tcBorders>
            <w:shd w:val="clear" w:color="auto" w:fill="auto"/>
            <w:noWrap/>
            <w:vAlign w:val="center"/>
            <w:hideMark/>
          </w:tcPr>
          <w:p w14:paraId="309AD0DD"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1</w:t>
            </w:r>
          </w:p>
        </w:tc>
        <w:tc>
          <w:tcPr>
            <w:tcW w:w="678" w:type="dxa"/>
            <w:tcBorders>
              <w:top w:val="nil"/>
              <w:left w:val="nil"/>
              <w:bottom w:val="nil"/>
              <w:right w:val="single" w:sz="4" w:space="0" w:color="auto"/>
            </w:tcBorders>
            <w:shd w:val="clear" w:color="auto" w:fill="auto"/>
            <w:noWrap/>
            <w:vAlign w:val="center"/>
            <w:hideMark/>
          </w:tcPr>
          <w:p w14:paraId="3E4B88F3"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w:t>
            </w:r>
          </w:p>
        </w:tc>
        <w:tc>
          <w:tcPr>
            <w:tcW w:w="726" w:type="dxa"/>
            <w:tcBorders>
              <w:top w:val="nil"/>
              <w:left w:val="nil"/>
              <w:bottom w:val="nil"/>
              <w:right w:val="single" w:sz="8" w:space="0" w:color="auto"/>
            </w:tcBorders>
            <w:shd w:val="clear" w:color="auto" w:fill="auto"/>
            <w:noWrap/>
            <w:vAlign w:val="center"/>
            <w:hideMark/>
          </w:tcPr>
          <w:p w14:paraId="72D1A3DF"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w:t>
            </w:r>
          </w:p>
        </w:tc>
      </w:tr>
      <w:tr w:rsidR="009630A9" w:rsidRPr="000C156A" w14:paraId="3382C04B" w14:textId="77777777" w:rsidTr="0011120B">
        <w:trPr>
          <w:trHeight w:val="245"/>
        </w:trPr>
        <w:tc>
          <w:tcPr>
            <w:tcW w:w="1886" w:type="dxa"/>
            <w:tcBorders>
              <w:top w:val="nil"/>
              <w:left w:val="single" w:sz="8" w:space="0" w:color="auto"/>
              <w:bottom w:val="nil"/>
              <w:right w:val="nil"/>
            </w:tcBorders>
            <w:noWrap/>
            <w:vAlign w:val="center"/>
            <w:hideMark/>
          </w:tcPr>
          <w:p w14:paraId="66A75674" w14:textId="2C69F250" w:rsidR="009630A9" w:rsidRPr="000C156A" w:rsidRDefault="009630A9" w:rsidP="00AE2333">
            <w:pPr>
              <w:spacing w:before="40" w:after="40"/>
              <w:rPr>
                <w:noProof/>
                <w:sz w:val="16"/>
                <w:szCs w:val="16"/>
                <w:lang w:val="en-US" w:eastAsia="zh-CN"/>
              </w:rPr>
            </w:pPr>
            <w:r w:rsidRPr="000C156A">
              <w:rPr>
                <w:rFonts w:hint="eastAsia"/>
                <w:noProof/>
                <w:sz w:val="16"/>
                <w:szCs w:val="16"/>
                <w:lang w:val="en-US" w:eastAsia="zh-CN"/>
              </w:rPr>
              <w:t>房屋设备租金和维护费</w:t>
            </w:r>
          </w:p>
        </w:tc>
        <w:tc>
          <w:tcPr>
            <w:tcW w:w="683" w:type="dxa"/>
            <w:tcBorders>
              <w:top w:val="nil"/>
              <w:left w:val="single" w:sz="8" w:space="0" w:color="auto"/>
              <w:bottom w:val="nil"/>
              <w:right w:val="single" w:sz="4" w:space="0" w:color="auto"/>
            </w:tcBorders>
            <w:shd w:val="clear" w:color="auto" w:fill="auto"/>
            <w:noWrap/>
            <w:vAlign w:val="center"/>
            <w:hideMark/>
          </w:tcPr>
          <w:p w14:paraId="3CAC91F5"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28</w:t>
            </w:r>
          </w:p>
        </w:tc>
        <w:tc>
          <w:tcPr>
            <w:tcW w:w="857" w:type="dxa"/>
            <w:tcBorders>
              <w:top w:val="nil"/>
              <w:left w:val="nil"/>
              <w:bottom w:val="nil"/>
              <w:right w:val="single" w:sz="8" w:space="0" w:color="auto"/>
            </w:tcBorders>
            <w:shd w:val="clear" w:color="auto" w:fill="auto"/>
            <w:noWrap/>
            <w:vAlign w:val="center"/>
            <w:hideMark/>
          </w:tcPr>
          <w:p w14:paraId="43683A79"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hint="eastAsia"/>
                <w:color w:val="000000"/>
                <w:sz w:val="16"/>
                <w:szCs w:val="16"/>
                <w:lang w:eastAsia="zh-CN"/>
              </w:rPr>
              <w:t>16</w:t>
            </w:r>
          </w:p>
        </w:tc>
        <w:tc>
          <w:tcPr>
            <w:tcW w:w="695" w:type="dxa"/>
            <w:tcBorders>
              <w:top w:val="nil"/>
              <w:left w:val="nil"/>
              <w:bottom w:val="nil"/>
              <w:right w:val="single" w:sz="4" w:space="0" w:color="auto"/>
            </w:tcBorders>
            <w:shd w:val="clear" w:color="auto" w:fill="auto"/>
            <w:noWrap/>
            <w:vAlign w:val="center"/>
            <w:hideMark/>
          </w:tcPr>
          <w:p w14:paraId="1097FEF7"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10</w:t>
            </w:r>
          </w:p>
        </w:tc>
        <w:tc>
          <w:tcPr>
            <w:tcW w:w="866" w:type="dxa"/>
            <w:tcBorders>
              <w:top w:val="nil"/>
              <w:left w:val="nil"/>
              <w:bottom w:val="nil"/>
              <w:right w:val="single" w:sz="8" w:space="0" w:color="auto"/>
            </w:tcBorders>
            <w:shd w:val="clear" w:color="auto" w:fill="auto"/>
            <w:noWrap/>
            <w:vAlign w:val="center"/>
            <w:hideMark/>
          </w:tcPr>
          <w:p w14:paraId="321CF664"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3</w:t>
            </w:r>
          </w:p>
        </w:tc>
        <w:tc>
          <w:tcPr>
            <w:tcW w:w="711" w:type="dxa"/>
            <w:tcBorders>
              <w:top w:val="nil"/>
              <w:left w:val="nil"/>
              <w:bottom w:val="nil"/>
              <w:right w:val="single" w:sz="4" w:space="0" w:color="auto"/>
            </w:tcBorders>
            <w:shd w:val="clear" w:color="auto" w:fill="auto"/>
            <w:noWrap/>
            <w:vAlign w:val="center"/>
            <w:hideMark/>
          </w:tcPr>
          <w:p w14:paraId="1C2517B2"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4</w:t>
            </w:r>
          </w:p>
        </w:tc>
        <w:tc>
          <w:tcPr>
            <w:tcW w:w="726" w:type="dxa"/>
            <w:tcBorders>
              <w:top w:val="nil"/>
              <w:left w:val="nil"/>
              <w:bottom w:val="nil"/>
              <w:right w:val="single" w:sz="8" w:space="0" w:color="auto"/>
            </w:tcBorders>
            <w:shd w:val="clear" w:color="auto" w:fill="auto"/>
            <w:noWrap/>
            <w:vAlign w:val="center"/>
            <w:hideMark/>
          </w:tcPr>
          <w:p w14:paraId="560AD870"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1</w:t>
            </w:r>
          </w:p>
        </w:tc>
        <w:tc>
          <w:tcPr>
            <w:tcW w:w="789" w:type="dxa"/>
            <w:tcBorders>
              <w:top w:val="nil"/>
              <w:left w:val="nil"/>
              <w:bottom w:val="nil"/>
              <w:right w:val="single" w:sz="4" w:space="0" w:color="auto"/>
            </w:tcBorders>
            <w:shd w:val="clear" w:color="auto" w:fill="auto"/>
            <w:noWrap/>
            <w:vAlign w:val="center"/>
            <w:hideMark/>
          </w:tcPr>
          <w:p w14:paraId="791E132E"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6</w:t>
            </w:r>
          </w:p>
        </w:tc>
        <w:tc>
          <w:tcPr>
            <w:tcW w:w="683" w:type="dxa"/>
            <w:tcBorders>
              <w:top w:val="nil"/>
              <w:left w:val="nil"/>
              <w:bottom w:val="nil"/>
              <w:right w:val="single" w:sz="8" w:space="0" w:color="auto"/>
            </w:tcBorders>
            <w:shd w:val="clear" w:color="auto" w:fill="auto"/>
            <w:noWrap/>
            <w:vAlign w:val="center"/>
            <w:hideMark/>
          </w:tcPr>
          <w:p w14:paraId="11D2CB64"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4</w:t>
            </w:r>
          </w:p>
        </w:tc>
        <w:tc>
          <w:tcPr>
            <w:tcW w:w="693" w:type="dxa"/>
            <w:tcBorders>
              <w:top w:val="nil"/>
              <w:left w:val="nil"/>
              <w:bottom w:val="nil"/>
              <w:right w:val="single" w:sz="4" w:space="0" w:color="auto"/>
            </w:tcBorders>
            <w:shd w:val="clear" w:color="auto" w:fill="auto"/>
            <w:noWrap/>
            <w:vAlign w:val="center"/>
            <w:hideMark/>
          </w:tcPr>
          <w:p w14:paraId="5ED18295"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1</w:t>
            </w:r>
          </w:p>
        </w:tc>
        <w:tc>
          <w:tcPr>
            <w:tcW w:w="726" w:type="dxa"/>
            <w:tcBorders>
              <w:top w:val="nil"/>
              <w:left w:val="nil"/>
              <w:bottom w:val="nil"/>
              <w:right w:val="single" w:sz="8" w:space="0" w:color="auto"/>
            </w:tcBorders>
            <w:shd w:val="clear" w:color="auto" w:fill="auto"/>
            <w:noWrap/>
            <w:vAlign w:val="center"/>
            <w:hideMark/>
          </w:tcPr>
          <w:p w14:paraId="268B845E"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hint="eastAsia"/>
                <w:color w:val="000000"/>
                <w:sz w:val="16"/>
                <w:szCs w:val="16"/>
                <w:lang w:eastAsia="zh-CN"/>
              </w:rPr>
              <w:t>0</w:t>
            </w:r>
          </w:p>
        </w:tc>
        <w:tc>
          <w:tcPr>
            <w:tcW w:w="678" w:type="dxa"/>
            <w:tcBorders>
              <w:top w:val="nil"/>
              <w:left w:val="nil"/>
              <w:bottom w:val="nil"/>
              <w:right w:val="single" w:sz="4" w:space="0" w:color="auto"/>
            </w:tcBorders>
            <w:shd w:val="clear" w:color="auto" w:fill="auto"/>
            <w:noWrap/>
            <w:vAlign w:val="center"/>
            <w:hideMark/>
          </w:tcPr>
          <w:p w14:paraId="5161D5C0"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w:t>
            </w:r>
          </w:p>
        </w:tc>
        <w:tc>
          <w:tcPr>
            <w:tcW w:w="726" w:type="dxa"/>
            <w:tcBorders>
              <w:top w:val="nil"/>
              <w:left w:val="nil"/>
              <w:bottom w:val="nil"/>
              <w:right w:val="single" w:sz="8" w:space="0" w:color="auto"/>
            </w:tcBorders>
            <w:shd w:val="clear" w:color="auto" w:fill="auto"/>
            <w:noWrap/>
            <w:vAlign w:val="center"/>
            <w:hideMark/>
          </w:tcPr>
          <w:p w14:paraId="31520B28"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w:t>
            </w:r>
          </w:p>
        </w:tc>
      </w:tr>
      <w:tr w:rsidR="009630A9" w:rsidRPr="000C156A" w14:paraId="1C8F1DDF" w14:textId="77777777" w:rsidTr="0011120B">
        <w:trPr>
          <w:trHeight w:val="245"/>
        </w:trPr>
        <w:tc>
          <w:tcPr>
            <w:tcW w:w="1886" w:type="dxa"/>
            <w:tcBorders>
              <w:top w:val="nil"/>
              <w:left w:val="single" w:sz="8" w:space="0" w:color="auto"/>
              <w:bottom w:val="nil"/>
              <w:right w:val="nil"/>
            </w:tcBorders>
            <w:noWrap/>
            <w:vAlign w:val="center"/>
            <w:hideMark/>
          </w:tcPr>
          <w:p w14:paraId="3A17D104" w14:textId="77777777" w:rsidR="009630A9" w:rsidRPr="000C156A" w:rsidRDefault="009630A9" w:rsidP="005D02F0">
            <w:pPr>
              <w:spacing w:before="40" w:after="40"/>
              <w:rPr>
                <w:noProof/>
                <w:sz w:val="16"/>
                <w:szCs w:val="16"/>
                <w:lang w:val="en-US" w:eastAsia="zh-CN"/>
              </w:rPr>
            </w:pPr>
            <w:r w:rsidRPr="000C156A">
              <w:rPr>
                <w:rFonts w:hint="eastAsia"/>
                <w:noProof/>
                <w:sz w:val="16"/>
                <w:szCs w:val="16"/>
                <w:lang w:val="en-US"/>
              </w:rPr>
              <w:t>设备和办公用品</w:t>
            </w:r>
          </w:p>
        </w:tc>
        <w:tc>
          <w:tcPr>
            <w:tcW w:w="683" w:type="dxa"/>
            <w:tcBorders>
              <w:top w:val="nil"/>
              <w:left w:val="single" w:sz="8" w:space="0" w:color="auto"/>
              <w:bottom w:val="nil"/>
              <w:right w:val="single" w:sz="4" w:space="0" w:color="auto"/>
            </w:tcBorders>
            <w:shd w:val="clear" w:color="auto" w:fill="auto"/>
            <w:noWrap/>
            <w:vAlign w:val="center"/>
            <w:hideMark/>
          </w:tcPr>
          <w:p w14:paraId="3EBA6324"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19</w:t>
            </w:r>
          </w:p>
        </w:tc>
        <w:tc>
          <w:tcPr>
            <w:tcW w:w="857" w:type="dxa"/>
            <w:tcBorders>
              <w:top w:val="nil"/>
              <w:left w:val="nil"/>
              <w:bottom w:val="nil"/>
              <w:right w:val="single" w:sz="8" w:space="0" w:color="auto"/>
            </w:tcBorders>
            <w:shd w:val="clear" w:color="auto" w:fill="auto"/>
            <w:noWrap/>
            <w:vAlign w:val="center"/>
            <w:hideMark/>
          </w:tcPr>
          <w:p w14:paraId="0F7A2A02"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hint="eastAsia"/>
                <w:color w:val="000000"/>
                <w:sz w:val="16"/>
                <w:szCs w:val="16"/>
                <w:lang w:eastAsia="zh-CN"/>
              </w:rPr>
              <w:t>3</w:t>
            </w:r>
          </w:p>
        </w:tc>
        <w:tc>
          <w:tcPr>
            <w:tcW w:w="695" w:type="dxa"/>
            <w:tcBorders>
              <w:top w:val="nil"/>
              <w:left w:val="nil"/>
              <w:bottom w:val="nil"/>
              <w:right w:val="single" w:sz="4" w:space="0" w:color="auto"/>
            </w:tcBorders>
            <w:shd w:val="clear" w:color="auto" w:fill="auto"/>
            <w:noWrap/>
            <w:vAlign w:val="center"/>
            <w:hideMark/>
          </w:tcPr>
          <w:p w14:paraId="5CAA3E9B"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11</w:t>
            </w:r>
          </w:p>
        </w:tc>
        <w:tc>
          <w:tcPr>
            <w:tcW w:w="866" w:type="dxa"/>
            <w:tcBorders>
              <w:top w:val="nil"/>
              <w:left w:val="nil"/>
              <w:bottom w:val="nil"/>
              <w:right w:val="single" w:sz="8" w:space="0" w:color="auto"/>
            </w:tcBorders>
            <w:shd w:val="clear" w:color="auto" w:fill="auto"/>
            <w:noWrap/>
            <w:vAlign w:val="center"/>
            <w:hideMark/>
          </w:tcPr>
          <w:p w14:paraId="0A309CC6"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4</w:t>
            </w:r>
          </w:p>
        </w:tc>
        <w:tc>
          <w:tcPr>
            <w:tcW w:w="711" w:type="dxa"/>
            <w:tcBorders>
              <w:top w:val="nil"/>
              <w:left w:val="nil"/>
              <w:bottom w:val="nil"/>
              <w:right w:val="single" w:sz="4" w:space="0" w:color="auto"/>
            </w:tcBorders>
            <w:shd w:val="clear" w:color="auto" w:fill="auto"/>
            <w:noWrap/>
            <w:vAlign w:val="center"/>
            <w:hideMark/>
          </w:tcPr>
          <w:p w14:paraId="05FB10F4"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3</w:t>
            </w:r>
          </w:p>
        </w:tc>
        <w:tc>
          <w:tcPr>
            <w:tcW w:w="726" w:type="dxa"/>
            <w:tcBorders>
              <w:top w:val="nil"/>
              <w:left w:val="nil"/>
              <w:bottom w:val="nil"/>
              <w:right w:val="single" w:sz="8" w:space="0" w:color="auto"/>
            </w:tcBorders>
            <w:shd w:val="clear" w:color="auto" w:fill="auto"/>
            <w:noWrap/>
            <w:vAlign w:val="center"/>
            <w:hideMark/>
          </w:tcPr>
          <w:p w14:paraId="0BC61CE3"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0</w:t>
            </w:r>
          </w:p>
        </w:tc>
        <w:tc>
          <w:tcPr>
            <w:tcW w:w="789" w:type="dxa"/>
            <w:tcBorders>
              <w:top w:val="nil"/>
              <w:left w:val="nil"/>
              <w:bottom w:val="nil"/>
              <w:right w:val="single" w:sz="4" w:space="0" w:color="auto"/>
            </w:tcBorders>
            <w:shd w:val="clear" w:color="auto" w:fill="auto"/>
            <w:noWrap/>
            <w:vAlign w:val="center"/>
            <w:hideMark/>
          </w:tcPr>
          <w:p w14:paraId="4A4EE570"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4</w:t>
            </w:r>
          </w:p>
        </w:tc>
        <w:tc>
          <w:tcPr>
            <w:tcW w:w="683" w:type="dxa"/>
            <w:tcBorders>
              <w:top w:val="nil"/>
              <w:left w:val="nil"/>
              <w:bottom w:val="nil"/>
              <w:right w:val="single" w:sz="8" w:space="0" w:color="auto"/>
            </w:tcBorders>
            <w:shd w:val="clear" w:color="auto" w:fill="auto"/>
            <w:noWrap/>
            <w:vAlign w:val="center"/>
            <w:hideMark/>
          </w:tcPr>
          <w:p w14:paraId="4FC4E3A3"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1</w:t>
            </w:r>
          </w:p>
        </w:tc>
        <w:tc>
          <w:tcPr>
            <w:tcW w:w="693" w:type="dxa"/>
            <w:tcBorders>
              <w:top w:val="nil"/>
              <w:left w:val="nil"/>
              <w:bottom w:val="nil"/>
              <w:right w:val="single" w:sz="4" w:space="0" w:color="auto"/>
            </w:tcBorders>
            <w:shd w:val="clear" w:color="auto" w:fill="auto"/>
            <w:noWrap/>
            <w:vAlign w:val="center"/>
            <w:hideMark/>
          </w:tcPr>
          <w:p w14:paraId="4F5DB7E9"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5</w:t>
            </w:r>
          </w:p>
        </w:tc>
        <w:tc>
          <w:tcPr>
            <w:tcW w:w="726" w:type="dxa"/>
            <w:tcBorders>
              <w:top w:val="nil"/>
              <w:left w:val="nil"/>
              <w:bottom w:val="nil"/>
              <w:right w:val="single" w:sz="8" w:space="0" w:color="auto"/>
            </w:tcBorders>
            <w:shd w:val="clear" w:color="auto" w:fill="auto"/>
            <w:noWrap/>
            <w:vAlign w:val="center"/>
            <w:hideMark/>
          </w:tcPr>
          <w:p w14:paraId="59653B5C"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hint="eastAsia"/>
                <w:color w:val="000000"/>
                <w:sz w:val="16"/>
                <w:szCs w:val="16"/>
                <w:lang w:eastAsia="zh-CN"/>
              </w:rPr>
              <w:t>2</w:t>
            </w:r>
          </w:p>
        </w:tc>
        <w:tc>
          <w:tcPr>
            <w:tcW w:w="678" w:type="dxa"/>
            <w:tcBorders>
              <w:top w:val="nil"/>
              <w:left w:val="nil"/>
              <w:bottom w:val="nil"/>
              <w:right w:val="single" w:sz="4" w:space="0" w:color="auto"/>
            </w:tcBorders>
            <w:shd w:val="clear" w:color="auto" w:fill="auto"/>
            <w:noWrap/>
            <w:vAlign w:val="center"/>
            <w:hideMark/>
          </w:tcPr>
          <w:p w14:paraId="1BA330D6"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2</w:t>
            </w:r>
          </w:p>
        </w:tc>
        <w:tc>
          <w:tcPr>
            <w:tcW w:w="726" w:type="dxa"/>
            <w:tcBorders>
              <w:top w:val="nil"/>
              <w:left w:val="nil"/>
              <w:bottom w:val="nil"/>
              <w:right w:val="single" w:sz="8" w:space="0" w:color="auto"/>
            </w:tcBorders>
            <w:shd w:val="clear" w:color="auto" w:fill="auto"/>
            <w:noWrap/>
            <w:vAlign w:val="center"/>
            <w:hideMark/>
          </w:tcPr>
          <w:p w14:paraId="5E95313F"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0</w:t>
            </w:r>
          </w:p>
        </w:tc>
      </w:tr>
      <w:tr w:rsidR="009630A9" w:rsidRPr="000C156A" w14:paraId="27CB9A13" w14:textId="77777777" w:rsidTr="0011120B">
        <w:trPr>
          <w:trHeight w:val="245"/>
        </w:trPr>
        <w:tc>
          <w:tcPr>
            <w:tcW w:w="1886" w:type="dxa"/>
            <w:tcBorders>
              <w:top w:val="nil"/>
              <w:left w:val="single" w:sz="8" w:space="0" w:color="auto"/>
              <w:bottom w:val="nil"/>
              <w:right w:val="nil"/>
            </w:tcBorders>
            <w:noWrap/>
            <w:vAlign w:val="center"/>
            <w:hideMark/>
          </w:tcPr>
          <w:p w14:paraId="3979C1A3" w14:textId="77777777" w:rsidR="009630A9" w:rsidRPr="000C156A" w:rsidRDefault="009630A9" w:rsidP="005D02F0">
            <w:pPr>
              <w:spacing w:before="40" w:after="40"/>
              <w:rPr>
                <w:noProof/>
                <w:sz w:val="16"/>
                <w:szCs w:val="16"/>
                <w:lang w:val="en-US" w:eastAsia="zh-CN"/>
              </w:rPr>
            </w:pPr>
            <w:r w:rsidRPr="000C156A">
              <w:rPr>
                <w:rFonts w:hint="eastAsia"/>
                <w:noProof/>
                <w:sz w:val="16"/>
                <w:szCs w:val="16"/>
                <w:lang w:val="en-US" w:eastAsia="zh-CN"/>
              </w:rPr>
              <w:t>运输和电信服务费用</w:t>
            </w:r>
          </w:p>
        </w:tc>
        <w:tc>
          <w:tcPr>
            <w:tcW w:w="683" w:type="dxa"/>
            <w:tcBorders>
              <w:top w:val="nil"/>
              <w:left w:val="single" w:sz="8" w:space="0" w:color="auto"/>
              <w:bottom w:val="nil"/>
              <w:right w:val="single" w:sz="4" w:space="0" w:color="auto"/>
            </w:tcBorders>
            <w:shd w:val="clear" w:color="auto" w:fill="auto"/>
            <w:noWrap/>
            <w:vAlign w:val="center"/>
            <w:hideMark/>
          </w:tcPr>
          <w:p w14:paraId="0F066AF3"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24</w:t>
            </w:r>
          </w:p>
        </w:tc>
        <w:tc>
          <w:tcPr>
            <w:tcW w:w="857" w:type="dxa"/>
            <w:tcBorders>
              <w:top w:val="nil"/>
              <w:left w:val="nil"/>
              <w:bottom w:val="nil"/>
              <w:right w:val="single" w:sz="8" w:space="0" w:color="auto"/>
            </w:tcBorders>
            <w:shd w:val="clear" w:color="auto" w:fill="auto"/>
            <w:noWrap/>
            <w:vAlign w:val="center"/>
            <w:hideMark/>
          </w:tcPr>
          <w:p w14:paraId="0441B2DD"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1</w:t>
            </w:r>
            <w:r w:rsidRPr="000C156A">
              <w:rPr>
                <w:rFonts w:asciiTheme="minorHAnsi" w:hAnsiTheme="minorHAnsi" w:cstheme="minorHAnsi" w:hint="eastAsia"/>
                <w:color w:val="000000"/>
                <w:sz w:val="16"/>
                <w:szCs w:val="16"/>
                <w:lang w:eastAsia="zh-CN"/>
              </w:rPr>
              <w:t>7</w:t>
            </w:r>
          </w:p>
        </w:tc>
        <w:tc>
          <w:tcPr>
            <w:tcW w:w="695" w:type="dxa"/>
            <w:tcBorders>
              <w:top w:val="nil"/>
              <w:left w:val="nil"/>
              <w:bottom w:val="nil"/>
              <w:right w:val="single" w:sz="4" w:space="0" w:color="auto"/>
            </w:tcBorders>
            <w:shd w:val="clear" w:color="auto" w:fill="auto"/>
            <w:noWrap/>
            <w:vAlign w:val="center"/>
            <w:hideMark/>
          </w:tcPr>
          <w:p w14:paraId="67777FCE"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19</w:t>
            </w:r>
          </w:p>
        </w:tc>
        <w:tc>
          <w:tcPr>
            <w:tcW w:w="866" w:type="dxa"/>
            <w:tcBorders>
              <w:top w:val="nil"/>
              <w:left w:val="nil"/>
              <w:bottom w:val="nil"/>
              <w:right w:val="single" w:sz="8" w:space="0" w:color="auto"/>
            </w:tcBorders>
            <w:shd w:val="clear" w:color="auto" w:fill="auto"/>
            <w:noWrap/>
            <w:vAlign w:val="center"/>
            <w:hideMark/>
          </w:tcPr>
          <w:p w14:paraId="6E6EF287"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11</w:t>
            </w:r>
          </w:p>
        </w:tc>
        <w:tc>
          <w:tcPr>
            <w:tcW w:w="711" w:type="dxa"/>
            <w:tcBorders>
              <w:top w:val="nil"/>
              <w:left w:val="nil"/>
              <w:bottom w:val="nil"/>
              <w:right w:val="single" w:sz="4" w:space="0" w:color="auto"/>
            </w:tcBorders>
            <w:shd w:val="clear" w:color="auto" w:fill="auto"/>
            <w:noWrap/>
            <w:vAlign w:val="center"/>
            <w:hideMark/>
          </w:tcPr>
          <w:p w14:paraId="315B0614"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9</w:t>
            </w:r>
          </w:p>
        </w:tc>
        <w:tc>
          <w:tcPr>
            <w:tcW w:w="726" w:type="dxa"/>
            <w:tcBorders>
              <w:top w:val="nil"/>
              <w:left w:val="nil"/>
              <w:bottom w:val="nil"/>
              <w:right w:val="single" w:sz="8" w:space="0" w:color="auto"/>
            </w:tcBorders>
            <w:shd w:val="clear" w:color="auto" w:fill="auto"/>
            <w:noWrap/>
            <w:vAlign w:val="center"/>
            <w:hideMark/>
          </w:tcPr>
          <w:p w14:paraId="0C04E970"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6</w:t>
            </w:r>
          </w:p>
        </w:tc>
        <w:tc>
          <w:tcPr>
            <w:tcW w:w="789" w:type="dxa"/>
            <w:tcBorders>
              <w:top w:val="nil"/>
              <w:left w:val="nil"/>
              <w:bottom w:val="nil"/>
              <w:right w:val="single" w:sz="4" w:space="0" w:color="auto"/>
            </w:tcBorders>
            <w:shd w:val="clear" w:color="auto" w:fill="auto"/>
            <w:noWrap/>
            <w:vAlign w:val="center"/>
            <w:hideMark/>
          </w:tcPr>
          <w:p w14:paraId="337C1BB2"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12</w:t>
            </w:r>
          </w:p>
        </w:tc>
        <w:tc>
          <w:tcPr>
            <w:tcW w:w="683" w:type="dxa"/>
            <w:tcBorders>
              <w:top w:val="nil"/>
              <w:left w:val="nil"/>
              <w:bottom w:val="nil"/>
              <w:right w:val="single" w:sz="8" w:space="0" w:color="auto"/>
            </w:tcBorders>
            <w:shd w:val="clear" w:color="auto" w:fill="auto"/>
            <w:noWrap/>
            <w:vAlign w:val="center"/>
            <w:hideMark/>
          </w:tcPr>
          <w:p w14:paraId="3B3F435F"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5</w:t>
            </w:r>
          </w:p>
        </w:tc>
        <w:tc>
          <w:tcPr>
            <w:tcW w:w="693" w:type="dxa"/>
            <w:tcBorders>
              <w:top w:val="nil"/>
              <w:left w:val="nil"/>
              <w:bottom w:val="nil"/>
              <w:right w:val="single" w:sz="4" w:space="0" w:color="auto"/>
            </w:tcBorders>
            <w:shd w:val="clear" w:color="auto" w:fill="auto"/>
            <w:noWrap/>
            <w:vAlign w:val="center"/>
            <w:hideMark/>
          </w:tcPr>
          <w:p w14:paraId="050866D6"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2</w:t>
            </w:r>
          </w:p>
        </w:tc>
        <w:tc>
          <w:tcPr>
            <w:tcW w:w="726" w:type="dxa"/>
            <w:tcBorders>
              <w:top w:val="nil"/>
              <w:left w:val="nil"/>
              <w:bottom w:val="nil"/>
              <w:right w:val="single" w:sz="8" w:space="0" w:color="auto"/>
            </w:tcBorders>
            <w:shd w:val="clear" w:color="auto" w:fill="auto"/>
            <w:noWrap/>
            <w:vAlign w:val="center"/>
            <w:hideMark/>
          </w:tcPr>
          <w:p w14:paraId="2E5DD29F"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hint="eastAsia"/>
                <w:color w:val="000000"/>
                <w:sz w:val="16"/>
                <w:szCs w:val="16"/>
                <w:lang w:eastAsia="zh-CN"/>
              </w:rPr>
              <w:t>0</w:t>
            </w:r>
          </w:p>
        </w:tc>
        <w:tc>
          <w:tcPr>
            <w:tcW w:w="678" w:type="dxa"/>
            <w:tcBorders>
              <w:top w:val="nil"/>
              <w:left w:val="nil"/>
              <w:bottom w:val="nil"/>
              <w:right w:val="single" w:sz="4" w:space="0" w:color="auto"/>
            </w:tcBorders>
            <w:shd w:val="clear" w:color="auto" w:fill="auto"/>
            <w:noWrap/>
            <w:vAlign w:val="center"/>
            <w:hideMark/>
          </w:tcPr>
          <w:p w14:paraId="6065DE0C"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1</w:t>
            </w:r>
          </w:p>
        </w:tc>
        <w:tc>
          <w:tcPr>
            <w:tcW w:w="726" w:type="dxa"/>
            <w:tcBorders>
              <w:top w:val="nil"/>
              <w:left w:val="nil"/>
              <w:bottom w:val="nil"/>
              <w:right w:val="single" w:sz="8" w:space="0" w:color="auto"/>
            </w:tcBorders>
            <w:shd w:val="clear" w:color="auto" w:fill="auto"/>
            <w:noWrap/>
            <w:vAlign w:val="center"/>
            <w:hideMark/>
          </w:tcPr>
          <w:p w14:paraId="3F046CB8"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w:t>
            </w:r>
          </w:p>
        </w:tc>
      </w:tr>
      <w:tr w:rsidR="009630A9" w:rsidRPr="000C156A" w14:paraId="33BE66BC" w14:textId="77777777" w:rsidTr="0011120B">
        <w:trPr>
          <w:trHeight w:val="245"/>
        </w:trPr>
        <w:tc>
          <w:tcPr>
            <w:tcW w:w="1886" w:type="dxa"/>
            <w:tcBorders>
              <w:top w:val="nil"/>
              <w:left w:val="single" w:sz="8" w:space="0" w:color="auto"/>
              <w:bottom w:val="single" w:sz="8" w:space="0" w:color="auto"/>
              <w:right w:val="nil"/>
            </w:tcBorders>
            <w:noWrap/>
            <w:vAlign w:val="center"/>
            <w:hideMark/>
          </w:tcPr>
          <w:p w14:paraId="48E28C77" w14:textId="77777777" w:rsidR="009630A9" w:rsidRPr="000C156A" w:rsidRDefault="009630A9" w:rsidP="005D02F0">
            <w:pPr>
              <w:spacing w:before="40" w:after="40"/>
              <w:rPr>
                <w:noProof/>
                <w:sz w:val="16"/>
                <w:szCs w:val="16"/>
                <w:lang w:val="en-US"/>
              </w:rPr>
            </w:pPr>
            <w:r w:rsidRPr="000C156A">
              <w:rPr>
                <w:rFonts w:hint="eastAsia"/>
                <w:noProof/>
                <w:sz w:val="16"/>
                <w:szCs w:val="16"/>
                <w:lang w:val="en-US" w:eastAsia="zh-CN"/>
              </w:rPr>
              <w:t>其它费用</w:t>
            </w:r>
          </w:p>
        </w:tc>
        <w:tc>
          <w:tcPr>
            <w:tcW w:w="683" w:type="dxa"/>
            <w:tcBorders>
              <w:top w:val="nil"/>
              <w:left w:val="single" w:sz="8" w:space="0" w:color="auto"/>
              <w:bottom w:val="single" w:sz="8" w:space="0" w:color="auto"/>
              <w:right w:val="single" w:sz="4" w:space="0" w:color="auto"/>
            </w:tcBorders>
            <w:shd w:val="clear" w:color="auto" w:fill="auto"/>
            <w:noWrap/>
            <w:vAlign w:val="center"/>
            <w:hideMark/>
          </w:tcPr>
          <w:p w14:paraId="36338899"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47</w:t>
            </w:r>
          </w:p>
        </w:tc>
        <w:tc>
          <w:tcPr>
            <w:tcW w:w="857" w:type="dxa"/>
            <w:tcBorders>
              <w:top w:val="nil"/>
              <w:left w:val="nil"/>
              <w:bottom w:val="single" w:sz="8" w:space="0" w:color="auto"/>
              <w:right w:val="single" w:sz="8" w:space="0" w:color="auto"/>
            </w:tcBorders>
            <w:shd w:val="clear" w:color="auto" w:fill="auto"/>
            <w:noWrap/>
            <w:vAlign w:val="center"/>
            <w:hideMark/>
          </w:tcPr>
          <w:p w14:paraId="720C277A"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hint="eastAsia"/>
                <w:color w:val="000000"/>
                <w:sz w:val="16"/>
                <w:szCs w:val="16"/>
                <w:lang w:eastAsia="zh-CN"/>
              </w:rPr>
              <w:t>23</w:t>
            </w:r>
          </w:p>
        </w:tc>
        <w:tc>
          <w:tcPr>
            <w:tcW w:w="695" w:type="dxa"/>
            <w:tcBorders>
              <w:top w:val="nil"/>
              <w:left w:val="nil"/>
              <w:bottom w:val="single" w:sz="8" w:space="0" w:color="auto"/>
              <w:right w:val="single" w:sz="4" w:space="0" w:color="auto"/>
            </w:tcBorders>
            <w:shd w:val="clear" w:color="auto" w:fill="auto"/>
            <w:noWrap/>
            <w:vAlign w:val="center"/>
            <w:hideMark/>
          </w:tcPr>
          <w:p w14:paraId="5753619D"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30</w:t>
            </w:r>
          </w:p>
        </w:tc>
        <w:tc>
          <w:tcPr>
            <w:tcW w:w="866" w:type="dxa"/>
            <w:tcBorders>
              <w:top w:val="nil"/>
              <w:left w:val="nil"/>
              <w:bottom w:val="single" w:sz="8" w:space="0" w:color="auto"/>
              <w:right w:val="single" w:sz="8" w:space="0" w:color="auto"/>
            </w:tcBorders>
            <w:shd w:val="clear" w:color="auto" w:fill="auto"/>
            <w:noWrap/>
            <w:vAlign w:val="center"/>
            <w:hideMark/>
          </w:tcPr>
          <w:p w14:paraId="34D4AC43"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19</w:t>
            </w:r>
          </w:p>
        </w:tc>
        <w:tc>
          <w:tcPr>
            <w:tcW w:w="711" w:type="dxa"/>
            <w:tcBorders>
              <w:top w:val="nil"/>
              <w:left w:val="nil"/>
              <w:bottom w:val="single" w:sz="8" w:space="0" w:color="auto"/>
              <w:right w:val="single" w:sz="4" w:space="0" w:color="auto"/>
            </w:tcBorders>
            <w:shd w:val="clear" w:color="auto" w:fill="auto"/>
            <w:noWrap/>
            <w:vAlign w:val="center"/>
            <w:hideMark/>
          </w:tcPr>
          <w:p w14:paraId="5DE15337"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5</w:t>
            </w:r>
          </w:p>
        </w:tc>
        <w:tc>
          <w:tcPr>
            <w:tcW w:w="726" w:type="dxa"/>
            <w:tcBorders>
              <w:top w:val="nil"/>
              <w:left w:val="nil"/>
              <w:bottom w:val="single" w:sz="8" w:space="0" w:color="auto"/>
              <w:right w:val="single" w:sz="8" w:space="0" w:color="auto"/>
            </w:tcBorders>
            <w:shd w:val="clear" w:color="auto" w:fill="auto"/>
            <w:noWrap/>
            <w:vAlign w:val="center"/>
            <w:hideMark/>
          </w:tcPr>
          <w:p w14:paraId="28424CC2"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1</w:t>
            </w:r>
          </w:p>
        </w:tc>
        <w:tc>
          <w:tcPr>
            <w:tcW w:w="789" w:type="dxa"/>
            <w:tcBorders>
              <w:top w:val="nil"/>
              <w:left w:val="nil"/>
              <w:bottom w:val="single" w:sz="8" w:space="0" w:color="auto"/>
              <w:right w:val="single" w:sz="4" w:space="0" w:color="auto"/>
            </w:tcBorders>
            <w:shd w:val="clear" w:color="auto" w:fill="auto"/>
            <w:noWrap/>
            <w:vAlign w:val="center"/>
            <w:hideMark/>
          </w:tcPr>
          <w:p w14:paraId="128777E9"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7</w:t>
            </w:r>
          </w:p>
        </w:tc>
        <w:tc>
          <w:tcPr>
            <w:tcW w:w="683" w:type="dxa"/>
            <w:tcBorders>
              <w:top w:val="nil"/>
              <w:left w:val="nil"/>
              <w:bottom w:val="single" w:sz="8" w:space="0" w:color="auto"/>
              <w:right w:val="single" w:sz="8" w:space="0" w:color="auto"/>
            </w:tcBorders>
            <w:shd w:val="clear" w:color="auto" w:fill="auto"/>
            <w:noWrap/>
            <w:vAlign w:val="center"/>
            <w:hideMark/>
          </w:tcPr>
          <w:p w14:paraId="720FD96B"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3</w:t>
            </w:r>
          </w:p>
        </w:tc>
        <w:tc>
          <w:tcPr>
            <w:tcW w:w="693" w:type="dxa"/>
            <w:tcBorders>
              <w:top w:val="nil"/>
              <w:left w:val="nil"/>
              <w:bottom w:val="single" w:sz="8" w:space="0" w:color="auto"/>
              <w:right w:val="single" w:sz="4" w:space="0" w:color="auto"/>
            </w:tcBorders>
            <w:shd w:val="clear" w:color="auto" w:fill="auto"/>
            <w:noWrap/>
            <w:vAlign w:val="center"/>
            <w:hideMark/>
          </w:tcPr>
          <w:p w14:paraId="6514CB6A"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3</w:t>
            </w:r>
          </w:p>
        </w:tc>
        <w:tc>
          <w:tcPr>
            <w:tcW w:w="726" w:type="dxa"/>
            <w:tcBorders>
              <w:top w:val="nil"/>
              <w:left w:val="nil"/>
              <w:bottom w:val="single" w:sz="8" w:space="0" w:color="auto"/>
              <w:right w:val="single" w:sz="8" w:space="0" w:color="auto"/>
            </w:tcBorders>
            <w:shd w:val="clear" w:color="auto" w:fill="auto"/>
            <w:noWrap/>
            <w:vAlign w:val="center"/>
            <w:hideMark/>
          </w:tcPr>
          <w:p w14:paraId="69CC90ED"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hint="eastAsia"/>
                <w:color w:val="000000"/>
                <w:sz w:val="16"/>
                <w:szCs w:val="16"/>
                <w:lang w:eastAsia="zh-CN"/>
              </w:rPr>
              <w:t>0</w:t>
            </w:r>
          </w:p>
        </w:tc>
        <w:tc>
          <w:tcPr>
            <w:tcW w:w="678" w:type="dxa"/>
            <w:tcBorders>
              <w:top w:val="nil"/>
              <w:left w:val="nil"/>
              <w:bottom w:val="single" w:sz="8" w:space="0" w:color="auto"/>
              <w:right w:val="single" w:sz="4" w:space="0" w:color="auto"/>
            </w:tcBorders>
            <w:shd w:val="clear" w:color="auto" w:fill="auto"/>
            <w:noWrap/>
            <w:vAlign w:val="center"/>
            <w:hideMark/>
          </w:tcPr>
          <w:p w14:paraId="67E0B1C2"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1</w:t>
            </w:r>
          </w:p>
        </w:tc>
        <w:tc>
          <w:tcPr>
            <w:tcW w:w="726" w:type="dxa"/>
            <w:tcBorders>
              <w:top w:val="nil"/>
              <w:left w:val="nil"/>
              <w:bottom w:val="single" w:sz="8" w:space="0" w:color="auto"/>
              <w:right w:val="single" w:sz="8" w:space="0" w:color="auto"/>
            </w:tcBorders>
            <w:shd w:val="clear" w:color="auto" w:fill="auto"/>
            <w:noWrap/>
            <w:vAlign w:val="center"/>
            <w:hideMark/>
          </w:tcPr>
          <w:p w14:paraId="32103B44"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color w:val="000000"/>
                <w:sz w:val="16"/>
                <w:szCs w:val="16"/>
                <w:lang w:eastAsia="en-GB"/>
              </w:rPr>
            </w:pPr>
            <w:r w:rsidRPr="000C156A">
              <w:rPr>
                <w:rFonts w:asciiTheme="minorHAnsi" w:hAnsiTheme="minorHAnsi" w:cstheme="minorHAnsi"/>
                <w:color w:val="000000"/>
                <w:sz w:val="16"/>
                <w:szCs w:val="16"/>
                <w:lang w:eastAsia="en-GB"/>
              </w:rPr>
              <w:t>-</w:t>
            </w:r>
          </w:p>
        </w:tc>
      </w:tr>
      <w:tr w:rsidR="009630A9" w:rsidRPr="000C156A" w14:paraId="0F65C645" w14:textId="77777777" w:rsidTr="0011120B">
        <w:trPr>
          <w:trHeight w:val="294"/>
        </w:trPr>
        <w:tc>
          <w:tcPr>
            <w:tcW w:w="1886" w:type="dxa"/>
            <w:tcBorders>
              <w:top w:val="nil"/>
              <w:left w:val="single" w:sz="8" w:space="0" w:color="auto"/>
              <w:bottom w:val="single" w:sz="8" w:space="0" w:color="auto"/>
              <w:right w:val="single" w:sz="8" w:space="0" w:color="auto"/>
            </w:tcBorders>
            <w:noWrap/>
            <w:vAlign w:val="center"/>
            <w:hideMark/>
          </w:tcPr>
          <w:p w14:paraId="2A781BA1" w14:textId="60490A77" w:rsidR="009630A9" w:rsidRPr="000C156A" w:rsidRDefault="009630A9" w:rsidP="00E373D7">
            <w:pPr>
              <w:overflowPunct/>
              <w:adjustRightInd/>
              <w:spacing w:before="0"/>
              <w:jc w:val="both"/>
              <w:rPr>
                <w:rFonts w:ascii="Arial" w:hAnsi="Arial" w:cs="Arial"/>
                <w:color w:val="000000"/>
                <w:sz w:val="16"/>
                <w:szCs w:val="16"/>
                <w:lang w:val="en-US" w:eastAsia="zh-CN"/>
              </w:rPr>
            </w:pPr>
            <w:r w:rsidRPr="000C156A">
              <w:rPr>
                <w:rFonts w:ascii="Arial" w:hAnsi="Arial" w:cs="Arial" w:hint="eastAsia"/>
                <w:color w:val="000000"/>
                <w:sz w:val="16"/>
                <w:szCs w:val="16"/>
                <w:lang w:val="en-US" w:eastAsia="zh-CN"/>
              </w:rPr>
              <w:t>合计（单位：千瑞郎）</w:t>
            </w:r>
          </w:p>
        </w:tc>
        <w:tc>
          <w:tcPr>
            <w:tcW w:w="683" w:type="dxa"/>
            <w:tcBorders>
              <w:top w:val="nil"/>
              <w:left w:val="nil"/>
              <w:bottom w:val="single" w:sz="8" w:space="0" w:color="auto"/>
              <w:right w:val="single" w:sz="4" w:space="0" w:color="auto"/>
            </w:tcBorders>
            <w:shd w:val="clear" w:color="auto" w:fill="auto"/>
            <w:noWrap/>
            <w:vAlign w:val="center"/>
            <w:hideMark/>
          </w:tcPr>
          <w:p w14:paraId="5CC8C774" w14:textId="00E10F0C" w:rsidR="009630A9" w:rsidRPr="000C156A" w:rsidRDefault="009630A9" w:rsidP="005D02F0">
            <w:pPr>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C156A">
              <w:rPr>
                <w:rFonts w:asciiTheme="minorHAnsi" w:hAnsiTheme="minorHAnsi" w:cstheme="minorHAnsi"/>
                <w:b/>
                <w:bCs/>
                <w:color w:val="000000"/>
                <w:sz w:val="16"/>
                <w:szCs w:val="16"/>
                <w:lang w:eastAsia="en-GB"/>
              </w:rPr>
              <w:t>2</w:t>
            </w:r>
            <w:r w:rsidR="0011120B" w:rsidRPr="000C156A">
              <w:rPr>
                <w:rFonts w:asciiTheme="minorHAnsi" w:hAnsiTheme="minorHAnsi" w:cstheme="minorHAnsi"/>
                <w:b/>
                <w:bCs/>
                <w:color w:val="000000"/>
                <w:sz w:val="16"/>
                <w:szCs w:val="16"/>
                <w:lang w:eastAsia="en-GB"/>
              </w:rPr>
              <w:t xml:space="preserve"> </w:t>
            </w:r>
            <w:r w:rsidRPr="000C156A">
              <w:rPr>
                <w:rFonts w:asciiTheme="minorHAnsi" w:hAnsiTheme="minorHAnsi" w:cstheme="minorHAnsi"/>
                <w:b/>
                <w:bCs/>
                <w:color w:val="000000"/>
                <w:sz w:val="16"/>
                <w:szCs w:val="16"/>
                <w:lang w:eastAsia="en-GB"/>
              </w:rPr>
              <w:t>2</w:t>
            </w:r>
            <w:r w:rsidRPr="000C156A">
              <w:rPr>
                <w:rFonts w:asciiTheme="minorHAnsi" w:hAnsiTheme="minorHAnsi" w:cstheme="minorHAnsi" w:hint="eastAsia"/>
                <w:b/>
                <w:bCs/>
                <w:color w:val="000000"/>
                <w:sz w:val="16"/>
                <w:szCs w:val="16"/>
                <w:lang w:eastAsia="zh-CN"/>
              </w:rPr>
              <w:t>41</w:t>
            </w:r>
          </w:p>
        </w:tc>
        <w:tc>
          <w:tcPr>
            <w:tcW w:w="857" w:type="dxa"/>
            <w:tcBorders>
              <w:top w:val="nil"/>
              <w:left w:val="nil"/>
              <w:bottom w:val="single" w:sz="8" w:space="0" w:color="auto"/>
              <w:right w:val="single" w:sz="8" w:space="0" w:color="auto"/>
            </w:tcBorders>
            <w:shd w:val="clear" w:color="auto" w:fill="auto"/>
            <w:noWrap/>
            <w:vAlign w:val="center"/>
            <w:hideMark/>
          </w:tcPr>
          <w:p w14:paraId="1D98906C" w14:textId="1F7D5424" w:rsidR="009630A9" w:rsidRPr="000C156A" w:rsidRDefault="009630A9" w:rsidP="005D02F0">
            <w:pPr>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C156A">
              <w:rPr>
                <w:rFonts w:asciiTheme="minorHAnsi" w:hAnsiTheme="minorHAnsi" w:cstheme="minorHAnsi"/>
                <w:b/>
                <w:bCs/>
                <w:color w:val="000000"/>
                <w:sz w:val="16"/>
                <w:szCs w:val="16"/>
                <w:lang w:eastAsia="en-GB"/>
              </w:rPr>
              <w:t>2</w:t>
            </w:r>
            <w:r w:rsidR="0011120B" w:rsidRPr="000C156A">
              <w:rPr>
                <w:rFonts w:asciiTheme="minorHAnsi" w:hAnsiTheme="minorHAnsi" w:cstheme="minorHAnsi"/>
                <w:b/>
                <w:bCs/>
                <w:color w:val="000000"/>
                <w:sz w:val="16"/>
                <w:szCs w:val="16"/>
                <w:lang w:eastAsia="en-GB"/>
              </w:rPr>
              <w:t xml:space="preserve"> </w:t>
            </w:r>
            <w:r w:rsidRPr="000C156A">
              <w:rPr>
                <w:rFonts w:asciiTheme="minorHAnsi" w:hAnsiTheme="minorHAnsi" w:cstheme="minorHAnsi" w:hint="eastAsia"/>
                <w:b/>
                <w:bCs/>
                <w:color w:val="000000"/>
                <w:sz w:val="16"/>
                <w:szCs w:val="16"/>
                <w:lang w:eastAsia="zh-CN"/>
              </w:rPr>
              <w:t>038</w:t>
            </w:r>
          </w:p>
        </w:tc>
        <w:tc>
          <w:tcPr>
            <w:tcW w:w="695" w:type="dxa"/>
            <w:tcBorders>
              <w:top w:val="nil"/>
              <w:left w:val="nil"/>
              <w:bottom w:val="single" w:sz="8" w:space="0" w:color="auto"/>
              <w:right w:val="single" w:sz="4" w:space="0" w:color="auto"/>
            </w:tcBorders>
            <w:shd w:val="clear" w:color="auto" w:fill="auto"/>
            <w:noWrap/>
            <w:vAlign w:val="center"/>
            <w:hideMark/>
          </w:tcPr>
          <w:p w14:paraId="00E94C91" w14:textId="11B4AB74" w:rsidR="009630A9" w:rsidRPr="000C156A" w:rsidRDefault="009630A9" w:rsidP="005D02F0">
            <w:pPr>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C156A">
              <w:rPr>
                <w:rFonts w:asciiTheme="minorHAnsi" w:hAnsiTheme="minorHAnsi" w:cstheme="minorHAnsi"/>
                <w:b/>
                <w:bCs/>
                <w:color w:val="000000"/>
                <w:sz w:val="16"/>
                <w:szCs w:val="16"/>
                <w:lang w:eastAsia="en-GB"/>
              </w:rPr>
              <w:t>2</w:t>
            </w:r>
            <w:r w:rsidR="0011120B" w:rsidRPr="000C156A">
              <w:rPr>
                <w:rFonts w:asciiTheme="minorHAnsi" w:hAnsiTheme="minorHAnsi" w:cstheme="minorHAnsi"/>
                <w:b/>
                <w:bCs/>
                <w:color w:val="000000"/>
                <w:sz w:val="16"/>
                <w:szCs w:val="16"/>
                <w:lang w:eastAsia="en-GB"/>
              </w:rPr>
              <w:t xml:space="preserve"> </w:t>
            </w:r>
            <w:r w:rsidRPr="000C156A">
              <w:rPr>
                <w:rFonts w:asciiTheme="minorHAnsi" w:hAnsiTheme="minorHAnsi" w:cstheme="minorHAnsi"/>
                <w:b/>
                <w:bCs/>
                <w:color w:val="000000"/>
                <w:sz w:val="16"/>
                <w:szCs w:val="16"/>
                <w:lang w:eastAsia="en-GB"/>
              </w:rPr>
              <w:t>045</w:t>
            </w:r>
          </w:p>
        </w:tc>
        <w:tc>
          <w:tcPr>
            <w:tcW w:w="866" w:type="dxa"/>
            <w:tcBorders>
              <w:top w:val="nil"/>
              <w:left w:val="nil"/>
              <w:bottom w:val="single" w:sz="8" w:space="0" w:color="auto"/>
              <w:right w:val="single" w:sz="8" w:space="0" w:color="auto"/>
            </w:tcBorders>
            <w:shd w:val="clear" w:color="auto" w:fill="auto"/>
            <w:noWrap/>
            <w:vAlign w:val="center"/>
            <w:hideMark/>
          </w:tcPr>
          <w:p w14:paraId="112AF52D" w14:textId="4A1E4503" w:rsidR="009630A9" w:rsidRPr="000C156A" w:rsidRDefault="009630A9" w:rsidP="005D02F0">
            <w:pPr>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C156A">
              <w:rPr>
                <w:rFonts w:asciiTheme="minorHAnsi" w:hAnsiTheme="minorHAnsi" w:cstheme="minorHAnsi"/>
                <w:b/>
                <w:bCs/>
                <w:color w:val="000000"/>
                <w:sz w:val="16"/>
                <w:szCs w:val="16"/>
                <w:lang w:eastAsia="en-GB"/>
              </w:rPr>
              <w:t>1</w:t>
            </w:r>
            <w:r w:rsidR="0011120B" w:rsidRPr="000C156A">
              <w:rPr>
                <w:rFonts w:asciiTheme="minorHAnsi" w:hAnsiTheme="minorHAnsi" w:cstheme="minorHAnsi"/>
                <w:b/>
                <w:bCs/>
                <w:color w:val="000000"/>
                <w:sz w:val="16"/>
                <w:szCs w:val="16"/>
                <w:lang w:eastAsia="en-GB"/>
              </w:rPr>
              <w:t xml:space="preserve"> </w:t>
            </w:r>
            <w:r w:rsidRPr="000C156A">
              <w:rPr>
                <w:rFonts w:asciiTheme="minorHAnsi" w:hAnsiTheme="minorHAnsi" w:cstheme="minorHAnsi"/>
                <w:b/>
                <w:bCs/>
                <w:color w:val="000000"/>
                <w:sz w:val="16"/>
                <w:szCs w:val="16"/>
                <w:lang w:eastAsia="en-GB"/>
              </w:rPr>
              <w:t>842</w:t>
            </w:r>
          </w:p>
        </w:tc>
        <w:tc>
          <w:tcPr>
            <w:tcW w:w="711" w:type="dxa"/>
            <w:tcBorders>
              <w:top w:val="nil"/>
              <w:left w:val="nil"/>
              <w:bottom w:val="single" w:sz="8" w:space="0" w:color="auto"/>
              <w:right w:val="single" w:sz="4" w:space="0" w:color="auto"/>
            </w:tcBorders>
            <w:shd w:val="clear" w:color="auto" w:fill="auto"/>
            <w:noWrap/>
            <w:vAlign w:val="center"/>
            <w:hideMark/>
          </w:tcPr>
          <w:p w14:paraId="380C700E"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C156A">
              <w:rPr>
                <w:rFonts w:asciiTheme="minorHAnsi" w:hAnsiTheme="minorHAnsi" w:cstheme="minorHAnsi"/>
                <w:b/>
                <w:bCs/>
                <w:color w:val="000000"/>
                <w:sz w:val="16"/>
                <w:szCs w:val="16"/>
                <w:lang w:eastAsia="en-GB"/>
              </w:rPr>
              <w:t>921</w:t>
            </w:r>
          </w:p>
        </w:tc>
        <w:tc>
          <w:tcPr>
            <w:tcW w:w="726" w:type="dxa"/>
            <w:tcBorders>
              <w:top w:val="nil"/>
              <w:left w:val="nil"/>
              <w:bottom w:val="single" w:sz="8" w:space="0" w:color="auto"/>
              <w:right w:val="single" w:sz="8" w:space="0" w:color="auto"/>
            </w:tcBorders>
            <w:shd w:val="clear" w:color="auto" w:fill="auto"/>
            <w:noWrap/>
            <w:vAlign w:val="center"/>
            <w:hideMark/>
          </w:tcPr>
          <w:p w14:paraId="50338A9C"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C156A">
              <w:rPr>
                <w:rFonts w:asciiTheme="minorHAnsi" w:hAnsiTheme="minorHAnsi" w:cstheme="minorHAnsi"/>
                <w:b/>
                <w:bCs/>
                <w:color w:val="000000"/>
                <w:sz w:val="16"/>
                <w:szCs w:val="16"/>
                <w:lang w:eastAsia="en-GB"/>
              </w:rPr>
              <w:t>843</w:t>
            </w:r>
          </w:p>
        </w:tc>
        <w:tc>
          <w:tcPr>
            <w:tcW w:w="789" w:type="dxa"/>
            <w:tcBorders>
              <w:top w:val="nil"/>
              <w:left w:val="nil"/>
              <w:bottom w:val="single" w:sz="8" w:space="0" w:color="auto"/>
              <w:right w:val="single" w:sz="4" w:space="0" w:color="auto"/>
            </w:tcBorders>
            <w:shd w:val="clear" w:color="auto" w:fill="auto"/>
            <w:noWrap/>
            <w:vAlign w:val="center"/>
            <w:hideMark/>
          </w:tcPr>
          <w:p w14:paraId="645969C5" w14:textId="6BB4FFA4" w:rsidR="009630A9" w:rsidRPr="000C156A" w:rsidRDefault="009630A9" w:rsidP="005D02F0">
            <w:pPr>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C156A">
              <w:rPr>
                <w:rFonts w:asciiTheme="minorHAnsi" w:hAnsiTheme="minorHAnsi" w:cstheme="minorHAnsi"/>
                <w:b/>
                <w:bCs/>
                <w:color w:val="000000"/>
                <w:sz w:val="16"/>
                <w:szCs w:val="16"/>
                <w:lang w:eastAsia="en-GB"/>
              </w:rPr>
              <w:t>1</w:t>
            </w:r>
            <w:r w:rsidR="0011120B" w:rsidRPr="000C156A">
              <w:rPr>
                <w:rFonts w:asciiTheme="minorHAnsi" w:hAnsiTheme="minorHAnsi" w:cstheme="minorHAnsi"/>
                <w:b/>
                <w:bCs/>
                <w:color w:val="000000"/>
                <w:sz w:val="16"/>
                <w:szCs w:val="16"/>
                <w:lang w:eastAsia="en-GB"/>
              </w:rPr>
              <w:t xml:space="preserve"> </w:t>
            </w:r>
            <w:r w:rsidRPr="000C156A">
              <w:rPr>
                <w:rFonts w:asciiTheme="minorHAnsi" w:hAnsiTheme="minorHAnsi" w:cstheme="minorHAnsi"/>
                <w:b/>
                <w:bCs/>
                <w:color w:val="000000"/>
                <w:sz w:val="16"/>
                <w:szCs w:val="16"/>
                <w:lang w:eastAsia="en-GB"/>
              </w:rPr>
              <w:t>329</w:t>
            </w:r>
          </w:p>
        </w:tc>
        <w:tc>
          <w:tcPr>
            <w:tcW w:w="683" w:type="dxa"/>
            <w:tcBorders>
              <w:top w:val="nil"/>
              <w:left w:val="nil"/>
              <w:bottom w:val="single" w:sz="8" w:space="0" w:color="auto"/>
              <w:right w:val="single" w:sz="8" w:space="0" w:color="auto"/>
            </w:tcBorders>
            <w:shd w:val="clear" w:color="auto" w:fill="auto"/>
            <w:noWrap/>
            <w:vAlign w:val="center"/>
            <w:hideMark/>
          </w:tcPr>
          <w:p w14:paraId="553BA85F" w14:textId="7E10C7AE" w:rsidR="009630A9" w:rsidRPr="000C156A" w:rsidRDefault="009630A9" w:rsidP="005D02F0">
            <w:pPr>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C156A">
              <w:rPr>
                <w:rFonts w:asciiTheme="minorHAnsi" w:hAnsiTheme="minorHAnsi" w:cstheme="minorHAnsi"/>
                <w:b/>
                <w:bCs/>
                <w:color w:val="000000"/>
                <w:sz w:val="16"/>
                <w:szCs w:val="16"/>
                <w:lang w:eastAsia="en-GB"/>
              </w:rPr>
              <w:t>1</w:t>
            </w:r>
            <w:r w:rsidR="0011120B" w:rsidRPr="000C156A">
              <w:rPr>
                <w:rFonts w:asciiTheme="minorHAnsi" w:hAnsiTheme="minorHAnsi" w:cstheme="minorHAnsi"/>
                <w:b/>
                <w:bCs/>
                <w:color w:val="000000"/>
                <w:sz w:val="16"/>
                <w:szCs w:val="16"/>
                <w:lang w:eastAsia="en-GB"/>
              </w:rPr>
              <w:t xml:space="preserve"> </w:t>
            </w:r>
            <w:r w:rsidRPr="000C156A">
              <w:rPr>
                <w:rFonts w:asciiTheme="minorHAnsi" w:hAnsiTheme="minorHAnsi" w:cstheme="minorHAnsi"/>
                <w:b/>
                <w:bCs/>
                <w:color w:val="000000"/>
                <w:sz w:val="16"/>
                <w:szCs w:val="16"/>
                <w:lang w:eastAsia="en-GB"/>
              </w:rPr>
              <w:t>270</w:t>
            </w:r>
          </w:p>
        </w:tc>
        <w:tc>
          <w:tcPr>
            <w:tcW w:w="693" w:type="dxa"/>
            <w:tcBorders>
              <w:top w:val="nil"/>
              <w:left w:val="nil"/>
              <w:bottom w:val="single" w:sz="8" w:space="0" w:color="auto"/>
              <w:right w:val="single" w:sz="4" w:space="0" w:color="auto"/>
            </w:tcBorders>
            <w:shd w:val="clear" w:color="auto" w:fill="auto"/>
            <w:noWrap/>
            <w:vAlign w:val="center"/>
            <w:hideMark/>
          </w:tcPr>
          <w:p w14:paraId="6CB71D60"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C156A">
              <w:rPr>
                <w:rFonts w:asciiTheme="minorHAnsi" w:hAnsiTheme="minorHAnsi" w:cstheme="minorHAnsi"/>
                <w:b/>
                <w:bCs/>
                <w:color w:val="000000"/>
                <w:sz w:val="16"/>
                <w:szCs w:val="16"/>
                <w:lang w:eastAsia="en-GB"/>
              </w:rPr>
              <w:t>4</w:t>
            </w:r>
            <w:r w:rsidRPr="000C156A">
              <w:rPr>
                <w:rFonts w:asciiTheme="minorHAnsi" w:hAnsiTheme="minorHAnsi" w:cstheme="minorHAnsi" w:hint="eastAsia"/>
                <w:b/>
                <w:bCs/>
                <w:color w:val="000000"/>
                <w:sz w:val="16"/>
                <w:szCs w:val="16"/>
                <w:lang w:eastAsia="zh-CN"/>
              </w:rPr>
              <w:t>97</w:t>
            </w:r>
          </w:p>
        </w:tc>
        <w:tc>
          <w:tcPr>
            <w:tcW w:w="726" w:type="dxa"/>
            <w:tcBorders>
              <w:top w:val="nil"/>
              <w:left w:val="nil"/>
              <w:bottom w:val="single" w:sz="8" w:space="0" w:color="auto"/>
              <w:right w:val="single" w:sz="8" w:space="0" w:color="auto"/>
            </w:tcBorders>
            <w:shd w:val="clear" w:color="auto" w:fill="auto"/>
            <w:noWrap/>
            <w:vAlign w:val="center"/>
            <w:hideMark/>
          </w:tcPr>
          <w:p w14:paraId="47EED60C"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C156A">
              <w:rPr>
                <w:rFonts w:asciiTheme="minorHAnsi" w:hAnsiTheme="minorHAnsi" w:cstheme="minorHAnsi" w:hint="eastAsia"/>
                <w:b/>
                <w:bCs/>
                <w:color w:val="000000"/>
                <w:sz w:val="16"/>
                <w:szCs w:val="16"/>
                <w:lang w:eastAsia="zh-CN"/>
              </w:rPr>
              <w:t>382</w:t>
            </w:r>
          </w:p>
        </w:tc>
        <w:tc>
          <w:tcPr>
            <w:tcW w:w="678" w:type="dxa"/>
            <w:tcBorders>
              <w:top w:val="nil"/>
              <w:left w:val="nil"/>
              <w:bottom w:val="single" w:sz="8" w:space="0" w:color="auto"/>
              <w:right w:val="single" w:sz="4" w:space="0" w:color="auto"/>
            </w:tcBorders>
            <w:shd w:val="clear" w:color="auto" w:fill="auto"/>
            <w:noWrap/>
            <w:vAlign w:val="center"/>
            <w:hideMark/>
          </w:tcPr>
          <w:p w14:paraId="30967309"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C156A">
              <w:rPr>
                <w:rFonts w:asciiTheme="minorHAnsi" w:hAnsiTheme="minorHAnsi" w:cstheme="minorHAnsi"/>
                <w:b/>
                <w:bCs/>
                <w:color w:val="000000"/>
                <w:sz w:val="16"/>
                <w:szCs w:val="16"/>
                <w:lang w:eastAsia="en-GB"/>
              </w:rPr>
              <w:t>5</w:t>
            </w:r>
            <w:r w:rsidRPr="000C156A">
              <w:rPr>
                <w:rFonts w:asciiTheme="minorHAnsi" w:hAnsiTheme="minorHAnsi" w:cstheme="minorHAnsi" w:hint="eastAsia"/>
                <w:b/>
                <w:bCs/>
                <w:color w:val="000000"/>
                <w:sz w:val="16"/>
                <w:szCs w:val="16"/>
                <w:lang w:eastAsia="zh-CN"/>
              </w:rPr>
              <w:t>35</w:t>
            </w:r>
          </w:p>
        </w:tc>
        <w:tc>
          <w:tcPr>
            <w:tcW w:w="726" w:type="dxa"/>
            <w:tcBorders>
              <w:top w:val="nil"/>
              <w:left w:val="nil"/>
              <w:bottom w:val="single" w:sz="8" w:space="0" w:color="auto"/>
              <w:right w:val="single" w:sz="8" w:space="0" w:color="auto"/>
            </w:tcBorders>
            <w:shd w:val="clear" w:color="auto" w:fill="auto"/>
            <w:noWrap/>
            <w:vAlign w:val="center"/>
            <w:hideMark/>
          </w:tcPr>
          <w:p w14:paraId="16C7F098" w14:textId="77777777" w:rsidR="009630A9" w:rsidRPr="000C156A" w:rsidRDefault="009630A9" w:rsidP="005D02F0">
            <w:pPr>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0C156A">
              <w:rPr>
                <w:rFonts w:asciiTheme="minorHAnsi" w:hAnsiTheme="minorHAnsi" w:cstheme="minorHAnsi" w:hint="eastAsia"/>
                <w:b/>
                <w:bCs/>
                <w:color w:val="000000"/>
                <w:sz w:val="16"/>
                <w:szCs w:val="16"/>
                <w:lang w:eastAsia="zh-CN"/>
              </w:rPr>
              <w:t>376</w:t>
            </w:r>
          </w:p>
        </w:tc>
      </w:tr>
    </w:tbl>
    <w:p w14:paraId="4E7410BE" w14:textId="77777777" w:rsidR="009630A9" w:rsidRPr="000C156A" w:rsidRDefault="009630A9" w:rsidP="00F17F0A">
      <w:pPr>
        <w:spacing w:before="240"/>
        <w:ind w:firstLineChars="200" w:firstLine="480"/>
        <w:rPr>
          <w:lang w:eastAsia="zh-CN"/>
        </w:rPr>
      </w:pPr>
      <w:r w:rsidRPr="000C156A">
        <w:rPr>
          <w:rFonts w:hint="eastAsia"/>
          <w:lang w:eastAsia="zh-CN"/>
        </w:rPr>
        <w:t>2020</w:t>
      </w:r>
      <w:r w:rsidRPr="000C156A">
        <w:rPr>
          <w:rFonts w:hint="eastAsia"/>
          <w:lang w:eastAsia="zh-CN"/>
        </w:rPr>
        <w:t>年期间，通过一系列基于结果的管理（</w:t>
      </w:r>
      <w:r w:rsidRPr="000C156A">
        <w:rPr>
          <w:rFonts w:hint="eastAsia"/>
          <w:lang w:eastAsia="zh-CN"/>
        </w:rPr>
        <w:t>RBM</w:t>
      </w:r>
      <w:r w:rsidRPr="000C156A">
        <w:rPr>
          <w:rFonts w:hint="eastAsia"/>
          <w:lang w:eastAsia="zh-CN"/>
        </w:rPr>
        <w:t>）措施，继续努力加强国际电联区域代表处的完善工作，使国际电联能够更好地应对各区域的具体需求，并在国家和区域层面有效提供及时和高质量的产品和服务。</w:t>
      </w:r>
      <w:r w:rsidRPr="000C156A">
        <w:rPr>
          <w:rFonts w:hint="eastAsia"/>
          <w:lang w:eastAsia="zh-CN"/>
        </w:rPr>
        <w:t>2019</w:t>
      </w:r>
      <w:r w:rsidRPr="000C156A">
        <w:rPr>
          <w:rFonts w:hint="eastAsia"/>
          <w:lang w:eastAsia="zh-CN"/>
        </w:rPr>
        <w:t>年理事会授权秘书长对区域代表处进行审查，以提高其效率和效力。普华永道（</w:t>
      </w:r>
      <w:r w:rsidRPr="000C156A">
        <w:rPr>
          <w:rStyle w:val="normaltextrun"/>
          <w:rFonts w:cs="Calibri"/>
          <w:color w:val="000000"/>
          <w:shd w:val="clear" w:color="auto" w:fill="FFFFFF"/>
          <w:lang w:val="en-US" w:eastAsia="zh-CN"/>
        </w:rPr>
        <w:t>PwC</w:t>
      </w:r>
      <w:r w:rsidRPr="000C156A">
        <w:rPr>
          <w:rStyle w:val="normaltextrun"/>
          <w:rFonts w:cs="Calibri" w:hint="eastAsia"/>
          <w:color w:val="000000"/>
          <w:shd w:val="clear" w:color="auto" w:fill="FFFFFF"/>
          <w:lang w:val="en-US" w:eastAsia="zh-CN"/>
        </w:rPr>
        <w:t>）</w:t>
      </w:r>
      <w:r w:rsidRPr="000C156A">
        <w:rPr>
          <w:rFonts w:hint="eastAsia"/>
          <w:lang w:eastAsia="zh-CN"/>
        </w:rPr>
        <w:t>中标开展相关工作，其报告已于</w:t>
      </w:r>
      <w:r w:rsidRPr="000C156A">
        <w:rPr>
          <w:rFonts w:hint="eastAsia"/>
          <w:lang w:eastAsia="zh-CN"/>
        </w:rPr>
        <w:t>2020</w:t>
      </w:r>
      <w:r w:rsidRPr="000C156A">
        <w:rPr>
          <w:rFonts w:hint="eastAsia"/>
          <w:lang w:eastAsia="zh-CN"/>
        </w:rPr>
        <w:t>年</w:t>
      </w:r>
      <w:r w:rsidRPr="000C156A">
        <w:rPr>
          <w:rFonts w:hint="eastAsia"/>
          <w:lang w:eastAsia="zh-CN"/>
        </w:rPr>
        <w:t>7</w:t>
      </w:r>
      <w:r w:rsidRPr="000C156A">
        <w:rPr>
          <w:rFonts w:hint="eastAsia"/>
          <w:lang w:eastAsia="zh-CN"/>
        </w:rPr>
        <w:t>月提交，概述了改善国际电联区域代表处的建议。该报告于</w:t>
      </w:r>
      <w:r w:rsidRPr="000C156A">
        <w:rPr>
          <w:rFonts w:hint="eastAsia"/>
          <w:lang w:eastAsia="zh-CN"/>
        </w:rPr>
        <w:t>2020</w:t>
      </w:r>
      <w:r w:rsidRPr="000C156A">
        <w:rPr>
          <w:rFonts w:hint="eastAsia"/>
          <w:lang w:eastAsia="zh-CN"/>
        </w:rPr>
        <w:t>年</w:t>
      </w:r>
      <w:r w:rsidRPr="000C156A">
        <w:rPr>
          <w:rFonts w:hint="eastAsia"/>
          <w:lang w:eastAsia="zh-CN"/>
        </w:rPr>
        <w:t>11</w:t>
      </w:r>
      <w:r w:rsidRPr="000C156A">
        <w:rPr>
          <w:rFonts w:hint="eastAsia"/>
          <w:lang w:eastAsia="zh-CN"/>
        </w:rPr>
        <w:t>月向给理事会介绍。</w:t>
      </w:r>
      <w:r w:rsidRPr="000C156A">
        <w:rPr>
          <w:rFonts w:hint="eastAsia"/>
          <w:lang w:eastAsia="zh-CN"/>
        </w:rPr>
        <w:t>2020</w:t>
      </w:r>
      <w:r w:rsidRPr="000C156A">
        <w:rPr>
          <w:rFonts w:hint="eastAsia"/>
          <w:lang w:eastAsia="zh-CN"/>
        </w:rPr>
        <w:t>年</w:t>
      </w:r>
      <w:r w:rsidRPr="000C156A">
        <w:rPr>
          <w:rFonts w:hint="eastAsia"/>
          <w:lang w:eastAsia="zh-CN"/>
        </w:rPr>
        <w:t>8</w:t>
      </w:r>
      <w:r w:rsidRPr="000C156A">
        <w:rPr>
          <w:rFonts w:hint="eastAsia"/>
          <w:lang w:eastAsia="zh-CN"/>
        </w:rPr>
        <w:t>月，秘书处召集了由总秘书处所有相关部门和各局有关工作人员组成的任务组，审查并提供一份关于</w:t>
      </w:r>
      <w:r w:rsidRPr="000C156A">
        <w:rPr>
          <w:rFonts w:hint="eastAsia"/>
          <w:lang w:eastAsia="zh-CN"/>
        </w:rPr>
        <w:t>PwC</w:t>
      </w:r>
      <w:r w:rsidRPr="000C156A">
        <w:rPr>
          <w:rFonts w:hint="eastAsia"/>
          <w:lang w:eastAsia="zh-CN"/>
        </w:rPr>
        <w:t>报告的详细报告，包括未来实施的建议。</w:t>
      </w:r>
      <w:r w:rsidRPr="000C156A">
        <w:rPr>
          <w:rFonts w:hint="eastAsia"/>
          <w:lang w:eastAsia="zh-CN"/>
        </w:rPr>
        <w:t>PwC</w:t>
      </w:r>
      <w:r w:rsidRPr="000C156A">
        <w:rPr>
          <w:rFonts w:hint="eastAsia"/>
          <w:lang w:eastAsia="zh-CN"/>
        </w:rPr>
        <w:t>报告于</w:t>
      </w:r>
      <w:r w:rsidRPr="000C156A">
        <w:rPr>
          <w:rFonts w:hint="eastAsia"/>
          <w:lang w:eastAsia="zh-CN"/>
        </w:rPr>
        <w:t>2020</w:t>
      </w:r>
      <w:r w:rsidRPr="000C156A">
        <w:rPr>
          <w:rFonts w:hint="eastAsia"/>
          <w:lang w:eastAsia="zh-CN"/>
        </w:rPr>
        <w:t>年</w:t>
      </w:r>
      <w:r w:rsidRPr="000C156A">
        <w:rPr>
          <w:rFonts w:hint="eastAsia"/>
          <w:lang w:eastAsia="zh-CN"/>
        </w:rPr>
        <w:t>11</w:t>
      </w:r>
      <w:r w:rsidRPr="000C156A">
        <w:rPr>
          <w:rFonts w:hint="eastAsia"/>
          <w:lang w:eastAsia="zh-CN"/>
        </w:rPr>
        <w:t>月通过</w:t>
      </w:r>
      <w:hyperlink r:id="rId45" w:history="1">
        <w:r w:rsidRPr="000C156A">
          <w:rPr>
            <w:rStyle w:val="Hyperlink"/>
            <w:lang w:eastAsia="zh-CN"/>
          </w:rPr>
          <w:t>C20/74</w:t>
        </w:r>
      </w:hyperlink>
      <w:r w:rsidRPr="000C156A">
        <w:rPr>
          <w:rFonts w:hint="eastAsia"/>
          <w:lang w:eastAsia="zh-CN"/>
        </w:rPr>
        <w:t>号文件提交，并由理事会记录在案。秘书处任务组提交理事会的说明也通过</w:t>
      </w:r>
      <w:hyperlink r:id="rId46" w:history="1">
        <w:r w:rsidRPr="000C156A">
          <w:rPr>
            <w:rStyle w:val="Hyperlink"/>
            <w:lang w:eastAsia="zh-CN"/>
          </w:rPr>
          <w:t>C20/75</w:t>
        </w:r>
      </w:hyperlink>
      <w:r w:rsidRPr="000C156A">
        <w:rPr>
          <w:rFonts w:hint="eastAsia"/>
          <w:lang w:eastAsia="zh-CN"/>
        </w:rPr>
        <w:t>号文件向理事会做出介绍。要求理事会做出决定的</w:t>
      </w:r>
      <w:r w:rsidRPr="000C156A">
        <w:rPr>
          <w:rFonts w:hint="eastAsia"/>
          <w:lang w:eastAsia="zh-CN"/>
        </w:rPr>
        <w:t>PwC</w:t>
      </w:r>
      <w:r w:rsidRPr="000C156A">
        <w:rPr>
          <w:rFonts w:hint="eastAsia"/>
          <w:lang w:eastAsia="zh-CN"/>
        </w:rPr>
        <w:t>建议已提交理事会财务和人力资源工作组（</w:t>
      </w:r>
      <w:r w:rsidRPr="000C156A">
        <w:rPr>
          <w:rFonts w:hint="eastAsia"/>
          <w:lang w:eastAsia="zh-CN"/>
        </w:rPr>
        <w:t>CWG-FHR</w:t>
      </w:r>
      <w:r w:rsidRPr="000C156A">
        <w:rPr>
          <w:rFonts w:hint="eastAsia"/>
          <w:lang w:eastAsia="zh-CN"/>
        </w:rPr>
        <w:t>），以便为实施这些建议的前进方向提供指导。</w:t>
      </w:r>
    </w:p>
    <w:p w14:paraId="55B33465" w14:textId="77777777" w:rsidR="009630A9" w:rsidRPr="000C156A" w:rsidRDefault="009630A9" w:rsidP="009630A9">
      <w:pPr>
        <w:pStyle w:val="Heading1"/>
        <w:spacing w:before="240" w:after="120"/>
        <w:rPr>
          <w:sz w:val="24"/>
          <w:szCs w:val="24"/>
          <w:lang w:eastAsia="zh-CN"/>
        </w:rPr>
      </w:pPr>
      <w:bookmarkStart w:id="1007" w:name="_Toc482892587"/>
      <w:bookmarkStart w:id="1008" w:name="_Toc511813771"/>
      <w:bookmarkStart w:id="1009" w:name="_Toc511817854"/>
      <w:bookmarkStart w:id="1010" w:name="_Toc520280754"/>
      <w:bookmarkStart w:id="1011" w:name="_Toc10536848"/>
      <w:bookmarkStart w:id="1012" w:name="_Toc41905900"/>
      <w:bookmarkStart w:id="1013" w:name="_Toc41906921"/>
      <w:bookmarkStart w:id="1014" w:name="_Toc41908070"/>
      <w:bookmarkStart w:id="1015" w:name="_Toc73518728"/>
      <w:bookmarkStart w:id="1016" w:name="_Toc73518875"/>
      <w:bookmarkStart w:id="1017" w:name="_Toc73519275"/>
      <w:bookmarkStart w:id="1018" w:name="_Toc73636314"/>
      <w:r w:rsidRPr="000C156A">
        <w:rPr>
          <w:rFonts w:cs="Microsoft YaHei" w:hint="eastAsia"/>
          <w:sz w:val="24"/>
          <w:szCs w:val="24"/>
          <w:lang w:val="fr-FR" w:eastAsia="zh-CN"/>
        </w:rPr>
        <w:t>说明</w:t>
      </w:r>
      <w:r w:rsidRPr="000C156A">
        <w:rPr>
          <w:sz w:val="24"/>
          <w:szCs w:val="24"/>
          <w:lang w:eastAsia="zh-CN"/>
        </w:rPr>
        <w:t>26</w:t>
      </w:r>
      <w:r w:rsidRPr="000C156A">
        <w:rPr>
          <w:sz w:val="24"/>
          <w:szCs w:val="24"/>
          <w:lang w:eastAsia="zh-CN"/>
        </w:rPr>
        <w:tab/>
      </w:r>
      <w:r w:rsidRPr="000C156A">
        <w:rPr>
          <w:rFonts w:cs="Microsoft YaHei" w:hint="eastAsia"/>
          <w:sz w:val="24"/>
          <w:szCs w:val="24"/>
          <w:lang w:val="fr-FR" w:eastAsia="zh-CN"/>
        </w:rPr>
        <w:t>预算金额与实际发生金额的核对</w:t>
      </w:r>
      <w:bookmarkEnd w:id="1001"/>
      <w:bookmarkEnd w:id="1002"/>
      <w:bookmarkEnd w:id="1007"/>
      <w:bookmarkEnd w:id="1008"/>
      <w:bookmarkEnd w:id="1009"/>
      <w:bookmarkEnd w:id="1010"/>
      <w:bookmarkEnd w:id="1011"/>
      <w:bookmarkEnd w:id="1012"/>
      <w:bookmarkEnd w:id="1013"/>
      <w:bookmarkEnd w:id="1014"/>
      <w:bookmarkEnd w:id="1015"/>
      <w:bookmarkEnd w:id="1016"/>
      <w:bookmarkEnd w:id="1017"/>
      <w:bookmarkEnd w:id="1018"/>
    </w:p>
    <w:p w14:paraId="56EDEBB2" w14:textId="77777777" w:rsidR="009630A9" w:rsidRPr="000C156A" w:rsidRDefault="009630A9" w:rsidP="009630A9">
      <w:pPr>
        <w:ind w:firstLineChars="200" w:firstLine="480"/>
        <w:rPr>
          <w:lang w:eastAsia="zh-CN"/>
        </w:rPr>
      </w:pPr>
      <w:r w:rsidRPr="000C156A">
        <w:rPr>
          <w:rFonts w:hint="eastAsia"/>
          <w:lang w:eastAsia="zh-CN"/>
        </w:rPr>
        <w:t>财务报表涵盖：</w:t>
      </w:r>
    </w:p>
    <w:p w14:paraId="0077DFD0" w14:textId="77777777" w:rsidR="009630A9" w:rsidRPr="000C156A" w:rsidRDefault="009630A9" w:rsidP="009630A9">
      <w:pPr>
        <w:pStyle w:val="enumlev1"/>
        <w:rPr>
          <w:lang w:eastAsia="zh-CN"/>
        </w:rPr>
      </w:pPr>
      <w:r w:rsidRPr="000C156A">
        <w:rPr>
          <w:lang w:eastAsia="zh-CN"/>
        </w:rPr>
        <w:t>•</w:t>
      </w:r>
      <w:r w:rsidRPr="000C156A">
        <w:rPr>
          <w:lang w:eastAsia="zh-CN"/>
        </w:rPr>
        <w:tab/>
      </w:r>
      <w:r w:rsidRPr="000C156A">
        <w:rPr>
          <w:rFonts w:hint="eastAsia"/>
          <w:lang w:eastAsia="zh-CN"/>
        </w:rPr>
        <w:t>国际电联正常预算；</w:t>
      </w:r>
    </w:p>
    <w:p w14:paraId="11D1E15E" w14:textId="77777777" w:rsidR="009630A9" w:rsidRPr="000C156A" w:rsidRDefault="009630A9" w:rsidP="009630A9">
      <w:pPr>
        <w:pStyle w:val="enumlev1"/>
        <w:rPr>
          <w:lang w:eastAsia="zh-CN"/>
        </w:rPr>
      </w:pPr>
      <w:r w:rsidRPr="000C156A">
        <w:rPr>
          <w:lang w:eastAsia="zh-CN"/>
        </w:rPr>
        <w:t>•</w:t>
      </w:r>
      <w:r w:rsidRPr="000C156A">
        <w:rPr>
          <w:lang w:eastAsia="zh-CN"/>
        </w:rPr>
        <w:tab/>
      </w:r>
      <w:r w:rsidRPr="000C156A">
        <w:rPr>
          <w:rFonts w:hint="eastAsia"/>
          <w:lang w:eastAsia="zh-CN"/>
        </w:rPr>
        <w:t>国际电联电信展览部活动；</w:t>
      </w:r>
    </w:p>
    <w:p w14:paraId="3BBF8C78" w14:textId="77777777" w:rsidR="009630A9" w:rsidRPr="000C156A" w:rsidRDefault="009630A9" w:rsidP="009630A9">
      <w:pPr>
        <w:pStyle w:val="enumlev1"/>
        <w:rPr>
          <w:lang w:eastAsia="zh-CN"/>
        </w:rPr>
      </w:pPr>
      <w:r w:rsidRPr="000C156A">
        <w:rPr>
          <w:lang w:eastAsia="zh-CN"/>
        </w:rPr>
        <w:t>•</w:t>
      </w:r>
      <w:r w:rsidRPr="000C156A">
        <w:rPr>
          <w:lang w:eastAsia="zh-CN"/>
        </w:rPr>
        <w:tab/>
      </w:r>
      <w:r w:rsidRPr="000C156A">
        <w:rPr>
          <w:rFonts w:hint="eastAsia"/>
          <w:lang w:eastAsia="zh-CN"/>
        </w:rPr>
        <w:t>自愿捐款；</w:t>
      </w:r>
    </w:p>
    <w:p w14:paraId="3E7CBB36" w14:textId="77777777" w:rsidR="009630A9" w:rsidRPr="000C156A" w:rsidRDefault="009630A9" w:rsidP="009630A9">
      <w:pPr>
        <w:pStyle w:val="enumlev1"/>
        <w:rPr>
          <w:lang w:eastAsia="zh-CN"/>
        </w:rPr>
      </w:pPr>
      <w:r w:rsidRPr="000C156A">
        <w:rPr>
          <w:lang w:eastAsia="zh-CN"/>
        </w:rPr>
        <w:t>•</w:t>
      </w:r>
      <w:r w:rsidRPr="000C156A">
        <w:rPr>
          <w:lang w:eastAsia="zh-CN"/>
        </w:rPr>
        <w:tab/>
      </w:r>
      <w:r w:rsidRPr="000C156A">
        <w:rPr>
          <w:rFonts w:hint="eastAsia"/>
          <w:lang w:eastAsia="zh-CN"/>
        </w:rPr>
        <w:t>职员退休和福利（</w:t>
      </w:r>
      <w:r w:rsidRPr="000C156A">
        <w:rPr>
          <w:lang w:eastAsia="zh-CN"/>
        </w:rPr>
        <w:t>SS&amp;B</w:t>
      </w:r>
      <w:r w:rsidRPr="000C156A">
        <w:rPr>
          <w:rFonts w:hint="eastAsia"/>
          <w:lang w:eastAsia="zh-CN"/>
        </w:rPr>
        <w:t>）基金；</w:t>
      </w:r>
    </w:p>
    <w:p w14:paraId="5226E015" w14:textId="77777777" w:rsidR="009630A9" w:rsidRPr="000C156A" w:rsidRDefault="009630A9" w:rsidP="009630A9">
      <w:pPr>
        <w:pStyle w:val="enumlev1"/>
        <w:rPr>
          <w:lang w:eastAsia="zh-CN"/>
        </w:rPr>
      </w:pPr>
      <w:r w:rsidRPr="000C156A">
        <w:rPr>
          <w:lang w:eastAsia="zh-CN"/>
        </w:rPr>
        <w:t>•</w:t>
      </w:r>
      <w:r w:rsidRPr="000C156A">
        <w:rPr>
          <w:lang w:eastAsia="zh-CN"/>
        </w:rPr>
        <w:tab/>
      </w:r>
      <w:r w:rsidRPr="000C156A">
        <w:rPr>
          <w:rFonts w:hint="eastAsia"/>
          <w:lang w:eastAsia="zh-CN"/>
        </w:rPr>
        <w:t>联合国开发计划署（</w:t>
      </w:r>
      <w:r w:rsidRPr="000C156A">
        <w:rPr>
          <w:lang w:eastAsia="zh-CN"/>
        </w:rPr>
        <w:t>UNDP</w:t>
      </w:r>
      <w:r w:rsidRPr="000C156A">
        <w:rPr>
          <w:rFonts w:hint="eastAsia"/>
          <w:lang w:eastAsia="zh-CN"/>
        </w:rPr>
        <w:t>）、信托基金和信息通信技术发展基金（</w:t>
      </w:r>
      <w:r w:rsidRPr="000C156A">
        <w:rPr>
          <w:lang w:eastAsia="zh-CN"/>
        </w:rPr>
        <w:t>ICTDF</w:t>
      </w:r>
      <w:r w:rsidRPr="000C156A">
        <w:rPr>
          <w:rFonts w:hint="eastAsia"/>
          <w:lang w:eastAsia="zh-CN"/>
        </w:rPr>
        <w:t>）项目。</w:t>
      </w:r>
    </w:p>
    <w:p w14:paraId="386F5AD3" w14:textId="77777777" w:rsidR="009630A9" w:rsidRPr="000C156A" w:rsidRDefault="009630A9" w:rsidP="009630A9">
      <w:pPr>
        <w:ind w:firstLineChars="200" w:firstLine="480"/>
        <w:rPr>
          <w:lang w:eastAsia="zh-CN"/>
        </w:rPr>
      </w:pPr>
      <w:r w:rsidRPr="000C156A">
        <w:rPr>
          <w:rFonts w:hint="eastAsia"/>
          <w:lang w:eastAsia="zh-CN"/>
        </w:rPr>
        <w:t>国际电联的预算和账务报表在不同基础上编制。</w:t>
      </w:r>
      <w:r w:rsidRPr="000C156A">
        <w:rPr>
          <w:lang w:eastAsia="zh-CN"/>
        </w:rPr>
        <w:t>2018-2019</w:t>
      </w:r>
      <w:r w:rsidRPr="000C156A">
        <w:rPr>
          <w:rFonts w:hint="eastAsia"/>
          <w:lang w:eastAsia="zh-CN"/>
        </w:rPr>
        <w:t>年预算在混合基础上编制而成，其中若干具体细目未采用权责发生制。此外，国际电联的预算仅涉及其核心活动，而不包括由自愿捐款、项目和基金资助的活动。</w:t>
      </w:r>
    </w:p>
    <w:p w14:paraId="22FC1849" w14:textId="77777777" w:rsidR="009630A9" w:rsidRPr="000C156A" w:rsidRDefault="009630A9" w:rsidP="009630A9">
      <w:pPr>
        <w:ind w:firstLineChars="200" w:firstLine="480"/>
        <w:rPr>
          <w:lang w:eastAsia="zh-CN"/>
        </w:rPr>
      </w:pPr>
      <w:r w:rsidRPr="000C156A">
        <w:rPr>
          <w:rFonts w:hint="eastAsia"/>
          <w:lang w:eastAsia="zh-CN"/>
        </w:rPr>
        <w:t>国际电联财务报表的编制基于权责发生制，按照财务业绩报表记录的费用性质进行分类（见表二）。</w:t>
      </w:r>
    </w:p>
    <w:p w14:paraId="3C3C74DF" w14:textId="77777777" w:rsidR="009630A9" w:rsidRPr="000C156A" w:rsidRDefault="009630A9" w:rsidP="009630A9">
      <w:pPr>
        <w:ind w:firstLineChars="200" w:firstLine="480"/>
        <w:rPr>
          <w:lang w:eastAsia="zh-CN"/>
        </w:rPr>
      </w:pPr>
      <w:r w:rsidRPr="000C156A">
        <w:rPr>
          <w:rFonts w:hint="eastAsia"/>
          <w:lang w:eastAsia="zh-CN"/>
        </w:rPr>
        <w:t>周边差额主要源于不属于正常预算的预算外资金。为能在经国际公共部门会计准则（</w:t>
      </w:r>
      <w:r w:rsidRPr="000C156A">
        <w:rPr>
          <w:lang w:eastAsia="zh-CN"/>
        </w:rPr>
        <w:t>IPSAS</w:t>
      </w:r>
      <w:r w:rsidRPr="000C156A">
        <w:rPr>
          <w:rFonts w:hint="eastAsia"/>
          <w:lang w:eastAsia="zh-CN"/>
        </w:rPr>
        <w:t>）调整之后核对出财务期净结果预算控制的最终结果，就必须要考虑到预算编制方式与权责发生制会计之间的区别（见表五）。在预算中，非消耗性设备的费用被确认为投资费用。在权责发生制会计中，非消耗性设备（</w:t>
      </w:r>
      <w:r w:rsidRPr="000C156A">
        <w:rPr>
          <w:lang w:eastAsia="zh-CN"/>
        </w:rPr>
        <w:t>5 000</w:t>
      </w:r>
      <w:r w:rsidRPr="000C156A">
        <w:rPr>
          <w:rFonts w:hint="eastAsia"/>
          <w:lang w:eastAsia="zh-CN"/>
        </w:rPr>
        <w:t>瑞郎以上的设备）作为固定资产被记入账目，并在可用使用年限内折旧，但以预算外资金获得并转入项目受益方的固定资产除外。与固定资产相关的折旧费在财务业绩报表中得到确认，但在预算中不予考虑。</w:t>
      </w:r>
    </w:p>
    <w:p w14:paraId="765C6C5F" w14:textId="77777777" w:rsidR="009630A9" w:rsidRPr="000C156A" w:rsidRDefault="009630A9" w:rsidP="009630A9">
      <w:pPr>
        <w:ind w:firstLineChars="200" w:firstLine="480"/>
        <w:rPr>
          <w:lang w:eastAsia="zh-CN"/>
        </w:rPr>
      </w:pPr>
      <w:r w:rsidRPr="000C156A">
        <w:rPr>
          <w:rFonts w:hint="eastAsia"/>
          <w:lang w:eastAsia="zh-CN"/>
        </w:rPr>
        <w:lastRenderedPageBreak/>
        <w:t>在预算中，与职员福利相关的费用按实际发生支付体现，而根据权责发生制会计，部分费用由精算师采用会计准则规定的一种方法估算得出。离职后健康保险（</w:t>
      </w:r>
      <w:r w:rsidRPr="000C156A">
        <w:rPr>
          <w:lang w:eastAsia="zh-CN"/>
        </w:rPr>
        <w:t>ASHI</w:t>
      </w:r>
      <w:r w:rsidRPr="000C156A">
        <w:rPr>
          <w:rFonts w:hint="eastAsia"/>
          <w:lang w:eastAsia="zh-CN"/>
        </w:rPr>
        <w:t>）的义务在账务状况报表中得到确认，如说明</w:t>
      </w:r>
      <w:r w:rsidRPr="000C156A">
        <w:rPr>
          <w:lang w:eastAsia="zh-CN"/>
        </w:rPr>
        <w:t>17</w:t>
      </w:r>
      <w:r w:rsidRPr="000C156A">
        <w:rPr>
          <w:rFonts w:hint="eastAsia"/>
          <w:lang w:eastAsia="zh-CN"/>
        </w:rPr>
        <w:t>所述。已实现和未实现的汇率差在预算中不予考虑，但在财务业绩报表中体现出来。这同样适用于疑似债务准备金及库存的确认。财务业绩报表未将国际组织不动产基金会（</w:t>
      </w:r>
      <w:r w:rsidRPr="000C156A">
        <w:rPr>
          <w:lang w:eastAsia="zh-CN"/>
        </w:rPr>
        <w:t>FIPOI</w:t>
      </w:r>
      <w:r w:rsidRPr="000C156A">
        <w:rPr>
          <w:rFonts w:hint="eastAsia"/>
          <w:lang w:eastAsia="zh-CN"/>
        </w:rPr>
        <w:t>）贷款的偿还视作费用，尽管该还款已包含在预算内。</w:t>
      </w:r>
    </w:p>
    <w:p w14:paraId="52B65ECA" w14:textId="77777777" w:rsidR="009630A9" w:rsidRPr="000C156A" w:rsidRDefault="009630A9" w:rsidP="009630A9">
      <w:pPr>
        <w:ind w:firstLineChars="200" w:firstLine="480"/>
        <w:rPr>
          <w:lang w:eastAsia="zh-CN"/>
        </w:rPr>
      </w:pPr>
      <w:r w:rsidRPr="000C156A">
        <w:rPr>
          <w:rFonts w:hint="eastAsia"/>
          <w:lang w:eastAsia="zh-CN"/>
        </w:rPr>
        <w:t>国际组织不动产基金会（</w:t>
      </w:r>
      <w:r w:rsidRPr="000C156A">
        <w:rPr>
          <w:lang w:eastAsia="zh-CN"/>
        </w:rPr>
        <w:t>FIPOI</w:t>
      </w:r>
      <w:r w:rsidRPr="000C156A">
        <w:rPr>
          <w:rFonts w:hint="eastAsia"/>
          <w:lang w:eastAsia="zh-CN"/>
        </w:rPr>
        <w:t>）所提供无息贷款的相关利息根据正常市场条件进行了计算，虽未支付但作为实物捐赠和费用在财务业绩报表中确认。</w:t>
      </w:r>
    </w:p>
    <w:p w14:paraId="395F42FA" w14:textId="77777777" w:rsidR="009630A9" w:rsidRPr="000C156A" w:rsidRDefault="009630A9" w:rsidP="009630A9">
      <w:pPr>
        <w:spacing w:after="240"/>
        <w:ind w:firstLineChars="200" w:firstLine="480"/>
        <w:rPr>
          <w:lang w:eastAsia="zh-CN"/>
        </w:rPr>
      </w:pPr>
      <w:r w:rsidRPr="000C156A">
        <w:rPr>
          <w:lang w:eastAsia="zh-CN"/>
        </w:rPr>
        <w:t>20</w:t>
      </w:r>
      <w:r w:rsidRPr="000C156A">
        <w:rPr>
          <w:rFonts w:hint="eastAsia"/>
          <w:lang w:eastAsia="zh-CN"/>
        </w:rPr>
        <w:t>20</w:t>
      </w:r>
      <w:r w:rsidRPr="000C156A">
        <w:rPr>
          <w:rFonts w:hint="eastAsia"/>
          <w:lang w:eastAsia="zh-CN"/>
        </w:rPr>
        <w:t>财年的预算收入和支出为</w:t>
      </w:r>
      <w:r w:rsidRPr="000C156A">
        <w:rPr>
          <w:lang w:eastAsia="zh-CN"/>
        </w:rPr>
        <w:t>1.6</w:t>
      </w:r>
      <w:r w:rsidRPr="000C156A">
        <w:rPr>
          <w:rFonts w:hint="eastAsia"/>
          <w:lang w:eastAsia="zh-CN"/>
        </w:rPr>
        <w:t>561</w:t>
      </w:r>
      <w:r w:rsidRPr="000C156A">
        <w:rPr>
          <w:rFonts w:hint="eastAsia"/>
          <w:lang w:eastAsia="zh-CN"/>
        </w:rPr>
        <w:t>亿瑞郎。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8"/>
        <w:gridCol w:w="1358"/>
        <w:gridCol w:w="1358"/>
        <w:gridCol w:w="1358"/>
        <w:gridCol w:w="1359"/>
      </w:tblGrid>
      <w:tr w:rsidR="009630A9" w:rsidRPr="000C156A" w14:paraId="3A27B7A2" w14:textId="77777777" w:rsidTr="005D02F0">
        <w:trPr>
          <w:trHeight w:val="276"/>
          <w:jc w:val="center"/>
        </w:trPr>
        <w:tc>
          <w:tcPr>
            <w:tcW w:w="4108" w:type="dxa"/>
            <w:tcBorders>
              <w:top w:val="single" w:sz="4" w:space="0" w:color="auto"/>
              <w:left w:val="single" w:sz="4" w:space="0" w:color="auto"/>
              <w:bottom w:val="single" w:sz="4" w:space="0" w:color="auto"/>
              <w:right w:val="single" w:sz="4" w:space="0" w:color="auto"/>
            </w:tcBorders>
          </w:tcPr>
          <w:p w14:paraId="16993143" w14:textId="77777777" w:rsidR="009630A9" w:rsidRPr="000C156A" w:rsidRDefault="009630A9" w:rsidP="005D02F0">
            <w:pPr>
              <w:pStyle w:val="Tabletext"/>
              <w:spacing w:before="20" w:after="20"/>
              <w:rPr>
                <w:szCs w:val="22"/>
                <w:lang w:val="en-US" w:eastAsia="zh-CN"/>
              </w:rPr>
            </w:pPr>
          </w:p>
        </w:tc>
        <w:tc>
          <w:tcPr>
            <w:tcW w:w="5433" w:type="dxa"/>
            <w:gridSpan w:val="4"/>
            <w:tcBorders>
              <w:top w:val="single" w:sz="4" w:space="0" w:color="auto"/>
              <w:left w:val="single" w:sz="4" w:space="0" w:color="auto"/>
              <w:bottom w:val="single" w:sz="4" w:space="0" w:color="auto"/>
              <w:right w:val="single" w:sz="4" w:space="0" w:color="auto"/>
            </w:tcBorders>
            <w:hideMark/>
          </w:tcPr>
          <w:p w14:paraId="0E0392E9" w14:textId="77777777" w:rsidR="009630A9" w:rsidRPr="000C156A" w:rsidRDefault="009630A9" w:rsidP="005D02F0">
            <w:pPr>
              <w:pStyle w:val="Tabletext"/>
              <w:spacing w:before="20" w:after="20"/>
              <w:jc w:val="center"/>
              <w:rPr>
                <w:b/>
                <w:bCs/>
                <w:szCs w:val="22"/>
                <w:lang w:val="en-US" w:eastAsia="zh-CN"/>
              </w:rPr>
            </w:pPr>
            <w:r w:rsidRPr="000C156A">
              <w:rPr>
                <w:b/>
                <w:bCs/>
                <w:szCs w:val="22"/>
                <w:lang w:val="en-US" w:eastAsia="zh-CN"/>
              </w:rPr>
              <w:t>20</w:t>
            </w:r>
            <w:r w:rsidRPr="000C156A">
              <w:rPr>
                <w:rFonts w:hint="eastAsia"/>
                <w:b/>
                <w:bCs/>
                <w:szCs w:val="22"/>
                <w:lang w:val="en-US" w:eastAsia="zh-CN"/>
              </w:rPr>
              <w:t>20</w:t>
            </w:r>
            <w:r w:rsidRPr="000C156A">
              <w:rPr>
                <w:rFonts w:hint="eastAsia"/>
                <w:b/>
                <w:bCs/>
                <w:szCs w:val="22"/>
                <w:lang w:val="en-US" w:eastAsia="zh-CN"/>
              </w:rPr>
              <w:t>年</w:t>
            </w:r>
          </w:p>
        </w:tc>
      </w:tr>
      <w:tr w:rsidR="009630A9" w:rsidRPr="000C156A" w14:paraId="12746D24" w14:textId="77777777" w:rsidTr="005D02F0">
        <w:trPr>
          <w:trHeight w:val="276"/>
          <w:jc w:val="center"/>
        </w:trPr>
        <w:tc>
          <w:tcPr>
            <w:tcW w:w="4108" w:type="dxa"/>
            <w:tcBorders>
              <w:top w:val="single" w:sz="4" w:space="0" w:color="auto"/>
              <w:left w:val="single" w:sz="4" w:space="0" w:color="auto"/>
              <w:bottom w:val="single" w:sz="4" w:space="0" w:color="auto"/>
              <w:right w:val="single" w:sz="4" w:space="0" w:color="auto"/>
            </w:tcBorders>
          </w:tcPr>
          <w:p w14:paraId="20BC842A" w14:textId="77777777" w:rsidR="009630A9" w:rsidRPr="000C156A" w:rsidRDefault="009630A9" w:rsidP="005D02F0">
            <w:pPr>
              <w:pStyle w:val="Tabletext"/>
              <w:spacing w:before="20" w:after="20"/>
              <w:rPr>
                <w:szCs w:val="22"/>
                <w:lang w:val="en-US" w:eastAsia="zh-CN"/>
              </w:rPr>
            </w:pPr>
          </w:p>
        </w:tc>
        <w:tc>
          <w:tcPr>
            <w:tcW w:w="1358" w:type="dxa"/>
            <w:tcBorders>
              <w:top w:val="single" w:sz="4" w:space="0" w:color="auto"/>
              <w:left w:val="single" w:sz="4" w:space="0" w:color="auto"/>
              <w:bottom w:val="single" w:sz="4" w:space="0" w:color="auto"/>
              <w:right w:val="single" w:sz="4" w:space="0" w:color="auto"/>
            </w:tcBorders>
            <w:hideMark/>
          </w:tcPr>
          <w:p w14:paraId="7B270F94" w14:textId="77777777" w:rsidR="009630A9" w:rsidRPr="000C156A" w:rsidRDefault="009630A9" w:rsidP="005D02F0">
            <w:pPr>
              <w:pStyle w:val="Tabletext"/>
              <w:spacing w:before="20" w:after="20"/>
              <w:jc w:val="center"/>
              <w:rPr>
                <w:b/>
                <w:bCs/>
                <w:szCs w:val="22"/>
                <w:lang w:val="en-US" w:eastAsia="zh-CN"/>
              </w:rPr>
            </w:pPr>
            <w:r w:rsidRPr="000C156A">
              <w:rPr>
                <w:rFonts w:hint="eastAsia"/>
                <w:b/>
                <w:bCs/>
                <w:szCs w:val="22"/>
                <w:lang w:val="en-US" w:eastAsia="zh-CN"/>
              </w:rPr>
              <w:t>运营</w:t>
            </w:r>
          </w:p>
        </w:tc>
        <w:tc>
          <w:tcPr>
            <w:tcW w:w="1358" w:type="dxa"/>
            <w:tcBorders>
              <w:top w:val="single" w:sz="4" w:space="0" w:color="auto"/>
              <w:left w:val="single" w:sz="4" w:space="0" w:color="auto"/>
              <w:bottom w:val="single" w:sz="4" w:space="0" w:color="auto"/>
              <w:right w:val="single" w:sz="4" w:space="0" w:color="auto"/>
            </w:tcBorders>
            <w:hideMark/>
          </w:tcPr>
          <w:p w14:paraId="248D962E" w14:textId="77777777" w:rsidR="009630A9" w:rsidRPr="000C156A" w:rsidRDefault="009630A9" w:rsidP="005D02F0">
            <w:pPr>
              <w:pStyle w:val="Tabletext"/>
              <w:spacing w:before="20" w:after="20"/>
              <w:jc w:val="center"/>
              <w:rPr>
                <w:b/>
                <w:bCs/>
                <w:szCs w:val="22"/>
                <w:lang w:val="en-US" w:eastAsia="zh-CN"/>
              </w:rPr>
            </w:pPr>
            <w:r w:rsidRPr="000C156A">
              <w:rPr>
                <w:rFonts w:hint="eastAsia"/>
                <w:b/>
                <w:bCs/>
                <w:szCs w:val="22"/>
                <w:lang w:val="en-US" w:eastAsia="zh-CN"/>
              </w:rPr>
              <w:t>投资</w:t>
            </w:r>
          </w:p>
        </w:tc>
        <w:tc>
          <w:tcPr>
            <w:tcW w:w="1358" w:type="dxa"/>
            <w:tcBorders>
              <w:top w:val="single" w:sz="4" w:space="0" w:color="auto"/>
              <w:left w:val="single" w:sz="4" w:space="0" w:color="auto"/>
              <w:bottom w:val="single" w:sz="4" w:space="0" w:color="auto"/>
              <w:right w:val="single" w:sz="4" w:space="0" w:color="auto"/>
            </w:tcBorders>
            <w:hideMark/>
          </w:tcPr>
          <w:p w14:paraId="66C72E76" w14:textId="77777777" w:rsidR="009630A9" w:rsidRPr="000C156A" w:rsidRDefault="009630A9" w:rsidP="005D02F0">
            <w:pPr>
              <w:pStyle w:val="Tabletext"/>
              <w:spacing w:before="20" w:after="20"/>
              <w:jc w:val="center"/>
              <w:rPr>
                <w:b/>
                <w:bCs/>
                <w:szCs w:val="22"/>
                <w:lang w:val="en-US" w:eastAsia="zh-CN"/>
              </w:rPr>
            </w:pPr>
            <w:r w:rsidRPr="000C156A">
              <w:rPr>
                <w:rFonts w:hint="eastAsia"/>
                <w:b/>
                <w:bCs/>
                <w:szCs w:val="22"/>
                <w:lang w:val="en-US" w:eastAsia="zh-CN"/>
              </w:rPr>
              <w:t>财务</w:t>
            </w:r>
          </w:p>
        </w:tc>
        <w:tc>
          <w:tcPr>
            <w:tcW w:w="1359" w:type="dxa"/>
            <w:tcBorders>
              <w:top w:val="single" w:sz="4" w:space="0" w:color="auto"/>
              <w:left w:val="single" w:sz="4" w:space="0" w:color="auto"/>
              <w:bottom w:val="single" w:sz="4" w:space="0" w:color="auto"/>
              <w:right w:val="single" w:sz="4" w:space="0" w:color="auto"/>
            </w:tcBorders>
            <w:hideMark/>
          </w:tcPr>
          <w:p w14:paraId="024E5736" w14:textId="77777777" w:rsidR="009630A9" w:rsidRPr="000C156A" w:rsidRDefault="009630A9" w:rsidP="005D02F0">
            <w:pPr>
              <w:pStyle w:val="Tabletext"/>
              <w:spacing w:before="20" w:after="20"/>
              <w:jc w:val="center"/>
              <w:rPr>
                <w:b/>
                <w:bCs/>
                <w:szCs w:val="22"/>
                <w:lang w:val="en-US" w:eastAsia="zh-CN"/>
              </w:rPr>
            </w:pPr>
            <w:r w:rsidRPr="000C156A">
              <w:rPr>
                <w:rFonts w:hint="eastAsia"/>
                <w:b/>
                <w:bCs/>
                <w:szCs w:val="22"/>
                <w:lang w:val="en-US" w:eastAsia="zh-CN"/>
              </w:rPr>
              <w:t>合计</w:t>
            </w:r>
          </w:p>
        </w:tc>
      </w:tr>
      <w:tr w:rsidR="009630A9" w:rsidRPr="000C156A" w14:paraId="2175E56E" w14:textId="77777777" w:rsidTr="005D02F0">
        <w:trPr>
          <w:trHeight w:val="276"/>
          <w:jc w:val="center"/>
        </w:trPr>
        <w:tc>
          <w:tcPr>
            <w:tcW w:w="4108" w:type="dxa"/>
            <w:tcBorders>
              <w:top w:val="single" w:sz="4" w:space="0" w:color="auto"/>
              <w:left w:val="single" w:sz="4" w:space="0" w:color="auto"/>
              <w:bottom w:val="nil"/>
              <w:right w:val="single" w:sz="4" w:space="0" w:color="auto"/>
            </w:tcBorders>
          </w:tcPr>
          <w:p w14:paraId="178BAC3D" w14:textId="77777777" w:rsidR="009630A9" w:rsidRPr="000C156A" w:rsidRDefault="009630A9" w:rsidP="005D02F0">
            <w:pPr>
              <w:pStyle w:val="Tabletext"/>
              <w:spacing w:before="20" w:after="20"/>
              <w:rPr>
                <w:szCs w:val="22"/>
                <w:lang w:val="en-US" w:eastAsia="zh-CN"/>
              </w:rPr>
            </w:pPr>
          </w:p>
        </w:tc>
        <w:tc>
          <w:tcPr>
            <w:tcW w:w="5433" w:type="dxa"/>
            <w:gridSpan w:val="4"/>
            <w:tcBorders>
              <w:top w:val="single" w:sz="4" w:space="0" w:color="auto"/>
              <w:left w:val="single" w:sz="4" w:space="0" w:color="auto"/>
              <w:bottom w:val="single" w:sz="4" w:space="0" w:color="auto"/>
              <w:right w:val="single" w:sz="4" w:space="0" w:color="auto"/>
            </w:tcBorders>
            <w:vAlign w:val="center"/>
            <w:hideMark/>
          </w:tcPr>
          <w:p w14:paraId="645B6671" w14:textId="77777777" w:rsidR="009630A9" w:rsidRPr="000C156A" w:rsidRDefault="009630A9" w:rsidP="005D02F0">
            <w:pPr>
              <w:pStyle w:val="Tabletext"/>
              <w:spacing w:before="20" w:after="20"/>
              <w:jc w:val="center"/>
              <w:rPr>
                <w:szCs w:val="22"/>
                <w:lang w:val="en-US" w:eastAsia="zh-CN"/>
              </w:rPr>
            </w:pPr>
            <w:r w:rsidRPr="000C156A">
              <w:rPr>
                <w:rFonts w:ascii="SimSun" w:hAnsi="SimSun" w:cs="SimSun" w:hint="eastAsia"/>
                <w:szCs w:val="22"/>
                <w:lang w:val="en-US" w:eastAsia="zh-CN"/>
              </w:rPr>
              <w:t>单位：千瑞郎</w:t>
            </w:r>
          </w:p>
        </w:tc>
      </w:tr>
      <w:tr w:rsidR="009630A9" w:rsidRPr="000C156A" w14:paraId="25A8B642" w14:textId="77777777" w:rsidTr="005D02F0">
        <w:trPr>
          <w:trHeight w:val="276"/>
          <w:jc w:val="center"/>
        </w:trPr>
        <w:tc>
          <w:tcPr>
            <w:tcW w:w="4108" w:type="dxa"/>
            <w:tcBorders>
              <w:top w:val="nil"/>
              <w:left w:val="single" w:sz="4" w:space="0" w:color="auto"/>
              <w:bottom w:val="nil"/>
              <w:right w:val="single" w:sz="4" w:space="0" w:color="auto"/>
            </w:tcBorders>
            <w:vAlign w:val="center"/>
            <w:hideMark/>
          </w:tcPr>
          <w:p w14:paraId="42EF6169" w14:textId="77777777" w:rsidR="009630A9" w:rsidRPr="000C156A" w:rsidRDefault="009630A9" w:rsidP="005D02F0">
            <w:pPr>
              <w:pStyle w:val="Tabletext"/>
              <w:spacing w:before="20" w:after="20"/>
              <w:rPr>
                <w:b/>
                <w:bCs/>
                <w:szCs w:val="22"/>
                <w:lang w:val="en-US" w:eastAsia="zh-CN"/>
              </w:rPr>
            </w:pPr>
            <w:r w:rsidRPr="000C156A">
              <w:rPr>
                <w:rFonts w:hint="eastAsia"/>
                <w:b/>
                <w:bCs/>
                <w:szCs w:val="22"/>
                <w:lang w:val="en-US" w:eastAsia="zh-CN"/>
              </w:rPr>
              <w:t>基于对比的结果</w:t>
            </w:r>
          </w:p>
        </w:tc>
        <w:tc>
          <w:tcPr>
            <w:tcW w:w="1358" w:type="dxa"/>
            <w:tcBorders>
              <w:top w:val="nil"/>
              <w:left w:val="nil"/>
              <w:bottom w:val="nil"/>
              <w:right w:val="single" w:sz="8" w:space="0" w:color="auto"/>
            </w:tcBorders>
            <w:shd w:val="clear" w:color="auto" w:fill="auto"/>
            <w:vAlign w:val="center"/>
            <w:hideMark/>
          </w:tcPr>
          <w:p w14:paraId="7478D8AD" w14:textId="282570F3"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w:t>
            </w:r>
            <w:r w:rsidR="00A40BB6" w:rsidRPr="000C156A">
              <w:rPr>
                <w:rFonts w:cs="Calibri"/>
                <w:color w:val="000000"/>
                <w:sz w:val="22"/>
                <w:szCs w:val="22"/>
                <w:lang w:eastAsia="en-GB"/>
              </w:rPr>
              <w:t xml:space="preserve"> </w:t>
            </w:r>
            <w:r w:rsidRPr="000C156A">
              <w:rPr>
                <w:rFonts w:cs="Calibri"/>
                <w:color w:val="000000"/>
                <w:sz w:val="22"/>
                <w:szCs w:val="22"/>
                <w:lang w:eastAsia="en-GB"/>
              </w:rPr>
              <w:t>483</w:t>
            </w:r>
          </w:p>
        </w:tc>
        <w:tc>
          <w:tcPr>
            <w:tcW w:w="1358" w:type="dxa"/>
            <w:tcBorders>
              <w:top w:val="single" w:sz="4" w:space="0" w:color="auto"/>
              <w:left w:val="single" w:sz="4" w:space="0" w:color="auto"/>
              <w:bottom w:val="nil"/>
              <w:right w:val="single" w:sz="4" w:space="0" w:color="auto"/>
            </w:tcBorders>
            <w:vAlign w:val="center"/>
            <w:hideMark/>
          </w:tcPr>
          <w:p w14:paraId="5B1D5563"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8" w:type="dxa"/>
            <w:tcBorders>
              <w:top w:val="single" w:sz="4" w:space="0" w:color="auto"/>
              <w:left w:val="single" w:sz="4" w:space="0" w:color="auto"/>
              <w:bottom w:val="nil"/>
              <w:right w:val="single" w:sz="4" w:space="0" w:color="auto"/>
            </w:tcBorders>
            <w:vAlign w:val="center"/>
            <w:hideMark/>
          </w:tcPr>
          <w:p w14:paraId="0F61B094"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9" w:type="dxa"/>
            <w:tcBorders>
              <w:top w:val="nil"/>
              <w:left w:val="nil"/>
              <w:bottom w:val="nil"/>
              <w:right w:val="single" w:sz="8" w:space="0" w:color="auto"/>
            </w:tcBorders>
            <w:shd w:val="clear" w:color="auto" w:fill="auto"/>
            <w:vAlign w:val="center"/>
            <w:hideMark/>
          </w:tcPr>
          <w:p w14:paraId="31BFC9AD" w14:textId="04FBB663" w:rsidR="009630A9" w:rsidRPr="000C156A" w:rsidRDefault="009630A9"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w:t>
            </w:r>
            <w:r w:rsidR="00A40BB6" w:rsidRPr="000C156A">
              <w:rPr>
                <w:rFonts w:cs="Calibri"/>
                <w:b/>
                <w:bCs/>
                <w:color w:val="000000"/>
                <w:sz w:val="22"/>
                <w:szCs w:val="22"/>
                <w:lang w:eastAsia="en-GB"/>
              </w:rPr>
              <w:t xml:space="preserve"> </w:t>
            </w:r>
            <w:r w:rsidRPr="000C156A">
              <w:rPr>
                <w:rFonts w:cs="Calibri"/>
                <w:b/>
                <w:bCs/>
                <w:color w:val="000000"/>
                <w:sz w:val="22"/>
                <w:szCs w:val="22"/>
                <w:lang w:eastAsia="en-GB"/>
              </w:rPr>
              <w:t>483</w:t>
            </w:r>
          </w:p>
        </w:tc>
      </w:tr>
      <w:tr w:rsidR="009630A9" w:rsidRPr="000C156A" w14:paraId="100F4043" w14:textId="77777777" w:rsidTr="005D02F0">
        <w:trPr>
          <w:trHeight w:val="276"/>
          <w:jc w:val="center"/>
        </w:trPr>
        <w:tc>
          <w:tcPr>
            <w:tcW w:w="4108" w:type="dxa"/>
            <w:tcBorders>
              <w:top w:val="nil"/>
              <w:left w:val="single" w:sz="4" w:space="0" w:color="auto"/>
              <w:bottom w:val="nil"/>
              <w:right w:val="single" w:sz="4" w:space="0" w:color="auto"/>
            </w:tcBorders>
            <w:vAlign w:val="center"/>
            <w:hideMark/>
          </w:tcPr>
          <w:p w14:paraId="5464D598" w14:textId="77777777" w:rsidR="009630A9" w:rsidRPr="000C156A" w:rsidRDefault="009630A9" w:rsidP="005D02F0">
            <w:pPr>
              <w:pStyle w:val="Tabletext"/>
              <w:spacing w:before="20" w:after="20"/>
              <w:rPr>
                <w:szCs w:val="22"/>
                <w:lang w:val="en-US" w:eastAsia="zh-CN"/>
              </w:rPr>
            </w:pPr>
            <w:r w:rsidRPr="000C156A">
              <w:rPr>
                <w:rFonts w:hint="eastAsia"/>
                <w:szCs w:val="22"/>
                <w:lang w:val="en-US" w:eastAsia="zh-CN"/>
              </w:rPr>
              <w:t>疑似债务准备金的变化和使用</w:t>
            </w:r>
          </w:p>
        </w:tc>
        <w:tc>
          <w:tcPr>
            <w:tcW w:w="1358" w:type="dxa"/>
            <w:tcBorders>
              <w:top w:val="nil"/>
              <w:left w:val="nil"/>
              <w:bottom w:val="nil"/>
              <w:right w:val="single" w:sz="8" w:space="0" w:color="auto"/>
            </w:tcBorders>
            <w:shd w:val="clear" w:color="auto" w:fill="auto"/>
            <w:vAlign w:val="center"/>
            <w:hideMark/>
          </w:tcPr>
          <w:p w14:paraId="3B631D55" w14:textId="10890D5A"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w:t>
            </w:r>
            <w:r w:rsidR="00A40BB6" w:rsidRPr="000C156A">
              <w:rPr>
                <w:rFonts w:cs="Calibri"/>
                <w:color w:val="000000"/>
                <w:sz w:val="22"/>
                <w:szCs w:val="22"/>
                <w:lang w:eastAsia="en-GB"/>
              </w:rPr>
              <w:t xml:space="preserve"> </w:t>
            </w:r>
            <w:r w:rsidRPr="000C156A">
              <w:rPr>
                <w:rFonts w:cs="Calibri"/>
                <w:color w:val="000000"/>
                <w:sz w:val="22"/>
                <w:szCs w:val="22"/>
                <w:lang w:eastAsia="en-GB"/>
              </w:rPr>
              <w:t>105</w:t>
            </w:r>
          </w:p>
        </w:tc>
        <w:tc>
          <w:tcPr>
            <w:tcW w:w="1358" w:type="dxa"/>
            <w:tcBorders>
              <w:top w:val="nil"/>
              <w:left w:val="single" w:sz="4" w:space="0" w:color="auto"/>
              <w:bottom w:val="nil"/>
              <w:right w:val="single" w:sz="4" w:space="0" w:color="auto"/>
            </w:tcBorders>
            <w:vAlign w:val="center"/>
            <w:hideMark/>
          </w:tcPr>
          <w:p w14:paraId="64691C0B"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8" w:type="dxa"/>
            <w:tcBorders>
              <w:top w:val="nil"/>
              <w:left w:val="single" w:sz="4" w:space="0" w:color="auto"/>
              <w:bottom w:val="nil"/>
              <w:right w:val="single" w:sz="4" w:space="0" w:color="auto"/>
            </w:tcBorders>
            <w:vAlign w:val="center"/>
            <w:hideMark/>
          </w:tcPr>
          <w:p w14:paraId="2F65CDDB"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9" w:type="dxa"/>
            <w:tcBorders>
              <w:top w:val="nil"/>
              <w:left w:val="nil"/>
              <w:bottom w:val="nil"/>
              <w:right w:val="single" w:sz="8" w:space="0" w:color="auto"/>
            </w:tcBorders>
            <w:shd w:val="clear" w:color="auto" w:fill="auto"/>
            <w:vAlign w:val="center"/>
            <w:hideMark/>
          </w:tcPr>
          <w:p w14:paraId="6F9707B3" w14:textId="3372541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w:t>
            </w:r>
            <w:r w:rsidR="00A40BB6" w:rsidRPr="000C156A">
              <w:rPr>
                <w:rFonts w:cs="Calibri"/>
                <w:color w:val="000000"/>
                <w:sz w:val="22"/>
                <w:szCs w:val="22"/>
                <w:lang w:eastAsia="en-GB"/>
              </w:rPr>
              <w:t xml:space="preserve"> </w:t>
            </w:r>
            <w:r w:rsidRPr="000C156A">
              <w:rPr>
                <w:rFonts w:cs="Calibri"/>
                <w:color w:val="000000"/>
                <w:sz w:val="22"/>
                <w:szCs w:val="22"/>
                <w:lang w:eastAsia="en-GB"/>
              </w:rPr>
              <w:t>105</w:t>
            </w:r>
          </w:p>
        </w:tc>
      </w:tr>
      <w:tr w:rsidR="009630A9" w:rsidRPr="000C156A" w14:paraId="18CA9B07" w14:textId="77777777" w:rsidTr="005D02F0">
        <w:trPr>
          <w:trHeight w:val="373"/>
          <w:jc w:val="center"/>
        </w:trPr>
        <w:tc>
          <w:tcPr>
            <w:tcW w:w="4108" w:type="dxa"/>
            <w:tcBorders>
              <w:top w:val="nil"/>
              <w:left w:val="single" w:sz="4" w:space="0" w:color="auto"/>
              <w:bottom w:val="nil"/>
              <w:right w:val="single" w:sz="4" w:space="0" w:color="auto"/>
            </w:tcBorders>
            <w:vAlign w:val="center"/>
            <w:hideMark/>
          </w:tcPr>
          <w:p w14:paraId="342102E9" w14:textId="77777777" w:rsidR="009630A9" w:rsidRPr="000C156A" w:rsidRDefault="009630A9" w:rsidP="005D02F0">
            <w:pPr>
              <w:pStyle w:val="Tabletext"/>
              <w:spacing w:before="20" w:after="20"/>
              <w:rPr>
                <w:szCs w:val="22"/>
                <w:lang w:val="en-US" w:eastAsia="zh-CN"/>
              </w:rPr>
            </w:pPr>
            <w:r w:rsidRPr="000C156A">
              <w:rPr>
                <w:rFonts w:hint="eastAsia"/>
                <w:szCs w:val="22"/>
                <w:lang w:val="en-US" w:eastAsia="zh-CN"/>
              </w:rPr>
              <w:t>库存的确认</w:t>
            </w:r>
          </w:p>
        </w:tc>
        <w:tc>
          <w:tcPr>
            <w:tcW w:w="1358" w:type="dxa"/>
            <w:tcBorders>
              <w:top w:val="nil"/>
              <w:left w:val="nil"/>
              <w:bottom w:val="nil"/>
              <w:right w:val="single" w:sz="8" w:space="0" w:color="auto"/>
            </w:tcBorders>
            <w:shd w:val="clear" w:color="auto" w:fill="auto"/>
            <w:vAlign w:val="center"/>
            <w:hideMark/>
          </w:tcPr>
          <w:p w14:paraId="717983CD"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-75</w:t>
            </w:r>
          </w:p>
        </w:tc>
        <w:tc>
          <w:tcPr>
            <w:tcW w:w="1358" w:type="dxa"/>
            <w:tcBorders>
              <w:top w:val="nil"/>
              <w:left w:val="single" w:sz="4" w:space="0" w:color="auto"/>
              <w:bottom w:val="nil"/>
              <w:right w:val="single" w:sz="4" w:space="0" w:color="auto"/>
            </w:tcBorders>
            <w:vAlign w:val="center"/>
            <w:hideMark/>
          </w:tcPr>
          <w:p w14:paraId="5DC24389"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8" w:type="dxa"/>
            <w:tcBorders>
              <w:top w:val="nil"/>
              <w:left w:val="single" w:sz="4" w:space="0" w:color="auto"/>
              <w:bottom w:val="nil"/>
              <w:right w:val="nil"/>
            </w:tcBorders>
            <w:vAlign w:val="center"/>
            <w:hideMark/>
          </w:tcPr>
          <w:p w14:paraId="00A5C68D"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9" w:type="dxa"/>
            <w:tcBorders>
              <w:top w:val="nil"/>
              <w:left w:val="nil"/>
              <w:bottom w:val="nil"/>
              <w:right w:val="single" w:sz="8" w:space="0" w:color="auto"/>
            </w:tcBorders>
            <w:shd w:val="clear" w:color="auto" w:fill="auto"/>
            <w:vAlign w:val="center"/>
            <w:hideMark/>
          </w:tcPr>
          <w:p w14:paraId="72BEB249"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-75</w:t>
            </w:r>
          </w:p>
        </w:tc>
      </w:tr>
      <w:tr w:rsidR="009630A9" w:rsidRPr="000C156A" w14:paraId="45ACF76E" w14:textId="77777777" w:rsidTr="005D02F0">
        <w:trPr>
          <w:trHeight w:val="276"/>
          <w:jc w:val="center"/>
        </w:trPr>
        <w:tc>
          <w:tcPr>
            <w:tcW w:w="4108" w:type="dxa"/>
            <w:tcBorders>
              <w:top w:val="nil"/>
              <w:left w:val="single" w:sz="4" w:space="0" w:color="auto"/>
              <w:bottom w:val="nil"/>
              <w:right w:val="single" w:sz="4" w:space="0" w:color="auto"/>
            </w:tcBorders>
            <w:vAlign w:val="center"/>
            <w:hideMark/>
          </w:tcPr>
          <w:p w14:paraId="2FAA07FA" w14:textId="77777777" w:rsidR="009630A9" w:rsidRPr="000C156A" w:rsidRDefault="009630A9" w:rsidP="005D02F0">
            <w:pPr>
              <w:pStyle w:val="Tabletext"/>
              <w:spacing w:before="20" w:after="20"/>
              <w:rPr>
                <w:szCs w:val="22"/>
                <w:lang w:val="en-US" w:eastAsia="zh-CN"/>
              </w:rPr>
            </w:pPr>
            <w:r w:rsidRPr="000C156A">
              <w:rPr>
                <w:rFonts w:hint="eastAsia"/>
                <w:szCs w:val="22"/>
                <w:lang w:val="en-US" w:eastAsia="zh-CN"/>
              </w:rPr>
              <w:t>固定资产的资本化</w:t>
            </w:r>
          </w:p>
        </w:tc>
        <w:tc>
          <w:tcPr>
            <w:tcW w:w="1358" w:type="dxa"/>
            <w:tcBorders>
              <w:top w:val="nil"/>
              <w:left w:val="nil"/>
              <w:bottom w:val="nil"/>
              <w:right w:val="single" w:sz="8" w:space="0" w:color="auto"/>
            </w:tcBorders>
            <w:shd w:val="clear" w:color="auto" w:fill="auto"/>
            <w:vAlign w:val="center"/>
            <w:hideMark/>
          </w:tcPr>
          <w:p w14:paraId="2900D0A6"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 </w:t>
            </w:r>
          </w:p>
        </w:tc>
        <w:tc>
          <w:tcPr>
            <w:tcW w:w="1358" w:type="dxa"/>
            <w:tcBorders>
              <w:top w:val="nil"/>
              <w:left w:val="single" w:sz="4" w:space="0" w:color="auto"/>
              <w:bottom w:val="nil"/>
              <w:right w:val="single" w:sz="4" w:space="0" w:color="auto"/>
            </w:tcBorders>
            <w:vAlign w:val="center"/>
            <w:hideMark/>
          </w:tcPr>
          <w:p w14:paraId="1F512714" w14:textId="513000F1"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w:t>
            </w:r>
            <w:r w:rsidR="00A40BB6" w:rsidRPr="000C156A">
              <w:rPr>
                <w:rFonts w:cs="Calibri"/>
                <w:color w:val="000000"/>
                <w:sz w:val="22"/>
                <w:szCs w:val="22"/>
                <w:lang w:eastAsia="en-GB"/>
              </w:rPr>
              <w:t xml:space="preserve"> </w:t>
            </w:r>
            <w:r w:rsidRPr="000C156A">
              <w:rPr>
                <w:rFonts w:cs="Calibri" w:hint="eastAsia"/>
                <w:color w:val="000000"/>
                <w:sz w:val="22"/>
                <w:szCs w:val="22"/>
                <w:lang w:eastAsia="zh-CN"/>
              </w:rPr>
              <w:t>545</w:t>
            </w:r>
          </w:p>
        </w:tc>
        <w:tc>
          <w:tcPr>
            <w:tcW w:w="1358" w:type="dxa"/>
            <w:tcBorders>
              <w:top w:val="nil"/>
              <w:left w:val="single" w:sz="4" w:space="0" w:color="auto"/>
              <w:bottom w:val="nil"/>
              <w:right w:val="nil"/>
            </w:tcBorders>
            <w:vAlign w:val="center"/>
            <w:hideMark/>
          </w:tcPr>
          <w:p w14:paraId="0754FBA4"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9" w:type="dxa"/>
            <w:tcBorders>
              <w:top w:val="nil"/>
              <w:left w:val="nil"/>
              <w:bottom w:val="nil"/>
              <w:right w:val="single" w:sz="8" w:space="0" w:color="auto"/>
            </w:tcBorders>
            <w:shd w:val="clear" w:color="auto" w:fill="auto"/>
            <w:vAlign w:val="center"/>
            <w:hideMark/>
          </w:tcPr>
          <w:p w14:paraId="62468018" w14:textId="720E28AA"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w:t>
            </w:r>
            <w:r w:rsidR="00A40BB6" w:rsidRPr="000C156A">
              <w:rPr>
                <w:rFonts w:cs="Calibri"/>
                <w:color w:val="000000"/>
                <w:sz w:val="22"/>
                <w:szCs w:val="22"/>
                <w:lang w:eastAsia="en-GB"/>
              </w:rPr>
              <w:t xml:space="preserve"> </w:t>
            </w:r>
            <w:r w:rsidRPr="000C156A">
              <w:rPr>
                <w:rFonts w:cs="Calibri"/>
                <w:color w:val="000000"/>
                <w:sz w:val="22"/>
                <w:szCs w:val="22"/>
                <w:lang w:eastAsia="en-GB"/>
              </w:rPr>
              <w:t>545</w:t>
            </w:r>
          </w:p>
        </w:tc>
      </w:tr>
      <w:tr w:rsidR="009630A9" w:rsidRPr="000C156A" w14:paraId="25A11C25" w14:textId="77777777" w:rsidTr="005D02F0">
        <w:trPr>
          <w:trHeight w:val="276"/>
          <w:jc w:val="center"/>
        </w:trPr>
        <w:tc>
          <w:tcPr>
            <w:tcW w:w="4108" w:type="dxa"/>
            <w:tcBorders>
              <w:top w:val="nil"/>
              <w:left w:val="single" w:sz="4" w:space="0" w:color="auto"/>
              <w:bottom w:val="nil"/>
              <w:right w:val="single" w:sz="4" w:space="0" w:color="auto"/>
            </w:tcBorders>
            <w:vAlign w:val="center"/>
            <w:hideMark/>
          </w:tcPr>
          <w:p w14:paraId="179D0138" w14:textId="77777777" w:rsidR="009630A9" w:rsidRPr="000C156A" w:rsidRDefault="009630A9" w:rsidP="005D02F0">
            <w:pPr>
              <w:pStyle w:val="Tabletext"/>
              <w:spacing w:before="20" w:after="20"/>
              <w:rPr>
                <w:szCs w:val="22"/>
                <w:lang w:val="en-US" w:eastAsia="zh-CN"/>
              </w:rPr>
            </w:pPr>
            <w:r w:rsidRPr="000C156A">
              <w:rPr>
                <w:rFonts w:hint="eastAsia"/>
                <w:szCs w:val="22"/>
                <w:lang w:val="en-US" w:eastAsia="zh-CN"/>
              </w:rPr>
              <w:t>折旧</w:t>
            </w:r>
          </w:p>
        </w:tc>
        <w:tc>
          <w:tcPr>
            <w:tcW w:w="1358" w:type="dxa"/>
            <w:tcBorders>
              <w:top w:val="nil"/>
              <w:left w:val="nil"/>
              <w:bottom w:val="nil"/>
              <w:right w:val="single" w:sz="8" w:space="0" w:color="auto"/>
            </w:tcBorders>
            <w:shd w:val="clear" w:color="auto" w:fill="auto"/>
            <w:vAlign w:val="center"/>
            <w:hideMark/>
          </w:tcPr>
          <w:p w14:paraId="7D44750A" w14:textId="078A8353"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-16</w:t>
            </w:r>
            <w:r w:rsidR="00A40BB6" w:rsidRPr="000C156A">
              <w:rPr>
                <w:rFonts w:cs="Calibri"/>
                <w:color w:val="000000"/>
                <w:sz w:val="22"/>
                <w:szCs w:val="22"/>
                <w:lang w:eastAsia="en-GB"/>
              </w:rPr>
              <w:t xml:space="preserve"> </w:t>
            </w:r>
            <w:r w:rsidRPr="000C156A">
              <w:rPr>
                <w:rFonts w:cs="Calibri"/>
                <w:color w:val="000000"/>
                <w:sz w:val="22"/>
                <w:szCs w:val="22"/>
                <w:lang w:eastAsia="en-GB"/>
              </w:rPr>
              <w:t>437</w:t>
            </w:r>
          </w:p>
        </w:tc>
        <w:tc>
          <w:tcPr>
            <w:tcW w:w="1358" w:type="dxa"/>
            <w:tcBorders>
              <w:top w:val="nil"/>
              <w:left w:val="single" w:sz="4" w:space="0" w:color="auto"/>
              <w:bottom w:val="nil"/>
              <w:right w:val="single" w:sz="4" w:space="0" w:color="auto"/>
            </w:tcBorders>
            <w:vAlign w:val="center"/>
            <w:hideMark/>
          </w:tcPr>
          <w:p w14:paraId="464B0D93"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8" w:type="dxa"/>
            <w:tcBorders>
              <w:top w:val="nil"/>
              <w:left w:val="single" w:sz="4" w:space="0" w:color="auto"/>
              <w:bottom w:val="nil"/>
              <w:right w:val="single" w:sz="4" w:space="0" w:color="auto"/>
            </w:tcBorders>
            <w:vAlign w:val="center"/>
            <w:hideMark/>
          </w:tcPr>
          <w:p w14:paraId="48548D81"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9" w:type="dxa"/>
            <w:tcBorders>
              <w:top w:val="nil"/>
              <w:left w:val="nil"/>
              <w:bottom w:val="nil"/>
              <w:right w:val="single" w:sz="8" w:space="0" w:color="auto"/>
            </w:tcBorders>
            <w:shd w:val="clear" w:color="auto" w:fill="auto"/>
            <w:vAlign w:val="center"/>
            <w:hideMark/>
          </w:tcPr>
          <w:p w14:paraId="6EC5642E" w14:textId="192A2D16"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-16</w:t>
            </w:r>
            <w:r w:rsidR="00A40BB6" w:rsidRPr="000C156A">
              <w:rPr>
                <w:rFonts w:cs="Calibri"/>
                <w:color w:val="000000"/>
                <w:sz w:val="22"/>
                <w:szCs w:val="22"/>
                <w:lang w:eastAsia="en-GB"/>
              </w:rPr>
              <w:t xml:space="preserve"> </w:t>
            </w:r>
            <w:r w:rsidRPr="000C156A">
              <w:rPr>
                <w:rFonts w:cs="Calibri"/>
                <w:color w:val="000000"/>
                <w:sz w:val="22"/>
                <w:szCs w:val="22"/>
                <w:lang w:eastAsia="en-GB"/>
              </w:rPr>
              <w:t>437</w:t>
            </w:r>
          </w:p>
        </w:tc>
      </w:tr>
      <w:tr w:rsidR="009630A9" w:rsidRPr="000C156A" w14:paraId="09A7BEB2" w14:textId="77777777" w:rsidTr="005D02F0">
        <w:trPr>
          <w:trHeight w:val="276"/>
          <w:jc w:val="center"/>
        </w:trPr>
        <w:tc>
          <w:tcPr>
            <w:tcW w:w="4108" w:type="dxa"/>
            <w:tcBorders>
              <w:top w:val="nil"/>
              <w:left w:val="single" w:sz="4" w:space="0" w:color="auto"/>
              <w:bottom w:val="nil"/>
              <w:right w:val="single" w:sz="4" w:space="0" w:color="auto"/>
            </w:tcBorders>
            <w:vAlign w:val="center"/>
            <w:hideMark/>
          </w:tcPr>
          <w:p w14:paraId="30C16C6B" w14:textId="77777777" w:rsidR="009630A9" w:rsidRPr="000C156A" w:rsidRDefault="009630A9" w:rsidP="005D02F0">
            <w:pPr>
              <w:pStyle w:val="Tabletext"/>
              <w:spacing w:before="20" w:after="20"/>
              <w:rPr>
                <w:szCs w:val="22"/>
                <w:lang w:val="en-US" w:eastAsia="zh-CN"/>
              </w:rPr>
            </w:pPr>
            <w:r w:rsidRPr="000C156A">
              <w:rPr>
                <w:rFonts w:hint="eastAsia"/>
                <w:szCs w:val="22"/>
                <w:lang w:val="en-US" w:eastAsia="zh-CN"/>
              </w:rPr>
              <w:t>汇率损益</w:t>
            </w:r>
          </w:p>
        </w:tc>
        <w:tc>
          <w:tcPr>
            <w:tcW w:w="1358" w:type="dxa"/>
            <w:tcBorders>
              <w:top w:val="nil"/>
              <w:left w:val="nil"/>
              <w:bottom w:val="nil"/>
              <w:right w:val="single" w:sz="8" w:space="0" w:color="auto"/>
            </w:tcBorders>
            <w:shd w:val="clear" w:color="auto" w:fill="auto"/>
            <w:vAlign w:val="center"/>
            <w:hideMark/>
          </w:tcPr>
          <w:p w14:paraId="07690876" w14:textId="4A6C0AC1"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-16</w:t>
            </w:r>
            <w:r w:rsidR="00A40BB6" w:rsidRPr="000C156A">
              <w:rPr>
                <w:rFonts w:cs="Calibri"/>
                <w:color w:val="000000"/>
                <w:sz w:val="22"/>
                <w:szCs w:val="22"/>
                <w:lang w:eastAsia="en-GB"/>
              </w:rPr>
              <w:t xml:space="preserve"> </w:t>
            </w:r>
            <w:r w:rsidRPr="000C156A">
              <w:rPr>
                <w:rFonts w:cs="Calibri"/>
                <w:color w:val="000000"/>
                <w:sz w:val="22"/>
                <w:szCs w:val="22"/>
                <w:lang w:eastAsia="en-GB"/>
              </w:rPr>
              <w:t>363</w:t>
            </w:r>
          </w:p>
        </w:tc>
        <w:tc>
          <w:tcPr>
            <w:tcW w:w="1358" w:type="dxa"/>
            <w:tcBorders>
              <w:top w:val="nil"/>
              <w:left w:val="single" w:sz="4" w:space="0" w:color="auto"/>
              <w:bottom w:val="nil"/>
              <w:right w:val="single" w:sz="4" w:space="0" w:color="auto"/>
            </w:tcBorders>
            <w:vAlign w:val="center"/>
            <w:hideMark/>
          </w:tcPr>
          <w:p w14:paraId="63764432"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8" w:type="dxa"/>
            <w:tcBorders>
              <w:top w:val="nil"/>
              <w:left w:val="single" w:sz="4" w:space="0" w:color="auto"/>
              <w:bottom w:val="nil"/>
              <w:right w:val="single" w:sz="4" w:space="0" w:color="auto"/>
            </w:tcBorders>
            <w:vAlign w:val="center"/>
            <w:hideMark/>
          </w:tcPr>
          <w:p w14:paraId="4B232E3F"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9" w:type="dxa"/>
            <w:tcBorders>
              <w:top w:val="nil"/>
              <w:left w:val="nil"/>
              <w:bottom w:val="nil"/>
              <w:right w:val="single" w:sz="8" w:space="0" w:color="auto"/>
            </w:tcBorders>
            <w:shd w:val="clear" w:color="auto" w:fill="auto"/>
            <w:vAlign w:val="center"/>
            <w:hideMark/>
          </w:tcPr>
          <w:p w14:paraId="1FB1F8EF"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-16.363</w:t>
            </w:r>
          </w:p>
        </w:tc>
      </w:tr>
      <w:tr w:rsidR="009630A9" w:rsidRPr="000C156A" w14:paraId="48D65F18" w14:textId="77777777" w:rsidTr="005D02F0">
        <w:trPr>
          <w:trHeight w:val="287"/>
          <w:jc w:val="center"/>
        </w:trPr>
        <w:tc>
          <w:tcPr>
            <w:tcW w:w="4108" w:type="dxa"/>
            <w:tcBorders>
              <w:top w:val="nil"/>
              <w:left w:val="single" w:sz="4" w:space="0" w:color="auto"/>
              <w:bottom w:val="nil"/>
              <w:right w:val="single" w:sz="4" w:space="0" w:color="auto"/>
            </w:tcBorders>
            <w:vAlign w:val="center"/>
            <w:hideMark/>
          </w:tcPr>
          <w:p w14:paraId="034B6C4A" w14:textId="77777777" w:rsidR="009630A9" w:rsidRPr="000C156A" w:rsidRDefault="009630A9" w:rsidP="005D02F0">
            <w:pPr>
              <w:pStyle w:val="Tabletext"/>
              <w:spacing w:before="20" w:after="20"/>
              <w:rPr>
                <w:szCs w:val="22"/>
                <w:lang w:val="en-US" w:eastAsia="zh-CN"/>
              </w:rPr>
            </w:pPr>
            <w:r w:rsidRPr="000C156A">
              <w:rPr>
                <w:rFonts w:hint="eastAsia"/>
                <w:szCs w:val="22"/>
                <w:lang w:val="en-US" w:eastAsia="zh-CN"/>
              </w:rPr>
              <w:t>离职后健康保险（</w:t>
            </w:r>
            <w:r w:rsidRPr="000C156A">
              <w:rPr>
                <w:szCs w:val="22"/>
                <w:lang w:val="en-US" w:eastAsia="zh-CN"/>
              </w:rPr>
              <w:t>ASHI</w:t>
            </w:r>
            <w:r w:rsidRPr="000C156A">
              <w:rPr>
                <w:rFonts w:hint="eastAsia"/>
                <w:szCs w:val="22"/>
                <w:lang w:val="en-US" w:eastAsia="zh-CN"/>
              </w:rPr>
              <w:t>）</w:t>
            </w:r>
          </w:p>
        </w:tc>
        <w:tc>
          <w:tcPr>
            <w:tcW w:w="1358" w:type="dxa"/>
            <w:tcBorders>
              <w:top w:val="nil"/>
              <w:left w:val="nil"/>
              <w:bottom w:val="nil"/>
              <w:right w:val="single" w:sz="8" w:space="0" w:color="auto"/>
            </w:tcBorders>
            <w:shd w:val="clear" w:color="auto" w:fill="auto"/>
            <w:vAlign w:val="center"/>
            <w:hideMark/>
          </w:tcPr>
          <w:p w14:paraId="7F85FA24" w14:textId="54A10683"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-22</w:t>
            </w:r>
            <w:r w:rsidR="00A40BB6" w:rsidRPr="000C156A">
              <w:rPr>
                <w:rFonts w:cs="Calibri"/>
                <w:color w:val="000000"/>
                <w:sz w:val="22"/>
                <w:szCs w:val="22"/>
                <w:lang w:eastAsia="en-GB"/>
              </w:rPr>
              <w:t xml:space="preserve"> </w:t>
            </w:r>
            <w:r w:rsidRPr="000C156A">
              <w:rPr>
                <w:rFonts w:cs="Calibri"/>
                <w:color w:val="000000"/>
                <w:sz w:val="22"/>
                <w:szCs w:val="22"/>
                <w:lang w:eastAsia="en-GB"/>
              </w:rPr>
              <w:t>789</w:t>
            </w:r>
          </w:p>
        </w:tc>
        <w:tc>
          <w:tcPr>
            <w:tcW w:w="1358" w:type="dxa"/>
            <w:tcBorders>
              <w:top w:val="nil"/>
              <w:left w:val="single" w:sz="4" w:space="0" w:color="auto"/>
              <w:bottom w:val="nil"/>
              <w:right w:val="single" w:sz="4" w:space="0" w:color="auto"/>
            </w:tcBorders>
            <w:vAlign w:val="center"/>
            <w:hideMark/>
          </w:tcPr>
          <w:p w14:paraId="51DA3E2D"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8" w:type="dxa"/>
            <w:tcBorders>
              <w:top w:val="nil"/>
              <w:left w:val="single" w:sz="4" w:space="0" w:color="auto"/>
              <w:bottom w:val="nil"/>
              <w:right w:val="single" w:sz="4" w:space="0" w:color="auto"/>
            </w:tcBorders>
            <w:vAlign w:val="center"/>
            <w:hideMark/>
          </w:tcPr>
          <w:p w14:paraId="3C9021EF"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9" w:type="dxa"/>
            <w:tcBorders>
              <w:top w:val="nil"/>
              <w:left w:val="nil"/>
              <w:bottom w:val="nil"/>
              <w:right w:val="single" w:sz="8" w:space="0" w:color="auto"/>
            </w:tcBorders>
            <w:shd w:val="clear" w:color="auto" w:fill="auto"/>
            <w:vAlign w:val="center"/>
            <w:hideMark/>
          </w:tcPr>
          <w:p w14:paraId="0072A2A6" w14:textId="195A8C5B"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-22</w:t>
            </w:r>
            <w:r w:rsidR="00A40BB6" w:rsidRPr="000C156A">
              <w:rPr>
                <w:rFonts w:cs="Calibri"/>
                <w:color w:val="000000"/>
                <w:sz w:val="22"/>
                <w:szCs w:val="22"/>
                <w:lang w:eastAsia="en-GB"/>
              </w:rPr>
              <w:t xml:space="preserve"> </w:t>
            </w:r>
            <w:r w:rsidRPr="000C156A">
              <w:rPr>
                <w:rFonts w:cs="Calibri"/>
                <w:color w:val="000000"/>
                <w:sz w:val="22"/>
                <w:szCs w:val="22"/>
                <w:lang w:eastAsia="en-GB"/>
              </w:rPr>
              <w:t>789</w:t>
            </w:r>
          </w:p>
        </w:tc>
      </w:tr>
      <w:tr w:rsidR="009630A9" w:rsidRPr="000C156A" w14:paraId="251BD9F6" w14:textId="77777777" w:rsidTr="005D02F0">
        <w:trPr>
          <w:trHeight w:val="276"/>
          <w:jc w:val="center"/>
        </w:trPr>
        <w:tc>
          <w:tcPr>
            <w:tcW w:w="4108" w:type="dxa"/>
            <w:tcBorders>
              <w:top w:val="nil"/>
              <w:left w:val="single" w:sz="4" w:space="0" w:color="auto"/>
              <w:bottom w:val="nil"/>
              <w:right w:val="single" w:sz="4" w:space="0" w:color="auto"/>
            </w:tcBorders>
            <w:vAlign w:val="center"/>
            <w:hideMark/>
          </w:tcPr>
          <w:p w14:paraId="630AFCAD" w14:textId="77777777" w:rsidR="009630A9" w:rsidRPr="000C156A" w:rsidRDefault="009630A9" w:rsidP="005D02F0">
            <w:pPr>
              <w:pStyle w:val="Tabletext"/>
              <w:spacing w:before="20" w:after="20"/>
              <w:rPr>
                <w:szCs w:val="22"/>
                <w:lang w:val="en-US" w:eastAsia="zh-CN"/>
              </w:rPr>
            </w:pPr>
            <w:r w:rsidRPr="000C156A">
              <w:rPr>
                <w:rFonts w:hint="eastAsia"/>
                <w:szCs w:val="22"/>
                <w:lang w:val="en-US" w:eastAsia="zh-CN"/>
              </w:rPr>
              <w:t>未被视作费用的</w:t>
            </w:r>
            <w:r w:rsidRPr="000C156A">
              <w:rPr>
                <w:szCs w:val="22"/>
                <w:lang w:val="en-US" w:eastAsia="zh-CN"/>
              </w:rPr>
              <w:t>FIPOI</w:t>
            </w:r>
            <w:r w:rsidRPr="000C156A">
              <w:rPr>
                <w:rFonts w:hint="eastAsia"/>
                <w:szCs w:val="22"/>
                <w:lang w:val="en-US" w:eastAsia="zh-CN"/>
              </w:rPr>
              <w:t>贷款的还款</w:t>
            </w:r>
          </w:p>
        </w:tc>
        <w:tc>
          <w:tcPr>
            <w:tcW w:w="1358" w:type="dxa"/>
            <w:tcBorders>
              <w:top w:val="nil"/>
              <w:left w:val="nil"/>
              <w:bottom w:val="nil"/>
              <w:right w:val="single" w:sz="8" w:space="0" w:color="auto"/>
            </w:tcBorders>
            <w:shd w:val="clear" w:color="auto" w:fill="auto"/>
            <w:vAlign w:val="center"/>
            <w:hideMark/>
          </w:tcPr>
          <w:p w14:paraId="378C5FCD"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zh-CN"/>
              </w:rPr>
            </w:pPr>
            <w:r w:rsidRPr="000C156A">
              <w:rPr>
                <w:rFonts w:cs="Calibri"/>
                <w:color w:val="000000"/>
                <w:sz w:val="22"/>
                <w:szCs w:val="22"/>
                <w:lang w:eastAsia="zh-CN"/>
              </w:rPr>
              <w:t> </w:t>
            </w:r>
          </w:p>
        </w:tc>
        <w:tc>
          <w:tcPr>
            <w:tcW w:w="1358" w:type="dxa"/>
            <w:tcBorders>
              <w:top w:val="nil"/>
              <w:left w:val="single" w:sz="4" w:space="0" w:color="auto"/>
              <w:bottom w:val="nil"/>
              <w:right w:val="single" w:sz="4" w:space="0" w:color="auto"/>
            </w:tcBorders>
            <w:vAlign w:val="center"/>
            <w:hideMark/>
          </w:tcPr>
          <w:p w14:paraId="1F4404FB"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zh-CN"/>
              </w:rPr>
            </w:pPr>
          </w:p>
        </w:tc>
        <w:tc>
          <w:tcPr>
            <w:tcW w:w="1358" w:type="dxa"/>
            <w:tcBorders>
              <w:top w:val="nil"/>
              <w:left w:val="single" w:sz="4" w:space="0" w:color="auto"/>
              <w:bottom w:val="nil"/>
              <w:right w:val="single" w:sz="4" w:space="0" w:color="auto"/>
            </w:tcBorders>
            <w:vAlign w:val="center"/>
            <w:hideMark/>
          </w:tcPr>
          <w:p w14:paraId="0F7FCBEE" w14:textId="130436C5"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w:t>
            </w:r>
            <w:r w:rsidR="00A40BB6" w:rsidRPr="000C156A">
              <w:rPr>
                <w:rFonts w:cs="Calibri"/>
                <w:color w:val="000000"/>
                <w:sz w:val="22"/>
                <w:szCs w:val="22"/>
                <w:lang w:eastAsia="en-GB"/>
              </w:rPr>
              <w:t xml:space="preserve"> </w:t>
            </w:r>
            <w:r w:rsidRPr="000C156A">
              <w:rPr>
                <w:rFonts w:cs="Calibri"/>
                <w:color w:val="000000"/>
                <w:sz w:val="22"/>
                <w:szCs w:val="22"/>
                <w:lang w:eastAsia="en-GB"/>
              </w:rPr>
              <w:t>493</w:t>
            </w:r>
          </w:p>
        </w:tc>
        <w:tc>
          <w:tcPr>
            <w:tcW w:w="1359" w:type="dxa"/>
            <w:tcBorders>
              <w:top w:val="nil"/>
              <w:left w:val="nil"/>
              <w:bottom w:val="nil"/>
              <w:right w:val="single" w:sz="8" w:space="0" w:color="auto"/>
            </w:tcBorders>
            <w:shd w:val="clear" w:color="auto" w:fill="auto"/>
            <w:vAlign w:val="center"/>
            <w:hideMark/>
          </w:tcPr>
          <w:p w14:paraId="34BF2C86" w14:textId="14ADF426"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w:t>
            </w:r>
            <w:r w:rsidR="00A40BB6" w:rsidRPr="000C156A">
              <w:rPr>
                <w:rFonts w:cs="Calibri"/>
                <w:color w:val="000000"/>
                <w:sz w:val="22"/>
                <w:szCs w:val="22"/>
                <w:lang w:eastAsia="en-GB"/>
              </w:rPr>
              <w:t xml:space="preserve"> </w:t>
            </w:r>
            <w:r w:rsidRPr="000C156A">
              <w:rPr>
                <w:rFonts w:cs="Calibri"/>
                <w:color w:val="000000"/>
                <w:sz w:val="22"/>
                <w:szCs w:val="22"/>
                <w:lang w:eastAsia="en-GB"/>
              </w:rPr>
              <w:t>493</w:t>
            </w:r>
          </w:p>
        </w:tc>
      </w:tr>
      <w:tr w:rsidR="009630A9" w:rsidRPr="000C156A" w14:paraId="7A8E8723" w14:textId="77777777" w:rsidTr="005D02F0">
        <w:trPr>
          <w:trHeight w:val="276"/>
          <w:jc w:val="center"/>
        </w:trPr>
        <w:tc>
          <w:tcPr>
            <w:tcW w:w="4108" w:type="dxa"/>
            <w:tcBorders>
              <w:top w:val="nil"/>
              <w:left w:val="single" w:sz="4" w:space="0" w:color="auto"/>
              <w:bottom w:val="nil"/>
              <w:right w:val="single" w:sz="4" w:space="0" w:color="auto"/>
            </w:tcBorders>
            <w:vAlign w:val="center"/>
            <w:hideMark/>
          </w:tcPr>
          <w:p w14:paraId="38857E92" w14:textId="77777777" w:rsidR="009630A9" w:rsidRPr="000C156A" w:rsidRDefault="009630A9" w:rsidP="005D02F0">
            <w:pPr>
              <w:pStyle w:val="Tabletext"/>
              <w:spacing w:before="20" w:after="20"/>
              <w:rPr>
                <w:szCs w:val="22"/>
                <w:lang w:val="en-US" w:eastAsia="zh-CN"/>
              </w:rPr>
            </w:pPr>
            <w:r w:rsidRPr="000C156A">
              <w:rPr>
                <w:rFonts w:hint="eastAsia"/>
                <w:szCs w:val="22"/>
                <w:lang w:val="en-US" w:eastAsia="zh-CN"/>
              </w:rPr>
              <w:t>实物捐赠收入</w:t>
            </w:r>
          </w:p>
        </w:tc>
        <w:tc>
          <w:tcPr>
            <w:tcW w:w="1358" w:type="dxa"/>
            <w:tcBorders>
              <w:top w:val="nil"/>
              <w:left w:val="nil"/>
              <w:bottom w:val="nil"/>
              <w:right w:val="single" w:sz="8" w:space="0" w:color="auto"/>
            </w:tcBorders>
            <w:shd w:val="clear" w:color="auto" w:fill="auto"/>
            <w:vAlign w:val="center"/>
            <w:hideMark/>
          </w:tcPr>
          <w:p w14:paraId="74557676"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820</w:t>
            </w:r>
          </w:p>
        </w:tc>
        <w:tc>
          <w:tcPr>
            <w:tcW w:w="1358" w:type="dxa"/>
            <w:tcBorders>
              <w:top w:val="nil"/>
              <w:left w:val="single" w:sz="4" w:space="0" w:color="auto"/>
              <w:bottom w:val="nil"/>
              <w:right w:val="single" w:sz="4" w:space="0" w:color="auto"/>
            </w:tcBorders>
            <w:vAlign w:val="center"/>
            <w:hideMark/>
          </w:tcPr>
          <w:p w14:paraId="0DAE7B64"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8" w:type="dxa"/>
            <w:tcBorders>
              <w:top w:val="nil"/>
              <w:left w:val="single" w:sz="4" w:space="0" w:color="auto"/>
              <w:bottom w:val="nil"/>
              <w:right w:val="single" w:sz="4" w:space="0" w:color="auto"/>
            </w:tcBorders>
            <w:vAlign w:val="center"/>
            <w:hideMark/>
          </w:tcPr>
          <w:p w14:paraId="79C05BCE"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9" w:type="dxa"/>
            <w:tcBorders>
              <w:top w:val="nil"/>
              <w:left w:val="nil"/>
              <w:bottom w:val="nil"/>
              <w:right w:val="single" w:sz="8" w:space="0" w:color="auto"/>
            </w:tcBorders>
            <w:shd w:val="clear" w:color="auto" w:fill="auto"/>
            <w:vAlign w:val="center"/>
            <w:hideMark/>
          </w:tcPr>
          <w:p w14:paraId="638EDBAE"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820</w:t>
            </w:r>
          </w:p>
        </w:tc>
      </w:tr>
      <w:tr w:rsidR="009630A9" w:rsidRPr="000C156A" w14:paraId="6C897B1C" w14:textId="77777777" w:rsidTr="005D02F0">
        <w:trPr>
          <w:trHeight w:val="276"/>
          <w:jc w:val="center"/>
        </w:trPr>
        <w:tc>
          <w:tcPr>
            <w:tcW w:w="4108" w:type="dxa"/>
            <w:tcBorders>
              <w:top w:val="nil"/>
              <w:left w:val="single" w:sz="4" w:space="0" w:color="auto"/>
              <w:bottom w:val="nil"/>
              <w:right w:val="single" w:sz="4" w:space="0" w:color="auto"/>
            </w:tcBorders>
            <w:vAlign w:val="center"/>
            <w:hideMark/>
          </w:tcPr>
          <w:p w14:paraId="48E33D41" w14:textId="77777777" w:rsidR="009630A9" w:rsidRPr="000C156A" w:rsidRDefault="009630A9" w:rsidP="005D02F0">
            <w:pPr>
              <w:pStyle w:val="Tabletext"/>
              <w:spacing w:before="20" w:after="20"/>
              <w:rPr>
                <w:szCs w:val="22"/>
                <w:lang w:val="en-US" w:eastAsia="zh-CN"/>
              </w:rPr>
            </w:pPr>
            <w:r w:rsidRPr="000C156A">
              <w:rPr>
                <w:rFonts w:hint="eastAsia"/>
                <w:szCs w:val="22"/>
                <w:lang w:val="en-US" w:eastAsia="zh-CN"/>
              </w:rPr>
              <w:t>实物捐赠费用</w:t>
            </w:r>
          </w:p>
        </w:tc>
        <w:tc>
          <w:tcPr>
            <w:tcW w:w="1358" w:type="dxa"/>
            <w:tcBorders>
              <w:top w:val="nil"/>
              <w:left w:val="nil"/>
              <w:bottom w:val="nil"/>
              <w:right w:val="single" w:sz="8" w:space="0" w:color="auto"/>
            </w:tcBorders>
            <w:shd w:val="clear" w:color="auto" w:fill="auto"/>
            <w:vAlign w:val="center"/>
            <w:hideMark/>
          </w:tcPr>
          <w:p w14:paraId="50B1C40C"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-820</w:t>
            </w:r>
          </w:p>
        </w:tc>
        <w:tc>
          <w:tcPr>
            <w:tcW w:w="1358" w:type="dxa"/>
            <w:tcBorders>
              <w:top w:val="nil"/>
              <w:left w:val="single" w:sz="4" w:space="0" w:color="auto"/>
              <w:bottom w:val="nil"/>
              <w:right w:val="single" w:sz="4" w:space="0" w:color="auto"/>
            </w:tcBorders>
            <w:vAlign w:val="center"/>
            <w:hideMark/>
          </w:tcPr>
          <w:p w14:paraId="4EBAED9B"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8" w:type="dxa"/>
            <w:tcBorders>
              <w:top w:val="nil"/>
              <w:left w:val="single" w:sz="4" w:space="0" w:color="auto"/>
              <w:bottom w:val="nil"/>
              <w:right w:val="single" w:sz="4" w:space="0" w:color="auto"/>
            </w:tcBorders>
            <w:vAlign w:val="center"/>
            <w:hideMark/>
          </w:tcPr>
          <w:p w14:paraId="743A26B3"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9" w:type="dxa"/>
            <w:tcBorders>
              <w:top w:val="nil"/>
              <w:left w:val="nil"/>
              <w:bottom w:val="nil"/>
              <w:right w:val="single" w:sz="8" w:space="0" w:color="auto"/>
            </w:tcBorders>
            <w:shd w:val="clear" w:color="auto" w:fill="auto"/>
            <w:vAlign w:val="center"/>
            <w:hideMark/>
          </w:tcPr>
          <w:p w14:paraId="75EBA798"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-820</w:t>
            </w:r>
          </w:p>
        </w:tc>
      </w:tr>
      <w:tr w:rsidR="009630A9" w:rsidRPr="000C156A" w14:paraId="7A53DB13" w14:textId="77777777" w:rsidTr="005D02F0">
        <w:trPr>
          <w:trHeight w:val="276"/>
          <w:jc w:val="center"/>
        </w:trPr>
        <w:tc>
          <w:tcPr>
            <w:tcW w:w="4108" w:type="dxa"/>
            <w:tcBorders>
              <w:top w:val="nil"/>
              <w:left w:val="single" w:sz="4" w:space="0" w:color="auto"/>
              <w:bottom w:val="nil"/>
              <w:right w:val="single" w:sz="4" w:space="0" w:color="auto"/>
            </w:tcBorders>
            <w:vAlign w:val="center"/>
            <w:hideMark/>
          </w:tcPr>
          <w:p w14:paraId="7144DBFA" w14:textId="77777777" w:rsidR="009630A9" w:rsidRPr="000C156A" w:rsidRDefault="009630A9" w:rsidP="005D02F0">
            <w:pPr>
              <w:pStyle w:val="Tabletext"/>
              <w:spacing w:before="20" w:after="20"/>
              <w:rPr>
                <w:szCs w:val="22"/>
                <w:lang w:val="en-US" w:eastAsia="zh-CN"/>
              </w:rPr>
            </w:pPr>
            <w:r w:rsidRPr="000C156A">
              <w:rPr>
                <w:rFonts w:hint="eastAsia"/>
                <w:szCs w:val="22"/>
                <w:lang w:val="en-US" w:eastAsia="zh-CN"/>
              </w:rPr>
              <w:t>资产出售</w:t>
            </w:r>
          </w:p>
        </w:tc>
        <w:tc>
          <w:tcPr>
            <w:tcW w:w="1358" w:type="dxa"/>
            <w:tcBorders>
              <w:top w:val="nil"/>
              <w:left w:val="nil"/>
              <w:bottom w:val="nil"/>
              <w:right w:val="single" w:sz="8" w:space="0" w:color="auto"/>
            </w:tcBorders>
            <w:shd w:val="clear" w:color="auto" w:fill="auto"/>
            <w:vAlign w:val="center"/>
            <w:hideMark/>
          </w:tcPr>
          <w:p w14:paraId="79B7FAEE"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9</w:t>
            </w:r>
          </w:p>
        </w:tc>
        <w:tc>
          <w:tcPr>
            <w:tcW w:w="1358" w:type="dxa"/>
            <w:tcBorders>
              <w:top w:val="nil"/>
              <w:left w:val="single" w:sz="4" w:space="0" w:color="auto"/>
              <w:bottom w:val="nil"/>
              <w:right w:val="single" w:sz="4" w:space="0" w:color="auto"/>
            </w:tcBorders>
            <w:vAlign w:val="center"/>
            <w:hideMark/>
          </w:tcPr>
          <w:p w14:paraId="22227912"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8" w:type="dxa"/>
            <w:tcBorders>
              <w:top w:val="nil"/>
              <w:left w:val="single" w:sz="4" w:space="0" w:color="auto"/>
              <w:bottom w:val="nil"/>
              <w:right w:val="single" w:sz="4" w:space="0" w:color="auto"/>
            </w:tcBorders>
            <w:vAlign w:val="center"/>
            <w:hideMark/>
          </w:tcPr>
          <w:p w14:paraId="1F8B5DB7"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9" w:type="dxa"/>
            <w:tcBorders>
              <w:top w:val="nil"/>
              <w:left w:val="nil"/>
              <w:bottom w:val="nil"/>
              <w:right w:val="single" w:sz="8" w:space="0" w:color="auto"/>
            </w:tcBorders>
            <w:shd w:val="clear" w:color="auto" w:fill="auto"/>
            <w:vAlign w:val="center"/>
            <w:hideMark/>
          </w:tcPr>
          <w:p w14:paraId="4096F578"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9</w:t>
            </w:r>
          </w:p>
        </w:tc>
      </w:tr>
      <w:tr w:rsidR="009630A9" w:rsidRPr="000C156A" w14:paraId="6A40C29B" w14:textId="77777777" w:rsidTr="00A70645">
        <w:trPr>
          <w:trHeight w:val="276"/>
          <w:jc w:val="center"/>
        </w:trPr>
        <w:tc>
          <w:tcPr>
            <w:tcW w:w="4108" w:type="dxa"/>
            <w:tcBorders>
              <w:top w:val="nil"/>
              <w:left w:val="single" w:sz="4" w:space="0" w:color="auto"/>
              <w:bottom w:val="nil"/>
              <w:right w:val="single" w:sz="4" w:space="0" w:color="auto"/>
            </w:tcBorders>
            <w:vAlign w:val="center"/>
            <w:hideMark/>
          </w:tcPr>
          <w:p w14:paraId="7E0869F9" w14:textId="77777777" w:rsidR="009630A9" w:rsidRPr="000C156A" w:rsidRDefault="009630A9" w:rsidP="005D02F0">
            <w:pPr>
              <w:pStyle w:val="Tabletext"/>
              <w:spacing w:before="20" w:after="20"/>
              <w:rPr>
                <w:szCs w:val="22"/>
                <w:lang w:val="en-US" w:eastAsia="zh-CN"/>
              </w:rPr>
            </w:pPr>
            <w:r w:rsidRPr="000C156A">
              <w:rPr>
                <w:rFonts w:hint="eastAsia"/>
                <w:szCs w:val="22"/>
                <w:lang w:val="en-US" w:eastAsia="zh-CN"/>
              </w:rPr>
              <w:t>其它</w:t>
            </w:r>
          </w:p>
        </w:tc>
        <w:tc>
          <w:tcPr>
            <w:tcW w:w="1358" w:type="dxa"/>
            <w:tcBorders>
              <w:top w:val="nil"/>
              <w:left w:val="nil"/>
              <w:bottom w:val="nil"/>
              <w:right w:val="single" w:sz="8" w:space="0" w:color="auto"/>
            </w:tcBorders>
            <w:shd w:val="clear" w:color="auto" w:fill="auto"/>
            <w:vAlign w:val="center"/>
            <w:hideMark/>
          </w:tcPr>
          <w:p w14:paraId="23D68240"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40</w:t>
            </w:r>
          </w:p>
        </w:tc>
        <w:tc>
          <w:tcPr>
            <w:tcW w:w="1358" w:type="dxa"/>
            <w:tcBorders>
              <w:top w:val="nil"/>
              <w:left w:val="single" w:sz="4" w:space="0" w:color="auto"/>
              <w:bottom w:val="single" w:sz="8" w:space="0" w:color="000000"/>
              <w:right w:val="single" w:sz="4" w:space="0" w:color="auto"/>
            </w:tcBorders>
            <w:vAlign w:val="center"/>
            <w:hideMark/>
          </w:tcPr>
          <w:p w14:paraId="774F9069"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8" w:type="dxa"/>
            <w:tcBorders>
              <w:top w:val="nil"/>
              <w:left w:val="single" w:sz="4" w:space="0" w:color="auto"/>
              <w:bottom w:val="single" w:sz="8" w:space="0" w:color="000000"/>
              <w:right w:val="single" w:sz="4" w:space="0" w:color="auto"/>
            </w:tcBorders>
            <w:vAlign w:val="center"/>
            <w:hideMark/>
          </w:tcPr>
          <w:p w14:paraId="42641111"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9" w:type="dxa"/>
            <w:tcBorders>
              <w:top w:val="nil"/>
              <w:left w:val="nil"/>
              <w:bottom w:val="nil"/>
              <w:right w:val="single" w:sz="8" w:space="0" w:color="auto"/>
            </w:tcBorders>
            <w:shd w:val="clear" w:color="auto" w:fill="auto"/>
            <w:vAlign w:val="center"/>
            <w:hideMark/>
          </w:tcPr>
          <w:p w14:paraId="13EF9C02"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40</w:t>
            </w:r>
          </w:p>
        </w:tc>
      </w:tr>
      <w:tr w:rsidR="009630A9" w:rsidRPr="000C156A" w14:paraId="404E8782" w14:textId="77777777" w:rsidTr="00A70645">
        <w:trPr>
          <w:trHeight w:val="276"/>
          <w:jc w:val="center"/>
        </w:trPr>
        <w:tc>
          <w:tcPr>
            <w:tcW w:w="4108" w:type="dxa"/>
            <w:tcBorders>
              <w:top w:val="single" w:sz="4" w:space="0" w:color="auto"/>
              <w:left w:val="single" w:sz="4" w:space="0" w:color="auto"/>
              <w:bottom w:val="single" w:sz="8" w:space="0" w:color="auto"/>
              <w:right w:val="single" w:sz="4" w:space="0" w:color="auto"/>
            </w:tcBorders>
            <w:vAlign w:val="center"/>
            <w:hideMark/>
          </w:tcPr>
          <w:p w14:paraId="517691E5" w14:textId="77777777" w:rsidR="009630A9" w:rsidRPr="000C156A" w:rsidRDefault="009630A9" w:rsidP="005D02F0">
            <w:pPr>
              <w:pStyle w:val="Tabletext"/>
              <w:spacing w:before="20" w:after="20"/>
              <w:rPr>
                <w:b/>
                <w:bCs/>
                <w:szCs w:val="22"/>
                <w:lang w:val="en-US" w:eastAsia="zh-CN"/>
              </w:rPr>
            </w:pPr>
            <w:r w:rsidRPr="000C156A">
              <w:rPr>
                <w:rFonts w:hint="eastAsia"/>
                <w:b/>
                <w:bCs/>
                <w:szCs w:val="22"/>
                <w:lang w:val="en-US" w:eastAsia="zh-CN"/>
              </w:rPr>
              <w:t>国际公共部门会计准则（</w:t>
            </w:r>
            <w:r w:rsidRPr="000C156A">
              <w:rPr>
                <w:b/>
                <w:bCs/>
                <w:szCs w:val="22"/>
                <w:lang w:val="en-US" w:eastAsia="zh-CN"/>
              </w:rPr>
              <w:t>IPSAS</w:t>
            </w:r>
            <w:r w:rsidRPr="000C156A">
              <w:rPr>
                <w:rFonts w:hint="eastAsia"/>
                <w:b/>
                <w:bCs/>
                <w:szCs w:val="22"/>
                <w:lang w:val="en-US" w:eastAsia="zh-CN"/>
              </w:rPr>
              <w:t>）</w:t>
            </w:r>
            <w:r w:rsidRPr="000C156A">
              <w:rPr>
                <w:b/>
                <w:bCs/>
                <w:szCs w:val="22"/>
                <w:lang w:val="en-US" w:eastAsia="zh-CN"/>
              </w:rPr>
              <w:br/>
            </w:r>
            <w:r w:rsidRPr="000C156A">
              <w:rPr>
                <w:rFonts w:hint="eastAsia"/>
                <w:b/>
                <w:bCs/>
                <w:szCs w:val="22"/>
                <w:lang w:val="en-US" w:eastAsia="zh-CN"/>
              </w:rPr>
              <w:t>差额合计</w:t>
            </w:r>
          </w:p>
        </w:tc>
        <w:tc>
          <w:tcPr>
            <w:tcW w:w="1358" w:type="dxa"/>
            <w:tcBorders>
              <w:top w:val="single" w:sz="8" w:space="0" w:color="auto"/>
              <w:left w:val="nil"/>
              <w:bottom w:val="single" w:sz="8" w:space="0" w:color="auto"/>
              <w:right w:val="single" w:sz="8" w:space="0" w:color="auto"/>
            </w:tcBorders>
            <w:shd w:val="clear" w:color="auto" w:fill="auto"/>
            <w:vAlign w:val="center"/>
            <w:hideMark/>
          </w:tcPr>
          <w:p w14:paraId="4CC7D303" w14:textId="6525F6AA" w:rsidR="009630A9" w:rsidRPr="000C156A" w:rsidRDefault="009630A9"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-56</w:t>
            </w:r>
            <w:r w:rsidR="00A40BB6" w:rsidRPr="000C156A">
              <w:rPr>
                <w:rFonts w:cs="Calibri"/>
                <w:b/>
                <w:bCs/>
                <w:color w:val="000000"/>
                <w:sz w:val="22"/>
                <w:szCs w:val="22"/>
                <w:lang w:eastAsia="en-GB"/>
              </w:rPr>
              <w:t xml:space="preserve"> </w:t>
            </w:r>
            <w:r w:rsidRPr="000C156A">
              <w:rPr>
                <w:rFonts w:cs="Calibri"/>
                <w:b/>
                <w:bCs/>
                <w:color w:val="000000"/>
                <w:sz w:val="22"/>
                <w:szCs w:val="22"/>
                <w:lang w:eastAsia="en-GB"/>
              </w:rPr>
              <w:t>721</w:t>
            </w:r>
          </w:p>
        </w:tc>
        <w:tc>
          <w:tcPr>
            <w:tcW w:w="1358" w:type="dxa"/>
            <w:tcBorders>
              <w:top w:val="single" w:sz="8" w:space="0" w:color="000000"/>
              <w:left w:val="single" w:sz="4" w:space="0" w:color="auto"/>
              <w:bottom w:val="single" w:sz="8" w:space="0" w:color="auto"/>
              <w:right w:val="single" w:sz="4" w:space="0" w:color="auto"/>
            </w:tcBorders>
            <w:vAlign w:val="center"/>
            <w:hideMark/>
          </w:tcPr>
          <w:p w14:paraId="28F6E53F" w14:textId="295FCC1C" w:rsidR="009630A9" w:rsidRPr="000C156A" w:rsidRDefault="009630A9"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w:t>
            </w:r>
            <w:r w:rsidR="00A40BB6" w:rsidRPr="000C156A">
              <w:rPr>
                <w:rFonts w:cs="Calibri"/>
                <w:b/>
                <w:bCs/>
                <w:color w:val="000000"/>
                <w:sz w:val="22"/>
                <w:szCs w:val="22"/>
                <w:lang w:eastAsia="en-GB"/>
              </w:rPr>
              <w:t xml:space="preserve"> </w:t>
            </w:r>
            <w:r w:rsidRPr="000C156A">
              <w:rPr>
                <w:rFonts w:cs="Calibri" w:hint="eastAsia"/>
                <w:b/>
                <w:bCs/>
                <w:color w:val="000000"/>
                <w:sz w:val="22"/>
                <w:szCs w:val="22"/>
                <w:lang w:eastAsia="zh-CN"/>
              </w:rPr>
              <w:t>545</w:t>
            </w:r>
          </w:p>
        </w:tc>
        <w:tc>
          <w:tcPr>
            <w:tcW w:w="1358" w:type="dxa"/>
            <w:tcBorders>
              <w:top w:val="single" w:sz="8" w:space="0" w:color="000000"/>
              <w:left w:val="single" w:sz="4" w:space="0" w:color="auto"/>
              <w:bottom w:val="single" w:sz="8" w:space="0" w:color="auto"/>
              <w:right w:val="single" w:sz="4" w:space="0" w:color="auto"/>
            </w:tcBorders>
            <w:vAlign w:val="center"/>
            <w:hideMark/>
          </w:tcPr>
          <w:p w14:paraId="22C55C7C" w14:textId="60305FE6" w:rsidR="009630A9" w:rsidRPr="000C156A" w:rsidRDefault="009630A9"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w:t>
            </w:r>
            <w:r w:rsidR="00A40BB6" w:rsidRPr="000C156A">
              <w:rPr>
                <w:rFonts w:cs="Calibri"/>
                <w:b/>
                <w:bCs/>
                <w:color w:val="000000"/>
                <w:sz w:val="22"/>
                <w:szCs w:val="22"/>
                <w:lang w:eastAsia="en-GB"/>
              </w:rPr>
              <w:t xml:space="preserve"> </w:t>
            </w:r>
            <w:r w:rsidRPr="000C156A">
              <w:rPr>
                <w:rFonts w:cs="Calibri"/>
                <w:b/>
                <w:bCs/>
                <w:color w:val="000000"/>
                <w:sz w:val="22"/>
                <w:szCs w:val="22"/>
                <w:lang w:eastAsia="en-GB"/>
              </w:rPr>
              <w:t>493</w:t>
            </w:r>
          </w:p>
        </w:tc>
        <w:tc>
          <w:tcPr>
            <w:tcW w:w="1359" w:type="dxa"/>
            <w:tcBorders>
              <w:top w:val="single" w:sz="8" w:space="0" w:color="auto"/>
              <w:left w:val="nil"/>
              <w:bottom w:val="single" w:sz="8" w:space="0" w:color="auto"/>
              <w:right w:val="single" w:sz="8" w:space="0" w:color="auto"/>
            </w:tcBorders>
            <w:shd w:val="clear" w:color="auto" w:fill="auto"/>
            <w:vAlign w:val="center"/>
            <w:hideMark/>
          </w:tcPr>
          <w:p w14:paraId="0879B62D" w14:textId="2388FDA7" w:rsidR="009630A9" w:rsidRPr="000C156A" w:rsidRDefault="009630A9"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-53</w:t>
            </w:r>
            <w:r w:rsidR="00A40BB6" w:rsidRPr="000C156A">
              <w:rPr>
                <w:rFonts w:cs="Calibri"/>
                <w:b/>
                <w:bCs/>
                <w:color w:val="000000"/>
                <w:sz w:val="22"/>
                <w:szCs w:val="22"/>
                <w:lang w:eastAsia="en-GB"/>
              </w:rPr>
              <w:t xml:space="preserve"> </w:t>
            </w:r>
            <w:r w:rsidRPr="000C156A">
              <w:rPr>
                <w:rFonts w:cs="Calibri"/>
                <w:b/>
                <w:bCs/>
                <w:color w:val="000000"/>
                <w:sz w:val="22"/>
                <w:szCs w:val="22"/>
                <w:lang w:eastAsia="en-GB"/>
              </w:rPr>
              <w:t>684</w:t>
            </w:r>
          </w:p>
        </w:tc>
      </w:tr>
      <w:tr w:rsidR="009630A9" w:rsidRPr="000C156A" w14:paraId="35437C78" w14:textId="77777777" w:rsidTr="005D02F0">
        <w:trPr>
          <w:trHeight w:val="276"/>
          <w:jc w:val="center"/>
        </w:trPr>
        <w:tc>
          <w:tcPr>
            <w:tcW w:w="4108" w:type="dxa"/>
            <w:tcBorders>
              <w:top w:val="single" w:sz="8" w:space="0" w:color="auto"/>
              <w:left w:val="single" w:sz="4" w:space="0" w:color="auto"/>
              <w:bottom w:val="nil"/>
              <w:right w:val="single" w:sz="4" w:space="0" w:color="auto"/>
            </w:tcBorders>
            <w:vAlign w:val="center"/>
            <w:hideMark/>
          </w:tcPr>
          <w:p w14:paraId="1FB151AF" w14:textId="77777777" w:rsidR="009630A9" w:rsidRPr="000C156A" w:rsidRDefault="009630A9" w:rsidP="005D02F0">
            <w:pPr>
              <w:pStyle w:val="Tabletext"/>
              <w:spacing w:before="20" w:after="20"/>
              <w:rPr>
                <w:szCs w:val="22"/>
                <w:lang w:val="en-US" w:eastAsia="zh-CN"/>
              </w:rPr>
            </w:pPr>
            <w:r w:rsidRPr="000C156A">
              <w:rPr>
                <w:rFonts w:cs="Arial" w:hint="eastAsia"/>
                <w:color w:val="000000"/>
                <w:szCs w:val="22"/>
                <w:lang w:val="en-US" w:eastAsia="zh-CN"/>
              </w:rPr>
              <w:t>收益基金</w:t>
            </w:r>
            <w:r w:rsidRPr="000C156A">
              <w:rPr>
                <w:rFonts w:cs="Arial"/>
                <w:color w:val="000000"/>
                <w:szCs w:val="22"/>
                <w:lang w:val="en-US" w:eastAsia="zh-CN"/>
              </w:rPr>
              <w:t>1000/1010</w:t>
            </w:r>
          </w:p>
        </w:tc>
        <w:tc>
          <w:tcPr>
            <w:tcW w:w="1358" w:type="dxa"/>
            <w:tcBorders>
              <w:top w:val="nil"/>
              <w:left w:val="nil"/>
              <w:bottom w:val="nil"/>
              <w:right w:val="single" w:sz="8" w:space="0" w:color="auto"/>
            </w:tcBorders>
            <w:shd w:val="clear" w:color="auto" w:fill="auto"/>
            <w:vAlign w:val="center"/>
            <w:hideMark/>
          </w:tcPr>
          <w:p w14:paraId="709756AD" w14:textId="5EFC85A1"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-58</w:t>
            </w:r>
            <w:r w:rsidR="00A40BB6" w:rsidRPr="000C156A">
              <w:rPr>
                <w:rFonts w:cs="Calibri"/>
                <w:color w:val="000000"/>
                <w:sz w:val="22"/>
                <w:szCs w:val="22"/>
                <w:lang w:eastAsia="en-GB"/>
              </w:rPr>
              <w:t xml:space="preserve"> </w:t>
            </w:r>
            <w:r w:rsidRPr="000C156A">
              <w:rPr>
                <w:rFonts w:cs="Calibri"/>
                <w:color w:val="000000"/>
                <w:sz w:val="22"/>
                <w:szCs w:val="22"/>
                <w:lang w:eastAsia="en-GB"/>
              </w:rPr>
              <w:t>204</w:t>
            </w:r>
          </w:p>
        </w:tc>
        <w:tc>
          <w:tcPr>
            <w:tcW w:w="1358" w:type="dxa"/>
            <w:tcBorders>
              <w:top w:val="single" w:sz="8" w:space="0" w:color="auto"/>
              <w:left w:val="single" w:sz="4" w:space="0" w:color="auto"/>
              <w:bottom w:val="nil"/>
              <w:right w:val="single" w:sz="4" w:space="0" w:color="auto"/>
            </w:tcBorders>
            <w:vAlign w:val="center"/>
            <w:hideMark/>
          </w:tcPr>
          <w:p w14:paraId="78E51C36" w14:textId="31DA6A09"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w:t>
            </w:r>
            <w:r w:rsidR="00A40BB6" w:rsidRPr="000C156A">
              <w:rPr>
                <w:rFonts w:cs="Calibri"/>
                <w:color w:val="000000"/>
                <w:sz w:val="22"/>
                <w:szCs w:val="22"/>
                <w:lang w:eastAsia="en-GB"/>
              </w:rPr>
              <w:t xml:space="preserve"> </w:t>
            </w:r>
            <w:r w:rsidRPr="000C156A">
              <w:rPr>
                <w:rFonts w:cs="Calibri" w:hint="eastAsia"/>
                <w:color w:val="000000"/>
                <w:sz w:val="22"/>
                <w:szCs w:val="22"/>
                <w:lang w:eastAsia="zh-CN"/>
              </w:rPr>
              <w:t>545</w:t>
            </w:r>
          </w:p>
        </w:tc>
        <w:tc>
          <w:tcPr>
            <w:tcW w:w="1358" w:type="dxa"/>
            <w:tcBorders>
              <w:top w:val="single" w:sz="8" w:space="0" w:color="auto"/>
              <w:left w:val="single" w:sz="4" w:space="0" w:color="auto"/>
              <w:bottom w:val="nil"/>
              <w:right w:val="single" w:sz="4" w:space="0" w:color="auto"/>
            </w:tcBorders>
            <w:vAlign w:val="center"/>
            <w:hideMark/>
          </w:tcPr>
          <w:p w14:paraId="08783D14" w14:textId="01D06FC9"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w:t>
            </w:r>
            <w:r w:rsidR="00A40BB6" w:rsidRPr="000C156A">
              <w:rPr>
                <w:rFonts w:cs="Calibri"/>
                <w:color w:val="000000"/>
                <w:sz w:val="22"/>
                <w:szCs w:val="22"/>
                <w:lang w:eastAsia="en-GB"/>
              </w:rPr>
              <w:t xml:space="preserve"> </w:t>
            </w:r>
            <w:r w:rsidRPr="000C156A">
              <w:rPr>
                <w:rFonts w:cs="Calibri"/>
                <w:color w:val="000000"/>
                <w:sz w:val="22"/>
                <w:szCs w:val="22"/>
                <w:lang w:eastAsia="en-GB"/>
              </w:rPr>
              <w:t>493</w:t>
            </w:r>
          </w:p>
        </w:tc>
        <w:tc>
          <w:tcPr>
            <w:tcW w:w="1359" w:type="dxa"/>
            <w:tcBorders>
              <w:top w:val="single" w:sz="8" w:space="0" w:color="auto"/>
              <w:left w:val="nil"/>
              <w:bottom w:val="nil"/>
              <w:right w:val="single" w:sz="8" w:space="0" w:color="auto"/>
            </w:tcBorders>
            <w:shd w:val="clear" w:color="auto" w:fill="auto"/>
            <w:vAlign w:val="center"/>
            <w:hideMark/>
          </w:tcPr>
          <w:p w14:paraId="07CBECAE" w14:textId="7274A1D4"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-55</w:t>
            </w:r>
            <w:r w:rsidR="00A40BB6" w:rsidRPr="000C156A">
              <w:rPr>
                <w:rFonts w:cs="Calibri"/>
                <w:color w:val="000000"/>
                <w:sz w:val="22"/>
                <w:szCs w:val="22"/>
                <w:lang w:eastAsia="en-GB"/>
              </w:rPr>
              <w:t xml:space="preserve"> </w:t>
            </w:r>
            <w:r w:rsidRPr="000C156A">
              <w:rPr>
                <w:rFonts w:cs="Calibri"/>
                <w:color w:val="000000"/>
                <w:sz w:val="22"/>
                <w:szCs w:val="22"/>
                <w:lang w:eastAsia="en-GB"/>
              </w:rPr>
              <w:t>166</w:t>
            </w:r>
          </w:p>
        </w:tc>
      </w:tr>
      <w:tr w:rsidR="009630A9" w:rsidRPr="000C156A" w14:paraId="7DE81F04" w14:textId="77777777" w:rsidTr="005D02F0">
        <w:trPr>
          <w:trHeight w:val="287"/>
          <w:jc w:val="center"/>
        </w:trPr>
        <w:tc>
          <w:tcPr>
            <w:tcW w:w="4108" w:type="dxa"/>
            <w:tcBorders>
              <w:top w:val="nil"/>
              <w:left w:val="single" w:sz="4" w:space="0" w:color="auto"/>
              <w:bottom w:val="single" w:sz="8" w:space="0" w:color="auto"/>
              <w:right w:val="single" w:sz="4" w:space="0" w:color="auto"/>
            </w:tcBorders>
            <w:vAlign w:val="center"/>
            <w:hideMark/>
          </w:tcPr>
          <w:p w14:paraId="790AD657" w14:textId="77777777" w:rsidR="009630A9" w:rsidRPr="000C156A" w:rsidRDefault="009630A9" w:rsidP="005D02F0">
            <w:pPr>
              <w:pStyle w:val="Tabletext"/>
              <w:spacing w:before="20" w:after="20"/>
              <w:rPr>
                <w:szCs w:val="22"/>
                <w:lang w:val="en-US" w:eastAsia="zh-CN"/>
              </w:rPr>
            </w:pPr>
            <w:r w:rsidRPr="000C156A">
              <w:rPr>
                <w:rFonts w:hint="eastAsia"/>
                <w:szCs w:val="22"/>
                <w:lang w:val="en-US" w:eastAsia="zh-CN"/>
              </w:rPr>
              <w:t>基金</w:t>
            </w:r>
            <w:r w:rsidRPr="000C156A">
              <w:rPr>
                <w:szCs w:val="22"/>
                <w:lang w:val="en-US" w:eastAsia="zh-CN"/>
              </w:rPr>
              <w:t>1010</w:t>
            </w:r>
            <w:r w:rsidRPr="000C156A">
              <w:rPr>
                <w:rFonts w:hint="eastAsia"/>
                <w:szCs w:val="22"/>
                <w:lang w:val="en-US" w:eastAsia="zh-CN"/>
              </w:rPr>
              <w:t>储备金的增加</w:t>
            </w:r>
          </w:p>
        </w:tc>
        <w:tc>
          <w:tcPr>
            <w:tcW w:w="1358" w:type="dxa"/>
            <w:tcBorders>
              <w:top w:val="nil"/>
              <w:left w:val="nil"/>
              <w:bottom w:val="single" w:sz="8" w:space="0" w:color="auto"/>
              <w:right w:val="single" w:sz="8" w:space="0" w:color="auto"/>
            </w:tcBorders>
            <w:shd w:val="clear" w:color="auto" w:fill="auto"/>
            <w:vAlign w:val="center"/>
            <w:hideMark/>
          </w:tcPr>
          <w:p w14:paraId="2FCDC423" w14:textId="3559E370"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w:t>
            </w:r>
            <w:r w:rsidR="00A40BB6" w:rsidRPr="000C156A">
              <w:rPr>
                <w:rFonts w:cs="Calibri"/>
                <w:color w:val="000000"/>
                <w:sz w:val="22"/>
                <w:szCs w:val="22"/>
                <w:lang w:eastAsia="en-GB"/>
              </w:rPr>
              <w:t xml:space="preserve"> </w:t>
            </w:r>
            <w:r w:rsidRPr="000C156A">
              <w:rPr>
                <w:rFonts w:cs="Calibri"/>
                <w:color w:val="000000"/>
                <w:sz w:val="22"/>
                <w:szCs w:val="22"/>
                <w:lang w:eastAsia="en-GB"/>
              </w:rPr>
              <w:t>799</w:t>
            </w:r>
          </w:p>
        </w:tc>
        <w:tc>
          <w:tcPr>
            <w:tcW w:w="1358" w:type="dxa"/>
            <w:tcBorders>
              <w:top w:val="nil"/>
              <w:left w:val="single" w:sz="4" w:space="0" w:color="auto"/>
              <w:bottom w:val="single" w:sz="8" w:space="0" w:color="auto"/>
              <w:right w:val="single" w:sz="4" w:space="0" w:color="auto"/>
            </w:tcBorders>
            <w:vAlign w:val="center"/>
            <w:hideMark/>
          </w:tcPr>
          <w:p w14:paraId="03EA485D"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8" w:type="dxa"/>
            <w:tcBorders>
              <w:top w:val="nil"/>
              <w:left w:val="single" w:sz="4" w:space="0" w:color="auto"/>
              <w:bottom w:val="single" w:sz="8" w:space="0" w:color="auto"/>
              <w:right w:val="single" w:sz="4" w:space="0" w:color="auto"/>
            </w:tcBorders>
            <w:vAlign w:val="center"/>
            <w:hideMark/>
          </w:tcPr>
          <w:p w14:paraId="4DE6BC80" w14:textId="77777777"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p>
        </w:tc>
        <w:tc>
          <w:tcPr>
            <w:tcW w:w="1359" w:type="dxa"/>
            <w:tcBorders>
              <w:top w:val="nil"/>
              <w:left w:val="nil"/>
              <w:bottom w:val="single" w:sz="8" w:space="0" w:color="auto"/>
              <w:right w:val="single" w:sz="8" w:space="0" w:color="auto"/>
            </w:tcBorders>
            <w:shd w:val="clear" w:color="auto" w:fill="auto"/>
            <w:vAlign w:val="center"/>
            <w:hideMark/>
          </w:tcPr>
          <w:p w14:paraId="27DA547E" w14:textId="746C4C21" w:rsidR="009630A9" w:rsidRPr="000C156A" w:rsidRDefault="009630A9" w:rsidP="005D02F0">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w:t>
            </w:r>
            <w:r w:rsidR="00A40BB6" w:rsidRPr="000C156A">
              <w:rPr>
                <w:rFonts w:cs="Calibri"/>
                <w:color w:val="000000"/>
                <w:sz w:val="22"/>
                <w:szCs w:val="22"/>
                <w:lang w:eastAsia="en-GB"/>
              </w:rPr>
              <w:t xml:space="preserve"> </w:t>
            </w:r>
            <w:r w:rsidRPr="000C156A">
              <w:rPr>
                <w:rFonts w:cs="Calibri"/>
                <w:color w:val="000000"/>
                <w:sz w:val="22"/>
                <w:szCs w:val="22"/>
                <w:lang w:eastAsia="en-GB"/>
              </w:rPr>
              <w:t>799</w:t>
            </w:r>
          </w:p>
        </w:tc>
      </w:tr>
      <w:tr w:rsidR="009630A9" w:rsidRPr="000C156A" w14:paraId="362302A1" w14:textId="77777777" w:rsidTr="005D02F0">
        <w:trPr>
          <w:trHeight w:val="276"/>
          <w:jc w:val="center"/>
        </w:trPr>
        <w:tc>
          <w:tcPr>
            <w:tcW w:w="4108" w:type="dxa"/>
            <w:tcBorders>
              <w:top w:val="single" w:sz="8" w:space="0" w:color="auto"/>
              <w:left w:val="single" w:sz="4" w:space="0" w:color="auto"/>
              <w:bottom w:val="single" w:sz="8" w:space="0" w:color="auto"/>
              <w:right w:val="single" w:sz="4" w:space="0" w:color="auto"/>
            </w:tcBorders>
            <w:vAlign w:val="center"/>
            <w:hideMark/>
          </w:tcPr>
          <w:p w14:paraId="4CFAD3F7" w14:textId="77777777" w:rsidR="009630A9" w:rsidRPr="000C156A" w:rsidRDefault="009630A9" w:rsidP="005D02F0">
            <w:pPr>
              <w:pStyle w:val="Tabletext"/>
              <w:spacing w:before="20" w:after="20"/>
              <w:rPr>
                <w:b/>
                <w:bCs/>
                <w:szCs w:val="22"/>
                <w:lang w:val="en-US" w:eastAsia="zh-CN"/>
              </w:rPr>
            </w:pPr>
            <w:r w:rsidRPr="000C156A">
              <w:rPr>
                <w:rFonts w:hint="eastAsia"/>
                <w:b/>
                <w:bCs/>
                <w:szCs w:val="22"/>
                <w:lang w:val="en-US" w:eastAsia="zh-CN"/>
              </w:rPr>
              <w:t>盈余合计</w:t>
            </w:r>
          </w:p>
        </w:tc>
        <w:tc>
          <w:tcPr>
            <w:tcW w:w="1358" w:type="dxa"/>
            <w:tcBorders>
              <w:top w:val="nil"/>
              <w:left w:val="nil"/>
              <w:bottom w:val="single" w:sz="8" w:space="0" w:color="auto"/>
              <w:right w:val="single" w:sz="8" w:space="0" w:color="auto"/>
            </w:tcBorders>
            <w:shd w:val="clear" w:color="auto" w:fill="auto"/>
            <w:vAlign w:val="center"/>
            <w:hideMark/>
          </w:tcPr>
          <w:p w14:paraId="4DA279C8" w14:textId="2CF070CE" w:rsidR="009630A9" w:rsidRPr="000C156A" w:rsidRDefault="009630A9"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-56</w:t>
            </w:r>
            <w:r w:rsidR="00A40BB6" w:rsidRPr="000C156A">
              <w:rPr>
                <w:rFonts w:cs="Calibri"/>
                <w:b/>
                <w:bCs/>
                <w:color w:val="000000"/>
                <w:sz w:val="22"/>
                <w:szCs w:val="22"/>
                <w:lang w:eastAsia="en-GB"/>
              </w:rPr>
              <w:t xml:space="preserve"> </w:t>
            </w:r>
            <w:r w:rsidRPr="000C156A">
              <w:rPr>
                <w:rFonts w:cs="Calibri"/>
                <w:b/>
                <w:bCs/>
                <w:color w:val="000000"/>
                <w:sz w:val="22"/>
                <w:szCs w:val="22"/>
                <w:lang w:eastAsia="en-GB"/>
              </w:rPr>
              <w:t>405</w:t>
            </w:r>
          </w:p>
        </w:tc>
        <w:tc>
          <w:tcPr>
            <w:tcW w:w="1358" w:type="dxa"/>
            <w:tcBorders>
              <w:top w:val="single" w:sz="8" w:space="0" w:color="auto"/>
              <w:left w:val="single" w:sz="4" w:space="0" w:color="auto"/>
              <w:bottom w:val="single" w:sz="8" w:space="0" w:color="auto"/>
              <w:right w:val="single" w:sz="8" w:space="0" w:color="auto"/>
            </w:tcBorders>
            <w:vAlign w:val="center"/>
            <w:hideMark/>
          </w:tcPr>
          <w:p w14:paraId="6D26B955" w14:textId="52634B6F" w:rsidR="009630A9" w:rsidRPr="000C156A" w:rsidRDefault="009630A9"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w:t>
            </w:r>
            <w:r w:rsidR="00A40BB6" w:rsidRPr="000C156A">
              <w:rPr>
                <w:rFonts w:cs="Calibri"/>
                <w:b/>
                <w:bCs/>
                <w:color w:val="000000"/>
                <w:sz w:val="22"/>
                <w:szCs w:val="22"/>
                <w:lang w:eastAsia="en-GB"/>
              </w:rPr>
              <w:t xml:space="preserve"> </w:t>
            </w:r>
            <w:r w:rsidRPr="000C156A">
              <w:rPr>
                <w:rFonts w:cs="Calibri" w:hint="eastAsia"/>
                <w:b/>
                <w:bCs/>
                <w:color w:val="000000"/>
                <w:sz w:val="22"/>
                <w:szCs w:val="22"/>
                <w:lang w:eastAsia="zh-CN"/>
              </w:rPr>
              <w:t>545</w:t>
            </w:r>
          </w:p>
        </w:tc>
        <w:tc>
          <w:tcPr>
            <w:tcW w:w="1358" w:type="dxa"/>
            <w:tcBorders>
              <w:top w:val="single" w:sz="8" w:space="0" w:color="auto"/>
              <w:left w:val="single" w:sz="8" w:space="0" w:color="auto"/>
              <w:bottom w:val="single" w:sz="8" w:space="0" w:color="auto"/>
              <w:right w:val="single" w:sz="8" w:space="0" w:color="auto"/>
            </w:tcBorders>
            <w:vAlign w:val="center"/>
            <w:hideMark/>
          </w:tcPr>
          <w:p w14:paraId="01A0DD41" w14:textId="48ED8746" w:rsidR="009630A9" w:rsidRPr="000C156A" w:rsidRDefault="009630A9"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w:t>
            </w:r>
            <w:r w:rsidR="00A40BB6" w:rsidRPr="000C156A">
              <w:rPr>
                <w:rFonts w:cs="Calibri"/>
                <w:b/>
                <w:bCs/>
                <w:color w:val="000000"/>
                <w:sz w:val="22"/>
                <w:szCs w:val="22"/>
                <w:lang w:eastAsia="en-GB"/>
              </w:rPr>
              <w:t xml:space="preserve"> </w:t>
            </w:r>
            <w:r w:rsidRPr="000C156A">
              <w:rPr>
                <w:rFonts w:cs="Calibri"/>
                <w:b/>
                <w:bCs/>
                <w:color w:val="000000"/>
                <w:sz w:val="22"/>
                <w:szCs w:val="22"/>
                <w:lang w:eastAsia="en-GB"/>
              </w:rPr>
              <w:t>493</w:t>
            </w:r>
          </w:p>
        </w:tc>
        <w:tc>
          <w:tcPr>
            <w:tcW w:w="13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54C555" w14:textId="4257FAB8" w:rsidR="009630A9" w:rsidRPr="000C156A" w:rsidRDefault="009630A9"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-53</w:t>
            </w:r>
            <w:r w:rsidR="00A40BB6" w:rsidRPr="000C156A">
              <w:rPr>
                <w:rFonts w:cs="Calibri"/>
                <w:b/>
                <w:bCs/>
                <w:color w:val="000000"/>
                <w:sz w:val="22"/>
                <w:szCs w:val="22"/>
                <w:lang w:eastAsia="en-GB"/>
              </w:rPr>
              <w:t xml:space="preserve"> </w:t>
            </w:r>
            <w:r w:rsidRPr="000C156A">
              <w:rPr>
                <w:rFonts w:cs="Calibri"/>
                <w:b/>
                <w:bCs/>
                <w:color w:val="000000"/>
                <w:sz w:val="22"/>
                <w:szCs w:val="22"/>
                <w:lang w:eastAsia="en-GB"/>
              </w:rPr>
              <w:t>367</w:t>
            </w:r>
          </w:p>
        </w:tc>
      </w:tr>
      <w:tr w:rsidR="009630A9" w:rsidRPr="000C156A" w14:paraId="3E3FC6BB" w14:textId="77777777" w:rsidTr="005D02F0">
        <w:trPr>
          <w:trHeight w:val="276"/>
          <w:jc w:val="center"/>
        </w:trPr>
        <w:tc>
          <w:tcPr>
            <w:tcW w:w="4108" w:type="dxa"/>
            <w:tcBorders>
              <w:top w:val="single" w:sz="8" w:space="0" w:color="auto"/>
              <w:left w:val="single" w:sz="4" w:space="0" w:color="auto"/>
              <w:bottom w:val="single" w:sz="8" w:space="0" w:color="auto"/>
              <w:right w:val="single" w:sz="4" w:space="0" w:color="auto"/>
            </w:tcBorders>
            <w:vAlign w:val="center"/>
            <w:hideMark/>
          </w:tcPr>
          <w:p w14:paraId="7828BB08" w14:textId="77777777" w:rsidR="009630A9" w:rsidRPr="000C156A" w:rsidRDefault="009630A9" w:rsidP="005D02F0">
            <w:pPr>
              <w:pStyle w:val="Tabletext"/>
              <w:spacing w:before="20" w:after="20"/>
              <w:rPr>
                <w:b/>
                <w:bCs/>
                <w:szCs w:val="22"/>
                <w:lang w:val="en-US" w:eastAsia="zh-CN"/>
              </w:rPr>
            </w:pPr>
            <w:r w:rsidRPr="000C156A">
              <w:rPr>
                <w:rFonts w:hint="eastAsia"/>
                <w:b/>
                <w:bCs/>
                <w:szCs w:val="22"/>
                <w:lang w:val="en-US" w:eastAsia="zh-CN"/>
              </w:rPr>
              <w:t>周边差额</w:t>
            </w:r>
          </w:p>
        </w:tc>
        <w:tc>
          <w:tcPr>
            <w:tcW w:w="1358" w:type="dxa"/>
            <w:tcBorders>
              <w:top w:val="nil"/>
              <w:left w:val="nil"/>
              <w:bottom w:val="single" w:sz="8" w:space="0" w:color="auto"/>
              <w:right w:val="single" w:sz="8" w:space="0" w:color="auto"/>
            </w:tcBorders>
            <w:shd w:val="clear" w:color="auto" w:fill="auto"/>
            <w:vAlign w:val="center"/>
            <w:hideMark/>
          </w:tcPr>
          <w:p w14:paraId="4D9C10A6" w14:textId="0B667B86" w:rsidR="009630A9" w:rsidRPr="000C156A" w:rsidRDefault="009630A9"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6</w:t>
            </w:r>
            <w:r w:rsidR="00A40BB6" w:rsidRPr="000C156A">
              <w:rPr>
                <w:rFonts w:cs="Calibri"/>
                <w:b/>
                <w:bCs/>
                <w:color w:val="000000"/>
                <w:sz w:val="22"/>
                <w:szCs w:val="22"/>
                <w:lang w:eastAsia="en-GB"/>
              </w:rPr>
              <w:t xml:space="preserve"> </w:t>
            </w:r>
            <w:r w:rsidRPr="000C156A">
              <w:rPr>
                <w:rFonts w:cs="Calibri"/>
                <w:b/>
                <w:bCs/>
                <w:color w:val="000000"/>
                <w:sz w:val="22"/>
                <w:szCs w:val="22"/>
                <w:lang w:eastAsia="en-GB"/>
              </w:rPr>
              <w:t>108</w:t>
            </w:r>
          </w:p>
        </w:tc>
        <w:tc>
          <w:tcPr>
            <w:tcW w:w="1358" w:type="dxa"/>
            <w:tcBorders>
              <w:top w:val="single" w:sz="8" w:space="0" w:color="auto"/>
              <w:left w:val="single" w:sz="4" w:space="0" w:color="auto"/>
              <w:bottom w:val="single" w:sz="8" w:space="0" w:color="auto"/>
              <w:right w:val="single" w:sz="8" w:space="0" w:color="auto"/>
            </w:tcBorders>
            <w:vAlign w:val="center"/>
            <w:hideMark/>
          </w:tcPr>
          <w:p w14:paraId="77379C20" w14:textId="77777777" w:rsidR="009630A9" w:rsidRPr="000C156A" w:rsidRDefault="009630A9" w:rsidP="005D02F0">
            <w:pPr>
              <w:overflowPunct/>
              <w:autoSpaceDE/>
              <w:autoSpaceDN/>
              <w:adjustRightInd/>
              <w:spacing w:before="0"/>
              <w:jc w:val="right"/>
              <w:textAlignment w:val="auto"/>
              <w:rPr>
                <w:rFonts w:cs="Calibri"/>
                <w:b/>
                <w:bCs/>
                <w:color w:val="000000"/>
                <w:sz w:val="22"/>
                <w:szCs w:val="22"/>
                <w:lang w:eastAsia="en-GB"/>
              </w:rPr>
            </w:pPr>
          </w:p>
        </w:tc>
        <w:tc>
          <w:tcPr>
            <w:tcW w:w="1358" w:type="dxa"/>
            <w:tcBorders>
              <w:top w:val="single" w:sz="8" w:space="0" w:color="auto"/>
              <w:left w:val="single" w:sz="8" w:space="0" w:color="auto"/>
              <w:bottom w:val="single" w:sz="8" w:space="0" w:color="auto"/>
              <w:right w:val="single" w:sz="8" w:space="0" w:color="auto"/>
            </w:tcBorders>
            <w:vAlign w:val="center"/>
            <w:hideMark/>
          </w:tcPr>
          <w:p w14:paraId="2B6D6014" w14:textId="77777777" w:rsidR="009630A9" w:rsidRPr="000C156A" w:rsidRDefault="009630A9" w:rsidP="005D02F0">
            <w:pPr>
              <w:overflowPunct/>
              <w:autoSpaceDE/>
              <w:autoSpaceDN/>
              <w:adjustRightInd/>
              <w:spacing w:before="0"/>
              <w:jc w:val="right"/>
              <w:textAlignment w:val="auto"/>
              <w:rPr>
                <w:rFonts w:cs="Calibri"/>
                <w:b/>
                <w:bCs/>
                <w:color w:val="000000"/>
                <w:sz w:val="22"/>
                <w:szCs w:val="22"/>
                <w:lang w:eastAsia="en-GB"/>
              </w:rPr>
            </w:pPr>
          </w:p>
        </w:tc>
        <w:tc>
          <w:tcPr>
            <w:tcW w:w="1359" w:type="dxa"/>
            <w:tcBorders>
              <w:top w:val="nil"/>
              <w:left w:val="single" w:sz="8" w:space="0" w:color="auto"/>
              <w:bottom w:val="single" w:sz="8" w:space="0" w:color="auto"/>
              <w:right w:val="single" w:sz="8" w:space="0" w:color="auto"/>
            </w:tcBorders>
            <w:shd w:val="clear" w:color="auto" w:fill="auto"/>
            <w:vAlign w:val="center"/>
            <w:hideMark/>
          </w:tcPr>
          <w:p w14:paraId="1E0B9AD6" w14:textId="349ACF15" w:rsidR="009630A9" w:rsidRPr="000C156A" w:rsidRDefault="009630A9"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6</w:t>
            </w:r>
            <w:r w:rsidR="00A40BB6" w:rsidRPr="000C156A">
              <w:rPr>
                <w:rFonts w:cs="Calibri"/>
                <w:b/>
                <w:bCs/>
                <w:color w:val="000000"/>
                <w:sz w:val="22"/>
                <w:szCs w:val="22"/>
                <w:lang w:eastAsia="en-GB"/>
              </w:rPr>
              <w:t xml:space="preserve"> </w:t>
            </w:r>
            <w:r w:rsidRPr="000C156A">
              <w:rPr>
                <w:rFonts w:cs="Calibri"/>
                <w:b/>
                <w:bCs/>
                <w:color w:val="000000"/>
                <w:sz w:val="22"/>
                <w:szCs w:val="22"/>
                <w:lang w:eastAsia="en-GB"/>
              </w:rPr>
              <w:t>108</w:t>
            </w:r>
          </w:p>
        </w:tc>
      </w:tr>
      <w:tr w:rsidR="009630A9" w:rsidRPr="000C156A" w14:paraId="5AC8CCB0" w14:textId="77777777" w:rsidTr="005D02F0">
        <w:trPr>
          <w:trHeight w:val="276"/>
          <w:jc w:val="center"/>
        </w:trPr>
        <w:tc>
          <w:tcPr>
            <w:tcW w:w="4108" w:type="dxa"/>
            <w:tcBorders>
              <w:top w:val="single" w:sz="8" w:space="0" w:color="auto"/>
              <w:left w:val="single" w:sz="4" w:space="0" w:color="auto"/>
              <w:bottom w:val="single" w:sz="4" w:space="0" w:color="auto"/>
              <w:right w:val="single" w:sz="4" w:space="0" w:color="auto"/>
            </w:tcBorders>
            <w:vAlign w:val="center"/>
            <w:hideMark/>
          </w:tcPr>
          <w:p w14:paraId="2FB7B63F" w14:textId="77777777" w:rsidR="009630A9" w:rsidRPr="000C156A" w:rsidRDefault="009630A9" w:rsidP="005D02F0">
            <w:pPr>
              <w:pStyle w:val="Tabletext"/>
              <w:spacing w:before="20" w:after="20"/>
              <w:rPr>
                <w:b/>
                <w:bCs/>
                <w:szCs w:val="22"/>
                <w:lang w:val="en-US" w:eastAsia="zh-CN"/>
              </w:rPr>
            </w:pPr>
            <w:r w:rsidRPr="000C156A">
              <w:rPr>
                <w:rFonts w:hint="eastAsia"/>
                <w:b/>
                <w:bCs/>
                <w:szCs w:val="22"/>
                <w:lang w:val="en-US" w:eastAsia="zh-CN"/>
              </w:rPr>
              <w:t>财务业绩报告中显示的盈余</w:t>
            </w:r>
          </w:p>
        </w:tc>
        <w:tc>
          <w:tcPr>
            <w:tcW w:w="1358" w:type="dxa"/>
            <w:tcBorders>
              <w:top w:val="nil"/>
              <w:left w:val="nil"/>
              <w:bottom w:val="single" w:sz="8" w:space="0" w:color="auto"/>
              <w:right w:val="single" w:sz="8" w:space="0" w:color="auto"/>
            </w:tcBorders>
            <w:shd w:val="clear" w:color="auto" w:fill="auto"/>
            <w:vAlign w:val="center"/>
            <w:hideMark/>
          </w:tcPr>
          <w:p w14:paraId="35D75F36" w14:textId="5A5E694C" w:rsidR="009630A9" w:rsidRPr="000C156A" w:rsidRDefault="009630A9"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-50</w:t>
            </w:r>
            <w:r w:rsidR="00A40BB6" w:rsidRPr="000C156A">
              <w:rPr>
                <w:rFonts w:cs="Calibri"/>
                <w:b/>
                <w:bCs/>
                <w:color w:val="000000"/>
                <w:sz w:val="22"/>
                <w:szCs w:val="22"/>
                <w:lang w:eastAsia="en-GB"/>
              </w:rPr>
              <w:t xml:space="preserve"> </w:t>
            </w:r>
            <w:r w:rsidRPr="000C156A">
              <w:rPr>
                <w:rFonts w:cs="Calibri"/>
                <w:b/>
                <w:bCs/>
                <w:color w:val="000000"/>
                <w:sz w:val="22"/>
                <w:szCs w:val="22"/>
                <w:lang w:eastAsia="en-GB"/>
              </w:rPr>
              <w:t>297</w:t>
            </w:r>
          </w:p>
        </w:tc>
        <w:tc>
          <w:tcPr>
            <w:tcW w:w="1358" w:type="dxa"/>
            <w:tcBorders>
              <w:top w:val="single" w:sz="8" w:space="0" w:color="auto"/>
              <w:left w:val="single" w:sz="4" w:space="0" w:color="auto"/>
              <w:bottom w:val="single" w:sz="8" w:space="0" w:color="auto"/>
              <w:right w:val="single" w:sz="8" w:space="0" w:color="auto"/>
            </w:tcBorders>
            <w:vAlign w:val="center"/>
            <w:hideMark/>
          </w:tcPr>
          <w:p w14:paraId="226C69AB" w14:textId="0CD8CDD9" w:rsidR="009630A9" w:rsidRPr="000C156A" w:rsidRDefault="009630A9"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w:t>
            </w:r>
            <w:r w:rsidR="00A40BB6" w:rsidRPr="000C156A">
              <w:rPr>
                <w:rFonts w:cs="Calibri"/>
                <w:b/>
                <w:bCs/>
                <w:color w:val="000000"/>
                <w:sz w:val="22"/>
                <w:szCs w:val="22"/>
                <w:lang w:eastAsia="en-GB"/>
              </w:rPr>
              <w:t xml:space="preserve"> </w:t>
            </w:r>
            <w:r w:rsidRPr="000C156A">
              <w:rPr>
                <w:rFonts w:cs="Calibri" w:hint="eastAsia"/>
                <w:b/>
                <w:bCs/>
                <w:color w:val="000000"/>
                <w:sz w:val="22"/>
                <w:szCs w:val="22"/>
                <w:lang w:eastAsia="zh-CN"/>
              </w:rPr>
              <w:t>545</w:t>
            </w:r>
          </w:p>
        </w:tc>
        <w:tc>
          <w:tcPr>
            <w:tcW w:w="1358" w:type="dxa"/>
            <w:tcBorders>
              <w:top w:val="single" w:sz="8" w:space="0" w:color="auto"/>
              <w:left w:val="single" w:sz="8" w:space="0" w:color="auto"/>
              <w:bottom w:val="single" w:sz="8" w:space="0" w:color="auto"/>
              <w:right w:val="single" w:sz="8" w:space="0" w:color="auto"/>
            </w:tcBorders>
            <w:vAlign w:val="center"/>
            <w:hideMark/>
          </w:tcPr>
          <w:p w14:paraId="341E90CD" w14:textId="47CA07FE" w:rsidR="009630A9" w:rsidRPr="000C156A" w:rsidRDefault="009630A9"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w:t>
            </w:r>
            <w:r w:rsidR="00A40BB6" w:rsidRPr="000C156A">
              <w:rPr>
                <w:rFonts w:cs="Calibri"/>
                <w:b/>
                <w:bCs/>
                <w:color w:val="000000"/>
                <w:sz w:val="22"/>
                <w:szCs w:val="22"/>
                <w:lang w:eastAsia="en-GB"/>
              </w:rPr>
              <w:t xml:space="preserve"> </w:t>
            </w:r>
            <w:r w:rsidRPr="000C156A">
              <w:rPr>
                <w:rFonts w:cs="Calibri"/>
                <w:b/>
                <w:bCs/>
                <w:color w:val="000000"/>
                <w:sz w:val="22"/>
                <w:szCs w:val="22"/>
                <w:lang w:eastAsia="en-GB"/>
              </w:rPr>
              <w:t>493</w:t>
            </w:r>
          </w:p>
        </w:tc>
        <w:tc>
          <w:tcPr>
            <w:tcW w:w="1359" w:type="dxa"/>
            <w:tcBorders>
              <w:top w:val="nil"/>
              <w:left w:val="single" w:sz="8" w:space="0" w:color="auto"/>
              <w:bottom w:val="single" w:sz="8" w:space="0" w:color="auto"/>
              <w:right w:val="single" w:sz="8" w:space="0" w:color="auto"/>
            </w:tcBorders>
            <w:shd w:val="clear" w:color="auto" w:fill="auto"/>
            <w:vAlign w:val="center"/>
            <w:hideMark/>
          </w:tcPr>
          <w:p w14:paraId="13A5CD7C" w14:textId="4BBD0CB0" w:rsidR="009630A9" w:rsidRPr="000C156A" w:rsidRDefault="009630A9" w:rsidP="005D02F0">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-47</w:t>
            </w:r>
            <w:r w:rsidR="00A40BB6" w:rsidRPr="000C156A">
              <w:rPr>
                <w:rFonts w:cs="Calibri"/>
                <w:b/>
                <w:bCs/>
                <w:color w:val="000000"/>
                <w:sz w:val="22"/>
                <w:szCs w:val="22"/>
                <w:lang w:eastAsia="en-GB"/>
              </w:rPr>
              <w:t xml:space="preserve"> </w:t>
            </w:r>
            <w:r w:rsidRPr="000C156A">
              <w:rPr>
                <w:rFonts w:cs="Calibri"/>
                <w:b/>
                <w:bCs/>
                <w:color w:val="000000"/>
                <w:sz w:val="22"/>
                <w:szCs w:val="22"/>
                <w:lang w:eastAsia="en-GB"/>
              </w:rPr>
              <w:t>259</w:t>
            </w:r>
          </w:p>
        </w:tc>
      </w:tr>
    </w:tbl>
    <w:p w14:paraId="64615014" w14:textId="77777777" w:rsidR="009630A9" w:rsidRPr="000C156A" w:rsidRDefault="009630A9" w:rsidP="009630A9">
      <w:pPr>
        <w:pStyle w:val="Heading1"/>
        <w:spacing w:before="240" w:after="120"/>
        <w:rPr>
          <w:sz w:val="24"/>
          <w:szCs w:val="24"/>
          <w:lang w:val="fr-FR"/>
        </w:rPr>
      </w:pPr>
      <w:bookmarkStart w:id="1019" w:name="_Toc482892588"/>
      <w:bookmarkStart w:id="1020" w:name="_Toc387089406"/>
      <w:bookmarkStart w:id="1021" w:name="_Toc329165811"/>
      <w:bookmarkStart w:id="1022" w:name="_Toc511817855"/>
      <w:bookmarkStart w:id="1023" w:name="_Toc520280755"/>
      <w:bookmarkStart w:id="1024" w:name="_Toc10536849"/>
      <w:bookmarkStart w:id="1025" w:name="_Toc41905901"/>
      <w:bookmarkStart w:id="1026" w:name="_Toc41906922"/>
      <w:bookmarkStart w:id="1027" w:name="_Toc41908071"/>
      <w:bookmarkStart w:id="1028" w:name="_Toc73518729"/>
      <w:bookmarkStart w:id="1029" w:name="_Toc73518876"/>
      <w:bookmarkStart w:id="1030" w:name="_Toc73519276"/>
      <w:bookmarkStart w:id="1031" w:name="_Toc73636315"/>
      <w:bookmarkStart w:id="1032" w:name="_Toc329011661"/>
      <w:bookmarkStart w:id="1033" w:name="_Toc305764119"/>
      <w:r w:rsidRPr="000C156A">
        <w:rPr>
          <w:rFonts w:cs="Microsoft YaHei" w:hint="eastAsia"/>
          <w:sz w:val="24"/>
          <w:szCs w:val="24"/>
          <w:lang w:val="fr-FR"/>
        </w:rPr>
        <w:t>说明</w:t>
      </w:r>
      <w:r w:rsidRPr="000C156A">
        <w:rPr>
          <w:sz w:val="24"/>
          <w:szCs w:val="24"/>
          <w:lang w:val="fr-FR"/>
        </w:rPr>
        <w:t>27</w:t>
      </w:r>
      <w:r w:rsidRPr="000C156A">
        <w:rPr>
          <w:sz w:val="24"/>
          <w:szCs w:val="24"/>
          <w:lang w:val="fr-FR"/>
        </w:rPr>
        <w:tab/>
      </w:r>
      <w:r w:rsidRPr="000C156A">
        <w:rPr>
          <w:rFonts w:cs="Microsoft YaHei" w:hint="eastAsia"/>
          <w:sz w:val="24"/>
          <w:szCs w:val="24"/>
          <w:lang w:val="fr-FR"/>
        </w:rPr>
        <w:t>相关方的披露</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044A0ECC" w14:textId="77777777" w:rsidR="009630A9" w:rsidRPr="000C156A" w:rsidRDefault="009630A9" w:rsidP="009630A9">
      <w:pPr>
        <w:ind w:firstLineChars="200" w:firstLine="480"/>
        <w:rPr>
          <w:lang w:val="fr-FR" w:eastAsia="zh-CN"/>
        </w:rPr>
      </w:pPr>
      <w:r w:rsidRPr="000C156A">
        <w:rPr>
          <w:rFonts w:hint="eastAsia"/>
          <w:lang w:eastAsia="zh-CN"/>
        </w:rPr>
        <w:t>下述实体被视作相关方</w:t>
      </w:r>
      <w:r w:rsidRPr="000C156A">
        <w:rPr>
          <w:rFonts w:hint="eastAsia"/>
          <w:lang w:val="fr-FR" w:eastAsia="zh-CN"/>
        </w:rPr>
        <w:t>：</w:t>
      </w:r>
    </w:p>
    <w:p w14:paraId="2826616E" w14:textId="77777777" w:rsidR="009630A9" w:rsidRPr="000C156A" w:rsidRDefault="009630A9" w:rsidP="009630A9">
      <w:pPr>
        <w:pStyle w:val="enumlev1"/>
        <w:rPr>
          <w:lang w:val="fr-FR" w:eastAsia="zh-CN"/>
        </w:rPr>
      </w:pPr>
      <w:r w:rsidRPr="000C156A">
        <w:rPr>
          <w:lang w:val="fr-FR" w:eastAsia="zh-CN"/>
        </w:rPr>
        <w:t>–</w:t>
      </w:r>
      <w:r w:rsidRPr="000C156A">
        <w:rPr>
          <w:lang w:val="fr-FR" w:eastAsia="zh-CN"/>
        </w:rPr>
        <w:tab/>
      </w:r>
      <w:r w:rsidRPr="000C156A">
        <w:rPr>
          <w:rFonts w:hint="eastAsia"/>
          <w:lang w:eastAsia="zh-CN"/>
        </w:rPr>
        <w:t>联合国合办职员养恤基金</w:t>
      </w:r>
      <w:r w:rsidRPr="000C156A">
        <w:rPr>
          <w:rFonts w:hint="eastAsia"/>
          <w:lang w:val="fr-FR" w:eastAsia="zh-CN"/>
        </w:rPr>
        <w:t>（</w:t>
      </w:r>
      <w:r w:rsidRPr="000C156A">
        <w:rPr>
          <w:lang w:val="fr-FR" w:eastAsia="zh-CN"/>
        </w:rPr>
        <w:t>UNJSPF</w:t>
      </w:r>
      <w:r w:rsidRPr="000C156A">
        <w:rPr>
          <w:rFonts w:hint="eastAsia"/>
          <w:lang w:val="fr-FR" w:eastAsia="zh-CN"/>
        </w:rPr>
        <w:t>）</w:t>
      </w:r>
      <w:r w:rsidRPr="000C156A">
        <w:rPr>
          <w:rFonts w:hint="eastAsia"/>
          <w:lang w:eastAsia="zh-CN"/>
        </w:rPr>
        <w:t>。</w:t>
      </w:r>
    </w:p>
    <w:p w14:paraId="63749113" w14:textId="77777777" w:rsidR="009630A9" w:rsidRPr="000C156A" w:rsidRDefault="009630A9" w:rsidP="009630A9">
      <w:pPr>
        <w:ind w:firstLineChars="200" w:firstLine="480"/>
        <w:rPr>
          <w:lang w:val="fr-FR" w:eastAsia="zh-CN"/>
        </w:rPr>
      </w:pPr>
      <w:r w:rsidRPr="000C156A">
        <w:rPr>
          <w:rFonts w:hint="eastAsia"/>
          <w:lang w:eastAsia="zh-CN"/>
        </w:rPr>
        <w:t>国际电联理事会由</w:t>
      </w:r>
      <w:r w:rsidRPr="000C156A">
        <w:rPr>
          <w:lang w:val="fr-FR" w:eastAsia="zh-CN"/>
        </w:rPr>
        <w:t>48</w:t>
      </w:r>
      <w:r w:rsidRPr="000C156A">
        <w:rPr>
          <w:rFonts w:hint="eastAsia"/>
          <w:lang w:eastAsia="zh-CN"/>
        </w:rPr>
        <w:t>个成员国组成</w:t>
      </w:r>
      <w:r w:rsidRPr="000C156A">
        <w:rPr>
          <w:rFonts w:hint="eastAsia"/>
          <w:lang w:val="fr-FR" w:eastAsia="zh-CN"/>
        </w:rPr>
        <w:t>，</w:t>
      </w:r>
      <w:r w:rsidRPr="000C156A">
        <w:rPr>
          <w:rFonts w:hint="eastAsia"/>
          <w:lang w:eastAsia="zh-CN"/>
        </w:rPr>
        <w:t>未指定具体个人为代表。</w:t>
      </w:r>
    </w:p>
    <w:p w14:paraId="09EE771F" w14:textId="77777777" w:rsidR="009630A9" w:rsidRPr="000C156A" w:rsidRDefault="009630A9" w:rsidP="009630A9">
      <w:pPr>
        <w:ind w:firstLineChars="200" w:firstLine="480"/>
        <w:rPr>
          <w:lang w:eastAsia="zh-CN"/>
        </w:rPr>
      </w:pPr>
      <w:r w:rsidRPr="000C156A">
        <w:rPr>
          <w:rFonts w:hint="eastAsia"/>
          <w:lang w:eastAsia="zh-CN"/>
        </w:rPr>
        <w:t>国际电联由秘书长作为执行长官负责管理</w:t>
      </w:r>
      <w:r w:rsidRPr="000C156A">
        <w:rPr>
          <w:rFonts w:hint="eastAsia"/>
          <w:lang w:val="fr-FR" w:eastAsia="zh-CN"/>
        </w:rPr>
        <w:t>，</w:t>
      </w:r>
      <w:r w:rsidRPr="000C156A">
        <w:rPr>
          <w:rFonts w:hint="eastAsia"/>
          <w:lang w:eastAsia="zh-CN"/>
        </w:rPr>
        <w:t>并由副秘书长及国际电联三个部门的主任</w:t>
      </w:r>
      <w:r w:rsidRPr="000C156A">
        <w:rPr>
          <w:rFonts w:hint="eastAsia"/>
          <w:lang w:val="fr-FR" w:eastAsia="zh-CN"/>
        </w:rPr>
        <w:t>（</w:t>
      </w:r>
      <w:r w:rsidRPr="000C156A">
        <w:rPr>
          <w:rFonts w:hint="eastAsia"/>
          <w:lang w:eastAsia="zh-CN"/>
        </w:rPr>
        <w:t>组成协调委员会的高级官员</w:t>
      </w:r>
      <w:r w:rsidRPr="000C156A">
        <w:rPr>
          <w:rFonts w:hint="eastAsia"/>
          <w:lang w:val="fr-FR" w:eastAsia="zh-CN"/>
        </w:rPr>
        <w:t>）</w:t>
      </w:r>
      <w:r w:rsidRPr="000C156A">
        <w:rPr>
          <w:rFonts w:hint="eastAsia"/>
          <w:lang w:eastAsia="zh-CN"/>
        </w:rPr>
        <w:t>协助管理。三个部门分别为：无线电通信部门（</w:t>
      </w:r>
      <w:r w:rsidRPr="000C156A">
        <w:rPr>
          <w:lang w:eastAsia="zh-CN"/>
        </w:rPr>
        <w:t>ITU-R</w:t>
      </w:r>
      <w:r w:rsidRPr="000C156A">
        <w:rPr>
          <w:rFonts w:hint="eastAsia"/>
          <w:lang w:eastAsia="zh-CN"/>
        </w:rPr>
        <w:t>）、电信标准化部门（</w:t>
      </w:r>
      <w:r w:rsidRPr="000C156A">
        <w:rPr>
          <w:lang w:eastAsia="zh-CN"/>
        </w:rPr>
        <w:t>ITU-T</w:t>
      </w:r>
      <w:r w:rsidRPr="000C156A">
        <w:rPr>
          <w:rFonts w:hint="eastAsia"/>
          <w:lang w:eastAsia="zh-CN"/>
        </w:rPr>
        <w:t>）和电信发展部门（</w:t>
      </w:r>
      <w:r w:rsidRPr="000C156A">
        <w:rPr>
          <w:lang w:eastAsia="zh-CN"/>
        </w:rPr>
        <w:t>ITU-D</w:t>
      </w:r>
      <w:r w:rsidRPr="000C156A">
        <w:rPr>
          <w:rFonts w:hint="eastAsia"/>
          <w:lang w:eastAsia="zh-CN"/>
        </w:rPr>
        <w:t>），五位选任官员的工作得到四位</w:t>
      </w:r>
      <w:r w:rsidRPr="000C156A">
        <w:rPr>
          <w:lang w:eastAsia="zh-CN"/>
        </w:rPr>
        <w:t>D2</w:t>
      </w:r>
      <w:r w:rsidRPr="000C156A">
        <w:rPr>
          <w:rFonts w:hint="eastAsia"/>
          <w:lang w:eastAsia="zh-CN"/>
        </w:rPr>
        <w:t>级高官以及其它</w:t>
      </w:r>
      <w:r w:rsidRPr="000C156A">
        <w:rPr>
          <w:rFonts w:hint="eastAsia"/>
          <w:lang w:eastAsia="zh-CN"/>
        </w:rPr>
        <w:t>20</w:t>
      </w:r>
      <w:r w:rsidRPr="000C156A">
        <w:rPr>
          <w:rFonts w:hint="eastAsia"/>
          <w:lang w:eastAsia="zh-CN"/>
        </w:rPr>
        <w:t>位</w:t>
      </w:r>
      <w:r w:rsidRPr="000C156A">
        <w:rPr>
          <w:lang w:eastAsia="zh-CN"/>
        </w:rPr>
        <w:t>D1</w:t>
      </w:r>
      <w:r w:rsidRPr="000C156A">
        <w:rPr>
          <w:rFonts w:hint="eastAsia"/>
          <w:lang w:eastAsia="zh-CN"/>
        </w:rPr>
        <w:t>级管理层官员（部门负责人或处长）的辅佐。</w:t>
      </w:r>
    </w:p>
    <w:p w14:paraId="1C5CA559" w14:textId="77777777" w:rsidR="009630A9" w:rsidRPr="000C156A" w:rsidRDefault="009630A9" w:rsidP="009630A9">
      <w:pPr>
        <w:ind w:firstLineChars="200" w:firstLine="480"/>
        <w:rPr>
          <w:lang w:eastAsia="zh-CN"/>
        </w:rPr>
      </w:pPr>
      <w:r w:rsidRPr="000C156A">
        <w:rPr>
          <w:rFonts w:hint="eastAsia"/>
          <w:lang w:eastAsia="zh-CN"/>
        </w:rPr>
        <w:lastRenderedPageBreak/>
        <w:t>向核心管理层官员支付的全部薪酬包括：基本工资、任职地点补贴调整数以及交际费、安置津贴、离任归国补助金、积存年假、住房补贴和个人财物的运送等各项补贴。</w:t>
      </w:r>
    </w:p>
    <w:p w14:paraId="29400CF1" w14:textId="77777777" w:rsidR="009630A9" w:rsidRPr="000C156A" w:rsidRDefault="009630A9" w:rsidP="009630A9">
      <w:pPr>
        <w:ind w:firstLineChars="200" w:firstLine="480"/>
        <w:rPr>
          <w:lang w:eastAsia="zh-CN"/>
        </w:rPr>
      </w:pPr>
      <w:r w:rsidRPr="000C156A">
        <w:rPr>
          <w:rFonts w:hint="eastAsia"/>
          <w:lang w:eastAsia="zh-CN"/>
        </w:rPr>
        <w:t>此外，核心管理层官员还享有与专业类职员相同的福利，即：</w:t>
      </w:r>
    </w:p>
    <w:p w14:paraId="193D4994" w14:textId="77777777" w:rsidR="009630A9" w:rsidRPr="000C156A" w:rsidRDefault="009630A9" w:rsidP="009630A9">
      <w:pPr>
        <w:pStyle w:val="enumlev1"/>
        <w:rPr>
          <w:lang w:eastAsia="zh-CN"/>
        </w:rPr>
      </w:pPr>
      <w:r w:rsidRPr="000C156A">
        <w:rPr>
          <w:lang w:eastAsia="zh-CN"/>
        </w:rPr>
        <w:t>–</w:t>
      </w:r>
      <w:r w:rsidRPr="000C156A">
        <w:rPr>
          <w:lang w:eastAsia="zh-CN"/>
        </w:rPr>
        <w:tab/>
      </w:r>
      <w:r w:rsidRPr="000C156A">
        <w:rPr>
          <w:rFonts w:hint="eastAsia"/>
          <w:lang w:eastAsia="zh-CN"/>
        </w:rPr>
        <w:t>归国探亲假；</w:t>
      </w:r>
    </w:p>
    <w:p w14:paraId="5F3C65F1" w14:textId="77777777" w:rsidR="009630A9" w:rsidRPr="000C156A" w:rsidRDefault="009630A9" w:rsidP="009630A9">
      <w:pPr>
        <w:pStyle w:val="enumlev1"/>
        <w:rPr>
          <w:lang w:eastAsia="zh-CN"/>
        </w:rPr>
      </w:pPr>
      <w:r w:rsidRPr="000C156A">
        <w:rPr>
          <w:lang w:eastAsia="zh-CN"/>
        </w:rPr>
        <w:t>–</w:t>
      </w:r>
      <w:r w:rsidRPr="000C156A">
        <w:rPr>
          <w:lang w:eastAsia="zh-CN"/>
        </w:rPr>
        <w:tab/>
      </w:r>
      <w:r w:rsidRPr="000C156A">
        <w:rPr>
          <w:rFonts w:hint="eastAsia"/>
          <w:lang w:eastAsia="zh-CN"/>
        </w:rPr>
        <w:t>教育补助金；</w:t>
      </w:r>
    </w:p>
    <w:p w14:paraId="2B1FAAB7" w14:textId="77777777" w:rsidR="009630A9" w:rsidRPr="000C156A" w:rsidRDefault="009630A9" w:rsidP="009630A9">
      <w:pPr>
        <w:pStyle w:val="enumlev1"/>
        <w:rPr>
          <w:lang w:eastAsia="zh-CN"/>
        </w:rPr>
      </w:pPr>
      <w:r w:rsidRPr="000C156A">
        <w:rPr>
          <w:lang w:eastAsia="zh-CN"/>
        </w:rPr>
        <w:t>–</w:t>
      </w:r>
      <w:r w:rsidRPr="000C156A">
        <w:rPr>
          <w:lang w:eastAsia="zh-CN"/>
        </w:rPr>
        <w:tab/>
      </w:r>
      <w:r w:rsidRPr="000C156A">
        <w:rPr>
          <w:rFonts w:hint="eastAsia"/>
          <w:lang w:eastAsia="zh-CN"/>
        </w:rPr>
        <w:t>离职后福利。</w:t>
      </w:r>
    </w:p>
    <w:p w14:paraId="78E4F1FD" w14:textId="77777777" w:rsidR="009630A9" w:rsidRPr="000C156A" w:rsidRDefault="009630A9" w:rsidP="009630A9">
      <w:pPr>
        <w:ind w:firstLineChars="200" w:firstLine="480"/>
        <w:rPr>
          <w:lang w:eastAsia="zh-CN"/>
        </w:rPr>
      </w:pPr>
      <w:r w:rsidRPr="000C156A">
        <w:rPr>
          <w:rFonts w:hint="eastAsia"/>
          <w:lang w:eastAsia="zh-CN"/>
        </w:rPr>
        <w:t>这些福利无法以可靠方式单独量化。</w:t>
      </w:r>
    </w:p>
    <w:p w14:paraId="02246A01" w14:textId="77777777" w:rsidR="009630A9" w:rsidRPr="000C156A" w:rsidRDefault="009630A9" w:rsidP="00655EA9">
      <w:pPr>
        <w:spacing w:after="240"/>
        <w:ind w:firstLineChars="200" w:firstLine="480"/>
        <w:rPr>
          <w:lang w:eastAsia="zh-CN"/>
        </w:rPr>
      </w:pPr>
      <w:r w:rsidRPr="000C156A">
        <w:rPr>
          <w:rFonts w:hint="eastAsia"/>
          <w:lang w:eastAsia="zh-CN"/>
        </w:rPr>
        <w:t>核心管理层官员均为联合国合办职员养恤基金的普通参加者。</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29"/>
        <w:gridCol w:w="1162"/>
        <w:gridCol w:w="1457"/>
        <w:gridCol w:w="1200"/>
        <w:gridCol w:w="1457"/>
      </w:tblGrid>
      <w:tr w:rsidR="009630A9" w:rsidRPr="000C156A" w14:paraId="31A57719" w14:textId="77777777" w:rsidTr="005D02F0">
        <w:trPr>
          <w:jc w:val="center"/>
        </w:trPr>
        <w:tc>
          <w:tcPr>
            <w:tcW w:w="4329" w:type="dxa"/>
            <w:tcBorders>
              <w:top w:val="single" w:sz="4" w:space="0" w:color="auto"/>
              <w:left w:val="single" w:sz="4" w:space="0" w:color="auto"/>
              <w:bottom w:val="nil"/>
              <w:right w:val="single" w:sz="4" w:space="0" w:color="auto"/>
            </w:tcBorders>
          </w:tcPr>
          <w:p w14:paraId="4A035BD7" w14:textId="77777777" w:rsidR="009630A9" w:rsidRPr="000C156A" w:rsidRDefault="009630A9" w:rsidP="005D02F0">
            <w:pPr>
              <w:pStyle w:val="Tabletext"/>
              <w:spacing w:before="20" w:after="20"/>
              <w:rPr>
                <w:b/>
                <w:bCs/>
                <w:szCs w:val="22"/>
                <w:lang w:val="en-US" w:eastAsia="zh-CN"/>
              </w:rPr>
            </w:pPr>
          </w:p>
        </w:tc>
        <w:tc>
          <w:tcPr>
            <w:tcW w:w="2619" w:type="dxa"/>
            <w:gridSpan w:val="2"/>
            <w:tcBorders>
              <w:top w:val="single" w:sz="4" w:space="0" w:color="auto"/>
              <w:left w:val="single" w:sz="4" w:space="0" w:color="auto"/>
              <w:bottom w:val="nil"/>
              <w:right w:val="single" w:sz="4" w:space="0" w:color="auto"/>
            </w:tcBorders>
            <w:hideMark/>
          </w:tcPr>
          <w:p w14:paraId="7DE718C7" w14:textId="77777777" w:rsidR="009630A9" w:rsidRPr="000C156A" w:rsidRDefault="009630A9" w:rsidP="005D02F0">
            <w:pPr>
              <w:pStyle w:val="Tabletext"/>
              <w:spacing w:before="20" w:after="20"/>
              <w:jc w:val="center"/>
              <w:rPr>
                <w:b/>
                <w:bCs/>
                <w:szCs w:val="22"/>
                <w:lang w:val="en-US"/>
              </w:rPr>
            </w:pPr>
            <w:r w:rsidRPr="000C156A">
              <w:rPr>
                <w:b/>
                <w:bCs/>
                <w:szCs w:val="22"/>
                <w:lang w:val="en-US"/>
              </w:rPr>
              <w:t>20</w:t>
            </w:r>
            <w:r w:rsidRPr="000C156A">
              <w:rPr>
                <w:rFonts w:hint="eastAsia"/>
                <w:b/>
                <w:bCs/>
                <w:szCs w:val="22"/>
                <w:lang w:val="en-US" w:eastAsia="zh-CN"/>
              </w:rPr>
              <w:t>20</w:t>
            </w:r>
            <w:r w:rsidRPr="000C156A">
              <w:rPr>
                <w:rFonts w:ascii="SimSun" w:hAnsi="SimSun" w:cs="SimSun" w:hint="eastAsia"/>
                <w:b/>
                <w:bCs/>
                <w:szCs w:val="22"/>
                <w:lang w:val="en-US"/>
              </w:rPr>
              <w:t>年</w:t>
            </w:r>
            <w:r w:rsidRPr="000C156A">
              <w:rPr>
                <w:b/>
                <w:bCs/>
                <w:szCs w:val="22"/>
                <w:lang w:val="en-US"/>
              </w:rPr>
              <w:t>12</w:t>
            </w:r>
            <w:r w:rsidRPr="000C156A">
              <w:rPr>
                <w:rFonts w:ascii="SimSun" w:hAnsi="SimSun" w:cs="SimSun" w:hint="eastAsia"/>
                <w:b/>
                <w:bCs/>
                <w:szCs w:val="22"/>
                <w:lang w:val="en-US"/>
              </w:rPr>
              <w:t>月</w:t>
            </w:r>
            <w:r w:rsidRPr="000C156A">
              <w:rPr>
                <w:b/>
                <w:bCs/>
                <w:szCs w:val="22"/>
                <w:lang w:val="en-US"/>
              </w:rPr>
              <w:t>31</w:t>
            </w:r>
            <w:r w:rsidRPr="000C156A">
              <w:rPr>
                <w:rFonts w:ascii="SimSun" w:hAnsi="SimSun" w:cs="SimSun" w:hint="eastAsia"/>
                <w:b/>
                <w:bCs/>
                <w:szCs w:val="22"/>
                <w:lang w:val="en-US"/>
              </w:rPr>
              <w:t>日</w:t>
            </w:r>
          </w:p>
        </w:tc>
        <w:tc>
          <w:tcPr>
            <w:tcW w:w="2657" w:type="dxa"/>
            <w:gridSpan w:val="2"/>
            <w:tcBorders>
              <w:top w:val="single" w:sz="4" w:space="0" w:color="auto"/>
              <w:left w:val="single" w:sz="4" w:space="0" w:color="auto"/>
              <w:bottom w:val="nil"/>
              <w:right w:val="single" w:sz="4" w:space="0" w:color="auto"/>
            </w:tcBorders>
            <w:hideMark/>
          </w:tcPr>
          <w:p w14:paraId="25AE7AB0" w14:textId="77777777" w:rsidR="009630A9" w:rsidRPr="000C156A" w:rsidRDefault="009630A9" w:rsidP="005D02F0">
            <w:pPr>
              <w:pStyle w:val="Tabletext"/>
              <w:spacing w:before="20" w:after="20"/>
              <w:jc w:val="center"/>
              <w:rPr>
                <w:b/>
                <w:bCs/>
                <w:szCs w:val="22"/>
                <w:lang w:val="en-US"/>
              </w:rPr>
            </w:pPr>
            <w:r w:rsidRPr="000C156A">
              <w:rPr>
                <w:b/>
                <w:bCs/>
                <w:szCs w:val="22"/>
                <w:lang w:val="en-US"/>
              </w:rPr>
              <w:t>201</w:t>
            </w:r>
            <w:r w:rsidRPr="000C156A">
              <w:rPr>
                <w:rFonts w:hint="eastAsia"/>
                <w:b/>
                <w:bCs/>
                <w:szCs w:val="22"/>
                <w:lang w:val="en-US" w:eastAsia="zh-CN"/>
              </w:rPr>
              <w:t>9</w:t>
            </w:r>
            <w:r w:rsidRPr="000C156A">
              <w:rPr>
                <w:rFonts w:ascii="SimSun" w:hAnsi="SimSun" w:cs="SimSun" w:hint="eastAsia"/>
                <w:b/>
                <w:bCs/>
                <w:szCs w:val="22"/>
                <w:lang w:val="en-US"/>
              </w:rPr>
              <w:t>年</w:t>
            </w:r>
            <w:r w:rsidRPr="000C156A">
              <w:rPr>
                <w:b/>
                <w:bCs/>
                <w:szCs w:val="22"/>
                <w:lang w:val="en-US"/>
              </w:rPr>
              <w:t>12</w:t>
            </w:r>
            <w:r w:rsidRPr="000C156A">
              <w:rPr>
                <w:rFonts w:ascii="SimSun" w:hAnsi="SimSun" w:cs="SimSun" w:hint="eastAsia"/>
                <w:b/>
                <w:bCs/>
                <w:szCs w:val="22"/>
                <w:lang w:val="en-US"/>
              </w:rPr>
              <w:t>月</w:t>
            </w:r>
            <w:r w:rsidRPr="000C156A">
              <w:rPr>
                <w:b/>
                <w:bCs/>
                <w:szCs w:val="22"/>
                <w:lang w:val="en-US"/>
              </w:rPr>
              <w:t>31</w:t>
            </w:r>
            <w:r w:rsidRPr="000C156A">
              <w:rPr>
                <w:rFonts w:ascii="SimSun" w:hAnsi="SimSun" w:cs="SimSun" w:hint="eastAsia"/>
                <w:b/>
                <w:bCs/>
                <w:szCs w:val="22"/>
                <w:lang w:val="en-US"/>
              </w:rPr>
              <w:t>日</w:t>
            </w:r>
          </w:p>
        </w:tc>
      </w:tr>
      <w:tr w:rsidR="009630A9" w:rsidRPr="000C156A" w14:paraId="0693340E" w14:textId="77777777" w:rsidTr="005D02F0">
        <w:trPr>
          <w:jc w:val="center"/>
        </w:trPr>
        <w:tc>
          <w:tcPr>
            <w:tcW w:w="4329" w:type="dxa"/>
            <w:tcBorders>
              <w:top w:val="nil"/>
              <w:left w:val="single" w:sz="4" w:space="0" w:color="auto"/>
              <w:bottom w:val="single" w:sz="8" w:space="0" w:color="auto"/>
              <w:right w:val="single" w:sz="4" w:space="0" w:color="auto"/>
            </w:tcBorders>
            <w:hideMark/>
          </w:tcPr>
          <w:p w14:paraId="33D6C6A9" w14:textId="77777777" w:rsidR="009630A9" w:rsidRPr="000C156A" w:rsidRDefault="009630A9" w:rsidP="005D02F0">
            <w:pPr>
              <w:pStyle w:val="Tabletext"/>
              <w:spacing w:before="20" w:after="20"/>
              <w:rPr>
                <w:szCs w:val="22"/>
                <w:lang w:val="en-US"/>
              </w:rPr>
            </w:pPr>
            <w:r w:rsidRPr="000C156A">
              <w:rPr>
                <w:rFonts w:ascii="SimSun" w:hAnsi="SimSun" w:cs="SimSun" w:hint="eastAsia"/>
                <w:b/>
                <w:bCs/>
                <w:szCs w:val="22"/>
                <w:lang w:val="en-US"/>
              </w:rPr>
              <w:t>单位：千瑞郎</w:t>
            </w:r>
          </w:p>
        </w:tc>
        <w:tc>
          <w:tcPr>
            <w:tcW w:w="1162" w:type="dxa"/>
            <w:tcBorders>
              <w:top w:val="nil"/>
              <w:left w:val="single" w:sz="4" w:space="0" w:color="auto"/>
              <w:bottom w:val="single" w:sz="8" w:space="0" w:color="auto"/>
              <w:right w:val="nil"/>
            </w:tcBorders>
            <w:hideMark/>
          </w:tcPr>
          <w:p w14:paraId="51900D4C" w14:textId="77777777" w:rsidR="009630A9" w:rsidRPr="000C156A" w:rsidRDefault="009630A9" w:rsidP="005D02F0">
            <w:pPr>
              <w:pStyle w:val="Tabletext"/>
              <w:spacing w:before="20" w:after="20"/>
              <w:jc w:val="center"/>
              <w:rPr>
                <w:b/>
                <w:bCs/>
                <w:szCs w:val="22"/>
                <w:lang w:val="en-US"/>
              </w:rPr>
            </w:pPr>
            <w:r w:rsidRPr="000C156A">
              <w:rPr>
                <w:rFonts w:hint="eastAsia"/>
                <w:b/>
                <w:bCs/>
                <w:szCs w:val="22"/>
                <w:lang w:val="en-US"/>
              </w:rPr>
              <w:t>人数</w:t>
            </w:r>
          </w:p>
        </w:tc>
        <w:tc>
          <w:tcPr>
            <w:tcW w:w="1457" w:type="dxa"/>
            <w:tcBorders>
              <w:top w:val="nil"/>
              <w:left w:val="nil"/>
              <w:bottom w:val="single" w:sz="8" w:space="0" w:color="auto"/>
              <w:right w:val="single" w:sz="4" w:space="0" w:color="auto"/>
            </w:tcBorders>
            <w:hideMark/>
          </w:tcPr>
          <w:p w14:paraId="1E5AF687" w14:textId="77777777" w:rsidR="009630A9" w:rsidRPr="000C156A" w:rsidRDefault="009630A9" w:rsidP="005D02F0">
            <w:pPr>
              <w:pStyle w:val="Tabletext"/>
              <w:spacing w:before="20" w:after="20"/>
              <w:jc w:val="center"/>
              <w:rPr>
                <w:b/>
                <w:bCs/>
                <w:szCs w:val="22"/>
                <w:lang w:val="en-US"/>
              </w:rPr>
            </w:pPr>
            <w:r w:rsidRPr="000C156A">
              <w:rPr>
                <w:rFonts w:hint="eastAsia"/>
                <w:b/>
                <w:bCs/>
                <w:szCs w:val="22"/>
                <w:lang w:val="en-US"/>
              </w:rPr>
              <w:t>总薪酬</w:t>
            </w:r>
          </w:p>
        </w:tc>
        <w:tc>
          <w:tcPr>
            <w:tcW w:w="1200" w:type="dxa"/>
            <w:tcBorders>
              <w:top w:val="nil"/>
              <w:left w:val="single" w:sz="4" w:space="0" w:color="auto"/>
              <w:bottom w:val="single" w:sz="8" w:space="0" w:color="auto"/>
              <w:right w:val="nil"/>
            </w:tcBorders>
            <w:hideMark/>
          </w:tcPr>
          <w:p w14:paraId="22B04B52" w14:textId="77777777" w:rsidR="009630A9" w:rsidRPr="000C156A" w:rsidRDefault="009630A9" w:rsidP="005D02F0">
            <w:pPr>
              <w:pStyle w:val="Tabletext"/>
              <w:spacing w:before="20" w:after="20"/>
              <w:jc w:val="center"/>
              <w:rPr>
                <w:b/>
                <w:bCs/>
                <w:szCs w:val="22"/>
                <w:lang w:val="en-US"/>
              </w:rPr>
            </w:pPr>
            <w:r w:rsidRPr="000C156A">
              <w:rPr>
                <w:rFonts w:hint="eastAsia"/>
                <w:b/>
                <w:bCs/>
                <w:szCs w:val="22"/>
                <w:lang w:val="en-US"/>
              </w:rPr>
              <w:t>人数</w:t>
            </w:r>
          </w:p>
        </w:tc>
        <w:tc>
          <w:tcPr>
            <w:tcW w:w="1457" w:type="dxa"/>
            <w:tcBorders>
              <w:top w:val="nil"/>
              <w:left w:val="nil"/>
              <w:bottom w:val="single" w:sz="8" w:space="0" w:color="auto"/>
              <w:right w:val="single" w:sz="4" w:space="0" w:color="auto"/>
            </w:tcBorders>
            <w:hideMark/>
          </w:tcPr>
          <w:p w14:paraId="60465E0E" w14:textId="77777777" w:rsidR="009630A9" w:rsidRPr="000C156A" w:rsidRDefault="009630A9" w:rsidP="005D02F0">
            <w:pPr>
              <w:pStyle w:val="Tabletext"/>
              <w:spacing w:before="20" w:after="20"/>
              <w:jc w:val="center"/>
              <w:rPr>
                <w:b/>
                <w:bCs/>
                <w:szCs w:val="22"/>
                <w:lang w:val="en-US"/>
              </w:rPr>
            </w:pPr>
            <w:r w:rsidRPr="000C156A">
              <w:rPr>
                <w:rFonts w:hint="eastAsia"/>
                <w:b/>
                <w:bCs/>
                <w:szCs w:val="22"/>
                <w:lang w:val="en-US"/>
              </w:rPr>
              <w:t>总薪酬</w:t>
            </w:r>
          </w:p>
        </w:tc>
      </w:tr>
      <w:tr w:rsidR="009630A9" w:rsidRPr="000C156A" w14:paraId="2EE9BF4E" w14:textId="77777777" w:rsidTr="005D02F0">
        <w:trPr>
          <w:jc w:val="center"/>
        </w:trPr>
        <w:tc>
          <w:tcPr>
            <w:tcW w:w="4329" w:type="dxa"/>
            <w:tcBorders>
              <w:top w:val="single" w:sz="8" w:space="0" w:color="auto"/>
              <w:left w:val="single" w:sz="4" w:space="0" w:color="auto"/>
              <w:bottom w:val="single" w:sz="8" w:space="0" w:color="auto"/>
              <w:right w:val="single" w:sz="4" w:space="0" w:color="auto"/>
            </w:tcBorders>
            <w:hideMark/>
          </w:tcPr>
          <w:p w14:paraId="58409EF4" w14:textId="77777777" w:rsidR="009630A9" w:rsidRPr="000C156A" w:rsidRDefault="009630A9" w:rsidP="005D02F0">
            <w:pPr>
              <w:pStyle w:val="Tabletext"/>
              <w:spacing w:before="20" w:after="20"/>
              <w:rPr>
                <w:rFonts w:eastAsia="Calibri"/>
                <w:szCs w:val="22"/>
                <w:lang w:val="en-US"/>
              </w:rPr>
            </w:pPr>
            <w:r w:rsidRPr="000C156A">
              <w:rPr>
                <w:rFonts w:eastAsia="Calibri"/>
                <w:szCs w:val="22"/>
                <w:lang w:val="en-US"/>
              </w:rPr>
              <w:t>5</w:t>
            </w:r>
            <w:r w:rsidRPr="000C156A">
              <w:rPr>
                <w:rFonts w:ascii="SimSun" w:hAnsi="SimSun" w:cs="SimSun" w:hint="eastAsia"/>
                <w:szCs w:val="22"/>
                <w:lang w:val="en-US"/>
              </w:rPr>
              <w:t>位选任官员</w:t>
            </w:r>
          </w:p>
        </w:tc>
        <w:tc>
          <w:tcPr>
            <w:tcW w:w="1162" w:type="dxa"/>
            <w:tcBorders>
              <w:top w:val="single" w:sz="8" w:space="0" w:color="auto"/>
              <w:left w:val="single" w:sz="4" w:space="0" w:color="auto"/>
              <w:bottom w:val="single" w:sz="8" w:space="0" w:color="auto"/>
              <w:right w:val="nil"/>
            </w:tcBorders>
            <w:vAlign w:val="center"/>
            <w:hideMark/>
          </w:tcPr>
          <w:p w14:paraId="421ED460"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5</w:t>
            </w:r>
          </w:p>
        </w:tc>
        <w:tc>
          <w:tcPr>
            <w:tcW w:w="1457" w:type="dxa"/>
            <w:tcBorders>
              <w:top w:val="single" w:sz="8" w:space="0" w:color="auto"/>
              <w:left w:val="nil"/>
              <w:bottom w:val="nil"/>
              <w:right w:val="single" w:sz="8" w:space="0" w:color="auto"/>
            </w:tcBorders>
            <w:shd w:val="clear" w:color="auto" w:fill="auto"/>
            <w:vAlign w:val="center"/>
            <w:hideMark/>
          </w:tcPr>
          <w:p w14:paraId="33C649A2" w14:textId="0AEB8A66"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Calibri"/>
                <w:color w:val="000000"/>
                <w:sz w:val="22"/>
                <w:szCs w:val="22"/>
                <w:lang w:eastAsia="en-GB"/>
              </w:rPr>
              <w:t>2</w:t>
            </w:r>
            <w:r w:rsidR="00655EA9" w:rsidRPr="000C156A">
              <w:rPr>
                <w:rFonts w:cs="Calibri"/>
                <w:color w:val="000000"/>
                <w:sz w:val="22"/>
                <w:szCs w:val="22"/>
                <w:lang w:eastAsia="en-GB"/>
              </w:rPr>
              <w:t xml:space="preserve"> </w:t>
            </w:r>
            <w:r w:rsidRPr="000C156A">
              <w:rPr>
                <w:rFonts w:cs="Calibri"/>
                <w:color w:val="000000"/>
                <w:sz w:val="22"/>
                <w:szCs w:val="22"/>
                <w:lang w:eastAsia="en-GB"/>
              </w:rPr>
              <w:t>135</w:t>
            </w:r>
          </w:p>
        </w:tc>
        <w:tc>
          <w:tcPr>
            <w:tcW w:w="1200" w:type="dxa"/>
            <w:tcBorders>
              <w:top w:val="single" w:sz="8" w:space="0" w:color="auto"/>
              <w:left w:val="single" w:sz="4" w:space="0" w:color="auto"/>
              <w:bottom w:val="single" w:sz="8" w:space="0" w:color="auto"/>
              <w:right w:val="nil"/>
            </w:tcBorders>
            <w:vAlign w:val="center"/>
            <w:hideMark/>
          </w:tcPr>
          <w:p w14:paraId="59038EC3"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5</w:t>
            </w:r>
          </w:p>
        </w:tc>
        <w:tc>
          <w:tcPr>
            <w:tcW w:w="1457" w:type="dxa"/>
            <w:tcBorders>
              <w:top w:val="single" w:sz="8" w:space="0" w:color="auto"/>
              <w:left w:val="nil"/>
              <w:bottom w:val="nil"/>
              <w:right w:val="single" w:sz="8" w:space="0" w:color="auto"/>
            </w:tcBorders>
            <w:shd w:val="clear" w:color="auto" w:fill="auto"/>
            <w:vAlign w:val="center"/>
            <w:hideMark/>
          </w:tcPr>
          <w:p w14:paraId="7888B08B"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Calibri"/>
                <w:color w:val="000000"/>
                <w:sz w:val="22"/>
                <w:szCs w:val="22"/>
                <w:lang w:eastAsia="en-GB"/>
              </w:rPr>
              <w:t>2270</w:t>
            </w:r>
          </w:p>
        </w:tc>
      </w:tr>
      <w:tr w:rsidR="009630A9" w:rsidRPr="000C156A" w14:paraId="1E4E4F68" w14:textId="77777777" w:rsidTr="005D02F0">
        <w:trPr>
          <w:jc w:val="center"/>
        </w:trPr>
        <w:tc>
          <w:tcPr>
            <w:tcW w:w="4329" w:type="dxa"/>
            <w:tcBorders>
              <w:top w:val="single" w:sz="8" w:space="0" w:color="auto"/>
              <w:left w:val="single" w:sz="4" w:space="0" w:color="auto"/>
              <w:bottom w:val="single" w:sz="8" w:space="0" w:color="auto"/>
              <w:right w:val="single" w:sz="4" w:space="0" w:color="auto"/>
            </w:tcBorders>
            <w:hideMark/>
          </w:tcPr>
          <w:p w14:paraId="585CE216" w14:textId="77777777" w:rsidR="009630A9" w:rsidRPr="000C156A" w:rsidRDefault="009630A9" w:rsidP="005D02F0">
            <w:pPr>
              <w:pStyle w:val="Tabletext"/>
              <w:spacing w:before="20" w:after="20"/>
              <w:rPr>
                <w:rFonts w:eastAsia="Calibri"/>
                <w:b/>
                <w:bCs/>
                <w:szCs w:val="22"/>
                <w:lang w:val="en-US"/>
              </w:rPr>
            </w:pPr>
            <w:r w:rsidRPr="000C156A">
              <w:rPr>
                <w:rFonts w:ascii="SimSun" w:hAnsi="SimSun" w:cs="SimSun" w:hint="eastAsia"/>
                <w:b/>
                <w:bCs/>
                <w:szCs w:val="22"/>
                <w:lang w:val="en-US"/>
              </w:rPr>
              <w:t>主要管理层官员</w:t>
            </w:r>
          </w:p>
        </w:tc>
        <w:tc>
          <w:tcPr>
            <w:tcW w:w="1162" w:type="dxa"/>
            <w:tcBorders>
              <w:top w:val="single" w:sz="8" w:space="0" w:color="auto"/>
              <w:left w:val="single" w:sz="4" w:space="0" w:color="auto"/>
              <w:bottom w:val="single" w:sz="8" w:space="0" w:color="auto"/>
              <w:right w:val="nil"/>
            </w:tcBorders>
            <w:vAlign w:val="center"/>
            <w:hideMark/>
          </w:tcPr>
          <w:p w14:paraId="7E5A3C28" w14:textId="77777777"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5</w:t>
            </w:r>
          </w:p>
        </w:tc>
        <w:tc>
          <w:tcPr>
            <w:tcW w:w="1457" w:type="dxa"/>
            <w:tcBorders>
              <w:top w:val="single" w:sz="8" w:space="0" w:color="auto"/>
              <w:left w:val="nil"/>
              <w:bottom w:val="single" w:sz="8" w:space="0" w:color="auto"/>
              <w:right w:val="single" w:sz="8" w:space="0" w:color="auto"/>
            </w:tcBorders>
            <w:shd w:val="clear" w:color="auto" w:fill="auto"/>
            <w:vAlign w:val="center"/>
            <w:hideMark/>
          </w:tcPr>
          <w:p w14:paraId="66C2C663" w14:textId="4282660B"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Calibri"/>
                <w:b/>
                <w:bCs/>
                <w:color w:val="000000"/>
                <w:sz w:val="22"/>
                <w:szCs w:val="22"/>
                <w:lang w:eastAsia="en-GB"/>
              </w:rPr>
              <w:t>2</w:t>
            </w:r>
            <w:r w:rsidR="00655EA9" w:rsidRPr="000C156A">
              <w:rPr>
                <w:rFonts w:cs="Calibri"/>
                <w:b/>
                <w:bCs/>
                <w:color w:val="000000"/>
                <w:sz w:val="22"/>
                <w:szCs w:val="22"/>
                <w:lang w:eastAsia="en-GB"/>
              </w:rPr>
              <w:t xml:space="preserve"> </w:t>
            </w:r>
            <w:r w:rsidRPr="000C156A">
              <w:rPr>
                <w:rFonts w:cs="Calibri"/>
                <w:b/>
                <w:bCs/>
                <w:color w:val="000000"/>
                <w:sz w:val="22"/>
                <w:szCs w:val="22"/>
                <w:lang w:eastAsia="en-GB"/>
              </w:rPr>
              <w:t>135</w:t>
            </w:r>
          </w:p>
        </w:tc>
        <w:tc>
          <w:tcPr>
            <w:tcW w:w="1200" w:type="dxa"/>
            <w:tcBorders>
              <w:top w:val="single" w:sz="8" w:space="0" w:color="auto"/>
              <w:left w:val="single" w:sz="4" w:space="0" w:color="auto"/>
              <w:bottom w:val="single" w:sz="8" w:space="0" w:color="auto"/>
              <w:right w:val="nil"/>
            </w:tcBorders>
            <w:vAlign w:val="center"/>
            <w:hideMark/>
          </w:tcPr>
          <w:p w14:paraId="5941A78B" w14:textId="77777777"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5</w:t>
            </w:r>
          </w:p>
        </w:tc>
        <w:tc>
          <w:tcPr>
            <w:tcW w:w="1457" w:type="dxa"/>
            <w:tcBorders>
              <w:top w:val="single" w:sz="8" w:space="0" w:color="auto"/>
              <w:left w:val="nil"/>
              <w:bottom w:val="single" w:sz="8" w:space="0" w:color="auto"/>
              <w:right w:val="single" w:sz="8" w:space="0" w:color="auto"/>
            </w:tcBorders>
            <w:shd w:val="clear" w:color="auto" w:fill="auto"/>
            <w:vAlign w:val="center"/>
            <w:hideMark/>
          </w:tcPr>
          <w:p w14:paraId="46C568B2" w14:textId="269C0106"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Calibri"/>
                <w:b/>
                <w:bCs/>
                <w:color w:val="000000"/>
                <w:sz w:val="22"/>
                <w:szCs w:val="22"/>
                <w:lang w:eastAsia="en-GB"/>
              </w:rPr>
              <w:t>2</w:t>
            </w:r>
            <w:r w:rsidR="00655EA9" w:rsidRPr="000C156A">
              <w:rPr>
                <w:rFonts w:cs="Calibri"/>
                <w:b/>
                <w:bCs/>
                <w:color w:val="000000"/>
                <w:sz w:val="22"/>
                <w:szCs w:val="22"/>
                <w:lang w:eastAsia="en-GB"/>
              </w:rPr>
              <w:t xml:space="preserve"> </w:t>
            </w:r>
            <w:r w:rsidRPr="000C156A">
              <w:rPr>
                <w:rFonts w:cs="Calibri"/>
                <w:b/>
                <w:bCs/>
                <w:color w:val="000000"/>
                <w:sz w:val="22"/>
                <w:szCs w:val="22"/>
                <w:lang w:eastAsia="en-GB"/>
              </w:rPr>
              <w:t>270</w:t>
            </w:r>
          </w:p>
        </w:tc>
      </w:tr>
      <w:tr w:rsidR="009630A9" w:rsidRPr="000C156A" w14:paraId="1B3F9BB4" w14:textId="77777777" w:rsidTr="005D02F0">
        <w:trPr>
          <w:jc w:val="center"/>
        </w:trPr>
        <w:tc>
          <w:tcPr>
            <w:tcW w:w="4329" w:type="dxa"/>
            <w:tcBorders>
              <w:top w:val="single" w:sz="8" w:space="0" w:color="auto"/>
              <w:left w:val="single" w:sz="4" w:space="0" w:color="auto"/>
              <w:bottom w:val="nil"/>
              <w:right w:val="single" w:sz="4" w:space="0" w:color="auto"/>
            </w:tcBorders>
            <w:hideMark/>
          </w:tcPr>
          <w:p w14:paraId="3D48FAFC" w14:textId="77777777" w:rsidR="009630A9" w:rsidRPr="000C156A" w:rsidRDefault="009630A9" w:rsidP="005D02F0">
            <w:pPr>
              <w:pStyle w:val="Tabletext"/>
              <w:spacing w:before="20" w:after="20"/>
              <w:rPr>
                <w:rFonts w:eastAsia="Calibri"/>
                <w:szCs w:val="22"/>
                <w:lang w:val="en-US"/>
              </w:rPr>
            </w:pPr>
            <w:r w:rsidRPr="000C156A">
              <w:rPr>
                <w:rFonts w:eastAsia="Calibri"/>
                <w:szCs w:val="22"/>
                <w:lang w:val="en-US"/>
              </w:rPr>
              <w:t>D.2</w:t>
            </w:r>
            <w:r w:rsidRPr="000C156A">
              <w:rPr>
                <w:rFonts w:ascii="SimSun" w:hAnsi="SimSun" w:cs="SimSun" w:hint="eastAsia"/>
                <w:szCs w:val="22"/>
                <w:lang w:val="en-US"/>
              </w:rPr>
              <w:t>级主任</w:t>
            </w:r>
          </w:p>
        </w:tc>
        <w:tc>
          <w:tcPr>
            <w:tcW w:w="1162" w:type="dxa"/>
            <w:tcBorders>
              <w:top w:val="single" w:sz="8" w:space="0" w:color="auto"/>
              <w:left w:val="nil"/>
              <w:bottom w:val="nil"/>
              <w:right w:val="nil"/>
            </w:tcBorders>
            <w:shd w:val="clear" w:color="auto" w:fill="auto"/>
            <w:vAlign w:val="center"/>
            <w:hideMark/>
          </w:tcPr>
          <w:p w14:paraId="33D163D9"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Calibri"/>
                <w:color w:val="000000"/>
                <w:sz w:val="22"/>
                <w:szCs w:val="22"/>
                <w:lang w:eastAsia="en-GB"/>
              </w:rPr>
              <w:t>4</w:t>
            </w:r>
          </w:p>
        </w:tc>
        <w:tc>
          <w:tcPr>
            <w:tcW w:w="1457" w:type="dxa"/>
            <w:tcBorders>
              <w:top w:val="nil"/>
              <w:left w:val="nil"/>
              <w:bottom w:val="nil"/>
              <w:right w:val="single" w:sz="8" w:space="0" w:color="auto"/>
            </w:tcBorders>
            <w:shd w:val="clear" w:color="auto" w:fill="auto"/>
            <w:vAlign w:val="center"/>
            <w:hideMark/>
          </w:tcPr>
          <w:p w14:paraId="02F04E8F" w14:textId="2B6240BC"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Calibri"/>
                <w:color w:val="000000"/>
                <w:sz w:val="22"/>
                <w:szCs w:val="22"/>
                <w:lang w:eastAsia="en-GB"/>
              </w:rPr>
              <w:t>1</w:t>
            </w:r>
            <w:r w:rsidR="00655EA9" w:rsidRPr="000C156A">
              <w:rPr>
                <w:rFonts w:cs="Calibri"/>
                <w:color w:val="000000"/>
                <w:sz w:val="22"/>
                <w:szCs w:val="22"/>
                <w:lang w:eastAsia="en-GB"/>
              </w:rPr>
              <w:t xml:space="preserve"> </w:t>
            </w:r>
            <w:r w:rsidRPr="000C156A">
              <w:rPr>
                <w:rFonts w:cs="Calibri"/>
                <w:color w:val="000000"/>
                <w:sz w:val="22"/>
                <w:szCs w:val="22"/>
                <w:lang w:eastAsia="en-GB"/>
              </w:rPr>
              <w:t>147</w:t>
            </w:r>
          </w:p>
        </w:tc>
        <w:tc>
          <w:tcPr>
            <w:tcW w:w="1200" w:type="dxa"/>
            <w:tcBorders>
              <w:top w:val="single" w:sz="8" w:space="0" w:color="auto"/>
              <w:left w:val="nil"/>
              <w:bottom w:val="nil"/>
              <w:right w:val="nil"/>
            </w:tcBorders>
            <w:shd w:val="clear" w:color="auto" w:fill="auto"/>
            <w:vAlign w:val="center"/>
            <w:hideMark/>
          </w:tcPr>
          <w:p w14:paraId="58026571"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Calibri"/>
                <w:color w:val="000000"/>
                <w:sz w:val="22"/>
                <w:szCs w:val="22"/>
                <w:lang w:eastAsia="en-GB"/>
              </w:rPr>
              <w:t>3</w:t>
            </w:r>
          </w:p>
        </w:tc>
        <w:tc>
          <w:tcPr>
            <w:tcW w:w="1457" w:type="dxa"/>
            <w:tcBorders>
              <w:top w:val="nil"/>
              <w:left w:val="nil"/>
              <w:bottom w:val="nil"/>
              <w:right w:val="single" w:sz="8" w:space="0" w:color="auto"/>
            </w:tcBorders>
            <w:shd w:val="clear" w:color="auto" w:fill="auto"/>
            <w:vAlign w:val="center"/>
            <w:hideMark/>
          </w:tcPr>
          <w:p w14:paraId="6EFA814F"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Calibri"/>
                <w:color w:val="000000"/>
                <w:sz w:val="22"/>
                <w:szCs w:val="22"/>
                <w:lang w:eastAsia="en-GB"/>
              </w:rPr>
              <w:t>775</w:t>
            </w:r>
          </w:p>
        </w:tc>
      </w:tr>
      <w:tr w:rsidR="009630A9" w:rsidRPr="000C156A" w14:paraId="5DA47852" w14:textId="77777777" w:rsidTr="005D02F0">
        <w:trPr>
          <w:jc w:val="center"/>
        </w:trPr>
        <w:tc>
          <w:tcPr>
            <w:tcW w:w="4329" w:type="dxa"/>
            <w:tcBorders>
              <w:top w:val="nil"/>
              <w:left w:val="single" w:sz="4" w:space="0" w:color="auto"/>
              <w:bottom w:val="single" w:sz="8" w:space="0" w:color="auto"/>
              <w:right w:val="single" w:sz="4" w:space="0" w:color="auto"/>
            </w:tcBorders>
            <w:hideMark/>
          </w:tcPr>
          <w:p w14:paraId="7245005C" w14:textId="77777777" w:rsidR="009630A9" w:rsidRPr="000C156A" w:rsidRDefault="009630A9" w:rsidP="005D02F0">
            <w:pPr>
              <w:pStyle w:val="Tabletext"/>
              <w:spacing w:before="20" w:after="20"/>
              <w:rPr>
                <w:rFonts w:eastAsia="Calibri"/>
                <w:szCs w:val="22"/>
                <w:lang w:val="en-US"/>
              </w:rPr>
            </w:pPr>
            <w:r w:rsidRPr="000C156A">
              <w:rPr>
                <w:rFonts w:eastAsia="Calibri"/>
                <w:szCs w:val="22"/>
                <w:lang w:val="en-US"/>
              </w:rPr>
              <w:t>D.1</w:t>
            </w:r>
            <w:r w:rsidRPr="000C156A">
              <w:rPr>
                <w:rFonts w:ascii="SimSun" w:hAnsi="SimSun" w:cs="SimSun" w:hint="eastAsia"/>
                <w:szCs w:val="22"/>
                <w:lang w:val="en-US"/>
              </w:rPr>
              <w:t>级主任</w:t>
            </w:r>
          </w:p>
        </w:tc>
        <w:tc>
          <w:tcPr>
            <w:tcW w:w="1162" w:type="dxa"/>
            <w:tcBorders>
              <w:top w:val="nil"/>
              <w:left w:val="nil"/>
              <w:bottom w:val="nil"/>
              <w:right w:val="nil"/>
            </w:tcBorders>
            <w:shd w:val="clear" w:color="auto" w:fill="auto"/>
            <w:vAlign w:val="center"/>
            <w:hideMark/>
          </w:tcPr>
          <w:p w14:paraId="5C2BBD8F"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Calibri"/>
                <w:color w:val="000000"/>
                <w:sz w:val="22"/>
                <w:szCs w:val="22"/>
                <w:lang w:eastAsia="en-GB"/>
              </w:rPr>
              <w:t>20</w:t>
            </w:r>
          </w:p>
        </w:tc>
        <w:tc>
          <w:tcPr>
            <w:tcW w:w="1457" w:type="dxa"/>
            <w:tcBorders>
              <w:top w:val="nil"/>
              <w:left w:val="nil"/>
              <w:bottom w:val="nil"/>
              <w:right w:val="single" w:sz="8" w:space="0" w:color="auto"/>
            </w:tcBorders>
            <w:shd w:val="clear" w:color="auto" w:fill="auto"/>
            <w:vAlign w:val="center"/>
            <w:hideMark/>
          </w:tcPr>
          <w:p w14:paraId="151405C5" w14:textId="5499F699"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Calibri"/>
                <w:color w:val="000000"/>
                <w:sz w:val="22"/>
                <w:szCs w:val="22"/>
                <w:lang w:eastAsia="en-GB"/>
              </w:rPr>
              <w:t>4</w:t>
            </w:r>
            <w:r w:rsidR="00655EA9" w:rsidRPr="000C156A">
              <w:rPr>
                <w:rFonts w:cs="Calibri"/>
                <w:color w:val="000000"/>
                <w:sz w:val="22"/>
                <w:szCs w:val="22"/>
                <w:lang w:eastAsia="en-GB"/>
              </w:rPr>
              <w:t xml:space="preserve"> </w:t>
            </w:r>
            <w:r w:rsidRPr="000C156A">
              <w:rPr>
                <w:rFonts w:cs="Calibri"/>
                <w:color w:val="000000"/>
                <w:sz w:val="22"/>
                <w:szCs w:val="22"/>
                <w:lang w:eastAsia="en-GB"/>
              </w:rPr>
              <w:t>723</w:t>
            </w:r>
          </w:p>
        </w:tc>
        <w:tc>
          <w:tcPr>
            <w:tcW w:w="1200" w:type="dxa"/>
            <w:tcBorders>
              <w:top w:val="nil"/>
              <w:left w:val="nil"/>
              <w:bottom w:val="nil"/>
              <w:right w:val="nil"/>
            </w:tcBorders>
            <w:shd w:val="clear" w:color="auto" w:fill="auto"/>
            <w:vAlign w:val="center"/>
            <w:hideMark/>
          </w:tcPr>
          <w:p w14:paraId="3C2E22D8" w14:textId="77777777"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Calibri"/>
                <w:color w:val="000000"/>
                <w:sz w:val="22"/>
                <w:szCs w:val="22"/>
                <w:lang w:eastAsia="en-GB"/>
              </w:rPr>
              <w:t>18</w:t>
            </w:r>
          </w:p>
        </w:tc>
        <w:tc>
          <w:tcPr>
            <w:tcW w:w="1457" w:type="dxa"/>
            <w:tcBorders>
              <w:top w:val="nil"/>
              <w:left w:val="nil"/>
              <w:bottom w:val="nil"/>
              <w:right w:val="single" w:sz="8" w:space="0" w:color="auto"/>
            </w:tcBorders>
            <w:shd w:val="clear" w:color="auto" w:fill="auto"/>
            <w:vAlign w:val="center"/>
            <w:hideMark/>
          </w:tcPr>
          <w:p w14:paraId="50FB8EDC" w14:textId="28D67A00" w:rsidR="009630A9" w:rsidRPr="000C156A" w:rsidRDefault="009630A9" w:rsidP="005D02F0">
            <w:pPr>
              <w:overflowPunct/>
              <w:autoSpaceDE/>
              <w:autoSpaceDN/>
              <w:adjustRightInd/>
              <w:spacing w:before="0"/>
              <w:jc w:val="right"/>
              <w:textAlignment w:val="auto"/>
              <w:rPr>
                <w:rFonts w:cs="Arial"/>
                <w:color w:val="000000"/>
                <w:sz w:val="22"/>
                <w:szCs w:val="22"/>
                <w:lang w:val="en-US" w:eastAsia="zh-CN"/>
              </w:rPr>
            </w:pPr>
            <w:r w:rsidRPr="000C156A">
              <w:rPr>
                <w:rFonts w:cs="Calibri"/>
                <w:color w:val="000000"/>
                <w:sz w:val="22"/>
                <w:szCs w:val="22"/>
                <w:lang w:eastAsia="en-GB"/>
              </w:rPr>
              <w:t>5</w:t>
            </w:r>
            <w:r w:rsidR="00655EA9" w:rsidRPr="000C156A">
              <w:rPr>
                <w:rFonts w:cs="Calibri"/>
                <w:color w:val="000000"/>
                <w:sz w:val="22"/>
                <w:szCs w:val="22"/>
                <w:lang w:eastAsia="en-GB"/>
              </w:rPr>
              <w:t xml:space="preserve"> </w:t>
            </w:r>
            <w:r w:rsidRPr="000C156A">
              <w:rPr>
                <w:rFonts w:cs="Calibri"/>
                <w:color w:val="000000"/>
                <w:sz w:val="22"/>
                <w:szCs w:val="22"/>
                <w:lang w:eastAsia="en-GB"/>
              </w:rPr>
              <w:t>728</w:t>
            </w:r>
          </w:p>
        </w:tc>
      </w:tr>
      <w:tr w:rsidR="009630A9" w:rsidRPr="000C156A" w14:paraId="72687C6C" w14:textId="77777777" w:rsidTr="005D02F0">
        <w:trPr>
          <w:jc w:val="center"/>
        </w:trPr>
        <w:tc>
          <w:tcPr>
            <w:tcW w:w="4329" w:type="dxa"/>
            <w:tcBorders>
              <w:top w:val="single" w:sz="8" w:space="0" w:color="auto"/>
              <w:left w:val="single" w:sz="4" w:space="0" w:color="auto"/>
              <w:bottom w:val="single" w:sz="8" w:space="0" w:color="auto"/>
              <w:right w:val="single" w:sz="4" w:space="0" w:color="auto"/>
            </w:tcBorders>
            <w:hideMark/>
          </w:tcPr>
          <w:p w14:paraId="09A8B8EF" w14:textId="77777777" w:rsidR="009630A9" w:rsidRPr="000C156A" w:rsidRDefault="009630A9" w:rsidP="005D02F0">
            <w:pPr>
              <w:pStyle w:val="Tabletext"/>
              <w:spacing w:before="20" w:after="20"/>
              <w:rPr>
                <w:rFonts w:eastAsia="Calibri"/>
                <w:b/>
                <w:bCs/>
                <w:szCs w:val="22"/>
                <w:lang w:val="en-US"/>
              </w:rPr>
            </w:pPr>
            <w:r w:rsidRPr="000C156A">
              <w:rPr>
                <w:rFonts w:cs="Calibri" w:hint="eastAsia"/>
                <w:b/>
                <w:bCs/>
                <w:color w:val="000000"/>
                <w:szCs w:val="22"/>
                <w:lang w:val="fr-FR" w:eastAsia="zh-CN"/>
              </w:rPr>
              <w:t>部门主任合计</w:t>
            </w:r>
          </w:p>
        </w:tc>
        <w:tc>
          <w:tcPr>
            <w:tcW w:w="1162" w:type="dxa"/>
            <w:tcBorders>
              <w:top w:val="single" w:sz="8" w:space="0" w:color="auto"/>
              <w:left w:val="nil"/>
              <w:bottom w:val="single" w:sz="8" w:space="0" w:color="auto"/>
              <w:right w:val="nil"/>
            </w:tcBorders>
            <w:shd w:val="clear" w:color="auto" w:fill="auto"/>
            <w:vAlign w:val="center"/>
            <w:hideMark/>
          </w:tcPr>
          <w:p w14:paraId="28CB65D1" w14:textId="77777777"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Calibri"/>
                <w:b/>
                <w:bCs/>
                <w:color w:val="000000"/>
                <w:sz w:val="22"/>
                <w:szCs w:val="22"/>
                <w:lang w:eastAsia="en-GB"/>
              </w:rPr>
              <w:t>24</w:t>
            </w:r>
          </w:p>
        </w:tc>
        <w:tc>
          <w:tcPr>
            <w:tcW w:w="1457" w:type="dxa"/>
            <w:tcBorders>
              <w:top w:val="single" w:sz="8" w:space="0" w:color="auto"/>
              <w:left w:val="nil"/>
              <w:bottom w:val="single" w:sz="8" w:space="0" w:color="auto"/>
              <w:right w:val="single" w:sz="8" w:space="0" w:color="auto"/>
            </w:tcBorders>
            <w:shd w:val="clear" w:color="auto" w:fill="auto"/>
            <w:vAlign w:val="center"/>
            <w:hideMark/>
          </w:tcPr>
          <w:p w14:paraId="1E0DD739" w14:textId="01184039"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Calibri"/>
                <w:b/>
                <w:bCs/>
                <w:color w:val="000000"/>
                <w:sz w:val="22"/>
                <w:szCs w:val="22"/>
                <w:lang w:eastAsia="en-GB"/>
              </w:rPr>
              <w:t>5</w:t>
            </w:r>
            <w:r w:rsidR="00655EA9" w:rsidRPr="000C156A">
              <w:rPr>
                <w:rFonts w:cs="Calibri"/>
                <w:b/>
                <w:bCs/>
                <w:color w:val="000000"/>
                <w:sz w:val="22"/>
                <w:szCs w:val="22"/>
                <w:lang w:eastAsia="en-GB"/>
              </w:rPr>
              <w:t xml:space="preserve"> </w:t>
            </w:r>
            <w:r w:rsidRPr="000C156A">
              <w:rPr>
                <w:rFonts w:cs="Calibri"/>
                <w:b/>
                <w:bCs/>
                <w:color w:val="000000"/>
                <w:sz w:val="22"/>
                <w:szCs w:val="22"/>
                <w:lang w:eastAsia="en-GB"/>
              </w:rPr>
              <w:t>870</w:t>
            </w:r>
          </w:p>
        </w:tc>
        <w:tc>
          <w:tcPr>
            <w:tcW w:w="1200" w:type="dxa"/>
            <w:tcBorders>
              <w:top w:val="single" w:sz="8" w:space="0" w:color="auto"/>
              <w:left w:val="nil"/>
              <w:bottom w:val="single" w:sz="8" w:space="0" w:color="auto"/>
              <w:right w:val="nil"/>
            </w:tcBorders>
            <w:shd w:val="clear" w:color="auto" w:fill="auto"/>
            <w:vAlign w:val="center"/>
            <w:hideMark/>
          </w:tcPr>
          <w:p w14:paraId="14066673" w14:textId="77777777"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Calibri"/>
                <w:b/>
                <w:bCs/>
                <w:color w:val="000000"/>
                <w:sz w:val="22"/>
                <w:szCs w:val="22"/>
                <w:lang w:eastAsia="en-GB"/>
              </w:rPr>
              <w:t>21</w:t>
            </w:r>
          </w:p>
        </w:tc>
        <w:tc>
          <w:tcPr>
            <w:tcW w:w="1457" w:type="dxa"/>
            <w:tcBorders>
              <w:top w:val="single" w:sz="8" w:space="0" w:color="auto"/>
              <w:left w:val="nil"/>
              <w:bottom w:val="single" w:sz="8" w:space="0" w:color="auto"/>
              <w:right w:val="single" w:sz="8" w:space="0" w:color="auto"/>
            </w:tcBorders>
            <w:shd w:val="clear" w:color="auto" w:fill="auto"/>
            <w:vAlign w:val="center"/>
            <w:hideMark/>
          </w:tcPr>
          <w:p w14:paraId="5494FADB" w14:textId="02B115A8"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Calibri"/>
                <w:b/>
                <w:bCs/>
                <w:color w:val="000000"/>
                <w:sz w:val="22"/>
                <w:szCs w:val="22"/>
                <w:lang w:eastAsia="en-GB"/>
              </w:rPr>
              <w:t>6</w:t>
            </w:r>
            <w:r w:rsidR="00655EA9" w:rsidRPr="000C156A">
              <w:rPr>
                <w:rFonts w:cs="Calibri"/>
                <w:b/>
                <w:bCs/>
                <w:color w:val="000000"/>
                <w:sz w:val="22"/>
                <w:szCs w:val="22"/>
                <w:lang w:eastAsia="en-GB"/>
              </w:rPr>
              <w:t xml:space="preserve"> </w:t>
            </w:r>
            <w:r w:rsidRPr="000C156A">
              <w:rPr>
                <w:rFonts w:cs="Calibri"/>
                <w:b/>
                <w:bCs/>
                <w:color w:val="000000"/>
                <w:sz w:val="22"/>
                <w:szCs w:val="22"/>
                <w:lang w:eastAsia="en-GB"/>
              </w:rPr>
              <w:t>503</w:t>
            </w:r>
          </w:p>
        </w:tc>
      </w:tr>
      <w:tr w:rsidR="009630A9" w:rsidRPr="000C156A" w14:paraId="727B3C91" w14:textId="77777777" w:rsidTr="00655EA9">
        <w:trPr>
          <w:trHeight w:val="225"/>
          <w:jc w:val="center"/>
        </w:trPr>
        <w:tc>
          <w:tcPr>
            <w:tcW w:w="4329" w:type="dxa"/>
            <w:tcBorders>
              <w:top w:val="single" w:sz="8" w:space="0" w:color="auto"/>
              <w:left w:val="single" w:sz="4" w:space="0" w:color="auto"/>
              <w:bottom w:val="single" w:sz="8" w:space="0" w:color="auto"/>
              <w:right w:val="single" w:sz="4" w:space="0" w:color="auto"/>
            </w:tcBorders>
            <w:vAlign w:val="center"/>
            <w:hideMark/>
          </w:tcPr>
          <w:p w14:paraId="2D7A2569" w14:textId="77777777" w:rsidR="009630A9" w:rsidRPr="000C156A" w:rsidRDefault="009630A9" w:rsidP="005D02F0">
            <w:pPr>
              <w:pStyle w:val="Tabletext"/>
              <w:spacing w:before="20" w:after="20"/>
              <w:rPr>
                <w:rFonts w:eastAsia="Calibri"/>
                <w:b/>
                <w:bCs/>
                <w:szCs w:val="22"/>
                <w:lang w:val="en-US" w:eastAsia="zh-CN"/>
              </w:rPr>
            </w:pPr>
            <w:r w:rsidRPr="000C156A">
              <w:rPr>
                <w:rFonts w:ascii="SimSun" w:hAnsi="SimSun" w:cs="SimSun" w:hint="eastAsia"/>
                <w:b/>
                <w:bCs/>
                <w:szCs w:val="22"/>
                <w:lang w:val="en-US" w:eastAsia="zh-CN"/>
              </w:rPr>
              <w:t>主要管理层官员合计</w:t>
            </w:r>
            <w:r w:rsidRPr="000C156A">
              <w:rPr>
                <w:rFonts w:eastAsia="Calibri" w:hint="eastAsia"/>
                <w:b/>
                <w:bCs/>
                <w:szCs w:val="22"/>
                <w:lang w:val="en-US" w:eastAsia="zh-CN"/>
              </w:rPr>
              <w:t xml:space="preserve"> </w:t>
            </w:r>
            <w:r w:rsidRPr="000C156A">
              <w:rPr>
                <w:rFonts w:eastAsia="Calibri"/>
                <w:b/>
                <w:bCs/>
                <w:szCs w:val="22"/>
                <w:lang w:val="en-US" w:eastAsia="zh-CN"/>
              </w:rPr>
              <w:t xml:space="preserve">– </w:t>
            </w:r>
            <w:r w:rsidRPr="000C156A">
              <w:rPr>
                <w:rFonts w:ascii="SimSun" w:hAnsi="SimSun" w:cs="SimSun" w:hint="eastAsia"/>
                <w:b/>
                <w:bCs/>
                <w:szCs w:val="22"/>
                <w:lang w:val="en-US" w:eastAsia="zh-CN"/>
              </w:rPr>
              <w:t>国际电联</w:t>
            </w:r>
          </w:p>
        </w:tc>
        <w:tc>
          <w:tcPr>
            <w:tcW w:w="1162" w:type="dxa"/>
            <w:tcBorders>
              <w:top w:val="nil"/>
              <w:left w:val="nil"/>
              <w:bottom w:val="single" w:sz="8" w:space="0" w:color="auto"/>
              <w:right w:val="nil"/>
            </w:tcBorders>
            <w:shd w:val="clear" w:color="auto" w:fill="auto"/>
            <w:vAlign w:val="center"/>
            <w:hideMark/>
          </w:tcPr>
          <w:p w14:paraId="41F9EF75" w14:textId="77777777"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Calibri"/>
                <w:b/>
                <w:bCs/>
                <w:color w:val="000000"/>
                <w:sz w:val="22"/>
                <w:szCs w:val="22"/>
                <w:lang w:eastAsia="en-GB"/>
              </w:rPr>
              <w:t>29</w:t>
            </w:r>
          </w:p>
        </w:tc>
        <w:tc>
          <w:tcPr>
            <w:tcW w:w="1457" w:type="dxa"/>
            <w:tcBorders>
              <w:top w:val="nil"/>
              <w:left w:val="nil"/>
              <w:bottom w:val="single" w:sz="8" w:space="0" w:color="auto"/>
              <w:right w:val="single" w:sz="8" w:space="0" w:color="auto"/>
            </w:tcBorders>
            <w:shd w:val="clear" w:color="auto" w:fill="auto"/>
            <w:vAlign w:val="center"/>
            <w:hideMark/>
          </w:tcPr>
          <w:p w14:paraId="2C642BD4" w14:textId="1B12CE26"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Calibri"/>
                <w:b/>
                <w:bCs/>
                <w:color w:val="000000"/>
                <w:sz w:val="22"/>
                <w:szCs w:val="22"/>
                <w:lang w:eastAsia="en-GB"/>
              </w:rPr>
              <w:t>8</w:t>
            </w:r>
            <w:r w:rsidR="00655EA9" w:rsidRPr="000C156A">
              <w:rPr>
                <w:rFonts w:cs="Calibri"/>
                <w:b/>
                <w:bCs/>
                <w:color w:val="000000"/>
                <w:sz w:val="22"/>
                <w:szCs w:val="22"/>
                <w:lang w:eastAsia="en-GB"/>
              </w:rPr>
              <w:t xml:space="preserve"> </w:t>
            </w:r>
            <w:r w:rsidRPr="000C156A">
              <w:rPr>
                <w:rFonts w:cs="Calibri"/>
                <w:b/>
                <w:bCs/>
                <w:color w:val="000000"/>
                <w:sz w:val="22"/>
                <w:szCs w:val="22"/>
                <w:lang w:eastAsia="en-GB"/>
              </w:rPr>
              <w:t>005</w:t>
            </w:r>
          </w:p>
        </w:tc>
        <w:tc>
          <w:tcPr>
            <w:tcW w:w="1200" w:type="dxa"/>
            <w:tcBorders>
              <w:top w:val="nil"/>
              <w:left w:val="nil"/>
              <w:bottom w:val="single" w:sz="8" w:space="0" w:color="auto"/>
              <w:right w:val="nil"/>
            </w:tcBorders>
            <w:shd w:val="clear" w:color="auto" w:fill="auto"/>
            <w:vAlign w:val="center"/>
            <w:hideMark/>
          </w:tcPr>
          <w:p w14:paraId="19F23311" w14:textId="77777777"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Calibri"/>
                <w:b/>
                <w:bCs/>
                <w:color w:val="000000"/>
                <w:sz w:val="22"/>
                <w:szCs w:val="22"/>
                <w:lang w:eastAsia="en-GB"/>
              </w:rPr>
              <w:t>26</w:t>
            </w:r>
          </w:p>
        </w:tc>
        <w:tc>
          <w:tcPr>
            <w:tcW w:w="1457" w:type="dxa"/>
            <w:tcBorders>
              <w:top w:val="nil"/>
              <w:left w:val="nil"/>
              <w:bottom w:val="single" w:sz="8" w:space="0" w:color="auto"/>
              <w:right w:val="single" w:sz="8" w:space="0" w:color="auto"/>
            </w:tcBorders>
            <w:shd w:val="clear" w:color="auto" w:fill="auto"/>
            <w:vAlign w:val="center"/>
            <w:hideMark/>
          </w:tcPr>
          <w:p w14:paraId="7B9DDEDA" w14:textId="15DC4C90" w:rsidR="009630A9" w:rsidRPr="000C156A" w:rsidRDefault="009630A9" w:rsidP="005D02F0">
            <w:pPr>
              <w:overflowPunct/>
              <w:autoSpaceDE/>
              <w:autoSpaceDN/>
              <w:adjustRightInd/>
              <w:spacing w:before="0"/>
              <w:jc w:val="right"/>
              <w:textAlignment w:val="auto"/>
              <w:rPr>
                <w:rFonts w:cs="Arial"/>
                <w:b/>
                <w:bCs/>
                <w:color w:val="000000"/>
                <w:sz w:val="22"/>
                <w:szCs w:val="22"/>
                <w:lang w:val="en-US" w:eastAsia="zh-CN"/>
              </w:rPr>
            </w:pPr>
            <w:r w:rsidRPr="000C156A">
              <w:rPr>
                <w:rFonts w:cs="Calibri"/>
                <w:b/>
                <w:bCs/>
                <w:color w:val="000000"/>
                <w:sz w:val="22"/>
                <w:szCs w:val="22"/>
                <w:lang w:eastAsia="en-GB"/>
              </w:rPr>
              <w:t>8</w:t>
            </w:r>
            <w:r w:rsidR="00655EA9" w:rsidRPr="000C156A">
              <w:rPr>
                <w:rFonts w:cs="Calibri"/>
                <w:b/>
                <w:bCs/>
                <w:color w:val="000000"/>
                <w:sz w:val="22"/>
                <w:szCs w:val="22"/>
                <w:lang w:eastAsia="en-GB"/>
              </w:rPr>
              <w:t xml:space="preserve"> </w:t>
            </w:r>
            <w:r w:rsidRPr="000C156A">
              <w:rPr>
                <w:rFonts w:cs="Calibri"/>
                <w:b/>
                <w:bCs/>
                <w:color w:val="000000"/>
                <w:sz w:val="22"/>
                <w:szCs w:val="22"/>
                <w:lang w:eastAsia="en-GB"/>
              </w:rPr>
              <w:t>773</w:t>
            </w:r>
          </w:p>
        </w:tc>
      </w:tr>
    </w:tbl>
    <w:p w14:paraId="7CCF6BC0" w14:textId="77777777" w:rsidR="009630A9" w:rsidRPr="000C156A" w:rsidRDefault="009630A9" w:rsidP="00D57038">
      <w:pPr>
        <w:pStyle w:val="Heading1"/>
        <w:spacing w:before="240" w:after="120"/>
        <w:rPr>
          <w:sz w:val="24"/>
          <w:szCs w:val="24"/>
          <w:lang w:val="fr-FR"/>
        </w:rPr>
      </w:pPr>
      <w:bookmarkStart w:id="1034" w:name="_Toc482892589"/>
      <w:bookmarkStart w:id="1035" w:name="_Toc511813773"/>
      <w:bookmarkStart w:id="1036" w:name="_Toc511817856"/>
      <w:bookmarkStart w:id="1037" w:name="_Toc520280756"/>
      <w:bookmarkStart w:id="1038" w:name="_Toc10536850"/>
      <w:bookmarkStart w:id="1039" w:name="_Toc41905902"/>
      <w:bookmarkStart w:id="1040" w:name="_Toc41906923"/>
      <w:bookmarkStart w:id="1041" w:name="_Toc41908072"/>
      <w:bookmarkStart w:id="1042" w:name="_Toc73518730"/>
      <w:bookmarkStart w:id="1043" w:name="_Toc73518877"/>
      <w:bookmarkStart w:id="1044" w:name="_Toc73519277"/>
      <w:bookmarkStart w:id="1045" w:name="_Toc73636316"/>
      <w:bookmarkEnd w:id="1032"/>
      <w:bookmarkEnd w:id="1033"/>
      <w:r w:rsidRPr="000C156A">
        <w:rPr>
          <w:rFonts w:cs="Microsoft YaHei" w:hint="eastAsia"/>
          <w:sz w:val="24"/>
          <w:szCs w:val="24"/>
          <w:lang w:val="fr-FR"/>
        </w:rPr>
        <w:t>说明</w:t>
      </w:r>
      <w:r w:rsidRPr="000C156A">
        <w:rPr>
          <w:sz w:val="24"/>
          <w:szCs w:val="24"/>
          <w:lang w:val="fr-FR"/>
        </w:rPr>
        <w:t>28</w:t>
      </w:r>
      <w:r w:rsidRPr="000C156A">
        <w:rPr>
          <w:sz w:val="24"/>
          <w:szCs w:val="24"/>
          <w:lang w:val="fr-FR"/>
        </w:rPr>
        <w:tab/>
      </w:r>
      <w:r w:rsidRPr="000C156A">
        <w:rPr>
          <w:rFonts w:cs="Microsoft YaHei" w:hint="eastAsia"/>
          <w:sz w:val="24"/>
          <w:szCs w:val="24"/>
          <w:lang w:val="fr-FR"/>
        </w:rPr>
        <w:t>承付款项</w:t>
      </w:r>
      <w:bookmarkEnd w:id="1003"/>
      <w:bookmarkEnd w:id="1004"/>
      <w:bookmarkEnd w:id="1034"/>
      <w:bookmarkEnd w:id="1035"/>
      <w:bookmarkEnd w:id="1036"/>
      <w:bookmarkEnd w:id="1037"/>
      <w:bookmarkEnd w:id="1038"/>
      <w:bookmarkEnd w:id="1039"/>
      <w:bookmarkEnd w:id="1040"/>
      <w:bookmarkEnd w:id="1041"/>
      <w:bookmarkEnd w:id="1042"/>
      <w:bookmarkEnd w:id="1043"/>
      <w:bookmarkEnd w:id="1044"/>
      <w:bookmarkEnd w:id="1045"/>
    </w:p>
    <w:p w14:paraId="3C65A64D" w14:textId="77777777" w:rsidR="009630A9" w:rsidRPr="000C156A" w:rsidRDefault="009630A9" w:rsidP="009630A9">
      <w:pPr>
        <w:ind w:firstLineChars="200" w:firstLine="480"/>
        <w:rPr>
          <w:lang w:val="fr-FR" w:eastAsia="zh-CN"/>
        </w:rPr>
      </w:pPr>
      <w:r w:rsidRPr="000C156A">
        <w:rPr>
          <w:rFonts w:hint="eastAsia"/>
          <w:lang w:eastAsia="zh-CN"/>
        </w:rPr>
        <w:t>国际电联从</w:t>
      </w:r>
      <w:r w:rsidRPr="000C156A">
        <w:rPr>
          <w:rFonts w:hint="eastAsia"/>
          <w:lang w:val="fr-FR" w:eastAsia="zh-CN"/>
        </w:rPr>
        <w:t>2021</w:t>
      </w:r>
      <w:r w:rsidRPr="000C156A">
        <w:rPr>
          <w:rFonts w:hint="eastAsia"/>
          <w:lang w:eastAsia="zh-CN"/>
        </w:rPr>
        <w:t>年</w:t>
      </w:r>
      <w:r w:rsidRPr="000C156A">
        <w:rPr>
          <w:rFonts w:hint="eastAsia"/>
          <w:lang w:val="fr-FR" w:eastAsia="zh-CN"/>
        </w:rPr>
        <w:t>1</w:t>
      </w:r>
      <w:r w:rsidRPr="000C156A">
        <w:rPr>
          <w:rFonts w:hint="eastAsia"/>
          <w:lang w:eastAsia="zh-CN"/>
        </w:rPr>
        <w:t>月</w:t>
      </w:r>
      <w:r w:rsidRPr="000C156A">
        <w:rPr>
          <w:rFonts w:hint="eastAsia"/>
          <w:lang w:val="fr-FR" w:eastAsia="zh-CN"/>
        </w:rPr>
        <w:t>1</w:t>
      </w:r>
      <w:r w:rsidRPr="000C156A">
        <w:rPr>
          <w:rFonts w:hint="eastAsia"/>
          <w:lang w:eastAsia="zh-CN"/>
        </w:rPr>
        <w:t>日起加入</w:t>
      </w:r>
      <w:r w:rsidRPr="000C156A">
        <w:rPr>
          <w:rFonts w:eastAsia="Times New Roman"/>
          <w:lang w:val="fr-FR"/>
        </w:rPr>
        <w:t>UNSMIS</w:t>
      </w:r>
      <w:r w:rsidRPr="000C156A">
        <w:rPr>
          <w:rFonts w:hint="eastAsia"/>
          <w:lang w:val="fr-FR" w:eastAsia="zh-CN"/>
        </w:rPr>
        <w:t>，</w:t>
      </w:r>
      <w:r w:rsidRPr="000C156A">
        <w:rPr>
          <w:rFonts w:hint="eastAsia"/>
          <w:lang w:eastAsia="zh-CN"/>
        </w:rPr>
        <w:t>且签署了一份合同</w:t>
      </w:r>
      <w:r w:rsidRPr="000C156A">
        <w:rPr>
          <w:rFonts w:hint="eastAsia"/>
          <w:lang w:val="fr-FR" w:eastAsia="zh-CN"/>
        </w:rPr>
        <w:t>，</w:t>
      </w:r>
      <w:r w:rsidRPr="000C156A">
        <w:rPr>
          <w:rFonts w:hint="eastAsia"/>
          <w:lang w:eastAsia="zh-CN"/>
        </w:rPr>
        <w:t>其中对额外缴款</w:t>
      </w:r>
      <w:r w:rsidRPr="000C156A">
        <w:rPr>
          <w:rFonts w:hint="eastAsia"/>
          <w:lang w:val="fr-FR" w:eastAsia="zh-CN"/>
        </w:rPr>
        <w:t>（</w:t>
      </w:r>
      <w:r w:rsidRPr="000C156A">
        <w:rPr>
          <w:rFonts w:eastAsia="Times New Roman"/>
          <w:lang w:val="fr-FR"/>
        </w:rPr>
        <w:t>extraordinary contributions</w:t>
      </w:r>
      <w:r w:rsidRPr="000C156A">
        <w:rPr>
          <w:rFonts w:ascii="SimSun" w:hAnsi="SimSun" w:cs="SimSun" w:hint="eastAsia"/>
          <w:lang w:val="fr-FR" w:eastAsia="zh-CN"/>
        </w:rPr>
        <w:t>）</w:t>
      </w:r>
      <w:r w:rsidRPr="000C156A">
        <w:rPr>
          <w:rFonts w:hint="eastAsia"/>
          <w:lang w:eastAsia="zh-CN"/>
        </w:rPr>
        <w:t>的支付做出规定。这笔额外缴款在</w:t>
      </w:r>
      <w:r w:rsidRPr="000C156A">
        <w:rPr>
          <w:rFonts w:hint="eastAsia"/>
          <w:lang w:val="fr-FR" w:eastAsia="zh-CN"/>
        </w:rPr>
        <w:t>13</w:t>
      </w:r>
      <w:r w:rsidRPr="000C156A">
        <w:rPr>
          <w:rFonts w:hint="eastAsia"/>
          <w:lang w:eastAsia="zh-CN"/>
        </w:rPr>
        <w:t>年内共计</w:t>
      </w:r>
      <w:r w:rsidRPr="000C156A">
        <w:rPr>
          <w:rFonts w:hint="eastAsia"/>
          <w:lang w:val="fr-FR" w:eastAsia="zh-CN"/>
        </w:rPr>
        <w:t>2</w:t>
      </w:r>
      <w:r w:rsidRPr="000C156A">
        <w:rPr>
          <w:lang w:val="fr-FR" w:eastAsia="zh-CN"/>
        </w:rPr>
        <w:t xml:space="preserve"> </w:t>
      </w:r>
      <w:r w:rsidRPr="000C156A">
        <w:rPr>
          <w:rFonts w:hint="eastAsia"/>
          <w:lang w:val="fr-FR" w:eastAsia="zh-CN"/>
        </w:rPr>
        <w:t>253</w:t>
      </w:r>
      <w:r w:rsidRPr="000C156A">
        <w:rPr>
          <w:rFonts w:hint="eastAsia"/>
          <w:lang w:eastAsia="zh-CN"/>
        </w:rPr>
        <w:t>万美元。第一笔分期付款已于</w:t>
      </w:r>
      <w:r w:rsidRPr="000C156A">
        <w:rPr>
          <w:rFonts w:hint="eastAsia"/>
          <w:lang w:val="fr-FR" w:eastAsia="zh-CN"/>
        </w:rPr>
        <w:t>2020</w:t>
      </w:r>
      <w:r w:rsidRPr="000C156A">
        <w:rPr>
          <w:rFonts w:hint="eastAsia"/>
          <w:lang w:eastAsia="zh-CN"/>
        </w:rPr>
        <w:t>年支付。</w:t>
      </w:r>
    </w:p>
    <w:p w14:paraId="22A9B410" w14:textId="77777777" w:rsidR="009630A9" w:rsidRPr="000C156A" w:rsidRDefault="009630A9" w:rsidP="009630A9">
      <w:pPr>
        <w:pStyle w:val="Heading1"/>
        <w:spacing w:before="120" w:after="120"/>
        <w:rPr>
          <w:rFonts w:cs="Microsoft YaHei"/>
          <w:sz w:val="24"/>
          <w:szCs w:val="24"/>
          <w:lang w:eastAsia="zh-CN"/>
        </w:rPr>
      </w:pPr>
      <w:bookmarkStart w:id="1046" w:name="_MON_1394891130"/>
      <w:bookmarkStart w:id="1047" w:name="_MON_1402750365"/>
      <w:bookmarkStart w:id="1048" w:name="_Toc482892590"/>
      <w:bookmarkStart w:id="1049" w:name="_Toc387089408"/>
      <w:bookmarkStart w:id="1050" w:name="_Toc511813774"/>
      <w:bookmarkStart w:id="1051" w:name="_Toc511817857"/>
      <w:bookmarkStart w:id="1052" w:name="_Toc520280757"/>
      <w:bookmarkStart w:id="1053" w:name="_Toc10536851"/>
      <w:bookmarkStart w:id="1054" w:name="_Toc41905903"/>
      <w:bookmarkStart w:id="1055" w:name="_Toc41906924"/>
      <w:bookmarkStart w:id="1056" w:name="_Toc41908073"/>
      <w:bookmarkStart w:id="1057" w:name="_Toc73518731"/>
      <w:bookmarkStart w:id="1058" w:name="_Toc73518878"/>
      <w:bookmarkStart w:id="1059" w:name="_Toc73519278"/>
      <w:bookmarkStart w:id="1060" w:name="_Toc73636317"/>
      <w:bookmarkStart w:id="1061" w:name="_Toc329011663"/>
      <w:bookmarkStart w:id="1062" w:name="_Toc305764121"/>
      <w:bookmarkEnd w:id="1005"/>
      <w:bookmarkEnd w:id="1006"/>
      <w:bookmarkEnd w:id="1046"/>
      <w:bookmarkEnd w:id="1047"/>
      <w:r w:rsidRPr="000C156A">
        <w:rPr>
          <w:rFonts w:cs="Microsoft YaHei" w:hint="eastAsia"/>
          <w:sz w:val="24"/>
          <w:szCs w:val="24"/>
          <w:lang w:val="fr-FR" w:eastAsia="zh-CN"/>
        </w:rPr>
        <w:t>说明</w:t>
      </w:r>
      <w:r w:rsidRPr="000C156A">
        <w:rPr>
          <w:rFonts w:cs="Microsoft YaHei"/>
          <w:sz w:val="24"/>
          <w:szCs w:val="24"/>
          <w:lang w:eastAsia="zh-CN"/>
        </w:rPr>
        <w:t>29</w:t>
      </w:r>
      <w:r w:rsidRPr="000C156A">
        <w:rPr>
          <w:rFonts w:cs="Microsoft YaHei"/>
          <w:sz w:val="24"/>
          <w:szCs w:val="24"/>
          <w:lang w:eastAsia="zh-CN"/>
        </w:rPr>
        <w:tab/>
      </w:r>
      <w:r w:rsidRPr="000C156A">
        <w:rPr>
          <w:rFonts w:cs="Microsoft YaHei" w:hint="eastAsia"/>
          <w:sz w:val="24"/>
          <w:szCs w:val="24"/>
          <w:lang w:val="fr-FR" w:eastAsia="zh-CN"/>
        </w:rPr>
        <w:t>报告日期之后出现的</w:t>
      </w:r>
      <w:bookmarkEnd w:id="1048"/>
      <w:bookmarkEnd w:id="1049"/>
      <w:bookmarkEnd w:id="1050"/>
      <w:bookmarkEnd w:id="1051"/>
      <w:bookmarkEnd w:id="1052"/>
      <w:bookmarkEnd w:id="1053"/>
      <w:bookmarkEnd w:id="1054"/>
      <w:bookmarkEnd w:id="1055"/>
      <w:bookmarkEnd w:id="1056"/>
      <w:r w:rsidRPr="000C156A">
        <w:rPr>
          <w:rFonts w:cs="Microsoft YaHei" w:hint="eastAsia"/>
          <w:sz w:val="24"/>
          <w:szCs w:val="24"/>
          <w:lang w:val="fr-FR" w:eastAsia="zh-CN"/>
        </w:rPr>
        <w:t>事件</w:t>
      </w:r>
      <w:bookmarkEnd w:id="1057"/>
      <w:bookmarkEnd w:id="1058"/>
      <w:bookmarkEnd w:id="1059"/>
      <w:bookmarkEnd w:id="1060"/>
    </w:p>
    <w:p w14:paraId="636D865A" w14:textId="77777777" w:rsidR="009630A9" w:rsidRPr="000C156A" w:rsidRDefault="009630A9" w:rsidP="006A5E5E">
      <w:pPr>
        <w:ind w:firstLineChars="200" w:firstLine="480"/>
        <w:jc w:val="both"/>
        <w:rPr>
          <w:lang w:val="en-US" w:eastAsia="zh-CN"/>
        </w:rPr>
      </w:pPr>
      <w:r w:rsidRPr="000C156A">
        <w:rPr>
          <w:rFonts w:hint="eastAsia"/>
          <w:lang w:val="en-US" w:eastAsia="zh-CN"/>
        </w:rPr>
        <w:t>在秘书长于</w:t>
      </w:r>
      <w:r w:rsidRPr="000C156A">
        <w:rPr>
          <w:rFonts w:hint="eastAsia"/>
          <w:lang w:val="en-US" w:eastAsia="zh-CN"/>
        </w:rPr>
        <w:t>2021</w:t>
      </w:r>
      <w:r w:rsidRPr="000C156A">
        <w:rPr>
          <w:rFonts w:hint="eastAsia"/>
          <w:lang w:val="en-US" w:eastAsia="zh-CN"/>
        </w:rPr>
        <w:t>年</w:t>
      </w:r>
      <w:r w:rsidRPr="000C156A">
        <w:rPr>
          <w:rFonts w:hint="eastAsia"/>
          <w:lang w:val="en-US" w:eastAsia="zh-CN"/>
        </w:rPr>
        <w:t>3</w:t>
      </w:r>
      <w:r w:rsidRPr="000C156A">
        <w:rPr>
          <w:rFonts w:hint="eastAsia"/>
          <w:lang w:val="en-US" w:eastAsia="zh-CN"/>
        </w:rPr>
        <w:t>月</w:t>
      </w:r>
      <w:r w:rsidRPr="000C156A">
        <w:rPr>
          <w:rFonts w:hint="eastAsia"/>
          <w:lang w:val="en-US" w:eastAsia="zh-CN"/>
        </w:rPr>
        <w:t>15</w:t>
      </w:r>
      <w:r w:rsidRPr="000C156A">
        <w:rPr>
          <w:rFonts w:hint="eastAsia"/>
          <w:lang w:val="en-US" w:eastAsia="zh-CN"/>
        </w:rPr>
        <w:t>日签署财务报表并提交给理事会之后，未出现在账目关闭之日后发生的对</w:t>
      </w:r>
      <w:r w:rsidRPr="000C156A">
        <w:rPr>
          <w:rFonts w:hint="eastAsia"/>
          <w:lang w:val="en-US" w:eastAsia="zh-CN"/>
        </w:rPr>
        <w:t>2020</w:t>
      </w:r>
      <w:r w:rsidRPr="000C156A">
        <w:rPr>
          <w:rFonts w:hint="eastAsia"/>
          <w:lang w:val="en-US" w:eastAsia="zh-CN"/>
        </w:rPr>
        <w:t>财政年度财务报表有重大影响的新重大事件。然而，当前世界性疫情仍然是令人关切的问题，因此对已经采取的措施的后续行动我们给予最大的关注。</w:t>
      </w:r>
    </w:p>
    <w:bookmarkEnd w:id="1061"/>
    <w:bookmarkEnd w:id="1062"/>
    <w:p w14:paraId="7BC821E7" w14:textId="77777777" w:rsidR="009630A9" w:rsidRPr="000C156A" w:rsidRDefault="009630A9" w:rsidP="009630A9">
      <w:pPr>
        <w:rPr>
          <w:sz w:val="28"/>
          <w:lang w:eastAsia="zh-CN"/>
        </w:rPr>
      </w:pPr>
      <w:r w:rsidRPr="000C156A">
        <w:rPr>
          <w:lang w:eastAsia="zh-CN"/>
        </w:rPr>
        <w:br w:type="page"/>
      </w:r>
      <w:bookmarkStart w:id="1063" w:name="_Toc358364828"/>
    </w:p>
    <w:p w14:paraId="47C99ABF" w14:textId="77777777" w:rsidR="009630A9" w:rsidRPr="000C156A" w:rsidRDefault="009630A9" w:rsidP="009630A9">
      <w:pPr>
        <w:pStyle w:val="Heading1"/>
        <w:rPr>
          <w:lang w:val="en-US" w:eastAsia="zh-CN"/>
        </w:rPr>
      </w:pPr>
      <w:bookmarkStart w:id="1064" w:name="_Toc482894262"/>
      <w:bookmarkStart w:id="1065" w:name="_Toc511116013"/>
      <w:bookmarkStart w:id="1066" w:name="_Toc41905904"/>
      <w:bookmarkStart w:id="1067" w:name="_Toc41908074"/>
      <w:bookmarkStart w:id="1068" w:name="_Toc73518732"/>
      <w:bookmarkStart w:id="1069" w:name="_Toc73519279"/>
      <w:bookmarkStart w:id="1070" w:name="_Toc73636318"/>
      <w:r w:rsidRPr="000C156A">
        <w:rPr>
          <w:rFonts w:hint="eastAsia"/>
          <w:lang w:eastAsia="zh-CN"/>
        </w:rPr>
        <w:lastRenderedPageBreak/>
        <w:t>一</w:t>
      </w:r>
      <w:r w:rsidRPr="000C156A">
        <w:rPr>
          <w:lang w:eastAsia="zh-CN"/>
        </w:rPr>
        <w:tab/>
      </w:r>
      <w:r w:rsidRPr="000C156A">
        <w:rPr>
          <w:rFonts w:hint="eastAsia"/>
          <w:lang w:eastAsia="zh-CN"/>
        </w:rPr>
        <w:t>正常预算（附件</w:t>
      </w:r>
      <w:r w:rsidRPr="000C156A">
        <w:rPr>
          <w:lang w:eastAsia="zh-CN"/>
        </w:rPr>
        <w:t>B1</w:t>
      </w:r>
      <w:r w:rsidRPr="000C156A">
        <w:rPr>
          <w:rFonts w:hint="eastAsia"/>
          <w:lang w:eastAsia="zh-CN"/>
        </w:rPr>
        <w:t>）</w:t>
      </w:r>
      <w:bookmarkEnd w:id="1063"/>
      <w:bookmarkEnd w:id="1064"/>
      <w:bookmarkEnd w:id="1065"/>
      <w:bookmarkEnd w:id="1066"/>
      <w:bookmarkEnd w:id="1067"/>
      <w:bookmarkEnd w:id="1068"/>
      <w:bookmarkEnd w:id="1069"/>
      <w:bookmarkEnd w:id="1070"/>
    </w:p>
    <w:p w14:paraId="1C4266BC" w14:textId="77777777" w:rsidR="009630A9" w:rsidRPr="000C156A" w:rsidRDefault="009630A9" w:rsidP="009630A9">
      <w:pPr>
        <w:pStyle w:val="Headingb"/>
        <w:rPr>
          <w:lang w:val="en-US" w:eastAsia="zh-CN"/>
        </w:rPr>
      </w:pPr>
      <w:bookmarkStart w:id="1071" w:name="_Toc73518733"/>
      <w:bookmarkStart w:id="1072" w:name="_Toc73518880"/>
      <w:bookmarkStart w:id="1073" w:name="_Toc73519280"/>
      <w:bookmarkStart w:id="1074" w:name="_Toc73636319"/>
      <w:r w:rsidRPr="000C156A">
        <w:rPr>
          <w:rFonts w:hint="eastAsia"/>
          <w:lang w:val="en-US" w:eastAsia="zh-CN"/>
        </w:rPr>
        <w:t>正常预算</w:t>
      </w:r>
      <w:bookmarkEnd w:id="1071"/>
      <w:bookmarkEnd w:id="1072"/>
      <w:bookmarkEnd w:id="1073"/>
      <w:bookmarkEnd w:id="1074"/>
    </w:p>
    <w:p w14:paraId="3A6BE981" w14:textId="77777777" w:rsidR="009630A9" w:rsidRPr="000C156A" w:rsidRDefault="009630A9" w:rsidP="009630A9">
      <w:pPr>
        <w:rPr>
          <w:lang w:eastAsia="zh-CN"/>
        </w:rPr>
      </w:pPr>
      <w:r w:rsidRPr="000C156A">
        <w:rPr>
          <w:lang w:eastAsia="zh-CN"/>
        </w:rPr>
        <w:t>5</w:t>
      </w:r>
      <w:r w:rsidRPr="000C156A">
        <w:rPr>
          <w:rFonts w:hint="eastAsia"/>
          <w:lang w:eastAsia="zh-CN"/>
        </w:rPr>
        <w:t>0</w:t>
      </w:r>
      <w:r w:rsidRPr="000C156A">
        <w:rPr>
          <w:lang w:eastAsia="zh-CN"/>
        </w:rPr>
        <w:tab/>
      </w:r>
      <w:r w:rsidRPr="000C156A">
        <w:rPr>
          <w:rFonts w:hint="eastAsia"/>
          <w:lang w:eastAsia="zh-CN"/>
        </w:rPr>
        <w:t>2020</w:t>
      </w:r>
      <w:r w:rsidRPr="000C156A">
        <w:rPr>
          <w:rFonts w:hint="eastAsia"/>
          <w:lang w:eastAsia="zh-CN"/>
        </w:rPr>
        <w:t>财政年度，最初预算的收入和支出为</w:t>
      </w:r>
      <w:r w:rsidRPr="000C156A">
        <w:rPr>
          <w:rFonts w:hint="eastAsia"/>
          <w:lang w:eastAsia="zh-CN"/>
        </w:rPr>
        <w:t>1.6747</w:t>
      </w:r>
      <w:r w:rsidRPr="000C156A">
        <w:rPr>
          <w:rFonts w:hint="eastAsia"/>
          <w:lang w:eastAsia="zh-CN"/>
        </w:rPr>
        <w:t>亿瑞郎。由于</w:t>
      </w:r>
      <w:r w:rsidRPr="000C156A">
        <w:rPr>
          <w:rFonts w:hint="eastAsia"/>
          <w:lang w:eastAsia="zh-CN"/>
        </w:rPr>
        <w:t>WTDC</w:t>
      </w:r>
      <w:r w:rsidRPr="000C156A">
        <w:rPr>
          <w:rFonts w:hint="eastAsia"/>
          <w:lang w:eastAsia="zh-CN"/>
        </w:rPr>
        <w:t>延期至</w:t>
      </w:r>
      <w:r w:rsidRPr="000C156A">
        <w:rPr>
          <w:rFonts w:hint="eastAsia"/>
          <w:lang w:eastAsia="zh-CN"/>
        </w:rPr>
        <w:t>2022</w:t>
      </w:r>
      <w:r w:rsidRPr="000C156A">
        <w:rPr>
          <w:rFonts w:hint="eastAsia"/>
          <w:lang w:eastAsia="zh-CN"/>
        </w:rPr>
        <w:t>年、</w:t>
      </w:r>
      <w:r w:rsidRPr="000C156A">
        <w:rPr>
          <w:rFonts w:hint="eastAsia"/>
          <w:lang w:eastAsia="zh-CN"/>
        </w:rPr>
        <w:t>WTSA</w:t>
      </w:r>
      <w:r w:rsidRPr="000C156A">
        <w:rPr>
          <w:rFonts w:hint="eastAsia"/>
          <w:lang w:eastAsia="zh-CN"/>
        </w:rPr>
        <w:t>延期至</w:t>
      </w:r>
      <w:r w:rsidRPr="000C156A">
        <w:rPr>
          <w:rFonts w:hint="eastAsia"/>
          <w:lang w:eastAsia="zh-CN"/>
        </w:rPr>
        <w:t>2023</w:t>
      </w:r>
      <w:r w:rsidRPr="000C156A">
        <w:rPr>
          <w:rFonts w:hint="eastAsia"/>
          <w:lang w:eastAsia="zh-CN"/>
        </w:rPr>
        <w:t>年，因此</w:t>
      </w:r>
      <w:r w:rsidRPr="000C156A">
        <w:rPr>
          <w:rFonts w:hint="eastAsia"/>
          <w:lang w:eastAsia="zh-CN"/>
        </w:rPr>
        <w:t>186</w:t>
      </w:r>
      <w:r w:rsidRPr="000C156A">
        <w:rPr>
          <w:rFonts w:hint="eastAsia"/>
          <w:lang w:eastAsia="zh-CN"/>
        </w:rPr>
        <w:t>万瑞郎被登记为延期活动，所以最终预算为</w:t>
      </w:r>
      <w:r w:rsidRPr="000C156A">
        <w:rPr>
          <w:rFonts w:hint="eastAsia"/>
          <w:lang w:eastAsia="zh-CN"/>
        </w:rPr>
        <w:t>1.6511</w:t>
      </w:r>
      <w:r w:rsidRPr="000C156A">
        <w:rPr>
          <w:rFonts w:hint="eastAsia"/>
          <w:lang w:eastAsia="zh-CN"/>
        </w:rPr>
        <w:t>亿瑞郎。</w:t>
      </w:r>
    </w:p>
    <w:p w14:paraId="58E9BDF9" w14:textId="77777777" w:rsidR="009630A9" w:rsidRPr="000C156A" w:rsidRDefault="009630A9" w:rsidP="009630A9">
      <w:pPr>
        <w:pStyle w:val="Headingb"/>
        <w:rPr>
          <w:lang w:val="en-US" w:eastAsia="zh-CN"/>
        </w:rPr>
      </w:pPr>
      <w:bookmarkStart w:id="1075" w:name="_Toc73518734"/>
      <w:bookmarkStart w:id="1076" w:name="_Toc73518881"/>
      <w:bookmarkStart w:id="1077" w:name="_Toc73519281"/>
      <w:bookmarkStart w:id="1078" w:name="_Toc73636320"/>
      <w:r w:rsidRPr="000C156A">
        <w:rPr>
          <w:rFonts w:hint="eastAsia"/>
          <w:lang w:val="en-US" w:eastAsia="zh-CN"/>
        </w:rPr>
        <w:t>收入</w:t>
      </w:r>
      <w:bookmarkEnd w:id="1075"/>
      <w:bookmarkEnd w:id="1076"/>
      <w:bookmarkEnd w:id="1077"/>
      <w:bookmarkEnd w:id="1078"/>
    </w:p>
    <w:p w14:paraId="1A29D792" w14:textId="77777777" w:rsidR="009630A9" w:rsidRPr="000C156A" w:rsidRDefault="009630A9" w:rsidP="009630A9">
      <w:pPr>
        <w:rPr>
          <w:lang w:val="en-US" w:eastAsia="zh-CN"/>
        </w:rPr>
      </w:pPr>
      <w:r w:rsidRPr="000C156A">
        <w:rPr>
          <w:lang w:val="en-US" w:eastAsia="zh-CN"/>
        </w:rPr>
        <w:t>5</w:t>
      </w:r>
      <w:r w:rsidRPr="000C156A">
        <w:rPr>
          <w:rFonts w:hint="eastAsia"/>
          <w:lang w:val="en-US" w:eastAsia="zh-CN"/>
        </w:rPr>
        <w:t>1</w:t>
      </w:r>
      <w:r w:rsidRPr="000C156A">
        <w:rPr>
          <w:lang w:val="en-US" w:eastAsia="zh-CN"/>
        </w:rPr>
        <w:tab/>
        <w:t>20</w:t>
      </w:r>
      <w:r w:rsidRPr="000C156A">
        <w:rPr>
          <w:rFonts w:hint="eastAsia"/>
          <w:lang w:val="en-US" w:eastAsia="zh-CN"/>
        </w:rPr>
        <w:t>20</w:t>
      </w:r>
      <w:r w:rsidRPr="000C156A">
        <w:rPr>
          <w:rFonts w:hint="eastAsia"/>
          <w:lang w:val="en-US" w:eastAsia="zh-CN"/>
        </w:rPr>
        <w:t>年为办公楼（</w:t>
      </w:r>
      <w:r w:rsidRPr="000C156A">
        <w:rPr>
          <w:lang w:val="en-US" w:eastAsia="zh-CN"/>
        </w:rPr>
        <w:t>75</w:t>
      </w:r>
      <w:r w:rsidRPr="000C156A">
        <w:rPr>
          <w:rFonts w:hint="eastAsia"/>
          <w:lang w:val="en-US" w:eastAsia="zh-CN"/>
        </w:rPr>
        <w:t>万瑞郎）和</w:t>
      </w:r>
      <w:r w:rsidRPr="000C156A">
        <w:rPr>
          <w:lang w:val="en-US" w:eastAsia="zh-CN"/>
        </w:rPr>
        <w:t>ICT</w:t>
      </w:r>
      <w:r w:rsidRPr="000C156A">
        <w:rPr>
          <w:rFonts w:hint="eastAsia"/>
          <w:lang w:val="en-US" w:eastAsia="zh-CN"/>
        </w:rPr>
        <w:t>项目（</w:t>
      </w:r>
      <w:r w:rsidRPr="000C156A">
        <w:rPr>
          <w:rFonts w:hint="eastAsia"/>
          <w:lang w:val="en-US" w:eastAsia="zh-CN"/>
        </w:rPr>
        <w:t>1</w:t>
      </w:r>
      <w:r w:rsidRPr="000C156A">
        <w:rPr>
          <w:lang w:val="en-US" w:eastAsia="zh-CN"/>
        </w:rPr>
        <w:t>50</w:t>
      </w:r>
      <w:r w:rsidRPr="000C156A">
        <w:rPr>
          <w:rFonts w:hint="eastAsia"/>
          <w:lang w:val="en-US" w:eastAsia="zh-CN"/>
        </w:rPr>
        <w:t>万瑞郎）划拨的预算为</w:t>
      </w:r>
      <w:r w:rsidRPr="000C156A">
        <w:rPr>
          <w:rFonts w:hint="eastAsia"/>
          <w:lang w:val="en-US" w:eastAsia="zh-CN"/>
        </w:rPr>
        <w:t>2</w:t>
      </w:r>
      <w:r w:rsidRPr="000C156A">
        <w:rPr>
          <w:lang w:val="en-US" w:eastAsia="zh-CN"/>
        </w:rPr>
        <w:t>25</w:t>
      </w:r>
      <w:r w:rsidRPr="000C156A">
        <w:rPr>
          <w:rFonts w:hint="eastAsia"/>
          <w:lang w:val="en-US" w:eastAsia="zh-CN"/>
        </w:rPr>
        <w:t>万瑞郎。</w:t>
      </w:r>
      <w:r w:rsidRPr="000C156A">
        <w:rPr>
          <w:lang w:val="en-US" w:eastAsia="zh-CN"/>
        </w:rPr>
        <w:t>20</w:t>
      </w:r>
      <w:r w:rsidRPr="000C156A">
        <w:rPr>
          <w:rFonts w:hint="eastAsia"/>
          <w:lang w:val="en-US" w:eastAsia="zh-CN"/>
        </w:rPr>
        <w:t>20</w:t>
      </w:r>
      <w:r w:rsidRPr="000C156A">
        <w:rPr>
          <w:rFonts w:hint="eastAsia"/>
          <w:lang w:val="en-US" w:eastAsia="zh-CN"/>
        </w:rPr>
        <w:t>年的相关费用包含在总秘书处的总费用中。</w:t>
      </w:r>
    </w:p>
    <w:p w14:paraId="523FB4E9" w14:textId="77777777" w:rsidR="009630A9" w:rsidRPr="000C156A" w:rsidRDefault="009630A9" w:rsidP="009630A9">
      <w:pPr>
        <w:pStyle w:val="Headingb"/>
        <w:rPr>
          <w:lang w:val="en-US" w:eastAsia="zh-CN"/>
        </w:rPr>
      </w:pPr>
      <w:bookmarkStart w:id="1079" w:name="_Toc73518735"/>
      <w:bookmarkStart w:id="1080" w:name="_Toc73518882"/>
      <w:bookmarkStart w:id="1081" w:name="_Toc73519282"/>
      <w:bookmarkStart w:id="1082" w:name="_Toc73636321"/>
      <w:r w:rsidRPr="000C156A">
        <w:rPr>
          <w:rFonts w:hint="eastAsia"/>
          <w:lang w:val="en-US" w:eastAsia="zh-CN"/>
        </w:rPr>
        <w:t>分摊会费</w:t>
      </w:r>
      <w:bookmarkEnd w:id="1079"/>
      <w:bookmarkEnd w:id="1080"/>
      <w:bookmarkEnd w:id="1081"/>
      <w:bookmarkEnd w:id="1082"/>
    </w:p>
    <w:p w14:paraId="710C2350" w14:textId="77777777" w:rsidR="009630A9" w:rsidRPr="000C156A" w:rsidRDefault="009630A9" w:rsidP="00140CE6">
      <w:pPr>
        <w:rPr>
          <w:lang w:val="en-US" w:eastAsia="zh-CN"/>
        </w:rPr>
      </w:pPr>
      <w:r w:rsidRPr="000C156A">
        <w:rPr>
          <w:lang w:val="en-US" w:eastAsia="zh-CN"/>
        </w:rPr>
        <w:t>5</w:t>
      </w:r>
      <w:r w:rsidRPr="000C156A">
        <w:rPr>
          <w:rFonts w:hint="eastAsia"/>
          <w:lang w:val="en-US" w:eastAsia="zh-CN"/>
        </w:rPr>
        <w:t>2</w:t>
      </w:r>
      <w:r w:rsidRPr="000C156A">
        <w:rPr>
          <w:lang w:val="en-US" w:eastAsia="zh-CN"/>
        </w:rPr>
        <w:tab/>
        <w:t>20</w:t>
      </w:r>
      <w:r w:rsidRPr="000C156A">
        <w:rPr>
          <w:rFonts w:hint="eastAsia"/>
          <w:lang w:val="en-US" w:eastAsia="zh-CN"/>
        </w:rPr>
        <w:t>20</w:t>
      </w:r>
      <w:r w:rsidRPr="000C156A">
        <w:rPr>
          <w:lang w:val="en-US" w:eastAsia="zh-CN"/>
        </w:rPr>
        <w:t>-20</w:t>
      </w:r>
      <w:r w:rsidRPr="000C156A">
        <w:rPr>
          <w:rFonts w:hint="eastAsia"/>
          <w:lang w:val="en-US" w:eastAsia="zh-CN"/>
        </w:rPr>
        <w:t>21</w:t>
      </w:r>
      <w:r w:rsidRPr="000C156A">
        <w:rPr>
          <w:rFonts w:hint="eastAsia"/>
          <w:lang w:val="en-US" w:eastAsia="zh-CN"/>
        </w:rPr>
        <w:t>双年度中，每年的分摊会费收入预算为</w:t>
      </w:r>
      <w:r w:rsidRPr="000C156A">
        <w:rPr>
          <w:lang w:val="en-US" w:eastAsia="zh-CN"/>
        </w:rPr>
        <w:t>1.2555</w:t>
      </w:r>
      <w:r w:rsidRPr="000C156A">
        <w:rPr>
          <w:rFonts w:hint="eastAsia"/>
          <w:lang w:val="en-US" w:eastAsia="zh-CN"/>
        </w:rPr>
        <w:t>亿瑞郎。</w:t>
      </w:r>
      <w:r w:rsidRPr="000C156A">
        <w:rPr>
          <w:lang w:val="en-US" w:eastAsia="zh-CN"/>
        </w:rPr>
        <w:t>20</w:t>
      </w:r>
      <w:r w:rsidRPr="000C156A">
        <w:rPr>
          <w:rFonts w:hint="eastAsia"/>
          <w:lang w:val="en-US" w:eastAsia="zh-CN"/>
        </w:rPr>
        <w:t>20</w:t>
      </w:r>
      <w:r w:rsidRPr="000C156A">
        <w:rPr>
          <w:rFonts w:hint="eastAsia"/>
          <w:lang w:val="en-US" w:eastAsia="zh-CN"/>
        </w:rPr>
        <w:t>年实际计入账目的会费总额为</w:t>
      </w:r>
      <w:r w:rsidRPr="000C156A">
        <w:rPr>
          <w:lang w:val="en-US" w:eastAsia="zh-CN"/>
        </w:rPr>
        <w:t>1.2574</w:t>
      </w:r>
      <w:r w:rsidRPr="000C156A">
        <w:rPr>
          <w:rFonts w:hint="eastAsia"/>
          <w:lang w:val="en-US" w:eastAsia="zh-CN"/>
        </w:rPr>
        <w:t>亿瑞郎。</w:t>
      </w:r>
    </w:p>
    <w:p w14:paraId="79B397A4" w14:textId="77777777" w:rsidR="009630A9" w:rsidRPr="000C156A" w:rsidRDefault="009630A9" w:rsidP="00140CE6">
      <w:pPr>
        <w:rPr>
          <w:bCs/>
          <w:lang w:eastAsia="zh-CN"/>
        </w:rPr>
      </w:pPr>
      <w:r w:rsidRPr="000C156A">
        <w:rPr>
          <w:bCs/>
          <w:lang w:eastAsia="zh-CN"/>
        </w:rPr>
        <w:t>5</w:t>
      </w:r>
      <w:r w:rsidRPr="000C156A">
        <w:rPr>
          <w:rFonts w:hint="eastAsia"/>
          <w:bCs/>
          <w:lang w:eastAsia="zh-CN"/>
        </w:rPr>
        <w:t>3</w:t>
      </w:r>
      <w:r w:rsidRPr="000C156A">
        <w:rPr>
          <w:bCs/>
          <w:lang w:eastAsia="zh-CN"/>
        </w:rPr>
        <w:tab/>
      </w:r>
      <w:r w:rsidRPr="000C156A">
        <w:rPr>
          <w:rFonts w:hint="eastAsia"/>
          <w:lang w:val="en-US" w:eastAsia="zh-CN"/>
        </w:rPr>
        <w:t>尽管面临</w:t>
      </w:r>
      <w:r w:rsidRPr="000C156A">
        <w:rPr>
          <w:rFonts w:hint="eastAsia"/>
          <w:lang w:val="en-US" w:eastAsia="zh-CN"/>
        </w:rPr>
        <w:t>COVID</w:t>
      </w:r>
      <w:r w:rsidRPr="000C156A">
        <w:rPr>
          <w:rFonts w:hint="eastAsia"/>
          <w:lang w:val="en-US" w:eastAsia="zh-CN"/>
        </w:rPr>
        <w:t>和全球经济放缓的挑战，以及由此导致的行业整合，但国际电联的成员在</w:t>
      </w:r>
      <w:r w:rsidRPr="000C156A">
        <w:rPr>
          <w:rFonts w:hint="eastAsia"/>
          <w:lang w:val="en-US" w:eastAsia="zh-CN"/>
        </w:rPr>
        <w:t>2020</w:t>
      </w:r>
      <w:r w:rsidRPr="000C156A">
        <w:rPr>
          <w:rFonts w:hint="eastAsia"/>
          <w:lang w:val="en-US" w:eastAsia="zh-CN"/>
        </w:rPr>
        <w:t>年保持稳定，甚至略有增长。国际电联成员达到</w:t>
      </w:r>
      <w:r w:rsidRPr="000C156A">
        <w:rPr>
          <w:rFonts w:hint="eastAsia"/>
          <w:lang w:val="en-US" w:eastAsia="zh-CN"/>
        </w:rPr>
        <w:t>925</w:t>
      </w:r>
      <w:r w:rsidRPr="000C156A">
        <w:rPr>
          <w:rFonts w:hint="eastAsia"/>
          <w:lang w:val="en-US" w:eastAsia="zh-CN"/>
        </w:rPr>
        <w:t>个实体，是有史以来的最高水平，包括近</w:t>
      </w:r>
      <w:r w:rsidRPr="000C156A">
        <w:rPr>
          <w:rFonts w:hint="eastAsia"/>
          <w:lang w:val="en-US" w:eastAsia="zh-CN"/>
        </w:rPr>
        <w:t>100</w:t>
      </w:r>
      <w:r w:rsidRPr="000C156A">
        <w:rPr>
          <w:rFonts w:hint="eastAsia"/>
          <w:lang w:val="en-US" w:eastAsia="zh-CN"/>
        </w:rPr>
        <w:t>个新成员</w:t>
      </w:r>
      <w:r w:rsidRPr="000C156A">
        <w:rPr>
          <w:rFonts w:ascii="SimSun" w:hAnsi="SimSun" w:cs="SimSun" w:hint="eastAsia"/>
          <w:color w:val="000000"/>
          <w:lang w:eastAsia="zh-CN"/>
        </w:rPr>
        <w:t>。</w:t>
      </w:r>
    </w:p>
    <w:p w14:paraId="79CD57D9" w14:textId="77777777" w:rsidR="009630A9" w:rsidRPr="000C156A" w:rsidRDefault="009630A9" w:rsidP="00140CE6">
      <w:pPr>
        <w:rPr>
          <w:rFonts w:ascii="Times New Roman" w:eastAsia="Times New Roman" w:hAnsi="Times New Roman"/>
          <w:color w:val="000000"/>
          <w:lang w:eastAsia="zh-CN"/>
        </w:rPr>
      </w:pPr>
      <w:r w:rsidRPr="000C156A">
        <w:rPr>
          <w:rFonts w:hint="eastAsia"/>
          <w:bCs/>
          <w:lang w:eastAsia="zh-CN"/>
        </w:rPr>
        <w:t>54</w:t>
      </w:r>
      <w:r w:rsidRPr="000C156A">
        <w:rPr>
          <w:bCs/>
          <w:lang w:eastAsia="zh-CN"/>
        </w:rPr>
        <w:tab/>
      </w:r>
      <w:r w:rsidRPr="000C156A">
        <w:rPr>
          <w:rFonts w:hint="eastAsia"/>
          <w:color w:val="000000"/>
          <w:lang w:eastAsia="zh-CN"/>
        </w:rPr>
        <w:t>业界成员增长最强劲的是</w:t>
      </w:r>
      <w:r w:rsidRPr="000C156A">
        <w:rPr>
          <w:color w:val="000000"/>
          <w:lang w:eastAsia="zh-CN"/>
        </w:rPr>
        <w:t>ITU-T</w:t>
      </w:r>
      <w:r w:rsidRPr="000C156A">
        <w:rPr>
          <w:rFonts w:hint="eastAsia"/>
          <w:color w:val="000000"/>
          <w:lang w:eastAsia="zh-CN"/>
        </w:rPr>
        <w:t>部门。在新活动的吸引下，专门研究新兴主题的领先学术界机构也加入了国际电联。</w:t>
      </w:r>
    </w:p>
    <w:p w14:paraId="55B027FA" w14:textId="77777777" w:rsidR="009630A9" w:rsidRPr="000C156A" w:rsidRDefault="009630A9" w:rsidP="00140CE6">
      <w:pPr>
        <w:widowControl w:val="0"/>
        <w:tabs>
          <w:tab w:val="left" w:pos="709"/>
        </w:tabs>
        <w:kinsoku w:val="0"/>
        <w:overflowPunct/>
        <w:autoSpaceDE/>
        <w:autoSpaceDN/>
        <w:snapToGrid w:val="0"/>
        <w:textAlignment w:val="auto"/>
        <w:rPr>
          <w:color w:val="000000"/>
          <w:lang w:eastAsia="zh-CN"/>
        </w:rPr>
      </w:pPr>
      <w:r w:rsidRPr="000C156A">
        <w:rPr>
          <w:rFonts w:hint="eastAsia"/>
          <w:color w:val="000000"/>
          <w:lang w:eastAsia="zh-CN"/>
        </w:rPr>
        <w:t>55</w:t>
      </w:r>
      <w:r w:rsidRPr="000C156A">
        <w:rPr>
          <w:color w:val="000000"/>
          <w:lang w:eastAsia="zh-CN"/>
        </w:rPr>
        <w:tab/>
      </w:r>
      <w:r w:rsidRPr="000C156A">
        <w:rPr>
          <w:rFonts w:hint="eastAsia"/>
          <w:color w:val="000000"/>
          <w:lang w:eastAsia="zh-CN"/>
        </w:rPr>
        <w:t>此外，根据第</w:t>
      </w:r>
      <w:r w:rsidRPr="000C156A">
        <w:rPr>
          <w:rFonts w:hint="eastAsia"/>
          <w:color w:val="000000"/>
          <w:lang w:eastAsia="zh-CN"/>
        </w:rPr>
        <w:t>209</w:t>
      </w:r>
      <w:r w:rsidRPr="000C156A">
        <w:rPr>
          <w:rFonts w:hint="eastAsia"/>
          <w:color w:val="000000"/>
          <w:lang w:eastAsia="zh-CN"/>
        </w:rPr>
        <w:t>号决议（</w:t>
      </w:r>
      <w:r w:rsidRPr="000C156A">
        <w:rPr>
          <w:rFonts w:hint="eastAsia"/>
          <w:color w:val="000000"/>
          <w:lang w:eastAsia="zh-CN"/>
        </w:rPr>
        <w:t>2018</w:t>
      </w:r>
      <w:r w:rsidRPr="000C156A">
        <w:rPr>
          <w:rFonts w:hint="eastAsia"/>
          <w:color w:val="000000"/>
          <w:lang w:eastAsia="zh-CN"/>
        </w:rPr>
        <w:t>年，迪拜），</w:t>
      </w:r>
      <w:r w:rsidRPr="000C156A">
        <w:rPr>
          <w:rFonts w:hint="eastAsia"/>
          <w:color w:val="000000"/>
          <w:lang w:eastAsia="zh-CN"/>
        </w:rPr>
        <w:t>2020</w:t>
      </w:r>
      <w:r w:rsidRPr="000C156A">
        <w:rPr>
          <w:rFonts w:hint="eastAsia"/>
          <w:color w:val="000000"/>
          <w:lang w:eastAsia="zh-CN"/>
        </w:rPr>
        <w:t>年对中小企业（</w:t>
      </w:r>
      <w:r w:rsidRPr="000C156A">
        <w:rPr>
          <w:rFonts w:hint="eastAsia"/>
          <w:color w:val="000000"/>
          <w:lang w:eastAsia="zh-CN"/>
        </w:rPr>
        <w:t>SME</w:t>
      </w:r>
      <w:r w:rsidRPr="000C156A">
        <w:rPr>
          <w:rFonts w:hint="eastAsia"/>
          <w:color w:val="000000"/>
          <w:lang w:eastAsia="zh-CN"/>
        </w:rPr>
        <w:t>）实行了新的减免会费措施。经过大量的数字营销和对外宣传工作，又有</w:t>
      </w:r>
      <w:r w:rsidRPr="000C156A">
        <w:rPr>
          <w:rFonts w:hint="eastAsia"/>
          <w:color w:val="000000"/>
          <w:lang w:eastAsia="zh-CN"/>
        </w:rPr>
        <w:t>23</w:t>
      </w:r>
      <w:r w:rsidRPr="000C156A">
        <w:rPr>
          <w:rFonts w:hint="eastAsia"/>
          <w:color w:val="000000"/>
          <w:lang w:eastAsia="zh-CN"/>
        </w:rPr>
        <w:t>家中小企业加入了国际电联大家庭，其中</w:t>
      </w:r>
      <w:r w:rsidRPr="000C156A">
        <w:rPr>
          <w:rFonts w:hint="eastAsia"/>
          <w:color w:val="000000"/>
          <w:lang w:eastAsia="zh-CN"/>
        </w:rPr>
        <w:t>21</w:t>
      </w:r>
      <w:r w:rsidRPr="000C156A">
        <w:rPr>
          <w:rFonts w:hint="eastAsia"/>
          <w:color w:val="000000"/>
          <w:lang w:eastAsia="zh-CN"/>
        </w:rPr>
        <w:t>家加入</w:t>
      </w:r>
      <w:r w:rsidRPr="000C156A">
        <w:rPr>
          <w:color w:val="000000"/>
          <w:lang w:eastAsia="zh-CN"/>
        </w:rPr>
        <w:t>ITU-T</w:t>
      </w:r>
      <w:r w:rsidRPr="000C156A">
        <w:rPr>
          <w:rFonts w:hint="eastAsia"/>
          <w:color w:val="000000"/>
          <w:lang w:eastAsia="zh-CN"/>
        </w:rPr>
        <w:t>，</w:t>
      </w:r>
      <w:r w:rsidRPr="000C156A">
        <w:rPr>
          <w:rFonts w:hint="eastAsia"/>
          <w:color w:val="000000"/>
          <w:lang w:eastAsia="zh-CN"/>
        </w:rPr>
        <w:t>2</w:t>
      </w:r>
      <w:r w:rsidRPr="000C156A">
        <w:rPr>
          <w:rFonts w:hint="eastAsia"/>
          <w:color w:val="000000"/>
          <w:lang w:eastAsia="zh-CN"/>
        </w:rPr>
        <w:t>家加入</w:t>
      </w:r>
      <w:r w:rsidRPr="000C156A">
        <w:rPr>
          <w:color w:val="000000"/>
          <w:lang w:eastAsia="zh-CN"/>
        </w:rPr>
        <w:t>ITU-R</w:t>
      </w:r>
      <w:r w:rsidRPr="000C156A">
        <w:rPr>
          <w:rFonts w:hint="eastAsia"/>
          <w:color w:val="000000"/>
          <w:lang w:eastAsia="zh-CN"/>
        </w:rPr>
        <w:t>。</w:t>
      </w:r>
      <w:r w:rsidRPr="000C156A">
        <w:rPr>
          <w:rFonts w:hint="eastAsia"/>
          <w:color w:val="000000"/>
          <w:lang w:eastAsia="zh-CN"/>
        </w:rPr>
        <w:t>2020</w:t>
      </w:r>
      <w:r w:rsidRPr="000C156A">
        <w:rPr>
          <w:rFonts w:hint="eastAsia"/>
          <w:color w:val="000000"/>
          <w:lang w:eastAsia="zh-CN"/>
        </w:rPr>
        <w:t>年，</w:t>
      </w:r>
      <w:r w:rsidRPr="000C156A">
        <w:rPr>
          <w:color w:val="000000"/>
          <w:lang w:eastAsia="zh-CN"/>
        </w:rPr>
        <w:t>ITU-T</w:t>
      </w:r>
      <w:r w:rsidRPr="000C156A">
        <w:rPr>
          <w:rFonts w:hint="eastAsia"/>
          <w:color w:val="000000"/>
          <w:lang w:eastAsia="zh-CN"/>
        </w:rPr>
        <w:t>约有</w:t>
      </w:r>
      <w:r w:rsidRPr="000C156A">
        <w:rPr>
          <w:rFonts w:hint="eastAsia"/>
          <w:color w:val="000000"/>
          <w:lang w:eastAsia="zh-CN"/>
        </w:rPr>
        <w:t>2/3</w:t>
      </w:r>
      <w:r w:rsidRPr="000C156A">
        <w:rPr>
          <w:rFonts w:hint="eastAsia"/>
          <w:color w:val="000000"/>
          <w:lang w:eastAsia="zh-CN"/>
        </w:rPr>
        <w:t>的新部门准成员有资格享受中小企业会费减免待遇。</w:t>
      </w:r>
    </w:p>
    <w:p w14:paraId="61FA7D4E" w14:textId="77777777" w:rsidR="009630A9" w:rsidRPr="000C156A" w:rsidRDefault="009630A9" w:rsidP="00140CE6">
      <w:pPr>
        <w:rPr>
          <w:color w:val="000000"/>
          <w:lang w:eastAsia="zh-CN"/>
        </w:rPr>
      </w:pPr>
      <w:r w:rsidRPr="000C156A">
        <w:rPr>
          <w:rFonts w:hint="eastAsia"/>
          <w:color w:val="000000"/>
          <w:lang w:eastAsia="zh-CN"/>
        </w:rPr>
        <w:t>56</w:t>
      </w:r>
      <w:r w:rsidRPr="000C156A">
        <w:rPr>
          <w:color w:val="000000"/>
          <w:lang w:eastAsia="zh-CN"/>
        </w:rPr>
        <w:tab/>
      </w:r>
      <w:r w:rsidRPr="000C156A">
        <w:rPr>
          <w:rFonts w:hint="eastAsia"/>
          <w:color w:val="000000"/>
          <w:lang w:eastAsia="zh-CN"/>
        </w:rPr>
        <w:t>简而言之，新的主题和特别的努力有助于吸引新的参与方加入国际电联，从而帮助国际电联的成员变得更具包容性，并反映不断变化的</w:t>
      </w:r>
      <w:r w:rsidRPr="000C156A">
        <w:rPr>
          <w:rFonts w:hint="eastAsia"/>
          <w:color w:val="000000"/>
          <w:lang w:eastAsia="zh-CN"/>
        </w:rPr>
        <w:t>ICT</w:t>
      </w:r>
      <w:r w:rsidRPr="000C156A">
        <w:rPr>
          <w:rFonts w:hint="eastAsia"/>
          <w:color w:val="000000"/>
          <w:lang w:eastAsia="zh-CN"/>
        </w:rPr>
        <w:t>生态系统。</w:t>
      </w:r>
    </w:p>
    <w:p w14:paraId="61A61138" w14:textId="77777777" w:rsidR="009630A9" w:rsidRPr="000C156A" w:rsidRDefault="009630A9" w:rsidP="00140CE6">
      <w:pPr>
        <w:pStyle w:val="Headingb"/>
        <w:rPr>
          <w:lang w:val="en-US" w:eastAsia="zh-CN"/>
        </w:rPr>
      </w:pPr>
      <w:bookmarkStart w:id="1083" w:name="_Toc73518736"/>
      <w:bookmarkStart w:id="1084" w:name="_Toc73518883"/>
      <w:bookmarkStart w:id="1085" w:name="_Toc73519283"/>
      <w:bookmarkStart w:id="1086" w:name="_Toc73636322"/>
      <w:r w:rsidRPr="000C156A">
        <w:rPr>
          <w:rFonts w:hint="eastAsia"/>
          <w:lang w:val="en-US" w:eastAsia="zh-CN"/>
        </w:rPr>
        <w:t>项目支持成本收入</w:t>
      </w:r>
      <w:bookmarkEnd w:id="1083"/>
      <w:bookmarkEnd w:id="1084"/>
      <w:bookmarkEnd w:id="1085"/>
      <w:bookmarkEnd w:id="1086"/>
    </w:p>
    <w:p w14:paraId="3AEF8329" w14:textId="77777777" w:rsidR="009630A9" w:rsidRPr="000C156A" w:rsidRDefault="009630A9" w:rsidP="00140CE6">
      <w:pPr>
        <w:rPr>
          <w:lang w:eastAsia="zh-CN"/>
        </w:rPr>
      </w:pPr>
      <w:r w:rsidRPr="000C156A">
        <w:rPr>
          <w:rFonts w:hint="eastAsia"/>
          <w:lang w:eastAsia="zh-CN"/>
        </w:rPr>
        <w:t>57</w:t>
      </w:r>
      <w:r w:rsidRPr="000C156A">
        <w:rPr>
          <w:lang w:eastAsia="zh-CN"/>
        </w:rPr>
        <w:tab/>
        <w:t>20</w:t>
      </w:r>
      <w:r w:rsidRPr="000C156A">
        <w:rPr>
          <w:rFonts w:hint="eastAsia"/>
          <w:lang w:eastAsia="zh-CN"/>
        </w:rPr>
        <w:t>20</w:t>
      </w:r>
      <w:r w:rsidRPr="000C156A">
        <w:rPr>
          <w:rFonts w:hint="eastAsia"/>
          <w:lang w:eastAsia="zh-CN"/>
        </w:rPr>
        <w:t>年的项目支持成本预算收入为</w:t>
      </w:r>
      <w:r w:rsidRPr="000C156A">
        <w:rPr>
          <w:lang w:eastAsia="zh-CN"/>
        </w:rPr>
        <w:t>137</w:t>
      </w:r>
      <w:r w:rsidRPr="000C156A">
        <w:rPr>
          <w:rFonts w:hint="eastAsia"/>
          <w:lang w:eastAsia="zh-CN"/>
        </w:rPr>
        <w:t>万瑞郎，实际收入金额为</w:t>
      </w:r>
      <w:r w:rsidRPr="000C156A">
        <w:rPr>
          <w:lang w:eastAsia="zh-CN"/>
        </w:rPr>
        <w:t>20</w:t>
      </w:r>
      <w:r w:rsidRPr="000C156A">
        <w:rPr>
          <w:rFonts w:hint="eastAsia"/>
          <w:lang w:eastAsia="zh-CN"/>
        </w:rPr>
        <w:t>万瑞郎，</w:t>
      </w:r>
      <w:r w:rsidRPr="000C156A">
        <w:rPr>
          <w:lang w:eastAsia="zh-CN"/>
        </w:rPr>
        <w:t>201</w:t>
      </w:r>
      <w:r w:rsidRPr="000C156A">
        <w:rPr>
          <w:rFonts w:hint="eastAsia"/>
          <w:lang w:eastAsia="zh-CN"/>
        </w:rPr>
        <w:t>9</w:t>
      </w:r>
      <w:r w:rsidRPr="000C156A">
        <w:rPr>
          <w:rFonts w:hint="eastAsia"/>
          <w:lang w:eastAsia="zh-CN"/>
        </w:rPr>
        <w:t>年为</w:t>
      </w:r>
      <w:r w:rsidRPr="000C156A">
        <w:rPr>
          <w:lang w:eastAsia="zh-CN"/>
        </w:rPr>
        <w:t>40</w:t>
      </w:r>
      <w:r w:rsidRPr="000C156A">
        <w:rPr>
          <w:rFonts w:hint="eastAsia"/>
          <w:lang w:eastAsia="zh-CN"/>
        </w:rPr>
        <w:t>万瑞郎。只有实施了项目，收入才会入账。</w:t>
      </w:r>
    </w:p>
    <w:p w14:paraId="1187925D" w14:textId="77777777" w:rsidR="009630A9" w:rsidRPr="000C156A" w:rsidRDefault="009630A9" w:rsidP="00140CE6">
      <w:pPr>
        <w:pStyle w:val="Headingb"/>
        <w:rPr>
          <w:lang w:val="en-US" w:eastAsia="zh-CN"/>
        </w:rPr>
      </w:pPr>
      <w:bookmarkStart w:id="1087" w:name="_Toc73518737"/>
      <w:bookmarkStart w:id="1088" w:name="_Toc73518884"/>
      <w:bookmarkStart w:id="1089" w:name="_Toc73519284"/>
      <w:bookmarkStart w:id="1090" w:name="_Toc73636323"/>
      <w:r w:rsidRPr="000C156A">
        <w:rPr>
          <w:rFonts w:hint="eastAsia"/>
          <w:lang w:val="en-US" w:eastAsia="zh-CN"/>
        </w:rPr>
        <w:t>出版物销售</w:t>
      </w:r>
      <w:bookmarkEnd w:id="1087"/>
      <w:bookmarkEnd w:id="1088"/>
      <w:bookmarkEnd w:id="1089"/>
      <w:bookmarkEnd w:id="1090"/>
    </w:p>
    <w:p w14:paraId="1906C4CB" w14:textId="3D1A44A4" w:rsidR="009630A9" w:rsidRPr="000C156A" w:rsidRDefault="009630A9" w:rsidP="00140CE6">
      <w:pPr>
        <w:rPr>
          <w:lang w:val="en-US" w:eastAsia="zh-CN"/>
        </w:rPr>
      </w:pPr>
      <w:r w:rsidRPr="000C156A">
        <w:rPr>
          <w:rFonts w:hint="eastAsia"/>
          <w:lang w:val="en-US" w:eastAsia="zh-CN"/>
        </w:rPr>
        <w:t>58</w:t>
      </w:r>
      <w:r w:rsidRPr="000C156A">
        <w:rPr>
          <w:lang w:val="en-US" w:eastAsia="zh-CN"/>
        </w:rPr>
        <w:tab/>
      </w:r>
      <w:r w:rsidRPr="000C156A">
        <w:rPr>
          <w:rFonts w:hint="eastAsia"/>
          <w:lang w:val="en-US" w:eastAsia="zh-CN"/>
        </w:rPr>
        <w:t>与</w:t>
      </w:r>
      <w:r w:rsidRPr="000C156A">
        <w:rPr>
          <w:rFonts w:hint="eastAsia"/>
          <w:lang w:val="en-US" w:eastAsia="zh-CN"/>
        </w:rPr>
        <w:t>2</w:t>
      </w:r>
      <w:r w:rsidRPr="000C156A">
        <w:rPr>
          <w:lang w:val="en-US" w:eastAsia="zh-CN"/>
        </w:rPr>
        <w:t>019</w:t>
      </w:r>
      <w:r w:rsidRPr="000C156A">
        <w:rPr>
          <w:rFonts w:hint="eastAsia"/>
          <w:lang w:val="en-US" w:eastAsia="zh-CN"/>
        </w:rPr>
        <w:t>年相比（</w:t>
      </w:r>
      <w:r w:rsidRPr="000C156A">
        <w:rPr>
          <w:rFonts w:hint="eastAsia"/>
          <w:lang w:val="en-US" w:eastAsia="zh-CN"/>
        </w:rPr>
        <w:t>1</w:t>
      </w:r>
      <w:r w:rsidRPr="000C156A">
        <w:rPr>
          <w:lang w:val="en-US" w:eastAsia="zh-CN"/>
        </w:rPr>
        <w:t xml:space="preserve"> 561</w:t>
      </w:r>
      <w:r w:rsidRPr="000C156A">
        <w:rPr>
          <w:rFonts w:hint="eastAsia"/>
          <w:lang w:val="en-US" w:eastAsia="zh-CN"/>
        </w:rPr>
        <w:t>万瑞郎），</w:t>
      </w:r>
      <w:r w:rsidRPr="000C156A">
        <w:rPr>
          <w:lang w:val="en-US" w:eastAsia="zh-CN"/>
        </w:rPr>
        <w:t>2020</w:t>
      </w:r>
      <w:r w:rsidRPr="000C156A">
        <w:rPr>
          <w:rFonts w:hint="eastAsia"/>
          <w:lang w:val="en-US" w:eastAsia="zh-CN"/>
        </w:rPr>
        <w:t>年出版物的实际销售收入增加了</w:t>
      </w:r>
      <w:r w:rsidRPr="000C156A">
        <w:rPr>
          <w:lang w:val="en-US" w:eastAsia="zh-CN"/>
        </w:rPr>
        <w:t>10</w:t>
      </w:r>
      <w:r w:rsidRPr="000C156A">
        <w:rPr>
          <w:rFonts w:hint="eastAsia"/>
          <w:lang w:val="en-US" w:eastAsia="zh-CN"/>
        </w:rPr>
        <w:t>%</w:t>
      </w:r>
      <w:r w:rsidRPr="000C156A">
        <w:rPr>
          <w:rFonts w:hint="eastAsia"/>
          <w:lang w:val="en-US" w:eastAsia="zh-CN"/>
        </w:rPr>
        <w:t>，达到</w:t>
      </w:r>
      <w:r w:rsidRPr="000C156A">
        <w:rPr>
          <w:rFonts w:hint="eastAsia"/>
          <w:lang w:val="en-US" w:eastAsia="zh-CN"/>
        </w:rPr>
        <w:t>1</w:t>
      </w:r>
      <w:r w:rsidR="001718BD" w:rsidRPr="000C156A">
        <w:rPr>
          <w:lang w:val="en-US" w:eastAsia="zh-CN"/>
        </w:rPr>
        <w:t> </w:t>
      </w:r>
      <w:r w:rsidRPr="000C156A">
        <w:rPr>
          <w:lang w:val="en-US" w:eastAsia="zh-CN"/>
        </w:rPr>
        <w:t>712</w:t>
      </w:r>
      <w:r w:rsidRPr="000C156A">
        <w:rPr>
          <w:rFonts w:hint="eastAsia"/>
          <w:lang w:val="en-US" w:eastAsia="zh-CN"/>
        </w:rPr>
        <w:t>万瑞郎，占其</w:t>
      </w:r>
      <w:r w:rsidRPr="000C156A">
        <w:rPr>
          <w:lang w:eastAsia="zh-CN"/>
        </w:rPr>
        <w:t>预算</w:t>
      </w:r>
      <w:r w:rsidRPr="000C156A">
        <w:rPr>
          <w:rFonts w:hint="eastAsia"/>
          <w:lang w:eastAsia="zh-CN"/>
        </w:rPr>
        <w:t>金额</w:t>
      </w:r>
      <w:r w:rsidRPr="000C156A">
        <w:rPr>
          <w:lang w:eastAsia="zh-CN"/>
        </w:rPr>
        <w:t>的</w:t>
      </w:r>
      <w:r w:rsidRPr="000C156A">
        <w:rPr>
          <w:lang w:eastAsia="zh-CN"/>
        </w:rPr>
        <w:t>90%</w:t>
      </w:r>
      <w:r w:rsidRPr="000C156A">
        <w:rPr>
          <w:rFonts w:hint="eastAsia"/>
          <w:lang w:val="en-US" w:eastAsia="zh-CN"/>
        </w:rPr>
        <w:t>。</w:t>
      </w:r>
    </w:p>
    <w:p w14:paraId="33B84C68" w14:textId="77777777" w:rsidR="009630A9" w:rsidRPr="000C156A" w:rsidRDefault="009630A9" w:rsidP="00140CE6">
      <w:pPr>
        <w:rPr>
          <w:lang w:eastAsia="zh-CN"/>
        </w:rPr>
      </w:pPr>
      <w:r w:rsidRPr="000C156A">
        <w:rPr>
          <w:rFonts w:hint="eastAsia"/>
          <w:lang w:val="en-US" w:eastAsia="zh-CN"/>
        </w:rPr>
        <w:t>59</w:t>
      </w:r>
      <w:r w:rsidRPr="000C156A">
        <w:rPr>
          <w:lang w:val="en-US" w:eastAsia="zh-CN"/>
        </w:rPr>
        <w:tab/>
      </w:r>
      <w:r w:rsidRPr="000C156A">
        <w:rPr>
          <w:rFonts w:cs="Calibri" w:hint="eastAsia"/>
          <w:lang w:eastAsia="zh-CN"/>
        </w:rPr>
        <w:t>2020</w:t>
      </w:r>
      <w:r w:rsidRPr="000C156A">
        <w:rPr>
          <w:rFonts w:cs="Calibri" w:hint="eastAsia"/>
          <w:lang w:eastAsia="zh-CN"/>
        </w:rPr>
        <w:t>年销售增长主要得益于第四季度发布的每</w:t>
      </w:r>
      <w:r w:rsidRPr="000C156A">
        <w:rPr>
          <w:rFonts w:cs="Calibri" w:hint="eastAsia"/>
          <w:lang w:eastAsia="zh-CN"/>
        </w:rPr>
        <w:t>4</w:t>
      </w:r>
      <w:r w:rsidRPr="000C156A">
        <w:rPr>
          <w:rFonts w:cs="Calibri" w:hint="eastAsia"/>
          <w:lang w:eastAsia="zh-CN"/>
        </w:rPr>
        <w:t>年更新一次的两种出版物：</w:t>
      </w:r>
      <w:r w:rsidRPr="000C156A">
        <w:rPr>
          <w:rFonts w:cs="Calibri" w:hint="eastAsia"/>
          <w:lang w:eastAsia="zh-CN"/>
        </w:rPr>
        <w:t>2020</w:t>
      </w:r>
      <w:r w:rsidRPr="000C156A">
        <w:rPr>
          <w:rFonts w:cs="Calibri" w:hint="eastAsia"/>
          <w:lang w:eastAsia="zh-CN"/>
        </w:rPr>
        <w:t>年版《无线电规则》和《水上移动和卫星水上移动业务使用手册》（</w:t>
      </w:r>
      <w:r w:rsidRPr="000C156A">
        <w:rPr>
          <w:rFonts w:cs="Calibri" w:hint="eastAsia"/>
          <w:lang w:eastAsia="zh-CN"/>
        </w:rPr>
        <w:t>2020</w:t>
      </w:r>
      <w:r w:rsidRPr="000C156A">
        <w:rPr>
          <w:rFonts w:cs="Calibri" w:hint="eastAsia"/>
          <w:lang w:eastAsia="zh-CN"/>
        </w:rPr>
        <w:t>年版《水上手册》）。销售开发活动包括在</w:t>
      </w:r>
      <w:r w:rsidRPr="000C156A">
        <w:rPr>
          <w:rFonts w:cs="Calibri" w:hint="eastAsia"/>
          <w:lang w:eastAsia="zh-CN"/>
        </w:rPr>
        <w:t>2020</w:t>
      </w:r>
      <w:r w:rsidRPr="000C156A">
        <w:rPr>
          <w:rFonts w:cs="Calibri" w:hint="eastAsia"/>
          <w:lang w:eastAsia="zh-CN"/>
        </w:rPr>
        <w:t>年增加两个新的全球转售商，以继续扩大分销渠道，以及继续加强向港口检查员宣传防伪要素的活动，这些要素现已纳入国际电联所有水上服务出版物</w:t>
      </w:r>
      <w:r w:rsidRPr="000C156A">
        <w:rPr>
          <w:rFonts w:ascii="SimSun" w:hAnsi="SimSun" w:cs="SimSun" w:hint="eastAsia"/>
          <w:lang w:eastAsia="zh-CN"/>
        </w:rPr>
        <w:t>中。</w:t>
      </w:r>
    </w:p>
    <w:p w14:paraId="4057EF26" w14:textId="77777777" w:rsidR="009630A9" w:rsidRPr="000C156A" w:rsidRDefault="009630A9" w:rsidP="00140CE6">
      <w:pPr>
        <w:rPr>
          <w:lang w:eastAsia="zh-CN"/>
        </w:rPr>
      </w:pPr>
      <w:r w:rsidRPr="000C156A">
        <w:rPr>
          <w:rFonts w:hint="eastAsia"/>
          <w:lang w:val="en-US" w:eastAsia="zh-CN"/>
        </w:rPr>
        <w:t>60</w:t>
      </w:r>
      <w:r w:rsidRPr="000C156A">
        <w:rPr>
          <w:lang w:val="en-US" w:eastAsia="zh-CN"/>
        </w:rPr>
        <w:tab/>
      </w:r>
      <w:r w:rsidRPr="000C156A">
        <w:rPr>
          <w:lang w:eastAsia="zh-CN"/>
        </w:rPr>
        <w:t>尽管国际电联的绝大多数</w:t>
      </w:r>
      <w:r w:rsidRPr="000C156A">
        <w:rPr>
          <w:rFonts w:hint="eastAsia"/>
          <w:lang w:eastAsia="zh-CN"/>
        </w:rPr>
        <w:t>种出版物及其</w:t>
      </w:r>
      <w:r w:rsidRPr="000C156A">
        <w:rPr>
          <w:lang w:eastAsia="zh-CN"/>
        </w:rPr>
        <w:t>内容</w:t>
      </w:r>
      <w:r w:rsidRPr="000C156A">
        <w:rPr>
          <w:rFonts w:hint="eastAsia"/>
          <w:lang w:eastAsia="zh-CN"/>
        </w:rPr>
        <w:t>目前均可</w:t>
      </w:r>
      <w:r w:rsidRPr="000C156A">
        <w:rPr>
          <w:lang w:eastAsia="zh-CN"/>
        </w:rPr>
        <w:t>在网上免费查阅，但</w:t>
      </w:r>
      <w:r w:rsidRPr="000C156A">
        <w:rPr>
          <w:rFonts w:hint="eastAsia"/>
          <w:lang w:eastAsia="zh-CN"/>
        </w:rPr>
        <w:t>收集</w:t>
      </w:r>
      <w:r w:rsidRPr="000C156A">
        <w:rPr>
          <w:lang w:eastAsia="zh-CN"/>
        </w:rPr>
        <w:t>全球电信统计数据</w:t>
      </w:r>
      <w:r w:rsidRPr="000C156A">
        <w:rPr>
          <w:rFonts w:hint="eastAsia"/>
          <w:lang w:eastAsia="zh-CN"/>
        </w:rPr>
        <w:t>的</w:t>
      </w:r>
      <w:r w:rsidRPr="000C156A">
        <w:rPr>
          <w:lang w:eastAsia="zh-CN"/>
        </w:rPr>
        <w:t>传统大客户</w:t>
      </w:r>
      <w:r w:rsidRPr="000C156A">
        <w:rPr>
          <w:rFonts w:hint="eastAsia"/>
          <w:lang w:eastAsia="zh-CN"/>
        </w:rPr>
        <w:t>们（</w:t>
      </w:r>
      <w:r w:rsidRPr="000C156A">
        <w:rPr>
          <w:lang w:eastAsia="zh-CN"/>
        </w:rPr>
        <w:t>如</w:t>
      </w:r>
      <w:r w:rsidRPr="000C156A">
        <w:rPr>
          <w:rFonts w:hint="eastAsia"/>
          <w:lang w:eastAsia="zh-CN"/>
        </w:rPr>
        <w:t>《</w:t>
      </w:r>
      <w:r w:rsidRPr="000C156A">
        <w:rPr>
          <w:lang w:eastAsia="zh-CN"/>
        </w:rPr>
        <w:t>经济学家</w:t>
      </w:r>
      <w:r w:rsidRPr="000C156A">
        <w:rPr>
          <w:rFonts w:hint="eastAsia"/>
          <w:lang w:eastAsia="zh-CN"/>
        </w:rPr>
        <w:t>》杂志信息部</w:t>
      </w:r>
      <w:r w:rsidRPr="000C156A">
        <w:rPr>
          <w:lang w:eastAsia="zh-CN"/>
        </w:rPr>
        <w:t>、</w:t>
      </w:r>
      <w:r w:rsidRPr="000C156A">
        <w:rPr>
          <w:rFonts w:hint="eastAsia"/>
          <w:lang w:eastAsia="zh-CN"/>
        </w:rPr>
        <w:t>《</w:t>
      </w:r>
      <w:r w:rsidRPr="000C156A">
        <w:rPr>
          <w:lang w:eastAsia="zh-CN"/>
        </w:rPr>
        <w:t>金融时报</w:t>
      </w:r>
      <w:r w:rsidRPr="000C156A">
        <w:rPr>
          <w:rFonts w:hint="eastAsia"/>
          <w:lang w:eastAsia="zh-CN"/>
        </w:rPr>
        <w:t>》</w:t>
      </w:r>
      <w:r w:rsidRPr="000C156A">
        <w:rPr>
          <w:lang w:eastAsia="zh-CN"/>
        </w:rPr>
        <w:t>、安永会计师事务所等</w:t>
      </w:r>
      <w:r w:rsidRPr="000C156A">
        <w:rPr>
          <w:rFonts w:hint="eastAsia"/>
          <w:lang w:eastAsia="zh-CN"/>
        </w:rPr>
        <w:t>）</w:t>
      </w:r>
      <w:r w:rsidRPr="000C156A">
        <w:rPr>
          <w:lang w:eastAsia="zh-CN"/>
        </w:rPr>
        <w:t>，</w:t>
      </w:r>
      <w:r w:rsidRPr="000C156A">
        <w:rPr>
          <w:rFonts w:hint="eastAsia"/>
          <w:lang w:eastAsia="zh-CN"/>
        </w:rPr>
        <w:t>仍续签了</w:t>
      </w:r>
      <w:r w:rsidRPr="000C156A">
        <w:rPr>
          <w:lang w:eastAsia="zh-CN"/>
        </w:rPr>
        <w:t>国际电联</w:t>
      </w:r>
      <w:r w:rsidRPr="000C156A">
        <w:rPr>
          <w:rFonts w:hint="eastAsia"/>
          <w:lang w:eastAsia="zh-CN"/>
        </w:rPr>
        <w:t>电信发展部门</w:t>
      </w:r>
      <w:r w:rsidRPr="000C156A">
        <w:rPr>
          <w:lang w:eastAsia="zh-CN"/>
        </w:rPr>
        <w:t>的世界电信</w:t>
      </w:r>
      <w:r w:rsidRPr="000C156A">
        <w:rPr>
          <w:lang w:eastAsia="zh-CN"/>
        </w:rPr>
        <w:t>/</w:t>
      </w:r>
      <w:r w:rsidRPr="000C156A">
        <w:rPr>
          <w:rFonts w:hint="eastAsia"/>
          <w:lang w:eastAsia="zh-CN"/>
        </w:rPr>
        <w:t>信息通信</w:t>
      </w:r>
      <w:r w:rsidRPr="000C156A">
        <w:rPr>
          <w:lang w:eastAsia="zh-CN"/>
        </w:rPr>
        <w:t>技术指标数据库</w:t>
      </w:r>
      <w:r w:rsidRPr="000C156A">
        <w:rPr>
          <w:rFonts w:hint="eastAsia"/>
          <w:lang w:eastAsia="zh-CN"/>
        </w:rPr>
        <w:t>的定制版</w:t>
      </w:r>
      <w:r w:rsidRPr="000C156A">
        <w:rPr>
          <w:lang w:eastAsia="zh-CN"/>
        </w:rPr>
        <w:t>数据许可协议，从而继续每年向国际电联支付使用费。</w:t>
      </w:r>
    </w:p>
    <w:p w14:paraId="087E5595" w14:textId="77777777" w:rsidR="009630A9" w:rsidRPr="000C156A" w:rsidRDefault="009630A9" w:rsidP="00140CE6">
      <w:pPr>
        <w:pStyle w:val="Headingb"/>
        <w:rPr>
          <w:lang w:val="en-US" w:eastAsia="zh-CN"/>
        </w:rPr>
      </w:pPr>
      <w:bookmarkStart w:id="1091" w:name="_Toc73518738"/>
      <w:bookmarkStart w:id="1092" w:name="_Toc73518885"/>
      <w:bookmarkStart w:id="1093" w:name="_Toc73519285"/>
      <w:bookmarkStart w:id="1094" w:name="_Toc73636324"/>
      <w:r w:rsidRPr="000C156A">
        <w:rPr>
          <w:rFonts w:hint="eastAsia"/>
          <w:lang w:val="en-US" w:eastAsia="zh-CN"/>
        </w:rPr>
        <w:lastRenderedPageBreak/>
        <w:t>实行成本回收的产品和服务</w:t>
      </w:r>
      <w:bookmarkEnd w:id="1091"/>
      <w:bookmarkEnd w:id="1092"/>
      <w:bookmarkEnd w:id="1093"/>
      <w:bookmarkEnd w:id="1094"/>
    </w:p>
    <w:p w14:paraId="71A5E142" w14:textId="77777777" w:rsidR="009630A9" w:rsidRPr="000C156A" w:rsidRDefault="009630A9" w:rsidP="00140CE6">
      <w:pPr>
        <w:rPr>
          <w:lang w:eastAsia="zh-CN"/>
        </w:rPr>
      </w:pPr>
      <w:r w:rsidRPr="000C156A">
        <w:rPr>
          <w:rFonts w:hint="eastAsia"/>
          <w:lang w:eastAsia="zh-CN"/>
        </w:rPr>
        <w:t>61</w:t>
      </w:r>
      <w:r w:rsidRPr="000C156A">
        <w:rPr>
          <w:lang w:eastAsia="zh-CN"/>
        </w:rPr>
        <w:tab/>
      </w:r>
      <w:r w:rsidRPr="000C156A">
        <w:rPr>
          <w:rFonts w:hint="eastAsia"/>
          <w:lang w:eastAsia="zh-CN"/>
        </w:rPr>
        <w:t>在</w:t>
      </w:r>
      <w:r w:rsidRPr="000C156A">
        <w:rPr>
          <w:rFonts w:hint="eastAsia"/>
          <w:lang w:eastAsia="zh-CN"/>
        </w:rPr>
        <w:t>2020</w:t>
      </w:r>
      <w:r w:rsidRPr="000C156A">
        <w:rPr>
          <w:rFonts w:hint="eastAsia"/>
          <w:lang w:eastAsia="zh-CN"/>
        </w:rPr>
        <w:t>年正常预算中，实行成本回收收入的产品和服务预计为</w:t>
      </w:r>
      <w:r w:rsidRPr="000C156A">
        <w:rPr>
          <w:rFonts w:hint="eastAsia"/>
          <w:lang w:eastAsia="zh-CN"/>
        </w:rPr>
        <w:t>1</w:t>
      </w:r>
      <w:r w:rsidRPr="000C156A">
        <w:rPr>
          <w:lang w:eastAsia="zh-CN"/>
        </w:rPr>
        <w:t xml:space="preserve"> </w:t>
      </w:r>
      <w:r w:rsidRPr="000C156A">
        <w:rPr>
          <w:rFonts w:hint="eastAsia"/>
          <w:lang w:eastAsia="zh-CN"/>
        </w:rPr>
        <w:t>750</w:t>
      </w:r>
      <w:r w:rsidRPr="000C156A">
        <w:rPr>
          <w:rFonts w:hint="eastAsia"/>
          <w:lang w:eastAsia="zh-CN"/>
        </w:rPr>
        <w:t>万瑞郎，实际收入为</w:t>
      </w:r>
      <w:r w:rsidRPr="000C156A">
        <w:rPr>
          <w:rFonts w:hint="eastAsia"/>
          <w:lang w:eastAsia="zh-CN"/>
        </w:rPr>
        <w:t>1</w:t>
      </w:r>
      <w:r w:rsidRPr="000C156A">
        <w:rPr>
          <w:lang w:eastAsia="zh-CN"/>
        </w:rPr>
        <w:t xml:space="preserve"> </w:t>
      </w:r>
      <w:r w:rsidRPr="000C156A">
        <w:rPr>
          <w:rFonts w:hint="eastAsia"/>
          <w:lang w:eastAsia="zh-CN"/>
        </w:rPr>
        <w:t>392</w:t>
      </w:r>
      <w:r w:rsidRPr="000C156A">
        <w:rPr>
          <w:rFonts w:hint="eastAsia"/>
          <w:lang w:eastAsia="zh-CN"/>
        </w:rPr>
        <w:t>万瑞郎（</w:t>
      </w:r>
      <w:r w:rsidRPr="000C156A">
        <w:rPr>
          <w:rFonts w:hint="eastAsia"/>
          <w:lang w:eastAsia="zh-CN"/>
        </w:rPr>
        <w:t>2019</w:t>
      </w:r>
      <w:r w:rsidRPr="000C156A">
        <w:rPr>
          <w:rFonts w:hint="eastAsia"/>
          <w:lang w:eastAsia="zh-CN"/>
        </w:rPr>
        <w:t>年为</w:t>
      </w:r>
      <w:r w:rsidRPr="000C156A">
        <w:rPr>
          <w:rFonts w:hint="eastAsia"/>
          <w:lang w:eastAsia="zh-CN"/>
        </w:rPr>
        <w:t>1</w:t>
      </w:r>
      <w:r w:rsidRPr="000C156A">
        <w:rPr>
          <w:lang w:eastAsia="zh-CN"/>
        </w:rPr>
        <w:t xml:space="preserve"> </w:t>
      </w:r>
      <w:r w:rsidRPr="000C156A">
        <w:rPr>
          <w:rFonts w:hint="eastAsia"/>
          <w:lang w:eastAsia="zh-CN"/>
        </w:rPr>
        <w:t>372</w:t>
      </w:r>
      <w:r w:rsidRPr="000C156A">
        <w:rPr>
          <w:rFonts w:hint="eastAsia"/>
          <w:lang w:eastAsia="zh-CN"/>
        </w:rPr>
        <w:t>万瑞郎）。由于国际电联</w:t>
      </w:r>
      <w:r w:rsidRPr="000C156A">
        <w:rPr>
          <w:rFonts w:hint="eastAsia"/>
          <w:lang w:eastAsia="zh-CN"/>
        </w:rPr>
        <w:t>2020</w:t>
      </w:r>
      <w:r w:rsidRPr="000C156A">
        <w:rPr>
          <w:rFonts w:hint="eastAsia"/>
          <w:lang w:eastAsia="zh-CN"/>
        </w:rPr>
        <w:t>年世界电信展延期，因此秘书长决定不进行</w:t>
      </w:r>
      <w:r w:rsidRPr="000C156A">
        <w:rPr>
          <w:rFonts w:hint="eastAsia"/>
          <w:lang w:eastAsia="zh-CN"/>
        </w:rPr>
        <w:t>150</w:t>
      </w:r>
      <w:r w:rsidRPr="000C156A">
        <w:rPr>
          <w:rFonts w:hint="eastAsia"/>
          <w:lang w:eastAsia="zh-CN"/>
        </w:rPr>
        <w:t>万瑞郎的成本回收。这一收入的下降也由卫星网络申报造成。尽管在</w:t>
      </w:r>
      <w:r w:rsidRPr="000C156A">
        <w:rPr>
          <w:rFonts w:hint="eastAsia"/>
          <w:lang w:eastAsia="zh-CN"/>
        </w:rPr>
        <w:t>2020</w:t>
      </w:r>
      <w:r w:rsidRPr="000C156A">
        <w:rPr>
          <w:rFonts w:hint="eastAsia"/>
          <w:lang w:eastAsia="zh-CN"/>
        </w:rPr>
        <w:t>年有许多开具通知发票的请求，但无法公布所有的卫星网络申报，这导致递延收入增加。</w:t>
      </w:r>
    </w:p>
    <w:p w14:paraId="03BFA0A9" w14:textId="77777777" w:rsidR="009630A9" w:rsidRPr="000C156A" w:rsidRDefault="009630A9" w:rsidP="00140CE6">
      <w:pPr>
        <w:rPr>
          <w:lang w:val="en-US" w:eastAsia="zh-CN"/>
        </w:rPr>
      </w:pPr>
      <w:r w:rsidRPr="000C156A">
        <w:rPr>
          <w:rFonts w:hint="eastAsia"/>
          <w:lang w:eastAsia="zh-CN"/>
        </w:rPr>
        <w:t>62</w:t>
      </w:r>
      <w:r w:rsidRPr="000C156A">
        <w:rPr>
          <w:lang w:eastAsia="zh-CN"/>
        </w:rPr>
        <w:tab/>
      </w:r>
      <w:r w:rsidRPr="000C156A">
        <w:rPr>
          <w:rFonts w:hint="eastAsia"/>
          <w:lang w:eastAsia="zh-CN"/>
        </w:rPr>
        <w:t>2020</w:t>
      </w:r>
      <w:r w:rsidRPr="000C156A">
        <w:rPr>
          <w:rFonts w:hint="eastAsia"/>
          <w:lang w:eastAsia="zh-CN"/>
        </w:rPr>
        <w:t>年，发票金额为</w:t>
      </w:r>
      <w:r w:rsidRPr="000C156A">
        <w:rPr>
          <w:rFonts w:hint="eastAsia"/>
          <w:lang w:eastAsia="zh-CN"/>
        </w:rPr>
        <w:t>1 660</w:t>
      </w:r>
      <w:r w:rsidRPr="000C156A">
        <w:rPr>
          <w:rFonts w:hint="eastAsia"/>
          <w:lang w:eastAsia="zh-CN"/>
        </w:rPr>
        <w:t>万瑞郎，</w:t>
      </w:r>
      <w:r w:rsidRPr="000C156A">
        <w:rPr>
          <w:rFonts w:hint="eastAsia"/>
          <w:lang w:eastAsia="zh-CN"/>
        </w:rPr>
        <w:t>2019</w:t>
      </w:r>
      <w:r w:rsidRPr="000C156A">
        <w:rPr>
          <w:rFonts w:hint="eastAsia"/>
          <w:lang w:eastAsia="zh-CN"/>
        </w:rPr>
        <w:t>年为</w:t>
      </w:r>
      <w:r w:rsidRPr="000C156A">
        <w:rPr>
          <w:rFonts w:hint="eastAsia"/>
          <w:lang w:eastAsia="zh-CN"/>
        </w:rPr>
        <w:t>1 320</w:t>
      </w:r>
      <w:r w:rsidRPr="000C156A">
        <w:rPr>
          <w:rFonts w:hint="eastAsia"/>
          <w:lang w:eastAsia="zh-CN"/>
        </w:rPr>
        <w:t>万瑞郎</w:t>
      </w:r>
      <w:r w:rsidRPr="000C156A">
        <w:rPr>
          <w:rFonts w:ascii="SimSun" w:hAnsi="SimSun" w:cs="SimSun" w:hint="eastAsia"/>
          <w:lang w:eastAsia="zh-CN"/>
        </w:rPr>
        <w:t>。</w:t>
      </w:r>
    </w:p>
    <w:p w14:paraId="69831449" w14:textId="77777777" w:rsidR="009630A9" w:rsidRPr="000C156A" w:rsidRDefault="009630A9" w:rsidP="00140CE6">
      <w:pPr>
        <w:pStyle w:val="Headingb"/>
        <w:rPr>
          <w:lang w:val="en-US" w:eastAsia="zh-CN"/>
        </w:rPr>
      </w:pPr>
      <w:bookmarkStart w:id="1095" w:name="_Toc73518739"/>
      <w:bookmarkStart w:id="1096" w:name="_Toc73518886"/>
      <w:bookmarkStart w:id="1097" w:name="_Toc73519286"/>
      <w:bookmarkStart w:id="1098" w:name="_Toc73636325"/>
      <w:r w:rsidRPr="000C156A">
        <w:rPr>
          <w:rFonts w:hint="eastAsia"/>
          <w:lang w:val="en-US" w:eastAsia="zh-CN"/>
        </w:rPr>
        <w:t>利息收入</w:t>
      </w:r>
      <w:bookmarkEnd w:id="1095"/>
      <w:bookmarkEnd w:id="1096"/>
      <w:bookmarkEnd w:id="1097"/>
      <w:bookmarkEnd w:id="1098"/>
    </w:p>
    <w:p w14:paraId="64AE2AC1" w14:textId="77777777" w:rsidR="009630A9" w:rsidRPr="000C156A" w:rsidRDefault="009630A9" w:rsidP="00140CE6">
      <w:pPr>
        <w:rPr>
          <w:rFonts w:asciiTheme="minorEastAsia" w:eastAsiaTheme="minorEastAsia" w:hAnsiTheme="minorEastAsia"/>
          <w:lang w:eastAsia="zh-CN"/>
        </w:rPr>
      </w:pPr>
      <w:r w:rsidRPr="000C156A">
        <w:rPr>
          <w:lang w:eastAsia="zh-CN"/>
        </w:rPr>
        <w:t>6</w:t>
      </w:r>
      <w:r w:rsidRPr="000C156A">
        <w:rPr>
          <w:rFonts w:hint="eastAsia"/>
          <w:lang w:eastAsia="zh-CN"/>
        </w:rPr>
        <w:t>3</w:t>
      </w:r>
      <w:r w:rsidRPr="000C156A">
        <w:rPr>
          <w:lang w:eastAsia="zh-CN"/>
        </w:rPr>
        <w:tab/>
      </w:r>
      <w:r w:rsidRPr="000C156A">
        <w:rPr>
          <w:rFonts w:cs="Calibri" w:hint="eastAsia"/>
          <w:lang w:val="en-US" w:eastAsia="zh-CN"/>
        </w:rPr>
        <w:t>利息收入预算为</w:t>
      </w:r>
      <w:r w:rsidRPr="000C156A">
        <w:rPr>
          <w:rFonts w:cs="Calibri" w:hint="eastAsia"/>
          <w:lang w:val="en-US" w:eastAsia="zh-CN"/>
        </w:rPr>
        <w:t>30</w:t>
      </w:r>
      <w:r w:rsidRPr="000C156A">
        <w:rPr>
          <w:rFonts w:cs="Calibri" w:hint="eastAsia"/>
          <w:lang w:val="en-US" w:eastAsia="zh-CN"/>
        </w:rPr>
        <w:t>万瑞郎，实际收入为</w:t>
      </w:r>
      <w:r w:rsidRPr="000C156A">
        <w:rPr>
          <w:rFonts w:cs="Calibri" w:hint="eastAsia"/>
          <w:lang w:val="en-US" w:eastAsia="zh-CN"/>
        </w:rPr>
        <w:t>12</w:t>
      </w:r>
      <w:r w:rsidRPr="000C156A">
        <w:rPr>
          <w:rFonts w:cs="Calibri"/>
          <w:lang w:val="en-US" w:eastAsia="zh-CN"/>
        </w:rPr>
        <w:t>.</w:t>
      </w:r>
      <w:r w:rsidRPr="000C156A">
        <w:rPr>
          <w:rFonts w:cs="Calibri" w:hint="eastAsia"/>
          <w:lang w:val="en-US" w:eastAsia="zh-CN"/>
        </w:rPr>
        <w:t>5</w:t>
      </w:r>
      <w:r w:rsidRPr="000C156A">
        <w:rPr>
          <w:rFonts w:cs="Calibri" w:hint="eastAsia"/>
          <w:lang w:val="en-US" w:eastAsia="zh-CN"/>
        </w:rPr>
        <w:t>万瑞郎（</w:t>
      </w:r>
      <w:r w:rsidRPr="000C156A">
        <w:rPr>
          <w:rFonts w:cs="Calibri" w:hint="eastAsia"/>
          <w:lang w:val="en-US" w:eastAsia="zh-CN"/>
        </w:rPr>
        <w:t>2019</w:t>
      </w:r>
      <w:r w:rsidRPr="000C156A">
        <w:rPr>
          <w:rFonts w:cs="Calibri" w:hint="eastAsia"/>
          <w:lang w:val="en-US" w:eastAsia="zh-CN"/>
        </w:rPr>
        <w:t>年为</w:t>
      </w:r>
      <w:r w:rsidRPr="000C156A">
        <w:rPr>
          <w:rFonts w:cs="Calibri" w:hint="eastAsia"/>
          <w:lang w:val="en-US" w:eastAsia="zh-CN"/>
        </w:rPr>
        <w:t>40</w:t>
      </w:r>
      <w:r w:rsidRPr="000C156A">
        <w:rPr>
          <w:rFonts w:cs="Calibri"/>
          <w:lang w:val="en-US" w:eastAsia="zh-CN"/>
        </w:rPr>
        <w:t>.</w:t>
      </w:r>
      <w:r w:rsidRPr="000C156A">
        <w:rPr>
          <w:rFonts w:cs="Calibri" w:hint="eastAsia"/>
          <w:lang w:val="en-US" w:eastAsia="zh-CN"/>
        </w:rPr>
        <w:t>8</w:t>
      </w:r>
      <w:r w:rsidRPr="000C156A">
        <w:rPr>
          <w:rFonts w:cs="Calibri" w:hint="eastAsia"/>
          <w:lang w:val="en-US" w:eastAsia="zh-CN"/>
        </w:rPr>
        <w:t>万瑞郎）。</w:t>
      </w:r>
      <w:r w:rsidRPr="000C156A">
        <w:rPr>
          <w:rFonts w:cs="Calibri" w:hint="eastAsia"/>
          <w:lang w:val="en-US" w:eastAsia="zh-CN"/>
        </w:rPr>
        <w:t>2020</w:t>
      </w:r>
      <w:r w:rsidRPr="000C156A">
        <w:rPr>
          <w:rFonts w:cs="Calibri" w:hint="eastAsia"/>
          <w:lang w:val="en-US" w:eastAsia="zh-CN"/>
        </w:rPr>
        <w:t>年，与瑞郎相关的条件变得更加困难，国际电联不得不支持以美元存款抵消负利息的做法。然而，美元回报率也有所下降，这解释了</w:t>
      </w:r>
      <w:r w:rsidRPr="000C156A">
        <w:rPr>
          <w:rFonts w:cs="Calibri" w:hint="eastAsia"/>
          <w:lang w:val="en-US" w:eastAsia="zh-CN"/>
        </w:rPr>
        <w:t>2020</w:t>
      </w:r>
      <w:r w:rsidRPr="000C156A">
        <w:rPr>
          <w:rFonts w:cs="Calibri" w:hint="eastAsia"/>
          <w:lang w:val="en-US" w:eastAsia="zh-CN"/>
        </w:rPr>
        <w:t>年利息收入相对较低的原因。</w:t>
      </w:r>
    </w:p>
    <w:p w14:paraId="08AB2015" w14:textId="77777777" w:rsidR="009630A9" w:rsidRPr="000C156A" w:rsidRDefault="009630A9" w:rsidP="00140CE6">
      <w:pPr>
        <w:pStyle w:val="Headingb"/>
        <w:rPr>
          <w:lang w:val="en-US" w:eastAsia="zh-CN"/>
        </w:rPr>
      </w:pPr>
      <w:bookmarkStart w:id="1099" w:name="_Toc73518740"/>
      <w:bookmarkStart w:id="1100" w:name="_Toc73518887"/>
      <w:bookmarkStart w:id="1101" w:name="_Toc73519287"/>
      <w:bookmarkStart w:id="1102" w:name="_Toc73636326"/>
      <w:r w:rsidRPr="000C156A">
        <w:rPr>
          <w:rFonts w:hint="eastAsia"/>
          <w:lang w:val="en-US" w:eastAsia="zh-CN"/>
        </w:rPr>
        <w:t>费用</w:t>
      </w:r>
      <w:bookmarkEnd w:id="1099"/>
      <w:bookmarkEnd w:id="1100"/>
      <w:bookmarkEnd w:id="1101"/>
      <w:bookmarkEnd w:id="1102"/>
    </w:p>
    <w:p w14:paraId="27FA83AC" w14:textId="77777777" w:rsidR="009630A9" w:rsidRPr="000C156A" w:rsidRDefault="009630A9" w:rsidP="00241C5E">
      <w:pPr>
        <w:rPr>
          <w:lang w:eastAsia="zh-CN"/>
        </w:rPr>
      </w:pPr>
      <w:r w:rsidRPr="000C156A">
        <w:rPr>
          <w:rFonts w:hint="eastAsia"/>
          <w:lang w:eastAsia="zh-CN"/>
        </w:rPr>
        <w:t>64</w:t>
      </w:r>
      <w:r w:rsidRPr="000C156A">
        <w:rPr>
          <w:lang w:eastAsia="zh-CN"/>
        </w:rPr>
        <w:tab/>
      </w:r>
      <w:r w:rsidRPr="000C156A">
        <w:rPr>
          <w:rFonts w:hint="eastAsia"/>
          <w:lang w:eastAsia="zh-CN"/>
        </w:rPr>
        <w:t>有关费用的信息见说明</w:t>
      </w:r>
      <w:r w:rsidRPr="000C156A">
        <w:rPr>
          <w:lang w:eastAsia="zh-CN"/>
        </w:rPr>
        <w:t>23</w:t>
      </w:r>
      <w:r w:rsidRPr="000C156A">
        <w:rPr>
          <w:rFonts w:hint="eastAsia"/>
          <w:lang w:eastAsia="zh-CN"/>
        </w:rPr>
        <w:t>。</w:t>
      </w:r>
    </w:p>
    <w:p w14:paraId="509A203F" w14:textId="77777777" w:rsidR="009630A9" w:rsidRPr="000C156A" w:rsidRDefault="009630A9" w:rsidP="00241C5E">
      <w:pPr>
        <w:rPr>
          <w:rFonts w:cs="Calibri"/>
          <w:bCs/>
          <w:lang w:eastAsia="zh-CN"/>
        </w:rPr>
      </w:pPr>
      <w:r w:rsidRPr="000C156A">
        <w:rPr>
          <w:rFonts w:cs="Calibri" w:hint="eastAsia"/>
          <w:lang w:eastAsia="zh-CN"/>
        </w:rPr>
        <w:t>65</w:t>
      </w:r>
      <w:r w:rsidRPr="000C156A">
        <w:rPr>
          <w:rFonts w:cs="Calibri"/>
          <w:lang w:eastAsia="zh-CN"/>
        </w:rPr>
        <w:tab/>
      </w:r>
      <w:r w:rsidRPr="000C156A">
        <w:rPr>
          <w:rFonts w:cs="Calibri" w:hint="eastAsia"/>
          <w:bCs/>
          <w:lang w:eastAsia="zh-CN"/>
        </w:rPr>
        <w:t>2020</w:t>
      </w:r>
      <w:r w:rsidRPr="000C156A">
        <w:rPr>
          <w:rFonts w:cs="Calibri" w:hint="eastAsia"/>
          <w:bCs/>
          <w:lang w:eastAsia="zh-CN"/>
        </w:rPr>
        <w:t>年，</w:t>
      </w:r>
      <w:r w:rsidRPr="000C156A">
        <w:rPr>
          <w:rFonts w:eastAsia="Times New Roman"/>
          <w:lang w:eastAsia="zh-CN"/>
        </w:rPr>
        <w:t>ITU-T</w:t>
      </w:r>
      <w:r w:rsidRPr="000C156A">
        <w:rPr>
          <w:rFonts w:cs="Calibri" w:hint="eastAsia"/>
          <w:bCs/>
          <w:lang w:eastAsia="zh-CN"/>
        </w:rPr>
        <w:t>的总支出为</w:t>
      </w:r>
      <w:r w:rsidRPr="000C156A">
        <w:rPr>
          <w:rFonts w:cs="Calibri" w:hint="eastAsia"/>
          <w:bCs/>
          <w:lang w:eastAsia="zh-CN"/>
        </w:rPr>
        <w:t>1 308</w:t>
      </w:r>
      <w:r w:rsidRPr="000C156A">
        <w:rPr>
          <w:rFonts w:cs="Calibri" w:hint="eastAsia"/>
          <w:bCs/>
          <w:lang w:eastAsia="zh-CN"/>
        </w:rPr>
        <w:t>万瑞郎，占</w:t>
      </w:r>
      <w:r w:rsidRPr="000C156A">
        <w:rPr>
          <w:rFonts w:cs="Calibri" w:hint="eastAsia"/>
          <w:bCs/>
          <w:lang w:eastAsia="zh-CN"/>
        </w:rPr>
        <w:t>1 335</w:t>
      </w:r>
      <w:r w:rsidRPr="000C156A">
        <w:rPr>
          <w:rFonts w:cs="Calibri" w:hint="eastAsia"/>
          <w:bCs/>
          <w:lang w:eastAsia="zh-CN"/>
        </w:rPr>
        <w:t>万瑞郎预算的</w:t>
      </w:r>
      <w:r w:rsidRPr="000C156A">
        <w:rPr>
          <w:rFonts w:cs="Calibri" w:hint="eastAsia"/>
          <w:bCs/>
          <w:lang w:eastAsia="zh-CN"/>
        </w:rPr>
        <w:t>98%</w:t>
      </w:r>
      <w:r w:rsidRPr="000C156A">
        <w:rPr>
          <w:rFonts w:cs="Calibri" w:hint="eastAsia"/>
          <w:bCs/>
          <w:lang w:eastAsia="zh-CN"/>
        </w:rPr>
        <w:t>。</w:t>
      </w:r>
    </w:p>
    <w:p w14:paraId="43D3E4A8" w14:textId="2CC1F180" w:rsidR="009630A9" w:rsidRPr="000C156A" w:rsidRDefault="009630A9" w:rsidP="00241C5E">
      <w:pPr>
        <w:tabs>
          <w:tab w:val="left" w:pos="0"/>
        </w:tabs>
        <w:rPr>
          <w:rFonts w:eastAsia="Times New Roman" w:cs="Calibri"/>
          <w:bCs/>
          <w:lang w:eastAsia="zh-CN"/>
        </w:rPr>
      </w:pPr>
      <w:r w:rsidRPr="000C156A">
        <w:rPr>
          <w:rFonts w:cs="Calibri" w:hint="eastAsia"/>
          <w:bCs/>
          <w:lang w:eastAsia="zh-CN"/>
        </w:rPr>
        <w:t>66</w:t>
      </w:r>
      <w:r w:rsidRPr="000C156A">
        <w:rPr>
          <w:rFonts w:cs="Calibri"/>
          <w:bCs/>
          <w:lang w:eastAsia="zh-CN"/>
        </w:rPr>
        <w:tab/>
      </w:r>
      <w:r w:rsidRPr="000C156A">
        <w:rPr>
          <w:rFonts w:cs="Calibri" w:hint="eastAsia"/>
          <w:bCs/>
          <w:lang w:eastAsia="zh-CN"/>
        </w:rPr>
        <w:t>2020</w:t>
      </w:r>
      <w:r w:rsidRPr="000C156A">
        <w:rPr>
          <w:rFonts w:cs="Calibri" w:hint="eastAsia"/>
          <w:bCs/>
          <w:lang w:eastAsia="zh-CN"/>
        </w:rPr>
        <w:t>年，根据国际电联《财务规则和财务细则》，以最有效和最严格的方式对无线电通信局（</w:t>
      </w:r>
      <w:r w:rsidRPr="000C156A">
        <w:rPr>
          <w:rFonts w:cs="Calibri" w:hint="eastAsia"/>
          <w:bCs/>
          <w:lang w:eastAsia="zh-CN"/>
        </w:rPr>
        <w:t>BR</w:t>
      </w:r>
      <w:r w:rsidRPr="000C156A">
        <w:rPr>
          <w:rFonts w:cs="Calibri" w:hint="eastAsia"/>
          <w:bCs/>
          <w:lang w:eastAsia="zh-CN"/>
        </w:rPr>
        <w:t>）的预算予以管理。无线电通信局的支出保持在预算限额内，支出总额为</w:t>
      </w:r>
      <w:r w:rsidRPr="000C156A">
        <w:rPr>
          <w:rFonts w:cs="Calibri" w:hint="eastAsia"/>
          <w:bCs/>
          <w:lang w:eastAsia="zh-CN"/>
        </w:rPr>
        <w:t>2</w:t>
      </w:r>
      <w:r w:rsidR="00355A2A" w:rsidRPr="000C156A">
        <w:rPr>
          <w:rFonts w:cs="Calibri"/>
          <w:bCs/>
          <w:lang w:val="en-US" w:eastAsia="zh-CN"/>
        </w:rPr>
        <w:t xml:space="preserve"> </w:t>
      </w:r>
      <w:r w:rsidRPr="000C156A">
        <w:rPr>
          <w:rFonts w:cs="Calibri" w:hint="eastAsia"/>
          <w:bCs/>
          <w:lang w:eastAsia="zh-CN"/>
        </w:rPr>
        <w:t>730</w:t>
      </w:r>
      <w:r w:rsidRPr="000C156A">
        <w:rPr>
          <w:rFonts w:cs="Calibri" w:hint="eastAsia"/>
          <w:bCs/>
          <w:lang w:eastAsia="zh-CN"/>
        </w:rPr>
        <w:t>万瑞郎，占</w:t>
      </w:r>
      <w:r w:rsidRPr="000C156A">
        <w:rPr>
          <w:rFonts w:cs="Calibri" w:hint="eastAsia"/>
          <w:bCs/>
          <w:lang w:eastAsia="zh-CN"/>
        </w:rPr>
        <w:t>2 980</w:t>
      </w:r>
      <w:r w:rsidRPr="000C156A">
        <w:rPr>
          <w:rFonts w:cs="Calibri" w:hint="eastAsia"/>
          <w:bCs/>
          <w:lang w:eastAsia="zh-CN"/>
        </w:rPr>
        <w:t>万瑞郎核定预算的</w:t>
      </w:r>
      <w:r w:rsidRPr="000C156A">
        <w:rPr>
          <w:rFonts w:cs="Calibri" w:hint="eastAsia"/>
          <w:bCs/>
          <w:lang w:eastAsia="zh-CN"/>
        </w:rPr>
        <w:t>92%</w:t>
      </w:r>
      <w:r w:rsidRPr="000C156A">
        <w:rPr>
          <w:rFonts w:cs="Calibri" w:hint="eastAsia"/>
          <w:bCs/>
          <w:lang w:eastAsia="zh-CN"/>
        </w:rPr>
        <w:t>。</w:t>
      </w:r>
    </w:p>
    <w:p w14:paraId="32F7DDB8" w14:textId="77777777" w:rsidR="009630A9" w:rsidRPr="000C156A" w:rsidRDefault="009630A9" w:rsidP="00241C5E">
      <w:pPr>
        <w:rPr>
          <w:rFonts w:cs="Calibri"/>
          <w:bCs/>
          <w:lang w:eastAsia="zh-CN"/>
        </w:rPr>
      </w:pPr>
      <w:r w:rsidRPr="000C156A">
        <w:rPr>
          <w:rFonts w:cs="Calibri" w:hint="eastAsia"/>
          <w:bCs/>
          <w:lang w:eastAsia="zh-CN"/>
        </w:rPr>
        <w:t>67</w:t>
      </w:r>
      <w:r w:rsidRPr="000C156A">
        <w:rPr>
          <w:rFonts w:cs="Calibri"/>
          <w:bCs/>
          <w:lang w:eastAsia="zh-CN"/>
        </w:rPr>
        <w:tab/>
      </w:r>
      <w:r w:rsidRPr="000C156A">
        <w:rPr>
          <w:rFonts w:asciiTheme="majorEastAsia" w:eastAsiaTheme="majorEastAsia" w:hAnsiTheme="majorEastAsia" w:cs="Microsoft YaHei" w:hint="eastAsia"/>
          <w:lang w:eastAsia="zh-CN"/>
        </w:rPr>
        <w:t>为</w:t>
      </w:r>
      <w:r w:rsidRPr="000C156A">
        <w:rPr>
          <w:rFonts w:cs="Calibri" w:hint="eastAsia"/>
          <w:bCs/>
          <w:lang w:eastAsia="zh-CN"/>
        </w:rPr>
        <w:t>确保电信发展局的工作尽可能以最有效的方式开展，并取得切实、可衡量的成效，该局采用了数字解决方案，逐步开发新的方法来更好地交付服务，包括对运作规划采用的新方式。</w:t>
      </w:r>
    </w:p>
    <w:p w14:paraId="6A01A9C4" w14:textId="77777777" w:rsidR="009630A9" w:rsidRPr="000C156A" w:rsidRDefault="009630A9" w:rsidP="00241C5E">
      <w:pPr>
        <w:rPr>
          <w:bCs/>
          <w:lang w:eastAsia="zh-CN"/>
        </w:rPr>
      </w:pPr>
      <w:r w:rsidRPr="000C156A">
        <w:rPr>
          <w:rFonts w:hint="eastAsia"/>
          <w:bCs/>
          <w:lang w:eastAsia="zh-CN"/>
        </w:rPr>
        <w:t>68</w:t>
      </w:r>
      <w:r w:rsidRPr="000C156A">
        <w:rPr>
          <w:bCs/>
          <w:lang w:eastAsia="zh-CN"/>
        </w:rPr>
        <w:tab/>
      </w:r>
      <w:r w:rsidRPr="000C156A">
        <w:rPr>
          <w:rFonts w:cs="Calibri" w:hint="eastAsia"/>
          <w:bCs/>
          <w:lang w:eastAsia="zh-CN"/>
        </w:rPr>
        <w:t>规划、监督和分享信息与活动的电子工具继续得到改进。电信发展局推出了一系列仪表板，以实现来自多个系统数据的视像化，从而提高了可操作信息的实时监控能力。</w:t>
      </w:r>
    </w:p>
    <w:p w14:paraId="5CDAC0CF" w14:textId="77777777" w:rsidR="009630A9" w:rsidRPr="000C156A" w:rsidRDefault="009630A9" w:rsidP="00241C5E">
      <w:pPr>
        <w:rPr>
          <w:bCs/>
          <w:lang w:eastAsia="zh-CN"/>
        </w:rPr>
      </w:pPr>
      <w:r w:rsidRPr="000C156A">
        <w:rPr>
          <w:rFonts w:hint="eastAsia"/>
          <w:bCs/>
          <w:lang w:eastAsia="zh-CN"/>
        </w:rPr>
        <w:t>69</w:t>
      </w:r>
      <w:r w:rsidRPr="000C156A">
        <w:rPr>
          <w:bCs/>
          <w:lang w:eastAsia="zh-CN"/>
        </w:rPr>
        <w:tab/>
      </w:r>
      <w:r w:rsidRPr="000C156A">
        <w:rPr>
          <w:rFonts w:cs="Calibri" w:hint="eastAsia"/>
          <w:bCs/>
          <w:lang w:eastAsia="zh-CN"/>
        </w:rPr>
        <w:t>此外，</w:t>
      </w:r>
      <w:r w:rsidRPr="000C156A">
        <w:rPr>
          <w:rFonts w:cs="Calibri" w:hint="eastAsia"/>
          <w:bCs/>
          <w:lang w:eastAsia="zh-CN"/>
        </w:rPr>
        <w:t>2020</w:t>
      </w:r>
      <w:r w:rsidRPr="000C156A">
        <w:rPr>
          <w:rFonts w:cs="Calibri" w:hint="eastAsia"/>
          <w:bCs/>
          <w:lang w:eastAsia="zh-CN"/>
        </w:rPr>
        <w:t>年大力扩大了基于结果的管理（</w:t>
      </w:r>
      <w:r w:rsidRPr="000C156A">
        <w:rPr>
          <w:rFonts w:cs="Calibri" w:hint="eastAsia"/>
          <w:bCs/>
          <w:lang w:eastAsia="zh-CN"/>
        </w:rPr>
        <w:t>RBM</w:t>
      </w:r>
      <w:r w:rsidRPr="000C156A">
        <w:rPr>
          <w:rFonts w:cs="Calibri" w:hint="eastAsia"/>
          <w:bCs/>
          <w:lang w:eastAsia="zh-CN"/>
        </w:rPr>
        <w:t>）工作规模。</w:t>
      </w:r>
      <w:r w:rsidRPr="000C156A">
        <w:rPr>
          <w:rFonts w:cs="Calibri" w:hint="eastAsia"/>
          <w:bCs/>
          <w:lang w:eastAsia="zh-CN"/>
        </w:rPr>
        <w:t>2020</w:t>
      </w:r>
      <w:r w:rsidRPr="000C156A">
        <w:rPr>
          <w:rFonts w:cs="Calibri" w:hint="eastAsia"/>
          <w:bCs/>
          <w:lang w:eastAsia="zh-CN"/>
        </w:rPr>
        <w:t>年，在电信发展局所有科室和区域都进行了</w:t>
      </w:r>
      <w:r w:rsidRPr="000C156A">
        <w:rPr>
          <w:rFonts w:cs="Calibri" w:hint="eastAsia"/>
          <w:bCs/>
          <w:lang w:eastAsia="zh-CN"/>
        </w:rPr>
        <w:t>RBM</w:t>
      </w:r>
      <w:r w:rsidRPr="000C156A">
        <w:rPr>
          <w:rFonts w:cs="Calibri" w:hint="eastAsia"/>
          <w:bCs/>
          <w:lang w:eastAsia="zh-CN"/>
        </w:rPr>
        <w:t>培训。</w:t>
      </w:r>
      <w:r w:rsidRPr="000C156A">
        <w:rPr>
          <w:rFonts w:cs="Calibri" w:hint="eastAsia"/>
          <w:bCs/>
          <w:lang w:eastAsia="zh-CN"/>
        </w:rPr>
        <w:t>2020</w:t>
      </w:r>
      <w:r w:rsidRPr="000C156A">
        <w:rPr>
          <w:rFonts w:cs="Calibri" w:hint="eastAsia"/>
          <w:bCs/>
          <w:lang w:eastAsia="zh-CN"/>
        </w:rPr>
        <w:t>年</w:t>
      </w:r>
      <w:r w:rsidRPr="000C156A">
        <w:rPr>
          <w:rFonts w:cs="Calibri" w:hint="eastAsia"/>
          <w:bCs/>
          <w:lang w:eastAsia="zh-CN"/>
        </w:rPr>
        <w:t>6</w:t>
      </w:r>
      <w:r w:rsidRPr="000C156A">
        <w:rPr>
          <w:rFonts w:cs="Calibri" w:hint="eastAsia"/>
          <w:bCs/>
          <w:lang w:eastAsia="zh-CN"/>
        </w:rPr>
        <w:t>月启动了权力下放框架，以提高总部和区域代表处之间的协调效率。还出台了季度管理审查程序，对资源、风险评估和关键绩效指标（</w:t>
      </w:r>
      <w:r w:rsidRPr="000C156A">
        <w:rPr>
          <w:rFonts w:cs="Calibri" w:hint="eastAsia"/>
          <w:bCs/>
          <w:lang w:eastAsia="zh-CN"/>
        </w:rPr>
        <w:t>KPI</w:t>
      </w:r>
      <w:r w:rsidRPr="000C156A">
        <w:rPr>
          <w:rFonts w:cs="Calibri" w:hint="eastAsia"/>
          <w:bCs/>
          <w:lang w:eastAsia="zh-CN"/>
        </w:rPr>
        <w:t>）进行例行评估。</w:t>
      </w:r>
    </w:p>
    <w:p w14:paraId="4F23A1A9" w14:textId="77777777" w:rsidR="009630A9" w:rsidRPr="000C156A" w:rsidRDefault="009630A9" w:rsidP="00241C5E">
      <w:pPr>
        <w:rPr>
          <w:lang w:eastAsia="zh-CN"/>
        </w:rPr>
      </w:pPr>
      <w:r w:rsidRPr="000C156A">
        <w:rPr>
          <w:lang w:eastAsia="zh-CN"/>
        </w:rPr>
        <w:t>7</w:t>
      </w:r>
      <w:r w:rsidRPr="000C156A">
        <w:rPr>
          <w:rFonts w:hint="eastAsia"/>
          <w:lang w:eastAsia="zh-CN"/>
        </w:rPr>
        <w:t>0</w:t>
      </w:r>
      <w:r w:rsidRPr="000C156A">
        <w:rPr>
          <w:lang w:eastAsia="zh-CN"/>
        </w:rPr>
        <w:tab/>
        <w:t>20</w:t>
      </w:r>
      <w:r w:rsidRPr="000C156A">
        <w:rPr>
          <w:rFonts w:hint="eastAsia"/>
          <w:lang w:eastAsia="zh-CN"/>
        </w:rPr>
        <w:t>20</w:t>
      </w:r>
      <w:r w:rsidRPr="000C156A">
        <w:rPr>
          <w:rFonts w:hint="eastAsia"/>
          <w:lang w:eastAsia="zh-CN"/>
        </w:rPr>
        <w:t>年，电信发展局的总支出为</w:t>
      </w:r>
      <w:r w:rsidRPr="000C156A">
        <w:rPr>
          <w:rFonts w:hint="eastAsia"/>
          <w:lang w:eastAsia="zh-CN"/>
        </w:rPr>
        <w:t>2</w:t>
      </w:r>
      <w:r w:rsidRPr="000C156A">
        <w:rPr>
          <w:lang w:eastAsia="zh-CN"/>
        </w:rPr>
        <w:t xml:space="preserve"> 979</w:t>
      </w:r>
      <w:r w:rsidRPr="000C156A">
        <w:rPr>
          <w:rFonts w:hint="eastAsia"/>
          <w:lang w:eastAsia="zh-CN"/>
        </w:rPr>
        <w:t>万瑞郎，占</w:t>
      </w:r>
      <w:r w:rsidRPr="000C156A">
        <w:rPr>
          <w:rFonts w:hint="eastAsia"/>
          <w:lang w:eastAsia="zh-CN"/>
        </w:rPr>
        <w:t>3</w:t>
      </w:r>
      <w:r w:rsidRPr="000C156A">
        <w:rPr>
          <w:lang w:eastAsia="zh-CN"/>
        </w:rPr>
        <w:t xml:space="preserve"> 139</w:t>
      </w:r>
      <w:r w:rsidRPr="000C156A">
        <w:rPr>
          <w:rFonts w:hint="eastAsia"/>
          <w:lang w:eastAsia="zh-CN"/>
        </w:rPr>
        <w:t>万瑞郎核定预算的</w:t>
      </w:r>
      <w:r w:rsidRPr="000C156A">
        <w:rPr>
          <w:rFonts w:hint="eastAsia"/>
          <w:lang w:eastAsia="zh-CN"/>
        </w:rPr>
        <w:t>9</w:t>
      </w:r>
      <w:r w:rsidRPr="000C156A">
        <w:rPr>
          <w:lang w:eastAsia="zh-CN"/>
        </w:rPr>
        <w:t>4</w:t>
      </w:r>
      <w:r w:rsidRPr="000C156A">
        <w:rPr>
          <w:rFonts w:hint="eastAsia"/>
          <w:lang w:eastAsia="zh-CN"/>
        </w:rPr>
        <w:t>.</w:t>
      </w:r>
      <w:r w:rsidRPr="000C156A">
        <w:rPr>
          <w:lang w:eastAsia="zh-CN"/>
        </w:rPr>
        <w:t>9</w:t>
      </w:r>
      <w:r w:rsidRPr="000C156A">
        <w:rPr>
          <w:rFonts w:hint="eastAsia"/>
          <w:lang w:eastAsia="zh-CN"/>
        </w:rPr>
        <w:t>%</w:t>
      </w:r>
      <w:r w:rsidRPr="000C156A">
        <w:rPr>
          <w:rFonts w:hint="eastAsia"/>
          <w:lang w:eastAsia="zh-CN"/>
        </w:rPr>
        <w:t>。</w:t>
      </w:r>
    </w:p>
    <w:p w14:paraId="24FDAFC8" w14:textId="77777777" w:rsidR="009630A9" w:rsidRPr="000C156A" w:rsidRDefault="009630A9" w:rsidP="009630A9">
      <w:pPr>
        <w:pStyle w:val="Headingb"/>
        <w:rPr>
          <w:lang w:val="en-US" w:eastAsia="zh-CN"/>
        </w:rPr>
      </w:pPr>
      <w:bookmarkStart w:id="1103" w:name="_Toc73518741"/>
      <w:bookmarkStart w:id="1104" w:name="_Toc73518888"/>
      <w:bookmarkStart w:id="1105" w:name="_Toc73519288"/>
      <w:bookmarkStart w:id="1106" w:name="_Toc73636327"/>
      <w:r w:rsidRPr="000C156A">
        <w:rPr>
          <w:rFonts w:hint="eastAsia"/>
          <w:lang w:val="en-US" w:eastAsia="zh-CN"/>
        </w:rPr>
        <w:t>预算中未预料到的费用</w:t>
      </w:r>
      <w:bookmarkEnd w:id="1103"/>
      <w:bookmarkEnd w:id="1104"/>
      <w:bookmarkEnd w:id="1105"/>
      <w:bookmarkEnd w:id="1106"/>
    </w:p>
    <w:p w14:paraId="334D47E6" w14:textId="77777777" w:rsidR="009630A9" w:rsidRPr="000C156A" w:rsidRDefault="009630A9" w:rsidP="009630A9">
      <w:pPr>
        <w:rPr>
          <w:lang w:eastAsia="zh-CN"/>
        </w:rPr>
      </w:pPr>
      <w:r w:rsidRPr="000C156A">
        <w:rPr>
          <w:lang w:eastAsia="zh-CN"/>
        </w:rPr>
        <w:t>7</w:t>
      </w:r>
      <w:r w:rsidRPr="000C156A">
        <w:rPr>
          <w:rFonts w:hint="eastAsia"/>
          <w:lang w:eastAsia="zh-CN"/>
        </w:rPr>
        <w:t>1</w:t>
      </w:r>
      <w:r w:rsidRPr="000C156A">
        <w:rPr>
          <w:lang w:eastAsia="zh-CN"/>
        </w:rPr>
        <w:tab/>
      </w:r>
      <w:r w:rsidRPr="000C156A">
        <w:rPr>
          <w:rFonts w:hint="eastAsia"/>
          <w:lang w:eastAsia="zh-CN"/>
        </w:rPr>
        <w:t>职员离职后健康保险（</w:t>
      </w:r>
      <w:r w:rsidRPr="000C156A">
        <w:rPr>
          <w:lang w:eastAsia="zh-CN"/>
        </w:rPr>
        <w:t>ASHI</w:t>
      </w:r>
      <w:r w:rsidRPr="000C156A">
        <w:rPr>
          <w:rFonts w:hint="eastAsia"/>
          <w:lang w:eastAsia="zh-CN"/>
        </w:rPr>
        <w:t>）的调整费用被确认为</w:t>
      </w:r>
      <w:r w:rsidRPr="000C156A">
        <w:rPr>
          <w:lang w:eastAsia="zh-CN"/>
        </w:rPr>
        <w:t>2 278</w:t>
      </w:r>
      <w:r w:rsidRPr="000C156A">
        <w:rPr>
          <w:rFonts w:hint="eastAsia"/>
          <w:lang w:eastAsia="zh-CN"/>
        </w:rPr>
        <w:t>万瑞郎。</w:t>
      </w:r>
      <w:r w:rsidRPr="000C156A">
        <w:rPr>
          <w:lang w:eastAsia="zh-CN"/>
        </w:rPr>
        <w:t>这笔费用视为统计费用，不属于预算结果的一部分</w:t>
      </w:r>
      <w:r w:rsidRPr="000C156A">
        <w:rPr>
          <w:rFonts w:hint="eastAsia"/>
          <w:lang w:eastAsia="zh-CN"/>
        </w:rPr>
        <w:t>。</w:t>
      </w:r>
    </w:p>
    <w:p w14:paraId="36CC1DE5" w14:textId="77777777" w:rsidR="009630A9" w:rsidRPr="000C156A" w:rsidRDefault="009630A9" w:rsidP="009630A9">
      <w:pPr>
        <w:rPr>
          <w:lang w:eastAsia="zh-CN"/>
        </w:rPr>
      </w:pPr>
      <w:r w:rsidRPr="000C156A">
        <w:rPr>
          <w:lang w:eastAsia="zh-CN"/>
        </w:rPr>
        <w:t>7</w:t>
      </w:r>
      <w:r w:rsidRPr="000C156A">
        <w:rPr>
          <w:rFonts w:hint="eastAsia"/>
          <w:lang w:eastAsia="zh-CN"/>
        </w:rPr>
        <w:t>2</w:t>
      </w:r>
      <w:r w:rsidRPr="000C156A">
        <w:rPr>
          <w:lang w:eastAsia="zh-CN"/>
        </w:rPr>
        <w:tab/>
      </w:r>
      <w:r w:rsidRPr="000C156A">
        <w:rPr>
          <w:rFonts w:hint="eastAsia"/>
          <w:lang w:eastAsia="zh-CN"/>
        </w:rPr>
        <w:t>实物捐赠同时被确认为费用和收入。对实物捐赠的确认是基于瑞士议会</w:t>
      </w:r>
      <w:r w:rsidRPr="000C156A">
        <w:rPr>
          <w:lang w:eastAsia="zh-CN"/>
        </w:rPr>
        <w:t>1996</w:t>
      </w:r>
      <w:r w:rsidRPr="000C156A">
        <w:rPr>
          <w:rFonts w:hint="eastAsia"/>
          <w:lang w:eastAsia="zh-CN"/>
        </w:rPr>
        <w:t>年</w:t>
      </w:r>
      <w:r w:rsidRPr="000C156A">
        <w:rPr>
          <w:lang w:eastAsia="zh-CN"/>
        </w:rPr>
        <w:t>1</w:t>
      </w:r>
      <w:r w:rsidRPr="000C156A">
        <w:rPr>
          <w:rFonts w:hint="eastAsia"/>
          <w:lang w:eastAsia="zh-CN"/>
        </w:rPr>
        <w:t>月</w:t>
      </w:r>
      <w:r w:rsidRPr="000C156A">
        <w:rPr>
          <w:lang w:eastAsia="zh-CN"/>
        </w:rPr>
        <w:t>1</w:t>
      </w:r>
      <w:r w:rsidRPr="000C156A">
        <w:rPr>
          <w:rFonts w:hint="eastAsia"/>
          <w:lang w:eastAsia="zh-CN"/>
        </w:rPr>
        <w:t>日起生效的决定，即，终止对国际组织不动产基金会（</w:t>
      </w:r>
      <w:r w:rsidRPr="000C156A">
        <w:rPr>
          <w:lang w:eastAsia="zh-CN"/>
        </w:rPr>
        <w:t>FIPOI</w:t>
      </w:r>
      <w:r w:rsidRPr="000C156A">
        <w:rPr>
          <w:rFonts w:hint="eastAsia"/>
          <w:lang w:eastAsia="zh-CN"/>
        </w:rPr>
        <w:t>）的贷款收取利息。截至</w:t>
      </w:r>
      <w:r w:rsidRPr="000C156A">
        <w:rPr>
          <w:lang w:eastAsia="zh-CN"/>
        </w:rPr>
        <w:t>20</w:t>
      </w:r>
      <w:r w:rsidRPr="000C156A">
        <w:rPr>
          <w:rFonts w:hint="eastAsia"/>
          <w:lang w:eastAsia="zh-CN"/>
        </w:rPr>
        <w:t>20</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日，依照</w:t>
      </w:r>
      <w:r w:rsidRPr="000C156A">
        <w:rPr>
          <w:lang w:eastAsia="zh-CN"/>
        </w:rPr>
        <w:t>3.25%</w:t>
      </w:r>
      <w:r w:rsidRPr="000C156A">
        <w:rPr>
          <w:rFonts w:hint="eastAsia"/>
          <w:lang w:eastAsia="zh-CN"/>
        </w:rPr>
        <w:t>的长期利息计算，此项捐赠每年可为国际电联节省</w:t>
      </w:r>
      <w:r w:rsidRPr="000C156A">
        <w:rPr>
          <w:rFonts w:hint="eastAsia"/>
          <w:lang w:eastAsia="zh-CN"/>
        </w:rPr>
        <w:t>82</w:t>
      </w:r>
      <w:r w:rsidRPr="000C156A">
        <w:rPr>
          <w:rFonts w:hint="eastAsia"/>
          <w:lang w:eastAsia="zh-CN"/>
        </w:rPr>
        <w:t>万瑞郎。</w:t>
      </w:r>
    </w:p>
    <w:p w14:paraId="4FA39DC7" w14:textId="77777777" w:rsidR="009630A9" w:rsidRPr="000C156A" w:rsidRDefault="009630A9" w:rsidP="009630A9">
      <w:pPr>
        <w:rPr>
          <w:lang w:eastAsia="zh-CN"/>
        </w:rPr>
      </w:pPr>
      <w:r w:rsidRPr="000C156A">
        <w:rPr>
          <w:lang w:eastAsia="zh-CN"/>
        </w:rPr>
        <w:t>7</w:t>
      </w:r>
      <w:r w:rsidRPr="000C156A">
        <w:rPr>
          <w:rFonts w:hint="eastAsia"/>
          <w:lang w:eastAsia="zh-CN"/>
        </w:rPr>
        <w:t>3</w:t>
      </w:r>
      <w:r w:rsidRPr="000C156A">
        <w:rPr>
          <w:lang w:eastAsia="zh-CN"/>
        </w:rPr>
        <w:tab/>
        <w:t>20</w:t>
      </w:r>
      <w:r w:rsidRPr="000C156A">
        <w:rPr>
          <w:rFonts w:hint="eastAsia"/>
          <w:lang w:eastAsia="zh-CN"/>
        </w:rPr>
        <w:t>20</w:t>
      </w:r>
      <w:r w:rsidRPr="000C156A">
        <w:rPr>
          <w:rFonts w:hint="eastAsia"/>
          <w:lang w:eastAsia="zh-CN"/>
        </w:rPr>
        <w:t>年度登记的折旧中，有</w:t>
      </w:r>
      <w:r w:rsidRPr="000C156A">
        <w:rPr>
          <w:lang w:eastAsia="zh-CN"/>
        </w:rPr>
        <w:t>700</w:t>
      </w:r>
      <w:r w:rsidRPr="000C156A">
        <w:rPr>
          <w:rFonts w:hint="eastAsia"/>
          <w:lang w:eastAsia="zh-CN"/>
        </w:rPr>
        <w:t>万瑞郎被确认为费用。</w:t>
      </w:r>
    </w:p>
    <w:p w14:paraId="52E8AEFD" w14:textId="77777777" w:rsidR="009630A9" w:rsidRPr="000C156A" w:rsidRDefault="009630A9" w:rsidP="009630A9">
      <w:pPr>
        <w:pStyle w:val="Headingb"/>
        <w:rPr>
          <w:lang w:eastAsia="zh-CN"/>
        </w:rPr>
      </w:pPr>
      <w:bookmarkStart w:id="1107" w:name="_Toc73518742"/>
      <w:bookmarkStart w:id="1108" w:name="_Toc73518889"/>
      <w:bookmarkStart w:id="1109" w:name="_Toc73519289"/>
      <w:bookmarkStart w:id="1110" w:name="_Toc73636328"/>
      <w:r w:rsidRPr="000C156A">
        <w:rPr>
          <w:rFonts w:hint="eastAsia"/>
          <w:lang w:eastAsia="zh-CN"/>
        </w:rPr>
        <w:t>欺诈</w:t>
      </w:r>
      <w:r w:rsidRPr="000C156A">
        <w:rPr>
          <w:rFonts w:hint="eastAsia"/>
          <w:lang w:val="en-US" w:eastAsia="zh-CN"/>
        </w:rPr>
        <w:t>事件</w:t>
      </w:r>
      <w:bookmarkEnd w:id="1107"/>
      <w:bookmarkEnd w:id="1108"/>
      <w:bookmarkEnd w:id="1109"/>
      <w:bookmarkEnd w:id="1110"/>
    </w:p>
    <w:p w14:paraId="438DF5A1" w14:textId="77777777" w:rsidR="009630A9" w:rsidRPr="000C156A" w:rsidRDefault="009630A9" w:rsidP="009630A9">
      <w:pPr>
        <w:tabs>
          <w:tab w:val="left" w:pos="709"/>
        </w:tabs>
        <w:spacing w:before="160" w:after="120"/>
        <w:jc w:val="both"/>
        <w:rPr>
          <w:lang w:eastAsia="zh-CN"/>
        </w:rPr>
      </w:pPr>
      <w:r w:rsidRPr="000C156A">
        <w:rPr>
          <w:bCs/>
          <w:szCs w:val="24"/>
          <w:lang w:val="en-US" w:eastAsia="zh-CN"/>
        </w:rPr>
        <w:t>7</w:t>
      </w:r>
      <w:r w:rsidRPr="000C156A">
        <w:rPr>
          <w:rFonts w:hint="eastAsia"/>
          <w:bCs/>
          <w:szCs w:val="24"/>
          <w:lang w:val="en-US" w:eastAsia="zh-CN"/>
        </w:rPr>
        <w:t>4</w:t>
      </w:r>
      <w:r w:rsidRPr="000C156A">
        <w:rPr>
          <w:bCs/>
          <w:szCs w:val="24"/>
          <w:lang w:val="en-US" w:eastAsia="zh-CN"/>
        </w:rPr>
        <w:tab/>
      </w:r>
      <w:r w:rsidRPr="000C156A">
        <w:rPr>
          <w:rFonts w:hint="eastAsia"/>
          <w:bCs/>
          <w:szCs w:val="24"/>
          <w:lang w:eastAsia="zh-CN"/>
        </w:rPr>
        <w:t>已</w:t>
      </w:r>
      <w:r w:rsidRPr="000C156A">
        <w:rPr>
          <w:bCs/>
          <w:szCs w:val="24"/>
          <w:lang w:eastAsia="zh-CN"/>
        </w:rPr>
        <w:t>成立了一个内部协调小组，以采取行动并确保这种情况不会在国际电联内再次发生。该小组已经向</w:t>
      </w:r>
      <w:r w:rsidRPr="000C156A">
        <w:rPr>
          <w:bCs/>
          <w:szCs w:val="24"/>
          <w:lang w:eastAsia="zh-CN"/>
        </w:rPr>
        <w:t>CWG-FHR</w:t>
      </w:r>
      <w:r w:rsidRPr="000C156A">
        <w:rPr>
          <w:bCs/>
          <w:szCs w:val="24"/>
          <w:lang w:eastAsia="zh-CN"/>
        </w:rPr>
        <w:t>报告了</w:t>
      </w:r>
      <w:r w:rsidRPr="000C156A">
        <w:rPr>
          <w:rFonts w:hint="eastAsia"/>
          <w:bCs/>
          <w:szCs w:val="24"/>
          <w:lang w:eastAsia="zh-CN"/>
        </w:rPr>
        <w:t>落实</w:t>
      </w:r>
      <w:r w:rsidRPr="000C156A">
        <w:rPr>
          <w:bCs/>
          <w:szCs w:val="24"/>
          <w:lang w:eastAsia="zh-CN"/>
        </w:rPr>
        <w:t>外</w:t>
      </w:r>
      <w:r w:rsidRPr="000C156A">
        <w:rPr>
          <w:rFonts w:hint="eastAsia"/>
          <w:bCs/>
          <w:szCs w:val="24"/>
          <w:lang w:eastAsia="zh-CN"/>
        </w:rPr>
        <w:t>部</w:t>
      </w:r>
      <w:r w:rsidRPr="000C156A">
        <w:rPr>
          <w:bCs/>
          <w:szCs w:val="24"/>
          <w:lang w:eastAsia="zh-CN"/>
        </w:rPr>
        <w:t>审计员和</w:t>
      </w:r>
      <w:r w:rsidRPr="000C156A">
        <w:rPr>
          <w:bCs/>
          <w:szCs w:val="24"/>
          <w:lang w:eastAsia="zh-CN"/>
        </w:rPr>
        <w:t>IMAC</w:t>
      </w:r>
      <w:r w:rsidRPr="000C156A">
        <w:rPr>
          <w:bCs/>
          <w:szCs w:val="24"/>
          <w:lang w:eastAsia="zh-CN"/>
        </w:rPr>
        <w:t>建议的情况。</w:t>
      </w:r>
    </w:p>
    <w:p w14:paraId="3814F389" w14:textId="77777777" w:rsidR="009630A9" w:rsidRPr="000C156A" w:rsidRDefault="009630A9" w:rsidP="009630A9">
      <w:pPr>
        <w:tabs>
          <w:tab w:val="left" w:pos="709"/>
        </w:tabs>
        <w:jc w:val="both"/>
        <w:rPr>
          <w:bCs/>
          <w:szCs w:val="24"/>
          <w:lang w:eastAsia="zh-CN"/>
        </w:rPr>
      </w:pPr>
      <w:r w:rsidRPr="000C156A">
        <w:rPr>
          <w:rFonts w:hint="eastAsia"/>
          <w:bCs/>
          <w:szCs w:val="24"/>
          <w:lang w:val="en-US" w:eastAsia="zh-CN"/>
        </w:rPr>
        <w:t>75</w:t>
      </w:r>
      <w:r w:rsidRPr="000C156A">
        <w:rPr>
          <w:bCs/>
          <w:szCs w:val="24"/>
          <w:lang w:val="en-US" w:eastAsia="zh-CN"/>
        </w:rPr>
        <w:tab/>
      </w:r>
      <w:r w:rsidRPr="000C156A">
        <w:rPr>
          <w:rFonts w:hint="eastAsia"/>
          <w:bCs/>
          <w:szCs w:val="24"/>
          <w:lang w:val="en-US" w:eastAsia="zh-CN"/>
        </w:rPr>
        <w:t>落实</w:t>
      </w:r>
      <w:r w:rsidRPr="000C156A">
        <w:rPr>
          <w:bCs/>
          <w:szCs w:val="24"/>
          <w:lang w:eastAsia="zh-CN"/>
        </w:rPr>
        <w:t>这些建议的</w:t>
      </w:r>
      <w:r w:rsidRPr="000C156A">
        <w:rPr>
          <w:rFonts w:hint="eastAsia"/>
          <w:bCs/>
          <w:szCs w:val="24"/>
          <w:lang w:eastAsia="zh-CN"/>
        </w:rPr>
        <w:t>详情</w:t>
      </w:r>
      <w:r w:rsidRPr="000C156A">
        <w:rPr>
          <w:bCs/>
          <w:szCs w:val="24"/>
          <w:lang w:eastAsia="zh-CN"/>
        </w:rPr>
        <w:t>和日期将通过</w:t>
      </w:r>
      <w:hyperlink r:id="rId47" w:history="1">
        <w:r w:rsidRPr="000C156A">
          <w:rPr>
            <w:rFonts w:eastAsia="Times New Roman"/>
            <w:color w:val="0000FF"/>
            <w:u w:val="single"/>
            <w:lang w:eastAsia="zh-CN"/>
          </w:rPr>
          <w:t>C21/63</w:t>
        </w:r>
      </w:hyperlink>
      <w:r w:rsidRPr="000C156A">
        <w:rPr>
          <w:bCs/>
          <w:szCs w:val="24"/>
          <w:lang w:eastAsia="zh-CN"/>
        </w:rPr>
        <w:t>号文件提交理事会本届会议。</w:t>
      </w:r>
    </w:p>
    <w:p w14:paraId="16CFA4A4" w14:textId="20BCACC5" w:rsidR="009630A9" w:rsidRPr="000C156A" w:rsidRDefault="009630A9" w:rsidP="009630A9">
      <w:pPr>
        <w:tabs>
          <w:tab w:val="left" w:pos="709"/>
        </w:tabs>
        <w:jc w:val="both"/>
        <w:rPr>
          <w:bCs/>
          <w:szCs w:val="24"/>
          <w:lang w:val="en-US" w:eastAsia="zh-CN"/>
        </w:rPr>
      </w:pPr>
      <w:r w:rsidRPr="000C156A">
        <w:rPr>
          <w:rFonts w:hint="eastAsia"/>
          <w:bCs/>
          <w:szCs w:val="24"/>
          <w:lang w:eastAsia="zh-CN"/>
        </w:rPr>
        <w:lastRenderedPageBreak/>
        <w:t>76</w:t>
      </w:r>
      <w:r w:rsidRPr="000C156A">
        <w:rPr>
          <w:bCs/>
          <w:szCs w:val="24"/>
          <w:lang w:eastAsia="zh-CN"/>
        </w:rPr>
        <w:tab/>
      </w:r>
      <w:r w:rsidRPr="000C156A">
        <w:rPr>
          <w:rFonts w:hint="eastAsia"/>
          <w:bCs/>
          <w:szCs w:val="24"/>
          <w:lang w:eastAsia="zh-CN"/>
        </w:rPr>
        <w:t>2020</w:t>
      </w:r>
      <w:r w:rsidRPr="000C156A">
        <w:rPr>
          <w:rFonts w:hint="eastAsia"/>
          <w:bCs/>
          <w:szCs w:val="24"/>
          <w:lang w:eastAsia="zh-CN"/>
        </w:rPr>
        <w:t>年，应曼谷捐助方</w:t>
      </w:r>
      <w:r w:rsidRPr="000C156A">
        <w:rPr>
          <w:rFonts w:hint="eastAsia"/>
          <w:bCs/>
          <w:szCs w:val="24"/>
          <w:lang w:eastAsia="zh-CN"/>
        </w:rPr>
        <w:t>NBTC</w:t>
      </w:r>
      <w:r w:rsidRPr="000C156A">
        <w:rPr>
          <w:rFonts w:hint="eastAsia"/>
          <w:bCs/>
          <w:szCs w:val="24"/>
          <w:lang w:eastAsia="zh-CN"/>
        </w:rPr>
        <w:t>的请求，向其退还了</w:t>
      </w:r>
      <w:r w:rsidRPr="000C156A">
        <w:rPr>
          <w:rFonts w:hint="eastAsia"/>
          <w:bCs/>
          <w:szCs w:val="24"/>
          <w:lang w:eastAsia="zh-CN"/>
        </w:rPr>
        <w:t>172</w:t>
      </w:r>
      <w:r w:rsidR="0088532C" w:rsidRPr="000C156A">
        <w:rPr>
          <w:bCs/>
          <w:szCs w:val="24"/>
          <w:lang w:eastAsia="zh-CN"/>
        </w:rPr>
        <w:t xml:space="preserve"> </w:t>
      </w:r>
      <w:r w:rsidRPr="000C156A">
        <w:rPr>
          <w:rFonts w:hint="eastAsia"/>
          <w:bCs/>
          <w:szCs w:val="24"/>
          <w:lang w:eastAsia="zh-CN"/>
        </w:rPr>
        <w:t>304</w:t>
      </w:r>
      <w:r w:rsidRPr="000C156A">
        <w:rPr>
          <w:rFonts w:hint="eastAsia"/>
          <w:bCs/>
          <w:szCs w:val="24"/>
          <w:lang w:eastAsia="zh-CN"/>
        </w:rPr>
        <w:t>美元。</w:t>
      </w:r>
    </w:p>
    <w:p w14:paraId="36EBE133" w14:textId="77777777" w:rsidR="009630A9" w:rsidRPr="000C156A" w:rsidRDefault="009630A9" w:rsidP="009630A9">
      <w:pPr>
        <w:pStyle w:val="Heading1"/>
        <w:rPr>
          <w:lang w:eastAsia="zh-CN"/>
        </w:rPr>
      </w:pPr>
      <w:bookmarkStart w:id="1111" w:name="_Toc511116014"/>
      <w:bookmarkStart w:id="1112" w:name="_Toc41905905"/>
      <w:bookmarkStart w:id="1113" w:name="_Toc41908075"/>
      <w:bookmarkStart w:id="1114" w:name="_Toc73519290"/>
      <w:bookmarkStart w:id="1115" w:name="_Toc73636329"/>
      <w:bookmarkStart w:id="1116" w:name="_Toc482894263"/>
      <w:bookmarkStart w:id="1117" w:name="_Toc358364829"/>
      <w:r w:rsidRPr="000C156A">
        <w:rPr>
          <w:rFonts w:hint="eastAsia"/>
          <w:lang w:eastAsia="zh-CN"/>
        </w:rPr>
        <w:t>二</w:t>
      </w:r>
      <w:r w:rsidRPr="000C156A">
        <w:rPr>
          <w:lang w:eastAsia="zh-CN"/>
        </w:rPr>
        <w:tab/>
      </w:r>
      <w:r w:rsidRPr="000C156A">
        <w:rPr>
          <w:rFonts w:hint="eastAsia"/>
          <w:lang w:eastAsia="zh-CN"/>
        </w:rPr>
        <w:t>总部新办公楼（附件</w:t>
      </w:r>
      <w:r w:rsidRPr="000C156A">
        <w:rPr>
          <w:lang w:eastAsia="zh-CN"/>
        </w:rPr>
        <w:t>B</w:t>
      </w:r>
      <w:r w:rsidRPr="000C156A">
        <w:rPr>
          <w:rFonts w:hint="eastAsia"/>
          <w:lang w:eastAsia="zh-CN"/>
        </w:rPr>
        <w:t>2</w:t>
      </w:r>
      <w:r w:rsidRPr="000C156A">
        <w:rPr>
          <w:rFonts w:hint="eastAsia"/>
          <w:lang w:eastAsia="zh-CN"/>
        </w:rPr>
        <w:t>）</w:t>
      </w:r>
      <w:bookmarkEnd w:id="1111"/>
      <w:bookmarkEnd w:id="1112"/>
      <w:bookmarkEnd w:id="1113"/>
      <w:bookmarkEnd w:id="1114"/>
      <w:bookmarkEnd w:id="1115"/>
    </w:p>
    <w:p w14:paraId="122B2F28" w14:textId="77777777" w:rsidR="009630A9" w:rsidRPr="000C156A" w:rsidRDefault="009630A9" w:rsidP="009630A9">
      <w:pPr>
        <w:jc w:val="both"/>
        <w:rPr>
          <w:rFonts w:eastAsia="Times New Roman"/>
          <w:highlight w:val="cyan"/>
          <w:lang w:eastAsia="zh-CN"/>
        </w:rPr>
      </w:pPr>
      <w:r w:rsidRPr="000C156A">
        <w:rPr>
          <w:rFonts w:hint="eastAsia"/>
          <w:bCs/>
          <w:szCs w:val="24"/>
          <w:lang w:val="en-US" w:eastAsia="zh-CN"/>
        </w:rPr>
        <w:t>77</w:t>
      </w:r>
      <w:r w:rsidRPr="000C156A">
        <w:rPr>
          <w:bCs/>
          <w:szCs w:val="24"/>
          <w:lang w:val="en-US" w:eastAsia="zh-CN"/>
        </w:rPr>
        <w:tab/>
      </w:r>
      <w:r w:rsidRPr="000C156A">
        <w:rPr>
          <w:bCs/>
          <w:szCs w:val="24"/>
          <w:lang w:eastAsia="zh-CN"/>
        </w:rPr>
        <w:t>在</w:t>
      </w:r>
      <w:r w:rsidRPr="000C156A">
        <w:rPr>
          <w:bCs/>
          <w:szCs w:val="24"/>
          <w:lang w:eastAsia="zh-CN"/>
        </w:rPr>
        <w:t>2020</w:t>
      </w:r>
      <w:r w:rsidRPr="000C156A">
        <w:rPr>
          <w:bCs/>
          <w:szCs w:val="24"/>
          <w:lang w:eastAsia="zh-CN"/>
        </w:rPr>
        <w:t>年期间，项目设计和成本</w:t>
      </w:r>
      <w:r w:rsidRPr="000C156A">
        <w:rPr>
          <w:rFonts w:hint="eastAsia"/>
          <w:bCs/>
          <w:szCs w:val="24"/>
          <w:lang w:eastAsia="zh-CN"/>
        </w:rPr>
        <w:t>已</w:t>
      </w:r>
      <w:r w:rsidRPr="000C156A">
        <w:rPr>
          <w:bCs/>
          <w:szCs w:val="24"/>
          <w:lang w:eastAsia="zh-CN"/>
        </w:rPr>
        <w:t>进一步细化，施工许可申请将在</w:t>
      </w:r>
      <w:r w:rsidRPr="000C156A">
        <w:rPr>
          <w:rFonts w:hint="eastAsia"/>
          <w:bCs/>
          <w:szCs w:val="24"/>
          <w:lang w:eastAsia="zh-CN"/>
        </w:rPr>
        <w:t>年底</w:t>
      </w:r>
      <w:r w:rsidRPr="000C156A">
        <w:rPr>
          <w:bCs/>
          <w:szCs w:val="24"/>
          <w:lang w:eastAsia="zh-CN"/>
        </w:rPr>
        <w:t>前提交</w:t>
      </w:r>
      <w:r w:rsidRPr="000C156A">
        <w:rPr>
          <w:rFonts w:hint="eastAsia"/>
          <w:bCs/>
          <w:szCs w:val="24"/>
          <w:lang w:eastAsia="zh-CN"/>
        </w:rPr>
        <w:t>。</w:t>
      </w:r>
    </w:p>
    <w:p w14:paraId="1DBCCBE7" w14:textId="77777777" w:rsidR="009630A9" w:rsidRPr="000C156A" w:rsidRDefault="009630A9" w:rsidP="009630A9">
      <w:pPr>
        <w:rPr>
          <w:bCs/>
          <w:szCs w:val="24"/>
          <w:lang w:val="en-US" w:eastAsia="zh-CN"/>
        </w:rPr>
      </w:pPr>
      <w:r w:rsidRPr="000C156A">
        <w:rPr>
          <w:rFonts w:hint="eastAsia"/>
          <w:bCs/>
          <w:szCs w:val="24"/>
          <w:lang w:val="en-US" w:eastAsia="zh-CN"/>
        </w:rPr>
        <w:t>78</w:t>
      </w:r>
      <w:r w:rsidRPr="000C156A">
        <w:rPr>
          <w:bCs/>
          <w:szCs w:val="24"/>
          <w:lang w:val="en-US" w:eastAsia="zh-CN"/>
        </w:rPr>
        <w:tab/>
      </w:r>
      <w:r w:rsidRPr="000C156A">
        <w:rPr>
          <w:rFonts w:hint="eastAsia"/>
          <w:bCs/>
          <w:szCs w:val="24"/>
          <w:lang w:eastAsia="zh-CN"/>
        </w:rPr>
        <w:t>第二笔贷款于</w:t>
      </w:r>
      <w:r w:rsidRPr="000C156A">
        <w:rPr>
          <w:rFonts w:hint="eastAsia"/>
          <w:bCs/>
          <w:szCs w:val="24"/>
          <w:lang w:eastAsia="zh-CN"/>
        </w:rPr>
        <w:t>2021</w:t>
      </w:r>
      <w:r w:rsidRPr="000C156A">
        <w:rPr>
          <w:rFonts w:hint="eastAsia"/>
          <w:bCs/>
          <w:szCs w:val="24"/>
          <w:lang w:eastAsia="zh-CN"/>
        </w:rPr>
        <w:t>年</w:t>
      </w:r>
      <w:r w:rsidRPr="000C156A">
        <w:rPr>
          <w:rFonts w:hint="eastAsia"/>
          <w:bCs/>
          <w:szCs w:val="24"/>
          <w:lang w:eastAsia="zh-CN"/>
        </w:rPr>
        <w:t>2</w:t>
      </w:r>
      <w:r w:rsidRPr="000C156A">
        <w:rPr>
          <w:rFonts w:hint="eastAsia"/>
          <w:bCs/>
          <w:szCs w:val="24"/>
          <w:lang w:eastAsia="zh-CN"/>
        </w:rPr>
        <w:t>月发放，金额为</w:t>
      </w:r>
      <w:r w:rsidRPr="000C156A">
        <w:rPr>
          <w:rFonts w:hint="eastAsia"/>
          <w:bCs/>
          <w:szCs w:val="24"/>
          <w:lang w:eastAsia="zh-CN"/>
        </w:rPr>
        <w:t>1.38</w:t>
      </w:r>
      <w:r w:rsidRPr="000C156A">
        <w:rPr>
          <w:rFonts w:hint="eastAsia"/>
          <w:bCs/>
          <w:szCs w:val="24"/>
          <w:lang w:eastAsia="zh-CN"/>
        </w:rPr>
        <w:t>亿瑞郎。</w:t>
      </w:r>
    </w:p>
    <w:p w14:paraId="6EE7237F" w14:textId="77777777" w:rsidR="009630A9" w:rsidRPr="000C156A" w:rsidRDefault="009630A9" w:rsidP="009630A9">
      <w:pPr>
        <w:rPr>
          <w:rFonts w:eastAsia="Times New Roman"/>
          <w:lang w:eastAsia="zh-CN"/>
        </w:rPr>
      </w:pPr>
      <w:r w:rsidRPr="000C156A">
        <w:rPr>
          <w:rFonts w:hint="eastAsia"/>
          <w:bCs/>
          <w:szCs w:val="24"/>
          <w:lang w:val="en-US" w:eastAsia="zh-CN"/>
        </w:rPr>
        <w:t>79</w:t>
      </w:r>
      <w:r w:rsidRPr="000C156A">
        <w:rPr>
          <w:bCs/>
          <w:szCs w:val="24"/>
          <w:lang w:val="en-US" w:eastAsia="zh-CN"/>
        </w:rPr>
        <w:tab/>
      </w:r>
      <w:r w:rsidRPr="000C156A">
        <w:rPr>
          <w:bCs/>
          <w:szCs w:val="24"/>
          <w:lang w:val="en-US" w:eastAsia="zh-CN"/>
        </w:rPr>
        <w:t>已收到数额为</w:t>
      </w:r>
      <w:r w:rsidRPr="000C156A">
        <w:rPr>
          <w:rFonts w:hint="eastAsia"/>
          <w:bCs/>
          <w:szCs w:val="24"/>
          <w:lang w:val="en-US" w:eastAsia="zh-CN"/>
        </w:rPr>
        <w:t>3</w:t>
      </w:r>
      <w:r w:rsidRPr="000C156A">
        <w:rPr>
          <w:bCs/>
          <w:szCs w:val="24"/>
          <w:lang w:val="en-US" w:eastAsia="zh-CN"/>
        </w:rPr>
        <w:t>6</w:t>
      </w:r>
      <w:r w:rsidRPr="000C156A">
        <w:rPr>
          <w:rFonts w:hint="eastAsia"/>
          <w:bCs/>
          <w:szCs w:val="24"/>
          <w:lang w:val="en-US" w:eastAsia="zh-CN"/>
        </w:rPr>
        <w:t>5</w:t>
      </w:r>
      <w:r w:rsidRPr="000C156A">
        <w:rPr>
          <w:rFonts w:hint="eastAsia"/>
          <w:bCs/>
          <w:szCs w:val="24"/>
          <w:lang w:val="en-US" w:eastAsia="zh-CN"/>
        </w:rPr>
        <w:t>万瑞郎</w:t>
      </w:r>
      <w:r w:rsidRPr="000C156A">
        <w:rPr>
          <w:bCs/>
          <w:szCs w:val="24"/>
          <w:lang w:val="en-US" w:eastAsia="zh-CN"/>
        </w:rPr>
        <w:t>的贷款</w:t>
      </w:r>
      <w:r w:rsidRPr="000C156A">
        <w:rPr>
          <w:rFonts w:hint="eastAsia"/>
          <w:bCs/>
          <w:szCs w:val="24"/>
          <w:lang w:val="en-US" w:eastAsia="zh-CN"/>
        </w:rPr>
        <w:t>；</w:t>
      </w:r>
      <w:r w:rsidRPr="000C156A">
        <w:rPr>
          <w:bCs/>
          <w:szCs w:val="24"/>
          <w:lang w:val="en-US" w:eastAsia="zh-CN"/>
        </w:rPr>
        <w:t>2020</w:t>
      </w:r>
      <w:r w:rsidRPr="000C156A">
        <w:rPr>
          <w:bCs/>
          <w:szCs w:val="24"/>
          <w:lang w:val="en-US" w:eastAsia="zh-CN"/>
        </w:rPr>
        <w:t>年，新办公楼项目的支出达到</w:t>
      </w:r>
      <w:r w:rsidRPr="000C156A">
        <w:rPr>
          <w:bCs/>
          <w:szCs w:val="24"/>
          <w:lang w:eastAsia="zh-CN"/>
        </w:rPr>
        <w:t>420</w:t>
      </w:r>
      <w:r w:rsidRPr="000C156A">
        <w:rPr>
          <w:rFonts w:hint="eastAsia"/>
          <w:bCs/>
          <w:szCs w:val="24"/>
          <w:lang w:eastAsia="zh-CN"/>
        </w:rPr>
        <w:t>万</w:t>
      </w:r>
      <w:r w:rsidRPr="000C156A">
        <w:rPr>
          <w:bCs/>
          <w:szCs w:val="24"/>
          <w:lang w:val="en-US" w:eastAsia="zh-CN"/>
        </w:rPr>
        <w:t>瑞郎。</w:t>
      </w:r>
    </w:p>
    <w:p w14:paraId="3449C363" w14:textId="77777777" w:rsidR="009630A9" w:rsidRPr="000C156A" w:rsidRDefault="009630A9" w:rsidP="009630A9">
      <w:pPr>
        <w:rPr>
          <w:lang w:eastAsia="zh-CN"/>
        </w:rPr>
      </w:pPr>
      <w:r w:rsidRPr="000C156A">
        <w:rPr>
          <w:rFonts w:hint="eastAsia"/>
          <w:lang w:eastAsia="zh-CN"/>
        </w:rPr>
        <w:t>80</w:t>
      </w:r>
      <w:r w:rsidRPr="000C156A">
        <w:rPr>
          <w:lang w:eastAsia="zh-CN"/>
        </w:rPr>
        <w:tab/>
      </w:r>
      <w:r w:rsidRPr="000C156A">
        <w:rPr>
          <w:rFonts w:hint="eastAsia"/>
          <w:bCs/>
          <w:szCs w:val="24"/>
          <w:lang w:eastAsia="zh-CN"/>
        </w:rPr>
        <w:t>除预算执行外，还向风险管控基金支付了</w:t>
      </w:r>
      <w:r w:rsidRPr="000C156A">
        <w:rPr>
          <w:rFonts w:hint="eastAsia"/>
          <w:bCs/>
          <w:szCs w:val="24"/>
          <w:lang w:eastAsia="zh-CN"/>
        </w:rPr>
        <w:t>200</w:t>
      </w:r>
      <w:r w:rsidRPr="000C156A">
        <w:rPr>
          <w:rFonts w:hint="eastAsia"/>
          <w:bCs/>
          <w:szCs w:val="24"/>
          <w:lang w:eastAsia="zh-CN"/>
        </w:rPr>
        <w:t>万瑞郎，目前该基金共有</w:t>
      </w:r>
      <w:r w:rsidRPr="000C156A">
        <w:rPr>
          <w:rFonts w:hint="eastAsia"/>
          <w:bCs/>
          <w:szCs w:val="24"/>
          <w:lang w:eastAsia="zh-CN"/>
        </w:rPr>
        <w:t>340</w:t>
      </w:r>
      <w:r w:rsidRPr="000C156A">
        <w:rPr>
          <w:rFonts w:hint="eastAsia"/>
          <w:bCs/>
          <w:szCs w:val="24"/>
          <w:lang w:eastAsia="zh-CN"/>
        </w:rPr>
        <w:t>万瑞郎</w:t>
      </w:r>
      <w:r w:rsidRPr="000C156A">
        <w:rPr>
          <w:rFonts w:ascii="SimSun" w:hAnsi="SimSun" w:cs="SimSun" w:hint="eastAsia"/>
          <w:lang w:eastAsia="zh-CN"/>
        </w:rPr>
        <w:t>。</w:t>
      </w:r>
    </w:p>
    <w:p w14:paraId="0CD9775F" w14:textId="77777777" w:rsidR="009630A9" w:rsidRPr="000C156A" w:rsidRDefault="009630A9" w:rsidP="009630A9">
      <w:pPr>
        <w:rPr>
          <w:bCs/>
          <w:szCs w:val="24"/>
          <w:lang w:eastAsia="zh-CN"/>
        </w:rPr>
      </w:pPr>
      <w:r w:rsidRPr="000C156A">
        <w:rPr>
          <w:rFonts w:hint="eastAsia"/>
          <w:lang w:eastAsia="zh-CN"/>
        </w:rPr>
        <w:t>81</w:t>
      </w:r>
      <w:r w:rsidRPr="000C156A">
        <w:rPr>
          <w:lang w:eastAsia="zh-CN"/>
        </w:rPr>
        <w:tab/>
      </w:r>
      <w:r w:rsidRPr="000C156A">
        <w:rPr>
          <w:rFonts w:hint="eastAsia"/>
          <w:bCs/>
          <w:szCs w:val="24"/>
          <w:lang w:eastAsia="zh-CN"/>
        </w:rPr>
        <w:t>更多详情可参见</w:t>
      </w:r>
      <w:hyperlink r:id="rId48" w:history="1">
        <w:r w:rsidRPr="000C156A">
          <w:rPr>
            <w:rStyle w:val="Hyperlink"/>
            <w:rFonts w:eastAsia="Times New Roman"/>
            <w:lang w:eastAsia="zh-CN"/>
          </w:rPr>
          <w:t>C21/7</w:t>
        </w:r>
      </w:hyperlink>
      <w:r w:rsidRPr="000C156A">
        <w:rPr>
          <w:rFonts w:hint="eastAsia"/>
          <w:bCs/>
          <w:szCs w:val="24"/>
          <w:lang w:eastAsia="zh-CN"/>
        </w:rPr>
        <w:t>号文件。</w:t>
      </w:r>
    </w:p>
    <w:p w14:paraId="0DC53927" w14:textId="77777777" w:rsidR="009630A9" w:rsidRPr="000C156A" w:rsidRDefault="009630A9" w:rsidP="009630A9">
      <w:pPr>
        <w:pStyle w:val="Heading1"/>
        <w:rPr>
          <w:lang w:eastAsia="zh-CN"/>
        </w:rPr>
      </w:pPr>
      <w:bookmarkStart w:id="1118" w:name="_Toc511116015"/>
      <w:bookmarkStart w:id="1119" w:name="_Toc41905906"/>
      <w:bookmarkStart w:id="1120" w:name="_Toc41908076"/>
      <w:bookmarkStart w:id="1121" w:name="_Toc73519291"/>
      <w:bookmarkStart w:id="1122" w:name="_Toc73636330"/>
      <w:r w:rsidRPr="000C156A">
        <w:rPr>
          <w:rFonts w:hint="eastAsia"/>
          <w:lang w:eastAsia="zh-CN"/>
        </w:rPr>
        <w:t>三</w:t>
      </w:r>
      <w:r w:rsidRPr="000C156A">
        <w:rPr>
          <w:lang w:eastAsia="zh-CN"/>
        </w:rPr>
        <w:tab/>
      </w:r>
      <w:r w:rsidRPr="000C156A">
        <w:rPr>
          <w:rFonts w:hint="eastAsia"/>
          <w:lang w:eastAsia="zh-CN"/>
        </w:rPr>
        <w:t>职员退休和福利基金（附件</w:t>
      </w:r>
      <w:r w:rsidRPr="000C156A">
        <w:rPr>
          <w:lang w:eastAsia="zh-CN"/>
        </w:rPr>
        <w:t>B3</w:t>
      </w:r>
      <w:r w:rsidRPr="000C156A">
        <w:rPr>
          <w:rFonts w:hint="eastAsia"/>
          <w:lang w:eastAsia="zh-CN"/>
        </w:rPr>
        <w:t>）</w:t>
      </w:r>
      <w:bookmarkEnd w:id="1116"/>
      <w:bookmarkEnd w:id="1117"/>
      <w:bookmarkEnd w:id="1118"/>
      <w:bookmarkEnd w:id="1119"/>
      <w:bookmarkEnd w:id="1120"/>
      <w:bookmarkEnd w:id="1121"/>
      <w:bookmarkEnd w:id="1122"/>
    </w:p>
    <w:p w14:paraId="622E4523" w14:textId="77777777" w:rsidR="009630A9" w:rsidRPr="000C156A" w:rsidRDefault="009630A9" w:rsidP="009630A9">
      <w:pPr>
        <w:keepNext/>
        <w:keepLines/>
        <w:rPr>
          <w:lang w:eastAsia="zh-CN"/>
        </w:rPr>
      </w:pPr>
      <w:r w:rsidRPr="000C156A">
        <w:rPr>
          <w:lang w:eastAsia="zh-CN"/>
        </w:rPr>
        <w:t>8</w:t>
      </w:r>
      <w:r w:rsidRPr="000C156A">
        <w:rPr>
          <w:rFonts w:hint="eastAsia"/>
          <w:lang w:eastAsia="zh-CN"/>
        </w:rPr>
        <w:t>2</w:t>
      </w:r>
      <w:r w:rsidRPr="000C156A">
        <w:rPr>
          <w:lang w:eastAsia="zh-CN"/>
        </w:rPr>
        <w:tab/>
      </w:r>
      <w:r w:rsidRPr="000C156A">
        <w:rPr>
          <w:rFonts w:hint="eastAsia"/>
          <w:lang w:eastAsia="zh-CN"/>
        </w:rPr>
        <w:t>国际电联职员退休和福利基金是由保障在</w:t>
      </w:r>
      <w:r w:rsidRPr="000C156A">
        <w:rPr>
          <w:lang w:eastAsia="zh-CN"/>
        </w:rPr>
        <w:t>1960</w:t>
      </w:r>
      <w:r w:rsidRPr="000C156A">
        <w:rPr>
          <w:rFonts w:hint="eastAsia"/>
          <w:lang w:eastAsia="zh-CN"/>
        </w:rPr>
        <w:t>年</w:t>
      </w:r>
      <w:r w:rsidRPr="000C156A">
        <w:rPr>
          <w:lang w:eastAsia="zh-CN"/>
        </w:rPr>
        <w:t>1</w:t>
      </w:r>
      <w:r w:rsidRPr="000C156A">
        <w:rPr>
          <w:rFonts w:hint="eastAsia"/>
          <w:lang w:eastAsia="zh-CN"/>
        </w:rPr>
        <w:t>月</w:t>
      </w:r>
      <w:r w:rsidRPr="000C156A">
        <w:rPr>
          <w:lang w:eastAsia="zh-CN"/>
        </w:rPr>
        <w:t>1</w:t>
      </w:r>
      <w:r w:rsidRPr="000C156A">
        <w:rPr>
          <w:rFonts w:hint="eastAsia"/>
          <w:lang w:eastAsia="zh-CN"/>
        </w:rPr>
        <w:t>日（即国际电联参加联合国合办职员养恤基金之日）之前任职的职员退休金的一系列基金组成。最初，它由几个独立的基金和账目组成。</w:t>
      </w:r>
      <w:r w:rsidRPr="000C156A">
        <w:rPr>
          <w:lang w:eastAsia="zh-CN"/>
        </w:rPr>
        <w:t>20</w:t>
      </w:r>
      <w:r w:rsidRPr="000C156A">
        <w:rPr>
          <w:rFonts w:hint="eastAsia"/>
          <w:lang w:eastAsia="zh-CN"/>
        </w:rPr>
        <w:t>20</w:t>
      </w:r>
      <w:r w:rsidRPr="000C156A">
        <w:rPr>
          <w:rFonts w:hint="eastAsia"/>
          <w:lang w:eastAsia="zh-CN"/>
        </w:rPr>
        <w:t>年底，储备与补充基金负担</w:t>
      </w:r>
      <w:r w:rsidRPr="000C156A">
        <w:rPr>
          <w:rFonts w:hint="eastAsia"/>
          <w:lang w:eastAsia="zh-CN"/>
        </w:rPr>
        <w:t>16</w:t>
      </w:r>
      <w:r w:rsidRPr="000C156A">
        <w:rPr>
          <w:rFonts w:hint="eastAsia"/>
          <w:lang w:eastAsia="zh-CN"/>
        </w:rPr>
        <w:t>份退休金和</w:t>
      </w:r>
      <w:r w:rsidRPr="000C156A">
        <w:rPr>
          <w:rFonts w:hint="eastAsia"/>
          <w:lang w:eastAsia="zh-CN"/>
        </w:rPr>
        <w:t>16</w:t>
      </w:r>
      <w:r w:rsidRPr="000C156A">
        <w:rPr>
          <w:rFonts w:hint="eastAsia"/>
          <w:lang w:eastAsia="zh-CN"/>
        </w:rPr>
        <w:t>位遗属养恤金；援助基金用于帮助处于财务困境的职员或养恤金领取人员。针对国际电联退休和福利基金受益人准备金义务进行的最后一次计算于</w:t>
      </w:r>
      <w:r w:rsidRPr="000C156A">
        <w:rPr>
          <w:lang w:eastAsia="zh-CN"/>
        </w:rPr>
        <w:t>2011</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日进行。</w:t>
      </w:r>
    </w:p>
    <w:p w14:paraId="241F43DB" w14:textId="77777777" w:rsidR="009630A9" w:rsidRPr="000C156A" w:rsidRDefault="009630A9" w:rsidP="009630A9">
      <w:pPr>
        <w:rPr>
          <w:lang w:val="en-US" w:eastAsia="zh-CN"/>
        </w:rPr>
      </w:pPr>
      <w:r w:rsidRPr="000C156A">
        <w:rPr>
          <w:lang w:eastAsia="zh-CN"/>
        </w:rPr>
        <w:t>8</w:t>
      </w:r>
      <w:r w:rsidRPr="000C156A">
        <w:rPr>
          <w:rFonts w:hint="eastAsia"/>
          <w:lang w:eastAsia="zh-CN"/>
        </w:rPr>
        <w:t>3</w:t>
      </w:r>
      <w:r w:rsidRPr="000C156A">
        <w:rPr>
          <w:lang w:eastAsia="zh-CN"/>
        </w:rPr>
        <w:tab/>
      </w:r>
      <w:r w:rsidRPr="000C156A">
        <w:rPr>
          <w:rFonts w:hint="eastAsia"/>
          <w:lang w:eastAsia="zh-CN"/>
        </w:rPr>
        <w:t>根据全权代表大会（</w:t>
      </w:r>
      <w:r w:rsidRPr="000C156A">
        <w:rPr>
          <w:lang w:eastAsia="zh-CN"/>
        </w:rPr>
        <w:t>1959</w:t>
      </w:r>
      <w:r w:rsidRPr="000C156A">
        <w:rPr>
          <w:rFonts w:hint="eastAsia"/>
          <w:lang w:eastAsia="zh-CN"/>
        </w:rPr>
        <w:t>年，日内瓦）第</w:t>
      </w:r>
      <w:r w:rsidRPr="000C156A">
        <w:rPr>
          <w:lang w:eastAsia="zh-CN"/>
        </w:rPr>
        <w:t>7</w:t>
      </w:r>
      <w:r w:rsidRPr="000C156A">
        <w:rPr>
          <w:rFonts w:hint="eastAsia"/>
          <w:lang w:eastAsia="zh-CN"/>
        </w:rPr>
        <w:t>号决议，国际电联职员自</w:t>
      </w:r>
      <w:r w:rsidRPr="000C156A">
        <w:rPr>
          <w:lang w:eastAsia="zh-CN"/>
        </w:rPr>
        <w:t>1960</w:t>
      </w:r>
      <w:r w:rsidRPr="000C156A">
        <w:rPr>
          <w:rFonts w:hint="eastAsia"/>
          <w:lang w:eastAsia="zh-CN"/>
        </w:rPr>
        <w:t>年</w:t>
      </w:r>
      <w:r w:rsidRPr="000C156A">
        <w:rPr>
          <w:lang w:eastAsia="zh-CN"/>
        </w:rPr>
        <w:t>1</w:t>
      </w:r>
      <w:r w:rsidRPr="000C156A">
        <w:rPr>
          <w:rFonts w:hint="eastAsia"/>
          <w:lang w:eastAsia="zh-CN"/>
        </w:rPr>
        <w:t>月</w:t>
      </w:r>
      <w:r w:rsidRPr="000C156A">
        <w:rPr>
          <w:lang w:eastAsia="zh-CN"/>
        </w:rPr>
        <w:t>1</w:t>
      </w:r>
      <w:r w:rsidRPr="000C156A">
        <w:rPr>
          <w:rFonts w:hint="eastAsia"/>
          <w:lang w:eastAsia="zh-CN"/>
        </w:rPr>
        <w:t>日起参加联合国合办职员养恤基金。根据“国际电联职员退休和福利基金规则”第</w:t>
      </w:r>
      <w:r w:rsidRPr="000C156A">
        <w:rPr>
          <w:lang w:eastAsia="zh-CN"/>
        </w:rPr>
        <w:t>86</w:t>
      </w:r>
      <w:r w:rsidRPr="000C156A">
        <w:rPr>
          <w:rFonts w:hint="eastAsia"/>
          <w:lang w:eastAsia="zh-CN"/>
        </w:rPr>
        <w:t>条，这些基金由国际电联管理。退休和福利基金的资产必须投资于信托证券。该基金的账目由外部审计员在定期审计国际电联账目时进行审查。</w:t>
      </w:r>
    </w:p>
    <w:p w14:paraId="5E7AF0DD" w14:textId="77777777" w:rsidR="009630A9" w:rsidRPr="000C156A" w:rsidRDefault="009630A9" w:rsidP="009630A9">
      <w:pPr>
        <w:rPr>
          <w:rFonts w:eastAsiaTheme="minorEastAsia"/>
          <w:lang w:eastAsia="zh-CN"/>
        </w:rPr>
      </w:pPr>
      <w:r w:rsidRPr="000C156A">
        <w:rPr>
          <w:lang w:val="en-US" w:eastAsia="zh-CN"/>
        </w:rPr>
        <w:t>8</w:t>
      </w:r>
      <w:r w:rsidRPr="000C156A">
        <w:rPr>
          <w:rFonts w:hint="eastAsia"/>
          <w:lang w:val="en-US" w:eastAsia="zh-CN"/>
        </w:rPr>
        <w:t>4</w:t>
      </w:r>
      <w:r w:rsidRPr="000C156A">
        <w:rPr>
          <w:lang w:val="en-US" w:eastAsia="zh-CN"/>
        </w:rPr>
        <w:tab/>
      </w:r>
      <w:r w:rsidRPr="000C156A">
        <w:rPr>
          <w:rFonts w:hint="eastAsia"/>
          <w:lang w:eastAsia="zh-CN"/>
        </w:rPr>
        <w:t>剩余的两个基金每个都在法国</w:t>
      </w:r>
      <w:r w:rsidRPr="000C156A">
        <w:rPr>
          <w:rFonts w:eastAsia="Times New Roman"/>
          <w:lang w:eastAsia="zh-CN"/>
        </w:rPr>
        <w:t>Credit Mutuel</w:t>
      </w:r>
      <w:r w:rsidRPr="000C156A">
        <w:rPr>
          <w:rFonts w:eastAsiaTheme="minorEastAsia" w:hint="eastAsia"/>
          <w:lang w:eastAsia="zh-CN"/>
        </w:rPr>
        <w:t>设有活期存款账户。</w:t>
      </w:r>
    </w:p>
    <w:p w14:paraId="2D7732FE" w14:textId="43364A6B" w:rsidR="009630A9" w:rsidRPr="000C156A" w:rsidRDefault="009630A9" w:rsidP="009630A9">
      <w:pPr>
        <w:rPr>
          <w:bCs/>
          <w:szCs w:val="24"/>
          <w:lang w:eastAsia="zh-CN"/>
        </w:rPr>
      </w:pPr>
      <w:r w:rsidRPr="000C156A">
        <w:rPr>
          <w:rFonts w:eastAsiaTheme="minorEastAsia" w:hint="eastAsia"/>
          <w:lang w:eastAsia="zh-CN"/>
        </w:rPr>
        <w:t>85</w:t>
      </w:r>
      <w:r w:rsidRPr="000C156A">
        <w:rPr>
          <w:rFonts w:eastAsiaTheme="minorEastAsia"/>
          <w:lang w:eastAsia="zh-CN"/>
        </w:rPr>
        <w:tab/>
      </w:r>
      <w:r w:rsidRPr="000C156A">
        <w:rPr>
          <w:rFonts w:hint="eastAsia"/>
          <w:bCs/>
          <w:szCs w:val="24"/>
          <w:lang w:eastAsia="zh-CN"/>
        </w:rPr>
        <w:t>2020</w:t>
      </w:r>
      <w:r w:rsidRPr="000C156A">
        <w:rPr>
          <w:rFonts w:hint="eastAsia"/>
          <w:bCs/>
          <w:szCs w:val="24"/>
          <w:lang w:eastAsia="zh-CN"/>
        </w:rPr>
        <w:t>年，为避免瑞郎的负利息，购买并投资了</w:t>
      </w:r>
      <w:r w:rsidRPr="000C156A">
        <w:rPr>
          <w:rFonts w:hint="eastAsia"/>
          <w:bCs/>
          <w:szCs w:val="24"/>
          <w:lang w:eastAsia="zh-CN"/>
        </w:rPr>
        <w:t>500</w:t>
      </w:r>
      <w:r w:rsidRPr="000C156A">
        <w:rPr>
          <w:rFonts w:hint="eastAsia"/>
          <w:bCs/>
          <w:szCs w:val="24"/>
          <w:lang w:eastAsia="zh-CN"/>
        </w:rPr>
        <w:t>万美元，使储备和补充基金盈余达</w:t>
      </w:r>
      <w:r w:rsidRPr="000C156A">
        <w:rPr>
          <w:rFonts w:hint="eastAsia"/>
          <w:bCs/>
          <w:szCs w:val="24"/>
          <w:lang w:eastAsia="zh-CN"/>
        </w:rPr>
        <w:t>7</w:t>
      </w:r>
      <w:r w:rsidR="00617746" w:rsidRPr="000C156A">
        <w:rPr>
          <w:bCs/>
          <w:szCs w:val="24"/>
          <w:lang w:val="en-US" w:eastAsia="zh-CN"/>
        </w:rPr>
        <w:t> </w:t>
      </w:r>
      <w:r w:rsidRPr="000C156A">
        <w:rPr>
          <w:rFonts w:hint="eastAsia"/>
          <w:bCs/>
          <w:szCs w:val="24"/>
          <w:lang w:eastAsia="zh-CN"/>
        </w:rPr>
        <w:t>984</w:t>
      </w:r>
      <w:r w:rsidRPr="000C156A">
        <w:rPr>
          <w:rFonts w:hint="eastAsia"/>
          <w:bCs/>
          <w:szCs w:val="24"/>
          <w:lang w:eastAsia="zh-CN"/>
        </w:rPr>
        <w:t>瑞郎。</w:t>
      </w:r>
    </w:p>
    <w:p w14:paraId="50EBF28B" w14:textId="77777777" w:rsidR="009630A9" w:rsidRPr="000C156A" w:rsidRDefault="009630A9" w:rsidP="009630A9">
      <w:pPr>
        <w:pStyle w:val="Heading1"/>
        <w:rPr>
          <w:lang w:eastAsia="zh-CN"/>
        </w:rPr>
      </w:pPr>
      <w:bookmarkStart w:id="1123" w:name="_Toc482894264"/>
      <w:bookmarkStart w:id="1124" w:name="_Toc358364830"/>
      <w:bookmarkStart w:id="1125" w:name="_Toc511116016"/>
      <w:bookmarkStart w:id="1126" w:name="_Toc41905907"/>
      <w:bookmarkStart w:id="1127" w:name="_Toc41908077"/>
      <w:bookmarkStart w:id="1128" w:name="_Toc73519292"/>
      <w:bookmarkStart w:id="1129" w:name="_Toc73636331"/>
      <w:r w:rsidRPr="000C156A">
        <w:rPr>
          <w:rFonts w:hint="eastAsia"/>
          <w:lang w:val="en-US" w:eastAsia="zh-CN"/>
        </w:rPr>
        <w:t>四</w:t>
      </w:r>
      <w:r w:rsidRPr="000C156A">
        <w:rPr>
          <w:lang w:eastAsia="zh-CN"/>
        </w:rPr>
        <w:tab/>
      </w:r>
      <w:r w:rsidRPr="000C156A">
        <w:rPr>
          <w:rFonts w:hint="eastAsia"/>
          <w:lang w:eastAsia="zh-CN"/>
        </w:rPr>
        <w:t>联合国开发计划署</w:t>
      </w:r>
      <w:bookmarkEnd w:id="1123"/>
      <w:bookmarkEnd w:id="1124"/>
      <w:bookmarkEnd w:id="1125"/>
      <w:bookmarkEnd w:id="1126"/>
      <w:bookmarkEnd w:id="1127"/>
      <w:bookmarkEnd w:id="1128"/>
      <w:bookmarkEnd w:id="1129"/>
    </w:p>
    <w:p w14:paraId="06C4A826" w14:textId="77777777" w:rsidR="009630A9" w:rsidRPr="000C156A" w:rsidRDefault="009630A9" w:rsidP="009630A9">
      <w:pPr>
        <w:rPr>
          <w:lang w:eastAsia="zh-CN"/>
        </w:rPr>
      </w:pPr>
      <w:r w:rsidRPr="000C156A">
        <w:rPr>
          <w:rFonts w:hint="eastAsia"/>
          <w:lang w:eastAsia="zh-CN"/>
        </w:rPr>
        <w:t>86</w:t>
      </w:r>
      <w:r w:rsidRPr="000C156A">
        <w:rPr>
          <w:lang w:eastAsia="zh-CN"/>
        </w:rPr>
        <w:tab/>
      </w:r>
      <w:r w:rsidRPr="000C156A">
        <w:rPr>
          <w:rFonts w:hint="eastAsia"/>
          <w:lang w:eastAsia="zh-CN"/>
        </w:rPr>
        <w:t>在各类联合国开发计划署（</w:t>
      </w:r>
      <w:r w:rsidRPr="000C156A">
        <w:rPr>
          <w:lang w:eastAsia="zh-CN"/>
        </w:rPr>
        <w:t>UNDP</w:t>
      </w:r>
      <w:r w:rsidRPr="000C156A">
        <w:rPr>
          <w:rFonts w:hint="eastAsia"/>
          <w:lang w:eastAsia="zh-CN"/>
        </w:rPr>
        <w:t>）项目中，国际电联既可单独执行项目，也可与</w:t>
      </w:r>
      <w:r w:rsidRPr="000C156A">
        <w:rPr>
          <w:lang w:eastAsia="zh-CN"/>
        </w:rPr>
        <w:t>UNDP</w:t>
      </w:r>
      <w:r w:rsidRPr="000C156A">
        <w:rPr>
          <w:rFonts w:hint="eastAsia"/>
          <w:lang w:eastAsia="zh-CN"/>
        </w:rPr>
        <w:t>共同执行项目。</w:t>
      </w:r>
    </w:p>
    <w:p w14:paraId="417371A0" w14:textId="77777777" w:rsidR="009630A9" w:rsidRPr="000C156A" w:rsidRDefault="009630A9" w:rsidP="009630A9">
      <w:pPr>
        <w:rPr>
          <w:lang w:eastAsia="zh-CN"/>
        </w:rPr>
      </w:pPr>
      <w:r w:rsidRPr="000C156A">
        <w:rPr>
          <w:rFonts w:hint="eastAsia"/>
          <w:lang w:eastAsia="zh-CN"/>
        </w:rPr>
        <w:t>87</w:t>
      </w:r>
      <w:r w:rsidRPr="000C156A">
        <w:rPr>
          <w:lang w:eastAsia="zh-CN"/>
        </w:rPr>
        <w:tab/>
        <w:t>UNDP</w:t>
      </w:r>
      <w:r w:rsidRPr="000C156A">
        <w:rPr>
          <w:rFonts w:hint="eastAsia"/>
          <w:lang w:eastAsia="zh-CN"/>
        </w:rPr>
        <w:t>项目通常分为两类，即：国际电联执行的项目和各国政府执行的项目。</w:t>
      </w:r>
    </w:p>
    <w:p w14:paraId="04DAED55" w14:textId="77777777" w:rsidR="009630A9" w:rsidRPr="000C156A" w:rsidRDefault="009630A9" w:rsidP="009630A9">
      <w:pPr>
        <w:rPr>
          <w:lang w:eastAsia="zh-CN"/>
        </w:rPr>
      </w:pPr>
      <w:r w:rsidRPr="000C156A">
        <w:rPr>
          <w:rFonts w:hint="eastAsia"/>
          <w:lang w:eastAsia="zh-CN"/>
        </w:rPr>
        <w:t>88</w:t>
      </w:r>
      <w:r w:rsidRPr="000C156A">
        <w:rPr>
          <w:lang w:eastAsia="zh-CN"/>
        </w:rPr>
        <w:tab/>
      </w:r>
      <w:r w:rsidRPr="000C156A">
        <w:rPr>
          <w:rFonts w:hint="eastAsia"/>
          <w:lang w:eastAsia="zh-CN"/>
        </w:rPr>
        <w:t>对于由国际电联部分或全部执行的项目，国际电联从</w:t>
      </w:r>
      <w:r w:rsidRPr="000C156A">
        <w:rPr>
          <w:lang w:eastAsia="zh-CN"/>
        </w:rPr>
        <w:t>UNDP</w:t>
      </w:r>
      <w:r w:rsidRPr="000C156A">
        <w:rPr>
          <w:rFonts w:hint="eastAsia"/>
          <w:lang w:eastAsia="zh-CN"/>
        </w:rPr>
        <w:t>得到预算拨款。每年年底</w:t>
      </w:r>
      <w:r w:rsidRPr="000C156A">
        <w:rPr>
          <w:lang w:eastAsia="zh-CN"/>
        </w:rPr>
        <w:t>UNDP</w:t>
      </w:r>
      <w:r w:rsidRPr="000C156A">
        <w:rPr>
          <w:rFonts w:hint="eastAsia"/>
          <w:lang w:eastAsia="zh-CN"/>
        </w:rPr>
        <w:t>根据项目交付情况报告（</w:t>
      </w:r>
      <w:r w:rsidRPr="000C156A">
        <w:rPr>
          <w:lang w:eastAsia="zh-CN"/>
        </w:rPr>
        <w:t>PDR</w:t>
      </w:r>
      <w:r w:rsidRPr="000C156A">
        <w:rPr>
          <w:rFonts w:hint="eastAsia"/>
          <w:lang w:eastAsia="zh-CN"/>
        </w:rPr>
        <w:t>），在预算拨款范围内对国际电联的所有支出予以偿还。国际电联为项目提供的支持，将依据</w:t>
      </w:r>
      <w:r w:rsidRPr="000C156A">
        <w:rPr>
          <w:lang w:eastAsia="zh-CN"/>
        </w:rPr>
        <w:t>PDR</w:t>
      </w:r>
      <w:r w:rsidRPr="000C156A">
        <w:rPr>
          <w:rFonts w:hint="eastAsia"/>
          <w:lang w:eastAsia="zh-CN"/>
        </w:rPr>
        <w:t>记录的支出按比例得到拨款。</w:t>
      </w:r>
    </w:p>
    <w:p w14:paraId="5DCF8010" w14:textId="0098CB20" w:rsidR="009630A9" w:rsidRPr="000C156A" w:rsidRDefault="009630A9" w:rsidP="009630A9">
      <w:pPr>
        <w:rPr>
          <w:lang w:eastAsia="zh-CN"/>
        </w:rPr>
      </w:pPr>
      <w:r w:rsidRPr="000C156A">
        <w:rPr>
          <w:rFonts w:hint="eastAsia"/>
          <w:lang w:eastAsia="zh-CN"/>
        </w:rPr>
        <w:t>89</w:t>
      </w:r>
      <w:r w:rsidRPr="000C156A">
        <w:rPr>
          <w:lang w:eastAsia="zh-CN"/>
        </w:rPr>
        <w:tab/>
        <w:t>20</w:t>
      </w:r>
      <w:r w:rsidRPr="000C156A">
        <w:rPr>
          <w:rFonts w:hint="eastAsia"/>
          <w:lang w:eastAsia="zh-CN"/>
        </w:rPr>
        <w:t>20</w:t>
      </w:r>
      <w:r w:rsidRPr="000C156A">
        <w:rPr>
          <w:rFonts w:hint="eastAsia"/>
          <w:lang w:eastAsia="zh-CN"/>
        </w:rPr>
        <w:t>年，联合国开发计划署的运作基金显示，国际电联余额为</w:t>
      </w:r>
      <w:r w:rsidRPr="000C156A">
        <w:rPr>
          <w:lang w:eastAsia="zh-CN"/>
        </w:rPr>
        <w:t>100</w:t>
      </w:r>
      <w:r w:rsidRPr="000C156A">
        <w:rPr>
          <w:rFonts w:hint="eastAsia"/>
          <w:lang w:eastAsia="zh-CN"/>
        </w:rPr>
        <w:t>万瑞郎（</w:t>
      </w:r>
      <w:r w:rsidRPr="000C156A">
        <w:rPr>
          <w:rFonts w:hint="eastAsia"/>
          <w:lang w:eastAsia="zh-CN"/>
        </w:rPr>
        <w:t>201</w:t>
      </w:r>
      <w:r w:rsidRPr="000C156A">
        <w:rPr>
          <w:lang w:eastAsia="zh-CN"/>
        </w:rPr>
        <w:t>9</w:t>
      </w:r>
      <w:r w:rsidRPr="000C156A">
        <w:rPr>
          <w:rFonts w:hint="eastAsia"/>
          <w:lang w:eastAsia="zh-CN"/>
        </w:rPr>
        <w:t>年国际电联余额为</w:t>
      </w:r>
      <w:r w:rsidRPr="000C156A">
        <w:rPr>
          <w:rFonts w:eastAsia="Times New Roman"/>
          <w:lang w:eastAsia="zh-CN"/>
        </w:rPr>
        <w:t>209</w:t>
      </w:r>
      <w:r w:rsidR="003D7054" w:rsidRPr="000C156A">
        <w:rPr>
          <w:rFonts w:eastAsia="Times New Roman"/>
          <w:lang w:eastAsia="zh-CN"/>
        </w:rPr>
        <w:t xml:space="preserve"> </w:t>
      </w:r>
      <w:r w:rsidRPr="000C156A">
        <w:rPr>
          <w:rFonts w:eastAsia="Times New Roman"/>
          <w:lang w:eastAsia="zh-CN"/>
        </w:rPr>
        <w:t>579</w:t>
      </w:r>
      <w:r w:rsidRPr="000C156A">
        <w:rPr>
          <w:rFonts w:hint="eastAsia"/>
          <w:lang w:eastAsia="zh-CN"/>
        </w:rPr>
        <w:t>瑞郎）。</w:t>
      </w:r>
    </w:p>
    <w:p w14:paraId="7C70C9C3" w14:textId="77777777" w:rsidR="009630A9" w:rsidRPr="000C156A" w:rsidRDefault="009630A9" w:rsidP="009630A9">
      <w:pPr>
        <w:pStyle w:val="Heading1"/>
        <w:rPr>
          <w:lang w:eastAsia="zh-CN"/>
        </w:rPr>
      </w:pPr>
      <w:bookmarkStart w:id="1130" w:name="_Toc482894265"/>
      <w:bookmarkStart w:id="1131" w:name="_Toc358364832"/>
      <w:bookmarkStart w:id="1132" w:name="_Toc511116017"/>
      <w:bookmarkStart w:id="1133" w:name="_Toc41905908"/>
      <w:bookmarkStart w:id="1134" w:name="_Toc41908078"/>
      <w:bookmarkStart w:id="1135" w:name="_Toc73519293"/>
      <w:bookmarkStart w:id="1136" w:name="_Toc73636332"/>
      <w:r w:rsidRPr="000C156A">
        <w:rPr>
          <w:rFonts w:hint="eastAsia"/>
          <w:lang w:eastAsia="zh-CN"/>
        </w:rPr>
        <w:t>五</w:t>
      </w:r>
      <w:r w:rsidRPr="000C156A">
        <w:rPr>
          <w:lang w:eastAsia="zh-CN"/>
        </w:rPr>
        <w:tab/>
      </w:r>
      <w:r w:rsidRPr="000C156A">
        <w:rPr>
          <w:rFonts w:hint="eastAsia"/>
          <w:lang w:eastAsia="zh-CN"/>
        </w:rPr>
        <w:t>信托基金（附件</w:t>
      </w:r>
      <w:r w:rsidRPr="000C156A">
        <w:rPr>
          <w:lang w:eastAsia="zh-CN"/>
        </w:rPr>
        <w:t>B4</w:t>
      </w:r>
      <w:r w:rsidRPr="000C156A">
        <w:rPr>
          <w:rFonts w:hint="eastAsia"/>
          <w:lang w:eastAsia="zh-CN"/>
        </w:rPr>
        <w:t>）</w:t>
      </w:r>
      <w:bookmarkEnd w:id="1130"/>
      <w:bookmarkEnd w:id="1131"/>
      <w:bookmarkEnd w:id="1132"/>
      <w:bookmarkEnd w:id="1133"/>
      <w:bookmarkEnd w:id="1134"/>
      <w:bookmarkEnd w:id="1135"/>
      <w:bookmarkEnd w:id="1136"/>
    </w:p>
    <w:p w14:paraId="0DF949E2" w14:textId="77777777" w:rsidR="009630A9" w:rsidRPr="000C156A" w:rsidRDefault="009630A9" w:rsidP="009630A9">
      <w:pPr>
        <w:rPr>
          <w:lang w:eastAsia="zh-CN"/>
        </w:rPr>
      </w:pPr>
      <w:r w:rsidRPr="000C156A">
        <w:rPr>
          <w:lang w:eastAsia="zh-CN"/>
        </w:rPr>
        <w:t>9</w:t>
      </w:r>
      <w:r w:rsidRPr="000C156A">
        <w:rPr>
          <w:rFonts w:hint="eastAsia"/>
          <w:lang w:eastAsia="zh-CN"/>
        </w:rPr>
        <w:t>0</w:t>
      </w:r>
      <w:r w:rsidRPr="000C156A">
        <w:rPr>
          <w:lang w:eastAsia="zh-CN"/>
        </w:rPr>
        <w:tab/>
      </w:r>
      <w:r w:rsidRPr="000C156A">
        <w:rPr>
          <w:rFonts w:hint="eastAsia"/>
          <w:lang w:eastAsia="zh-CN"/>
        </w:rPr>
        <w:t>技术合作专项基金（</w:t>
      </w:r>
      <w:r w:rsidRPr="000C156A">
        <w:rPr>
          <w:lang w:eastAsia="zh-CN"/>
        </w:rPr>
        <w:t>SFTC</w:t>
      </w:r>
      <w:r w:rsidRPr="000C156A">
        <w:rPr>
          <w:rFonts w:hint="eastAsia"/>
          <w:lang w:eastAsia="zh-CN"/>
        </w:rPr>
        <w:t>）旨在满足发展中国家提出的紧急援助要求。此基金基于自愿捐款，其形式既可以是任何币种的现金亦可采用其它方式。</w:t>
      </w:r>
    </w:p>
    <w:p w14:paraId="2F942950" w14:textId="77777777" w:rsidR="009630A9" w:rsidRPr="000C156A" w:rsidRDefault="009630A9" w:rsidP="009630A9">
      <w:pPr>
        <w:rPr>
          <w:lang w:eastAsia="zh-CN"/>
        </w:rPr>
      </w:pPr>
      <w:r w:rsidRPr="000C156A">
        <w:rPr>
          <w:lang w:eastAsia="zh-CN"/>
        </w:rPr>
        <w:lastRenderedPageBreak/>
        <w:t>9</w:t>
      </w:r>
      <w:r w:rsidRPr="000C156A">
        <w:rPr>
          <w:rFonts w:hint="eastAsia"/>
          <w:lang w:eastAsia="zh-CN"/>
        </w:rPr>
        <w:t>1</w:t>
      </w:r>
      <w:r w:rsidRPr="000C156A">
        <w:rPr>
          <w:lang w:eastAsia="zh-CN"/>
        </w:rPr>
        <w:tab/>
        <w:t>2020</w:t>
      </w:r>
      <w:r w:rsidRPr="000C156A">
        <w:rPr>
          <w:rFonts w:hint="eastAsia"/>
          <w:lang w:eastAsia="zh-CN"/>
        </w:rPr>
        <w:t>年各类第三方项目和国际电联基金未用拨款金额为</w:t>
      </w:r>
      <w:r w:rsidRPr="000C156A">
        <w:rPr>
          <w:rFonts w:hint="eastAsia"/>
          <w:lang w:eastAsia="zh-CN"/>
        </w:rPr>
        <w:t>3</w:t>
      </w:r>
      <w:r w:rsidRPr="000C156A">
        <w:rPr>
          <w:lang w:eastAsia="zh-CN"/>
        </w:rPr>
        <w:t xml:space="preserve"> 760</w:t>
      </w:r>
      <w:r w:rsidRPr="000C156A">
        <w:rPr>
          <w:rFonts w:hint="eastAsia"/>
          <w:lang w:eastAsia="zh-CN"/>
        </w:rPr>
        <w:t>万瑞郎（</w:t>
      </w:r>
      <w:r w:rsidRPr="000C156A">
        <w:rPr>
          <w:lang w:eastAsia="zh-CN"/>
        </w:rPr>
        <w:t>201</w:t>
      </w:r>
      <w:r w:rsidRPr="000C156A">
        <w:rPr>
          <w:rFonts w:hint="eastAsia"/>
          <w:lang w:eastAsia="zh-CN"/>
        </w:rPr>
        <w:t>9</w:t>
      </w:r>
      <w:r w:rsidRPr="000C156A">
        <w:rPr>
          <w:rFonts w:hint="eastAsia"/>
          <w:lang w:eastAsia="zh-CN"/>
        </w:rPr>
        <w:t>年为</w:t>
      </w:r>
      <w:r w:rsidRPr="000C156A">
        <w:rPr>
          <w:rFonts w:hint="eastAsia"/>
          <w:lang w:eastAsia="zh-CN"/>
        </w:rPr>
        <w:t>4</w:t>
      </w:r>
      <w:r w:rsidRPr="000C156A">
        <w:rPr>
          <w:lang w:eastAsia="zh-CN"/>
        </w:rPr>
        <w:t xml:space="preserve"> </w:t>
      </w:r>
      <w:r w:rsidRPr="000C156A">
        <w:rPr>
          <w:rFonts w:hint="eastAsia"/>
          <w:lang w:eastAsia="zh-CN"/>
        </w:rPr>
        <w:t>480</w:t>
      </w:r>
      <w:r w:rsidRPr="000C156A">
        <w:rPr>
          <w:rFonts w:hint="eastAsia"/>
          <w:lang w:val="en-US" w:eastAsia="zh-CN"/>
        </w:rPr>
        <w:t>万</w:t>
      </w:r>
      <w:r w:rsidRPr="000C156A">
        <w:rPr>
          <w:rFonts w:hint="eastAsia"/>
          <w:lang w:eastAsia="zh-CN"/>
        </w:rPr>
        <w:t>瑞郎）。</w:t>
      </w:r>
      <w:r w:rsidRPr="000C156A">
        <w:rPr>
          <w:rFonts w:hint="eastAsia"/>
          <w:lang w:eastAsia="zh-CN"/>
        </w:rPr>
        <w:t>2</w:t>
      </w:r>
      <w:r w:rsidRPr="000C156A">
        <w:rPr>
          <w:lang w:eastAsia="zh-CN"/>
        </w:rPr>
        <w:t>020</w:t>
      </w:r>
      <w:r w:rsidRPr="000C156A">
        <w:rPr>
          <w:rFonts w:hint="eastAsia"/>
          <w:lang w:eastAsia="zh-CN"/>
        </w:rPr>
        <w:t>年底时，正在拨款的第三方资金余额为</w:t>
      </w:r>
      <w:r w:rsidRPr="000C156A">
        <w:rPr>
          <w:rFonts w:hint="eastAsia"/>
          <w:lang w:eastAsia="zh-CN"/>
        </w:rPr>
        <w:t>3</w:t>
      </w:r>
      <w:r w:rsidRPr="000C156A">
        <w:rPr>
          <w:lang w:eastAsia="zh-CN"/>
        </w:rPr>
        <w:t>00</w:t>
      </w:r>
      <w:r w:rsidRPr="000C156A">
        <w:rPr>
          <w:rFonts w:hint="eastAsia"/>
          <w:lang w:eastAsia="zh-CN"/>
        </w:rPr>
        <w:t>万瑞郎（</w:t>
      </w:r>
      <w:r w:rsidRPr="000C156A">
        <w:rPr>
          <w:lang w:eastAsia="zh-CN"/>
        </w:rPr>
        <w:t>2019</w:t>
      </w:r>
      <w:r w:rsidRPr="000C156A">
        <w:rPr>
          <w:rFonts w:hint="eastAsia"/>
          <w:lang w:eastAsia="zh-CN"/>
        </w:rPr>
        <w:t>年底时为</w:t>
      </w:r>
      <w:r w:rsidRPr="000C156A">
        <w:rPr>
          <w:rFonts w:hint="eastAsia"/>
          <w:lang w:eastAsia="zh-CN"/>
        </w:rPr>
        <w:t>170</w:t>
      </w:r>
      <w:r w:rsidRPr="000C156A">
        <w:rPr>
          <w:rFonts w:hint="eastAsia"/>
          <w:lang w:eastAsia="zh-CN"/>
        </w:rPr>
        <w:t>万瑞郎），这些涉及即将开始项目新收到的资金和结束项目的剩余资金。这些余额或将退还捐赠方或划拨给新项目。</w:t>
      </w:r>
    </w:p>
    <w:p w14:paraId="62019D1B" w14:textId="4ADE6A00" w:rsidR="009630A9" w:rsidRPr="000C156A" w:rsidRDefault="009630A9" w:rsidP="009630A9">
      <w:pPr>
        <w:rPr>
          <w:lang w:eastAsia="zh-CN"/>
        </w:rPr>
      </w:pPr>
      <w:r w:rsidRPr="000C156A">
        <w:rPr>
          <w:lang w:eastAsia="zh-CN"/>
        </w:rPr>
        <w:t>9</w:t>
      </w:r>
      <w:r w:rsidRPr="000C156A">
        <w:rPr>
          <w:rFonts w:hint="eastAsia"/>
          <w:lang w:eastAsia="zh-CN"/>
        </w:rPr>
        <w:t>2</w:t>
      </w:r>
      <w:r w:rsidRPr="000C156A">
        <w:rPr>
          <w:lang w:eastAsia="zh-CN"/>
        </w:rPr>
        <w:tab/>
      </w:r>
      <w:r w:rsidRPr="000C156A">
        <w:rPr>
          <w:rFonts w:hint="eastAsia"/>
          <w:lang w:eastAsia="zh-CN"/>
        </w:rPr>
        <w:t>2020</w:t>
      </w:r>
      <w:r w:rsidRPr="000C156A">
        <w:rPr>
          <w:rFonts w:hint="eastAsia"/>
          <w:lang w:eastAsia="zh-CN"/>
        </w:rPr>
        <w:t>年，流动资产达</w:t>
      </w:r>
      <w:r w:rsidRPr="000C156A">
        <w:rPr>
          <w:rFonts w:hint="eastAsia"/>
          <w:lang w:eastAsia="zh-CN"/>
        </w:rPr>
        <w:t>1 550</w:t>
      </w:r>
      <w:r w:rsidRPr="000C156A">
        <w:rPr>
          <w:rFonts w:hint="eastAsia"/>
          <w:lang w:eastAsia="zh-CN"/>
        </w:rPr>
        <w:t>万瑞郎（</w:t>
      </w:r>
      <w:r w:rsidRPr="000C156A">
        <w:rPr>
          <w:rFonts w:hint="eastAsia"/>
          <w:lang w:eastAsia="zh-CN"/>
        </w:rPr>
        <w:t>2019</w:t>
      </w:r>
      <w:r w:rsidRPr="000C156A">
        <w:rPr>
          <w:rFonts w:hint="eastAsia"/>
          <w:lang w:eastAsia="zh-CN"/>
        </w:rPr>
        <w:t>年为</w:t>
      </w:r>
      <w:r w:rsidRPr="000C156A">
        <w:rPr>
          <w:rFonts w:hint="eastAsia"/>
          <w:lang w:eastAsia="zh-CN"/>
        </w:rPr>
        <w:t>2 390</w:t>
      </w:r>
      <w:r w:rsidRPr="000C156A">
        <w:rPr>
          <w:rFonts w:hint="eastAsia"/>
          <w:lang w:eastAsia="zh-CN"/>
        </w:rPr>
        <w:t>万瑞郎）。截至</w:t>
      </w:r>
      <w:r w:rsidRPr="000C156A">
        <w:rPr>
          <w:rFonts w:hint="eastAsia"/>
          <w:lang w:eastAsia="zh-CN"/>
        </w:rPr>
        <w:t>2020</w:t>
      </w:r>
      <w:r w:rsidRPr="000C156A">
        <w:rPr>
          <w:rFonts w:hint="eastAsia"/>
          <w:lang w:eastAsia="zh-CN"/>
        </w:rPr>
        <w:t>年底，投资总额为</w:t>
      </w:r>
      <w:r w:rsidRPr="000C156A">
        <w:rPr>
          <w:rFonts w:hint="eastAsia"/>
          <w:lang w:eastAsia="zh-CN"/>
        </w:rPr>
        <w:t>2 080</w:t>
      </w:r>
      <w:r w:rsidRPr="000C156A">
        <w:rPr>
          <w:rFonts w:hint="eastAsia"/>
          <w:lang w:eastAsia="zh-CN"/>
        </w:rPr>
        <w:t>万瑞郎（</w:t>
      </w:r>
      <w:r w:rsidRPr="000C156A">
        <w:rPr>
          <w:rFonts w:hint="eastAsia"/>
          <w:lang w:eastAsia="zh-CN"/>
        </w:rPr>
        <w:t>2019</w:t>
      </w:r>
      <w:r w:rsidRPr="000C156A">
        <w:rPr>
          <w:rFonts w:hint="eastAsia"/>
          <w:lang w:eastAsia="zh-CN"/>
        </w:rPr>
        <w:t>年为</w:t>
      </w:r>
      <w:r w:rsidRPr="000C156A">
        <w:rPr>
          <w:rFonts w:hint="eastAsia"/>
          <w:lang w:eastAsia="zh-CN"/>
        </w:rPr>
        <w:t>1 390</w:t>
      </w:r>
      <w:r w:rsidRPr="000C156A">
        <w:rPr>
          <w:rFonts w:hint="eastAsia"/>
          <w:lang w:eastAsia="zh-CN"/>
        </w:rPr>
        <w:t>万瑞郎）。这些存款于</w:t>
      </w:r>
      <w:r w:rsidRPr="000C156A">
        <w:rPr>
          <w:rFonts w:hint="eastAsia"/>
          <w:lang w:eastAsia="zh-CN"/>
        </w:rPr>
        <w:t>2020</w:t>
      </w:r>
      <w:r w:rsidRPr="000C156A">
        <w:rPr>
          <w:rFonts w:hint="eastAsia"/>
          <w:lang w:eastAsia="zh-CN"/>
        </w:rPr>
        <w:t>年产生利息达</w:t>
      </w:r>
      <w:r w:rsidRPr="000C156A">
        <w:rPr>
          <w:rFonts w:hint="eastAsia"/>
          <w:lang w:eastAsia="zh-CN"/>
        </w:rPr>
        <w:t>20</w:t>
      </w:r>
      <w:r w:rsidRPr="000C156A">
        <w:rPr>
          <w:lang w:eastAsia="zh-CN"/>
        </w:rPr>
        <w:t>.</w:t>
      </w:r>
      <w:r w:rsidRPr="000C156A">
        <w:rPr>
          <w:rFonts w:hint="eastAsia"/>
          <w:lang w:eastAsia="zh-CN"/>
        </w:rPr>
        <w:t>4</w:t>
      </w:r>
      <w:r w:rsidRPr="000C156A">
        <w:rPr>
          <w:rFonts w:hint="eastAsia"/>
          <w:lang w:eastAsia="zh-CN"/>
        </w:rPr>
        <w:t>万瑞郎（</w:t>
      </w:r>
      <w:r w:rsidRPr="000C156A">
        <w:rPr>
          <w:rFonts w:hint="eastAsia"/>
          <w:lang w:eastAsia="zh-CN"/>
        </w:rPr>
        <w:t>2019</w:t>
      </w:r>
      <w:r w:rsidRPr="000C156A">
        <w:rPr>
          <w:rFonts w:hint="eastAsia"/>
          <w:lang w:eastAsia="zh-CN"/>
        </w:rPr>
        <w:t>年为</w:t>
      </w:r>
      <w:r w:rsidRPr="000C156A">
        <w:rPr>
          <w:rFonts w:hint="eastAsia"/>
          <w:lang w:eastAsia="zh-CN"/>
        </w:rPr>
        <w:t>44</w:t>
      </w:r>
      <w:r w:rsidRPr="000C156A">
        <w:rPr>
          <w:lang w:eastAsia="zh-CN"/>
        </w:rPr>
        <w:t>.</w:t>
      </w:r>
      <w:r w:rsidRPr="000C156A">
        <w:rPr>
          <w:rFonts w:hint="eastAsia"/>
          <w:lang w:eastAsia="zh-CN"/>
        </w:rPr>
        <w:t>7</w:t>
      </w:r>
      <w:r w:rsidR="00881513" w:rsidRPr="000C156A">
        <w:rPr>
          <w:rFonts w:hint="eastAsia"/>
          <w:lang w:eastAsia="zh-CN"/>
        </w:rPr>
        <w:t>万</w:t>
      </w:r>
      <w:r w:rsidRPr="000C156A">
        <w:rPr>
          <w:rFonts w:hint="eastAsia"/>
          <w:lang w:eastAsia="zh-CN"/>
        </w:rPr>
        <w:t>瑞郎）。</w:t>
      </w:r>
    </w:p>
    <w:p w14:paraId="72F4F3BD" w14:textId="77777777" w:rsidR="009630A9" w:rsidRPr="000C156A" w:rsidRDefault="009630A9" w:rsidP="009630A9">
      <w:pPr>
        <w:pStyle w:val="Headingb"/>
        <w:rPr>
          <w:lang w:eastAsia="zh-CN"/>
        </w:rPr>
      </w:pPr>
      <w:bookmarkStart w:id="1137" w:name="_Toc73518894"/>
      <w:bookmarkStart w:id="1138" w:name="_Toc73519294"/>
      <w:bookmarkStart w:id="1139" w:name="_Toc73636333"/>
      <w:r w:rsidRPr="000C156A">
        <w:rPr>
          <w:lang w:eastAsia="zh-CN"/>
        </w:rPr>
        <w:t>20</w:t>
      </w:r>
      <w:r w:rsidRPr="000C156A">
        <w:rPr>
          <w:rFonts w:hint="eastAsia"/>
          <w:lang w:eastAsia="zh-CN"/>
        </w:rPr>
        <w:t>20</w:t>
      </w:r>
      <w:r w:rsidRPr="000C156A">
        <w:rPr>
          <w:rFonts w:hint="eastAsia"/>
          <w:lang w:eastAsia="zh-CN"/>
        </w:rPr>
        <w:t>年项目交付和支持费用</w:t>
      </w:r>
      <w:bookmarkEnd w:id="1137"/>
      <w:bookmarkEnd w:id="1138"/>
      <w:bookmarkEnd w:id="1139"/>
    </w:p>
    <w:p w14:paraId="3A379F2F" w14:textId="77777777" w:rsidR="009630A9" w:rsidRPr="000C156A" w:rsidRDefault="009630A9" w:rsidP="009630A9">
      <w:pPr>
        <w:rPr>
          <w:lang w:eastAsia="zh-CN"/>
        </w:rPr>
      </w:pPr>
      <w:r w:rsidRPr="000C156A">
        <w:rPr>
          <w:lang w:eastAsia="zh-CN"/>
        </w:rPr>
        <w:t>9</w:t>
      </w:r>
      <w:r w:rsidRPr="000C156A">
        <w:rPr>
          <w:rFonts w:hint="eastAsia"/>
          <w:lang w:eastAsia="zh-CN"/>
        </w:rPr>
        <w:t>3</w:t>
      </w:r>
      <w:r w:rsidRPr="000C156A">
        <w:rPr>
          <w:lang w:eastAsia="zh-CN"/>
        </w:rPr>
        <w:tab/>
        <w:t>20</w:t>
      </w:r>
      <w:r w:rsidRPr="000C156A">
        <w:rPr>
          <w:rFonts w:hint="eastAsia"/>
          <w:lang w:eastAsia="zh-CN"/>
        </w:rPr>
        <w:t>20</w:t>
      </w:r>
      <w:r w:rsidRPr="000C156A">
        <w:rPr>
          <w:rFonts w:hint="eastAsia"/>
          <w:lang w:eastAsia="zh-CN"/>
        </w:rPr>
        <w:t>年，各类信托基金项目费用总额为</w:t>
      </w:r>
      <w:r w:rsidRPr="000C156A">
        <w:rPr>
          <w:lang w:eastAsia="zh-CN"/>
        </w:rPr>
        <w:t>670</w:t>
      </w:r>
      <w:r w:rsidRPr="000C156A">
        <w:rPr>
          <w:rFonts w:hint="eastAsia"/>
          <w:lang w:eastAsia="zh-CN"/>
        </w:rPr>
        <w:t>万瑞郎（</w:t>
      </w:r>
      <w:r w:rsidRPr="000C156A">
        <w:rPr>
          <w:lang w:eastAsia="zh-CN"/>
        </w:rPr>
        <w:t>2019</w:t>
      </w:r>
      <w:r w:rsidRPr="000C156A">
        <w:rPr>
          <w:rFonts w:hint="eastAsia"/>
          <w:lang w:eastAsia="zh-CN"/>
        </w:rPr>
        <w:t>年为</w:t>
      </w:r>
      <w:r w:rsidRPr="000C156A">
        <w:rPr>
          <w:rFonts w:hint="eastAsia"/>
          <w:lang w:eastAsia="zh-CN"/>
        </w:rPr>
        <w:t>8</w:t>
      </w:r>
      <w:r w:rsidRPr="000C156A">
        <w:rPr>
          <w:lang w:eastAsia="zh-CN"/>
        </w:rPr>
        <w:t>70</w:t>
      </w:r>
      <w:r w:rsidRPr="000C156A">
        <w:rPr>
          <w:rFonts w:hint="eastAsia"/>
          <w:lang w:eastAsia="zh-CN"/>
        </w:rPr>
        <w:t>万瑞郎）。</w:t>
      </w:r>
      <w:r w:rsidRPr="000C156A">
        <w:rPr>
          <w:lang w:eastAsia="zh-CN"/>
        </w:rPr>
        <w:t>2020</w:t>
      </w:r>
      <w:r w:rsidRPr="000C156A">
        <w:rPr>
          <w:rFonts w:hint="eastAsia"/>
          <w:lang w:eastAsia="zh-CN"/>
        </w:rPr>
        <w:t>年的支持费用为</w:t>
      </w:r>
      <w:r w:rsidRPr="000C156A">
        <w:rPr>
          <w:rFonts w:hint="eastAsia"/>
          <w:lang w:eastAsia="zh-CN"/>
        </w:rPr>
        <w:t>2</w:t>
      </w:r>
      <w:r w:rsidRPr="000C156A">
        <w:rPr>
          <w:lang w:eastAsia="zh-CN"/>
        </w:rPr>
        <w:t>3.6</w:t>
      </w:r>
      <w:r w:rsidRPr="000C156A">
        <w:rPr>
          <w:rFonts w:hint="eastAsia"/>
          <w:lang w:eastAsia="zh-CN"/>
        </w:rPr>
        <w:t>万瑞郎（</w:t>
      </w:r>
      <w:r w:rsidRPr="000C156A">
        <w:rPr>
          <w:lang w:eastAsia="zh-CN"/>
        </w:rPr>
        <w:t>2019</w:t>
      </w:r>
      <w:r w:rsidRPr="000C156A">
        <w:rPr>
          <w:rFonts w:hint="eastAsia"/>
          <w:lang w:eastAsia="zh-CN"/>
        </w:rPr>
        <w:t>年为</w:t>
      </w:r>
      <w:r w:rsidRPr="000C156A">
        <w:rPr>
          <w:lang w:eastAsia="zh-CN"/>
        </w:rPr>
        <w:t>41.4</w:t>
      </w:r>
      <w:r w:rsidRPr="000C156A">
        <w:rPr>
          <w:rFonts w:hint="eastAsia"/>
          <w:lang w:eastAsia="zh-CN"/>
        </w:rPr>
        <w:t>万瑞郎）。</w:t>
      </w:r>
    </w:p>
    <w:p w14:paraId="02E29BEE" w14:textId="77777777" w:rsidR="009630A9" w:rsidRPr="000C156A" w:rsidRDefault="009630A9" w:rsidP="009630A9">
      <w:pPr>
        <w:pStyle w:val="Heading1"/>
        <w:rPr>
          <w:lang w:eastAsia="zh-CN"/>
        </w:rPr>
      </w:pPr>
      <w:bookmarkStart w:id="1140" w:name="_Toc482894266"/>
      <w:bookmarkStart w:id="1141" w:name="_Toc358364833"/>
      <w:bookmarkStart w:id="1142" w:name="_Toc329077315"/>
      <w:bookmarkStart w:id="1143" w:name="_Toc511116018"/>
      <w:bookmarkStart w:id="1144" w:name="_Toc41905909"/>
      <w:bookmarkStart w:id="1145" w:name="_Toc41908079"/>
      <w:bookmarkStart w:id="1146" w:name="_Toc73519295"/>
      <w:bookmarkStart w:id="1147" w:name="_Toc73636334"/>
      <w:r w:rsidRPr="000C156A">
        <w:rPr>
          <w:rFonts w:hint="eastAsia"/>
          <w:lang w:eastAsia="zh-CN"/>
        </w:rPr>
        <w:t>六</w:t>
      </w:r>
      <w:r w:rsidRPr="000C156A">
        <w:rPr>
          <w:lang w:eastAsia="zh-CN"/>
        </w:rPr>
        <w:tab/>
      </w:r>
      <w:r w:rsidRPr="000C156A">
        <w:rPr>
          <w:rFonts w:hint="eastAsia"/>
          <w:lang w:eastAsia="zh-CN"/>
        </w:rPr>
        <w:t>自愿捐款（附件</w:t>
      </w:r>
      <w:r w:rsidRPr="000C156A">
        <w:rPr>
          <w:lang w:eastAsia="zh-CN"/>
        </w:rPr>
        <w:t>B5</w:t>
      </w:r>
      <w:r w:rsidRPr="000C156A">
        <w:rPr>
          <w:rFonts w:hint="eastAsia"/>
          <w:lang w:eastAsia="zh-CN"/>
        </w:rPr>
        <w:t>）</w:t>
      </w:r>
      <w:bookmarkEnd w:id="1140"/>
      <w:bookmarkEnd w:id="1141"/>
      <w:bookmarkEnd w:id="1142"/>
      <w:bookmarkEnd w:id="1143"/>
      <w:bookmarkEnd w:id="1144"/>
      <w:bookmarkEnd w:id="1145"/>
      <w:bookmarkEnd w:id="1146"/>
      <w:bookmarkEnd w:id="1147"/>
    </w:p>
    <w:p w14:paraId="4A84A25F" w14:textId="77777777" w:rsidR="009630A9" w:rsidRPr="000C156A" w:rsidRDefault="009630A9" w:rsidP="009630A9">
      <w:pPr>
        <w:rPr>
          <w:rFonts w:eastAsiaTheme="minorEastAsia"/>
          <w:lang w:eastAsia="zh-CN"/>
        </w:rPr>
      </w:pPr>
      <w:r w:rsidRPr="000C156A">
        <w:rPr>
          <w:rFonts w:hint="eastAsia"/>
          <w:lang w:eastAsia="zh-CN"/>
        </w:rPr>
        <w:t>94</w:t>
      </w:r>
      <w:r w:rsidRPr="000C156A">
        <w:rPr>
          <w:lang w:eastAsia="zh-CN"/>
        </w:rPr>
        <w:tab/>
      </w:r>
      <w:r w:rsidRPr="000C156A">
        <w:rPr>
          <w:rFonts w:cs="Calibri"/>
          <w:lang w:eastAsia="zh-CN"/>
        </w:rPr>
        <w:t>20</w:t>
      </w:r>
      <w:r w:rsidRPr="000C156A">
        <w:rPr>
          <w:rFonts w:cs="Calibri" w:hint="eastAsia"/>
          <w:lang w:eastAsia="zh-CN"/>
        </w:rPr>
        <w:t>20</w:t>
      </w:r>
      <w:r w:rsidRPr="000C156A">
        <w:rPr>
          <w:rFonts w:eastAsiaTheme="minorEastAsia" w:hint="eastAsia"/>
          <w:lang w:eastAsia="zh-CN"/>
        </w:rPr>
        <w:t>年，流动资产数额达到</w:t>
      </w:r>
      <w:r w:rsidRPr="000C156A">
        <w:rPr>
          <w:rFonts w:eastAsiaTheme="minorEastAsia" w:hint="eastAsia"/>
          <w:lang w:eastAsia="zh-CN"/>
        </w:rPr>
        <w:t>5</w:t>
      </w:r>
      <w:r w:rsidRPr="000C156A">
        <w:rPr>
          <w:rFonts w:eastAsiaTheme="minorEastAsia"/>
          <w:lang w:eastAsia="zh-CN"/>
        </w:rPr>
        <w:t>60</w:t>
      </w:r>
      <w:r w:rsidRPr="000C156A">
        <w:rPr>
          <w:rFonts w:eastAsiaTheme="minorEastAsia" w:hint="eastAsia"/>
          <w:lang w:eastAsia="zh-CN"/>
        </w:rPr>
        <w:t>万瑞郎（</w:t>
      </w:r>
      <w:r w:rsidRPr="000C156A">
        <w:rPr>
          <w:rFonts w:eastAsiaTheme="minorEastAsia"/>
          <w:lang w:eastAsia="zh-CN"/>
        </w:rPr>
        <w:t>201</w:t>
      </w:r>
      <w:r w:rsidRPr="000C156A">
        <w:rPr>
          <w:rFonts w:eastAsiaTheme="minorEastAsia" w:hint="eastAsia"/>
          <w:lang w:eastAsia="zh-CN"/>
        </w:rPr>
        <w:t>9</w:t>
      </w:r>
      <w:r w:rsidRPr="000C156A">
        <w:rPr>
          <w:rFonts w:eastAsiaTheme="minorEastAsia" w:hint="eastAsia"/>
          <w:lang w:eastAsia="zh-CN"/>
        </w:rPr>
        <w:t>年为</w:t>
      </w:r>
      <w:r w:rsidRPr="000C156A">
        <w:rPr>
          <w:rFonts w:eastAsiaTheme="minorEastAsia"/>
          <w:lang w:eastAsia="zh-CN"/>
        </w:rPr>
        <w:t>940</w:t>
      </w:r>
      <w:r w:rsidRPr="000C156A">
        <w:rPr>
          <w:rFonts w:eastAsiaTheme="minorEastAsia" w:hint="eastAsia"/>
          <w:lang w:eastAsia="zh-CN"/>
        </w:rPr>
        <w:t>万瑞郎）。</w:t>
      </w:r>
    </w:p>
    <w:p w14:paraId="5D55F718" w14:textId="77777777" w:rsidR="009630A9" w:rsidRPr="000C156A" w:rsidRDefault="009630A9" w:rsidP="009630A9">
      <w:pPr>
        <w:rPr>
          <w:rFonts w:eastAsiaTheme="minorEastAsia"/>
          <w:lang w:eastAsia="zh-CN"/>
        </w:rPr>
      </w:pPr>
      <w:r w:rsidRPr="000C156A">
        <w:rPr>
          <w:lang w:eastAsia="zh-CN"/>
        </w:rPr>
        <w:t>9</w:t>
      </w:r>
      <w:r w:rsidRPr="000C156A">
        <w:rPr>
          <w:rFonts w:hint="eastAsia"/>
          <w:lang w:eastAsia="zh-CN"/>
        </w:rPr>
        <w:t>5</w:t>
      </w:r>
      <w:r w:rsidRPr="000C156A">
        <w:rPr>
          <w:lang w:eastAsia="zh-CN"/>
        </w:rPr>
        <w:tab/>
      </w:r>
      <w:r w:rsidRPr="000C156A">
        <w:rPr>
          <w:rFonts w:eastAsia="Times New Roman"/>
          <w:lang w:eastAsia="zh-CN"/>
        </w:rPr>
        <w:t>20</w:t>
      </w:r>
      <w:r w:rsidRPr="000C156A">
        <w:rPr>
          <w:rFonts w:cs="Calibri" w:hint="eastAsia"/>
          <w:lang w:eastAsia="zh-CN"/>
        </w:rPr>
        <w:t>20</w:t>
      </w:r>
      <w:r w:rsidRPr="000C156A">
        <w:rPr>
          <w:rFonts w:eastAsiaTheme="minorEastAsia" w:hint="eastAsia"/>
          <w:lang w:eastAsia="zh-CN"/>
        </w:rPr>
        <w:t>年，各类自愿捐款费用达到</w:t>
      </w:r>
      <w:r w:rsidRPr="000C156A">
        <w:rPr>
          <w:rFonts w:eastAsiaTheme="minorEastAsia" w:hint="eastAsia"/>
          <w:lang w:eastAsia="zh-CN"/>
        </w:rPr>
        <w:t>32</w:t>
      </w:r>
      <w:r w:rsidRPr="000C156A">
        <w:rPr>
          <w:rFonts w:eastAsiaTheme="minorEastAsia"/>
          <w:lang w:eastAsia="zh-CN"/>
        </w:rPr>
        <w:t>0</w:t>
      </w:r>
      <w:r w:rsidRPr="000C156A">
        <w:rPr>
          <w:rFonts w:eastAsiaTheme="minorEastAsia" w:hint="eastAsia"/>
          <w:lang w:eastAsia="zh-CN"/>
        </w:rPr>
        <w:t>万瑞郎，</w:t>
      </w:r>
      <w:r w:rsidRPr="000C156A">
        <w:rPr>
          <w:rFonts w:eastAsiaTheme="minorEastAsia"/>
          <w:lang w:eastAsia="zh-CN"/>
        </w:rPr>
        <w:t>201</w:t>
      </w:r>
      <w:r w:rsidRPr="000C156A">
        <w:rPr>
          <w:rFonts w:eastAsiaTheme="minorEastAsia" w:hint="eastAsia"/>
          <w:lang w:eastAsia="zh-CN"/>
        </w:rPr>
        <w:t>9</w:t>
      </w:r>
      <w:r w:rsidRPr="000C156A">
        <w:rPr>
          <w:rFonts w:eastAsiaTheme="minorEastAsia" w:hint="eastAsia"/>
          <w:lang w:eastAsia="zh-CN"/>
        </w:rPr>
        <w:t>年为</w:t>
      </w:r>
      <w:r w:rsidRPr="000C156A">
        <w:rPr>
          <w:rFonts w:eastAsiaTheme="minorEastAsia"/>
          <w:lang w:eastAsia="zh-CN"/>
        </w:rPr>
        <w:t>440</w:t>
      </w:r>
      <w:r w:rsidRPr="000C156A">
        <w:rPr>
          <w:rFonts w:eastAsiaTheme="minorEastAsia" w:hint="eastAsia"/>
          <w:lang w:eastAsia="zh-CN"/>
        </w:rPr>
        <w:t>万瑞郎。</w:t>
      </w:r>
    </w:p>
    <w:p w14:paraId="45F549BB" w14:textId="77777777" w:rsidR="009630A9" w:rsidRPr="000C156A" w:rsidRDefault="009630A9" w:rsidP="009630A9">
      <w:pPr>
        <w:pStyle w:val="Heading1"/>
        <w:rPr>
          <w:lang w:eastAsia="zh-CN"/>
        </w:rPr>
      </w:pPr>
      <w:bookmarkStart w:id="1148" w:name="_Toc358364834"/>
      <w:bookmarkStart w:id="1149" w:name="_Toc482894267"/>
      <w:bookmarkStart w:id="1150" w:name="_Toc511116019"/>
      <w:bookmarkStart w:id="1151" w:name="_Toc41905910"/>
      <w:bookmarkStart w:id="1152" w:name="_Toc41908080"/>
      <w:bookmarkStart w:id="1153" w:name="_Toc73519296"/>
      <w:bookmarkStart w:id="1154" w:name="_Toc73636335"/>
      <w:r w:rsidRPr="000C156A">
        <w:rPr>
          <w:rFonts w:hint="eastAsia"/>
          <w:lang w:eastAsia="zh-CN"/>
        </w:rPr>
        <w:t>七</w:t>
      </w:r>
      <w:r w:rsidRPr="000C156A">
        <w:rPr>
          <w:lang w:eastAsia="zh-CN"/>
        </w:rPr>
        <w:tab/>
      </w:r>
      <w:bookmarkStart w:id="1155" w:name="_Toc268074319"/>
      <w:r w:rsidRPr="000C156A">
        <w:rPr>
          <w:rFonts w:hint="eastAsia"/>
          <w:lang w:eastAsia="zh-CN"/>
        </w:rPr>
        <w:t>信息通信技术（</w:t>
      </w:r>
      <w:r w:rsidRPr="000C156A">
        <w:rPr>
          <w:lang w:eastAsia="zh-CN"/>
        </w:rPr>
        <w:t>ICT</w:t>
      </w:r>
      <w:r w:rsidRPr="000C156A">
        <w:rPr>
          <w:rFonts w:hint="eastAsia"/>
          <w:lang w:eastAsia="zh-CN"/>
        </w:rPr>
        <w:t>）发展基金</w:t>
      </w:r>
      <w:bookmarkEnd w:id="1155"/>
      <w:r w:rsidRPr="000C156A">
        <w:rPr>
          <w:rFonts w:hint="eastAsia"/>
          <w:lang w:eastAsia="zh-CN"/>
        </w:rPr>
        <w:t>（附件</w:t>
      </w:r>
      <w:r w:rsidRPr="000C156A">
        <w:rPr>
          <w:lang w:eastAsia="zh-CN"/>
        </w:rPr>
        <w:t>B6</w:t>
      </w:r>
      <w:r w:rsidRPr="000C156A">
        <w:rPr>
          <w:rFonts w:hint="eastAsia"/>
          <w:lang w:eastAsia="zh-CN"/>
        </w:rPr>
        <w:t>）</w:t>
      </w:r>
      <w:bookmarkEnd w:id="1148"/>
      <w:bookmarkEnd w:id="1149"/>
      <w:bookmarkEnd w:id="1150"/>
      <w:bookmarkEnd w:id="1151"/>
      <w:bookmarkEnd w:id="1152"/>
      <w:bookmarkEnd w:id="1153"/>
      <w:bookmarkEnd w:id="1154"/>
    </w:p>
    <w:p w14:paraId="6E1A67FE" w14:textId="68A4FB63" w:rsidR="009630A9" w:rsidRPr="000C156A" w:rsidRDefault="009630A9" w:rsidP="009630A9">
      <w:pPr>
        <w:rPr>
          <w:lang w:eastAsia="zh-CN"/>
        </w:rPr>
      </w:pPr>
      <w:r w:rsidRPr="000C156A">
        <w:rPr>
          <w:rFonts w:hint="eastAsia"/>
          <w:lang w:eastAsia="zh-CN"/>
        </w:rPr>
        <w:t>96</w:t>
      </w:r>
      <w:r w:rsidRPr="000C156A">
        <w:rPr>
          <w:lang w:eastAsia="zh-CN"/>
        </w:rPr>
        <w:tab/>
        <w:t>20</w:t>
      </w:r>
      <w:r w:rsidRPr="000C156A">
        <w:rPr>
          <w:rFonts w:hint="eastAsia"/>
          <w:lang w:eastAsia="zh-CN"/>
        </w:rPr>
        <w:t>20</w:t>
      </w:r>
      <w:r w:rsidRPr="000C156A">
        <w:rPr>
          <w:rFonts w:hint="eastAsia"/>
          <w:lang w:eastAsia="zh-CN"/>
        </w:rPr>
        <w:t>年</w:t>
      </w:r>
      <w:r w:rsidRPr="000C156A">
        <w:rPr>
          <w:rFonts w:hint="eastAsia"/>
          <w:lang w:eastAsia="zh-CN"/>
        </w:rPr>
        <w:t>12</w:t>
      </w:r>
      <w:r w:rsidRPr="000C156A">
        <w:rPr>
          <w:rFonts w:hint="eastAsia"/>
          <w:lang w:eastAsia="zh-CN"/>
        </w:rPr>
        <w:t>月</w:t>
      </w:r>
      <w:r w:rsidRPr="000C156A">
        <w:rPr>
          <w:rFonts w:hint="eastAsia"/>
          <w:lang w:eastAsia="zh-CN"/>
        </w:rPr>
        <w:t>31</w:t>
      </w:r>
      <w:r w:rsidRPr="000C156A">
        <w:rPr>
          <w:rFonts w:hint="eastAsia"/>
          <w:lang w:eastAsia="zh-CN"/>
        </w:rPr>
        <w:t>日，</w:t>
      </w:r>
      <w:r w:rsidRPr="000C156A">
        <w:rPr>
          <w:rFonts w:hint="eastAsia"/>
          <w:lang w:eastAsia="zh-CN"/>
        </w:rPr>
        <w:t>ICT</w:t>
      </w:r>
      <w:r w:rsidRPr="000C156A">
        <w:rPr>
          <w:rFonts w:hint="eastAsia"/>
          <w:lang w:eastAsia="zh-CN"/>
        </w:rPr>
        <w:t>发展基金（</w:t>
      </w:r>
      <w:r w:rsidRPr="000C156A">
        <w:rPr>
          <w:rFonts w:hint="eastAsia"/>
          <w:lang w:eastAsia="zh-CN"/>
        </w:rPr>
        <w:t>ICTDF</w:t>
      </w:r>
      <w:r w:rsidRPr="000C156A">
        <w:rPr>
          <w:rFonts w:hint="eastAsia"/>
          <w:lang w:eastAsia="zh-CN"/>
        </w:rPr>
        <w:t>）的余额为</w:t>
      </w:r>
      <w:r w:rsidRPr="000C156A">
        <w:rPr>
          <w:rFonts w:hint="eastAsia"/>
          <w:lang w:eastAsia="zh-CN"/>
        </w:rPr>
        <w:t>380</w:t>
      </w:r>
      <w:r w:rsidRPr="000C156A">
        <w:rPr>
          <w:rFonts w:hint="eastAsia"/>
          <w:lang w:eastAsia="zh-CN"/>
        </w:rPr>
        <w:t>万瑞郎（</w:t>
      </w:r>
      <w:r w:rsidRPr="000C156A">
        <w:rPr>
          <w:rFonts w:hint="eastAsia"/>
          <w:lang w:eastAsia="zh-CN"/>
        </w:rPr>
        <w:t>2019</w:t>
      </w:r>
      <w:r w:rsidRPr="000C156A">
        <w:rPr>
          <w:rFonts w:hint="eastAsia"/>
          <w:lang w:eastAsia="zh-CN"/>
        </w:rPr>
        <w:t>年</w:t>
      </w:r>
      <w:r w:rsidRPr="000C156A">
        <w:rPr>
          <w:rFonts w:hint="eastAsia"/>
          <w:lang w:eastAsia="zh-CN"/>
        </w:rPr>
        <w:t>12</w:t>
      </w:r>
      <w:r w:rsidRPr="000C156A">
        <w:rPr>
          <w:rFonts w:hint="eastAsia"/>
          <w:lang w:eastAsia="zh-CN"/>
        </w:rPr>
        <w:t>月</w:t>
      </w:r>
      <w:r w:rsidRPr="000C156A">
        <w:rPr>
          <w:rFonts w:hint="eastAsia"/>
          <w:lang w:eastAsia="zh-CN"/>
        </w:rPr>
        <w:t>31</w:t>
      </w:r>
      <w:r w:rsidRPr="000C156A">
        <w:rPr>
          <w:rFonts w:hint="eastAsia"/>
          <w:lang w:eastAsia="zh-CN"/>
        </w:rPr>
        <w:t>日为</w:t>
      </w:r>
      <w:r w:rsidRPr="000C156A">
        <w:rPr>
          <w:rFonts w:hint="eastAsia"/>
          <w:lang w:eastAsia="zh-CN"/>
        </w:rPr>
        <w:t>460</w:t>
      </w:r>
      <w:r w:rsidRPr="000C156A">
        <w:rPr>
          <w:rFonts w:hint="eastAsia"/>
          <w:lang w:eastAsia="zh-CN"/>
        </w:rPr>
        <w:t>万瑞郎）。</w:t>
      </w:r>
    </w:p>
    <w:p w14:paraId="06146C0B" w14:textId="77777777" w:rsidR="009630A9" w:rsidRPr="000C156A" w:rsidRDefault="009630A9" w:rsidP="009630A9">
      <w:pPr>
        <w:rPr>
          <w:lang w:eastAsia="zh-CN"/>
        </w:rPr>
      </w:pPr>
      <w:r w:rsidRPr="000C156A">
        <w:rPr>
          <w:rFonts w:hint="eastAsia"/>
          <w:lang w:eastAsia="zh-CN"/>
        </w:rPr>
        <w:t>97</w:t>
      </w:r>
      <w:r w:rsidRPr="000C156A">
        <w:rPr>
          <w:lang w:eastAsia="zh-CN"/>
        </w:rPr>
        <w:tab/>
        <w:t>20</w:t>
      </w:r>
      <w:r w:rsidRPr="000C156A">
        <w:rPr>
          <w:rFonts w:hint="eastAsia"/>
          <w:lang w:eastAsia="zh-CN"/>
        </w:rPr>
        <w:t>20</w:t>
      </w:r>
      <w:r w:rsidRPr="000C156A">
        <w:rPr>
          <w:rFonts w:hint="eastAsia"/>
          <w:lang w:eastAsia="zh-CN"/>
        </w:rPr>
        <w:t>年，为</w:t>
      </w:r>
      <w:r w:rsidRPr="000C156A">
        <w:rPr>
          <w:rFonts w:hint="eastAsia"/>
          <w:lang w:eastAsia="zh-CN"/>
        </w:rPr>
        <w:t>I</w:t>
      </w:r>
      <w:r w:rsidRPr="000C156A">
        <w:rPr>
          <w:lang w:eastAsia="zh-CN"/>
        </w:rPr>
        <w:t>CT</w:t>
      </w:r>
      <w:r w:rsidRPr="000C156A">
        <w:rPr>
          <w:rFonts w:hint="eastAsia"/>
          <w:lang w:eastAsia="zh-CN"/>
        </w:rPr>
        <w:t>项目划拨了</w:t>
      </w:r>
      <w:r w:rsidRPr="000C156A">
        <w:rPr>
          <w:lang w:eastAsia="zh-CN"/>
        </w:rPr>
        <w:t>170</w:t>
      </w:r>
      <w:r w:rsidRPr="000C156A">
        <w:rPr>
          <w:rFonts w:hint="eastAsia"/>
          <w:lang w:eastAsia="zh-CN"/>
        </w:rPr>
        <w:t>万瑞郎的资金，</w:t>
      </w:r>
      <w:r w:rsidRPr="000C156A">
        <w:rPr>
          <w:rFonts w:hint="eastAsia"/>
          <w:lang w:eastAsia="zh-CN"/>
        </w:rPr>
        <w:t>1.6</w:t>
      </w:r>
      <w:r w:rsidRPr="000C156A">
        <w:rPr>
          <w:rFonts w:hint="eastAsia"/>
          <w:lang w:eastAsia="zh-CN"/>
        </w:rPr>
        <w:t>万瑞郎的存款利息已转入</w:t>
      </w:r>
      <w:r w:rsidRPr="000C156A">
        <w:rPr>
          <w:rFonts w:hint="eastAsia"/>
          <w:lang w:eastAsia="zh-CN"/>
        </w:rPr>
        <w:t>I</w:t>
      </w:r>
      <w:r w:rsidRPr="000C156A">
        <w:rPr>
          <w:lang w:eastAsia="zh-CN"/>
        </w:rPr>
        <w:t>CTDF</w:t>
      </w:r>
      <w:r w:rsidRPr="000C156A">
        <w:rPr>
          <w:rFonts w:hint="eastAsia"/>
          <w:lang w:eastAsia="zh-CN"/>
        </w:rPr>
        <w:t>周转基金中。</w:t>
      </w:r>
    </w:p>
    <w:p w14:paraId="5881A3B5" w14:textId="77777777" w:rsidR="009630A9" w:rsidRPr="000C156A" w:rsidRDefault="009630A9" w:rsidP="009630A9">
      <w:pPr>
        <w:pStyle w:val="Heading1"/>
        <w:rPr>
          <w:lang w:val="en-US" w:eastAsia="zh-CN"/>
        </w:rPr>
      </w:pPr>
      <w:bookmarkStart w:id="1156" w:name="_Toc482894268"/>
      <w:bookmarkStart w:id="1157" w:name="_Toc511116021"/>
      <w:bookmarkStart w:id="1158" w:name="_Toc41905911"/>
      <w:bookmarkStart w:id="1159" w:name="_Toc41908081"/>
      <w:bookmarkStart w:id="1160" w:name="_Toc73519297"/>
      <w:bookmarkStart w:id="1161" w:name="_Toc73636336"/>
      <w:r w:rsidRPr="000C156A">
        <w:rPr>
          <w:rFonts w:hint="eastAsia"/>
          <w:lang w:val="en-US" w:eastAsia="zh-CN"/>
        </w:rPr>
        <w:t>八</w:t>
      </w:r>
      <w:r w:rsidRPr="000C156A">
        <w:rPr>
          <w:lang w:val="en-US" w:eastAsia="zh-CN"/>
        </w:rPr>
        <w:tab/>
      </w:r>
      <w:r w:rsidRPr="000C156A">
        <w:rPr>
          <w:rFonts w:hint="eastAsia"/>
          <w:lang w:val="en-US" w:eastAsia="zh-CN"/>
        </w:rPr>
        <w:t>国际电联</w:t>
      </w:r>
      <w:r w:rsidRPr="000C156A">
        <w:rPr>
          <w:rFonts w:hint="eastAsia"/>
          <w:lang w:val="en-US" w:eastAsia="zh-CN"/>
        </w:rPr>
        <w:t>2019</w:t>
      </w:r>
      <w:r w:rsidRPr="000C156A">
        <w:rPr>
          <w:rFonts w:hint="eastAsia"/>
          <w:lang w:val="en-US" w:eastAsia="zh-CN"/>
        </w:rPr>
        <w:t>年世界电信展（附件</w:t>
      </w:r>
      <w:r w:rsidRPr="000C156A">
        <w:rPr>
          <w:lang w:eastAsia="zh-CN"/>
        </w:rPr>
        <w:t>B</w:t>
      </w:r>
      <w:r w:rsidRPr="000C156A">
        <w:rPr>
          <w:rFonts w:hint="eastAsia"/>
          <w:lang w:eastAsia="zh-CN"/>
        </w:rPr>
        <w:t>7</w:t>
      </w:r>
      <w:r w:rsidRPr="000C156A">
        <w:rPr>
          <w:rFonts w:hint="eastAsia"/>
          <w:lang w:val="en-US" w:eastAsia="zh-CN"/>
        </w:rPr>
        <w:t>）</w:t>
      </w:r>
      <w:bookmarkEnd w:id="1156"/>
      <w:bookmarkEnd w:id="1157"/>
      <w:bookmarkEnd w:id="1158"/>
      <w:bookmarkEnd w:id="1159"/>
      <w:bookmarkEnd w:id="1160"/>
      <w:bookmarkEnd w:id="1161"/>
    </w:p>
    <w:p w14:paraId="00723C10" w14:textId="77777777" w:rsidR="009630A9" w:rsidRPr="000C156A" w:rsidRDefault="009630A9" w:rsidP="009630A9">
      <w:pPr>
        <w:rPr>
          <w:rFonts w:asciiTheme="minorHAnsi" w:hAnsiTheme="minorHAnsi"/>
          <w:lang w:eastAsia="zh-CN"/>
        </w:rPr>
      </w:pPr>
      <w:r w:rsidRPr="000C156A">
        <w:rPr>
          <w:rFonts w:hint="eastAsia"/>
          <w:lang w:eastAsia="zh-CN"/>
        </w:rPr>
        <w:t>98</w:t>
      </w:r>
      <w:r w:rsidRPr="000C156A">
        <w:rPr>
          <w:lang w:eastAsia="zh-CN"/>
        </w:rPr>
        <w:tab/>
      </w:r>
      <w:r w:rsidRPr="000C156A">
        <w:rPr>
          <w:rFonts w:cs="Calibri" w:hint="eastAsia"/>
          <w:bCs/>
          <w:szCs w:val="24"/>
          <w:lang w:val="en-US" w:eastAsia="zh-CN"/>
        </w:rPr>
        <w:t>由于当前的</w:t>
      </w:r>
      <w:r w:rsidRPr="000C156A">
        <w:rPr>
          <w:rFonts w:eastAsia="Times New Roman" w:cs="Calibri"/>
          <w:lang w:eastAsia="zh-CN"/>
        </w:rPr>
        <w:t>COVID-19</w:t>
      </w:r>
      <w:r w:rsidRPr="000C156A">
        <w:rPr>
          <w:rFonts w:cs="Calibri" w:hint="eastAsia"/>
          <w:bCs/>
          <w:szCs w:val="24"/>
          <w:lang w:val="en-US" w:eastAsia="zh-CN"/>
        </w:rPr>
        <w:t>危机，国际电联</w:t>
      </w:r>
      <w:r w:rsidRPr="000C156A">
        <w:rPr>
          <w:rFonts w:cs="Calibri" w:hint="eastAsia"/>
          <w:bCs/>
          <w:szCs w:val="24"/>
          <w:lang w:val="en-US" w:eastAsia="zh-CN"/>
        </w:rPr>
        <w:t>2020</w:t>
      </w:r>
      <w:r w:rsidRPr="000C156A">
        <w:rPr>
          <w:rFonts w:cs="Calibri" w:hint="eastAsia"/>
          <w:bCs/>
          <w:szCs w:val="24"/>
          <w:lang w:val="en-US" w:eastAsia="zh-CN"/>
        </w:rPr>
        <w:t>年数字世界（</w:t>
      </w:r>
      <w:r w:rsidRPr="000C156A">
        <w:rPr>
          <w:rFonts w:cs="Calibri" w:hint="eastAsia"/>
          <w:bCs/>
          <w:szCs w:val="24"/>
          <w:lang w:val="en-US" w:eastAsia="zh-CN"/>
        </w:rPr>
        <w:t>2020</w:t>
      </w:r>
      <w:r w:rsidRPr="000C156A">
        <w:rPr>
          <w:rFonts w:cs="Calibri" w:hint="eastAsia"/>
          <w:bCs/>
          <w:szCs w:val="24"/>
          <w:lang w:val="en-US" w:eastAsia="zh-CN"/>
        </w:rPr>
        <w:t>年国际电联电信展活动，原计划于</w:t>
      </w:r>
      <w:r w:rsidRPr="000C156A">
        <w:rPr>
          <w:rFonts w:cs="Calibri" w:hint="eastAsia"/>
          <w:bCs/>
          <w:szCs w:val="24"/>
          <w:lang w:val="en-US" w:eastAsia="zh-CN"/>
        </w:rPr>
        <w:t>2020</w:t>
      </w:r>
      <w:r w:rsidRPr="000C156A">
        <w:rPr>
          <w:rFonts w:cs="Calibri" w:hint="eastAsia"/>
          <w:bCs/>
          <w:szCs w:val="24"/>
          <w:lang w:val="en-US" w:eastAsia="zh-CN"/>
        </w:rPr>
        <w:t>年</w:t>
      </w:r>
      <w:r w:rsidRPr="000C156A">
        <w:rPr>
          <w:rFonts w:cs="Calibri" w:hint="eastAsia"/>
          <w:bCs/>
          <w:szCs w:val="24"/>
          <w:lang w:val="en-US" w:eastAsia="zh-CN"/>
        </w:rPr>
        <w:t>9</w:t>
      </w:r>
      <w:r w:rsidRPr="000C156A">
        <w:rPr>
          <w:rFonts w:cs="Calibri" w:hint="eastAsia"/>
          <w:bCs/>
          <w:szCs w:val="24"/>
          <w:lang w:val="en-US" w:eastAsia="zh-CN"/>
        </w:rPr>
        <w:t>月</w:t>
      </w:r>
      <w:r w:rsidRPr="000C156A">
        <w:rPr>
          <w:rFonts w:cs="Calibri" w:hint="eastAsia"/>
          <w:bCs/>
          <w:szCs w:val="24"/>
          <w:lang w:val="en-US" w:eastAsia="zh-CN"/>
        </w:rPr>
        <w:t>6</w:t>
      </w:r>
      <w:r w:rsidRPr="000C156A">
        <w:rPr>
          <w:rFonts w:cs="Calibri" w:hint="eastAsia"/>
          <w:bCs/>
          <w:szCs w:val="24"/>
          <w:lang w:val="en-US" w:eastAsia="zh-CN"/>
        </w:rPr>
        <w:t>日至</w:t>
      </w:r>
      <w:r w:rsidRPr="000C156A">
        <w:rPr>
          <w:rFonts w:cs="Calibri" w:hint="eastAsia"/>
          <w:bCs/>
          <w:szCs w:val="24"/>
          <w:lang w:val="en-US" w:eastAsia="zh-CN"/>
        </w:rPr>
        <w:t>9</w:t>
      </w:r>
      <w:r w:rsidRPr="000C156A">
        <w:rPr>
          <w:rFonts w:cs="Calibri" w:hint="eastAsia"/>
          <w:bCs/>
          <w:szCs w:val="24"/>
          <w:lang w:val="en-US" w:eastAsia="zh-CN"/>
        </w:rPr>
        <w:t>日在越南河内举行）现计划于</w:t>
      </w:r>
      <w:r w:rsidRPr="000C156A">
        <w:rPr>
          <w:rFonts w:cs="Calibri" w:hint="eastAsia"/>
          <w:bCs/>
          <w:szCs w:val="24"/>
          <w:lang w:val="en-US" w:eastAsia="zh-CN"/>
        </w:rPr>
        <w:t>2021</w:t>
      </w:r>
      <w:r w:rsidRPr="000C156A">
        <w:rPr>
          <w:rFonts w:cs="Calibri" w:hint="eastAsia"/>
          <w:bCs/>
          <w:szCs w:val="24"/>
          <w:lang w:val="en-US" w:eastAsia="zh-CN"/>
        </w:rPr>
        <w:t>年</w:t>
      </w:r>
      <w:r w:rsidRPr="000C156A">
        <w:rPr>
          <w:rFonts w:cs="Calibri" w:hint="eastAsia"/>
          <w:bCs/>
          <w:szCs w:val="24"/>
          <w:lang w:val="en-US" w:eastAsia="zh-CN"/>
        </w:rPr>
        <w:t>10</w:t>
      </w:r>
      <w:r w:rsidRPr="000C156A">
        <w:rPr>
          <w:rFonts w:cs="Calibri" w:hint="eastAsia"/>
          <w:bCs/>
          <w:szCs w:val="24"/>
          <w:lang w:val="en-US" w:eastAsia="zh-CN"/>
        </w:rPr>
        <w:t>月</w:t>
      </w:r>
      <w:r w:rsidRPr="000C156A">
        <w:rPr>
          <w:rFonts w:cs="Calibri" w:hint="eastAsia"/>
          <w:bCs/>
          <w:szCs w:val="24"/>
          <w:lang w:val="en-US" w:eastAsia="zh-CN"/>
        </w:rPr>
        <w:t>12</w:t>
      </w:r>
      <w:r w:rsidRPr="000C156A">
        <w:rPr>
          <w:rFonts w:cs="Calibri" w:hint="eastAsia"/>
          <w:bCs/>
          <w:szCs w:val="24"/>
          <w:lang w:val="en-US" w:eastAsia="zh-CN"/>
        </w:rPr>
        <w:t>日至</w:t>
      </w:r>
      <w:r w:rsidRPr="000C156A">
        <w:rPr>
          <w:rFonts w:cs="Calibri" w:hint="eastAsia"/>
          <w:bCs/>
          <w:szCs w:val="24"/>
          <w:lang w:val="en-US" w:eastAsia="zh-CN"/>
        </w:rPr>
        <w:t>15</w:t>
      </w:r>
      <w:r w:rsidRPr="000C156A">
        <w:rPr>
          <w:rFonts w:cs="Calibri" w:hint="eastAsia"/>
          <w:bCs/>
          <w:szCs w:val="24"/>
          <w:lang w:val="en-US" w:eastAsia="zh-CN"/>
        </w:rPr>
        <w:t>日与国际电联</w:t>
      </w:r>
      <w:r w:rsidRPr="000C156A">
        <w:rPr>
          <w:rFonts w:cs="Calibri" w:hint="eastAsia"/>
          <w:bCs/>
          <w:szCs w:val="24"/>
          <w:lang w:val="en-US" w:eastAsia="zh-CN"/>
        </w:rPr>
        <w:t>2021</w:t>
      </w:r>
      <w:r w:rsidRPr="000C156A">
        <w:rPr>
          <w:rFonts w:cs="Calibri" w:hint="eastAsia"/>
          <w:bCs/>
          <w:szCs w:val="24"/>
          <w:lang w:val="en-US" w:eastAsia="zh-CN"/>
        </w:rPr>
        <w:t>年数字世界在同一地点举行。</w:t>
      </w:r>
    </w:p>
    <w:p w14:paraId="3976D51B" w14:textId="77777777" w:rsidR="009630A9" w:rsidRPr="000C156A" w:rsidRDefault="009630A9" w:rsidP="00B03BAA">
      <w:pPr>
        <w:tabs>
          <w:tab w:val="left" w:pos="709"/>
        </w:tabs>
        <w:snapToGrid w:val="0"/>
        <w:rPr>
          <w:rFonts w:eastAsia="Times New Roman" w:cs="Calibri"/>
          <w:lang w:eastAsia="zh-CN"/>
        </w:rPr>
      </w:pPr>
      <w:r w:rsidRPr="000C156A">
        <w:rPr>
          <w:rFonts w:hint="eastAsia"/>
          <w:bCs/>
          <w:szCs w:val="24"/>
          <w:lang w:val="en-US" w:eastAsia="zh-CN"/>
        </w:rPr>
        <w:t>99</w:t>
      </w:r>
      <w:r w:rsidRPr="000C156A">
        <w:rPr>
          <w:bCs/>
          <w:szCs w:val="24"/>
          <w:lang w:val="en-US" w:eastAsia="zh-CN"/>
        </w:rPr>
        <w:tab/>
      </w:r>
      <w:r w:rsidRPr="000C156A">
        <w:rPr>
          <w:rFonts w:hint="eastAsia"/>
          <w:bCs/>
          <w:szCs w:val="24"/>
          <w:lang w:eastAsia="zh-CN"/>
        </w:rPr>
        <w:t>国际电联</w:t>
      </w:r>
      <w:r w:rsidRPr="000C156A">
        <w:rPr>
          <w:rFonts w:hint="eastAsia"/>
          <w:bCs/>
          <w:szCs w:val="24"/>
          <w:lang w:eastAsia="zh-CN"/>
        </w:rPr>
        <w:t>2020</w:t>
      </w:r>
      <w:r w:rsidRPr="000C156A">
        <w:rPr>
          <w:rFonts w:hint="eastAsia"/>
          <w:bCs/>
          <w:szCs w:val="24"/>
          <w:lang w:eastAsia="zh-CN"/>
        </w:rPr>
        <w:t>年数字世界预算获得批准，预计总收入超过</w:t>
      </w:r>
      <w:r w:rsidRPr="000C156A">
        <w:rPr>
          <w:rFonts w:hint="eastAsia"/>
          <w:bCs/>
          <w:szCs w:val="24"/>
          <w:lang w:eastAsia="zh-CN"/>
        </w:rPr>
        <w:t>600</w:t>
      </w:r>
      <w:r w:rsidRPr="000C156A">
        <w:rPr>
          <w:rFonts w:hint="eastAsia"/>
          <w:bCs/>
          <w:szCs w:val="24"/>
          <w:lang w:eastAsia="zh-CN"/>
        </w:rPr>
        <w:t>万瑞郎，总支出为</w:t>
      </w:r>
      <w:r w:rsidRPr="000C156A">
        <w:rPr>
          <w:rFonts w:hint="eastAsia"/>
          <w:bCs/>
          <w:szCs w:val="24"/>
          <w:lang w:eastAsia="zh-CN"/>
        </w:rPr>
        <w:t>591</w:t>
      </w:r>
      <w:r w:rsidRPr="000C156A">
        <w:rPr>
          <w:rFonts w:hint="eastAsia"/>
          <w:bCs/>
          <w:szCs w:val="24"/>
          <w:lang w:eastAsia="zh-CN"/>
        </w:rPr>
        <w:t>万瑞郎，活动结果为产生</w:t>
      </w:r>
      <w:r w:rsidRPr="000C156A">
        <w:rPr>
          <w:rFonts w:hint="eastAsia"/>
          <w:bCs/>
          <w:szCs w:val="24"/>
          <w:lang w:eastAsia="zh-CN"/>
        </w:rPr>
        <w:t>91 000</w:t>
      </w:r>
      <w:r w:rsidRPr="000C156A">
        <w:rPr>
          <w:rFonts w:hint="eastAsia"/>
          <w:bCs/>
          <w:szCs w:val="24"/>
          <w:lang w:eastAsia="zh-CN"/>
        </w:rPr>
        <w:t>瑞郎。</w:t>
      </w:r>
    </w:p>
    <w:p w14:paraId="1EDA357E" w14:textId="778B21B9" w:rsidR="009630A9" w:rsidRPr="000C156A" w:rsidRDefault="009630A9" w:rsidP="00B03BAA">
      <w:pPr>
        <w:tabs>
          <w:tab w:val="left" w:pos="709"/>
        </w:tabs>
        <w:snapToGrid w:val="0"/>
        <w:rPr>
          <w:bCs/>
          <w:szCs w:val="24"/>
          <w:lang w:eastAsia="zh-CN"/>
        </w:rPr>
      </w:pPr>
      <w:r w:rsidRPr="000C156A">
        <w:rPr>
          <w:lang w:val="en-US" w:eastAsia="zh-CN"/>
        </w:rPr>
        <w:t>10</w:t>
      </w:r>
      <w:r w:rsidRPr="000C156A">
        <w:rPr>
          <w:rFonts w:hint="eastAsia"/>
          <w:lang w:val="en-US" w:eastAsia="zh-CN"/>
        </w:rPr>
        <w:t>0</w:t>
      </w:r>
      <w:r w:rsidRPr="000C156A">
        <w:rPr>
          <w:lang w:val="en-US" w:eastAsia="zh-CN"/>
        </w:rPr>
        <w:tab/>
      </w:r>
      <w:r w:rsidRPr="000C156A">
        <w:rPr>
          <w:rFonts w:hint="eastAsia"/>
          <w:bCs/>
          <w:szCs w:val="24"/>
          <w:lang w:eastAsia="zh-CN"/>
        </w:rPr>
        <w:t>在国际电联</w:t>
      </w:r>
      <w:r w:rsidRPr="000C156A">
        <w:rPr>
          <w:rFonts w:hint="eastAsia"/>
          <w:bCs/>
          <w:szCs w:val="24"/>
          <w:lang w:eastAsia="zh-CN"/>
        </w:rPr>
        <w:t>2020</w:t>
      </w:r>
      <w:r w:rsidRPr="000C156A">
        <w:rPr>
          <w:rFonts w:hint="eastAsia"/>
          <w:bCs/>
          <w:szCs w:val="24"/>
          <w:lang w:eastAsia="zh-CN"/>
        </w:rPr>
        <w:t>年数字世界推迟到</w:t>
      </w:r>
      <w:r w:rsidRPr="000C156A">
        <w:rPr>
          <w:rFonts w:hint="eastAsia"/>
          <w:bCs/>
          <w:szCs w:val="24"/>
          <w:lang w:eastAsia="zh-CN"/>
        </w:rPr>
        <w:t>2021</w:t>
      </w:r>
      <w:r w:rsidRPr="000C156A">
        <w:rPr>
          <w:rFonts w:hint="eastAsia"/>
          <w:bCs/>
          <w:szCs w:val="24"/>
          <w:lang w:eastAsia="zh-CN"/>
        </w:rPr>
        <w:t>年之后，通过三</w:t>
      </w:r>
      <w:r w:rsidR="000B4210" w:rsidRPr="000C156A">
        <w:rPr>
          <w:rFonts w:hint="eastAsia"/>
          <w:bCs/>
          <w:szCs w:val="24"/>
          <w:lang w:eastAsia="zh-CN"/>
        </w:rPr>
        <w:t>（</w:t>
      </w:r>
      <w:r w:rsidRPr="000C156A">
        <w:rPr>
          <w:rFonts w:hint="eastAsia"/>
          <w:bCs/>
          <w:szCs w:val="24"/>
          <w:lang w:eastAsia="zh-CN"/>
        </w:rPr>
        <w:t>3</w:t>
      </w:r>
      <w:r w:rsidR="000B4210" w:rsidRPr="000C156A">
        <w:rPr>
          <w:rFonts w:hint="eastAsia"/>
          <w:bCs/>
          <w:szCs w:val="24"/>
          <w:lang w:eastAsia="zh-CN"/>
        </w:rPr>
        <w:t>）</w:t>
      </w:r>
      <w:r w:rsidRPr="000C156A">
        <w:rPr>
          <w:rFonts w:hint="eastAsia"/>
          <w:bCs/>
          <w:szCs w:val="24"/>
          <w:lang w:eastAsia="zh-CN"/>
        </w:rPr>
        <w:t>个论坛赞助和三</w:t>
      </w:r>
      <w:r w:rsidR="000B4210" w:rsidRPr="000C156A">
        <w:rPr>
          <w:rFonts w:hint="eastAsia"/>
          <w:bCs/>
          <w:szCs w:val="24"/>
          <w:lang w:eastAsia="zh-CN"/>
        </w:rPr>
        <w:t>（</w:t>
      </w:r>
      <w:r w:rsidRPr="000C156A">
        <w:rPr>
          <w:rFonts w:hint="eastAsia"/>
          <w:bCs/>
          <w:szCs w:val="24"/>
          <w:lang w:eastAsia="zh-CN"/>
        </w:rPr>
        <w:t>3</w:t>
      </w:r>
      <w:r w:rsidR="000B4210" w:rsidRPr="000C156A">
        <w:rPr>
          <w:rFonts w:hint="eastAsia"/>
          <w:bCs/>
          <w:szCs w:val="24"/>
          <w:lang w:eastAsia="zh-CN"/>
        </w:rPr>
        <w:t>）</w:t>
      </w:r>
      <w:r w:rsidRPr="000C156A">
        <w:rPr>
          <w:rFonts w:hint="eastAsia"/>
          <w:bCs/>
          <w:szCs w:val="24"/>
          <w:lang w:eastAsia="zh-CN"/>
        </w:rPr>
        <w:t>个易货贸易协议（占总收入预算的</w:t>
      </w:r>
      <w:r w:rsidRPr="000C156A">
        <w:rPr>
          <w:rFonts w:hint="eastAsia"/>
          <w:bCs/>
          <w:szCs w:val="24"/>
          <w:lang w:eastAsia="zh-CN"/>
        </w:rPr>
        <w:t>1%</w:t>
      </w:r>
      <w:r w:rsidRPr="000C156A">
        <w:rPr>
          <w:rFonts w:hint="eastAsia"/>
          <w:bCs/>
          <w:szCs w:val="24"/>
          <w:lang w:eastAsia="zh-CN"/>
        </w:rPr>
        <w:t>），进行了虚拟活动，产生了总计</w:t>
      </w:r>
      <w:r w:rsidRPr="000C156A">
        <w:rPr>
          <w:rFonts w:hint="eastAsia"/>
          <w:bCs/>
          <w:szCs w:val="24"/>
          <w:lang w:eastAsia="zh-CN"/>
        </w:rPr>
        <w:t>53</w:t>
      </w:r>
      <w:r w:rsidR="00117CC8" w:rsidRPr="000C156A">
        <w:rPr>
          <w:bCs/>
          <w:szCs w:val="24"/>
          <w:lang w:eastAsia="zh-CN"/>
        </w:rPr>
        <w:t xml:space="preserve"> </w:t>
      </w:r>
      <w:r w:rsidRPr="000C156A">
        <w:rPr>
          <w:rFonts w:hint="eastAsia"/>
          <w:bCs/>
          <w:szCs w:val="24"/>
          <w:lang w:eastAsia="zh-CN"/>
        </w:rPr>
        <w:t>611.12</w:t>
      </w:r>
      <w:r w:rsidRPr="000C156A">
        <w:rPr>
          <w:rFonts w:hint="eastAsia"/>
          <w:bCs/>
          <w:szCs w:val="24"/>
          <w:lang w:eastAsia="zh-CN"/>
        </w:rPr>
        <w:t>瑞郎的收入。</w:t>
      </w:r>
    </w:p>
    <w:p w14:paraId="3442E90F" w14:textId="29E3EC34" w:rsidR="009630A9" w:rsidRPr="000C156A" w:rsidRDefault="009630A9" w:rsidP="009630A9">
      <w:pPr>
        <w:rPr>
          <w:lang w:val="en-US" w:eastAsia="zh-CN"/>
        </w:rPr>
      </w:pPr>
      <w:r w:rsidRPr="000C156A">
        <w:rPr>
          <w:lang w:val="en-US" w:eastAsia="zh-CN"/>
        </w:rPr>
        <w:t>10</w:t>
      </w:r>
      <w:r w:rsidRPr="000C156A">
        <w:rPr>
          <w:rFonts w:hint="eastAsia"/>
          <w:lang w:val="en-US" w:eastAsia="zh-CN"/>
        </w:rPr>
        <w:t>1</w:t>
      </w:r>
      <w:r w:rsidRPr="000C156A">
        <w:rPr>
          <w:lang w:val="en-US" w:eastAsia="zh-CN"/>
        </w:rPr>
        <w:tab/>
      </w:r>
      <w:r w:rsidRPr="000C156A">
        <w:rPr>
          <w:rFonts w:hint="eastAsia"/>
          <w:lang w:eastAsia="zh-CN"/>
        </w:rPr>
        <w:t>实际总支出占预算的</w:t>
      </w:r>
      <w:r w:rsidRPr="000C156A">
        <w:rPr>
          <w:rFonts w:hint="eastAsia"/>
          <w:lang w:eastAsia="zh-CN"/>
        </w:rPr>
        <w:t>33%</w:t>
      </w:r>
      <w:r w:rsidRPr="000C156A">
        <w:rPr>
          <w:rFonts w:hint="eastAsia"/>
          <w:lang w:eastAsia="zh-CN"/>
        </w:rPr>
        <w:t>，包括直接总支出（预算的</w:t>
      </w:r>
      <w:r w:rsidRPr="000C156A">
        <w:rPr>
          <w:rFonts w:hint="eastAsia"/>
          <w:lang w:eastAsia="zh-CN"/>
        </w:rPr>
        <w:t>6%</w:t>
      </w:r>
      <w:r w:rsidRPr="000C156A">
        <w:rPr>
          <w:rFonts w:hint="eastAsia"/>
          <w:lang w:eastAsia="zh-CN"/>
        </w:rPr>
        <w:t>）和核心总支出（预算的</w:t>
      </w:r>
      <w:r w:rsidRPr="000C156A">
        <w:rPr>
          <w:rFonts w:hint="eastAsia"/>
          <w:lang w:eastAsia="zh-CN"/>
        </w:rPr>
        <w:t>46%</w:t>
      </w:r>
      <w:r w:rsidRPr="000C156A">
        <w:rPr>
          <w:rFonts w:hint="eastAsia"/>
          <w:lang w:eastAsia="zh-CN"/>
        </w:rPr>
        <w:t>）。在</w:t>
      </w:r>
      <w:r w:rsidRPr="000C156A">
        <w:rPr>
          <w:rFonts w:hint="eastAsia"/>
          <w:lang w:eastAsia="zh-CN"/>
        </w:rPr>
        <w:t>1</w:t>
      </w:r>
      <w:r w:rsidR="00504FC6" w:rsidRPr="000C156A">
        <w:rPr>
          <w:lang w:eastAsia="zh-CN"/>
        </w:rPr>
        <w:t xml:space="preserve"> </w:t>
      </w:r>
      <w:r w:rsidRPr="000C156A">
        <w:rPr>
          <w:rFonts w:hint="eastAsia"/>
          <w:lang w:eastAsia="zh-CN"/>
        </w:rPr>
        <w:t>900</w:t>
      </w:r>
      <w:r w:rsidR="00504FC6" w:rsidRPr="000C156A">
        <w:rPr>
          <w:lang w:eastAsia="zh-CN"/>
        </w:rPr>
        <w:t xml:space="preserve"> </w:t>
      </w:r>
      <w:r w:rsidRPr="000C156A">
        <w:rPr>
          <w:rFonts w:hint="eastAsia"/>
          <w:lang w:eastAsia="zh-CN"/>
        </w:rPr>
        <w:t>500</w:t>
      </w:r>
      <w:r w:rsidRPr="000C156A">
        <w:rPr>
          <w:rFonts w:hint="eastAsia"/>
          <w:lang w:eastAsia="zh-CN"/>
        </w:rPr>
        <w:t>瑞郎的直接支出预算中，仅支出了</w:t>
      </w:r>
      <w:r w:rsidRPr="000C156A">
        <w:rPr>
          <w:rFonts w:hint="eastAsia"/>
          <w:lang w:eastAsia="zh-CN"/>
        </w:rPr>
        <w:t>120</w:t>
      </w:r>
      <w:r w:rsidR="001972BC" w:rsidRPr="000C156A">
        <w:rPr>
          <w:lang w:eastAsia="zh-CN"/>
        </w:rPr>
        <w:t xml:space="preserve"> </w:t>
      </w:r>
      <w:r w:rsidRPr="000C156A">
        <w:rPr>
          <w:rFonts w:hint="eastAsia"/>
          <w:lang w:eastAsia="zh-CN"/>
        </w:rPr>
        <w:t>338.58</w:t>
      </w:r>
      <w:r w:rsidRPr="000C156A">
        <w:rPr>
          <w:rFonts w:hint="eastAsia"/>
          <w:lang w:eastAsia="zh-CN"/>
        </w:rPr>
        <w:t>瑞郎（</w:t>
      </w:r>
      <w:r w:rsidRPr="000C156A">
        <w:rPr>
          <w:rFonts w:hint="eastAsia"/>
          <w:lang w:eastAsia="zh-CN"/>
        </w:rPr>
        <w:t>6%</w:t>
      </w:r>
      <w:r w:rsidRPr="000C156A">
        <w:rPr>
          <w:rFonts w:hint="eastAsia"/>
          <w:lang w:eastAsia="zh-CN"/>
        </w:rPr>
        <w:t>）。国际电联电信展览部秘书处和财务资源管理部继续协同努力，认真监督和减少开支。直接费用显著降低是由于展览活动延期。</w:t>
      </w:r>
    </w:p>
    <w:p w14:paraId="05F3A677" w14:textId="77777777" w:rsidR="009630A9" w:rsidRPr="000C156A" w:rsidRDefault="009630A9" w:rsidP="009630A9">
      <w:pPr>
        <w:rPr>
          <w:rFonts w:eastAsia="Times New Roman" w:cs="Calibri"/>
          <w:lang w:eastAsia="zh-CN"/>
        </w:rPr>
      </w:pPr>
      <w:r w:rsidRPr="000C156A">
        <w:rPr>
          <w:lang w:val="en-US" w:eastAsia="zh-CN"/>
        </w:rPr>
        <w:t>10</w:t>
      </w:r>
      <w:r w:rsidRPr="000C156A">
        <w:rPr>
          <w:rFonts w:hint="eastAsia"/>
          <w:lang w:val="en-US" w:eastAsia="zh-CN"/>
        </w:rPr>
        <w:t>2</w:t>
      </w:r>
      <w:r w:rsidRPr="000C156A">
        <w:rPr>
          <w:lang w:val="en-US" w:eastAsia="zh-CN"/>
        </w:rPr>
        <w:tab/>
      </w:r>
      <w:r w:rsidRPr="000C156A">
        <w:rPr>
          <w:rFonts w:hint="eastAsia"/>
          <w:bCs/>
          <w:szCs w:val="24"/>
          <w:lang w:eastAsia="zh-CN"/>
        </w:rPr>
        <w:t>鉴于展览活动从</w:t>
      </w:r>
      <w:r w:rsidRPr="000C156A">
        <w:rPr>
          <w:rFonts w:hint="eastAsia"/>
          <w:bCs/>
          <w:szCs w:val="24"/>
          <w:lang w:eastAsia="zh-CN"/>
        </w:rPr>
        <w:t>2020</w:t>
      </w:r>
      <w:r w:rsidRPr="000C156A">
        <w:rPr>
          <w:rFonts w:hint="eastAsia"/>
          <w:bCs/>
          <w:szCs w:val="24"/>
          <w:lang w:eastAsia="zh-CN"/>
        </w:rPr>
        <w:t>年推迟到</w:t>
      </w:r>
      <w:r w:rsidRPr="000C156A">
        <w:rPr>
          <w:rFonts w:hint="eastAsia"/>
          <w:bCs/>
          <w:szCs w:val="24"/>
          <w:lang w:eastAsia="zh-CN"/>
        </w:rPr>
        <w:t>2021</w:t>
      </w:r>
      <w:r w:rsidRPr="000C156A">
        <w:rPr>
          <w:rFonts w:hint="eastAsia"/>
          <w:bCs/>
          <w:szCs w:val="24"/>
          <w:lang w:eastAsia="zh-CN"/>
        </w:rPr>
        <w:t>年，秘书长决定不对国际电联</w:t>
      </w:r>
      <w:r w:rsidRPr="000C156A">
        <w:rPr>
          <w:rFonts w:hint="eastAsia"/>
          <w:bCs/>
          <w:szCs w:val="24"/>
          <w:lang w:eastAsia="zh-CN"/>
        </w:rPr>
        <w:t>2020</w:t>
      </w:r>
      <w:r w:rsidRPr="000C156A">
        <w:rPr>
          <w:rFonts w:hint="eastAsia"/>
          <w:bCs/>
          <w:szCs w:val="24"/>
          <w:lang w:eastAsia="zh-CN"/>
        </w:rPr>
        <w:t>年数字世界进行成本回收（该数字世界的预算为</w:t>
      </w:r>
      <w:r w:rsidRPr="000C156A">
        <w:rPr>
          <w:rFonts w:hint="eastAsia"/>
          <w:bCs/>
          <w:szCs w:val="24"/>
          <w:lang w:eastAsia="zh-CN"/>
        </w:rPr>
        <w:t>150</w:t>
      </w:r>
      <w:r w:rsidRPr="000C156A">
        <w:rPr>
          <w:rFonts w:hint="eastAsia"/>
          <w:bCs/>
          <w:szCs w:val="24"/>
          <w:lang w:eastAsia="zh-CN"/>
        </w:rPr>
        <w:t>万瑞士法郎）。</w:t>
      </w:r>
    </w:p>
    <w:p w14:paraId="6F45D7AD" w14:textId="085D545B" w:rsidR="009630A9" w:rsidRPr="000C156A" w:rsidRDefault="009630A9" w:rsidP="00B85360">
      <w:pPr>
        <w:tabs>
          <w:tab w:val="left" w:pos="709"/>
        </w:tabs>
        <w:snapToGrid w:val="0"/>
        <w:rPr>
          <w:bCs/>
          <w:szCs w:val="24"/>
          <w:lang w:eastAsia="zh-CN"/>
        </w:rPr>
      </w:pPr>
      <w:r w:rsidRPr="000C156A">
        <w:rPr>
          <w:lang w:val="en-US" w:eastAsia="zh-CN"/>
        </w:rPr>
        <w:lastRenderedPageBreak/>
        <w:t>10</w:t>
      </w:r>
      <w:r w:rsidRPr="000C156A">
        <w:rPr>
          <w:rFonts w:hint="eastAsia"/>
          <w:lang w:val="en-US" w:eastAsia="zh-CN"/>
        </w:rPr>
        <w:t>3</w:t>
      </w:r>
      <w:r w:rsidRPr="000C156A">
        <w:rPr>
          <w:lang w:val="en-US" w:eastAsia="zh-CN"/>
        </w:rPr>
        <w:tab/>
      </w:r>
      <w:r w:rsidRPr="000C156A">
        <w:rPr>
          <w:rFonts w:hint="eastAsia"/>
          <w:bCs/>
          <w:szCs w:val="24"/>
          <w:lang w:eastAsia="zh-CN"/>
        </w:rPr>
        <w:t>实际总收入为</w:t>
      </w:r>
      <w:r w:rsidRPr="000C156A">
        <w:rPr>
          <w:rFonts w:hint="eastAsia"/>
          <w:bCs/>
          <w:szCs w:val="24"/>
          <w:lang w:eastAsia="zh-CN"/>
        </w:rPr>
        <w:t>53</w:t>
      </w:r>
      <w:r w:rsidR="00340087" w:rsidRPr="000C156A">
        <w:rPr>
          <w:bCs/>
          <w:szCs w:val="24"/>
          <w:lang w:eastAsia="zh-CN"/>
        </w:rPr>
        <w:t xml:space="preserve"> </w:t>
      </w:r>
      <w:r w:rsidRPr="000C156A">
        <w:rPr>
          <w:rFonts w:hint="eastAsia"/>
          <w:bCs/>
          <w:szCs w:val="24"/>
          <w:lang w:eastAsia="zh-CN"/>
        </w:rPr>
        <w:t>611.12</w:t>
      </w:r>
      <w:r w:rsidRPr="000C156A">
        <w:rPr>
          <w:rFonts w:hint="eastAsia"/>
          <w:bCs/>
          <w:szCs w:val="24"/>
          <w:lang w:eastAsia="zh-CN"/>
        </w:rPr>
        <w:t>瑞郎，减去实际总直接支出</w:t>
      </w:r>
      <w:r w:rsidRPr="000C156A">
        <w:rPr>
          <w:rFonts w:hint="eastAsia"/>
          <w:bCs/>
          <w:szCs w:val="24"/>
          <w:lang w:eastAsia="zh-CN"/>
        </w:rPr>
        <w:t>120</w:t>
      </w:r>
      <w:r w:rsidR="00340087" w:rsidRPr="000C156A">
        <w:rPr>
          <w:bCs/>
          <w:szCs w:val="24"/>
          <w:lang w:eastAsia="zh-CN"/>
        </w:rPr>
        <w:t xml:space="preserve"> </w:t>
      </w:r>
      <w:r w:rsidRPr="000C156A">
        <w:rPr>
          <w:rFonts w:hint="eastAsia"/>
          <w:bCs/>
          <w:szCs w:val="24"/>
          <w:lang w:eastAsia="zh-CN"/>
        </w:rPr>
        <w:t>338.58</w:t>
      </w:r>
      <w:r w:rsidRPr="000C156A">
        <w:rPr>
          <w:rFonts w:hint="eastAsia"/>
          <w:bCs/>
          <w:szCs w:val="24"/>
          <w:lang w:eastAsia="zh-CN"/>
        </w:rPr>
        <w:t>瑞郎，得出毛结果为</w:t>
      </w:r>
      <w:r w:rsidR="00B85360" w:rsidRPr="000C156A">
        <w:rPr>
          <w:bCs/>
          <w:szCs w:val="24"/>
          <w:lang w:eastAsia="zh-CN"/>
        </w:rPr>
        <w:noBreakHyphen/>
      </w:r>
      <w:r w:rsidRPr="000C156A">
        <w:rPr>
          <w:rFonts w:hint="eastAsia"/>
          <w:bCs/>
          <w:szCs w:val="24"/>
          <w:lang w:eastAsia="zh-CN"/>
        </w:rPr>
        <w:t>66</w:t>
      </w:r>
      <w:r w:rsidR="00340087" w:rsidRPr="000C156A">
        <w:rPr>
          <w:bCs/>
          <w:szCs w:val="24"/>
          <w:lang w:val="en-US" w:eastAsia="zh-CN"/>
        </w:rPr>
        <w:t> </w:t>
      </w:r>
      <w:r w:rsidRPr="000C156A">
        <w:rPr>
          <w:rFonts w:hint="eastAsia"/>
          <w:bCs/>
          <w:szCs w:val="24"/>
          <w:lang w:eastAsia="zh-CN"/>
        </w:rPr>
        <w:t>727.46</w:t>
      </w:r>
      <w:r w:rsidRPr="000C156A">
        <w:rPr>
          <w:rFonts w:hint="eastAsia"/>
          <w:bCs/>
          <w:szCs w:val="24"/>
          <w:lang w:eastAsia="zh-CN"/>
        </w:rPr>
        <w:t>瑞郎。由于展览活动延期，国际电联无法在国际电联电信展览部工作人员的工资产生一些直接费用和间接费用的同时获得大量收入，因此截至</w:t>
      </w:r>
      <w:r w:rsidRPr="000C156A">
        <w:rPr>
          <w:rFonts w:hint="eastAsia"/>
          <w:bCs/>
          <w:szCs w:val="24"/>
          <w:lang w:eastAsia="zh-CN"/>
        </w:rPr>
        <w:t>2020</w:t>
      </w:r>
      <w:r w:rsidRPr="000C156A">
        <w:rPr>
          <w:rFonts w:hint="eastAsia"/>
          <w:bCs/>
          <w:szCs w:val="24"/>
          <w:lang w:eastAsia="zh-CN"/>
        </w:rPr>
        <w:t>年</w:t>
      </w:r>
      <w:r w:rsidRPr="000C156A">
        <w:rPr>
          <w:rFonts w:hint="eastAsia"/>
          <w:bCs/>
          <w:szCs w:val="24"/>
          <w:lang w:eastAsia="zh-CN"/>
        </w:rPr>
        <w:t>12</w:t>
      </w:r>
      <w:r w:rsidRPr="000C156A">
        <w:rPr>
          <w:rFonts w:hint="eastAsia"/>
          <w:bCs/>
          <w:szCs w:val="24"/>
          <w:lang w:eastAsia="zh-CN"/>
        </w:rPr>
        <w:t>月</w:t>
      </w:r>
      <w:r w:rsidRPr="000C156A">
        <w:rPr>
          <w:rFonts w:hint="eastAsia"/>
          <w:bCs/>
          <w:szCs w:val="24"/>
          <w:lang w:eastAsia="zh-CN"/>
        </w:rPr>
        <w:t>31</w:t>
      </w:r>
      <w:r w:rsidRPr="000C156A">
        <w:rPr>
          <w:rFonts w:hint="eastAsia"/>
          <w:bCs/>
          <w:szCs w:val="24"/>
          <w:lang w:eastAsia="zh-CN"/>
        </w:rPr>
        <w:t>日，国际电联</w:t>
      </w:r>
      <w:r w:rsidRPr="000C156A">
        <w:rPr>
          <w:rFonts w:hint="eastAsia"/>
          <w:bCs/>
          <w:szCs w:val="24"/>
          <w:lang w:eastAsia="zh-CN"/>
        </w:rPr>
        <w:t>2020</w:t>
      </w:r>
      <w:r w:rsidRPr="000C156A">
        <w:rPr>
          <w:rFonts w:hint="eastAsia"/>
          <w:bCs/>
          <w:szCs w:val="24"/>
          <w:lang w:eastAsia="zh-CN"/>
        </w:rPr>
        <w:t>年数字世界的净结果为</w:t>
      </w:r>
      <w:r w:rsidRPr="000C156A">
        <w:rPr>
          <w:rFonts w:hint="eastAsia"/>
          <w:bCs/>
          <w:szCs w:val="24"/>
          <w:lang w:eastAsia="zh-CN"/>
        </w:rPr>
        <w:t>-1</w:t>
      </w:r>
      <w:r w:rsidR="000058E9" w:rsidRPr="000C156A">
        <w:rPr>
          <w:bCs/>
          <w:szCs w:val="24"/>
          <w:lang w:eastAsia="zh-CN"/>
        </w:rPr>
        <w:t xml:space="preserve"> </w:t>
      </w:r>
      <w:r w:rsidRPr="000C156A">
        <w:rPr>
          <w:rFonts w:hint="eastAsia"/>
          <w:bCs/>
          <w:szCs w:val="24"/>
          <w:lang w:eastAsia="zh-CN"/>
        </w:rPr>
        <w:t>906</w:t>
      </w:r>
      <w:r w:rsidR="000058E9" w:rsidRPr="000C156A">
        <w:rPr>
          <w:bCs/>
          <w:szCs w:val="24"/>
          <w:lang w:eastAsia="zh-CN"/>
        </w:rPr>
        <w:t xml:space="preserve"> </w:t>
      </w:r>
      <w:r w:rsidRPr="000C156A">
        <w:rPr>
          <w:rFonts w:hint="eastAsia"/>
          <w:bCs/>
          <w:szCs w:val="24"/>
          <w:lang w:eastAsia="zh-CN"/>
        </w:rPr>
        <w:t>621.84</w:t>
      </w:r>
      <w:r w:rsidRPr="000C156A">
        <w:rPr>
          <w:rFonts w:hint="eastAsia"/>
          <w:bCs/>
          <w:szCs w:val="24"/>
          <w:lang w:eastAsia="zh-CN"/>
        </w:rPr>
        <w:t>瑞郎。</w:t>
      </w:r>
    </w:p>
    <w:p w14:paraId="65700DBE" w14:textId="77777777" w:rsidR="009630A9" w:rsidRPr="000C156A" w:rsidRDefault="009630A9" w:rsidP="009630A9">
      <w:pPr>
        <w:pStyle w:val="Heading1"/>
        <w:rPr>
          <w:bCs/>
          <w:lang w:eastAsia="zh-CN"/>
        </w:rPr>
      </w:pPr>
      <w:bookmarkStart w:id="1162" w:name="_Toc41905912"/>
      <w:bookmarkStart w:id="1163" w:name="_Toc41908082"/>
      <w:bookmarkStart w:id="1164" w:name="_Toc73519298"/>
      <w:bookmarkStart w:id="1165" w:name="_Toc73636337"/>
      <w:bookmarkStart w:id="1166" w:name="_Toc482894269"/>
      <w:bookmarkStart w:id="1167" w:name="_Toc358364835"/>
      <w:bookmarkStart w:id="1168" w:name="_Toc511116022"/>
      <w:r w:rsidRPr="000C156A">
        <w:rPr>
          <w:rFonts w:hint="eastAsia"/>
          <w:lang w:eastAsia="zh-CN"/>
        </w:rPr>
        <w:t>九</w:t>
      </w:r>
      <w:r w:rsidRPr="000C156A">
        <w:rPr>
          <w:lang w:eastAsia="zh-CN"/>
        </w:rPr>
        <w:tab/>
      </w:r>
      <w:r w:rsidRPr="000C156A">
        <w:rPr>
          <w:rFonts w:hint="eastAsia"/>
          <w:lang w:eastAsia="zh-CN"/>
        </w:rPr>
        <w:t>财务披露</w:t>
      </w:r>
      <w:bookmarkEnd w:id="1162"/>
      <w:bookmarkEnd w:id="1163"/>
      <w:bookmarkEnd w:id="1164"/>
      <w:bookmarkEnd w:id="1165"/>
    </w:p>
    <w:p w14:paraId="16CC22A5" w14:textId="77777777" w:rsidR="009630A9" w:rsidRPr="000C156A" w:rsidRDefault="009630A9" w:rsidP="009630A9">
      <w:pPr>
        <w:rPr>
          <w:lang w:eastAsia="zh-CN"/>
        </w:rPr>
      </w:pPr>
      <w:r w:rsidRPr="000C156A">
        <w:rPr>
          <w:lang w:eastAsia="zh-CN"/>
        </w:rPr>
        <w:t>10</w:t>
      </w:r>
      <w:r w:rsidRPr="000C156A">
        <w:rPr>
          <w:rFonts w:hint="eastAsia"/>
          <w:lang w:eastAsia="zh-CN"/>
        </w:rPr>
        <w:t>4</w:t>
      </w:r>
      <w:r w:rsidRPr="000C156A">
        <w:rPr>
          <w:lang w:eastAsia="zh-CN"/>
        </w:rPr>
        <w:tab/>
      </w:r>
      <w:r w:rsidRPr="000C156A">
        <w:rPr>
          <w:rFonts w:hint="eastAsia"/>
          <w:bCs/>
          <w:szCs w:val="24"/>
          <w:lang w:eastAsia="zh-CN"/>
        </w:rPr>
        <w:t>自</w:t>
      </w:r>
      <w:r w:rsidRPr="000C156A">
        <w:rPr>
          <w:rFonts w:hint="eastAsia"/>
          <w:bCs/>
          <w:szCs w:val="24"/>
          <w:lang w:eastAsia="zh-CN"/>
        </w:rPr>
        <w:t>2020</w:t>
      </w:r>
      <w:r w:rsidRPr="000C156A">
        <w:rPr>
          <w:rFonts w:hint="eastAsia"/>
          <w:bCs/>
          <w:szCs w:val="24"/>
          <w:lang w:eastAsia="zh-CN"/>
        </w:rPr>
        <w:t>年</w:t>
      </w:r>
      <w:r w:rsidRPr="000C156A">
        <w:rPr>
          <w:rFonts w:hint="eastAsia"/>
          <w:bCs/>
          <w:szCs w:val="24"/>
          <w:lang w:eastAsia="zh-CN"/>
        </w:rPr>
        <w:t>3</w:t>
      </w:r>
      <w:r w:rsidRPr="000C156A">
        <w:rPr>
          <w:rFonts w:hint="eastAsia"/>
          <w:bCs/>
          <w:szCs w:val="24"/>
          <w:lang w:eastAsia="zh-CN"/>
        </w:rPr>
        <w:t>月以来，国际电联和世界其他地方一样，不得不应对</w:t>
      </w:r>
      <w:r w:rsidRPr="000C156A">
        <w:rPr>
          <w:rFonts w:eastAsia="Times New Roman" w:cs="Calibri"/>
          <w:lang w:eastAsia="zh-CN"/>
        </w:rPr>
        <w:t>COVID-19</w:t>
      </w:r>
      <w:r w:rsidRPr="000C156A">
        <w:rPr>
          <w:rFonts w:hint="eastAsia"/>
          <w:bCs/>
          <w:szCs w:val="24"/>
          <w:lang w:eastAsia="zh-CN"/>
        </w:rPr>
        <w:t>。去年通过</w:t>
      </w:r>
      <w:hyperlink r:id="rId49" w:history="1">
        <w:r w:rsidRPr="000C156A">
          <w:rPr>
            <w:rStyle w:val="Hyperlink"/>
            <w:rFonts w:cs="Calibri"/>
            <w:lang w:eastAsia="zh-CN"/>
          </w:rPr>
          <w:t>C20/42</w:t>
        </w:r>
      </w:hyperlink>
      <w:r w:rsidRPr="000C156A">
        <w:rPr>
          <w:rFonts w:hint="eastAsia"/>
          <w:bCs/>
          <w:szCs w:val="24"/>
          <w:lang w:eastAsia="zh-CN"/>
        </w:rPr>
        <w:t>号文件（附件</w:t>
      </w:r>
      <w:r w:rsidRPr="000C156A">
        <w:rPr>
          <w:rFonts w:hint="eastAsia"/>
          <w:bCs/>
          <w:szCs w:val="24"/>
          <w:lang w:eastAsia="zh-CN"/>
        </w:rPr>
        <w:t>F</w:t>
      </w:r>
      <w:r w:rsidRPr="000C156A">
        <w:rPr>
          <w:rFonts w:hint="eastAsia"/>
          <w:bCs/>
          <w:szCs w:val="24"/>
          <w:lang w:eastAsia="zh-CN"/>
        </w:rPr>
        <w:t>）实施并共享了关于疫情应急响应的计划。</w:t>
      </w:r>
    </w:p>
    <w:p w14:paraId="3059C7A5" w14:textId="77777777" w:rsidR="009630A9" w:rsidRPr="000C156A" w:rsidRDefault="009630A9" w:rsidP="009630A9">
      <w:pPr>
        <w:rPr>
          <w:lang w:eastAsia="zh-CN"/>
        </w:rPr>
      </w:pPr>
      <w:r w:rsidRPr="000C156A">
        <w:rPr>
          <w:lang w:eastAsia="zh-CN"/>
        </w:rPr>
        <w:t>10</w:t>
      </w:r>
      <w:r w:rsidRPr="000C156A">
        <w:rPr>
          <w:rFonts w:hint="eastAsia"/>
          <w:lang w:eastAsia="zh-CN"/>
        </w:rPr>
        <w:t>5</w:t>
      </w:r>
      <w:r w:rsidRPr="000C156A">
        <w:rPr>
          <w:lang w:eastAsia="zh-CN"/>
        </w:rPr>
        <w:tab/>
      </w:r>
      <w:hyperlink r:id="rId50" w:history="1">
        <w:r w:rsidRPr="000C156A">
          <w:rPr>
            <w:rStyle w:val="Hyperlink"/>
            <w:rFonts w:cs="Calibri"/>
            <w:lang w:eastAsia="zh-CN"/>
          </w:rPr>
          <w:t>C21/74</w:t>
        </w:r>
      </w:hyperlink>
      <w:r w:rsidRPr="000C156A">
        <w:rPr>
          <w:rFonts w:hint="eastAsia"/>
          <w:bCs/>
          <w:szCs w:val="24"/>
          <w:lang w:eastAsia="zh-CN"/>
        </w:rPr>
        <w:t>号文件分析了冠状病毒（</w:t>
      </w:r>
      <w:r w:rsidRPr="000C156A">
        <w:rPr>
          <w:rFonts w:eastAsia="Times New Roman" w:cs="Calibri"/>
          <w:lang w:eastAsia="zh-CN"/>
        </w:rPr>
        <w:t>COVID-19</w:t>
      </w:r>
      <w:r w:rsidRPr="000C156A">
        <w:rPr>
          <w:rFonts w:hint="eastAsia"/>
          <w:bCs/>
          <w:szCs w:val="24"/>
          <w:lang w:eastAsia="zh-CN"/>
        </w:rPr>
        <w:t>）大流行在</w:t>
      </w:r>
      <w:r w:rsidRPr="000C156A">
        <w:rPr>
          <w:rFonts w:eastAsia="Times New Roman" w:cs="Calibri"/>
          <w:lang w:eastAsia="zh-CN"/>
        </w:rPr>
        <w:t>COVID-19</w:t>
      </w:r>
      <w:r w:rsidRPr="000C156A">
        <w:rPr>
          <w:rFonts w:hint="eastAsia"/>
          <w:bCs/>
          <w:szCs w:val="24"/>
          <w:lang w:eastAsia="zh-CN"/>
        </w:rPr>
        <w:t>大流行的短期和中期对国际电联职能和活动的影响。</w:t>
      </w:r>
    </w:p>
    <w:p w14:paraId="7F4CC527" w14:textId="77777777" w:rsidR="009630A9" w:rsidRPr="000C156A" w:rsidRDefault="009630A9" w:rsidP="009630A9">
      <w:pPr>
        <w:tabs>
          <w:tab w:val="left" w:pos="709"/>
        </w:tabs>
        <w:snapToGrid w:val="0"/>
        <w:jc w:val="both"/>
        <w:rPr>
          <w:bCs/>
          <w:szCs w:val="24"/>
          <w:lang w:eastAsia="zh-CN"/>
        </w:rPr>
      </w:pPr>
      <w:r w:rsidRPr="000C156A">
        <w:rPr>
          <w:lang w:eastAsia="zh-CN"/>
        </w:rPr>
        <w:t>10</w:t>
      </w:r>
      <w:r w:rsidRPr="000C156A">
        <w:rPr>
          <w:rFonts w:hint="eastAsia"/>
          <w:lang w:eastAsia="zh-CN"/>
        </w:rPr>
        <w:t>6</w:t>
      </w:r>
      <w:r w:rsidRPr="000C156A">
        <w:rPr>
          <w:lang w:eastAsia="zh-CN"/>
        </w:rPr>
        <w:tab/>
      </w:r>
      <w:r w:rsidRPr="000C156A">
        <w:rPr>
          <w:rFonts w:hint="eastAsia"/>
          <w:bCs/>
          <w:szCs w:val="24"/>
          <w:lang w:eastAsia="zh-CN"/>
        </w:rPr>
        <w:t>下表显示</w:t>
      </w:r>
      <w:r w:rsidRPr="000C156A">
        <w:rPr>
          <w:rFonts w:hint="eastAsia"/>
          <w:bCs/>
          <w:szCs w:val="24"/>
          <w:lang w:eastAsia="zh-CN"/>
        </w:rPr>
        <w:t>2020</w:t>
      </w:r>
      <w:r w:rsidRPr="000C156A">
        <w:rPr>
          <w:rFonts w:hint="eastAsia"/>
          <w:bCs/>
          <w:szCs w:val="24"/>
          <w:lang w:eastAsia="zh-CN"/>
        </w:rPr>
        <w:t>年符合国际电联应急计划的、与该疫情相关的费用。</w:t>
      </w:r>
    </w:p>
    <w:p w14:paraId="3F345C8F" w14:textId="77777777" w:rsidR="009630A9" w:rsidRPr="000C156A" w:rsidRDefault="009630A9" w:rsidP="009630A9">
      <w:pPr>
        <w:tabs>
          <w:tab w:val="left" w:pos="709"/>
        </w:tabs>
        <w:snapToGrid w:val="0"/>
        <w:jc w:val="center"/>
        <w:rPr>
          <w:bCs/>
          <w:szCs w:val="24"/>
          <w:lang w:eastAsia="zh-CN"/>
        </w:rPr>
      </w:pPr>
      <w:r w:rsidRPr="000C156A">
        <w:rPr>
          <w:noProof/>
          <w:lang w:val="en-US" w:eastAsia="zh-CN"/>
        </w:rPr>
        <w:drawing>
          <wp:inline distT="0" distB="0" distL="0" distR="0" wp14:anchorId="4A83891C" wp14:editId="332FDDC0">
            <wp:extent cx="4224020" cy="4018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24020" cy="4018280"/>
                    </a:xfrm>
                    <a:prstGeom prst="rect">
                      <a:avLst/>
                    </a:prstGeom>
                    <a:noFill/>
                    <a:ln>
                      <a:noFill/>
                    </a:ln>
                  </pic:spPr>
                </pic:pic>
              </a:graphicData>
            </a:graphic>
          </wp:inline>
        </w:drawing>
      </w:r>
    </w:p>
    <w:p w14:paraId="56CFA94C" w14:textId="77777777" w:rsidR="009630A9" w:rsidRPr="000C156A" w:rsidRDefault="009630A9" w:rsidP="009630A9">
      <w:pPr>
        <w:rPr>
          <w:lang w:eastAsia="zh-CN"/>
        </w:rPr>
      </w:pPr>
      <w:r w:rsidRPr="000C156A">
        <w:rPr>
          <w:lang w:eastAsia="zh-CN"/>
        </w:rPr>
        <w:t>1</w:t>
      </w:r>
      <w:r w:rsidRPr="000C156A">
        <w:rPr>
          <w:rFonts w:hint="eastAsia"/>
          <w:lang w:eastAsia="zh-CN"/>
        </w:rPr>
        <w:t>07</w:t>
      </w:r>
      <w:r w:rsidRPr="000C156A">
        <w:rPr>
          <w:lang w:eastAsia="zh-CN"/>
        </w:rPr>
        <w:tab/>
      </w:r>
      <w:r w:rsidRPr="000C156A">
        <w:rPr>
          <w:rFonts w:hint="eastAsia"/>
          <w:bCs/>
          <w:szCs w:val="24"/>
          <w:lang w:eastAsia="zh-CN"/>
        </w:rPr>
        <w:t>2020</w:t>
      </w:r>
      <w:r w:rsidRPr="000C156A">
        <w:rPr>
          <w:rFonts w:hint="eastAsia"/>
          <w:bCs/>
          <w:szCs w:val="24"/>
          <w:lang w:eastAsia="zh-CN"/>
        </w:rPr>
        <w:t>年，尽管出现了与</w:t>
      </w:r>
      <w:r w:rsidRPr="000C156A">
        <w:rPr>
          <w:rFonts w:eastAsia="Times New Roman" w:cs="Calibri"/>
          <w:lang w:eastAsia="zh-CN"/>
        </w:rPr>
        <w:t>COVID-19</w:t>
      </w:r>
      <w:r w:rsidRPr="000C156A">
        <w:rPr>
          <w:rFonts w:hint="eastAsia"/>
          <w:bCs/>
          <w:szCs w:val="24"/>
          <w:lang w:eastAsia="zh-CN"/>
        </w:rPr>
        <w:t>有关的情况，但国际电联成员国、部门成员、部门准成员和学术成员的分摊会费没有出现任何显著减少。</w:t>
      </w:r>
    </w:p>
    <w:p w14:paraId="779EB028" w14:textId="77777777" w:rsidR="009630A9" w:rsidRPr="000C156A" w:rsidRDefault="009630A9" w:rsidP="00E870CB">
      <w:pPr>
        <w:tabs>
          <w:tab w:val="left" w:pos="709"/>
        </w:tabs>
        <w:snapToGrid w:val="0"/>
        <w:rPr>
          <w:bCs/>
          <w:szCs w:val="24"/>
          <w:lang w:val="en-US" w:eastAsia="zh-CN"/>
        </w:rPr>
      </w:pPr>
      <w:r w:rsidRPr="000C156A">
        <w:rPr>
          <w:lang w:eastAsia="zh-CN"/>
        </w:rPr>
        <w:t>1</w:t>
      </w:r>
      <w:r w:rsidRPr="000C156A">
        <w:rPr>
          <w:rFonts w:hint="eastAsia"/>
          <w:lang w:eastAsia="zh-CN"/>
        </w:rPr>
        <w:t>08</w:t>
      </w:r>
      <w:r w:rsidRPr="000C156A">
        <w:rPr>
          <w:lang w:eastAsia="zh-CN"/>
        </w:rPr>
        <w:tab/>
      </w:r>
      <w:r w:rsidRPr="000C156A">
        <w:rPr>
          <w:rFonts w:hint="eastAsia"/>
          <w:bCs/>
          <w:szCs w:val="24"/>
          <w:lang w:eastAsia="zh-CN"/>
        </w:rPr>
        <w:t>截至</w:t>
      </w:r>
      <w:r w:rsidRPr="000C156A">
        <w:rPr>
          <w:rFonts w:hint="eastAsia"/>
          <w:bCs/>
          <w:szCs w:val="24"/>
          <w:lang w:eastAsia="zh-CN"/>
        </w:rPr>
        <w:t>2020</w:t>
      </w:r>
      <w:r w:rsidRPr="000C156A">
        <w:rPr>
          <w:rFonts w:hint="eastAsia"/>
          <w:bCs/>
          <w:szCs w:val="24"/>
          <w:lang w:eastAsia="zh-CN"/>
        </w:rPr>
        <w:t>年</w:t>
      </w:r>
      <w:r w:rsidRPr="000C156A">
        <w:rPr>
          <w:rFonts w:hint="eastAsia"/>
          <w:bCs/>
          <w:szCs w:val="24"/>
          <w:lang w:eastAsia="zh-CN"/>
        </w:rPr>
        <w:t>12</w:t>
      </w:r>
      <w:r w:rsidRPr="000C156A">
        <w:rPr>
          <w:rFonts w:hint="eastAsia"/>
          <w:bCs/>
          <w:szCs w:val="24"/>
          <w:lang w:eastAsia="zh-CN"/>
        </w:rPr>
        <w:t>月</w:t>
      </w:r>
      <w:r w:rsidRPr="000C156A">
        <w:rPr>
          <w:rFonts w:hint="eastAsia"/>
          <w:bCs/>
          <w:szCs w:val="24"/>
          <w:lang w:eastAsia="zh-CN"/>
        </w:rPr>
        <w:t>31</w:t>
      </w:r>
      <w:r w:rsidRPr="000C156A">
        <w:rPr>
          <w:rFonts w:hint="eastAsia"/>
          <w:bCs/>
          <w:szCs w:val="24"/>
          <w:lang w:eastAsia="zh-CN"/>
        </w:rPr>
        <w:t>日，会费收缴率仍然很高，与往年持平，为</w:t>
      </w:r>
      <w:r w:rsidRPr="000C156A">
        <w:rPr>
          <w:rFonts w:hint="eastAsia"/>
          <w:bCs/>
          <w:szCs w:val="24"/>
          <w:lang w:eastAsia="zh-CN"/>
        </w:rPr>
        <w:t>95%</w:t>
      </w:r>
      <w:r w:rsidRPr="000C156A">
        <w:rPr>
          <w:rFonts w:hint="eastAsia"/>
          <w:bCs/>
          <w:szCs w:val="24"/>
          <w:lang w:eastAsia="zh-CN"/>
        </w:rPr>
        <w:t>。</w:t>
      </w:r>
    </w:p>
    <w:p w14:paraId="1DD8EFC9" w14:textId="77777777" w:rsidR="009630A9" w:rsidRPr="000C156A" w:rsidRDefault="009630A9" w:rsidP="00E870CB">
      <w:pPr>
        <w:tabs>
          <w:tab w:val="left" w:pos="709"/>
        </w:tabs>
        <w:snapToGrid w:val="0"/>
        <w:rPr>
          <w:bCs/>
          <w:szCs w:val="24"/>
          <w:lang w:eastAsia="zh-CN"/>
        </w:rPr>
      </w:pPr>
      <w:r w:rsidRPr="000C156A">
        <w:rPr>
          <w:lang w:eastAsia="zh-CN"/>
        </w:rPr>
        <w:t>1</w:t>
      </w:r>
      <w:r w:rsidRPr="000C156A">
        <w:rPr>
          <w:rFonts w:hint="eastAsia"/>
          <w:lang w:eastAsia="zh-CN"/>
        </w:rPr>
        <w:t>09</w:t>
      </w:r>
      <w:r w:rsidRPr="000C156A">
        <w:rPr>
          <w:lang w:eastAsia="zh-CN"/>
        </w:rPr>
        <w:tab/>
      </w:r>
      <w:r w:rsidRPr="000C156A">
        <w:rPr>
          <w:rFonts w:hint="eastAsia"/>
          <w:bCs/>
          <w:szCs w:val="24"/>
          <w:lang w:eastAsia="zh-CN"/>
        </w:rPr>
        <w:t>总体而言，</w:t>
      </w:r>
      <w:r w:rsidRPr="000C156A">
        <w:rPr>
          <w:rFonts w:eastAsia="Times New Roman" w:cs="Calibri"/>
          <w:lang w:eastAsia="zh-CN"/>
        </w:rPr>
        <w:t>COVID-19</w:t>
      </w:r>
      <w:r w:rsidRPr="000C156A">
        <w:rPr>
          <w:rFonts w:hint="eastAsia"/>
          <w:bCs/>
          <w:szCs w:val="24"/>
          <w:lang w:eastAsia="zh-CN"/>
        </w:rPr>
        <w:t>在执行</w:t>
      </w:r>
      <w:r w:rsidRPr="000C156A">
        <w:rPr>
          <w:rFonts w:hint="eastAsia"/>
          <w:bCs/>
          <w:szCs w:val="24"/>
          <w:lang w:eastAsia="zh-CN"/>
        </w:rPr>
        <w:t>2020</w:t>
      </w:r>
      <w:r w:rsidRPr="000C156A">
        <w:rPr>
          <w:rFonts w:hint="eastAsia"/>
          <w:bCs/>
          <w:szCs w:val="24"/>
          <w:lang w:eastAsia="zh-CN"/>
        </w:rPr>
        <w:t>年预算过程中帮助实现了节约。</w:t>
      </w:r>
      <w:r w:rsidRPr="000C156A">
        <w:rPr>
          <w:bCs/>
          <w:szCs w:val="24"/>
          <w:lang w:eastAsia="zh-CN"/>
        </w:rPr>
        <w:t>由于取消了所有正式</w:t>
      </w:r>
      <w:r w:rsidRPr="000C156A">
        <w:rPr>
          <w:rFonts w:hint="eastAsia"/>
          <w:bCs/>
          <w:szCs w:val="24"/>
          <w:lang w:eastAsia="zh-CN"/>
        </w:rPr>
        <w:t>公务差旅</w:t>
      </w:r>
      <w:r w:rsidRPr="000C156A">
        <w:rPr>
          <w:bCs/>
          <w:szCs w:val="24"/>
          <w:lang w:eastAsia="zh-CN"/>
        </w:rPr>
        <w:t>和实体会议，</w:t>
      </w:r>
      <w:r w:rsidRPr="000C156A">
        <w:rPr>
          <w:rFonts w:hint="eastAsia"/>
          <w:bCs/>
          <w:szCs w:val="24"/>
          <w:lang w:eastAsia="zh-CN"/>
        </w:rPr>
        <w:t>因此</w:t>
      </w:r>
      <w:r w:rsidRPr="000C156A">
        <w:rPr>
          <w:bCs/>
          <w:szCs w:val="24"/>
          <w:lang w:eastAsia="zh-CN"/>
        </w:rPr>
        <w:t>这些节约主要体现在差旅费、与会补贴、设备采购、保洁、</w:t>
      </w:r>
      <w:r w:rsidRPr="000C156A">
        <w:rPr>
          <w:rFonts w:hint="eastAsia"/>
          <w:bCs/>
          <w:szCs w:val="24"/>
          <w:lang w:eastAsia="zh-CN"/>
        </w:rPr>
        <w:t>用</w:t>
      </w:r>
      <w:r w:rsidRPr="000C156A">
        <w:rPr>
          <w:bCs/>
          <w:szCs w:val="24"/>
          <w:lang w:eastAsia="zh-CN"/>
        </w:rPr>
        <w:t>电和会议方面</w:t>
      </w:r>
      <w:r w:rsidRPr="000C156A">
        <w:rPr>
          <w:rFonts w:hint="eastAsia"/>
          <w:bCs/>
          <w:szCs w:val="24"/>
          <w:lang w:eastAsia="zh-CN"/>
        </w:rPr>
        <w:t>。应当指出，实现的节约抵消了主要来自出版物销售的收入下降。国际电联计划在越南举办的</w:t>
      </w:r>
      <w:r w:rsidRPr="000C156A">
        <w:rPr>
          <w:rFonts w:hint="eastAsia"/>
          <w:bCs/>
          <w:szCs w:val="24"/>
          <w:lang w:eastAsia="zh-CN"/>
        </w:rPr>
        <w:t>2020</w:t>
      </w:r>
      <w:r w:rsidRPr="000C156A">
        <w:rPr>
          <w:rFonts w:hint="eastAsia"/>
          <w:bCs/>
          <w:szCs w:val="24"/>
          <w:lang w:eastAsia="zh-CN"/>
        </w:rPr>
        <w:t>年世界电信展的延期也影响了成本回收收入。</w:t>
      </w:r>
    </w:p>
    <w:p w14:paraId="2673B23C" w14:textId="77777777" w:rsidR="009630A9" w:rsidRPr="000C156A" w:rsidRDefault="009630A9" w:rsidP="009630A9">
      <w:pPr>
        <w:pStyle w:val="Heading1"/>
        <w:rPr>
          <w:lang w:eastAsia="zh-CN"/>
        </w:rPr>
      </w:pPr>
      <w:bookmarkStart w:id="1169" w:name="_Toc41905913"/>
      <w:bookmarkStart w:id="1170" w:name="_Toc41908083"/>
      <w:bookmarkStart w:id="1171" w:name="_Toc73519299"/>
      <w:bookmarkStart w:id="1172" w:name="_Toc73636338"/>
      <w:r w:rsidRPr="000C156A">
        <w:rPr>
          <w:rFonts w:hint="eastAsia"/>
          <w:lang w:eastAsia="zh-CN"/>
        </w:rPr>
        <w:lastRenderedPageBreak/>
        <w:t>十</w:t>
      </w:r>
      <w:r w:rsidRPr="000C156A">
        <w:rPr>
          <w:lang w:eastAsia="zh-CN"/>
        </w:rPr>
        <w:tab/>
      </w:r>
      <w:r w:rsidRPr="000C156A">
        <w:rPr>
          <w:rFonts w:hint="eastAsia"/>
          <w:lang w:eastAsia="zh-CN"/>
        </w:rPr>
        <w:t>国际电联账目的外部审计</w:t>
      </w:r>
      <w:bookmarkEnd w:id="1166"/>
      <w:bookmarkEnd w:id="1167"/>
      <w:bookmarkEnd w:id="1168"/>
      <w:bookmarkEnd w:id="1169"/>
      <w:bookmarkEnd w:id="1170"/>
      <w:bookmarkEnd w:id="1171"/>
      <w:bookmarkEnd w:id="1172"/>
    </w:p>
    <w:p w14:paraId="3F8974D3" w14:textId="77777777" w:rsidR="009630A9" w:rsidRPr="000C156A" w:rsidRDefault="009630A9" w:rsidP="009630A9">
      <w:pPr>
        <w:rPr>
          <w:lang w:eastAsia="zh-CN"/>
        </w:rPr>
      </w:pPr>
      <w:r w:rsidRPr="000C156A">
        <w:rPr>
          <w:lang w:eastAsia="zh-CN"/>
        </w:rPr>
        <w:t>1</w:t>
      </w:r>
      <w:r w:rsidRPr="000C156A">
        <w:rPr>
          <w:rFonts w:hint="eastAsia"/>
          <w:lang w:eastAsia="zh-CN"/>
        </w:rPr>
        <w:t>10</w:t>
      </w:r>
      <w:r w:rsidRPr="000C156A">
        <w:rPr>
          <w:lang w:eastAsia="zh-CN"/>
        </w:rPr>
        <w:tab/>
      </w:r>
      <w:r w:rsidRPr="000C156A">
        <w:rPr>
          <w:rFonts w:hint="eastAsia"/>
          <w:lang w:eastAsia="zh-CN"/>
        </w:rPr>
        <w:t>根据《财务规则》第</w:t>
      </w:r>
      <w:r w:rsidRPr="000C156A">
        <w:rPr>
          <w:lang w:eastAsia="zh-CN"/>
        </w:rPr>
        <w:t>28</w:t>
      </w:r>
      <w:r w:rsidRPr="000C156A">
        <w:rPr>
          <w:rFonts w:hint="eastAsia"/>
          <w:lang w:eastAsia="zh-CN"/>
        </w:rPr>
        <w:t>条，理事会</w:t>
      </w:r>
      <w:r w:rsidRPr="000C156A">
        <w:rPr>
          <w:lang w:eastAsia="zh-CN"/>
        </w:rPr>
        <w:t>2011</w:t>
      </w:r>
      <w:r w:rsidRPr="000C156A">
        <w:rPr>
          <w:rFonts w:hint="eastAsia"/>
          <w:lang w:eastAsia="zh-CN"/>
        </w:rPr>
        <w:t>年会议指定意大利高级审计院按照全权代表大会决定的方式担任国际电联账目的外部审计员，任期四年。按照《财务规则》附件</w:t>
      </w:r>
      <w:r w:rsidRPr="000C156A">
        <w:rPr>
          <w:lang w:eastAsia="zh-CN"/>
        </w:rPr>
        <w:t>1</w:t>
      </w:r>
      <w:r w:rsidRPr="000C156A">
        <w:rPr>
          <w:rFonts w:hint="eastAsia"/>
          <w:lang w:eastAsia="zh-CN"/>
        </w:rPr>
        <w:t>有关外部审计的附加职责范围审计的规定，审计采用普遍接受的通用审计标准并遵循理事会的特别指示进行。</w:t>
      </w:r>
    </w:p>
    <w:p w14:paraId="17539201" w14:textId="77777777" w:rsidR="009630A9" w:rsidRPr="000C156A" w:rsidRDefault="009630A9" w:rsidP="009630A9">
      <w:pPr>
        <w:rPr>
          <w:lang w:eastAsia="zh-CN"/>
        </w:rPr>
      </w:pPr>
      <w:r w:rsidRPr="000C156A">
        <w:rPr>
          <w:lang w:eastAsia="zh-CN"/>
        </w:rPr>
        <w:t>1</w:t>
      </w:r>
      <w:r w:rsidRPr="000C156A">
        <w:rPr>
          <w:rFonts w:hint="eastAsia"/>
          <w:lang w:eastAsia="zh-CN"/>
        </w:rPr>
        <w:t>11</w:t>
      </w:r>
      <w:r w:rsidRPr="000C156A">
        <w:rPr>
          <w:lang w:eastAsia="zh-CN"/>
        </w:rPr>
        <w:tab/>
      </w:r>
      <w:r w:rsidRPr="000C156A">
        <w:rPr>
          <w:rFonts w:hint="eastAsia"/>
          <w:lang w:eastAsia="zh-CN"/>
        </w:rPr>
        <w:t>根据联合国会计准则，应以报表或表格的形式提交用以审计的信息。</w:t>
      </w:r>
    </w:p>
    <w:p w14:paraId="7C14F18C" w14:textId="77777777" w:rsidR="009630A9" w:rsidRPr="00175F39" w:rsidRDefault="009630A9" w:rsidP="009630A9">
      <w:pPr>
        <w:rPr>
          <w:b/>
          <w:bCs/>
          <w:szCs w:val="24"/>
          <w:lang w:eastAsia="zh-CN"/>
        </w:rPr>
      </w:pPr>
      <w:r w:rsidRPr="000C156A">
        <w:rPr>
          <w:lang w:eastAsia="zh-CN"/>
        </w:rPr>
        <w:t>1</w:t>
      </w:r>
      <w:r w:rsidRPr="000C156A">
        <w:rPr>
          <w:rFonts w:hint="eastAsia"/>
          <w:lang w:eastAsia="zh-CN"/>
        </w:rPr>
        <w:t>12</w:t>
      </w:r>
      <w:r w:rsidRPr="000C156A">
        <w:rPr>
          <w:lang w:eastAsia="zh-CN"/>
        </w:rPr>
        <w:tab/>
      </w:r>
      <w:r w:rsidRPr="000C156A">
        <w:rPr>
          <w:rFonts w:hint="eastAsia"/>
          <w:lang w:eastAsia="zh-CN"/>
        </w:rPr>
        <w:t>审定账目提交理事会批准，同时伴有外部审计员的报告。外部审计员将应邀在理事会相关会议上介绍其报告。</w:t>
      </w:r>
    </w:p>
    <w:p w14:paraId="52E66BEE" w14:textId="2C0BAC03" w:rsidR="00686EC7" w:rsidRPr="000C156A" w:rsidRDefault="00686EC7" w:rsidP="00F207D7">
      <w:pPr>
        <w:rPr>
          <w:lang w:eastAsia="zh-CN"/>
        </w:rPr>
      </w:pPr>
      <w:r w:rsidRPr="000C156A">
        <w:rPr>
          <w:lang w:eastAsia="zh-CN"/>
        </w:rPr>
        <w:br w:type="page"/>
      </w:r>
    </w:p>
    <w:p w14:paraId="7BE47ED2" w14:textId="77777777" w:rsidR="00686EC7" w:rsidRPr="000C156A" w:rsidRDefault="00686EC7" w:rsidP="00686EC7">
      <w:pPr>
        <w:pStyle w:val="AnnexNo"/>
        <w:outlineLvl w:val="0"/>
        <w:rPr>
          <w:lang w:eastAsia="zh-CN"/>
        </w:rPr>
      </w:pPr>
      <w:bookmarkStart w:id="1173" w:name="_Toc41908084"/>
      <w:bookmarkStart w:id="1174" w:name="_Toc73519300"/>
      <w:bookmarkStart w:id="1175" w:name="_Toc73636339"/>
      <w:bookmarkStart w:id="1176" w:name="_Toc41905914"/>
      <w:bookmarkStart w:id="1177" w:name="_Toc482894270"/>
      <w:bookmarkStart w:id="1178" w:name="_Toc511116023"/>
      <w:bookmarkStart w:id="1179" w:name="_Toc364154312"/>
      <w:r w:rsidRPr="000C156A">
        <w:rPr>
          <w:rFonts w:hint="eastAsia"/>
          <w:lang w:eastAsia="zh-CN"/>
        </w:rPr>
        <w:lastRenderedPageBreak/>
        <w:t>附件</w:t>
      </w:r>
      <w:r w:rsidRPr="000C156A">
        <w:rPr>
          <w:lang w:eastAsia="zh-CN"/>
        </w:rPr>
        <w:t>A</w:t>
      </w:r>
      <w:bookmarkEnd w:id="1173"/>
      <w:bookmarkEnd w:id="1174"/>
      <w:bookmarkEnd w:id="1175"/>
    </w:p>
    <w:p w14:paraId="07E24A69" w14:textId="77777777" w:rsidR="00686EC7" w:rsidRPr="000C156A" w:rsidRDefault="00686EC7" w:rsidP="00686EC7">
      <w:pPr>
        <w:pStyle w:val="AnnexNo"/>
        <w:outlineLvl w:val="0"/>
        <w:rPr>
          <w:lang w:val="en-US" w:eastAsia="zh-CN"/>
        </w:rPr>
      </w:pPr>
      <w:bookmarkStart w:id="1180" w:name="_Toc41908085"/>
      <w:bookmarkStart w:id="1181" w:name="_Toc73518901"/>
      <w:bookmarkStart w:id="1182" w:name="_Toc73519301"/>
      <w:bookmarkStart w:id="1183" w:name="_Toc73636340"/>
      <w:r w:rsidRPr="000C156A">
        <w:rPr>
          <w:rFonts w:hint="eastAsia"/>
          <w:lang w:eastAsia="zh-CN"/>
        </w:rPr>
        <w:t>决议草案</w:t>
      </w:r>
      <w:bookmarkEnd w:id="1176"/>
      <w:bookmarkEnd w:id="1180"/>
      <w:bookmarkEnd w:id="1181"/>
      <w:bookmarkEnd w:id="1182"/>
      <w:bookmarkEnd w:id="1183"/>
    </w:p>
    <w:p w14:paraId="0F4D4509" w14:textId="77777777" w:rsidR="00686EC7" w:rsidRPr="000C156A" w:rsidRDefault="00686EC7" w:rsidP="00686EC7">
      <w:pPr>
        <w:pStyle w:val="Restitle"/>
        <w:rPr>
          <w:lang w:eastAsia="zh-CN"/>
        </w:rPr>
      </w:pPr>
      <w:r w:rsidRPr="000C156A">
        <w:rPr>
          <w:rFonts w:hint="eastAsia"/>
          <w:lang w:eastAsia="zh-CN"/>
        </w:rPr>
        <w:t>2020</w:t>
      </w:r>
      <w:r w:rsidRPr="000C156A">
        <w:rPr>
          <w:rFonts w:hint="eastAsia"/>
          <w:lang w:eastAsia="zh-CN"/>
        </w:rPr>
        <w:t>财务年度的财务工作报告</w:t>
      </w:r>
    </w:p>
    <w:p w14:paraId="225E282A" w14:textId="77777777" w:rsidR="00686EC7" w:rsidRPr="000C156A" w:rsidRDefault="00686EC7" w:rsidP="00686EC7">
      <w:pPr>
        <w:pStyle w:val="Normalaftertitle"/>
        <w:rPr>
          <w:bCs/>
          <w:sz w:val="22"/>
          <w:szCs w:val="22"/>
          <w:lang w:eastAsia="zh-CN"/>
        </w:rPr>
      </w:pPr>
      <w:r w:rsidRPr="000C156A">
        <w:rPr>
          <w:rFonts w:hint="eastAsia"/>
          <w:lang w:eastAsia="zh-CN"/>
        </w:rPr>
        <w:t>国际电联理事会，</w:t>
      </w:r>
    </w:p>
    <w:p w14:paraId="11378816" w14:textId="77777777" w:rsidR="00686EC7" w:rsidRPr="000C156A" w:rsidRDefault="00686EC7" w:rsidP="00686EC7">
      <w:pPr>
        <w:pStyle w:val="call0"/>
        <w:textAlignment w:val="baseline"/>
        <w:rPr>
          <w:lang w:val="en-GB" w:eastAsia="zh-CN"/>
        </w:rPr>
      </w:pPr>
      <w:r w:rsidRPr="000C156A">
        <w:rPr>
          <w:rFonts w:hint="eastAsia"/>
          <w:lang w:eastAsia="zh-CN"/>
        </w:rPr>
        <w:t>鉴于</w:t>
      </w:r>
    </w:p>
    <w:p w14:paraId="1A6C69A5" w14:textId="204E3221" w:rsidR="00686EC7" w:rsidRPr="000C156A" w:rsidRDefault="00686EC7" w:rsidP="00686EC7">
      <w:pPr>
        <w:ind w:firstLineChars="200" w:firstLine="480"/>
        <w:rPr>
          <w:lang w:eastAsia="zh-CN"/>
        </w:rPr>
      </w:pPr>
      <w:r w:rsidRPr="000C156A">
        <w:rPr>
          <w:rFonts w:hint="eastAsia"/>
          <w:lang w:eastAsia="zh-CN"/>
        </w:rPr>
        <w:t>国际电信联盟《公约》第</w:t>
      </w:r>
      <w:hyperlink r:id="rId52" w:history="1">
        <w:r w:rsidRPr="000C156A">
          <w:rPr>
            <w:color w:val="0000FF"/>
            <w:u w:val="single"/>
            <w:lang w:val="en-US" w:eastAsia="zh-CN"/>
          </w:rPr>
          <w:t>101</w:t>
        </w:r>
      </w:hyperlink>
      <w:r w:rsidRPr="000C156A">
        <w:rPr>
          <w:rFonts w:hint="eastAsia"/>
          <w:lang w:eastAsia="zh-CN"/>
        </w:rPr>
        <w:t>款和国际电联《财务规则》第</w:t>
      </w:r>
      <w:hyperlink r:id="rId53" w:history="1">
        <w:r w:rsidR="00E870CB" w:rsidRPr="000C156A">
          <w:rPr>
            <w:color w:val="0000FF"/>
            <w:u w:val="single"/>
            <w:lang w:val="en-US" w:eastAsia="zh-CN"/>
          </w:rPr>
          <w:t>30</w:t>
        </w:r>
        <w:r w:rsidR="00E870CB" w:rsidRPr="000C156A">
          <w:rPr>
            <w:color w:val="0000FF"/>
            <w:u w:val="single"/>
            <w:lang w:val="en-US" w:eastAsia="zh-CN"/>
          </w:rPr>
          <w:t>条</w:t>
        </w:r>
      </w:hyperlink>
      <w:r w:rsidRPr="000C156A">
        <w:rPr>
          <w:rFonts w:hint="eastAsia"/>
          <w:lang w:eastAsia="zh-CN"/>
        </w:rPr>
        <w:t>的规定，</w:t>
      </w:r>
    </w:p>
    <w:p w14:paraId="4C1D9484" w14:textId="77777777" w:rsidR="00686EC7" w:rsidRPr="000C156A" w:rsidRDefault="00686EC7" w:rsidP="00686EC7">
      <w:pPr>
        <w:pStyle w:val="call0"/>
        <w:textAlignment w:val="baseline"/>
        <w:rPr>
          <w:i/>
          <w:lang w:val="en-GB" w:eastAsia="zh-CN"/>
        </w:rPr>
      </w:pPr>
      <w:r w:rsidRPr="000C156A">
        <w:rPr>
          <w:rFonts w:hint="eastAsia"/>
          <w:lang w:eastAsia="zh-CN"/>
        </w:rPr>
        <w:t>经审查</w:t>
      </w:r>
    </w:p>
    <w:p w14:paraId="25D760EC" w14:textId="77777777" w:rsidR="00686EC7" w:rsidRPr="000C156A" w:rsidRDefault="00686EC7" w:rsidP="00686EC7">
      <w:pPr>
        <w:ind w:firstLineChars="200" w:firstLine="480"/>
        <w:rPr>
          <w:lang w:eastAsia="zh-CN"/>
        </w:rPr>
      </w:pPr>
      <w:r w:rsidRPr="000C156A">
        <w:rPr>
          <w:lang w:eastAsia="zh-CN"/>
        </w:rPr>
        <w:t>20</w:t>
      </w:r>
      <w:r w:rsidRPr="000C156A">
        <w:rPr>
          <w:rFonts w:hint="eastAsia"/>
          <w:lang w:eastAsia="zh-CN"/>
        </w:rPr>
        <w:t>20</w:t>
      </w:r>
      <w:r w:rsidRPr="000C156A">
        <w:rPr>
          <w:rFonts w:hint="eastAsia"/>
          <w:lang w:eastAsia="zh-CN"/>
        </w:rPr>
        <w:t>财年的财务工作报告及其包含的经审计的国际电联</w:t>
      </w:r>
      <w:r w:rsidRPr="000C156A">
        <w:rPr>
          <w:lang w:eastAsia="zh-CN"/>
        </w:rPr>
        <w:t>20</w:t>
      </w:r>
      <w:r w:rsidRPr="000C156A">
        <w:rPr>
          <w:rFonts w:hint="eastAsia"/>
          <w:lang w:eastAsia="zh-CN"/>
        </w:rPr>
        <w:t>20</w:t>
      </w:r>
      <w:r w:rsidRPr="000C156A">
        <w:rPr>
          <w:rFonts w:hint="eastAsia"/>
          <w:lang w:eastAsia="zh-CN"/>
        </w:rPr>
        <w:t>财年预算账目、国际电联电信展览部</w:t>
      </w:r>
      <w:r w:rsidRPr="000C156A">
        <w:rPr>
          <w:lang w:eastAsia="zh-CN"/>
        </w:rPr>
        <w:t>20</w:t>
      </w:r>
      <w:r w:rsidRPr="000C156A">
        <w:rPr>
          <w:rFonts w:hint="eastAsia"/>
          <w:lang w:eastAsia="zh-CN"/>
        </w:rPr>
        <w:t>20</w:t>
      </w:r>
      <w:r w:rsidRPr="000C156A">
        <w:rPr>
          <w:rFonts w:hint="eastAsia"/>
          <w:lang w:eastAsia="zh-CN"/>
        </w:rPr>
        <w:t>年各账目的状况和经审计的</w:t>
      </w:r>
      <w:r w:rsidRPr="000C156A">
        <w:rPr>
          <w:lang w:eastAsia="zh-CN"/>
        </w:rPr>
        <w:t>20</w:t>
      </w:r>
      <w:r w:rsidRPr="000C156A">
        <w:rPr>
          <w:rFonts w:hint="eastAsia"/>
          <w:lang w:eastAsia="zh-CN"/>
        </w:rPr>
        <w:t>20</w:t>
      </w:r>
      <w:r w:rsidRPr="000C156A">
        <w:rPr>
          <w:rFonts w:hint="eastAsia"/>
          <w:lang w:eastAsia="zh-CN"/>
        </w:rPr>
        <w:t>年技术合作项目、自愿捐款和国际电联职员退休和福利基金等各账目，</w:t>
      </w:r>
    </w:p>
    <w:p w14:paraId="52AE16D3" w14:textId="77777777" w:rsidR="00686EC7" w:rsidRPr="000C156A" w:rsidRDefault="00686EC7" w:rsidP="00686EC7">
      <w:pPr>
        <w:pStyle w:val="call0"/>
        <w:textAlignment w:val="baseline"/>
        <w:rPr>
          <w:lang w:val="en-GB" w:eastAsia="zh-CN"/>
        </w:rPr>
      </w:pPr>
      <w:r w:rsidRPr="000C156A">
        <w:rPr>
          <w:rFonts w:hint="eastAsia"/>
          <w:lang w:eastAsia="zh-CN"/>
        </w:rPr>
        <w:t>已注意到</w:t>
      </w:r>
    </w:p>
    <w:p w14:paraId="7BAE755D" w14:textId="5A7983D8" w:rsidR="00686EC7" w:rsidRPr="000C156A" w:rsidRDefault="00A100EC" w:rsidP="00686EC7">
      <w:pPr>
        <w:ind w:firstLineChars="200" w:firstLine="480"/>
        <w:rPr>
          <w:lang w:eastAsia="zh-CN"/>
        </w:rPr>
      </w:pPr>
      <w:hyperlink r:id="rId54" w:history="1">
        <w:r w:rsidR="00686EC7" w:rsidRPr="000C156A">
          <w:rPr>
            <w:rStyle w:val="Hyperlink"/>
            <w:lang w:eastAsia="zh-CN"/>
          </w:rPr>
          <w:t>C2</w:t>
        </w:r>
        <w:r w:rsidR="008A1B23">
          <w:rPr>
            <w:rStyle w:val="Hyperlink"/>
            <w:rFonts w:hint="eastAsia"/>
            <w:lang w:eastAsia="zh-CN"/>
          </w:rPr>
          <w:t>2</w:t>
        </w:r>
        <w:r w:rsidR="00686EC7" w:rsidRPr="000C156A">
          <w:rPr>
            <w:rStyle w:val="Hyperlink"/>
            <w:lang w:eastAsia="zh-CN"/>
          </w:rPr>
          <w:t>/40</w:t>
        </w:r>
      </w:hyperlink>
      <w:r w:rsidR="00686EC7" w:rsidRPr="000C156A">
        <w:rPr>
          <w:rFonts w:hint="eastAsia"/>
          <w:lang w:eastAsia="zh-CN"/>
        </w:rPr>
        <w:t>号</w:t>
      </w:r>
      <w:r w:rsidR="00686EC7" w:rsidRPr="000C156A">
        <w:rPr>
          <w:lang w:eastAsia="zh-CN"/>
        </w:rPr>
        <w:t>文件</w:t>
      </w:r>
      <w:r w:rsidR="00686EC7" w:rsidRPr="000C156A">
        <w:rPr>
          <w:rFonts w:hint="eastAsia"/>
          <w:lang w:eastAsia="zh-CN"/>
        </w:rPr>
        <w:t>提供的外部审计员的报告，</w:t>
      </w:r>
    </w:p>
    <w:p w14:paraId="6ED97362" w14:textId="77777777" w:rsidR="00686EC7" w:rsidRPr="000C156A" w:rsidRDefault="00686EC7" w:rsidP="00686EC7">
      <w:pPr>
        <w:pStyle w:val="call0"/>
        <w:textAlignment w:val="baseline"/>
        <w:rPr>
          <w:lang w:val="en-GB" w:eastAsia="zh-CN"/>
        </w:rPr>
      </w:pPr>
      <w:r w:rsidRPr="000C156A">
        <w:rPr>
          <w:rFonts w:hint="eastAsia"/>
          <w:lang w:eastAsia="zh-CN"/>
        </w:rPr>
        <w:t>做出决议</w:t>
      </w:r>
    </w:p>
    <w:p w14:paraId="272C6785" w14:textId="06DE63DB" w:rsidR="00686EC7" w:rsidRPr="000C156A" w:rsidRDefault="00686EC7" w:rsidP="00686EC7">
      <w:pPr>
        <w:ind w:firstLineChars="200" w:firstLine="480"/>
        <w:rPr>
          <w:lang w:eastAsia="zh-CN"/>
        </w:rPr>
      </w:pPr>
      <w:r w:rsidRPr="000C156A">
        <w:rPr>
          <w:rFonts w:hint="eastAsia"/>
          <w:lang w:eastAsia="zh-CN"/>
        </w:rPr>
        <w:t>批准</w:t>
      </w:r>
      <w:r w:rsidRPr="000C156A">
        <w:rPr>
          <w:lang w:eastAsia="zh-CN"/>
        </w:rPr>
        <w:t>20</w:t>
      </w:r>
      <w:r w:rsidRPr="000C156A">
        <w:rPr>
          <w:rFonts w:hint="eastAsia"/>
          <w:lang w:eastAsia="zh-CN"/>
        </w:rPr>
        <w:t>20</w:t>
      </w:r>
      <w:r w:rsidRPr="000C156A">
        <w:rPr>
          <w:rFonts w:hint="eastAsia"/>
          <w:lang w:eastAsia="zh-CN"/>
        </w:rPr>
        <w:t>财年的财务工作报告（</w:t>
      </w:r>
      <w:hyperlink r:id="rId55" w:history="1">
        <w:r w:rsidRPr="000C156A">
          <w:rPr>
            <w:rStyle w:val="Hyperlink"/>
            <w:lang w:val="en-US" w:eastAsia="zh-CN"/>
          </w:rPr>
          <w:t>C2</w:t>
        </w:r>
        <w:r w:rsidR="008A1B23">
          <w:rPr>
            <w:rStyle w:val="Hyperlink"/>
            <w:rFonts w:hint="eastAsia"/>
            <w:lang w:val="en-US" w:eastAsia="zh-CN"/>
          </w:rPr>
          <w:t>2</w:t>
        </w:r>
        <w:r w:rsidRPr="000C156A">
          <w:rPr>
            <w:rStyle w:val="Hyperlink"/>
            <w:lang w:val="en-US" w:eastAsia="zh-CN"/>
          </w:rPr>
          <w:t>/42</w:t>
        </w:r>
        <w:r w:rsidRPr="000C156A">
          <w:rPr>
            <w:rStyle w:val="Hyperlink"/>
            <w:lang w:val="en-US" w:eastAsia="zh-CN"/>
          </w:rPr>
          <w:t>号文件</w:t>
        </w:r>
      </w:hyperlink>
      <w:r w:rsidRPr="000C156A">
        <w:rPr>
          <w:rFonts w:hint="eastAsia"/>
          <w:lang w:eastAsia="zh-CN"/>
        </w:rPr>
        <w:t>）及其包含的经审计的国际电联账目、国际电联电信展览部</w:t>
      </w:r>
      <w:r w:rsidRPr="000C156A">
        <w:rPr>
          <w:lang w:eastAsia="zh-CN"/>
        </w:rPr>
        <w:t>20</w:t>
      </w:r>
      <w:r w:rsidRPr="000C156A">
        <w:rPr>
          <w:rFonts w:hint="eastAsia"/>
          <w:lang w:eastAsia="zh-CN"/>
        </w:rPr>
        <w:t>20</w:t>
      </w:r>
      <w:r w:rsidRPr="000C156A">
        <w:rPr>
          <w:rFonts w:hint="eastAsia"/>
          <w:lang w:eastAsia="zh-CN"/>
        </w:rPr>
        <w:t>年各账目的状况和经审计的</w:t>
      </w:r>
      <w:r w:rsidRPr="000C156A">
        <w:rPr>
          <w:lang w:eastAsia="zh-CN"/>
        </w:rPr>
        <w:t>20</w:t>
      </w:r>
      <w:r w:rsidRPr="000C156A">
        <w:rPr>
          <w:rFonts w:hint="eastAsia"/>
          <w:lang w:eastAsia="zh-CN"/>
        </w:rPr>
        <w:t>20</w:t>
      </w:r>
      <w:r w:rsidRPr="000C156A">
        <w:rPr>
          <w:rFonts w:hint="eastAsia"/>
          <w:lang w:eastAsia="zh-CN"/>
        </w:rPr>
        <w:t>年技术合作项目、自愿捐款和国际电联职员退休和福利基金等各账目。</w:t>
      </w:r>
    </w:p>
    <w:p w14:paraId="6D8C28F6" w14:textId="77777777" w:rsidR="00686EC7" w:rsidRPr="000C156A" w:rsidRDefault="00686EC7" w:rsidP="00686EC7">
      <w:pPr>
        <w:overflowPunct/>
        <w:autoSpaceDE/>
        <w:autoSpaceDN/>
        <w:adjustRightInd/>
        <w:spacing w:before="0"/>
        <w:textAlignment w:val="auto"/>
        <w:rPr>
          <w:lang w:eastAsia="zh-CN"/>
        </w:rPr>
        <w:sectPr w:rsidR="00686EC7" w:rsidRPr="000C156A" w:rsidSect="00141BAA">
          <w:headerReference w:type="default" r:id="rId56"/>
          <w:footerReference w:type="default" r:id="rId57"/>
          <w:headerReference w:type="first" r:id="rId58"/>
          <w:footerReference w:type="first" r:id="rId59"/>
          <w:pgSz w:w="11907" w:h="16834"/>
          <w:pgMar w:top="1418" w:right="1134" w:bottom="1418" w:left="1134" w:header="720" w:footer="720" w:gutter="0"/>
          <w:paperSrc w:first="15" w:other="15"/>
          <w:cols w:space="720"/>
          <w:titlePg/>
          <w:docGrid w:linePitch="326"/>
        </w:sectPr>
      </w:pPr>
    </w:p>
    <w:p w14:paraId="350C68CB" w14:textId="77777777" w:rsidR="00686EC7" w:rsidRPr="000C156A" w:rsidRDefault="00686EC7" w:rsidP="0060737B">
      <w:pPr>
        <w:pStyle w:val="AnnexNo"/>
        <w:spacing w:before="0"/>
        <w:outlineLvl w:val="0"/>
        <w:rPr>
          <w:lang w:eastAsia="zh-CN"/>
        </w:rPr>
      </w:pPr>
      <w:bookmarkStart w:id="1184" w:name="_Toc41905915"/>
      <w:bookmarkStart w:id="1185" w:name="_Toc41908086"/>
      <w:bookmarkStart w:id="1186" w:name="_Toc73519302"/>
      <w:bookmarkStart w:id="1187" w:name="_Toc73636341"/>
      <w:r w:rsidRPr="000C156A">
        <w:rPr>
          <w:rFonts w:hint="eastAsia"/>
          <w:lang w:eastAsia="zh-CN"/>
        </w:rPr>
        <w:lastRenderedPageBreak/>
        <w:t>附件</w:t>
      </w:r>
      <w:bookmarkEnd w:id="1177"/>
      <w:r w:rsidRPr="000C156A">
        <w:rPr>
          <w:lang w:eastAsia="zh-CN"/>
        </w:rPr>
        <w:t>B1</w:t>
      </w:r>
      <w:bookmarkEnd w:id="1178"/>
      <w:bookmarkEnd w:id="1184"/>
      <w:bookmarkEnd w:id="1185"/>
      <w:bookmarkEnd w:id="1186"/>
      <w:bookmarkEnd w:id="1187"/>
    </w:p>
    <w:bookmarkEnd w:id="1179"/>
    <w:p w14:paraId="381CFE4D" w14:textId="77777777" w:rsidR="00686EC7" w:rsidRPr="000C156A" w:rsidRDefault="00686EC7" w:rsidP="002720E5">
      <w:pPr>
        <w:pStyle w:val="Annextitle"/>
        <w:rPr>
          <w:rFonts w:ascii="Times New Roman" w:hAnsi="Times New Roman"/>
          <w:lang w:val="fr-FR"/>
        </w:rPr>
      </w:pPr>
      <w:r w:rsidRPr="000C156A">
        <w:rPr>
          <w:rFonts w:ascii="Times New Roman" w:hAnsi="Times New Roman" w:hint="eastAsia"/>
          <w:lang w:val="fr-FR"/>
        </w:rPr>
        <w:t>正常预算</w:t>
      </w:r>
    </w:p>
    <w:tbl>
      <w:tblPr>
        <w:tblW w:w="5223" w:type="pct"/>
        <w:tblLayout w:type="fixed"/>
        <w:tblLook w:val="04A0" w:firstRow="1" w:lastRow="0" w:firstColumn="1" w:lastColumn="0" w:noHBand="0" w:noVBand="1"/>
      </w:tblPr>
      <w:tblGrid>
        <w:gridCol w:w="2410"/>
        <w:gridCol w:w="1416"/>
        <w:gridCol w:w="1215"/>
        <w:gridCol w:w="1295"/>
        <w:gridCol w:w="105"/>
        <w:gridCol w:w="1211"/>
        <w:gridCol w:w="1159"/>
        <w:gridCol w:w="6"/>
        <w:gridCol w:w="1241"/>
      </w:tblGrid>
      <w:tr w:rsidR="00686EC7" w:rsidRPr="000C156A" w14:paraId="46B25FF5" w14:textId="77777777" w:rsidTr="00141BAA">
        <w:trPr>
          <w:trHeight w:val="300"/>
        </w:trPr>
        <w:tc>
          <w:tcPr>
            <w:tcW w:w="11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549F8C" w14:textId="77777777" w:rsidR="00686EC7" w:rsidRPr="000C156A" w:rsidRDefault="00686EC7" w:rsidP="00141BAA">
            <w:pPr>
              <w:overflowPunct/>
              <w:autoSpaceDE/>
              <w:autoSpaceDN/>
              <w:adjustRightInd/>
              <w:spacing w:before="0"/>
              <w:jc w:val="center"/>
              <w:textAlignment w:val="auto"/>
              <w:rPr>
                <w:rFonts w:cs="Calibri"/>
                <w:b/>
                <w:bCs/>
                <w:color w:val="000000"/>
                <w:sz w:val="20"/>
                <w:lang w:val="en-US" w:eastAsia="zh-CN"/>
              </w:rPr>
            </w:pPr>
            <w:r w:rsidRPr="000C156A">
              <w:rPr>
                <w:rFonts w:cs="Calibri" w:hint="eastAsia"/>
                <w:b/>
                <w:bCs/>
                <w:color w:val="000000"/>
                <w:sz w:val="20"/>
                <w:lang w:val="en-US" w:eastAsia="zh-CN"/>
              </w:rPr>
              <w:t>收入</w:t>
            </w:r>
          </w:p>
        </w:tc>
        <w:tc>
          <w:tcPr>
            <w:tcW w:w="2605"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087993F5" w14:textId="77777777" w:rsidR="00686EC7" w:rsidRPr="000C156A" w:rsidRDefault="00686EC7" w:rsidP="00141BAA">
            <w:pPr>
              <w:overflowPunct/>
              <w:autoSpaceDE/>
              <w:autoSpaceDN/>
              <w:adjustRightInd/>
              <w:spacing w:before="0"/>
              <w:jc w:val="center"/>
              <w:textAlignment w:val="auto"/>
              <w:rPr>
                <w:rFonts w:cs="Calibri"/>
                <w:b/>
                <w:bCs/>
                <w:color w:val="000000"/>
                <w:sz w:val="20"/>
                <w:lang w:val="en-US" w:eastAsia="zh-CN"/>
              </w:rPr>
            </w:pPr>
            <w:r w:rsidRPr="000C156A">
              <w:rPr>
                <w:rFonts w:cs="Calibri" w:hint="eastAsia"/>
                <w:b/>
                <w:bCs/>
                <w:color w:val="000000"/>
                <w:sz w:val="20"/>
                <w:lang w:val="en-US" w:eastAsia="zh-CN"/>
              </w:rPr>
              <w:t>预算金额</w:t>
            </w:r>
          </w:p>
        </w:tc>
        <w:tc>
          <w:tcPr>
            <w:tcW w:w="57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2DC62B" w14:textId="77777777" w:rsidR="00686EC7" w:rsidRPr="000C156A" w:rsidRDefault="00686EC7" w:rsidP="00141BAA">
            <w:pPr>
              <w:overflowPunct/>
              <w:autoSpaceDE/>
              <w:autoSpaceDN/>
              <w:adjustRightInd/>
              <w:spacing w:before="0"/>
              <w:jc w:val="center"/>
              <w:textAlignment w:val="auto"/>
              <w:rPr>
                <w:rFonts w:cs="Calibri"/>
                <w:b/>
                <w:bCs/>
                <w:color w:val="000000"/>
                <w:sz w:val="20"/>
                <w:lang w:val="en-US" w:eastAsia="zh-CN"/>
              </w:rPr>
            </w:pPr>
            <w:r w:rsidRPr="000C156A">
              <w:rPr>
                <w:rFonts w:cs="Calibri" w:hint="eastAsia"/>
                <w:b/>
                <w:bCs/>
                <w:color w:val="000000"/>
                <w:sz w:val="20"/>
                <w:lang w:val="en-US" w:eastAsia="zh-CN"/>
              </w:rPr>
              <w:t>实际金额</w:t>
            </w:r>
          </w:p>
        </w:tc>
        <w:tc>
          <w:tcPr>
            <w:tcW w:w="6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1820E2" w14:textId="77777777" w:rsidR="00686EC7" w:rsidRPr="000C156A" w:rsidRDefault="00686EC7" w:rsidP="00141BAA">
            <w:pPr>
              <w:overflowPunct/>
              <w:autoSpaceDE/>
              <w:autoSpaceDN/>
              <w:adjustRightInd/>
              <w:spacing w:before="0"/>
              <w:jc w:val="center"/>
              <w:textAlignment w:val="auto"/>
              <w:rPr>
                <w:rFonts w:cs="Calibri"/>
                <w:b/>
                <w:bCs/>
                <w:color w:val="000000"/>
                <w:sz w:val="20"/>
                <w:lang w:val="en-US" w:eastAsia="zh-CN"/>
              </w:rPr>
            </w:pPr>
            <w:r w:rsidRPr="000C156A">
              <w:rPr>
                <w:rFonts w:cs="Calibri" w:hint="eastAsia"/>
                <w:b/>
                <w:bCs/>
                <w:color w:val="000000"/>
                <w:sz w:val="20"/>
                <w:lang w:val="en-US" w:eastAsia="zh-CN"/>
              </w:rPr>
              <w:t>最终预算与</w:t>
            </w:r>
            <w:r w:rsidRPr="000C156A">
              <w:rPr>
                <w:rFonts w:cs="Calibri"/>
                <w:b/>
                <w:bCs/>
                <w:color w:val="000000"/>
                <w:sz w:val="20"/>
                <w:lang w:val="en-US" w:eastAsia="zh-CN"/>
              </w:rPr>
              <w:t>实际金额</w:t>
            </w:r>
            <w:r w:rsidRPr="000C156A">
              <w:rPr>
                <w:rFonts w:cs="Calibri" w:hint="eastAsia"/>
                <w:b/>
                <w:bCs/>
                <w:color w:val="000000"/>
                <w:sz w:val="20"/>
                <w:lang w:val="en-US" w:eastAsia="zh-CN"/>
              </w:rPr>
              <w:t>之间</w:t>
            </w:r>
            <w:r w:rsidRPr="000C156A">
              <w:rPr>
                <w:rFonts w:cs="Calibri"/>
                <w:b/>
                <w:bCs/>
                <w:color w:val="000000"/>
                <w:sz w:val="20"/>
                <w:lang w:val="en-US" w:eastAsia="zh-CN"/>
              </w:rPr>
              <w:t>的差额</w:t>
            </w:r>
          </w:p>
        </w:tc>
      </w:tr>
      <w:tr w:rsidR="00686EC7" w:rsidRPr="000C156A" w14:paraId="32323983" w14:textId="77777777" w:rsidTr="00141BAA">
        <w:trPr>
          <w:trHeight w:val="450"/>
        </w:trPr>
        <w:tc>
          <w:tcPr>
            <w:tcW w:w="1198" w:type="pct"/>
            <w:vMerge/>
            <w:tcBorders>
              <w:top w:val="single" w:sz="4" w:space="0" w:color="auto"/>
              <w:left w:val="single" w:sz="4" w:space="0" w:color="auto"/>
              <w:bottom w:val="single" w:sz="4" w:space="0" w:color="000000"/>
              <w:right w:val="single" w:sz="4" w:space="0" w:color="auto"/>
            </w:tcBorders>
            <w:vAlign w:val="center"/>
            <w:hideMark/>
          </w:tcPr>
          <w:p w14:paraId="44181C63" w14:textId="77777777" w:rsidR="00686EC7" w:rsidRPr="000C156A" w:rsidRDefault="00686EC7" w:rsidP="00141BAA">
            <w:pPr>
              <w:overflowPunct/>
              <w:autoSpaceDE/>
              <w:autoSpaceDN/>
              <w:adjustRightInd/>
              <w:spacing w:before="0"/>
              <w:textAlignment w:val="auto"/>
              <w:rPr>
                <w:rFonts w:cs="Calibri"/>
                <w:b/>
                <w:bCs/>
                <w:color w:val="000000"/>
                <w:sz w:val="20"/>
                <w:lang w:val="en-US" w:eastAsia="zh-CN"/>
              </w:rPr>
            </w:pPr>
          </w:p>
        </w:tc>
        <w:tc>
          <w:tcPr>
            <w:tcW w:w="704" w:type="pct"/>
            <w:tcBorders>
              <w:top w:val="nil"/>
              <w:left w:val="nil"/>
              <w:bottom w:val="single" w:sz="4" w:space="0" w:color="auto"/>
              <w:right w:val="single" w:sz="4" w:space="0" w:color="auto"/>
            </w:tcBorders>
            <w:shd w:val="clear" w:color="auto" w:fill="auto"/>
            <w:vAlign w:val="center"/>
            <w:hideMark/>
          </w:tcPr>
          <w:p w14:paraId="6C05C865" w14:textId="77777777" w:rsidR="00686EC7" w:rsidRPr="000C156A" w:rsidRDefault="00686EC7" w:rsidP="00141BAA">
            <w:pPr>
              <w:overflowPunct/>
              <w:autoSpaceDE/>
              <w:autoSpaceDN/>
              <w:adjustRightInd/>
              <w:spacing w:before="0"/>
              <w:jc w:val="center"/>
              <w:textAlignment w:val="auto"/>
              <w:rPr>
                <w:rFonts w:cs="Calibri"/>
                <w:b/>
                <w:bCs/>
                <w:color w:val="000000"/>
                <w:sz w:val="20"/>
                <w:lang w:val="en-US" w:eastAsia="zh-CN"/>
              </w:rPr>
            </w:pPr>
            <w:r w:rsidRPr="000C156A">
              <w:rPr>
                <w:rFonts w:cs="Calibri"/>
                <w:b/>
                <w:bCs/>
                <w:color w:val="000000"/>
                <w:sz w:val="20"/>
                <w:lang w:val="en-US" w:eastAsia="zh-CN"/>
              </w:rPr>
              <w:t>最初预算</w:t>
            </w:r>
          </w:p>
        </w:tc>
        <w:tc>
          <w:tcPr>
            <w:tcW w:w="604" w:type="pct"/>
            <w:tcBorders>
              <w:top w:val="nil"/>
              <w:left w:val="nil"/>
              <w:bottom w:val="single" w:sz="4" w:space="0" w:color="auto"/>
              <w:right w:val="nil"/>
            </w:tcBorders>
            <w:shd w:val="clear" w:color="auto" w:fill="auto"/>
            <w:vAlign w:val="center"/>
            <w:hideMark/>
          </w:tcPr>
          <w:p w14:paraId="34E5C101" w14:textId="77777777" w:rsidR="00686EC7" w:rsidRPr="000C156A" w:rsidRDefault="00686EC7" w:rsidP="00141BAA">
            <w:pPr>
              <w:overflowPunct/>
              <w:autoSpaceDE/>
              <w:autoSpaceDN/>
              <w:adjustRightInd/>
              <w:spacing w:before="0"/>
              <w:jc w:val="center"/>
              <w:textAlignment w:val="auto"/>
              <w:rPr>
                <w:rFonts w:cs="Calibri"/>
                <w:b/>
                <w:bCs/>
                <w:color w:val="000000"/>
                <w:sz w:val="20"/>
                <w:lang w:val="en-US" w:eastAsia="zh-CN"/>
              </w:rPr>
            </w:pPr>
            <w:r w:rsidRPr="000C156A">
              <w:rPr>
                <w:rFonts w:cs="Calibri" w:hint="eastAsia"/>
                <w:b/>
                <w:bCs/>
                <w:color w:val="000000"/>
                <w:sz w:val="20"/>
                <w:lang w:val="en-US" w:eastAsia="zh-CN"/>
              </w:rPr>
              <w:t>递延活动</w:t>
            </w:r>
          </w:p>
        </w:tc>
        <w:tc>
          <w:tcPr>
            <w:tcW w:w="696" w:type="pct"/>
            <w:gridSpan w:val="2"/>
            <w:tcBorders>
              <w:top w:val="nil"/>
              <w:left w:val="nil"/>
              <w:bottom w:val="single" w:sz="4" w:space="0" w:color="auto"/>
              <w:right w:val="nil"/>
            </w:tcBorders>
            <w:shd w:val="clear" w:color="auto" w:fill="auto"/>
            <w:vAlign w:val="center"/>
            <w:hideMark/>
          </w:tcPr>
          <w:p w14:paraId="6D2A1602" w14:textId="77777777" w:rsidR="00686EC7" w:rsidRPr="000C156A" w:rsidRDefault="00686EC7" w:rsidP="00141BAA">
            <w:pPr>
              <w:overflowPunct/>
              <w:autoSpaceDE/>
              <w:autoSpaceDN/>
              <w:adjustRightInd/>
              <w:spacing w:before="0"/>
              <w:jc w:val="center"/>
              <w:textAlignment w:val="auto"/>
              <w:rPr>
                <w:rFonts w:cs="Calibri"/>
                <w:b/>
                <w:bCs/>
                <w:color w:val="000000"/>
                <w:sz w:val="20"/>
                <w:lang w:val="en-US" w:eastAsia="zh-CN"/>
              </w:rPr>
            </w:pPr>
            <w:r w:rsidRPr="000C156A">
              <w:rPr>
                <w:rFonts w:cs="Calibri" w:hint="eastAsia"/>
                <w:b/>
                <w:bCs/>
                <w:color w:val="000000"/>
                <w:sz w:val="20"/>
                <w:lang w:val="en-US" w:eastAsia="zh-CN"/>
              </w:rPr>
              <w:t>预算转账</w:t>
            </w:r>
          </w:p>
        </w:tc>
        <w:tc>
          <w:tcPr>
            <w:tcW w:w="602" w:type="pct"/>
            <w:tcBorders>
              <w:top w:val="nil"/>
              <w:left w:val="single" w:sz="4" w:space="0" w:color="auto"/>
              <w:bottom w:val="single" w:sz="4" w:space="0" w:color="auto"/>
              <w:right w:val="single" w:sz="4" w:space="0" w:color="auto"/>
            </w:tcBorders>
            <w:shd w:val="clear" w:color="auto" w:fill="auto"/>
            <w:vAlign w:val="center"/>
            <w:hideMark/>
          </w:tcPr>
          <w:p w14:paraId="029B31FB" w14:textId="77777777" w:rsidR="00686EC7" w:rsidRPr="000C156A" w:rsidRDefault="00686EC7" w:rsidP="00141BAA">
            <w:pPr>
              <w:overflowPunct/>
              <w:autoSpaceDE/>
              <w:autoSpaceDN/>
              <w:adjustRightInd/>
              <w:spacing w:before="0"/>
              <w:jc w:val="center"/>
              <w:textAlignment w:val="auto"/>
              <w:rPr>
                <w:rFonts w:cs="Calibri"/>
                <w:b/>
                <w:bCs/>
                <w:color w:val="000000"/>
                <w:sz w:val="20"/>
                <w:lang w:val="en-US" w:eastAsia="zh-CN"/>
              </w:rPr>
            </w:pPr>
            <w:r w:rsidRPr="000C156A">
              <w:rPr>
                <w:rFonts w:cs="Calibri"/>
                <w:b/>
                <w:bCs/>
                <w:color w:val="000000"/>
                <w:sz w:val="20"/>
                <w:lang w:val="en-US" w:eastAsia="zh-CN"/>
              </w:rPr>
              <w:t>最终预算</w:t>
            </w:r>
          </w:p>
        </w:tc>
        <w:tc>
          <w:tcPr>
            <w:tcW w:w="579" w:type="pct"/>
            <w:gridSpan w:val="2"/>
            <w:vMerge/>
            <w:tcBorders>
              <w:top w:val="single" w:sz="4" w:space="0" w:color="auto"/>
              <w:left w:val="single" w:sz="4" w:space="0" w:color="auto"/>
              <w:bottom w:val="single" w:sz="4" w:space="0" w:color="000000"/>
              <w:right w:val="single" w:sz="4" w:space="0" w:color="auto"/>
            </w:tcBorders>
            <w:vAlign w:val="center"/>
            <w:hideMark/>
          </w:tcPr>
          <w:p w14:paraId="16D9295A" w14:textId="77777777" w:rsidR="00686EC7" w:rsidRPr="000C156A" w:rsidRDefault="00686EC7" w:rsidP="00141BAA">
            <w:pPr>
              <w:overflowPunct/>
              <w:autoSpaceDE/>
              <w:autoSpaceDN/>
              <w:adjustRightInd/>
              <w:spacing w:before="0"/>
              <w:textAlignment w:val="auto"/>
              <w:rPr>
                <w:rFonts w:cs="Calibri"/>
                <w:b/>
                <w:bCs/>
                <w:color w:val="000000"/>
                <w:sz w:val="20"/>
                <w:lang w:val="en-US" w:eastAsia="zh-CN"/>
              </w:rPr>
            </w:pPr>
          </w:p>
        </w:tc>
        <w:tc>
          <w:tcPr>
            <w:tcW w:w="618" w:type="pct"/>
            <w:vMerge/>
            <w:tcBorders>
              <w:top w:val="single" w:sz="4" w:space="0" w:color="auto"/>
              <w:left w:val="single" w:sz="4" w:space="0" w:color="auto"/>
              <w:bottom w:val="single" w:sz="4" w:space="0" w:color="000000"/>
              <w:right w:val="single" w:sz="4" w:space="0" w:color="auto"/>
            </w:tcBorders>
            <w:vAlign w:val="center"/>
            <w:hideMark/>
          </w:tcPr>
          <w:p w14:paraId="241419E5" w14:textId="77777777" w:rsidR="00686EC7" w:rsidRPr="000C156A" w:rsidRDefault="00686EC7" w:rsidP="00141BAA">
            <w:pPr>
              <w:overflowPunct/>
              <w:autoSpaceDE/>
              <w:autoSpaceDN/>
              <w:adjustRightInd/>
              <w:spacing w:before="0"/>
              <w:textAlignment w:val="auto"/>
              <w:rPr>
                <w:rFonts w:cs="Calibri"/>
                <w:b/>
                <w:bCs/>
                <w:color w:val="000000"/>
                <w:sz w:val="20"/>
                <w:lang w:val="en-US" w:eastAsia="zh-CN"/>
              </w:rPr>
            </w:pPr>
          </w:p>
        </w:tc>
      </w:tr>
      <w:tr w:rsidR="00686EC7" w:rsidRPr="000C156A" w14:paraId="58E1B10B" w14:textId="77777777" w:rsidTr="00141BAA">
        <w:trPr>
          <w:trHeight w:val="300"/>
        </w:trPr>
        <w:tc>
          <w:tcPr>
            <w:tcW w:w="1198" w:type="pct"/>
            <w:vMerge/>
            <w:tcBorders>
              <w:top w:val="single" w:sz="4" w:space="0" w:color="auto"/>
              <w:left w:val="single" w:sz="4" w:space="0" w:color="auto"/>
              <w:bottom w:val="single" w:sz="4" w:space="0" w:color="000000"/>
              <w:right w:val="single" w:sz="4" w:space="0" w:color="auto"/>
            </w:tcBorders>
            <w:vAlign w:val="center"/>
            <w:hideMark/>
          </w:tcPr>
          <w:p w14:paraId="4BD52FD4" w14:textId="77777777" w:rsidR="00686EC7" w:rsidRPr="000C156A" w:rsidRDefault="00686EC7" w:rsidP="00141BAA">
            <w:pPr>
              <w:overflowPunct/>
              <w:autoSpaceDE/>
              <w:autoSpaceDN/>
              <w:adjustRightInd/>
              <w:spacing w:before="0"/>
              <w:textAlignment w:val="auto"/>
              <w:rPr>
                <w:rFonts w:cs="Calibri"/>
                <w:b/>
                <w:bCs/>
                <w:color w:val="000000"/>
                <w:sz w:val="20"/>
                <w:lang w:val="en-US" w:eastAsia="zh-CN"/>
              </w:rPr>
            </w:pPr>
          </w:p>
        </w:tc>
        <w:tc>
          <w:tcPr>
            <w:tcW w:w="704" w:type="pct"/>
            <w:tcBorders>
              <w:top w:val="nil"/>
              <w:left w:val="nil"/>
              <w:bottom w:val="single" w:sz="4" w:space="0" w:color="auto"/>
              <w:right w:val="single" w:sz="4" w:space="0" w:color="auto"/>
            </w:tcBorders>
            <w:shd w:val="clear" w:color="auto" w:fill="auto"/>
            <w:noWrap/>
            <w:vAlign w:val="center"/>
            <w:hideMark/>
          </w:tcPr>
          <w:p w14:paraId="4C98BEAB" w14:textId="77777777" w:rsidR="00686EC7" w:rsidRPr="000C156A" w:rsidRDefault="00686EC7" w:rsidP="00141BAA">
            <w:pPr>
              <w:overflowPunct/>
              <w:autoSpaceDE/>
              <w:autoSpaceDN/>
              <w:adjustRightInd/>
              <w:spacing w:before="0"/>
              <w:jc w:val="center"/>
              <w:textAlignment w:val="auto"/>
              <w:rPr>
                <w:rFonts w:eastAsiaTheme="minorEastAsia" w:cs="Calibri"/>
                <w:b/>
                <w:bCs/>
                <w:color w:val="000000"/>
                <w:sz w:val="18"/>
                <w:szCs w:val="18"/>
                <w:lang w:val="en-US" w:eastAsia="zh-CN"/>
              </w:rPr>
            </w:pPr>
            <w:r w:rsidRPr="000C156A">
              <w:rPr>
                <w:rFonts w:eastAsiaTheme="minorEastAsia" w:cs="Calibri"/>
                <w:b/>
                <w:bCs/>
                <w:color w:val="000000"/>
                <w:sz w:val="18"/>
                <w:szCs w:val="18"/>
                <w:lang w:val="en-US" w:eastAsia="zh-CN"/>
              </w:rPr>
              <w:t>2020</w:t>
            </w:r>
            <w:r w:rsidRPr="000C156A">
              <w:rPr>
                <w:rFonts w:eastAsiaTheme="minorEastAsia" w:cs="Calibri"/>
                <w:b/>
                <w:bCs/>
                <w:color w:val="000000"/>
                <w:sz w:val="18"/>
                <w:szCs w:val="18"/>
                <w:lang w:val="en-US" w:eastAsia="zh-CN"/>
              </w:rPr>
              <w:t>年</w:t>
            </w:r>
            <w:r w:rsidRPr="000C156A">
              <w:rPr>
                <w:rFonts w:eastAsiaTheme="minorEastAsia" w:cs="Calibri"/>
                <w:b/>
                <w:bCs/>
                <w:color w:val="000000"/>
                <w:sz w:val="18"/>
                <w:szCs w:val="18"/>
                <w:lang w:val="en-US" w:eastAsia="zh-CN"/>
              </w:rPr>
              <w:br/>
              <w:t>12</w:t>
            </w:r>
            <w:r w:rsidRPr="000C156A">
              <w:rPr>
                <w:rFonts w:eastAsiaTheme="minorEastAsia" w:cs="Calibri"/>
                <w:b/>
                <w:bCs/>
                <w:color w:val="000000"/>
                <w:sz w:val="18"/>
                <w:szCs w:val="18"/>
                <w:lang w:val="en-US" w:eastAsia="zh-CN"/>
              </w:rPr>
              <w:t>月</w:t>
            </w:r>
            <w:r w:rsidRPr="000C156A">
              <w:rPr>
                <w:rFonts w:eastAsiaTheme="minorEastAsia" w:cs="Calibri"/>
                <w:b/>
                <w:bCs/>
                <w:color w:val="000000"/>
                <w:sz w:val="18"/>
                <w:szCs w:val="18"/>
                <w:lang w:val="en-US" w:eastAsia="zh-CN"/>
              </w:rPr>
              <w:t>31</w:t>
            </w:r>
            <w:r w:rsidRPr="000C156A">
              <w:rPr>
                <w:rFonts w:eastAsiaTheme="minorEastAsia" w:cs="Calibri"/>
                <w:b/>
                <w:bCs/>
                <w:color w:val="000000"/>
                <w:sz w:val="18"/>
                <w:szCs w:val="18"/>
                <w:lang w:val="en-US" w:eastAsia="zh-CN"/>
              </w:rPr>
              <w:t>日</w:t>
            </w:r>
          </w:p>
        </w:tc>
        <w:tc>
          <w:tcPr>
            <w:tcW w:w="604" w:type="pct"/>
            <w:tcBorders>
              <w:top w:val="nil"/>
              <w:left w:val="nil"/>
              <w:bottom w:val="single" w:sz="4" w:space="0" w:color="auto"/>
              <w:right w:val="single" w:sz="4" w:space="0" w:color="auto"/>
            </w:tcBorders>
            <w:shd w:val="clear" w:color="auto" w:fill="auto"/>
            <w:noWrap/>
            <w:hideMark/>
          </w:tcPr>
          <w:p w14:paraId="1AD77A1E" w14:textId="77777777" w:rsidR="00686EC7" w:rsidRPr="000C156A" w:rsidRDefault="00686EC7" w:rsidP="00141BAA">
            <w:pPr>
              <w:spacing w:before="0"/>
              <w:jc w:val="center"/>
              <w:rPr>
                <w:rFonts w:eastAsiaTheme="minorEastAsia" w:cs="Calibri"/>
                <w:sz w:val="18"/>
                <w:szCs w:val="18"/>
                <w:lang w:eastAsia="zh-CN"/>
              </w:rPr>
            </w:pPr>
            <w:r w:rsidRPr="000C156A">
              <w:rPr>
                <w:rFonts w:eastAsiaTheme="minorEastAsia" w:cs="Calibri"/>
                <w:b/>
                <w:bCs/>
                <w:color w:val="000000"/>
                <w:sz w:val="18"/>
                <w:szCs w:val="18"/>
                <w:lang w:val="en-US" w:eastAsia="zh-CN"/>
              </w:rPr>
              <w:t>2020</w:t>
            </w:r>
            <w:r w:rsidRPr="000C156A">
              <w:rPr>
                <w:rFonts w:eastAsiaTheme="minorEastAsia" w:cs="Calibri"/>
                <w:b/>
                <w:bCs/>
                <w:color w:val="000000"/>
                <w:sz w:val="18"/>
                <w:szCs w:val="18"/>
                <w:lang w:val="en-US" w:eastAsia="zh-CN"/>
              </w:rPr>
              <w:t>年</w:t>
            </w:r>
            <w:r w:rsidRPr="000C156A">
              <w:rPr>
                <w:rFonts w:eastAsiaTheme="minorEastAsia" w:cs="Calibri"/>
                <w:b/>
                <w:bCs/>
                <w:color w:val="000000"/>
                <w:sz w:val="18"/>
                <w:szCs w:val="18"/>
                <w:lang w:val="en-US" w:eastAsia="zh-CN"/>
              </w:rPr>
              <w:br/>
              <w:t>12</w:t>
            </w:r>
            <w:r w:rsidRPr="000C156A">
              <w:rPr>
                <w:rFonts w:eastAsiaTheme="minorEastAsia" w:cs="Calibri"/>
                <w:b/>
                <w:bCs/>
                <w:color w:val="000000"/>
                <w:sz w:val="18"/>
                <w:szCs w:val="18"/>
                <w:lang w:val="en-US" w:eastAsia="zh-CN"/>
              </w:rPr>
              <w:t>月</w:t>
            </w:r>
            <w:r w:rsidRPr="000C156A">
              <w:rPr>
                <w:rFonts w:eastAsiaTheme="minorEastAsia" w:cs="Calibri"/>
                <w:b/>
                <w:bCs/>
                <w:color w:val="000000"/>
                <w:sz w:val="18"/>
                <w:szCs w:val="18"/>
                <w:lang w:val="en-US" w:eastAsia="zh-CN"/>
              </w:rPr>
              <w:t>31</w:t>
            </w:r>
            <w:r w:rsidRPr="000C156A">
              <w:rPr>
                <w:rFonts w:eastAsiaTheme="minorEastAsia" w:cs="Calibri"/>
                <w:b/>
                <w:bCs/>
                <w:color w:val="000000"/>
                <w:sz w:val="18"/>
                <w:szCs w:val="18"/>
                <w:lang w:val="en-US" w:eastAsia="zh-CN"/>
              </w:rPr>
              <w:t>日</w:t>
            </w:r>
          </w:p>
        </w:tc>
        <w:tc>
          <w:tcPr>
            <w:tcW w:w="696" w:type="pct"/>
            <w:gridSpan w:val="2"/>
            <w:tcBorders>
              <w:top w:val="nil"/>
              <w:left w:val="nil"/>
              <w:bottom w:val="single" w:sz="4" w:space="0" w:color="auto"/>
              <w:right w:val="single" w:sz="4" w:space="0" w:color="auto"/>
            </w:tcBorders>
            <w:shd w:val="clear" w:color="auto" w:fill="auto"/>
            <w:noWrap/>
            <w:hideMark/>
          </w:tcPr>
          <w:p w14:paraId="57749C20" w14:textId="77777777" w:rsidR="00686EC7" w:rsidRPr="000C156A" w:rsidRDefault="00686EC7" w:rsidP="00141BAA">
            <w:pPr>
              <w:spacing w:before="0"/>
              <w:jc w:val="center"/>
              <w:rPr>
                <w:rFonts w:eastAsiaTheme="minorEastAsia" w:cs="Calibri"/>
                <w:sz w:val="18"/>
                <w:szCs w:val="18"/>
                <w:lang w:eastAsia="zh-CN"/>
              </w:rPr>
            </w:pPr>
            <w:r w:rsidRPr="000C156A">
              <w:rPr>
                <w:rFonts w:eastAsiaTheme="minorEastAsia" w:cs="Calibri"/>
                <w:b/>
                <w:bCs/>
                <w:color w:val="000000"/>
                <w:sz w:val="18"/>
                <w:szCs w:val="18"/>
                <w:lang w:val="en-US" w:eastAsia="zh-CN"/>
              </w:rPr>
              <w:t>2020</w:t>
            </w:r>
            <w:r w:rsidRPr="000C156A">
              <w:rPr>
                <w:rFonts w:eastAsiaTheme="minorEastAsia" w:cs="Calibri"/>
                <w:b/>
                <w:bCs/>
                <w:color w:val="000000"/>
                <w:sz w:val="18"/>
                <w:szCs w:val="18"/>
                <w:lang w:val="en-US" w:eastAsia="zh-CN"/>
              </w:rPr>
              <w:t>年</w:t>
            </w:r>
            <w:r w:rsidRPr="000C156A">
              <w:rPr>
                <w:rFonts w:eastAsiaTheme="minorEastAsia" w:cs="Calibri"/>
                <w:b/>
                <w:bCs/>
                <w:color w:val="000000"/>
                <w:sz w:val="18"/>
                <w:szCs w:val="18"/>
                <w:lang w:val="en-US" w:eastAsia="zh-CN"/>
              </w:rPr>
              <w:br/>
              <w:t>12</w:t>
            </w:r>
            <w:r w:rsidRPr="000C156A">
              <w:rPr>
                <w:rFonts w:eastAsiaTheme="minorEastAsia" w:cs="Calibri"/>
                <w:b/>
                <w:bCs/>
                <w:color w:val="000000"/>
                <w:sz w:val="18"/>
                <w:szCs w:val="18"/>
                <w:lang w:val="en-US" w:eastAsia="zh-CN"/>
              </w:rPr>
              <w:t>月</w:t>
            </w:r>
            <w:r w:rsidRPr="000C156A">
              <w:rPr>
                <w:rFonts w:eastAsiaTheme="minorEastAsia" w:cs="Calibri"/>
                <w:b/>
                <w:bCs/>
                <w:color w:val="000000"/>
                <w:sz w:val="18"/>
                <w:szCs w:val="18"/>
                <w:lang w:val="en-US" w:eastAsia="zh-CN"/>
              </w:rPr>
              <w:t>31</w:t>
            </w:r>
            <w:r w:rsidRPr="000C156A">
              <w:rPr>
                <w:rFonts w:eastAsiaTheme="minorEastAsia" w:cs="Calibri"/>
                <w:b/>
                <w:bCs/>
                <w:color w:val="000000"/>
                <w:sz w:val="18"/>
                <w:szCs w:val="18"/>
                <w:lang w:val="en-US" w:eastAsia="zh-CN"/>
              </w:rPr>
              <w:t>日</w:t>
            </w:r>
          </w:p>
        </w:tc>
        <w:tc>
          <w:tcPr>
            <w:tcW w:w="602" w:type="pct"/>
            <w:tcBorders>
              <w:top w:val="nil"/>
              <w:left w:val="nil"/>
              <w:bottom w:val="single" w:sz="4" w:space="0" w:color="auto"/>
              <w:right w:val="single" w:sz="4" w:space="0" w:color="auto"/>
            </w:tcBorders>
            <w:shd w:val="clear" w:color="auto" w:fill="auto"/>
            <w:noWrap/>
            <w:hideMark/>
          </w:tcPr>
          <w:p w14:paraId="2F965F8D" w14:textId="77777777" w:rsidR="00686EC7" w:rsidRPr="000C156A" w:rsidRDefault="00686EC7" w:rsidP="00141BAA">
            <w:pPr>
              <w:spacing w:before="0"/>
              <w:jc w:val="center"/>
              <w:rPr>
                <w:rFonts w:eastAsiaTheme="minorEastAsia" w:cs="Calibri"/>
                <w:sz w:val="18"/>
                <w:szCs w:val="18"/>
                <w:lang w:eastAsia="zh-CN"/>
              </w:rPr>
            </w:pPr>
            <w:r w:rsidRPr="000C156A">
              <w:rPr>
                <w:rFonts w:eastAsiaTheme="minorEastAsia" w:cs="Calibri"/>
                <w:b/>
                <w:bCs/>
                <w:color w:val="000000"/>
                <w:sz w:val="18"/>
                <w:szCs w:val="18"/>
                <w:lang w:val="en-US" w:eastAsia="zh-CN"/>
              </w:rPr>
              <w:t>2020</w:t>
            </w:r>
            <w:r w:rsidRPr="000C156A">
              <w:rPr>
                <w:rFonts w:eastAsiaTheme="minorEastAsia" w:cs="Calibri"/>
                <w:b/>
                <w:bCs/>
                <w:color w:val="000000"/>
                <w:sz w:val="18"/>
                <w:szCs w:val="18"/>
                <w:lang w:val="en-US" w:eastAsia="zh-CN"/>
              </w:rPr>
              <w:t>年</w:t>
            </w:r>
            <w:r w:rsidRPr="000C156A">
              <w:rPr>
                <w:rFonts w:eastAsiaTheme="minorEastAsia" w:cs="Calibri"/>
                <w:b/>
                <w:bCs/>
                <w:color w:val="000000"/>
                <w:sz w:val="18"/>
                <w:szCs w:val="18"/>
                <w:lang w:val="en-US" w:eastAsia="zh-CN"/>
              </w:rPr>
              <w:br/>
              <w:t>12</w:t>
            </w:r>
            <w:r w:rsidRPr="000C156A">
              <w:rPr>
                <w:rFonts w:eastAsiaTheme="minorEastAsia" w:cs="Calibri"/>
                <w:b/>
                <w:bCs/>
                <w:color w:val="000000"/>
                <w:sz w:val="18"/>
                <w:szCs w:val="18"/>
                <w:lang w:val="en-US" w:eastAsia="zh-CN"/>
              </w:rPr>
              <w:t>月</w:t>
            </w:r>
            <w:r w:rsidRPr="000C156A">
              <w:rPr>
                <w:rFonts w:eastAsiaTheme="minorEastAsia" w:cs="Calibri"/>
                <w:b/>
                <w:bCs/>
                <w:color w:val="000000"/>
                <w:sz w:val="18"/>
                <w:szCs w:val="18"/>
                <w:lang w:val="en-US" w:eastAsia="zh-CN"/>
              </w:rPr>
              <w:t>31</w:t>
            </w:r>
            <w:r w:rsidRPr="000C156A">
              <w:rPr>
                <w:rFonts w:eastAsiaTheme="minorEastAsia" w:cs="Calibri"/>
                <w:b/>
                <w:bCs/>
                <w:color w:val="000000"/>
                <w:sz w:val="18"/>
                <w:szCs w:val="18"/>
                <w:lang w:val="en-US" w:eastAsia="zh-CN"/>
              </w:rPr>
              <w:t>日</w:t>
            </w:r>
          </w:p>
        </w:tc>
        <w:tc>
          <w:tcPr>
            <w:tcW w:w="579" w:type="pct"/>
            <w:gridSpan w:val="2"/>
            <w:tcBorders>
              <w:top w:val="nil"/>
              <w:left w:val="nil"/>
              <w:bottom w:val="single" w:sz="4" w:space="0" w:color="auto"/>
              <w:right w:val="single" w:sz="4" w:space="0" w:color="auto"/>
            </w:tcBorders>
            <w:shd w:val="clear" w:color="auto" w:fill="auto"/>
            <w:noWrap/>
            <w:hideMark/>
          </w:tcPr>
          <w:p w14:paraId="36DC7B97" w14:textId="77777777" w:rsidR="00686EC7" w:rsidRPr="000C156A" w:rsidRDefault="00686EC7" w:rsidP="00141BAA">
            <w:pPr>
              <w:spacing w:before="0"/>
              <w:jc w:val="center"/>
              <w:rPr>
                <w:rFonts w:eastAsiaTheme="minorEastAsia" w:cs="Calibri"/>
                <w:sz w:val="18"/>
                <w:szCs w:val="18"/>
                <w:lang w:eastAsia="zh-CN"/>
              </w:rPr>
            </w:pPr>
            <w:r w:rsidRPr="000C156A">
              <w:rPr>
                <w:rFonts w:eastAsiaTheme="minorEastAsia" w:cs="Calibri"/>
                <w:b/>
                <w:bCs/>
                <w:color w:val="000000"/>
                <w:sz w:val="18"/>
                <w:szCs w:val="18"/>
                <w:lang w:val="en-US" w:eastAsia="zh-CN"/>
              </w:rPr>
              <w:t>2020</w:t>
            </w:r>
            <w:r w:rsidRPr="000C156A">
              <w:rPr>
                <w:rFonts w:eastAsiaTheme="minorEastAsia" w:cs="Calibri"/>
                <w:b/>
                <w:bCs/>
                <w:color w:val="000000"/>
                <w:sz w:val="18"/>
                <w:szCs w:val="18"/>
                <w:lang w:val="en-US" w:eastAsia="zh-CN"/>
              </w:rPr>
              <w:t>年</w:t>
            </w:r>
            <w:r w:rsidRPr="000C156A">
              <w:rPr>
                <w:rFonts w:eastAsiaTheme="minorEastAsia" w:cs="Calibri"/>
                <w:b/>
                <w:bCs/>
                <w:color w:val="000000"/>
                <w:sz w:val="18"/>
                <w:szCs w:val="18"/>
                <w:lang w:val="en-US" w:eastAsia="zh-CN"/>
              </w:rPr>
              <w:br/>
              <w:t>12</w:t>
            </w:r>
            <w:r w:rsidRPr="000C156A">
              <w:rPr>
                <w:rFonts w:eastAsiaTheme="minorEastAsia" w:cs="Calibri"/>
                <w:b/>
                <w:bCs/>
                <w:color w:val="000000"/>
                <w:sz w:val="18"/>
                <w:szCs w:val="18"/>
                <w:lang w:val="en-US" w:eastAsia="zh-CN"/>
              </w:rPr>
              <w:t>月</w:t>
            </w:r>
            <w:r w:rsidRPr="000C156A">
              <w:rPr>
                <w:rFonts w:eastAsiaTheme="minorEastAsia" w:cs="Calibri"/>
                <w:b/>
                <w:bCs/>
                <w:color w:val="000000"/>
                <w:sz w:val="18"/>
                <w:szCs w:val="18"/>
                <w:lang w:val="en-US" w:eastAsia="zh-CN"/>
              </w:rPr>
              <w:t>31</w:t>
            </w:r>
            <w:r w:rsidRPr="000C156A">
              <w:rPr>
                <w:rFonts w:eastAsiaTheme="minorEastAsia" w:cs="Calibri"/>
                <w:b/>
                <w:bCs/>
                <w:color w:val="000000"/>
                <w:sz w:val="18"/>
                <w:szCs w:val="18"/>
                <w:lang w:val="en-US" w:eastAsia="zh-CN"/>
              </w:rPr>
              <w:t>日</w:t>
            </w:r>
          </w:p>
        </w:tc>
        <w:tc>
          <w:tcPr>
            <w:tcW w:w="618" w:type="pct"/>
            <w:tcBorders>
              <w:top w:val="nil"/>
              <w:left w:val="nil"/>
              <w:bottom w:val="single" w:sz="4" w:space="0" w:color="auto"/>
              <w:right w:val="single" w:sz="4" w:space="0" w:color="auto"/>
            </w:tcBorders>
            <w:shd w:val="clear" w:color="auto" w:fill="auto"/>
            <w:noWrap/>
            <w:hideMark/>
          </w:tcPr>
          <w:p w14:paraId="437E21C1" w14:textId="77777777" w:rsidR="00686EC7" w:rsidRPr="000C156A" w:rsidRDefault="00686EC7" w:rsidP="00141BAA">
            <w:pPr>
              <w:spacing w:before="0"/>
              <w:jc w:val="center"/>
              <w:rPr>
                <w:rFonts w:eastAsiaTheme="minorEastAsia" w:cs="Calibri"/>
                <w:sz w:val="18"/>
                <w:szCs w:val="18"/>
                <w:lang w:eastAsia="zh-CN"/>
              </w:rPr>
            </w:pPr>
            <w:r w:rsidRPr="000C156A">
              <w:rPr>
                <w:rFonts w:eastAsiaTheme="minorEastAsia" w:cs="Calibri"/>
                <w:b/>
                <w:bCs/>
                <w:color w:val="000000"/>
                <w:sz w:val="18"/>
                <w:szCs w:val="18"/>
                <w:lang w:val="en-US" w:eastAsia="zh-CN"/>
              </w:rPr>
              <w:t>2020</w:t>
            </w:r>
            <w:r w:rsidRPr="000C156A">
              <w:rPr>
                <w:rFonts w:eastAsiaTheme="minorEastAsia" w:cs="Calibri"/>
                <w:b/>
                <w:bCs/>
                <w:color w:val="000000"/>
                <w:sz w:val="18"/>
                <w:szCs w:val="18"/>
                <w:lang w:val="en-US" w:eastAsia="zh-CN"/>
              </w:rPr>
              <w:t>年</w:t>
            </w:r>
            <w:r w:rsidRPr="000C156A">
              <w:rPr>
                <w:rFonts w:eastAsiaTheme="minorEastAsia" w:cs="Calibri"/>
                <w:b/>
                <w:bCs/>
                <w:color w:val="000000"/>
                <w:sz w:val="18"/>
                <w:szCs w:val="18"/>
                <w:lang w:val="en-US" w:eastAsia="zh-CN"/>
              </w:rPr>
              <w:br/>
              <w:t>12</w:t>
            </w:r>
            <w:r w:rsidRPr="000C156A">
              <w:rPr>
                <w:rFonts w:eastAsiaTheme="minorEastAsia" w:cs="Calibri"/>
                <w:b/>
                <w:bCs/>
                <w:color w:val="000000"/>
                <w:sz w:val="18"/>
                <w:szCs w:val="18"/>
                <w:lang w:val="en-US" w:eastAsia="zh-CN"/>
              </w:rPr>
              <w:t>月</w:t>
            </w:r>
            <w:r w:rsidRPr="000C156A">
              <w:rPr>
                <w:rFonts w:eastAsiaTheme="minorEastAsia" w:cs="Calibri"/>
                <w:b/>
                <w:bCs/>
                <w:color w:val="000000"/>
                <w:sz w:val="18"/>
                <w:szCs w:val="18"/>
                <w:lang w:val="en-US" w:eastAsia="zh-CN"/>
              </w:rPr>
              <w:t>31</w:t>
            </w:r>
            <w:r w:rsidRPr="000C156A">
              <w:rPr>
                <w:rFonts w:eastAsiaTheme="minorEastAsia" w:cs="Calibri"/>
                <w:b/>
                <w:bCs/>
                <w:color w:val="000000"/>
                <w:sz w:val="18"/>
                <w:szCs w:val="18"/>
                <w:lang w:val="en-US" w:eastAsia="zh-CN"/>
              </w:rPr>
              <w:t>日</w:t>
            </w:r>
          </w:p>
        </w:tc>
      </w:tr>
      <w:tr w:rsidR="00686EC7" w:rsidRPr="000C156A" w14:paraId="649DB632" w14:textId="77777777" w:rsidTr="00141BAA">
        <w:trPr>
          <w:trHeight w:val="300"/>
        </w:trPr>
        <w:tc>
          <w:tcPr>
            <w:tcW w:w="1198" w:type="pct"/>
            <w:tcBorders>
              <w:top w:val="nil"/>
              <w:left w:val="single" w:sz="4" w:space="0" w:color="auto"/>
              <w:bottom w:val="nil"/>
              <w:right w:val="nil"/>
            </w:tcBorders>
            <w:shd w:val="clear" w:color="auto" w:fill="auto"/>
            <w:noWrap/>
            <w:vAlign w:val="center"/>
            <w:hideMark/>
          </w:tcPr>
          <w:p w14:paraId="6551DB38" w14:textId="77777777" w:rsidR="00686EC7" w:rsidRPr="000C156A" w:rsidRDefault="00686EC7" w:rsidP="00141BAA">
            <w:pPr>
              <w:overflowPunct/>
              <w:autoSpaceDE/>
              <w:autoSpaceDN/>
              <w:adjustRightInd/>
              <w:spacing w:before="0"/>
              <w:textAlignment w:val="auto"/>
              <w:rPr>
                <w:rFonts w:cs="Calibri"/>
                <w:color w:val="000000"/>
                <w:sz w:val="20"/>
                <w:lang w:val="en-US" w:eastAsia="zh-CN"/>
              </w:rPr>
            </w:pPr>
            <w:r w:rsidRPr="000C156A">
              <w:rPr>
                <w:rFonts w:cs="Calibri"/>
                <w:color w:val="000000"/>
                <w:sz w:val="20"/>
                <w:lang w:val="en-US" w:eastAsia="zh-CN"/>
              </w:rPr>
              <w:t> </w:t>
            </w:r>
          </w:p>
        </w:tc>
        <w:tc>
          <w:tcPr>
            <w:tcW w:w="704" w:type="pct"/>
            <w:tcBorders>
              <w:top w:val="nil"/>
              <w:left w:val="single" w:sz="4" w:space="0" w:color="auto"/>
              <w:bottom w:val="nil"/>
              <w:right w:val="single" w:sz="4" w:space="0" w:color="auto"/>
            </w:tcBorders>
            <w:shd w:val="clear" w:color="auto" w:fill="auto"/>
            <w:noWrap/>
            <w:vAlign w:val="center"/>
          </w:tcPr>
          <w:p w14:paraId="1053E696" w14:textId="77777777" w:rsidR="00686EC7" w:rsidRPr="000C156A" w:rsidRDefault="00686EC7" w:rsidP="00141BAA">
            <w:pPr>
              <w:overflowPunct/>
              <w:autoSpaceDE/>
              <w:autoSpaceDN/>
              <w:adjustRightInd/>
              <w:spacing w:before="0"/>
              <w:jc w:val="center"/>
              <w:textAlignment w:val="auto"/>
              <w:rPr>
                <w:rFonts w:cs="Calibri"/>
                <w:color w:val="000000"/>
                <w:sz w:val="16"/>
                <w:szCs w:val="16"/>
                <w:lang w:eastAsia="zh-CN"/>
              </w:rPr>
            </w:pPr>
          </w:p>
        </w:tc>
        <w:tc>
          <w:tcPr>
            <w:tcW w:w="604" w:type="pct"/>
            <w:tcBorders>
              <w:top w:val="nil"/>
              <w:left w:val="nil"/>
              <w:bottom w:val="nil"/>
              <w:right w:val="single" w:sz="4" w:space="0" w:color="auto"/>
            </w:tcBorders>
            <w:shd w:val="clear" w:color="auto" w:fill="auto"/>
            <w:noWrap/>
            <w:vAlign w:val="center"/>
          </w:tcPr>
          <w:p w14:paraId="7DC1C9E7" w14:textId="77777777" w:rsidR="00686EC7" w:rsidRPr="000C156A" w:rsidRDefault="00686EC7" w:rsidP="00141BAA">
            <w:pPr>
              <w:overflowPunct/>
              <w:autoSpaceDE/>
              <w:autoSpaceDN/>
              <w:adjustRightInd/>
              <w:spacing w:before="0"/>
              <w:jc w:val="center"/>
              <w:textAlignment w:val="auto"/>
              <w:rPr>
                <w:rFonts w:cs="Calibri"/>
                <w:color w:val="000000"/>
                <w:sz w:val="16"/>
                <w:szCs w:val="16"/>
                <w:lang w:eastAsia="zh-CN"/>
              </w:rPr>
            </w:pPr>
          </w:p>
        </w:tc>
        <w:tc>
          <w:tcPr>
            <w:tcW w:w="696" w:type="pct"/>
            <w:gridSpan w:val="2"/>
            <w:tcBorders>
              <w:top w:val="nil"/>
              <w:left w:val="nil"/>
              <w:bottom w:val="nil"/>
              <w:right w:val="single" w:sz="4" w:space="0" w:color="auto"/>
            </w:tcBorders>
            <w:shd w:val="clear" w:color="auto" w:fill="auto"/>
            <w:noWrap/>
            <w:vAlign w:val="center"/>
          </w:tcPr>
          <w:p w14:paraId="0E6B92B7" w14:textId="77777777" w:rsidR="00686EC7" w:rsidRPr="000C156A" w:rsidRDefault="00686EC7" w:rsidP="00141BAA">
            <w:pPr>
              <w:overflowPunct/>
              <w:autoSpaceDE/>
              <w:autoSpaceDN/>
              <w:adjustRightInd/>
              <w:spacing w:before="0"/>
              <w:jc w:val="center"/>
              <w:textAlignment w:val="auto"/>
              <w:rPr>
                <w:rFonts w:cs="Calibri"/>
                <w:color w:val="000000"/>
                <w:sz w:val="16"/>
                <w:szCs w:val="16"/>
                <w:lang w:eastAsia="zh-CN"/>
              </w:rPr>
            </w:pPr>
          </w:p>
        </w:tc>
        <w:tc>
          <w:tcPr>
            <w:tcW w:w="602" w:type="pct"/>
            <w:tcBorders>
              <w:top w:val="nil"/>
              <w:left w:val="nil"/>
              <w:bottom w:val="nil"/>
              <w:right w:val="single" w:sz="4" w:space="0" w:color="auto"/>
            </w:tcBorders>
            <w:shd w:val="clear" w:color="auto" w:fill="auto"/>
            <w:noWrap/>
            <w:vAlign w:val="center"/>
          </w:tcPr>
          <w:p w14:paraId="4FE82A41" w14:textId="77777777" w:rsidR="00686EC7" w:rsidRPr="000C156A" w:rsidRDefault="00686EC7" w:rsidP="00141BAA">
            <w:pPr>
              <w:overflowPunct/>
              <w:autoSpaceDE/>
              <w:autoSpaceDN/>
              <w:adjustRightInd/>
              <w:spacing w:before="0"/>
              <w:jc w:val="center"/>
              <w:textAlignment w:val="auto"/>
              <w:rPr>
                <w:rFonts w:cs="Calibri"/>
                <w:color w:val="000000"/>
                <w:sz w:val="16"/>
                <w:szCs w:val="16"/>
                <w:lang w:eastAsia="zh-CN"/>
              </w:rPr>
            </w:pPr>
          </w:p>
        </w:tc>
        <w:tc>
          <w:tcPr>
            <w:tcW w:w="579" w:type="pct"/>
            <w:gridSpan w:val="2"/>
            <w:tcBorders>
              <w:top w:val="nil"/>
              <w:left w:val="nil"/>
              <w:bottom w:val="nil"/>
              <w:right w:val="single" w:sz="4" w:space="0" w:color="auto"/>
            </w:tcBorders>
            <w:shd w:val="clear" w:color="auto" w:fill="auto"/>
            <w:noWrap/>
            <w:vAlign w:val="center"/>
          </w:tcPr>
          <w:p w14:paraId="18A9ED29" w14:textId="77777777" w:rsidR="00686EC7" w:rsidRPr="000C156A" w:rsidRDefault="00686EC7" w:rsidP="00141BAA">
            <w:pPr>
              <w:overflowPunct/>
              <w:autoSpaceDE/>
              <w:autoSpaceDN/>
              <w:adjustRightInd/>
              <w:spacing w:before="0"/>
              <w:jc w:val="center"/>
              <w:textAlignment w:val="auto"/>
              <w:rPr>
                <w:rFonts w:cs="Calibri"/>
                <w:color w:val="000000"/>
                <w:sz w:val="16"/>
                <w:szCs w:val="16"/>
                <w:lang w:eastAsia="zh-CN"/>
              </w:rPr>
            </w:pPr>
          </w:p>
        </w:tc>
        <w:tc>
          <w:tcPr>
            <w:tcW w:w="618" w:type="pct"/>
            <w:tcBorders>
              <w:top w:val="nil"/>
              <w:left w:val="nil"/>
              <w:bottom w:val="nil"/>
              <w:right w:val="single" w:sz="4" w:space="0" w:color="auto"/>
            </w:tcBorders>
            <w:shd w:val="clear" w:color="auto" w:fill="auto"/>
            <w:noWrap/>
            <w:vAlign w:val="center"/>
          </w:tcPr>
          <w:p w14:paraId="49FC06CD" w14:textId="77777777" w:rsidR="00686EC7" w:rsidRPr="000C156A" w:rsidRDefault="00686EC7" w:rsidP="00141BAA">
            <w:pPr>
              <w:overflowPunct/>
              <w:autoSpaceDE/>
              <w:autoSpaceDN/>
              <w:adjustRightInd/>
              <w:spacing w:before="0"/>
              <w:jc w:val="center"/>
              <w:textAlignment w:val="auto"/>
              <w:rPr>
                <w:rFonts w:cs="Calibri"/>
                <w:color w:val="000000"/>
                <w:sz w:val="16"/>
                <w:szCs w:val="16"/>
                <w:lang w:eastAsia="zh-CN"/>
              </w:rPr>
            </w:pPr>
          </w:p>
        </w:tc>
      </w:tr>
      <w:tr w:rsidR="00686EC7" w:rsidRPr="000C156A" w14:paraId="709D7211" w14:textId="77777777" w:rsidTr="00141BAA">
        <w:trPr>
          <w:trHeight w:val="300"/>
        </w:trPr>
        <w:tc>
          <w:tcPr>
            <w:tcW w:w="1198" w:type="pct"/>
            <w:tcBorders>
              <w:top w:val="nil"/>
              <w:left w:val="single" w:sz="4" w:space="0" w:color="auto"/>
              <w:bottom w:val="nil"/>
              <w:right w:val="nil"/>
            </w:tcBorders>
            <w:shd w:val="clear" w:color="auto" w:fill="auto"/>
            <w:vAlign w:val="bottom"/>
            <w:hideMark/>
          </w:tcPr>
          <w:p w14:paraId="11638032" w14:textId="77777777" w:rsidR="00686EC7" w:rsidRPr="000C156A" w:rsidRDefault="00686EC7" w:rsidP="00141BAA">
            <w:pPr>
              <w:overflowPunct/>
              <w:adjustRightInd/>
              <w:spacing w:before="0"/>
              <w:textAlignment w:val="auto"/>
              <w:rPr>
                <w:rFonts w:ascii="STKaiti" w:eastAsia="STKaiti" w:hAnsi="STKaiti" w:cs="Calibri"/>
                <w:color w:val="000000"/>
                <w:sz w:val="20"/>
                <w:lang w:val="en-US" w:eastAsia="zh-CN"/>
              </w:rPr>
            </w:pPr>
            <w:r w:rsidRPr="000C156A">
              <w:rPr>
                <w:rFonts w:ascii="STKaiti" w:eastAsia="STKaiti" w:hAnsi="STKaiti" w:cs="Calibri" w:hint="eastAsia"/>
                <w:color w:val="000000"/>
                <w:sz w:val="20"/>
                <w:lang w:val="en-US" w:eastAsia="zh-CN"/>
              </w:rPr>
              <w:t>成员国分摊会费</w:t>
            </w:r>
          </w:p>
        </w:tc>
        <w:tc>
          <w:tcPr>
            <w:tcW w:w="704" w:type="pct"/>
            <w:tcBorders>
              <w:top w:val="nil"/>
              <w:left w:val="single" w:sz="4" w:space="0" w:color="auto"/>
              <w:bottom w:val="nil"/>
              <w:right w:val="single" w:sz="4" w:space="0" w:color="auto"/>
            </w:tcBorders>
            <w:shd w:val="clear" w:color="auto" w:fill="auto"/>
            <w:noWrap/>
            <w:vAlign w:val="bottom"/>
          </w:tcPr>
          <w:p w14:paraId="3139C473" w14:textId="420FAFD5" w:rsidR="00686EC7" w:rsidRPr="000C156A" w:rsidRDefault="00686EC7" w:rsidP="00141BAA">
            <w:pPr>
              <w:overflowPunct/>
              <w:autoSpaceDE/>
              <w:autoSpaceDN/>
              <w:adjustRightInd/>
              <w:spacing w:before="0"/>
              <w:jc w:val="right"/>
              <w:textAlignment w:val="auto"/>
              <w:rPr>
                <w:rFonts w:cs="Calibri"/>
                <w:i/>
                <w:iCs/>
                <w:color w:val="000000"/>
                <w:sz w:val="20"/>
                <w:lang w:eastAsia="zh-CN"/>
              </w:rPr>
            </w:pPr>
            <w:r w:rsidRPr="000C156A">
              <w:rPr>
                <w:rFonts w:cs="Calibri"/>
                <w:i/>
                <w:iCs/>
                <w:color w:val="000000"/>
                <w:sz w:val="20"/>
                <w:lang w:eastAsia="zh-CN"/>
              </w:rPr>
              <w:t>109</w:t>
            </w:r>
            <w:r w:rsidR="00E870CB" w:rsidRPr="000C156A">
              <w:rPr>
                <w:rFonts w:cs="Calibri"/>
                <w:i/>
                <w:iCs/>
                <w:color w:val="000000"/>
                <w:sz w:val="20"/>
                <w:lang w:eastAsia="zh-CN"/>
              </w:rPr>
              <w:t xml:space="preserve"> </w:t>
            </w:r>
            <w:r w:rsidRPr="000C156A">
              <w:rPr>
                <w:rFonts w:cs="Calibri"/>
                <w:i/>
                <w:iCs/>
                <w:color w:val="000000"/>
                <w:sz w:val="20"/>
                <w:lang w:eastAsia="zh-CN"/>
              </w:rPr>
              <w:t>293</w:t>
            </w:r>
          </w:p>
        </w:tc>
        <w:tc>
          <w:tcPr>
            <w:tcW w:w="604" w:type="pct"/>
            <w:tcBorders>
              <w:top w:val="nil"/>
              <w:left w:val="nil"/>
              <w:bottom w:val="nil"/>
              <w:right w:val="single" w:sz="4" w:space="0" w:color="auto"/>
            </w:tcBorders>
            <w:shd w:val="clear" w:color="auto" w:fill="auto"/>
            <w:noWrap/>
            <w:vAlign w:val="bottom"/>
          </w:tcPr>
          <w:p w14:paraId="103231CB"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zh-CN"/>
              </w:rPr>
            </w:pPr>
          </w:p>
        </w:tc>
        <w:tc>
          <w:tcPr>
            <w:tcW w:w="696" w:type="pct"/>
            <w:gridSpan w:val="2"/>
            <w:tcBorders>
              <w:top w:val="nil"/>
              <w:left w:val="nil"/>
              <w:bottom w:val="nil"/>
              <w:right w:val="single" w:sz="4" w:space="0" w:color="auto"/>
            </w:tcBorders>
            <w:shd w:val="clear" w:color="auto" w:fill="auto"/>
            <w:noWrap/>
            <w:vAlign w:val="bottom"/>
          </w:tcPr>
          <w:p w14:paraId="70ACED31"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zh-CN"/>
              </w:rPr>
            </w:pPr>
          </w:p>
        </w:tc>
        <w:tc>
          <w:tcPr>
            <w:tcW w:w="602" w:type="pct"/>
            <w:tcBorders>
              <w:top w:val="nil"/>
              <w:left w:val="nil"/>
              <w:bottom w:val="nil"/>
              <w:right w:val="single" w:sz="4" w:space="0" w:color="auto"/>
            </w:tcBorders>
            <w:shd w:val="clear" w:color="auto" w:fill="auto"/>
            <w:noWrap/>
            <w:vAlign w:val="bottom"/>
          </w:tcPr>
          <w:p w14:paraId="351476B3" w14:textId="42E0275C" w:rsidR="00686EC7" w:rsidRPr="000C156A" w:rsidRDefault="00686EC7" w:rsidP="00141BAA">
            <w:pPr>
              <w:overflowPunct/>
              <w:autoSpaceDE/>
              <w:autoSpaceDN/>
              <w:adjustRightInd/>
              <w:spacing w:before="0"/>
              <w:jc w:val="right"/>
              <w:textAlignment w:val="auto"/>
              <w:rPr>
                <w:rFonts w:cs="Calibri"/>
                <w:i/>
                <w:iCs/>
                <w:color w:val="000000"/>
                <w:sz w:val="20"/>
                <w:lang w:eastAsia="zh-CN"/>
              </w:rPr>
            </w:pPr>
            <w:r w:rsidRPr="000C156A">
              <w:rPr>
                <w:rFonts w:cs="Calibri"/>
                <w:i/>
                <w:iCs/>
                <w:color w:val="000000"/>
                <w:sz w:val="20"/>
                <w:lang w:eastAsia="zh-CN"/>
              </w:rPr>
              <w:t>109</w:t>
            </w:r>
            <w:r w:rsidR="00E870CB" w:rsidRPr="000C156A">
              <w:rPr>
                <w:rFonts w:cs="Calibri"/>
                <w:i/>
                <w:iCs/>
                <w:color w:val="000000"/>
                <w:sz w:val="20"/>
                <w:lang w:eastAsia="zh-CN"/>
              </w:rPr>
              <w:t xml:space="preserve"> </w:t>
            </w:r>
            <w:r w:rsidRPr="000C156A">
              <w:rPr>
                <w:rFonts w:cs="Calibri"/>
                <w:i/>
                <w:iCs/>
                <w:color w:val="000000"/>
                <w:sz w:val="20"/>
                <w:lang w:eastAsia="zh-CN"/>
              </w:rPr>
              <w:t>293</w:t>
            </w:r>
          </w:p>
        </w:tc>
        <w:tc>
          <w:tcPr>
            <w:tcW w:w="579" w:type="pct"/>
            <w:gridSpan w:val="2"/>
            <w:tcBorders>
              <w:top w:val="nil"/>
              <w:left w:val="nil"/>
              <w:bottom w:val="nil"/>
              <w:right w:val="single" w:sz="4" w:space="0" w:color="auto"/>
            </w:tcBorders>
            <w:shd w:val="clear" w:color="auto" w:fill="auto"/>
            <w:noWrap/>
            <w:vAlign w:val="bottom"/>
          </w:tcPr>
          <w:p w14:paraId="6D1A7B47" w14:textId="4061F005" w:rsidR="00686EC7" w:rsidRPr="000C156A" w:rsidRDefault="00686EC7" w:rsidP="00141BAA">
            <w:pPr>
              <w:overflowPunct/>
              <w:autoSpaceDE/>
              <w:autoSpaceDN/>
              <w:adjustRightInd/>
              <w:spacing w:before="0"/>
              <w:jc w:val="right"/>
              <w:textAlignment w:val="auto"/>
              <w:rPr>
                <w:rFonts w:cs="Calibri"/>
                <w:i/>
                <w:iCs/>
                <w:color w:val="000000"/>
                <w:sz w:val="20"/>
                <w:lang w:eastAsia="zh-CN"/>
              </w:rPr>
            </w:pPr>
            <w:r w:rsidRPr="000C156A">
              <w:rPr>
                <w:rFonts w:cs="Calibri"/>
                <w:i/>
                <w:iCs/>
                <w:color w:val="000000"/>
                <w:sz w:val="20"/>
                <w:lang w:eastAsia="zh-CN"/>
              </w:rPr>
              <w:t>109</w:t>
            </w:r>
            <w:r w:rsidR="00E870CB" w:rsidRPr="000C156A">
              <w:rPr>
                <w:rFonts w:cs="Calibri"/>
                <w:i/>
                <w:iCs/>
                <w:color w:val="000000"/>
                <w:sz w:val="20"/>
                <w:lang w:eastAsia="zh-CN"/>
              </w:rPr>
              <w:t xml:space="preserve"> </w:t>
            </w:r>
            <w:r w:rsidRPr="000C156A">
              <w:rPr>
                <w:rFonts w:cs="Calibri"/>
                <w:i/>
                <w:iCs/>
                <w:color w:val="000000"/>
                <w:sz w:val="20"/>
                <w:lang w:eastAsia="zh-CN"/>
              </w:rPr>
              <w:t>293</w:t>
            </w:r>
          </w:p>
        </w:tc>
        <w:tc>
          <w:tcPr>
            <w:tcW w:w="618" w:type="pct"/>
            <w:tcBorders>
              <w:top w:val="nil"/>
              <w:left w:val="nil"/>
              <w:bottom w:val="nil"/>
              <w:right w:val="single" w:sz="4" w:space="0" w:color="auto"/>
            </w:tcBorders>
            <w:shd w:val="clear" w:color="auto" w:fill="auto"/>
            <w:noWrap/>
            <w:vAlign w:val="bottom"/>
          </w:tcPr>
          <w:p w14:paraId="2BF85339"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zh-CN"/>
              </w:rPr>
            </w:pPr>
            <w:r w:rsidRPr="000C156A">
              <w:rPr>
                <w:rFonts w:cs="Calibri"/>
                <w:i/>
                <w:iCs/>
                <w:color w:val="000000"/>
                <w:sz w:val="20"/>
                <w:lang w:eastAsia="zh-CN"/>
              </w:rPr>
              <w:t>-0</w:t>
            </w:r>
          </w:p>
        </w:tc>
      </w:tr>
      <w:tr w:rsidR="00686EC7" w:rsidRPr="000C156A" w14:paraId="4E93A341" w14:textId="77777777" w:rsidTr="00141BAA">
        <w:trPr>
          <w:trHeight w:val="300"/>
        </w:trPr>
        <w:tc>
          <w:tcPr>
            <w:tcW w:w="1198" w:type="pct"/>
            <w:tcBorders>
              <w:top w:val="nil"/>
              <w:left w:val="single" w:sz="4" w:space="0" w:color="auto"/>
              <w:bottom w:val="nil"/>
              <w:right w:val="nil"/>
            </w:tcBorders>
            <w:shd w:val="clear" w:color="auto" w:fill="auto"/>
            <w:vAlign w:val="bottom"/>
            <w:hideMark/>
          </w:tcPr>
          <w:p w14:paraId="632DF780" w14:textId="77777777" w:rsidR="00686EC7" w:rsidRPr="000C156A" w:rsidRDefault="00686EC7" w:rsidP="00141BAA">
            <w:pPr>
              <w:overflowPunct/>
              <w:adjustRightInd/>
              <w:spacing w:before="0"/>
              <w:textAlignment w:val="auto"/>
              <w:rPr>
                <w:rFonts w:ascii="STKaiti" w:eastAsia="STKaiti" w:hAnsi="STKaiti" w:cs="Calibri"/>
                <w:color w:val="000000"/>
                <w:sz w:val="20"/>
                <w:lang w:val="en-US" w:eastAsia="zh-CN"/>
              </w:rPr>
            </w:pPr>
            <w:r w:rsidRPr="000C156A">
              <w:rPr>
                <w:rFonts w:ascii="STKaiti" w:eastAsia="STKaiti" w:hAnsi="STKaiti" w:cs="Calibri" w:hint="eastAsia"/>
                <w:color w:val="000000"/>
                <w:sz w:val="20"/>
                <w:lang w:val="en-US" w:eastAsia="zh-CN"/>
              </w:rPr>
              <w:t>部门</w:t>
            </w:r>
            <w:r w:rsidRPr="000C156A">
              <w:rPr>
                <w:rFonts w:ascii="STKaiti" w:eastAsia="STKaiti" w:hAnsi="STKaiti" w:cs="Calibri"/>
                <w:color w:val="000000"/>
                <w:sz w:val="20"/>
                <w:lang w:val="en-US" w:eastAsia="zh-CN"/>
              </w:rPr>
              <w:t>成员</w:t>
            </w:r>
            <w:r w:rsidRPr="000C156A">
              <w:rPr>
                <w:rFonts w:ascii="STKaiti" w:eastAsia="STKaiti" w:hAnsi="STKaiti" w:cs="Calibri" w:hint="eastAsia"/>
                <w:color w:val="000000"/>
                <w:sz w:val="20"/>
                <w:lang w:val="en-US" w:eastAsia="zh-CN"/>
              </w:rPr>
              <w:t>分摊会费</w:t>
            </w:r>
          </w:p>
        </w:tc>
        <w:tc>
          <w:tcPr>
            <w:tcW w:w="704" w:type="pct"/>
            <w:tcBorders>
              <w:top w:val="nil"/>
              <w:left w:val="single" w:sz="4" w:space="0" w:color="auto"/>
              <w:bottom w:val="nil"/>
              <w:right w:val="single" w:sz="4" w:space="0" w:color="auto"/>
            </w:tcBorders>
            <w:shd w:val="clear" w:color="auto" w:fill="auto"/>
            <w:noWrap/>
            <w:vAlign w:val="bottom"/>
          </w:tcPr>
          <w:p w14:paraId="757CD71E" w14:textId="4BA7B949" w:rsidR="00686EC7" w:rsidRPr="000C156A" w:rsidRDefault="00686EC7" w:rsidP="00141BAA">
            <w:pPr>
              <w:overflowPunct/>
              <w:autoSpaceDE/>
              <w:autoSpaceDN/>
              <w:adjustRightInd/>
              <w:spacing w:before="0"/>
              <w:jc w:val="right"/>
              <w:textAlignment w:val="auto"/>
              <w:rPr>
                <w:rFonts w:cs="Calibri"/>
                <w:i/>
                <w:iCs/>
                <w:color w:val="000000"/>
                <w:sz w:val="20"/>
                <w:lang w:eastAsia="zh-CN"/>
              </w:rPr>
            </w:pPr>
            <w:r w:rsidRPr="000C156A">
              <w:rPr>
                <w:rFonts w:cs="Calibri"/>
                <w:i/>
                <w:iCs/>
                <w:color w:val="000000"/>
                <w:sz w:val="20"/>
                <w:lang w:eastAsia="zh-CN"/>
              </w:rPr>
              <w:t>13</w:t>
            </w:r>
            <w:r w:rsidR="00E870CB" w:rsidRPr="000C156A">
              <w:rPr>
                <w:rFonts w:cs="Calibri"/>
                <w:i/>
                <w:iCs/>
                <w:color w:val="000000"/>
                <w:sz w:val="20"/>
                <w:lang w:eastAsia="zh-CN"/>
              </w:rPr>
              <w:t xml:space="preserve"> </w:t>
            </w:r>
            <w:r w:rsidRPr="000C156A">
              <w:rPr>
                <w:rFonts w:cs="Calibri"/>
                <w:i/>
                <w:iCs/>
                <w:color w:val="000000"/>
                <w:sz w:val="20"/>
                <w:lang w:eastAsia="zh-CN"/>
              </w:rPr>
              <w:t>964</w:t>
            </w:r>
          </w:p>
        </w:tc>
        <w:tc>
          <w:tcPr>
            <w:tcW w:w="604" w:type="pct"/>
            <w:tcBorders>
              <w:top w:val="nil"/>
              <w:left w:val="nil"/>
              <w:bottom w:val="nil"/>
              <w:right w:val="single" w:sz="4" w:space="0" w:color="auto"/>
            </w:tcBorders>
            <w:shd w:val="clear" w:color="auto" w:fill="auto"/>
            <w:noWrap/>
            <w:vAlign w:val="bottom"/>
          </w:tcPr>
          <w:p w14:paraId="51559022"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zh-CN"/>
              </w:rPr>
            </w:pPr>
          </w:p>
        </w:tc>
        <w:tc>
          <w:tcPr>
            <w:tcW w:w="696" w:type="pct"/>
            <w:gridSpan w:val="2"/>
            <w:tcBorders>
              <w:top w:val="nil"/>
              <w:left w:val="nil"/>
              <w:bottom w:val="nil"/>
              <w:right w:val="single" w:sz="4" w:space="0" w:color="auto"/>
            </w:tcBorders>
            <w:shd w:val="clear" w:color="auto" w:fill="auto"/>
            <w:noWrap/>
            <w:vAlign w:val="bottom"/>
          </w:tcPr>
          <w:p w14:paraId="5A875A77"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zh-CN"/>
              </w:rPr>
            </w:pPr>
          </w:p>
        </w:tc>
        <w:tc>
          <w:tcPr>
            <w:tcW w:w="602" w:type="pct"/>
            <w:tcBorders>
              <w:top w:val="nil"/>
              <w:left w:val="nil"/>
              <w:bottom w:val="nil"/>
              <w:right w:val="single" w:sz="4" w:space="0" w:color="auto"/>
            </w:tcBorders>
            <w:shd w:val="clear" w:color="auto" w:fill="auto"/>
            <w:noWrap/>
            <w:vAlign w:val="bottom"/>
          </w:tcPr>
          <w:p w14:paraId="15A67993" w14:textId="4A9C7E9E" w:rsidR="00686EC7" w:rsidRPr="000C156A" w:rsidRDefault="00686EC7" w:rsidP="00141BAA">
            <w:pPr>
              <w:overflowPunct/>
              <w:autoSpaceDE/>
              <w:autoSpaceDN/>
              <w:adjustRightInd/>
              <w:spacing w:before="0"/>
              <w:jc w:val="right"/>
              <w:textAlignment w:val="auto"/>
              <w:rPr>
                <w:rFonts w:cs="Calibri"/>
                <w:i/>
                <w:iCs/>
                <w:color w:val="000000"/>
                <w:sz w:val="20"/>
                <w:lang w:eastAsia="zh-CN"/>
              </w:rPr>
            </w:pPr>
            <w:r w:rsidRPr="000C156A">
              <w:rPr>
                <w:rFonts w:cs="Calibri"/>
                <w:i/>
                <w:iCs/>
                <w:color w:val="000000"/>
                <w:sz w:val="20"/>
                <w:lang w:eastAsia="zh-CN"/>
              </w:rPr>
              <w:t>13</w:t>
            </w:r>
            <w:r w:rsidR="00E870CB" w:rsidRPr="000C156A">
              <w:rPr>
                <w:rFonts w:cs="Calibri"/>
                <w:i/>
                <w:iCs/>
                <w:color w:val="000000"/>
                <w:sz w:val="20"/>
                <w:lang w:eastAsia="zh-CN"/>
              </w:rPr>
              <w:t xml:space="preserve"> </w:t>
            </w:r>
            <w:r w:rsidRPr="000C156A">
              <w:rPr>
                <w:rFonts w:cs="Calibri"/>
                <w:i/>
                <w:iCs/>
                <w:color w:val="000000"/>
                <w:sz w:val="20"/>
                <w:lang w:eastAsia="zh-CN"/>
              </w:rPr>
              <w:t>964</w:t>
            </w:r>
          </w:p>
        </w:tc>
        <w:tc>
          <w:tcPr>
            <w:tcW w:w="579" w:type="pct"/>
            <w:gridSpan w:val="2"/>
            <w:tcBorders>
              <w:top w:val="nil"/>
              <w:left w:val="nil"/>
              <w:bottom w:val="nil"/>
              <w:right w:val="single" w:sz="4" w:space="0" w:color="auto"/>
            </w:tcBorders>
            <w:shd w:val="clear" w:color="auto" w:fill="auto"/>
            <w:noWrap/>
            <w:vAlign w:val="bottom"/>
          </w:tcPr>
          <w:p w14:paraId="2E92B6EC" w14:textId="5EE08CFA" w:rsidR="00686EC7" w:rsidRPr="000C156A" w:rsidRDefault="00686EC7" w:rsidP="00141BAA">
            <w:pPr>
              <w:overflowPunct/>
              <w:autoSpaceDE/>
              <w:autoSpaceDN/>
              <w:adjustRightInd/>
              <w:spacing w:before="0"/>
              <w:jc w:val="right"/>
              <w:textAlignment w:val="auto"/>
              <w:rPr>
                <w:rFonts w:cs="Calibri"/>
                <w:i/>
                <w:iCs/>
                <w:color w:val="000000"/>
                <w:sz w:val="20"/>
                <w:lang w:eastAsia="zh-CN"/>
              </w:rPr>
            </w:pPr>
            <w:r w:rsidRPr="000C156A">
              <w:rPr>
                <w:rFonts w:cs="Calibri"/>
                <w:i/>
                <w:iCs/>
                <w:color w:val="000000"/>
                <w:sz w:val="20"/>
                <w:lang w:eastAsia="zh-CN"/>
              </w:rPr>
              <w:t>13</w:t>
            </w:r>
            <w:r w:rsidR="00E870CB" w:rsidRPr="000C156A">
              <w:rPr>
                <w:rFonts w:cs="Calibri"/>
                <w:i/>
                <w:iCs/>
                <w:color w:val="000000"/>
                <w:sz w:val="20"/>
                <w:lang w:eastAsia="zh-CN"/>
              </w:rPr>
              <w:t xml:space="preserve"> </w:t>
            </w:r>
            <w:r w:rsidRPr="000C156A">
              <w:rPr>
                <w:rFonts w:cs="Calibri"/>
                <w:i/>
                <w:iCs/>
                <w:color w:val="000000"/>
                <w:sz w:val="20"/>
                <w:lang w:eastAsia="zh-CN"/>
              </w:rPr>
              <w:t>939</w:t>
            </w:r>
          </w:p>
        </w:tc>
        <w:tc>
          <w:tcPr>
            <w:tcW w:w="618" w:type="pct"/>
            <w:tcBorders>
              <w:top w:val="nil"/>
              <w:left w:val="nil"/>
              <w:bottom w:val="nil"/>
              <w:right w:val="single" w:sz="4" w:space="0" w:color="auto"/>
            </w:tcBorders>
            <w:shd w:val="clear" w:color="auto" w:fill="auto"/>
            <w:noWrap/>
            <w:vAlign w:val="bottom"/>
          </w:tcPr>
          <w:p w14:paraId="4D805041"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zh-CN"/>
              </w:rPr>
            </w:pPr>
            <w:r w:rsidRPr="000C156A">
              <w:rPr>
                <w:rFonts w:cs="Calibri"/>
                <w:i/>
                <w:iCs/>
                <w:color w:val="000000"/>
                <w:sz w:val="20"/>
                <w:lang w:eastAsia="zh-CN"/>
              </w:rPr>
              <w:t>-25</w:t>
            </w:r>
          </w:p>
        </w:tc>
      </w:tr>
      <w:tr w:rsidR="00686EC7" w:rsidRPr="000C156A" w14:paraId="6084BFA4" w14:textId="77777777" w:rsidTr="00141BAA">
        <w:trPr>
          <w:trHeight w:val="300"/>
        </w:trPr>
        <w:tc>
          <w:tcPr>
            <w:tcW w:w="1198" w:type="pct"/>
            <w:tcBorders>
              <w:top w:val="nil"/>
              <w:left w:val="single" w:sz="4" w:space="0" w:color="auto"/>
              <w:bottom w:val="nil"/>
              <w:right w:val="nil"/>
            </w:tcBorders>
            <w:shd w:val="clear" w:color="auto" w:fill="auto"/>
            <w:vAlign w:val="bottom"/>
            <w:hideMark/>
          </w:tcPr>
          <w:p w14:paraId="10EAE60F" w14:textId="77777777" w:rsidR="00686EC7" w:rsidRPr="000C156A" w:rsidRDefault="00686EC7" w:rsidP="00141BAA">
            <w:pPr>
              <w:overflowPunct/>
              <w:adjustRightInd/>
              <w:spacing w:before="0"/>
              <w:textAlignment w:val="auto"/>
              <w:rPr>
                <w:rFonts w:ascii="STKaiti" w:eastAsia="STKaiti" w:hAnsi="STKaiti" w:cs="Calibri"/>
                <w:color w:val="000000"/>
                <w:sz w:val="20"/>
                <w:lang w:val="en-US" w:eastAsia="zh-CN"/>
              </w:rPr>
            </w:pPr>
            <w:r w:rsidRPr="000C156A">
              <w:rPr>
                <w:rFonts w:ascii="STKaiti" w:eastAsia="STKaiti" w:hAnsi="STKaiti" w:cs="Calibri" w:hint="eastAsia"/>
                <w:color w:val="000000"/>
                <w:sz w:val="20"/>
                <w:lang w:val="en-US" w:eastAsia="zh-CN"/>
              </w:rPr>
              <w:t>部门准成员</w:t>
            </w:r>
            <w:r w:rsidRPr="000C156A">
              <w:rPr>
                <w:rFonts w:ascii="STKaiti" w:eastAsia="STKaiti" w:hAnsi="STKaiti" w:cs="Calibri"/>
                <w:color w:val="000000"/>
                <w:sz w:val="20"/>
                <w:lang w:val="en-US" w:eastAsia="zh-CN"/>
              </w:rPr>
              <w:t>分摊会费</w:t>
            </w:r>
          </w:p>
        </w:tc>
        <w:tc>
          <w:tcPr>
            <w:tcW w:w="704" w:type="pct"/>
            <w:tcBorders>
              <w:top w:val="nil"/>
              <w:left w:val="single" w:sz="4" w:space="0" w:color="auto"/>
              <w:bottom w:val="nil"/>
              <w:right w:val="single" w:sz="4" w:space="0" w:color="auto"/>
            </w:tcBorders>
            <w:shd w:val="clear" w:color="auto" w:fill="auto"/>
            <w:noWrap/>
            <w:vAlign w:val="bottom"/>
          </w:tcPr>
          <w:p w14:paraId="1E888114" w14:textId="76C67462" w:rsidR="00686EC7" w:rsidRPr="000C156A" w:rsidRDefault="00686EC7" w:rsidP="00141BAA">
            <w:pPr>
              <w:overflowPunct/>
              <w:autoSpaceDE/>
              <w:autoSpaceDN/>
              <w:adjustRightInd/>
              <w:spacing w:before="0"/>
              <w:jc w:val="right"/>
              <w:textAlignment w:val="auto"/>
              <w:rPr>
                <w:rFonts w:cs="Calibri"/>
                <w:i/>
                <w:iCs/>
                <w:color w:val="000000"/>
                <w:sz w:val="20"/>
                <w:lang w:eastAsia="zh-CN"/>
              </w:rPr>
            </w:pPr>
            <w:r w:rsidRPr="000C156A">
              <w:rPr>
                <w:rFonts w:cs="Calibri"/>
                <w:i/>
                <w:iCs/>
                <w:color w:val="000000"/>
                <w:sz w:val="20"/>
                <w:lang w:eastAsia="zh-CN"/>
              </w:rPr>
              <w:t>1</w:t>
            </w:r>
            <w:r w:rsidR="00E870CB" w:rsidRPr="000C156A">
              <w:rPr>
                <w:rFonts w:cs="Calibri"/>
                <w:i/>
                <w:iCs/>
                <w:color w:val="000000"/>
                <w:sz w:val="20"/>
                <w:lang w:eastAsia="zh-CN"/>
              </w:rPr>
              <w:t xml:space="preserve"> </w:t>
            </w:r>
            <w:r w:rsidRPr="000C156A">
              <w:rPr>
                <w:rFonts w:cs="Calibri"/>
                <w:i/>
                <w:iCs/>
                <w:color w:val="000000"/>
                <w:sz w:val="20"/>
                <w:lang w:eastAsia="zh-CN"/>
              </w:rPr>
              <w:t>919</w:t>
            </w:r>
          </w:p>
        </w:tc>
        <w:tc>
          <w:tcPr>
            <w:tcW w:w="604" w:type="pct"/>
            <w:tcBorders>
              <w:top w:val="nil"/>
              <w:left w:val="nil"/>
              <w:bottom w:val="nil"/>
              <w:right w:val="single" w:sz="4" w:space="0" w:color="auto"/>
            </w:tcBorders>
            <w:shd w:val="clear" w:color="auto" w:fill="auto"/>
            <w:noWrap/>
            <w:vAlign w:val="bottom"/>
          </w:tcPr>
          <w:p w14:paraId="75CC9582"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zh-CN"/>
              </w:rPr>
            </w:pPr>
          </w:p>
        </w:tc>
        <w:tc>
          <w:tcPr>
            <w:tcW w:w="696" w:type="pct"/>
            <w:gridSpan w:val="2"/>
            <w:tcBorders>
              <w:top w:val="nil"/>
              <w:left w:val="nil"/>
              <w:bottom w:val="nil"/>
              <w:right w:val="single" w:sz="4" w:space="0" w:color="auto"/>
            </w:tcBorders>
            <w:shd w:val="clear" w:color="auto" w:fill="auto"/>
            <w:noWrap/>
            <w:vAlign w:val="bottom"/>
          </w:tcPr>
          <w:p w14:paraId="449093BD"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zh-CN"/>
              </w:rPr>
            </w:pPr>
          </w:p>
        </w:tc>
        <w:tc>
          <w:tcPr>
            <w:tcW w:w="602" w:type="pct"/>
            <w:tcBorders>
              <w:top w:val="nil"/>
              <w:left w:val="nil"/>
              <w:bottom w:val="nil"/>
              <w:right w:val="single" w:sz="4" w:space="0" w:color="auto"/>
            </w:tcBorders>
            <w:shd w:val="clear" w:color="auto" w:fill="auto"/>
            <w:noWrap/>
            <w:vAlign w:val="bottom"/>
          </w:tcPr>
          <w:p w14:paraId="798088B5" w14:textId="407F3B2C" w:rsidR="00686EC7" w:rsidRPr="000C156A" w:rsidRDefault="00686EC7" w:rsidP="00141BAA">
            <w:pPr>
              <w:overflowPunct/>
              <w:autoSpaceDE/>
              <w:autoSpaceDN/>
              <w:adjustRightInd/>
              <w:spacing w:before="0"/>
              <w:jc w:val="right"/>
              <w:textAlignment w:val="auto"/>
              <w:rPr>
                <w:rFonts w:cs="Calibri"/>
                <w:i/>
                <w:iCs/>
                <w:color w:val="000000"/>
                <w:sz w:val="20"/>
                <w:lang w:eastAsia="zh-CN"/>
              </w:rPr>
            </w:pPr>
            <w:r w:rsidRPr="000C156A">
              <w:rPr>
                <w:rFonts w:cs="Calibri"/>
                <w:i/>
                <w:iCs/>
                <w:color w:val="000000"/>
                <w:sz w:val="20"/>
                <w:lang w:eastAsia="zh-CN"/>
              </w:rPr>
              <w:t>1</w:t>
            </w:r>
            <w:r w:rsidR="00E870CB" w:rsidRPr="000C156A">
              <w:rPr>
                <w:rFonts w:cs="Calibri"/>
                <w:i/>
                <w:iCs/>
                <w:color w:val="000000"/>
                <w:sz w:val="20"/>
                <w:lang w:eastAsia="zh-CN"/>
              </w:rPr>
              <w:t xml:space="preserve"> </w:t>
            </w:r>
            <w:r w:rsidRPr="000C156A">
              <w:rPr>
                <w:rFonts w:cs="Calibri"/>
                <w:i/>
                <w:iCs/>
                <w:color w:val="000000"/>
                <w:sz w:val="20"/>
                <w:lang w:eastAsia="zh-CN"/>
              </w:rPr>
              <w:t>919</w:t>
            </w:r>
          </w:p>
        </w:tc>
        <w:tc>
          <w:tcPr>
            <w:tcW w:w="579" w:type="pct"/>
            <w:gridSpan w:val="2"/>
            <w:tcBorders>
              <w:top w:val="nil"/>
              <w:left w:val="nil"/>
              <w:bottom w:val="nil"/>
              <w:right w:val="single" w:sz="4" w:space="0" w:color="auto"/>
            </w:tcBorders>
            <w:shd w:val="clear" w:color="auto" w:fill="auto"/>
            <w:noWrap/>
            <w:vAlign w:val="bottom"/>
          </w:tcPr>
          <w:p w14:paraId="530979CB" w14:textId="21FE4302" w:rsidR="00686EC7" w:rsidRPr="000C156A" w:rsidRDefault="00686EC7" w:rsidP="00141BAA">
            <w:pPr>
              <w:overflowPunct/>
              <w:autoSpaceDE/>
              <w:autoSpaceDN/>
              <w:adjustRightInd/>
              <w:spacing w:before="0"/>
              <w:jc w:val="right"/>
              <w:textAlignment w:val="auto"/>
              <w:rPr>
                <w:rFonts w:cs="Calibri"/>
                <w:i/>
                <w:iCs/>
                <w:color w:val="000000"/>
                <w:sz w:val="20"/>
                <w:lang w:eastAsia="zh-CN"/>
              </w:rPr>
            </w:pPr>
            <w:r w:rsidRPr="000C156A">
              <w:rPr>
                <w:rFonts w:cs="Calibri"/>
                <w:i/>
                <w:iCs/>
                <w:color w:val="000000"/>
                <w:sz w:val="20"/>
                <w:lang w:eastAsia="zh-CN"/>
              </w:rPr>
              <w:t>2</w:t>
            </w:r>
            <w:r w:rsidR="00E870CB" w:rsidRPr="000C156A">
              <w:rPr>
                <w:rFonts w:cs="Calibri"/>
                <w:i/>
                <w:iCs/>
                <w:color w:val="000000"/>
                <w:sz w:val="20"/>
                <w:lang w:eastAsia="zh-CN"/>
              </w:rPr>
              <w:t xml:space="preserve"> </w:t>
            </w:r>
            <w:r w:rsidRPr="000C156A">
              <w:rPr>
                <w:rFonts w:cs="Calibri"/>
                <w:i/>
                <w:iCs/>
                <w:color w:val="000000"/>
                <w:sz w:val="20"/>
                <w:lang w:eastAsia="zh-CN"/>
              </w:rPr>
              <w:t>111</w:t>
            </w:r>
          </w:p>
        </w:tc>
        <w:tc>
          <w:tcPr>
            <w:tcW w:w="618" w:type="pct"/>
            <w:tcBorders>
              <w:top w:val="nil"/>
              <w:left w:val="nil"/>
              <w:bottom w:val="nil"/>
              <w:right w:val="single" w:sz="4" w:space="0" w:color="auto"/>
            </w:tcBorders>
            <w:shd w:val="clear" w:color="auto" w:fill="auto"/>
            <w:noWrap/>
            <w:vAlign w:val="bottom"/>
          </w:tcPr>
          <w:p w14:paraId="2D924C45"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zh-CN"/>
              </w:rPr>
            </w:pPr>
            <w:r w:rsidRPr="000C156A">
              <w:rPr>
                <w:rFonts w:cs="Calibri"/>
                <w:i/>
                <w:iCs/>
                <w:color w:val="000000"/>
                <w:sz w:val="20"/>
                <w:lang w:eastAsia="zh-CN"/>
              </w:rPr>
              <w:t>192</w:t>
            </w:r>
          </w:p>
        </w:tc>
      </w:tr>
      <w:tr w:rsidR="00686EC7" w:rsidRPr="000C156A" w14:paraId="31792086" w14:textId="77777777" w:rsidTr="00141BAA">
        <w:trPr>
          <w:trHeight w:val="300"/>
        </w:trPr>
        <w:tc>
          <w:tcPr>
            <w:tcW w:w="1198" w:type="pct"/>
            <w:tcBorders>
              <w:top w:val="nil"/>
              <w:left w:val="single" w:sz="4" w:space="0" w:color="auto"/>
              <w:bottom w:val="nil"/>
              <w:right w:val="nil"/>
            </w:tcBorders>
            <w:shd w:val="clear" w:color="auto" w:fill="auto"/>
            <w:vAlign w:val="bottom"/>
            <w:hideMark/>
          </w:tcPr>
          <w:p w14:paraId="5FB8E8D8" w14:textId="77777777" w:rsidR="00686EC7" w:rsidRPr="000C156A" w:rsidRDefault="00686EC7" w:rsidP="00141BAA">
            <w:pPr>
              <w:overflowPunct/>
              <w:adjustRightInd/>
              <w:spacing w:before="0"/>
              <w:textAlignment w:val="auto"/>
              <w:rPr>
                <w:rFonts w:ascii="STKaiti" w:eastAsia="STKaiti" w:hAnsi="STKaiti" w:cs="Calibri"/>
                <w:color w:val="000000"/>
                <w:sz w:val="20"/>
                <w:lang w:val="en-US" w:eastAsia="zh-CN"/>
              </w:rPr>
            </w:pPr>
            <w:r w:rsidRPr="000C156A">
              <w:rPr>
                <w:rFonts w:ascii="STKaiti" w:eastAsia="STKaiti" w:hAnsi="STKaiti" w:cs="Calibri" w:hint="eastAsia"/>
                <w:color w:val="000000"/>
                <w:sz w:val="20"/>
                <w:lang w:val="en-US" w:eastAsia="zh-CN"/>
              </w:rPr>
              <w:t>学术</w:t>
            </w:r>
            <w:r w:rsidRPr="000C156A">
              <w:rPr>
                <w:rFonts w:ascii="STKaiti" w:eastAsia="STKaiti" w:hAnsi="STKaiti" w:cs="Calibri"/>
                <w:color w:val="000000"/>
                <w:sz w:val="20"/>
                <w:lang w:val="en-US" w:eastAsia="zh-CN"/>
              </w:rPr>
              <w:t>成员分摊会费</w:t>
            </w:r>
          </w:p>
        </w:tc>
        <w:tc>
          <w:tcPr>
            <w:tcW w:w="704" w:type="pct"/>
            <w:tcBorders>
              <w:top w:val="nil"/>
              <w:left w:val="single" w:sz="4" w:space="0" w:color="auto"/>
              <w:bottom w:val="nil"/>
              <w:right w:val="single" w:sz="4" w:space="0" w:color="auto"/>
            </w:tcBorders>
            <w:shd w:val="clear" w:color="auto" w:fill="auto"/>
            <w:noWrap/>
            <w:vAlign w:val="bottom"/>
          </w:tcPr>
          <w:p w14:paraId="53C98062"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376</w:t>
            </w:r>
          </w:p>
        </w:tc>
        <w:tc>
          <w:tcPr>
            <w:tcW w:w="604" w:type="pct"/>
            <w:tcBorders>
              <w:top w:val="nil"/>
              <w:left w:val="nil"/>
              <w:bottom w:val="nil"/>
              <w:right w:val="single" w:sz="4" w:space="0" w:color="auto"/>
            </w:tcBorders>
            <w:shd w:val="clear" w:color="auto" w:fill="auto"/>
            <w:noWrap/>
            <w:vAlign w:val="bottom"/>
          </w:tcPr>
          <w:p w14:paraId="744F083D"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p>
        </w:tc>
        <w:tc>
          <w:tcPr>
            <w:tcW w:w="696" w:type="pct"/>
            <w:gridSpan w:val="2"/>
            <w:tcBorders>
              <w:top w:val="nil"/>
              <w:left w:val="nil"/>
              <w:bottom w:val="nil"/>
              <w:right w:val="single" w:sz="4" w:space="0" w:color="auto"/>
            </w:tcBorders>
            <w:shd w:val="clear" w:color="auto" w:fill="auto"/>
            <w:noWrap/>
            <w:vAlign w:val="bottom"/>
          </w:tcPr>
          <w:p w14:paraId="16FC07CB"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p>
        </w:tc>
        <w:tc>
          <w:tcPr>
            <w:tcW w:w="602" w:type="pct"/>
            <w:tcBorders>
              <w:top w:val="nil"/>
              <w:left w:val="nil"/>
              <w:bottom w:val="nil"/>
              <w:right w:val="single" w:sz="4" w:space="0" w:color="auto"/>
            </w:tcBorders>
            <w:shd w:val="clear" w:color="auto" w:fill="auto"/>
            <w:noWrap/>
            <w:vAlign w:val="bottom"/>
          </w:tcPr>
          <w:p w14:paraId="5DC3C57F"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376</w:t>
            </w:r>
          </w:p>
        </w:tc>
        <w:tc>
          <w:tcPr>
            <w:tcW w:w="579" w:type="pct"/>
            <w:gridSpan w:val="2"/>
            <w:tcBorders>
              <w:top w:val="nil"/>
              <w:left w:val="nil"/>
              <w:bottom w:val="nil"/>
              <w:right w:val="single" w:sz="4" w:space="0" w:color="auto"/>
            </w:tcBorders>
            <w:shd w:val="clear" w:color="auto" w:fill="auto"/>
            <w:noWrap/>
            <w:vAlign w:val="bottom"/>
          </w:tcPr>
          <w:p w14:paraId="3A7C6F4E"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398</w:t>
            </w:r>
          </w:p>
        </w:tc>
        <w:tc>
          <w:tcPr>
            <w:tcW w:w="618" w:type="pct"/>
            <w:tcBorders>
              <w:top w:val="nil"/>
              <w:left w:val="nil"/>
              <w:bottom w:val="nil"/>
              <w:right w:val="single" w:sz="4" w:space="0" w:color="auto"/>
            </w:tcBorders>
            <w:shd w:val="clear" w:color="auto" w:fill="auto"/>
            <w:noWrap/>
            <w:vAlign w:val="bottom"/>
          </w:tcPr>
          <w:p w14:paraId="52C6D8D4"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22</w:t>
            </w:r>
          </w:p>
        </w:tc>
      </w:tr>
      <w:tr w:rsidR="00686EC7" w:rsidRPr="000C156A" w14:paraId="7B0E8F71" w14:textId="77777777" w:rsidTr="00141BAA">
        <w:trPr>
          <w:trHeight w:val="300"/>
        </w:trPr>
        <w:tc>
          <w:tcPr>
            <w:tcW w:w="1198" w:type="pct"/>
            <w:tcBorders>
              <w:top w:val="nil"/>
              <w:left w:val="single" w:sz="4" w:space="0" w:color="auto"/>
              <w:bottom w:val="nil"/>
              <w:right w:val="nil"/>
            </w:tcBorders>
            <w:shd w:val="clear" w:color="auto" w:fill="auto"/>
            <w:vAlign w:val="center"/>
            <w:hideMark/>
          </w:tcPr>
          <w:p w14:paraId="0EE1708D" w14:textId="77777777" w:rsidR="00686EC7" w:rsidRPr="000C156A" w:rsidRDefault="00686EC7" w:rsidP="00141BAA">
            <w:pPr>
              <w:overflowPunct/>
              <w:adjustRightInd/>
              <w:spacing w:before="0"/>
              <w:textAlignment w:val="auto"/>
              <w:rPr>
                <w:rFonts w:cs="Calibri"/>
                <w:i/>
                <w:iCs/>
                <w:color w:val="000000"/>
                <w:sz w:val="20"/>
                <w:lang w:val="en-US" w:eastAsia="zh-CN"/>
              </w:rPr>
            </w:pPr>
            <w:r w:rsidRPr="000C156A">
              <w:rPr>
                <w:rFonts w:ascii="STKaiti" w:eastAsia="STKaiti" w:hAnsi="STKaiti" w:cs="Calibri" w:hint="eastAsia"/>
                <w:color w:val="000000"/>
                <w:sz w:val="20"/>
                <w:lang w:val="en-US" w:eastAsia="zh-CN"/>
              </w:rPr>
              <w:t>大会会费</w:t>
            </w:r>
          </w:p>
        </w:tc>
        <w:tc>
          <w:tcPr>
            <w:tcW w:w="704" w:type="pct"/>
            <w:tcBorders>
              <w:top w:val="nil"/>
              <w:left w:val="single" w:sz="4" w:space="0" w:color="auto"/>
              <w:bottom w:val="nil"/>
              <w:right w:val="single" w:sz="4" w:space="0" w:color="auto"/>
            </w:tcBorders>
            <w:shd w:val="clear" w:color="auto" w:fill="auto"/>
            <w:noWrap/>
            <w:vAlign w:val="bottom"/>
          </w:tcPr>
          <w:p w14:paraId="79A789B7"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p>
        </w:tc>
        <w:tc>
          <w:tcPr>
            <w:tcW w:w="604" w:type="pct"/>
            <w:tcBorders>
              <w:top w:val="nil"/>
              <w:left w:val="nil"/>
              <w:bottom w:val="nil"/>
              <w:right w:val="single" w:sz="4" w:space="0" w:color="auto"/>
            </w:tcBorders>
            <w:shd w:val="clear" w:color="auto" w:fill="auto"/>
            <w:noWrap/>
            <w:vAlign w:val="bottom"/>
          </w:tcPr>
          <w:p w14:paraId="2B5B3009"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p>
        </w:tc>
        <w:tc>
          <w:tcPr>
            <w:tcW w:w="696" w:type="pct"/>
            <w:gridSpan w:val="2"/>
            <w:tcBorders>
              <w:top w:val="nil"/>
              <w:left w:val="nil"/>
              <w:bottom w:val="nil"/>
              <w:right w:val="single" w:sz="4" w:space="0" w:color="auto"/>
            </w:tcBorders>
            <w:shd w:val="clear" w:color="auto" w:fill="auto"/>
            <w:noWrap/>
            <w:vAlign w:val="bottom"/>
          </w:tcPr>
          <w:p w14:paraId="644E9B2A"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p>
        </w:tc>
        <w:tc>
          <w:tcPr>
            <w:tcW w:w="602" w:type="pct"/>
            <w:tcBorders>
              <w:top w:val="nil"/>
              <w:left w:val="nil"/>
              <w:bottom w:val="nil"/>
              <w:right w:val="single" w:sz="4" w:space="0" w:color="auto"/>
            </w:tcBorders>
            <w:shd w:val="clear" w:color="auto" w:fill="auto"/>
            <w:noWrap/>
            <w:vAlign w:val="bottom"/>
          </w:tcPr>
          <w:p w14:paraId="36A3888E"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p>
        </w:tc>
        <w:tc>
          <w:tcPr>
            <w:tcW w:w="579" w:type="pct"/>
            <w:gridSpan w:val="2"/>
            <w:tcBorders>
              <w:top w:val="nil"/>
              <w:left w:val="nil"/>
              <w:bottom w:val="nil"/>
              <w:right w:val="single" w:sz="4" w:space="0" w:color="auto"/>
            </w:tcBorders>
            <w:shd w:val="clear" w:color="auto" w:fill="auto"/>
            <w:noWrap/>
            <w:vAlign w:val="bottom"/>
          </w:tcPr>
          <w:p w14:paraId="3ABA7173"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w:t>
            </w:r>
          </w:p>
        </w:tc>
        <w:tc>
          <w:tcPr>
            <w:tcW w:w="618" w:type="pct"/>
            <w:tcBorders>
              <w:top w:val="nil"/>
              <w:left w:val="nil"/>
              <w:bottom w:val="nil"/>
              <w:right w:val="single" w:sz="4" w:space="0" w:color="auto"/>
            </w:tcBorders>
            <w:shd w:val="clear" w:color="auto" w:fill="auto"/>
            <w:noWrap/>
            <w:vAlign w:val="bottom"/>
          </w:tcPr>
          <w:p w14:paraId="1D9F15A8"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w:t>
            </w:r>
          </w:p>
        </w:tc>
      </w:tr>
      <w:tr w:rsidR="00686EC7" w:rsidRPr="000C156A" w14:paraId="56280EDB" w14:textId="77777777" w:rsidTr="00141BAA">
        <w:trPr>
          <w:trHeight w:val="300"/>
        </w:trPr>
        <w:tc>
          <w:tcPr>
            <w:tcW w:w="1198" w:type="pct"/>
            <w:tcBorders>
              <w:top w:val="single" w:sz="4" w:space="0" w:color="auto"/>
              <w:left w:val="single" w:sz="4" w:space="0" w:color="auto"/>
              <w:bottom w:val="single" w:sz="4" w:space="0" w:color="auto"/>
              <w:right w:val="nil"/>
            </w:tcBorders>
            <w:shd w:val="clear" w:color="auto" w:fill="auto"/>
            <w:vAlign w:val="center"/>
            <w:hideMark/>
          </w:tcPr>
          <w:p w14:paraId="78A1D1D7" w14:textId="77777777" w:rsidR="00686EC7" w:rsidRPr="000C156A" w:rsidRDefault="00686EC7" w:rsidP="00141BAA">
            <w:pPr>
              <w:overflowPunct/>
              <w:autoSpaceDE/>
              <w:autoSpaceDN/>
              <w:adjustRightInd/>
              <w:spacing w:before="0"/>
              <w:textAlignment w:val="auto"/>
              <w:rPr>
                <w:rFonts w:cs="Calibri"/>
                <w:b/>
                <w:bCs/>
                <w:color w:val="000000"/>
                <w:sz w:val="20"/>
                <w:lang w:val="en-US" w:eastAsia="zh-CN"/>
              </w:rPr>
            </w:pPr>
            <w:r w:rsidRPr="000C156A">
              <w:rPr>
                <w:rFonts w:cs="Calibri" w:hint="eastAsia"/>
                <w:b/>
                <w:bCs/>
                <w:color w:val="000000"/>
                <w:sz w:val="20"/>
                <w:lang w:val="en-US" w:eastAsia="zh-CN"/>
              </w:rPr>
              <w:t>分摊会费</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FC259B" w14:textId="5E8E509F"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125</w:t>
            </w:r>
            <w:r w:rsidR="00E870CB" w:rsidRPr="000C156A">
              <w:rPr>
                <w:rFonts w:cs="Calibri"/>
                <w:b/>
                <w:iCs/>
                <w:color w:val="000000"/>
                <w:sz w:val="20"/>
                <w:lang w:eastAsia="en-GB"/>
              </w:rPr>
              <w:t xml:space="preserve"> </w:t>
            </w:r>
            <w:r w:rsidRPr="000C156A">
              <w:rPr>
                <w:rFonts w:cs="Calibri"/>
                <w:b/>
                <w:iCs/>
                <w:color w:val="000000"/>
                <w:sz w:val="20"/>
                <w:lang w:eastAsia="en-GB"/>
              </w:rPr>
              <w:t>552</w:t>
            </w:r>
          </w:p>
        </w:tc>
        <w:tc>
          <w:tcPr>
            <w:tcW w:w="604" w:type="pct"/>
            <w:tcBorders>
              <w:top w:val="single" w:sz="4" w:space="0" w:color="auto"/>
              <w:left w:val="nil"/>
              <w:bottom w:val="single" w:sz="4" w:space="0" w:color="auto"/>
              <w:right w:val="single" w:sz="4" w:space="0" w:color="auto"/>
            </w:tcBorders>
            <w:shd w:val="clear" w:color="auto" w:fill="auto"/>
            <w:noWrap/>
            <w:vAlign w:val="bottom"/>
          </w:tcPr>
          <w:p w14:paraId="4E3B98EE"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p>
        </w:tc>
        <w:tc>
          <w:tcPr>
            <w:tcW w:w="696" w:type="pct"/>
            <w:gridSpan w:val="2"/>
            <w:tcBorders>
              <w:top w:val="single" w:sz="4" w:space="0" w:color="auto"/>
              <w:left w:val="nil"/>
              <w:bottom w:val="single" w:sz="4" w:space="0" w:color="auto"/>
              <w:right w:val="single" w:sz="4" w:space="0" w:color="auto"/>
            </w:tcBorders>
            <w:shd w:val="clear" w:color="auto" w:fill="auto"/>
            <w:noWrap/>
            <w:vAlign w:val="bottom"/>
          </w:tcPr>
          <w:p w14:paraId="5F66B268"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p>
        </w:tc>
        <w:tc>
          <w:tcPr>
            <w:tcW w:w="602" w:type="pct"/>
            <w:tcBorders>
              <w:top w:val="single" w:sz="4" w:space="0" w:color="auto"/>
              <w:left w:val="nil"/>
              <w:bottom w:val="single" w:sz="4" w:space="0" w:color="auto"/>
              <w:right w:val="single" w:sz="4" w:space="0" w:color="auto"/>
            </w:tcBorders>
            <w:shd w:val="clear" w:color="auto" w:fill="auto"/>
            <w:noWrap/>
            <w:vAlign w:val="bottom"/>
          </w:tcPr>
          <w:p w14:paraId="01D738B8" w14:textId="14847FF1"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125</w:t>
            </w:r>
            <w:r w:rsidR="00E870CB" w:rsidRPr="000C156A">
              <w:rPr>
                <w:rFonts w:cs="Calibri"/>
                <w:b/>
                <w:iCs/>
                <w:color w:val="000000"/>
                <w:sz w:val="20"/>
                <w:lang w:eastAsia="en-GB"/>
              </w:rPr>
              <w:t xml:space="preserve"> </w:t>
            </w:r>
            <w:r w:rsidRPr="000C156A">
              <w:rPr>
                <w:rFonts w:cs="Calibri"/>
                <w:b/>
                <w:iCs/>
                <w:color w:val="000000"/>
                <w:sz w:val="20"/>
                <w:lang w:eastAsia="en-GB"/>
              </w:rPr>
              <w:t>552</w:t>
            </w:r>
          </w:p>
        </w:tc>
        <w:tc>
          <w:tcPr>
            <w:tcW w:w="579" w:type="pct"/>
            <w:gridSpan w:val="2"/>
            <w:tcBorders>
              <w:top w:val="single" w:sz="4" w:space="0" w:color="auto"/>
              <w:left w:val="nil"/>
              <w:bottom w:val="single" w:sz="4" w:space="0" w:color="auto"/>
              <w:right w:val="single" w:sz="4" w:space="0" w:color="auto"/>
            </w:tcBorders>
            <w:shd w:val="clear" w:color="auto" w:fill="auto"/>
            <w:noWrap/>
            <w:vAlign w:val="bottom"/>
          </w:tcPr>
          <w:p w14:paraId="38A7A4C4" w14:textId="10085439"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125</w:t>
            </w:r>
            <w:r w:rsidR="00E870CB" w:rsidRPr="000C156A">
              <w:rPr>
                <w:rFonts w:cs="Calibri"/>
                <w:b/>
                <w:iCs/>
                <w:color w:val="000000"/>
                <w:sz w:val="20"/>
                <w:lang w:eastAsia="en-GB"/>
              </w:rPr>
              <w:t xml:space="preserve"> </w:t>
            </w:r>
            <w:r w:rsidRPr="000C156A">
              <w:rPr>
                <w:rFonts w:cs="Calibri"/>
                <w:b/>
                <w:iCs/>
                <w:color w:val="000000"/>
                <w:sz w:val="20"/>
                <w:lang w:eastAsia="en-GB"/>
              </w:rPr>
              <w:t>741</w:t>
            </w:r>
          </w:p>
        </w:tc>
        <w:tc>
          <w:tcPr>
            <w:tcW w:w="618" w:type="pct"/>
            <w:tcBorders>
              <w:top w:val="single" w:sz="4" w:space="0" w:color="auto"/>
              <w:left w:val="nil"/>
              <w:bottom w:val="single" w:sz="4" w:space="0" w:color="auto"/>
              <w:right w:val="single" w:sz="4" w:space="0" w:color="auto"/>
            </w:tcBorders>
            <w:shd w:val="clear" w:color="auto" w:fill="auto"/>
            <w:noWrap/>
            <w:vAlign w:val="bottom"/>
          </w:tcPr>
          <w:p w14:paraId="1268B658"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189</w:t>
            </w:r>
          </w:p>
        </w:tc>
      </w:tr>
      <w:tr w:rsidR="00686EC7" w:rsidRPr="000C156A" w14:paraId="3CA3624D" w14:textId="77777777" w:rsidTr="00141BAA">
        <w:trPr>
          <w:trHeight w:val="300"/>
        </w:trPr>
        <w:tc>
          <w:tcPr>
            <w:tcW w:w="1198" w:type="pct"/>
            <w:tcBorders>
              <w:top w:val="nil"/>
              <w:left w:val="single" w:sz="4" w:space="0" w:color="auto"/>
              <w:bottom w:val="nil"/>
              <w:right w:val="nil"/>
            </w:tcBorders>
            <w:shd w:val="clear" w:color="auto" w:fill="auto"/>
            <w:vAlign w:val="bottom"/>
            <w:hideMark/>
          </w:tcPr>
          <w:p w14:paraId="59CECCEF" w14:textId="77777777" w:rsidR="00686EC7" w:rsidRPr="000C156A" w:rsidRDefault="00686EC7" w:rsidP="00141BAA">
            <w:pPr>
              <w:overflowPunct/>
              <w:autoSpaceDE/>
              <w:autoSpaceDN/>
              <w:adjustRightInd/>
              <w:spacing w:before="0"/>
              <w:textAlignment w:val="auto"/>
              <w:rPr>
                <w:rFonts w:cs="Calibri"/>
                <w:color w:val="000000"/>
                <w:sz w:val="20"/>
                <w:lang w:val="en-US" w:eastAsia="zh-CN"/>
              </w:rPr>
            </w:pPr>
            <w:r w:rsidRPr="000C156A">
              <w:rPr>
                <w:rFonts w:cs="Calibri"/>
                <w:color w:val="000000"/>
                <w:sz w:val="20"/>
                <w:lang w:val="en-US" w:eastAsia="zh-CN"/>
              </w:rPr>
              <w:t> </w:t>
            </w:r>
          </w:p>
        </w:tc>
        <w:tc>
          <w:tcPr>
            <w:tcW w:w="704" w:type="pct"/>
            <w:tcBorders>
              <w:top w:val="nil"/>
              <w:left w:val="single" w:sz="4" w:space="0" w:color="auto"/>
              <w:bottom w:val="nil"/>
              <w:right w:val="single" w:sz="4" w:space="0" w:color="auto"/>
            </w:tcBorders>
            <w:shd w:val="clear" w:color="auto" w:fill="auto"/>
            <w:noWrap/>
            <w:vAlign w:val="bottom"/>
          </w:tcPr>
          <w:p w14:paraId="6D98E3CF" w14:textId="77777777" w:rsidR="00686EC7" w:rsidRPr="000C156A" w:rsidRDefault="00686EC7" w:rsidP="00141BAA">
            <w:pPr>
              <w:overflowPunct/>
              <w:autoSpaceDE/>
              <w:autoSpaceDN/>
              <w:adjustRightInd/>
              <w:spacing w:before="0"/>
              <w:jc w:val="right"/>
              <w:textAlignment w:val="auto"/>
              <w:rPr>
                <w:rFonts w:cs="Calibri"/>
                <w:color w:val="000000"/>
                <w:sz w:val="20"/>
                <w:lang w:eastAsia="en-GB"/>
              </w:rPr>
            </w:pPr>
          </w:p>
        </w:tc>
        <w:tc>
          <w:tcPr>
            <w:tcW w:w="604" w:type="pct"/>
            <w:tcBorders>
              <w:top w:val="nil"/>
              <w:left w:val="nil"/>
              <w:bottom w:val="nil"/>
              <w:right w:val="single" w:sz="4" w:space="0" w:color="auto"/>
            </w:tcBorders>
            <w:shd w:val="clear" w:color="auto" w:fill="auto"/>
            <w:noWrap/>
            <w:vAlign w:val="bottom"/>
          </w:tcPr>
          <w:p w14:paraId="1D686720" w14:textId="77777777" w:rsidR="00686EC7" w:rsidRPr="000C156A" w:rsidRDefault="00686EC7" w:rsidP="00141BAA">
            <w:pPr>
              <w:overflowPunct/>
              <w:autoSpaceDE/>
              <w:autoSpaceDN/>
              <w:adjustRightInd/>
              <w:spacing w:before="0"/>
              <w:jc w:val="right"/>
              <w:textAlignment w:val="auto"/>
              <w:rPr>
                <w:rFonts w:cs="Calibri"/>
                <w:color w:val="000000"/>
                <w:sz w:val="20"/>
                <w:lang w:eastAsia="en-GB"/>
              </w:rPr>
            </w:pPr>
          </w:p>
        </w:tc>
        <w:tc>
          <w:tcPr>
            <w:tcW w:w="696" w:type="pct"/>
            <w:gridSpan w:val="2"/>
            <w:tcBorders>
              <w:top w:val="nil"/>
              <w:left w:val="nil"/>
              <w:bottom w:val="nil"/>
              <w:right w:val="single" w:sz="4" w:space="0" w:color="auto"/>
            </w:tcBorders>
            <w:shd w:val="clear" w:color="auto" w:fill="auto"/>
            <w:noWrap/>
            <w:vAlign w:val="bottom"/>
          </w:tcPr>
          <w:p w14:paraId="4948F1E5" w14:textId="77777777" w:rsidR="00686EC7" w:rsidRPr="000C156A" w:rsidRDefault="00686EC7" w:rsidP="00141BAA">
            <w:pPr>
              <w:overflowPunct/>
              <w:autoSpaceDE/>
              <w:autoSpaceDN/>
              <w:adjustRightInd/>
              <w:spacing w:before="0"/>
              <w:jc w:val="right"/>
              <w:textAlignment w:val="auto"/>
              <w:rPr>
                <w:rFonts w:cs="Calibri"/>
                <w:color w:val="000000"/>
                <w:sz w:val="20"/>
                <w:lang w:eastAsia="en-GB"/>
              </w:rPr>
            </w:pPr>
          </w:p>
        </w:tc>
        <w:tc>
          <w:tcPr>
            <w:tcW w:w="602" w:type="pct"/>
            <w:tcBorders>
              <w:top w:val="nil"/>
              <w:left w:val="nil"/>
              <w:bottom w:val="nil"/>
              <w:right w:val="single" w:sz="4" w:space="0" w:color="auto"/>
            </w:tcBorders>
            <w:shd w:val="clear" w:color="auto" w:fill="auto"/>
            <w:noWrap/>
            <w:vAlign w:val="bottom"/>
          </w:tcPr>
          <w:p w14:paraId="0E74ABAC" w14:textId="77777777" w:rsidR="00686EC7" w:rsidRPr="000C156A" w:rsidRDefault="00686EC7" w:rsidP="00141BAA">
            <w:pPr>
              <w:overflowPunct/>
              <w:autoSpaceDE/>
              <w:autoSpaceDN/>
              <w:adjustRightInd/>
              <w:spacing w:before="0"/>
              <w:jc w:val="right"/>
              <w:textAlignment w:val="auto"/>
              <w:rPr>
                <w:rFonts w:cs="Calibri"/>
                <w:color w:val="000000"/>
                <w:sz w:val="20"/>
                <w:lang w:eastAsia="en-GB"/>
              </w:rPr>
            </w:pPr>
          </w:p>
        </w:tc>
        <w:tc>
          <w:tcPr>
            <w:tcW w:w="579" w:type="pct"/>
            <w:gridSpan w:val="2"/>
            <w:tcBorders>
              <w:top w:val="nil"/>
              <w:left w:val="nil"/>
              <w:bottom w:val="nil"/>
              <w:right w:val="single" w:sz="4" w:space="0" w:color="auto"/>
            </w:tcBorders>
            <w:shd w:val="clear" w:color="auto" w:fill="auto"/>
            <w:noWrap/>
            <w:vAlign w:val="bottom"/>
          </w:tcPr>
          <w:p w14:paraId="2CEA91EB" w14:textId="77777777" w:rsidR="00686EC7" w:rsidRPr="000C156A" w:rsidRDefault="00686EC7" w:rsidP="00141BAA">
            <w:pPr>
              <w:overflowPunct/>
              <w:autoSpaceDE/>
              <w:autoSpaceDN/>
              <w:adjustRightInd/>
              <w:spacing w:before="0"/>
              <w:jc w:val="right"/>
              <w:textAlignment w:val="auto"/>
              <w:rPr>
                <w:rFonts w:cs="Calibri"/>
                <w:color w:val="000000"/>
                <w:sz w:val="20"/>
                <w:lang w:eastAsia="en-GB"/>
              </w:rPr>
            </w:pPr>
          </w:p>
        </w:tc>
        <w:tc>
          <w:tcPr>
            <w:tcW w:w="618" w:type="pct"/>
            <w:tcBorders>
              <w:top w:val="nil"/>
              <w:left w:val="nil"/>
              <w:bottom w:val="nil"/>
              <w:right w:val="single" w:sz="4" w:space="0" w:color="auto"/>
            </w:tcBorders>
            <w:shd w:val="clear" w:color="auto" w:fill="auto"/>
            <w:noWrap/>
            <w:vAlign w:val="bottom"/>
          </w:tcPr>
          <w:p w14:paraId="3DECB332" w14:textId="77777777" w:rsidR="00686EC7" w:rsidRPr="000C156A" w:rsidRDefault="00686EC7" w:rsidP="00141BAA">
            <w:pPr>
              <w:overflowPunct/>
              <w:autoSpaceDE/>
              <w:autoSpaceDN/>
              <w:adjustRightInd/>
              <w:spacing w:before="0"/>
              <w:jc w:val="right"/>
              <w:textAlignment w:val="auto"/>
              <w:rPr>
                <w:rFonts w:cs="Calibri"/>
                <w:color w:val="000000"/>
                <w:sz w:val="20"/>
                <w:lang w:eastAsia="en-GB"/>
              </w:rPr>
            </w:pPr>
          </w:p>
        </w:tc>
      </w:tr>
      <w:tr w:rsidR="00686EC7" w:rsidRPr="000C156A" w14:paraId="1BCFAEF1" w14:textId="77777777" w:rsidTr="00141BAA">
        <w:trPr>
          <w:trHeight w:val="300"/>
        </w:trPr>
        <w:tc>
          <w:tcPr>
            <w:tcW w:w="1198" w:type="pct"/>
            <w:tcBorders>
              <w:top w:val="nil"/>
              <w:left w:val="single" w:sz="4" w:space="0" w:color="auto"/>
              <w:bottom w:val="nil"/>
              <w:right w:val="nil"/>
            </w:tcBorders>
            <w:shd w:val="clear" w:color="auto" w:fill="auto"/>
            <w:vAlign w:val="bottom"/>
            <w:hideMark/>
          </w:tcPr>
          <w:p w14:paraId="62FEF558" w14:textId="77777777" w:rsidR="00686EC7" w:rsidRPr="000C156A" w:rsidRDefault="00686EC7" w:rsidP="00141BAA">
            <w:pPr>
              <w:overflowPunct/>
              <w:adjustRightInd/>
              <w:spacing w:before="0"/>
              <w:textAlignment w:val="auto"/>
              <w:rPr>
                <w:rFonts w:ascii="STKaiti" w:eastAsia="STKaiti" w:hAnsi="STKaiti" w:cs="Calibri"/>
                <w:color w:val="000000"/>
                <w:sz w:val="20"/>
                <w:lang w:val="en-US" w:eastAsia="zh-CN"/>
              </w:rPr>
            </w:pPr>
            <w:r w:rsidRPr="000C156A">
              <w:rPr>
                <w:rFonts w:ascii="STKaiti" w:eastAsia="STKaiti" w:hAnsi="STKaiti" w:cs="Calibri"/>
                <w:color w:val="000000"/>
                <w:sz w:val="20"/>
                <w:lang w:val="en-US" w:eastAsia="zh-CN"/>
              </w:rPr>
              <w:t>支持成本</w:t>
            </w:r>
          </w:p>
        </w:tc>
        <w:tc>
          <w:tcPr>
            <w:tcW w:w="704" w:type="pct"/>
            <w:tcBorders>
              <w:top w:val="nil"/>
              <w:left w:val="single" w:sz="4" w:space="0" w:color="auto"/>
              <w:bottom w:val="nil"/>
              <w:right w:val="single" w:sz="4" w:space="0" w:color="auto"/>
            </w:tcBorders>
            <w:shd w:val="clear" w:color="auto" w:fill="auto"/>
            <w:noWrap/>
            <w:vAlign w:val="bottom"/>
          </w:tcPr>
          <w:p w14:paraId="6A1714D9" w14:textId="18A79500"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1</w:t>
            </w:r>
            <w:r w:rsidR="00E870CB" w:rsidRPr="000C156A">
              <w:rPr>
                <w:rFonts w:cs="Calibri"/>
                <w:i/>
                <w:iCs/>
                <w:color w:val="000000"/>
                <w:sz w:val="20"/>
                <w:lang w:eastAsia="en-GB"/>
              </w:rPr>
              <w:t xml:space="preserve"> </w:t>
            </w:r>
            <w:r w:rsidRPr="000C156A">
              <w:rPr>
                <w:rFonts w:cs="Calibri"/>
                <w:i/>
                <w:iCs/>
                <w:color w:val="000000"/>
                <w:sz w:val="20"/>
                <w:lang w:eastAsia="en-GB"/>
              </w:rPr>
              <w:t>375</w:t>
            </w:r>
          </w:p>
        </w:tc>
        <w:tc>
          <w:tcPr>
            <w:tcW w:w="604" w:type="pct"/>
            <w:tcBorders>
              <w:top w:val="nil"/>
              <w:left w:val="nil"/>
              <w:bottom w:val="nil"/>
              <w:right w:val="single" w:sz="4" w:space="0" w:color="auto"/>
            </w:tcBorders>
            <w:shd w:val="clear" w:color="auto" w:fill="auto"/>
            <w:noWrap/>
            <w:vAlign w:val="bottom"/>
          </w:tcPr>
          <w:p w14:paraId="1287A78B"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p>
        </w:tc>
        <w:tc>
          <w:tcPr>
            <w:tcW w:w="696" w:type="pct"/>
            <w:gridSpan w:val="2"/>
            <w:tcBorders>
              <w:top w:val="nil"/>
              <w:left w:val="nil"/>
              <w:bottom w:val="nil"/>
              <w:right w:val="single" w:sz="4" w:space="0" w:color="auto"/>
            </w:tcBorders>
            <w:shd w:val="clear" w:color="auto" w:fill="auto"/>
            <w:noWrap/>
            <w:vAlign w:val="bottom"/>
          </w:tcPr>
          <w:p w14:paraId="793349BF"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p>
        </w:tc>
        <w:tc>
          <w:tcPr>
            <w:tcW w:w="602" w:type="pct"/>
            <w:tcBorders>
              <w:top w:val="nil"/>
              <w:left w:val="nil"/>
              <w:bottom w:val="nil"/>
              <w:right w:val="single" w:sz="4" w:space="0" w:color="auto"/>
            </w:tcBorders>
            <w:shd w:val="clear" w:color="auto" w:fill="auto"/>
            <w:noWrap/>
            <w:vAlign w:val="bottom"/>
          </w:tcPr>
          <w:p w14:paraId="3FA124D0" w14:textId="7A4DBE0E"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1</w:t>
            </w:r>
            <w:r w:rsidR="00E870CB" w:rsidRPr="000C156A">
              <w:rPr>
                <w:rFonts w:cs="Calibri"/>
                <w:i/>
                <w:iCs/>
                <w:color w:val="000000"/>
                <w:sz w:val="20"/>
                <w:lang w:eastAsia="en-GB"/>
              </w:rPr>
              <w:t xml:space="preserve"> </w:t>
            </w:r>
            <w:r w:rsidRPr="000C156A">
              <w:rPr>
                <w:rFonts w:cs="Calibri"/>
                <w:i/>
                <w:iCs/>
                <w:color w:val="000000"/>
                <w:sz w:val="20"/>
                <w:lang w:eastAsia="en-GB"/>
              </w:rPr>
              <w:t>375</w:t>
            </w:r>
          </w:p>
        </w:tc>
        <w:tc>
          <w:tcPr>
            <w:tcW w:w="579" w:type="pct"/>
            <w:gridSpan w:val="2"/>
            <w:tcBorders>
              <w:top w:val="nil"/>
              <w:left w:val="nil"/>
              <w:bottom w:val="nil"/>
              <w:right w:val="single" w:sz="4" w:space="0" w:color="auto"/>
            </w:tcBorders>
            <w:shd w:val="clear" w:color="auto" w:fill="auto"/>
            <w:noWrap/>
            <w:vAlign w:val="bottom"/>
          </w:tcPr>
          <w:p w14:paraId="240E264B"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236</w:t>
            </w:r>
          </w:p>
        </w:tc>
        <w:tc>
          <w:tcPr>
            <w:tcW w:w="618" w:type="pct"/>
            <w:tcBorders>
              <w:top w:val="nil"/>
              <w:left w:val="nil"/>
              <w:bottom w:val="nil"/>
              <w:right w:val="single" w:sz="4" w:space="0" w:color="auto"/>
            </w:tcBorders>
            <w:shd w:val="clear" w:color="auto" w:fill="auto"/>
            <w:noWrap/>
            <w:vAlign w:val="bottom"/>
          </w:tcPr>
          <w:p w14:paraId="4DDFBFD8" w14:textId="461C7E80"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-1</w:t>
            </w:r>
            <w:r w:rsidR="00E870CB" w:rsidRPr="000C156A">
              <w:rPr>
                <w:rFonts w:cs="Calibri"/>
                <w:i/>
                <w:iCs/>
                <w:color w:val="000000"/>
                <w:sz w:val="20"/>
                <w:lang w:eastAsia="en-GB"/>
              </w:rPr>
              <w:t xml:space="preserve"> </w:t>
            </w:r>
            <w:r w:rsidRPr="000C156A">
              <w:rPr>
                <w:rFonts w:cs="Calibri"/>
                <w:i/>
                <w:iCs/>
                <w:color w:val="000000"/>
                <w:sz w:val="20"/>
                <w:lang w:eastAsia="en-GB"/>
              </w:rPr>
              <w:t>139</w:t>
            </w:r>
          </w:p>
        </w:tc>
      </w:tr>
      <w:tr w:rsidR="00686EC7" w:rsidRPr="000C156A" w14:paraId="15304824" w14:textId="77777777" w:rsidTr="00141BAA">
        <w:trPr>
          <w:trHeight w:val="300"/>
        </w:trPr>
        <w:tc>
          <w:tcPr>
            <w:tcW w:w="1198" w:type="pct"/>
            <w:tcBorders>
              <w:top w:val="nil"/>
              <w:left w:val="single" w:sz="4" w:space="0" w:color="auto"/>
              <w:bottom w:val="nil"/>
              <w:right w:val="nil"/>
            </w:tcBorders>
            <w:shd w:val="clear" w:color="auto" w:fill="auto"/>
            <w:vAlign w:val="bottom"/>
            <w:hideMark/>
          </w:tcPr>
          <w:p w14:paraId="0977157E" w14:textId="77777777" w:rsidR="00686EC7" w:rsidRPr="000C156A" w:rsidRDefault="00686EC7" w:rsidP="00141BAA">
            <w:pPr>
              <w:overflowPunct/>
              <w:adjustRightInd/>
              <w:spacing w:before="0"/>
              <w:textAlignment w:val="auto"/>
              <w:rPr>
                <w:rFonts w:ascii="STKaiti" w:eastAsia="STKaiti" w:hAnsi="STKaiti" w:cs="Calibri"/>
                <w:color w:val="000000"/>
                <w:sz w:val="20"/>
                <w:lang w:val="en-US" w:eastAsia="zh-CN"/>
              </w:rPr>
            </w:pPr>
            <w:r w:rsidRPr="000C156A">
              <w:rPr>
                <w:rFonts w:ascii="STKaiti" w:eastAsia="STKaiti" w:hAnsi="STKaiti" w:cs="Calibri"/>
                <w:color w:val="000000"/>
                <w:sz w:val="20"/>
                <w:lang w:val="en-US" w:eastAsia="zh-CN"/>
              </w:rPr>
              <w:t>出版物销售</w:t>
            </w:r>
          </w:p>
        </w:tc>
        <w:tc>
          <w:tcPr>
            <w:tcW w:w="704" w:type="pct"/>
            <w:tcBorders>
              <w:top w:val="nil"/>
              <w:left w:val="single" w:sz="4" w:space="0" w:color="auto"/>
              <w:bottom w:val="nil"/>
              <w:right w:val="single" w:sz="4" w:space="0" w:color="auto"/>
            </w:tcBorders>
            <w:shd w:val="clear" w:color="auto" w:fill="auto"/>
            <w:noWrap/>
            <w:vAlign w:val="bottom"/>
          </w:tcPr>
          <w:p w14:paraId="38803041" w14:textId="66FF4B0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19</w:t>
            </w:r>
            <w:r w:rsidR="00E870CB" w:rsidRPr="000C156A">
              <w:rPr>
                <w:rFonts w:cs="Calibri"/>
                <w:i/>
                <w:iCs/>
                <w:color w:val="000000"/>
                <w:sz w:val="20"/>
                <w:lang w:eastAsia="en-GB"/>
              </w:rPr>
              <w:t xml:space="preserve"> </w:t>
            </w:r>
            <w:r w:rsidRPr="000C156A">
              <w:rPr>
                <w:rFonts w:cs="Calibri"/>
                <w:i/>
                <w:iCs/>
                <w:color w:val="000000"/>
                <w:sz w:val="20"/>
                <w:lang w:eastAsia="en-GB"/>
              </w:rPr>
              <w:t>000</w:t>
            </w:r>
          </w:p>
        </w:tc>
        <w:tc>
          <w:tcPr>
            <w:tcW w:w="604" w:type="pct"/>
            <w:tcBorders>
              <w:top w:val="nil"/>
              <w:left w:val="nil"/>
              <w:bottom w:val="nil"/>
              <w:right w:val="single" w:sz="4" w:space="0" w:color="auto"/>
            </w:tcBorders>
            <w:shd w:val="clear" w:color="auto" w:fill="auto"/>
            <w:noWrap/>
            <w:vAlign w:val="bottom"/>
          </w:tcPr>
          <w:p w14:paraId="28C81145"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p>
        </w:tc>
        <w:tc>
          <w:tcPr>
            <w:tcW w:w="696" w:type="pct"/>
            <w:gridSpan w:val="2"/>
            <w:tcBorders>
              <w:top w:val="nil"/>
              <w:left w:val="nil"/>
              <w:bottom w:val="nil"/>
              <w:right w:val="single" w:sz="4" w:space="0" w:color="auto"/>
            </w:tcBorders>
            <w:shd w:val="clear" w:color="auto" w:fill="auto"/>
            <w:noWrap/>
            <w:vAlign w:val="bottom"/>
          </w:tcPr>
          <w:p w14:paraId="1E4B4DE0"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p>
        </w:tc>
        <w:tc>
          <w:tcPr>
            <w:tcW w:w="602" w:type="pct"/>
            <w:tcBorders>
              <w:top w:val="nil"/>
              <w:left w:val="nil"/>
              <w:bottom w:val="nil"/>
              <w:right w:val="single" w:sz="4" w:space="0" w:color="auto"/>
            </w:tcBorders>
            <w:shd w:val="clear" w:color="auto" w:fill="auto"/>
            <w:noWrap/>
            <w:vAlign w:val="bottom"/>
          </w:tcPr>
          <w:p w14:paraId="49F73AA1" w14:textId="625F78D8"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19</w:t>
            </w:r>
            <w:r w:rsidR="00E870CB" w:rsidRPr="000C156A">
              <w:rPr>
                <w:rFonts w:cs="Calibri"/>
                <w:i/>
                <w:iCs/>
                <w:color w:val="000000"/>
                <w:sz w:val="20"/>
                <w:lang w:eastAsia="en-GB"/>
              </w:rPr>
              <w:t xml:space="preserve"> </w:t>
            </w:r>
            <w:r w:rsidRPr="000C156A">
              <w:rPr>
                <w:rFonts w:cs="Calibri"/>
                <w:i/>
                <w:iCs/>
                <w:color w:val="000000"/>
                <w:sz w:val="20"/>
                <w:lang w:eastAsia="en-GB"/>
              </w:rPr>
              <w:t>000</w:t>
            </w:r>
          </w:p>
        </w:tc>
        <w:tc>
          <w:tcPr>
            <w:tcW w:w="579" w:type="pct"/>
            <w:gridSpan w:val="2"/>
            <w:tcBorders>
              <w:top w:val="nil"/>
              <w:left w:val="nil"/>
              <w:bottom w:val="nil"/>
              <w:right w:val="single" w:sz="4" w:space="0" w:color="auto"/>
            </w:tcBorders>
            <w:shd w:val="clear" w:color="auto" w:fill="auto"/>
            <w:noWrap/>
            <w:vAlign w:val="bottom"/>
          </w:tcPr>
          <w:p w14:paraId="2C910B6E" w14:textId="532C525A"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17</w:t>
            </w:r>
            <w:r w:rsidR="00E870CB" w:rsidRPr="000C156A">
              <w:rPr>
                <w:rFonts w:cs="Calibri"/>
                <w:i/>
                <w:iCs/>
                <w:color w:val="000000"/>
                <w:sz w:val="20"/>
                <w:lang w:eastAsia="en-GB"/>
              </w:rPr>
              <w:t xml:space="preserve"> </w:t>
            </w:r>
            <w:r w:rsidRPr="000C156A">
              <w:rPr>
                <w:rFonts w:cs="Calibri"/>
                <w:i/>
                <w:iCs/>
                <w:color w:val="000000"/>
                <w:sz w:val="20"/>
                <w:lang w:eastAsia="en-GB"/>
              </w:rPr>
              <w:t>116</w:t>
            </w:r>
          </w:p>
        </w:tc>
        <w:tc>
          <w:tcPr>
            <w:tcW w:w="618" w:type="pct"/>
            <w:tcBorders>
              <w:top w:val="nil"/>
              <w:left w:val="nil"/>
              <w:bottom w:val="nil"/>
              <w:right w:val="single" w:sz="4" w:space="0" w:color="auto"/>
            </w:tcBorders>
            <w:shd w:val="clear" w:color="auto" w:fill="auto"/>
            <w:noWrap/>
            <w:vAlign w:val="bottom"/>
          </w:tcPr>
          <w:p w14:paraId="537045BD" w14:textId="0BA01BC9"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-1</w:t>
            </w:r>
            <w:r w:rsidR="00E870CB" w:rsidRPr="000C156A">
              <w:rPr>
                <w:rFonts w:cs="Calibri"/>
                <w:i/>
                <w:iCs/>
                <w:color w:val="000000"/>
                <w:sz w:val="20"/>
                <w:lang w:eastAsia="en-GB"/>
              </w:rPr>
              <w:t xml:space="preserve"> </w:t>
            </w:r>
            <w:r w:rsidRPr="000C156A">
              <w:rPr>
                <w:rFonts w:cs="Calibri"/>
                <w:i/>
                <w:iCs/>
                <w:color w:val="000000"/>
                <w:sz w:val="20"/>
                <w:lang w:eastAsia="en-GB"/>
              </w:rPr>
              <w:t>884</w:t>
            </w:r>
          </w:p>
        </w:tc>
      </w:tr>
      <w:tr w:rsidR="00686EC7" w:rsidRPr="000C156A" w14:paraId="1792366C" w14:textId="77777777" w:rsidTr="00141BAA">
        <w:trPr>
          <w:trHeight w:val="300"/>
        </w:trPr>
        <w:tc>
          <w:tcPr>
            <w:tcW w:w="1198" w:type="pct"/>
            <w:tcBorders>
              <w:top w:val="nil"/>
              <w:left w:val="single" w:sz="4" w:space="0" w:color="auto"/>
              <w:bottom w:val="nil"/>
              <w:right w:val="nil"/>
            </w:tcBorders>
            <w:shd w:val="clear" w:color="auto" w:fill="auto"/>
            <w:vAlign w:val="bottom"/>
            <w:hideMark/>
          </w:tcPr>
          <w:p w14:paraId="784C56CE" w14:textId="77777777" w:rsidR="00686EC7" w:rsidRPr="000C156A" w:rsidRDefault="00686EC7" w:rsidP="00141BAA">
            <w:pPr>
              <w:overflowPunct/>
              <w:adjustRightInd/>
              <w:spacing w:before="0"/>
              <w:textAlignment w:val="auto"/>
              <w:rPr>
                <w:rFonts w:ascii="STKaiti" w:eastAsia="STKaiti" w:hAnsi="STKaiti" w:cs="Calibri"/>
                <w:color w:val="000000"/>
                <w:sz w:val="20"/>
                <w:lang w:val="en-US" w:eastAsia="zh-CN"/>
              </w:rPr>
            </w:pPr>
            <w:r w:rsidRPr="000C156A">
              <w:rPr>
                <w:rFonts w:ascii="STKaiti" w:eastAsia="STKaiti" w:hAnsi="STKaiti" w:cs="Calibri"/>
                <w:color w:val="000000"/>
                <w:sz w:val="20"/>
                <w:lang w:val="en-US" w:eastAsia="zh-CN"/>
              </w:rPr>
              <w:t>国际通用免费电话号码（</w:t>
            </w:r>
            <w:r w:rsidRPr="000C156A">
              <w:rPr>
                <w:rFonts w:asciiTheme="minorHAnsi" w:eastAsia="STKaiti" w:hAnsiTheme="minorHAnsi" w:cs="Calibri"/>
                <w:color w:val="000000"/>
                <w:sz w:val="20"/>
                <w:lang w:val="en-US" w:eastAsia="zh-CN"/>
              </w:rPr>
              <w:t>UIFN</w:t>
            </w:r>
            <w:r w:rsidRPr="000C156A">
              <w:rPr>
                <w:rFonts w:ascii="STKaiti" w:eastAsia="STKaiti" w:hAnsi="STKaiti" w:cs="Calibri"/>
                <w:color w:val="000000"/>
                <w:sz w:val="20"/>
                <w:lang w:val="en-US" w:eastAsia="zh-CN"/>
              </w:rPr>
              <w:t>）</w:t>
            </w:r>
          </w:p>
        </w:tc>
        <w:tc>
          <w:tcPr>
            <w:tcW w:w="704" w:type="pct"/>
            <w:tcBorders>
              <w:top w:val="nil"/>
              <w:left w:val="single" w:sz="4" w:space="0" w:color="auto"/>
              <w:bottom w:val="nil"/>
              <w:right w:val="single" w:sz="4" w:space="0" w:color="auto"/>
            </w:tcBorders>
            <w:shd w:val="clear" w:color="auto" w:fill="auto"/>
            <w:noWrap/>
            <w:vAlign w:val="bottom"/>
          </w:tcPr>
          <w:p w14:paraId="23AB12DA"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500</w:t>
            </w:r>
          </w:p>
        </w:tc>
        <w:tc>
          <w:tcPr>
            <w:tcW w:w="604" w:type="pct"/>
            <w:tcBorders>
              <w:top w:val="nil"/>
              <w:left w:val="nil"/>
              <w:bottom w:val="nil"/>
              <w:right w:val="single" w:sz="4" w:space="0" w:color="auto"/>
            </w:tcBorders>
            <w:shd w:val="clear" w:color="auto" w:fill="auto"/>
            <w:noWrap/>
            <w:vAlign w:val="bottom"/>
          </w:tcPr>
          <w:p w14:paraId="74FEEBF7"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p>
        </w:tc>
        <w:tc>
          <w:tcPr>
            <w:tcW w:w="696" w:type="pct"/>
            <w:gridSpan w:val="2"/>
            <w:tcBorders>
              <w:top w:val="nil"/>
              <w:left w:val="nil"/>
              <w:bottom w:val="nil"/>
              <w:right w:val="single" w:sz="4" w:space="0" w:color="auto"/>
            </w:tcBorders>
            <w:shd w:val="clear" w:color="auto" w:fill="auto"/>
            <w:noWrap/>
            <w:vAlign w:val="bottom"/>
          </w:tcPr>
          <w:p w14:paraId="72AF5A77"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p>
        </w:tc>
        <w:tc>
          <w:tcPr>
            <w:tcW w:w="602" w:type="pct"/>
            <w:tcBorders>
              <w:top w:val="nil"/>
              <w:left w:val="nil"/>
              <w:bottom w:val="nil"/>
              <w:right w:val="single" w:sz="4" w:space="0" w:color="auto"/>
            </w:tcBorders>
            <w:shd w:val="clear" w:color="auto" w:fill="auto"/>
            <w:noWrap/>
            <w:vAlign w:val="bottom"/>
          </w:tcPr>
          <w:p w14:paraId="4C2E6B42"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500</w:t>
            </w:r>
          </w:p>
        </w:tc>
        <w:tc>
          <w:tcPr>
            <w:tcW w:w="579" w:type="pct"/>
            <w:gridSpan w:val="2"/>
            <w:tcBorders>
              <w:top w:val="nil"/>
              <w:left w:val="nil"/>
              <w:bottom w:val="nil"/>
              <w:right w:val="single" w:sz="4" w:space="0" w:color="auto"/>
            </w:tcBorders>
            <w:shd w:val="clear" w:color="auto" w:fill="auto"/>
            <w:noWrap/>
            <w:vAlign w:val="bottom"/>
          </w:tcPr>
          <w:p w14:paraId="2BD5AFB3"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254</w:t>
            </w:r>
          </w:p>
        </w:tc>
        <w:tc>
          <w:tcPr>
            <w:tcW w:w="618" w:type="pct"/>
            <w:tcBorders>
              <w:top w:val="nil"/>
              <w:left w:val="nil"/>
              <w:bottom w:val="nil"/>
              <w:right w:val="single" w:sz="4" w:space="0" w:color="auto"/>
            </w:tcBorders>
            <w:shd w:val="clear" w:color="auto" w:fill="auto"/>
            <w:noWrap/>
            <w:vAlign w:val="bottom"/>
          </w:tcPr>
          <w:p w14:paraId="3FC22F02"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-246</w:t>
            </w:r>
          </w:p>
        </w:tc>
      </w:tr>
      <w:tr w:rsidR="00686EC7" w:rsidRPr="000C156A" w14:paraId="42004BD8" w14:textId="77777777" w:rsidTr="00141BAA">
        <w:trPr>
          <w:trHeight w:val="300"/>
        </w:trPr>
        <w:tc>
          <w:tcPr>
            <w:tcW w:w="1198" w:type="pct"/>
            <w:tcBorders>
              <w:top w:val="nil"/>
              <w:left w:val="single" w:sz="4" w:space="0" w:color="auto"/>
              <w:bottom w:val="nil"/>
              <w:right w:val="nil"/>
            </w:tcBorders>
            <w:shd w:val="clear" w:color="auto" w:fill="auto"/>
            <w:vAlign w:val="bottom"/>
            <w:hideMark/>
          </w:tcPr>
          <w:p w14:paraId="5F3E86C7" w14:textId="77777777" w:rsidR="00686EC7" w:rsidRPr="000C156A" w:rsidRDefault="00686EC7" w:rsidP="00141BAA">
            <w:pPr>
              <w:overflowPunct/>
              <w:adjustRightInd/>
              <w:spacing w:before="0"/>
              <w:textAlignment w:val="auto"/>
              <w:rPr>
                <w:rFonts w:ascii="STKaiti" w:eastAsia="STKaiti" w:hAnsi="STKaiti" w:cs="Calibri"/>
                <w:color w:val="000000"/>
                <w:sz w:val="20"/>
                <w:lang w:val="en-US" w:eastAsia="zh-CN"/>
              </w:rPr>
            </w:pPr>
            <w:r w:rsidRPr="000C156A">
              <w:rPr>
                <w:rFonts w:ascii="STKaiti" w:eastAsia="STKaiti" w:hAnsi="STKaiti" w:cs="Calibri"/>
                <w:color w:val="000000"/>
                <w:sz w:val="20"/>
                <w:lang w:val="en-US" w:eastAsia="zh-CN"/>
              </w:rPr>
              <w:t>电信展览部</w:t>
            </w:r>
          </w:p>
        </w:tc>
        <w:tc>
          <w:tcPr>
            <w:tcW w:w="704" w:type="pct"/>
            <w:tcBorders>
              <w:top w:val="nil"/>
              <w:left w:val="single" w:sz="4" w:space="0" w:color="auto"/>
              <w:bottom w:val="nil"/>
              <w:right w:val="single" w:sz="4" w:space="0" w:color="auto"/>
            </w:tcBorders>
            <w:shd w:val="clear" w:color="auto" w:fill="auto"/>
            <w:noWrap/>
            <w:vAlign w:val="bottom"/>
          </w:tcPr>
          <w:p w14:paraId="7CC56D4F" w14:textId="2FBFB808"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1</w:t>
            </w:r>
            <w:r w:rsidR="00E870CB" w:rsidRPr="000C156A">
              <w:rPr>
                <w:rFonts w:cs="Calibri"/>
                <w:i/>
                <w:iCs/>
                <w:color w:val="000000"/>
                <w:sz w:val="20"/>
                <w:lang w:eastAsia="en-GB"/>
              </w:rPr>
              <w:t xml:space="preserve"> </w:t>
            </w:r>
            <w:r w:rsidRPr="000C156A">
              <w:rPr>
                <w:rFonts w:cs="Calibri"/>
                <w:i/>
                <w:iCs/>
                <w:color w:val="000000"/>
                <w:sz w:val="20"/>
                <w:lang w:eastAsia="en-GB"/>
              </w:rPr>
              <w:t>500</w:t>
            </w:r>
          </w:p>
        </w:tc>
        <w:tc>
          <w:tcPr>
            <w:tcW w:w="604" w:type="pct"/>
            <w:tcBorders>
              <w:top w:val="nil"/>
              <w:left w:val="nil"/>
              <w:bottom w:val="nil"/>
              <w:right w:val="single" w:sz="4" w:space="0" w:color="auto"/>
            </w:tcBorders>
            <w:shd w:val="clear" w:color="auto" w:fill="auto"/>
            <w:noWrap/>
            <w:vAlign w:val="bottom"/>
          </w:tcPr>
          <w:p w14:paraId="3CFF7AEB"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p>
        </w:tc>
        <w:tc>
          <w:tcPr>
            <w:tcW w:w="696" w:type="pct"/>
            <w:gridSpan w:val="2"/>
            <w:tcBorders>
              <w:top w:val="nil"/>
              <w:left w:val="nil"/>
              <w:bottom w:val="nil"/>
              <w:right w:val="single" w:sz="4" w:space="0" w:color="auto"/>
            </w:tcBorders>
            <w:shd w:val="clear" w:color="auto" w:fill="auto"/>
            <w:noWrap/>
            <w:vAlign w:val="bottom"/>
          </w:tcPr>
          <w:p w14:paraId="301B4FBB"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p>
        </w:tc>
        <w:tc>
          <w:tcPr>
            <w:tcW w:w="602" w:type="pct"/>
            <w:tcBorders>
              <w:top w:val="nil"/>
              <w:left w:val="nil"/>
              <w:bottom w:val="nil"/>
              <w:right w:val="single" w:sz="4" w:space="0" w:color="auto"/>
            </w:tcBorders>
            <w:shd w:val="clear" w:color="auto" w:fill="auto"/>
            <w:noWrap/>
            <w:vAlign w:val="bottom"/>
          </w:tcPr>
          <w:p w14:paraId="22CE81EA" w14:textId="212EB814"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1</w:t>
            </w:r>
            <w:r w:rsidR="00E870CB" w:rsidRPr="000C156A">
              <w:rPr>
                <w:rFonts w:cs="Calibri"/>
                <w:i/>
                <w:iCs/>
                <w:color w:val="000000"/>
                <w:sz w:val="20"/>
                <w:lang w:eastAsia="en-GB"/>
              </w:rPr>
              <w:t xml:space="preserve"> </w:t>
            </w:r>
            <w:r w:rsidRPr="000C156A">
              <w:rPr>
                <w:rFonts w:cs="Calibri"/>
                <w:i/>
                <w:iCs/>
                <w:color w:val="000000"/>
                <w:sz w:val="20"/>
                <w:lang w:eastAsia="en-GB"/>
              </w:rPr>
              <w:t>500</w:t>
            </w:r>
          </w:p>
        </w:tc>
        <w:tc>
          <w:tcPr>
            <w:tcW w:w="579" w:type="pct"/>
            <w:gridSpan w:val="2"/>
            <w:tcBorders>
              <w:top w:val="nil"/>
              <w:left w:val="nil"/>
              <w:bottom w:val="nil"/>
              <w:right w:val="single" w:sz="4" w:space="0" w:color="auto"/>
            </w:tcBorders>
            <w:shd w:val="clear" w:color="auto" w:fill="auto"/>
            <w:noWrap/>
            <w:vAlign w:val="bottom"/>
          </w:tcPr>
          <w:p w14:paraId="675AC4B3"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w:t>
            </w:r>
          </w:p>
        </w:tc>
        <w:tc>
          <w:tcPr>
            <w:tcW w:w="618" w:type="pct"/>
            <w:tcBorders>
              <w:top w:val="nil"/>
              <w:left w:val="nil"/>
              <w:bottom w:val="nil"/>
              <w:right w:val="single" w:sz="4" w:space="0" w:color="auto"/>
            </w:tcBorders>
            <w:shd w:val="clear" w:color="auto" w:fill="auto"/>
            <w:noWrap/>
            <w:vAlign w:val="bottom"/>
          </w:tcPr>
          <w:p w14:paraId="2038E6F0" w14:textId="2AC18058"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-1</w:t>
            </w:r>
            <w:r w:rsidR="00E870CB" w:rsidRPr="000C156A">
              <w:rPr>
                <w:rFonts w:cs="Calibri"/>
                <w:i/>
                <w:iCs/>
                <w:color w:val="000000"/>
                <w:sz w:val="20"/>
                <w:lang w:eastAsia="en-GB"/>
              </w:rPr>
              <w:t xml:space="preserve"> </w:t>
            </w:r>
            <w:r w:rsidRPr="000C156A">
              <w:rPr>
                <w:rFonts w:cs="Calibri"/>
                <w:i/>
                <w:iCs/>
                <w:color w:val="000000"/>
                <w:sz w:val="20"/>
                <w:lang w:eastAsia="en-GB"/>
              </w:rPr>
              <w:t>500</w:t>
            </w:r>
          </w:p>
        </w:tc>
      </w:tr>
      <w:tr w:rsidR="00686EC7" w:rsidRPr="000C156A" w14:paraId="45FDA395" w14:textId="77777777" w:rsidTr="00141BAA">
        <w:trPr>
          <w:trHeight w:val="300"/>
        </w:trPr>
        <w:tc>
          <w:tcPr>
            <w:tcW w:w="1198" w:type="pct"/>
            <w:tcBorders>
              <w:top w:val="nil"/>
              <w:left w:val="single" w:sz="4" w:space="0" w:color="auto"/>
              <w:bottom w:val="nil"/>
              <w:right w:val="nil"/>
            </w:tcBorders>
            <w:shd w:val="clear" w:color="auto" w:fill="auto"/>
            <w:vAlign w:val="bottom"/>
            <w:hideMark/>
          </w:tcPr>
          <w:p w14:paraId="206A8253" w14:textId="77777777" w:rsidR="00686EC7" w:rsidRPr="000C156A" w:rsidRDefault="00686EC7" w:rsidP="00141BAA">
            <w:pPr>
              <w:overflowPunct/>
              <w:adjustRightInd/>
              <w:spacing w:before="0"/>
              <w:textAlignment w:val="auto"/>
              <w:rPr>
                <w:rFonts w:ascii="STKaiti" w:eastAsia="STKaiti" w:hAnsi="STKaiti" w:cs="Calibri"/>
                <w:color w:val="000000"/>
                <w:sz w:val="20"/>
                <w:lang w:val="en-US" w:eastAsia="zh-CN"/>
              </w:rPr>
            </w:pPr>
            <w:r w:rsidRPr="000C156A">
              <w:rPr>
                <w:rFonts w:ascii="STKaiti" w:eastAsia="STKaiti" w:hAnsi="STKaiti" w:cs="Calibri"/>
                <w:color w:val="000000"/>
                <w:sz w:val="20"/>
                <w:lang w:val="en-US" w:eastAsia="zh-CN"/>
              </w:rPr>
              <w:t>卫星网络申报（</w:t>
            </w:r>
            <w:r w:rsidRPr="000C156A">
              <w:rPr>
                <w:rFonts w:asciiTheme="minorHAnsi" w:eastAsia="STKaiti" w:hAnsiTheme="minorHAnsi" w:cs="Calibri"/>
                <w:color w:val="000000"/>
                <w:sz w:val="20"/>
                <w:lang w:val="en-US" w:eastAsia="zh-CN"/>
              </w:rPr>
              <w:t>SNF</w:t>
            </w:r>
            <w:r w:rsidRPr="000C156A">
              <w:rPr>
                <w:rFonts w:ascii="STKaiti" w:eastAsia="STKaiti" w:hAnsi="STKaiti" w:cs="Calibri"/>
                <w:color w:val="000000"/>
                <w:sz w:val="20"/>
                <w:lang w:val="en-US" w:eastAsia="zh-CN"/>
              </w:rPr>
              <w:t>）成本回收</w:t>
            </w:r>
          </w:p>
        </w:tc>
        <w:tc>
          <w:tcPr>
            <w:tcW w:w="704" w:type="pct"/>
            <w:tcBorders>
              <w:top w:val="nil"/>
              <w:left w:val="single" w:sz="4" w:space="0" w:color="auto"/>
              <w:bottom w:val="nil"/>
              <w:right w:val="single" w:sz="4" w:space="0" w:color="auto"/>
            </w:tcBorders>
            <w:shd w:val="clear" w:color="auto" w:fill="auto"/>
            <w:noWrap/>
            <w:vAlign w:val="bottom"/>
          </w:tcPr>
          <w:p w14:paraId="3116705D" w14:textId="673482B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15</w:t>
            </w:r>
            <w:r w:rsidR="00E870CB" w:rsidRPr="000C156A">
              <w:rPr>
                <w:rFonts w:cs="Calibri"/>
                <w:i/>
                <w:iCs/>
                <w:color w:val="000000"/>
                <w:sz w:val="20"/>
                <w:lang w:eastAsia="en-GB"/>
              </w:rPr>
              <w:t xml:space="preserve"> </w:t>
            </w:r>
            <w:r w:rsidRPr="000C156A">
              <w:rPr>
                <w:rFonts w:cs="Calibri"/>
                <w:i/>
                <w:iCs/>
                <w:color w:val="000000"/>
                <w:sz w:val="20"/>
                <w:lang w:eastAsia="en-GB"/>
              </w:rPr>
              <w:t>500</w:t>
            </w:r>
          </w:p>
        </w:tc>
        <w:tc>
          <w:tcPr>
            <w:tcW w:w="604" w:type="pct"/>
            <w:tcBorders>
              <w:top w:val="nil"/>
              <w:left w:val="nil"/>
              <w:bottom w:val="nil"/>
              <w:right w:val="single" w:sz="4" w:space="0" w:color="auto"/>
            </w:tcBorders>
            <w:shd w:val="clear" w:color="auto" w:fill="auto"/>
            <w:noWrap/>
            <w:vAlign w:val="bottom"/>
          </w:tcPr>
          <w:p w14:paraId="44E15AD4"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p>
        </w:tc>
        <w:tc>
          <w:tcPr>
            <w:tcW w:w="696" w:type="pct"/>
            <w:gridSpan w:val="2"/>
            <w:tcBorders>
              <w:top w:val="nil"/>
              <w:left w:val="nil"/>
              <w:bottom w:val="nil"/>
              <w:right w:val="single" w:sz="4" w:space="0" w:color="auto"/>
            </w:tcBorders>
            <w:shd w:val="clear" w:color="auto" w:fill="auto"/>
            <w:noWrap/>
            <w:vAlign w:val="bottom"/>
          </w:tcPr>
          <w:p w14:paraId="146655F4"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p>
        </w:tc>
        <w:tc>
          <w:tcPr>
            <w:tcW w:w="602" w:type="pct"/>
            <w:tcBorders>
              <w:top w:val="nil"/>
              <w:left w:val="nil"/>
              <w:bottom w:val="nil"/>
              <w:right w:val="single" w:sz="4" w:space="0" w:color="auto"/>
            </w:tcBorders>
            <w:shd w:val="clear" w:color="auto" w:fill="auto"/>
            <w:noWrap/>
            <w:vAlign w:val="bottom"/>
          </w:tcPr>
          <w:p w14:paraId="34FC2A70" w14:textId="11A1508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15</w:t>
            </w:r>
            <w:r w:rsidR="00E870CB" w:rsidRPr="000C156A">
              <w:rPr>
                <w:rFonts w:cs="Calibri"/>
                <w:i/>
                <w:iCs/>
                <w:color w:val="000000"/>
                <w:sz w:val="20"/>
                <w:lang w:eastAsia="en-GB"/>
              </w:rPr>
              <w:t xml:space="preserve"> </w:t>
            </w:r>
            <w:r w:rsidRPr="000C156A">
              <w:rPr>
                <w:rFonts w:cs="Calibri"/>
                <w:i/>
                <w:iCs/>
                <w:color w:val="000000"/>
                <w:sz w:val="20"/>
                <w:lang w:eastAsia="en-GB"/>
              </w:rPr>
              <w:t>500</w:t>
            </w:r>
          </w:p>
        </w:tc>
        <w:tc>
          <w:tcPr>
            <w:tcW w:w="579" w:type="pct"/>
            <w:gridSpan w:val="2"/>
            <w:tcBorders>
              <w:top w:val="nil"/>
              <w:left w:val="nil"/>
              <w:bottom w:val="nil"/>
              <w:right w:val="single" w:sz="4" w:space="0" w:color="auto"/>
            </w:tcBorders>
            <w:shd w:val="clear" w:color="auto" w:fill="auto"/>
            <w:noWrap/>
            <w:vAlign w:val="bottom"/>
          </w:tcPr>
          <w:p w14:paraId="48F4D863" w14:textId="1A022E0C"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13</w:t>
            </w:r>
            <w:r w:rsidR="00E870CB" w:rsidRPr="000C156A">
              <w:rPr>
                <w:rFonts w:cs="Calibri"/>
                <w:i/>
                <w:iCs/>
                <w:color w:val="000000"/>
                <w:sz w:val="20"/>
                <w:lang w:eastAsia="en-GB"/>
              </w:rPr>
              <w:t xml:space="preserve"> </w:t>
            </w:r>
            <w:r w:rsidRPr="000C156A">
              <w:rPr>
                <w:rFonts w:cs="Calibri"/>
                <w:i/>
                <w:iCs/>
                <w:color w:val="000000"/>
                <w:sz w:val="20"/>
                <w:lang w:eastAsia="en-GB"/>
              </w:rPr>
              <w:t>631</w:t>
            </w:r>
          </w:p>
        </w:tc>
        <w:tc>
          <w:tcPr>
            <w:tcW w:w="618" w:type="pct"/>
            <w:tcBorders>
              <w:top w:val="nil"/>
              <w:left w:val="nil"/>
              <w:bottom w:val="nil"/>
              <w:right w:val="single" w:sz="4" w:space="0" w:color="auto"/>
            </w:tcBorders>
            <w:shd w:val="clear" w:color="auto" w:fill="auto"/>
            <w:noWrap/>
            <w:vAlign w:val="bottom"/>
          </w:tcPr>
          <w:p w14:paraId="741E35AA" w14:textId="2AFD1962"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-1</w:t>
            </w:r>
            <w:r w:rsidR="00E870CB" w:rsidRPr="000C156A">
              <w:rPr>
                <w:rFonts w:cs="Calibri"/>
                <w:i/>
                <w:iCs/>
                <w:color w:val="000000"/>
                <w:sz w:val="20"/>
                <w:lang w:eastAsia="en-GB"/>
              </w:rPr>
              <w:t xml:space="preserve"> </w:t>
            </w:r>
            <w:r w:rsidRPr="000C156A">
              <w:rPr>
                <w:rFonts w:cs="Calibri"/>
                <w:i/>
                <w:iCs/>
                <w:color w:val="000000"/>
                <w:sz w:val="20"/>
                <w:lang w:eastAsia="en-GB"/>
              </w:rPr>
              <w:t>869</w:t>
            </w:r>
          </w:p>
        </w:tc>
      </w:tr>
      <w:tr w:rsidR="00686EC7" w:rsidRPr="000C156A" w14:paraId="638B0396" w14:textId="77777777" w:rsidTr="00141BAA">
        <w:trPr>
          <w:trHeight w:val="300"/>
        </w:trPr>
        <w:tc>
          <w:tcPr>
            <w:tcW w:w="1198" w:type="pct"/>
            <w:tcBorders>
              <w:top w:val="nil"/>
              <w:left w:val="single" w:sz="4" w:space="0" w:color="auto"/>
              <w:bottom w:val="nil"/>
              <w:right w:val="nil"/>
            </w:tcBorders>
            <w:shd w:val="clear" w:color="auto" w:fill="auto"/>
            <w:vAlign w:val="bottom"/>
            <w:hideMark/>
          </w:tcPr>
          <w:p w14:paraId="2E796977" w14:textId="77777777" w:rsidR="00686EC7" w:rsidRPr="000C156A" w:rsidRDefault="00686EC7" w:rsidP="00141BAA">
            <w:pPr>
              <w:overflowPunct/>
              <w:adjustRightInd/>
              <w:spacing w:before="0"/>
              <w:textAlignment w:val="auto"/>
              <w:rPr>
                <w:rFonts w:ascii="STKaiti" w:eastAsia="STKaiti" w:hAnsi="STKaiti" w:cs="Calibri"/>
                <w:color w:val="000000"/>
                <w:sz w:val="20"/>
                <w:lang w:val="en-US" w:eastAsia="zh-CN"/>
              </w:rPr>
            </w:pPr>
            <w:r w:rsidRPr="000C156A">
              <w:rPr>
                <w:rFonts w:ascii="STKaiti" w:eastAsia="STKaiti" w:hAnsi="STKaiti" w:cs="Calibri"/>
                <w:color w:val="000000"/>
                <w:sz w:val="20"/>
                <w:lang w:val="en-US" w:eastAsia="zh-CN"/>
              </w:rPr>
              <w:t>其它成本回收</w:t>
            </w:r>
          </w:p>
        </w:tc>
        <w:tc>
          <w:tcPr>
            <w:tcW w:w="704" w:type="pct"/>
            <w:tcBorders>
              <w:top w:val="nil"/>
              <w:left w:val="single" w:sz="4" w:space="0" w:color="auto"/>
              <w:bottom w:val="nil"/>
              <w:right w:val="single" w:sz="4" w:space="0" w:color="auto"/>
            </w:tcBorders>
            <w:shd w:val="clear" w:color="auto" w:fill="auto"/>
            <w:noWrap/>
            <w:vAlign w:val="bottom"/>
          </w:tcPr>
          <w:p w14:paraId="02CFC803"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p>
        </w:tc>
        <w:tc>
          <w:tcPr>
            <w:tcW w:w="604" w:type="pct"/>
            <w:tcBorders>
              <w:top w:val="nil"/>
              <w:left w:val="nil"/>
              <w:bottom w:val="nil"/>
              <w:right w:val="single" w:sz="4" w:space="0" w:color="auto"/>
            </w:tcBorders>
            <w:shd w:val="clear" w:color="auto" w:fill="auto"/>
            <w:noWrap/>
            <w:vAlign w:val="bottom"/>
          </w:tcPr>
          <w:p w14:paraId="7838BD07"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p>
        </w:tc>
        <w:tc>
          <w:tcPr>
            <w:tcW w:w="696" w:type="pct"/>
            <w:gridSpan w:val="2"/>
            <w:tcBorders>
              <w:top w:val="nil"/>
              <w:left w:val="nil"/>
              <w:bottom w:val="nil"/>
              <w:right w:val="single" w:sz="4" w:space="0" w:color="auto"/>
            </w:tcBorders>
            <w:shd w:val="clear" w:color="auto" w:fill="auto"/>
            <w:noWrap/>
            <w:vAlign w:val="bottom"/>
          </w:tcPr>
          <w:p w14:paraId="33B8C09D"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p>
        </w:tc>
        <w:tc>
          <w:tcPr>
            <w:tcW w:w="602" w:type="pct"/>
            <w:tcBorders>
              <w:top w:val="nil"/>
              <w:left w:val="nil"/>
              <w:bottom w:val="nil"/>
              <w:right w:val="single" w:sz="4" w:space="0" w:color="auto"/>
            </w:tcBorders>
            <w:shd w:val="clear" w:color="auto" w:fill="auto"/>
            <w:noWrap/>
            <w:vAlign w:val="bottom"/>
          </w:tcPr>
          <w:p w14:paraId="51C21662"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w:t>
            </w:r>
          </w:p>
        </w:tc>
        <w:tc>
          <w:tcPr>
            <w:tcW w:w="579" w:type="pct"/>
            <w:gridSpan w:val="2"/>
            <w:tcBorders>
              <w:top w:val="nil"/>
              <w:left w:val="nil"/>
              <w:bottom w:val="nil"/>
              <w:right w:val="single" w:sz="4" w:space="0" w:color="auto"/>
            </w:tcBorders>
            <w:shd w:val="clear" w:color="auto" w:fill="auto"/>
            <w:noWrap/>
            <w:vAlign w:val="bottom"/>
          </w:tcPr>
          <w:p w14:paraId="1DE19528"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34</w:t>
            </w:r>
          </w:p>
        </w:tc>
        <w:tc>
          <w:tcPr>
            <w:tcW w:w="618" w:type="pct"/>
            <w:tcBorders>
              <w:top w:val="nil"/>
              <w:left w:val="nil"/>
              <w:bottom w:val="nil"/>
              <w:right w:val="single" w:sz="4" w:space="0" w:color="auto"/>
            </w:tcBorders>
            <w:shd w:val="clear" w:color="auto" w:fill="auto"/>
            <w:noWrap/>
            <w:vAlign w:val="bottom"/>
          </w:tcPr>
          <w:p w14:paraId="7223D40E" w14:textId="77777777" w:rsidR="00686EC7" w:rsidRPr="000C156A" w:rsidRDefault="00686EC7" w:rsidP="00141BAA">
            <w:pPr>
              <w:overflowPunct/>
              <w:autoSpaceDE/>
              <w:autoSpaceDN/>
              <w:adjustRightInd/>
              <w:spacing w:before="0"/>
              <w:jc w:val="right"/>
              <w:textAlignment w:val="auto"/>
              <w:rPr>
                <w:rFonts w:cs="Calibri"/>
                <w:i/>
                <w:iCs/>
                <w:color w:val="000000"/>
                <w:sz w:val="20"/>
                <w:lang w:eastAsia="en-GB"/>
              </w:rPr>
            </w:pPr>
            <w:r w:rsidRPr="000C156A">
              <w:rPr>
                <w:rFonts w:cs="Calibri"/>
                <w:i/>
                <w:iCs/>
                <w:color w:val="000000"/>
                <w:sz w:val="20"/>
                <w:lang w:eastAsia="en-GB"/>
              </w:rPr>
              <w:t>34</w:t>
            </w:r>
          </w:p>
        </w:tc>
      </w:tr>
      <w:tr w:rsidR="00686EC7" w:rsidRPr="000C156A" w14:paraId="6980BB4E" w14:textId="77777777" w:rsidTr="00141BAA">
        <w:trPr>
          <w:trHeight w:val="300"/>
        </w:trPr>
        <w:tc>
          <w:tcPr>
            <w:tcW w:w="1198" w:type="pct"/>
            <w:tcBorders>
              <w:top w:val="single" w:sz="4" w:space="0" w:color="auto"/>
              <w:left w:val="single" w:sz="4" w:space="0" w:color="auto"/>
              <w:bottom w:val="single" w:sz="4" w:space="0" w:color="auto"/>
              <w:right w:val="nil"/>
            </w:tcBorders>
            <w:shd w:val="clear" w:color="auto" w:fill="auto"/>
            <w:vAlign w:val="bottom"/>
            <w:hideMark/>
          </w:tcPr>
          <w:p w14:paraId="67157DE9" w14:textId="77777777" w:rsidR="00686EC7" w:rsidRPr="000C156A" w:rsidRDefault="00686EC7" w:rsidP="00141BAA">
            <w:pPr>
              <w:overflowPunct/>
              <w:autoSpaceDE/>
              <w:autoSpaceDN/>
              <w:adjustRightInd/>
              <w:spacing w:before="0"/>
              <w:textAlignment w:val="auto"/>
              <w:rPr>
                <w:rFonts w:cs="Calibri"/>
                <w:b/>
                <w:bCs/>
                <w:color w:val="000000"/>
                <w:sz w:val="20"/>
                <w:lang w:val="en-US" w:eastAsia="zh-CN"/>
              </w:rPr>
            </w:pPr>
            <w:r w:rsidRPr="000C156A">
              <w:rPr>
                <w:rFonts w:cs="Calibri" w:hint="eastAsia"/>
                <w:b/>
                <w:bCs/>
                <w:color w:val="000000"/>
                <w:sz w:val="20"/>
                <w:lang w:val="en-US" w:eastAsia="zh-CN"/>
              </w:rPr>
              <w:t>成本回收</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8C4D7A" w14:textId="3D8FE339"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37</w:t>
            </w:r>
            <w:r w:rsidR="00E870CB" w:rsidRPr="000C156A">
              <w:rPr>
                <w:rFonts w:cs="Calibri"/>
                <w:b/>
                <w:iCs/>
                <w:color w:val="000000"/>
                <w:sz w:val="20"/>
                <w:lang w:eastAsia="en-GB"/>
              </w:rPr>
              <w:t xml:space="preserve"> </w:t>
            </w:r>
            <w:r w:rsidRPr="000C156A">
              <w:rPr>
                <w:rFonts w:cs="Calibri"/>
                <w:b/>
                <w:iCs/>
                <w:color w:val="000000"/>
                <w:sz w:val="20"/>
                <w:lang w:eastAsia="en-GB"/>
              </w:rPr>
              <w:t>875</w:t>
            </w:r>
          </w:p>
        </w:tc>
        <w:tc>
          <w:tcPr>
            <w:tcW w:w="604" w:type="pct"/>
            <w:tcBorders>
              <w:top w:val="single" w:sz="4" w:space="0" w:color="auto"/>
              <w:left w:val="nil"/>
              <w:bottom w:val="single" w:sz="4" w:space="0" w:color="auto"/>
              <w:right w:val="single" w:sz="4" w:space="0" w:color="auto"/>
            </w:tcBorders>
            <w:shd w:val="clear" w:color="auto" w:fill="auto"/>
            <w:noWrap/>
            <w:vAlign w:val="bottom"/>
          </w:tcPr>
          <w:p w14:paraId="27852880"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p>
        </w:tc>
        <w:tc>
          <w:tcPr>
            <w:tcW w:w="696" w:type="pct"/>
            <w:gridSpan w:val="2"/>
            <w:tcBorders>
              <w:top w:val="single" w:sz="4" w:space="0" w:color="auto"/>
              <w:left w:val="nil"/>
              <w:bottom w:val="single" w:sz="4" w:space="0" w:color="auto"/>
              <w:right w:val="single" w:sz="4" w:space="0" w:color="auto"/>
            </w:tcBorders>
            <w:shd w:val="clear" w:color="auto" w:fill="auto"/>
            <w:noWrap/>
            <w:vAlign w:val="bottom"/>
          </w:tcPr>
          <w:p w14:paraId="3A6F6E8C"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p>
        </w:tc>
        <w:tc>
          <w:tcPr>
            <w:tcW w:w="602" w:type="pct"/>
            <w:tcBorders>
              <w:top w:val="single" w:sz="4" w:space="0" w:color="auto"/>
              <w:left w:val="nil"/>
              <w:bottom w:val="single" w:sz="4" w:space="0" w:color="auto"/>
              <w:right w:val="single" w:sz="4" w:space="0" w:color="auto"/>
            </w:tcBorders>
            <w:shd w:val="clear" w:color="auto" w:fill="auto"/>
            <w:noWrap/>
            <w:vAlign w:val="bottom"/>
          </w:tcPr>
          <w:p w14:paraId="5FF0C59A" w14:textId="618DC23D"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37</w:t>
            </w:r>
            <w:r w:rsidR="00E870CB" w:rsidRPr="000C156A">
              <w:rPr>
                <w:rFonts w:cs="Calibri"/>
                <w:b/>
                <w:iCs/>
                <w:color w:val="000000"/>
                <w:sz w:val="20"/>
                <w:lang w:eastAsia="en-GB"/>
              </w:rPr>
              <w:t xml:space="preserve"> </w:t>
            </w:r>
            <w:r w:rsidRPr="000C156A">
              <w:rPr>
                <w:rFonts w:cs="Calibri"/>
                <w:b/>
                <w:iCs/>
                <w:color w:val="000000"/>
                <w:sz w:val="20"/>
                <w:lang w:eastAsia="en-GB"/>
              </w:rPr>
              <w:t>875</w:t>
            </w:r>
          </w:p>
        </w:tc>
        <w:tc>
          <w:tcPr>
            <w:tcW w:w="579" w:type="pct"/>
            <w:gridSpan w:val="2"/>
            <w:tcBorders>
              <w:top w:val="single" w:sz="4" w:space="0" w:color="auto"/>
              <w:left w:val="nil"/>
              <w:bottom w:val="single" w:sz="4" w:space="0" w:color="auto"/>
              <w:right w:val="single" w:sz="4" w:space="0" w:color="auto"/>
            </w:tcBorders>
            <w:shd w:val="clear" w:color="auto" w:fill="auto"/>
            <w:noWrap/>
            <w:vAlign w:val="bottom"/>
          </w:tcPr>
          <w:p w14:paraId="32D98F7F" w14:textId="36B7891C"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31</w:t>
            </w:r>
            <w:r w:rsidR="00E870CB" w:rsidRPr="000C156A">
              <w:rPr>
                <w:rFonts w:cs="Calibri"/>
                <w:b/>
                <w:iCs/>
                <w:color w:val="000000"/>
                <w:sz w:val="20"/>
                <w:lang w:eastAsia="en-GB"/>
              </w:rPr>
              <w:t xml:space="preserve"> </w:t>
            </w:r>
            <w:r w:rsidRPr="000C156A">
              <w:rPr>
                <w:rFonts w:cs="Calibri"/>
                <w:b/>
                <w:iCs/>
                <w:color w:val="000000"/>
                <w:sz w:val="20"/>
                <w:lang w:eastAsia="en-GB"/>
              </w:rPr>
              <w:t>271</w:t>
            </w:r>
          </w:p>
        </w:tc>
        <w:tc>
          <w:tcPr>
            <w:tcW w:w="618" w:type="pct"/>
            <w:tcBorders>
              <w:top w:val="single" w:sz="4" w:space="0" w:color="auto"/>
              <w:left w:val="nil"/>
              <w:bottom w:val="single" w:sz="4" w:space="0" w:color="auto"/>
              <w:right w:val="single" w:sz="4" w:space="0" w:color="auto"/>
            </w:tcBorders>
            <w:shd w:val="clear" w:color="auto" w:fill="auto"/>
            <w:noWrap/>
            <w:vAlign w:val="bottom"/>
          </w:tcPr>
          <w:p w14:paraId="5F62B9DA" w14:textId="1ED0C691"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-6</w:t>
            </w:r>
            <w:r w:rsidR="00E870CB" w:rsidRPr="000C156A">
              <w:rPr>
                <w:rFonts w:cs="Calibri"/>
                <w:b/>
                <w:iCs/>
                <w:color w:val="000000"/>
                <w:sz w:val="20"/>
                <w:lang w:eastAsia="en-GB"/>
              </w:rPr>
              <w:t xml:space="preserve"> </w:t>
            </w:r>
            <w:r w:rsidRPr="000C156A">
              <w:rPr>
                <w:rFonts w:cs="Calibri"/>
                <w:b/>
                <w:iCs/>
                <w:color w:val="000000"/>
                <w:sz w:val="20"/>
                <w:lang w:eastAsia="en-GB"/>
              </w:rPr>
              <w:t>604</w:t>
            </w:r>
          </w:p>
        </w:tc>
      </w:tr>
      <w:tr w:rsidR="00686EC7" w:rsidRPr="000C156A" w14:paraId="432BDDE0" w14:textId="77777777" w:rsidTr="00141BAA">
        <w:trPr>
          <w:trHeight w:val="135"/>
        </w:trPr>
        <w:tc>
          <w:tcPr>
            <w:tcW w:w="1198" w:type="pct"/>
            <w:tcBorders>
              <w:top w:val="nil"/>
              <w:left w:val="single" w:sz="4" w:space="0" w:color="auto"/>
              <w:bottom w:val="nil"/>
              <w:right w:val="nil"/>
            </w:tcBorders>
            <w:shd w:val="clear" w:color="auto" w:fill="auto"/>
            <w:vAlign w:val="bottom"/>
            <w:hideMark/>
          </w:tcPr>
          <w:p w14:paraId="0A9E9ABF" w14:textId="77777777" w:rsidR="00686EC7" w:rsidRPr="000C156A" w:rsidRDefault="00686EC7" w:rsidP="00141BAA">
            <w:pPr>
              <w:overflowPunct/>
              <w:autoSpaceDE/>
              <w:autoSpaceDN/>
              <w:adjustRightInd/>
              <w:spacing w:before="0"/>
              <w:textAlignment w:val="auto"/>
              <w:rPr>
                <w:rFonts w:cs="Calibri"/>
                <w:b/>
                <w:color w:val="000000"/>
                <w:sz w:val="20"/>
                <w:lang w:val="en-US" w:eastAsia="zh-CN"/>
              </w:rPr>
            </w:pPr>
            <w:r w:rsidRPr="000C156A">
              <w:rPr>
                <w:rFonts w:cs="Calibri"/>
                <w:b/>
                <w:color w:val="000000"/>
                <w:sz w:val="20"/>
                <w:lang w:val="en-US" w:eastAsia="zh-CN"/>
              </w:rPr>
              <w:t> </w:t>
            </w:r>
          </w:p>
        </w:tc>
        <w:tc>
          <w:tcPr>
            <w:tcW w:w="704" w:type="pct"/>
            <w:tcBorders>
              <w:top w:val="nil"/>
              <w:left w:val="single" w:sz="4" w:space="0" w:color="auto"/>
              <w:bottom w:val="nil"/>
              <w:right w:val="single" w:sz="4" w:space="0" w:color="auto"/>
            </w:tcBorders>
            <w:shd w:val="clear" w:color="auto" w:fill="auto"/>
            <w:noWrap/>
            <w:vAlign w:val="bottom"/>
          </w:tcPr>
          <w:p w14:paraId="01A34B16"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p>
        </w:tc>
        <w:tc>
          <w:tcPr>
            <w:tcW w:w="604" w:type="pct"/>
            <w:tcBorders>
              <w:top w:val="nil"/>
              <w:left w:val="nil"/>
              <w:bottom w:val="nil"/>
              <w:right w:val="single" w:sz="4" w:space="0" w:color="auto"/>
            </w:tcBorders>
            <w:shd w:val="clear" w:color="auto" w:fill="auto"/>
            <w:noWrap/>
            <w:vAlign w:val="bottom"/>
          </w:tcPr>
          <w:p w14:paraId="70843938"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p>
        </w:tc>
        <w:tc>
          <w:tcPr>
            <w:tcW w:w="696" w:type="pct"/>
            <w:gridSpan w:val="2"/>
            <w:tcBorders>
              <w:top w:val="nil"/>
              <w:left w:val="nil"/>
              <w:bottom w:val="nil"/>
              <w:right w:val="single" w:sz="4" w:space="0" w:color="auto"/>
            </w:tcBorders>
            <w:shd w:val="clear" w:color="auto" w:fill="auto"/>
            <w:noWrap/>
            <w:vAlign w:val="bottom"/>
          </w:tcPr>
          <w:p w14:paraId="1B941C52"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p>
        </w:tc>
        <w:tc>
          <w:tcPr>
            <w:tcW w:w="602" w:type="pct"/>
            <w:tcBorders>
              <w:top w:val="nil"/>
              <w:left w:val="nil"/>
              <w:bottom w:val="nil"/>
              <w:right w:val="single" w:sz="4" w:space="0" w:color="auto"/>
            </w:tcBorders>
            <w:shd w:val="clear" w:color="auto" w:fill="auto"/>
            <w:noWrap/>
            <w:vAlign w:val="bottom"/>
          </w:tcPr>
          <w:p w14:paraId="1C0F484A"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p>
        </w:tc>
        <w:tc>
          <w:tcPr>
            <w:tcW w:w="579" w:type="pct"/>
            <w:gridSpan w:val="2"/>
            <w:tcBorders>
              <w:top w:val="nil"/>
              <w:left w:val="nil"/>
              <w:bottom w:val="nil"/>
              <w:right w:val="single" w:sz="4" w:space="0" w:color="auto"/>
            </w:tcBorders>
            <w:shd w:val="clear" w:color="auto" w:fill="auto"/>
            <w:noWrap/>
            <w:vAlign w:val="bottom"/>
          </w:tcPr>
          <w:p w14:paraId="1154F1D6"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p>
        </w:tc>
        <w:tc>
          <w:tcPr>
            <w:tcW w:w="618" w:type="pct"/>
            <w:tcBorders>
              <w:top w:val="nil"/>
              <w:left w:val="nil"/>
              <w:bottom w:val="nil"/>
              <w:right w:val="single" w:sz="4" w:space="0" w:color="auto"/>
            </w:tcBorders>
            <w:shd w:val="clear" w:color="auto" w:fill="auto"/>
            <w:noWrap/>
            <w:vAlign w:val="bottom"/>
          </w:tcPr>
          <w:p w14:paraId="02CE6601"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p>
        </w:tc>
      </w:tr>
      <w:tr w:rsidR="00686EC7" w:rsidRPr="000C156A" w14:paraId="4CA306F2" w14:textId="77777777" w:rsidTr="00141BAA">
        <w:trPr>
          <w:trHeight w:val="300"/>
        </w:trPr>
        <w:tc>
          <w:tcPr>
            <w:tcW w:w="1198" w:type="pct"/>
            <w:tcBorders>
              <w:top w:val="nil"/>
              <w:left w:val="single" w:sz="4" w:space="0" w:color="auto"/>
              <w:bottom w:val="nil"/>
              <w:right w:val="nil"/>
            </w:tcBorders>
            <w:shd w:val="clear" w:color="auto" w:fill="auto"/>
            <w:vAlign w:val="bottom"/>
            <w:hideMark/>
          </w:tcPr>
          <w:p w14:paraId="04EBA5FC" w14:textId="77777777" w:rsidR="00686EC7" w:rsidRPr="000C156A" w:rsidRDefault="00686EC7" w:rsidP="00141BAA">
            <w:pPr>
              <w:overflowPunct/>
              <w:adjustRightInd/>
              <w:spacing w:before="0"/>
              <w:textAlignment w:val="auto"/>
              <w:rPr>
                <w:rFonts w:cs="Calibri"/>
                <w:b/>
                <w:bCs/>
                <w:color w:val="000000"/>
                <w:sz w:val="20"/>
                <w:lang w:val="en-US" w:eastAsia="zh-CN"/>
              </w:rPr>
            </w:pPr>
            <w:r w:rsidRPr="000C156A">
              <w:rPr>
                <w:rFonts w:cs="Calibri" w:hint="eastAsia"/>
                <w:b/>
                <w:bCs/>
                <w:color w:val="000000"/>
                <w:sz w:val="20"/>
                <w:lang w:val="en-US" w:eastAsia="zh-CN"/>
              </w:rPr>
              <w:t>利息</w:t>
            </w:r>
          </w:p>
        </w:tc>
        <w:tc>
          <w:tcPr>
            <w:tcW w:w="704" w:type="pct"/>
            <w:tcBorders>
              <w:top w:val="nil"/>
              <w:left w:val="single" w:sz="4" w:space="0" w:color="auto"/>
              <w:bottom w:val="nil"/>
              <w:right w:val="single" w:sz="4" w:space="0" w:color="auto"/>
            </w:tcBorders>
            <w:shd w:val="clear" w:color="auto" w:fill="auto"/>
            <w:noWrap/>
            <w:vAlign w:val="bottom"/>
          </w:tcPr>
          <w:p w14:paraId="5F4B633A"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300</w:t>
            </w:r>
          </w:p>
        </w:tc>
        <w:tc>
          <w:tcPr>
            <w:tcW w:w="604" w:type="pct"/>
            <w:tcBorders>
              <w:top w:val="nil"/>
              <w:left w:val="nil"/>
              <w:bottom w:val="nil"/>
              <w:right w:val="single" w:sz="4" w:space="0" w:color="auto"/>
            </w:tcBorders>
            <w:shd w:val="clear" w:color="auto" w:fill="auto"/>
            <w:noWrap/>
            <w:vAlign w:val="bottom"/>
          </w:tcPr>
          <w:p w14:paraId="6A2A8820"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p>
        </w:tc>
        <w:tc>
          <w:tcPr>
            <w:tcW w:w="696" w:type="pct"/>
            <w:gridSpan w:val="2"/>
            <w:tcBorders>
              <w:top w:val="nil"/>
              <w:left w:val="nil"/>
              <w:bottom w:val="nil"/>
              <w:right w:val="single" w:sz="4" w:space="0" w:color="auto"/>
            </w:tcBorders>
            <w:shd w:val="clear" w:color="auto" w:fill="auto"/>
            <w:noWrap/>
            <w:vAlign w:val="bottom"/>
          </w:tcPr>
          <w:p w14:paraId="7CB52E94"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p>
        </w:tc>
        <w:tc>
          <w:tcPr>
            <w:tcW w:w="602" w:type="pct"/>
            <w:tcBorders>
              <w:top w:val="nil"/>
              <w:left w:val="nil"/>
              <w:bottom w:val="nil"/>
              <w:right w:val="single" w:sz="4" w:space="0" w:color="auto"/>
            </w:tcBorders>
            <w:shd w:val="clear" w:color="auto" w:fill="auto"/>
            <w:noWrap/>
            <w:vAlign w:val="bottom"/>
          </w:tcPr>
          <w:p w14:paraId="4DC8E6BD"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300</w:t>
            </w:r>
          </w:p>
        </w:tc>
        <w:tc>
          <w:tcPr>
            <w:tcW w:w="579" w:type="pct"/>
            <w:gridSpan w:val="2"/>
            <w:tcBorders>
              <w:top w:val="nil"/>
              <w:left w:val="nil"/>
              <w:bottom w:val="nil"/>
              <w:right w:val="single" w:sz="4" w:space="0" w:color="auto"/>
            </w:tcBorders>
            <w:shd w:val="clear" w:color="auto" w:fill="auto"/>
            <w:noWrap/>
            <w:vAlign w:val="bottom"/>
          </w:tcPr>
          <w:p w14:paraId="2F48CDFB"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125</w:t>
            </w:r>
          </w:p>
        </w:tc>
        <w:tc>
          <w:tcPr>
            <w:tcW w:w="618" w:type="pct"/>
            <w:tcBorders>
              <w:top w:val="nil"/>
              <w:left w:val="nil"/>
              <w:bottom w:val="nil"/>
              <w:right w:val="single" w:sz="4" w:space="0" w:color="auto"/>
            </w:tcBorders>
            <w:shd w:val="clear" w:color="auto" w:fill="auto"/>
            <w:noWrap/>
            <w:vAlign w:val="bottom"/>
          </w:tcPr>
          <w:p w14:paraId="1712F08D"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-175</w:t>
            </w:r>
          </w:p>
        </w:tc>
      </w:tr>
      <w:tr w:rsidR="00686EC7" w:rsidRPr="000C156A" w14:paraId="56A5AEEF" w14:textId="77777777" w:rsidTr="00141BAA">
        <w:trPr>
          <w:trHeight w:val="300"/>
        </w:trPr>
        <w:tc>
          <w:tcPr>
            <w:tcW w:w="1198" w:type="pct"/>
            <w:tcBorders>
              <w:top w:val="nil"/>
              <w:left w:val="single" w:sz="4" w:space="0" w:color="auto"/>
              <w:bottom w:val="nil"/>
              <w:right w:val="nil"/>
            </w:tcBorders>
            <w:shd w:val="clear" w:color="auto" w:fill="auto"/>
            <w:vAlign w:val="bottom"/>
            <w:hideMark/>
          </w:tcPr>
          <w:p w14:paraId="254E54D2" w14:textId="77777777" w:rsidR="00686EC7" w:rsidRPr="000C156A" w:rsidRDefault="00686EC7" w:rsidP="00141BAA">
            <w:pPr>
              <w:overflowPunct/>
              <w:adjustRightInd/>
              <w:spacing w:before="0"/>
              <w:textAlignment w:val="auto"/>
              <w:rPr>
                <w:rFonts w:cs="Calibri"/>
                <w:b/>
                <w:bCs/>
                <w:color w:val="000000"/>
                <w:sz w:val="20"/>
                <w:lang w:val="en-US" w:eastAsia="zh-CN"/>
              </w:rPr>
            </w:pPr>
            <w:r w:rsidRPr="000C156A">
              <w:rPr>
                <w:rFonts w:cs="Calibri" w:hint="eastAsia"/>
                <w:b/>
                <w:bCs/>
                <w:color w:val="000000"/>
                <w:sz w:val="20"/>
                <w:lang w:val="en-US" w:eastAsia="zh-CN"/>
              </w:rPr>
              <w:t>其它收入</w:t>
            </w:r>
          </w:p>
        </w:tc>
        <w:tc>
          <w:tcPr>
            <w:tcW w:w="704" w:type="pct"/>
            <w:tcBorders>
              <w:top w:val="nil"/>
              <w:left w:val="single" w:sz="4" w:space="0" w:color="auto"/>
              <w:bottom w:val="nil"/>
              <w:right w:val="single" w:sz="4" w:space="0" w:color="auto"/>
            </w:tcBorders>
            <w:shd w:val="clear" w:color="auto" w:fill="auto"/>
            <w:noWrap/>
            <w:vAlign w:val="bottom"/>
          </w:tcPr>
          <w:p w14:paraId="4918CD23"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100</w:t>
            </w:r>
          </w:p>
        </w:tc>
        <w:tc>
          <w:tcPr>
            <w:tcW w:w="604" w:type="pct"/>
            <w:tcBorders>
              <w:top w:val="nil"/>
              <w:left w:val="nil"/>
              <w:bottom w:val="nil"/>
              <w:right w:val="single" w:sz="4" w:space="0" w:color="auto"/>
            </w:tcBorders>
            <w:shd w:val="clear" w:color="auto" w:fill="auto"/>
            <w:noWrap/>
            <w:vAlign w:val="bottom"/>
          </w:tcPr>
          <w:p w14:paraId="5782912E"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p>
        </w:tc>
        <w:tc>
          <w:tcPr>
            <w:tcW w:w="696" w:type="pct"/>
            <w:gridSpan w:val="2"/>
            <w:tcBorders>
              <w:top w:val="nil"/>
              <w:left w:val="nil"/>
              <w:bottom w:val="nil"/>
              <w:right w:val="single" w:sz="4" w:space="0" w:color="auto"/>
            </w:tcBorders>
            <w:shd w:val="clear" w:color="auto" w:fill="auto"/>
            <w:noWrap/>
            <w:vAlign w:val="bottom"/>
          </w:tcPr>
          <w:p w14:paraId="470866E8"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p>
        </w:tc>
        <w:tc>
          <w:tcPr>
            <w:tcW w:w="602" w:type="pct"/>
            <w:tcBorders>
              <w:top w:val="nil"/>
              <w:left w:val="nil"/>
              <w:bottom w:val="nil"/>
              <w:right w:val="single" w:sz="4" w:space="0" w:color="auto"/>
            </w:tcBorders>
            <w:shd w:val="clear" w:color="auto" w:fill="auto"/>
            <w:noWrap/>
            <w:vAlign w:val="bottom"/>
          </w:tcPr>
          <w:p w14:paraId="286099EA"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100</w:t>
            </w:r>
          </w:p>
        </w:tc>
        <w:tc>
          <w:tcPr>
            <w:tcW w:w="579" w:type="pct"/>
            <w:gridSpan w:val="2"/>
            <w:tcBorders>
              <w:top w:val="nil"/>
              <w:left w:val="nil"/>
              <w:bottom w:val="nil"/>
              <w:right w:val="single" w:sz="4" w:space="0" w:color="auto"/>
            </w:tcBorders>
            <w:shd w:val="clear" w:color="auto" w:fill="auto"/>
            <w:noWrap/>
            <w:vAlign w:val="bottom"/>
          </w:tcPr>
          <w:p w14:paraId="1CFD725D" w14:textId="6A4CDD7B"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-1</w:t>
            </w:r>
            <w:r w:rsidR="00E870CB" w:rsidRPr="000C156A">
              <w:rPr>
                <w:rFonts w:cs="Calibri"/>
                <w:b/>
                <w:iCs/>
                <w:color w:val="000000"/>
                <w:sz w:val="20"/>
                <w:lang w:eastAsia="en-GB"/>
              </w:rPr>
              <w:t xml:space="preserve"> </w:t>
            </w:r>
            <w:r w:rsidRPr="000C156A">
              <w:rPr>
                <w:rFonts w:cs="Calibri"/>
                <w:b/>
                <w:iCs/>
                <w:color w:val="000000"/>
                <w:sz w:val="20"/>
                <w:lang w:eastAsia="en-GB"/>
              </w:rPr>
              <w:t>834</w:t>
            </w:r>
          </w:p>
        </w:tc>
        <w:tc>
          <w:tcPr>
            <w:tcW w:w="618" w:type="pct"/>
            <w:tcBorders>
              <w:top w:val="nil"/>
              <w:left w:val="nil"/>
              <w:bottom w:val="nil"/>
              <w:right w:val="single" w:sz="4" w:space="0" w:color="auto"/>
            </w:tcBorders>
            <w:shd w:val="clear" w:color="auto" w:fill="auto"/>
            <w:noWrap/>
            <w:vAlign w:val="bottom"/>
          </w:tcPr>
          <w:p w14:paraId="421910C8" w14:textId="14A6DA89"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-1</w:t>
            </w:r>
            <w:r w:rsidR="00E870CB" w:rsidRPr="000C156A">
              <w:rPr>
                <w:rFonts w:cs="Calibri"/>
                <w:b/>
                <w:iCs/>
                <w:color w:val="000000"/>
                <w:sz w:val="20"/>
                <w:lang w:eastAsia="en-GB"/>
              </w:rPr>
              <w:t xml:space="preserve"> </w:t>
            </w:r>
            <w:r w:rsidRPr="000C156A">
              <w:rPr>
                <w:rFonts w:cs="Calibri"/>
                <w:b/>
                <w:iCs/>
                <w:color w:val="000000"/>
                <w:sz w:val="20"/>
                <w:lang w:eastAsia="en-GB"/>
              </w:rPr>
              <w:t>934</w:t>
            </w:r>
          </w:p>
        </w:tc>
      </w:tr>
      <w:tr w:rsidR="00686EC7" w:rsidRPr="000C156A" w14:paraId="5C0170F0" w14:textId="77777777" w:rsidTr="00141BAA">
        <w:trPr>
          <w:trHeight w:val="300"/>
        </w:trPr>
        <w:tc>
          <w:tcPr>
            <w:tcW w:w="1198" w:type="pct"/>
            <w:tcBorders>
              <w:top w:val="nil"/>
              <w:left w:val="single" w:sz="4" w:space="0" w:color="auto"/>
              <w:bottom w:val="nil"/>
              <w:right w:val="nil"/>
            </w:tcBorders>
            <w:shd w:val="clear" w:color="auto" w:fill="auto"/>
            <w:vAlign w:val="bottom"/>
          </w:tcPr>
          <w:p w14:paraId="2D34DE58" w14:textId="77777777" w:rsidR="00686EC7" w:rsidRPr="000C156A" w:rsidRDefault="00686EC7" w:rsidP="00141BAA">
            <w:pPr>
              <w:overflowPunct/>
              <w:adjustRightInd/>
              <w:spacing w:before="0"/>
              <w:textAlignment w:val="auto"/>
              <w:rPr>
                <w:rFonts w:cs="Calibri"/>
                <w:b/>
                <w:bCs/>
                <w:color w:val="000000"/>
                <w:sz w:val="20"/>
                <w:lang w:val="en-US" w:eastAsia="zh-CN"/>
              </w:rPr>
            </w:pPr>
            <w:r w:rsidRPr="000C156A">
              <w:rPr>
                <w:rFonts w:cs="Calibri" w:hint="eastAsia"/>
                <w:b/>
                <w:bCs/>
                <w:color w:val="000000"/>
                <w:sz w:val="20"/>
                <w:lang w:eastAsia="zh-CN"/>
              </w:rPr>
              <w:t>递延活动</w:t>
            </w:r>
          </w:p>
        </w:tc>
        <w:tc>
          <w:tcPr>
            <w:tcW w:w="704" w:type="pct"/>
            <w:tcBorders>
              <w:top w:val="nil"/>
              <w:left w:val="single" w:sz="4" w:space="0" w:color="auto"/>
              <w:bottom w:val="nil"/>
              <w:right w:val="single" w:sz="4" w:space="0" w:color="auto"/>
            </w:tcBorders>
            <w:shd w:val="clear" w:color="auto" w:fill="auto"/>
            <w:noWrap/>
            <w:vAlign w:val="bottom"/>
          </w:tcPr>
          <w:p w14:paraId="60428F70"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p>
        </w:tc>
        <w:tc>
          <w:tcPr>
            <w:tcW w:w="604" w:type="pct"/>
            <w:tcBorders>
              <w:top w:val="nil"/>
              <w:left w:val="nil"/>
              <w:bottom w:val="nil"/>
              <w:right w:val="single" w:sz="4" w:space="0" w:color="auto"/>
            </w:tcBorders>
            <w:shd w:val="clear" w:color="auto" w:fill="auto"/>
            <w:noWrap/>
            <w:vAlign w:val="bottom"/>
          </w:tcPr>
          <w:p w14:paraId="7485A1BD" w14:textId="4A8CBA98"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-1</w:t>
            </w:r>
            <w:r w:rsidR="00E870CB" w:rsidRPr="000C156A">
              <w:rPr>
                <w:rFonts w:cs="Calibri"/>
                <w:b/>
                <w:iCs/>
                <w:color w:val="000000"/>
                <w:sz w:val="20"/>
                <w:lang w:eastAsia="en-GB"/>
              </w:rPr>
              <w:t xml:space="preserve"> </w:t>
            </w:r>
            <w:r w:rsidRPr="000C156A">
              <w:rPr>
                <w:rFonts w:cs="Calibri"/>
                <w:b/>
                <w:iCs/>
                <w:color w:val="000000"/>
                <w:sz w:val="20"/>
                <w:lang w:eastAsia="en-GB"/>
              </w:rPr>
              <w:t>867</w:t>
            </w:r>
          </w:p>
        </w:tc>
        <w:tc>
          <w:tcPr>
            <w:tcW w:w="696" w:type="pct"/>
            <w:gridSpan w:val="2"/>
            <w:tcBorders>
              <w:top w:val="nil"/>
              <w:left w:val="nil"/>
              <w:bottom w:val="nil"/>
              <w:right w:val="single" w:sz="4" w:space="0" w:color="auto"/>
            </w:tcBorders>
            <w:shd w:val="clear" w:color="auto" w:fill="auto"/>
            <w:noWrap/>
            <w:vAlign w:val="bottom"/>
          </w:tcPr>
          <w:p w14:paraId="459AB8A2"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p>
        </w:tc>
        <w:tc>
          <w:tcPr>
            <w:tcW w:w="602" w:type="pct"/>
            <w:tcBorders>
              <w:top w:val="nil"/>
              <w:left w:val="nil"/>
              <w:bottom w:val="nil"/>
              <w:right w:val="single" w:sz="4" w:space="0" w:color="auto"/>
            </w:tcBorders>
            <w:shd w:val="clear" w:color="auto" w:fill="auto"/>
            <w:noWrap/>
            <w:vAlign w:val="bottom"/>
          </w:tcPr>
          <w:p w14:paraId="5BAA0B1F" w14:textId="6748FAFC"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-1</w:t>
            </w:r>
            <w:r w:rsidR="00E870CB" w:rsidRPr="000C156A">
              <w:rPr>
                <w:rFonts w:cs="Calibri"/>
                <w:b/>
                <w:iCs/>
                <w:color w:val="000000"/>
                <w:sz w:val="20"/>
                <w:lang w:eastAsia="en-GB"/>
              </w:rPr>
              <w:t xml:space="preserve"> </w:t>
            </w:r>
            <w:r w:rsidRPr="000C156A">
              <w:rPr>
                <w:rFonts w:cs="Calibri"/>
                <w:b/>
                <w:iCs/>
                <w:color w:val="000000"/>
                <w:sz w:val="20"/>
                <w:lang w:eastAsia="en-GB"/>
              </w:rPr>
              <w:t>867</w:t>
            </w:r>
          </w:p>
        </w:tc>
        <w:tc>
          <w:tcPr>
            <w:tcW w:w="579" w:type="pct"/>
            <w:gridSpan w:val="2"/>
            <w:tcBorders>
              <w:top w:val="nil"/>
              <w:left w:val="nil"/>
              <w:bottom w:val="nil"/>
              <w:right w:val="single" w:sz="4" w:space="0" w:color="auto"/>
            </w:tcBorders>
            <w:shd w:val="clear" w:color="auto" w:fill="auto"/>
            <w:noWrap/>
            <w:vAlign w:val="bottom"/>
          </w:tcPr>
          <w:p w14:paraId="25799029" w14:textId="50937CFF"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-1</w:t>
            </w:r>
            <w:r w:rsidR="00E870CB" w:rsidRPr="000C156A">
              <w:rPr>
                <w:rFonts w:cs="Calibri"/>
                <w:b/>
                <w:iCs/>
                <w:color w:val="000000"/>
                <w:sz w:val="20"/>
                <w:lang w:eastAsia="en-GB"/>
              </w:rPr>
              <w:t xml:space="preserve"> </w:t>
            </w:r>
            <w:r w:rsidRPr="000C156A">
              <w:rPr>
                <w:rFonts w:cs="Calibri"/>
                <w:b/>
                <w:iCs/>
                <w:color w:val="000000"/>
                <w:sz w:val="20"/>
                <w:lang w:eastAsia="en-GB"/>
              </w:rPr>
              <w:t>867</w:t>
            </w:r>
          </w:p>
        </w:tc>
        <w:tc>
          <w:tcPr>
            <w:tcW w:w="618" w:type="pct"/>
            <w:tcBorders>
              <w:top w:val="nil"/>
              <w:left w:val="nil"/>
              <w:bottom w:val="nil"/>
              <w:right w:val="single" w:sz="4" w:space="0" w:color="auto"/>
            </w:tcBorders>
            <w:shd w:val="clear" w:color="auto" w:fill="auto"/>
            <w:noWrap/>
            <w:vAlign w:val="bottom"/>
          </w:tcPr>
          <w:p w14:paraId="439C3DF3"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p>
        </w:tc>
      </w:tr>
      <w:tr w:rsidR="00686EC7" w:rsidRPr="000C156A" w14:paraId="6AF17C0E" w14:textId="77777777" w:rsidTr="00141BAA">
        <w:trPr>
          <w:trHeight w:val="300"/>
        </w:trPr>
        <w:tc>
          <w:tcPr>
            <w:tcW w:w="1198" w:type="pct"/>
            <w:tcBorders>
              <w:top w:val="nil"/>
              <w:left w:val="single" w:sz="4" w:space="0" w:color="auto"/>
              <w:bottom w:val="nil"/>
              <w:right w:val="nil"/>
            </w:tcBorders>
            <w:shd w:val="clear" w:color="auto" w:fill="auto"/>
            <w:vAlign w:val="bottom"/>
            <w:hideMark/>
          </w:tcPr>
          <w:p w14:paraId="3E5682FA" w14:textId="77777777" w:rsidR="00686EC7" w:rsidRPr="000C156A" w:rsidRDefault="00686EC7" w:rsidP="00141BAA">
            <w:pPr>
              <w:overflowPunct/>
              <w:adjustRightInd/>
              <w:spacing w:before="0"/>
              <w:textAlignment w:val="auto"/>
              <w:rPr>
                <w:rFonts w:cs="Calibri"/>
                <w:b/>
                <w:bCs/>
                <w:color w:val="000000"/>
                <w:sz w:val="20"/>
                <w:lang w:val="en-US" w:eastAsia="zh-CN"/>
              </w:rPr>
            </w:pPr>
            <w:r w:rsidRPr="000C156A">
              <w:rPr>
                <w:rFonts w:cs="Calibri" w:hint="eastAsia"/>
                <w:b/>
                <w:bCs/>
                <w:color w:val="000000"/>
                <w:sz w:val="20"/>
                <w:lang w:val="en-US" w:eastAsia="zh-CN"/>
              </w:rPr>
              <w:t>储备金账目</w:t>
            </w:r>
            <w:r w:rsidRPr="000C156A">
              <w:rPr>
                <w:rFonts w:cs="Calibri"/>
                <w:b/>
                <w:bCs/>
                <w:color w:val="000000"/>
                <w:sz w:val="20"/>
                <w:lang w:val="en-US" w:eastAsia="zh-CN"/>
              </w:rPr>
              <w:t>提款</w:t>
            </w:r>
          </w:p>
        </w:tc>
        <w:tc>
          <w:tcPr>
            <w:tcW w:w="704" w:type="pct"/>
            <w:tcBorders>
              <w:top w:val="nil"/>
              <w:left w:val="single" w:sz="4" w:space="0" w:color="auto"/>
              <w:bottom w:val="nil"/>
              <w:right w:val="single" w:sz="4" w:space="0" w:color="auto"/>
            </w:tcBorders>
            <w:shd w:val="clear" w:color="auto" w:fill="auto"/>
            <w:noWrap/>
            <w:vAlign w:val="bottom"/>
          </w:tcPr>
          <w:p w14:paraId="17EB77DB"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w:t>
            </w:r>
          </w:p>
        </w:tc>
        <w:tc>
          <w:tcPr>
            <w:tcW w:w="604" w:type="pct"/>
            <w:tcBorders>
              <w:top w:val="nil"/>
              <w:left w:val="nil"/>
              <w:bottom w:val="nil"/>
              <w:right w:val="single" w:sz="4" w:space="0" w:color="auto"/>
            </w:tcBorders>
            <w:shd w:val="clear" w:color="auto" w:fill="auto"/>
            <w:noWrap/>
            <w:vAlign w:val="bottom"/>
          </w:tcPr>
          <w:p w14:paraId="3F61C787"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p>
        </w:tc>
        <w:tc>
          <w:tcPr>
            <w:tcW w:w="696" w:type="pct"/>
            <w:gridSpan w:val="2"/>
            <w:tcBorders>
              <w:top w:val="nil"/>
              <w:left w:val="nil"/>
              <w:bottom w:val="nil"/>
              <w:right w:val="single" w:sz="4" w:space="0" w:color="auto"/>
            </w:tcBorders>
            <w:shd w:val="clear" w:color="auto" w:fill="auto"/>
            <w:noWrap/>
            <w:vAlign w:val="bottom"/>
          </w:tcPr>
          <w:p w14:paraId="25305E03"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p>
        </w:tc>
        <w:tc>
          <w:tcPr>
            <w:tcW w:w="602" w:type="pct"/>
            <w:tcBorders>
              <w:top w:val="nil"/>
              <w:left w:val="nil"/>
              <w:bottom w:val="nil"/>
              <w:right w:val="single" w:sz="4" w:space="0" w:color="auto"/>
            </w:tcBorders>
            <w:shd w:val="clear" w:color="auto" w:fill="auto"/>
            <w:noWrap/>
            <w:vAlign w:val="bottom"/>
          </w:tcPr>
          <w:p w14:paraId="4B935602"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w:t>
            </w:r>
          </w:p>
        </w:tc>
        <w:tc>
          <w:tcPr>
            <w:tcW w:w="579" w:type="pct"/>
            <w:gridSpan w:val="2"/>
            <w:tcBorders>
              <w:top w:val="nil"/>
              <w:left w:val="nil"/>
              <w:bottom w:val="nil"/>
              <w:right w:val="single" w:sz="4" w:space="0" w:color="auto"/>
            </w:tcBorders>
            <w:shd w:val="clear" w:color="auto" w:fill="auto"/>
            <w:noWrap/>
            <w:vAlign w:val="bottom"/>
          </w:tcPr>
          <w:p w14:paraId="6E57580D"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w:t>
            </w:r>
          </w:p>
        </w:tc>
        <w:tc>
          <w:tcPr>
            <w:tcW w:w="618" w:type="pct"/>
            <w:tcBorders>
              <w:top w:val="nil"/>
              <w:left w:val="nil"/>
              <w:bottom w:val="nil"/>
              <w:right w:val="single" w:sz="4" w:space="0" w:color="auto"/>
            </w:tcBorders>
            <w:shd w:val="clear" w:color="auto" w:fill="auto"/>
            <w:noWrap/>
            <w:vAlign w:val="bottom"/>
          </w:tcPr>
          <w:p w14:paraId="27D9D5F2"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w:t>
            </w:r>
          </w:p>
        </w:tc>
      </w:tr>
      <w:tr w:rsidR="00686EC7" w:rsidRPr="000C156A" w14:paraId="79523220" w14:textId="77777777" w:rsidTr="00141BAA">
        <w:trPr>
          <w:trHeight w:val="300"/>
        </w:trPr>
        <w:tc>
          <w:tcPr>
            <w:tcW w:w="1198" w:type="pct"/>
            <w:tcBorders>
              <w:top w:val="nil"/>
              <w:left w:val="single" w:sz="4" w:space="0" w:color="auto"/>
              <w:bottom w:val="single" w:sz="4" w:space="0" w:color="auto"/>
              <w:right w:val="nil"/>
            </w:tcBorders>
            <w:shd w:val="clear" w:color="auto" w:fill="auto"/>
            <w:hideMark/>
          </w:tcPr>
          <w:p w14:paraId="4D310871" w14:textId="77777777" w:rsidR="00686EC7" w:rsidRPr="000C156A" w:rsidRDefault="00686EC7" w:rsidP="00141BAA">
            <w:pPr>
              <w:overflowPunct/>
              <w:autoSpaceDE/>
              <w:autoSpaceDN/>
              <w:adjustRightInd/>
              <w:spacing w:before="0"/>
              <w:textAlignment w:val="auto"/>
              <w:rPr>
                <w:rFonts w:cs="Calibri"/>
                <w:b/>
                <w:bCs/>
                <w:color w:val="000000"/>
                <w:sz w:val="20"/>
                <w:lang w:val="en-US" w:eastAsia="zh-CN"/>
              </w:rPr>
            </w:pPr>
            <w:r w:rsidRPr="000C156A">
              <w:rPr>
                <w:rFonts w:cs="Calibri" w:hint="eastAsia"/>
                <w:b/>
                <w:bCs/>
                <w:color w:val="000000"/>
                <w:sz w:val="20"/>
                <w:lang w:val="en-US" w:eastAsia="zh-CN"/>
              </w:rPr>
              <w:t>此前年度结余</w:t>
            </w:r>
          </w:p>
        </w:tc>
        <w:tc>
          <w:tcPr>
            <w:tcW w:w="704" w:type="pct"/>
            <w:tcBorders>
              <w:top w:val="nil"/>
              <w:left w:val="single" w:sz="4" w:space="0" w:color="auto"/>
              <w:bottom w:val="single" w:sz="4" w:space="0" w:color="auto"/>
              <w:right w:val="single" w:sz="4" w:space="0" w:color="auto"/>
            </w:tcBorders>
            <w:shd w:val="clear" w:color="auto" w:fill="auto"/>
            <w:noWrap/>
            <w:vAlign w:val="bottom"/>
          </w:tcPr>
          <w:p w14:paraId="6D1DAB7E" w14:textId="5CD6B7AA"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3</w:t>
            </w:r>
            <w:r w:rsidR="00E870CB" w:rsidRPr="000C156A">
              <w:rPr>
                <w:rFonts w:cs="Calibri"/>
                <w:b/>
                <w:iCs/>
                <w:color w:val="000000"/>
                <w:sz w:val="20"/>
                <w:lang w:eastAsia="en-GB"/>
              </w:rPr>
              <w:t xml:space="preserve"> </w:t>
            </w:r>
            <w:r w:rsidRPr="000C156A">
              <w:rPr>
                <w:rFonts w:cs="Calibri"/>
                <w:b/>
                <w:iCs/>
                <w:color w:val="000000"/>
                <w:sz w:val="20"/>
                <w:lang w:eastAsia="en-GB"/>
              </w:rPr>
              <w:t>651</w:t>
            </w:r>
          </w:p>
        </w:tc>
        <w:tc>
          <w:tcPr>
            <w:tcW w:w="604" w:type="pct"/>
            <w:tcBorders>
              <w:top w:val="nil"/>
              <w:left w:val="nil"/>
              <w:bottom w:val="single" w:sz="4" w:space="0" w:color="auto"/>
              <w:right w:val="single" w:sz="4" w:space="0" w:color="auto"/>
            </w:tcBorders>
            <w:shd w:val="clear" w:color="auto" w:fill="auto"/>
            <w:noWrap/>
            <w:vAlign w:val="bottom"/>
          </w:tcPr>
          <w:p w14:paraId="2648F5D0"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p>
        </w:tc>
        <w:tc>
          <w:tcPr>
            <w:tcW w:w="696" w:type="pct"/>
            <w:gridSpan w:val="2"/>
            <w:tcBorders>
              <w:top w:val="nil"/>
              <w:left w:val="nil"/>
              <w:bottom w:val="single" w:sz="4" w:space="0" w:color="auto"/>
              <w:right w:val="single" w:sz="4" w:space="0" w:color="auto"/>
            </w:tcBorders>
            <w:shd w:val="clear" w:color="auto" w:fill="auto"/>
            <w:noWrap/>
            <w:vAlign w:val="bottom"/>
          </w:tcPr>
          <w:p w14:paraId="580AFBE9"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p>
        </w:tc>
        <w:tc>
          <w:tcPr>
            <w:tcW w:w="602" w:type="pct"/>
            <w:tcBorders>
              <w:top w:val="nil"/>
              <w:left w:val="nil"/>
              <w:bottom w:val="single" w:sz="4" w:space="0" w:color="auto"/>
              <w:right w:val="single" w:sz="4" w:space="0" w:color="auto"/>
            </w:tcBorders>
            <w:shd w:val="clear" w:color="auto" w:fill="auto"/>
            <w:noWrap/>
            <w:vAlign w:val="bottom"/>
          </w:tcPr>
          <w:p w14:paraId="386F0132" w14:textId="005A0B4B"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3</w:t>
            </w:r>
            <w:r w:rsidR="00E870CB" w:rsidRPr="000C156A">
              <w:rPr>
                <w:rFonts w:cs="Calibri"/>
                <w:b/>
                <w:iCs/>
                <w:color w:val="000000"/>
                <w:sz w:val="20"/>
                <w:lang w:eastAsia="en-GB"/>
              </w:rPr>
              <w:t xml:space="preserve"> </w:t>
            </w:r>
            <w:r w:rsidRPr="000C156A">
              <w:rPr>
                <w:rFonts w:cs="Calibri"/>
                <w:b/>
                <w:iCs/>
                <w:color w:val="000000"/>
                <w:sz w:val="20"/>
                <w:lang w:eastAsia="en-GB"/>
              </w:rPr>
              <w:t>651</w:t>
            </w:r>
          </w:p>
        </w:tc>
        <w:tc>
          <w:tcPr>
            <w:tcW w:w="579" w:type="pct"/>
            <w:gridSpan w:val="2"/>
            <w:tcBorders>
              <w:top w:val="nil"/>
              <w:left w:val="nil"/>
              <w:bottom w:val="single" w:sz="4" w:space="0" w:color="auto"/>
              <w:right w:val="single" w:sz="4" w:space="0" w:color="auto"/>
            </w:tcBorders>
            <w:shd w:val="clear" w:color="auto" w:fill="auto"/>
            <w:noWrap/>
            <w:vAlign w:val="bottom"/>
          </w:tcPr>
          <w:p w14:paraId="158DB60E"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w:t>
            </w:r>
          </w:p>
        </w:tc>
        <w:tc>
          <w:tcPr>
            <w:tcW w:w="618" w:type="pct"/>
            <w:tcBorders>
              <w:top w:val="nil"/>
              <w:left w:val="nil"/>
              <w:bottom w:val="single" w:sz="4" w:space="0" w:color="auto"/>
              <w:right w:val="single" w:sz="4" w:space="0" w:color="auto"/>
            </w:tcBorders>
            <w:shd w:val="clear" w:color="auto" w:fill="auto"/>
            <w:noWrap/>
            <w:vAlign w:val="bottom"/>
          </w:tcPr>
          <w:p w14:paraId="788DF739" w14:textId="02FE93E2"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-3</w:t>
            </w:r>
            <w:r w:rsidR="00E870CB" w:rsidRPr="000C156A">
              <w:rPr>
                <w:rFonts w:cs="Calibri"/>
                <w:b/>
                <w:iCs/>
                <w:color w:val="000000"/>
                <w:sz w:val="20"/>
                <w:lang w:eastAsia="en-GB"/>
              </w:rPr>
              <w:t xml:space="preserve"> </w:t>
            </w:r>
            <w:r w:rsidRPr="000C156A">
              <w:rPr>
                <w:rFonts w:cs="Calibri"/>
                <w:b/>
                <w:iCs/>
                <w:color w:val="000000"/>
                <w:sz w:val="20"/>
                <w:lang w:eastAsia="en-GB"/>
              </w:rPr>
              <w:t>651</w:t>
            </w:r>
          </w:p>
        </w:tc>
      </w:tr>
      <w:tr w:rsidR="00686EC7" w:rsidRPr="000C156A" w14:paraId="511DC669" w14:textId="77777777" w:rsidTr="00141BAA">
        <w:trPr>
          <w:trHeight w:val="300"/>
        </w:trPr>
        <w:tc>
          <w:tcPr>
            <w:tcW w:w="1198" w:type="pct"/>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6159EF88" w14:textId="77777777" w:rsidR="00686EC7" w:rsidRPr="000C156A" w:rsidRDefault="00686EC7" w:rsidP="00141BAA">
            <w:pPr>
              <w:overflowPunct/>
              <w:autoSpaceDE/>
              <w:autoSpaceDN/>
              <w:adjustRightInd/>
              <w:spacing w:before="0"/>
              <w:textAlignment w:val="auto"/>
              <w:rPr>
                <w:rFonts w:cs="Calibri"/>
                <w:b/>
                <w:bCs/>
                <w:color w:val="000000"/>
                <w:sz w:val="20"/>
                <w:lang w:val="en-US" w:eastAsia="zh-CN"/>
              </w:rPr>
            </w:pPr>
            <w:r w:rsidRPr="000C156A">
              <w:rPr>
                <w:rFonts w:cs="Calibri" w:hint="eastAsia"/>
                <w:b/>
                <w:bCs/>
                <w:color w:val="000000"/>
                <w:sz w:val="20"/>
                <w:lang w:val="en-US" w:eastAsia="zh-CN"/>
              </w:rPr>
              <w:t>总收入</w:t>
            </w:r>
          </w:p>
        </w:tc>
        <w:tc>
          <w:tcPr>
            <w:tcW w:w="704" w:type="pct"/>
            <w:tcBorders>
              <w:top w:val="single" w:sz="4" w:space="0" w:color="auto"/>
              <w:left w:val="nil"/>
              <w:bottom w:val="single" w:sz="4" w:space="0" w:color="auto"/>
              <w:right w:val="single" w:sz="4" w:space="0" w:color="auto"/>
            </w:tcBorders>
            <w:shd w:val="clear" w:color="auto" w:fill="DCE6F1"/>
            <w:noWrap/>
            <w:vAlign w:val="bottom"/>
          </w:tcPr>
          <w:p w14:paraId="524722A0" w14:textId="5E58CDF3"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167</w:t>
            </w:r>
            <w:r w:rsidR="00E870CB" w:rsidRPr="000C156A">
              <w:rPr>
                <w:rFonts w:cs="Calibri"/>
                <w:b/>
                <w:iCs/>
                <w:color w:val="000000"/>
                <w:sz w:val="20"/>
                <w:lang w:eastAsia="en-GB"/>
              </w:rPr>
              <w:t xml:space="preserve"> </w:t>
            </w:r>
            <w:r w:rsidRPr="000C156A">
              <w:rPr>
                <w:rFonts w:cs="Calibri"/>
                <w:b/>
                <w:iCs/>
                <w:color w:val="000000"/>
                <w:sz w:val="20"/>
                <w:lang w:eastAsia="en-GB"/>
              </w:rPr>
              <w:t>478</w:t>
            </w:r>
          </w:p>
        </w:tc>
        <w:tc>
          <w:tcPr>
            <w:tcW w:w="604" w:type="pct"/>
            <w:tcBorders>
              <w:top w:val="single" w:sz="4" w:space="0" w:color="auto"/>
              <w:left w:val="nil"/>
              <w:bottom w:val="single" w:sz="4" w:space="0" w:color="auto"/>
              <w:right w:val="single" w:sz="4" w:space="0" w:color="auto"/>
            </w:tcBorders>
            <w:shd w:val="clear" w:color="auto" w:fill="DCE6F1"/>
            <w:noWrap/>
            <w:vAlign w:val="bottom"/>
          </w:tcPr>
          <w:p w14:paraId="0E083563"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p>
        </w:tc>
        <w:tc>
          <w:tcPr>
            <w:tcW w:w="696" w:type="pct"/>
            <w:gridSpan w:val="2"/>
            <w:tcBorders>
              <w:top w:val="single" w:sz="4" w:space="0" w:color="auto"/>
              <w:left w:val="nil"/>
              <w:bottom w:val="single" w:sz="4" w:space="0" w:color="auto"/>
              <w:right w:val="single" w:sz="4" w:space="0" w:color="auto"/>
            </w:tcBorders>
            <w:shd w:val="clear" w:color="auto" w:fill="DCE6F1"/>
            <w:noWrap/>
            <w:vAlign w:val="bottom"/>
          </w:tcPr>
          <w:p w14:paraId="6BF4C199" w14:textId="7777777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w:t>
            </w:r>
          </w:p>
        </w:tc>
        <w:tc>
          <w:tcPr>
            <w:tcW w:w="602" w:type="pct"/>
            <w:tcBorders>
              <w:top w:val="single" w:sz="4" w:space="0" w:color="auto"/>
              <w:left w:val="nil"/>
              <w:bottom w:val="single" w:sz="4" w:space="0" w:color="auto"/>
              <w:right w:val="single" w:sz="4" w:space="0" w:color="auto"/>
            </w:tcBorders>
            <w:shd w:val="clear" w:color="auto" w:fill="DCE6F1"/>
            <w:noWrap/>
            <w:vAlign w:val="bottom"/>
          </w:tcPr>
          <w:p w14:paraId="27B3F1FC" w14:textId="58005999"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165</w:t>
            </w:r>
            <w:r w:rsidR="00E870CB" w:rsidRPr="000C156A">
              <w:rPr>
                <w:rFonts w:cs="Calibri"/>
                <w:b/>
                <w:iCs/>
                <w:color w:val="000000"/>
                <w:sz w:val="20"/>
                <w:lang w:eastAsia="en-GB"/>
              </w:rPr>
              <w:t xml:space="preserve"> </w:t>
            </w:r>
            <w:r w:rsidRPr="000C156A">
              <w:rPr>
                <w:rFonts w:cs="Calibri"/>
                <w:b/>
                <w:iCs/>
                <w:color w:val="000000"/>
                <w:sz w:val="20"/>
                <w:lang w:eastAsia="en-GB"/>
              </w:rPr>
              <w:t>611</w:t>
            </w:r>
          </w:p>
        </w:tc>
        <w:tc>
          <w:tcPr>
            <w:tcW w:w="579" w:type="pct"/>
            <w:gridSpan w:val="2"/>
            <w:tcBorders>
              <w:top w:val="single" w:sz="4" w:space="0" w:color="auto"/>
              <w:left w:val="nil"/>
              <w:bottom w:val="single" w:sz="4" w:space="0" w:color="auto"/>
              <w:right w:val="single" w:sz="4" w:space="0" w:color="auto"/>
            </w:tcBorders>
            <w:shd w:val="clear" w:color="auto" w:fill="DCE6F1"/>
            <w:noWrap/>
            <w:vAlign w:val="bottom"/>
          </w:tcPr>
          <w:p w14:paraId="3D571D80" w14:textId="16AD8097"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153</w:t>
            </w:r>
            <w:r w:rsidR="00E870CB" w:rsidRPr="000C156A">
              <w:rPr>
                <w:rFonts w:cs="Calibri"/>
                <w:b/>
                <w:iCs/>
                <w:color w:val="000000"/>
                <w:sz w:val="20"/>
                <w:lang w:eastAsia="en-GB"/>
              </w:rPr>
              <w:t xml:space="preserve"> </w:t>
            </w:r>
            <w:r w:rsidRPr="000C156A">
              <w:rPr>
                <w:rFonts w:cs="Calibri"/>
                <w:b/>
                <w:iCs/>
                <w:color w:val="000000"/>
                <w:sz w:val="20"/>
                <w:lang w:eastAsia="en-GB"/>
              </w:rPr>
              <w:t>435</w:t>
            </w:r>
          </w:p>
        </w:tc>
        <w:tc>
          <w:tcPr>
            <w:tcW w:w="618" w:type="pct"/>
            <w:tcBorders>
              <w:top w:val="single" w:sz="4" w:space="0" w:color="auto"/>
              <w:left w:val="nil"/>
              <w:bottom w:val="single" w:sz="4" w:space="0" w:color="auto"/>
              <w:right w:val="single" w:sz="4" w:space="0" w:color="auto"/>
            </w:tcBorders>
            <w:shd w:val="clear" w:color="auto" w:fill="DCE6F1"/>
            <w:noWrap/>
            <w:vAlign w:val="bottom"/>
          </w:tcPr>
          <w:p w14:paraId="52137FE1" w14:textId="5B89B6B8" w:rsidR="00686EC7" w:rsidRPr="000C156A" w:rsidRDefault="00686EC7" w:rsidP="00141BAA">
            <w:pPr>
              <w:overflowPunct/>
              <w:autoSpaceDE/>
              <w:autoSpaceDN/>
              <w:adjustRightInd/>
              <w:spacing w:before="0"/>
              <w:jc w:val="right"/>
              <w:textAlignment w:val="auto"/>
              <w:rPr>
                <w:rFonts w:cs="Calibri"/>
                <w:b/>
                <w:iCs/>
                <w:color w:val="000000"/>
                <w:sz w:val="20"/>
                <w:lang w:eastAsia="en-GB"/>
              </w:rPr>
            </w:pPr>
            <w:r w:rsidRPr="000C156A">
              <w:rPr>
                <w:rFonts w:cs="Calibri"/>
                <w:b/>
                <w:iCs/>
                <w:color w:val="000000"/>
                <w:sz w:val="20"/>
                <w:lang w:eastAsia="en-GB"/>
              </w:rPr>
              <w:t>-12</w:t>
            </w:r>
            <w:r w:rsidR="00E870CB" w:rsidRPr="000C156A">
              <w:rPr>
                <w:rFonts w:cs="Calibri"/>
                <w:b/>
                <w:iCs/>
                <w:color w:val="000000"/>
                <w:sz w:val="20"/>
                <w:lang w:eastAsia="en-GB"/>
              </w:rPr>
              <w:t xml:space="preserve"> </w:t>
            </w:r>
            <w:r w:rsidRPr="000C156A">
              <w:rPr>
                <w:rFonts w:cs="Calibri"/>
                <w:b/>
                <w:iCs/>
                <w:color w:val="000000"/>
                <w:sz w:val="20"/>
                <w:lang w:eastAsia="en-GB"/>
              </w:rPr>
              <w:t>176</w:t>
            </w:r>
          </w:p>
        </w:tc>
      </w:tr>
      <w:tr w:rsidR="00686EC7" w:rsidRPr="000C156A" w14:paraId="54696FCB" w14:textId="77777777" w:rsidTr="00141BAA">
        <w:trPr>
          <w:trHeight w:val="300"/>
        </w:trPr>
        <w:tc>
          <w:tcPr>
            <w:tcW w:w="1198" w:type="pct"/>
            <w:vMerge w:val="restart"/>
            <w:tcBorders>
              <w:top w:val="nil"/>
              <w:left w:val="single" w:sz="4" w:space="0" w:color="auto"/>
              <w:bottom w:val="single" w:sz="4" w:space="0" w:color="000000"/>
              <w:right w:val="single" w:sz="4" w:space="0" w:color="auto"/>
            </w:tcBorders>
            <w:shd w:val="clear" w:color="auto" w:fill="auto"/>
            <w:vAlign w:val="center"/>
            <w:hideMark/>
          </w:tcPr>
          <w:p w14:paraId="7E5184A8" w14:textId="77777777" w:rsidR="00686EC7" w:rsidRPr="000C156A" w:rsidRDefault="00686EC7" w:rsidP="00141BAA">
            <w:pPr>
              <w:overflowPunct/>
              <w:autoSpaceDE/>
              <w:autoSpaceDN/>
              <w:adjustRightInd/>
              <w:spacing w:before="0"/>
              <w:jc w:val="center"/>
              <w:textAlignment w:val="auto"/>
              <w:rPr>
                <w:rFonts w:cs="Calibri"/>
                <w:b/>
                <w:bCs/>
                <w:color w:val="000000"/>
                <w:sz w:val="20"/>
                <w:lang w:val="en-US" w:eastAsia="zh-CN"/>
              </w:rPr>
            </w:pPr>
            <w:r w:rsidRPr="000C156A">
              <w:rPr>
                <w:rFonts w:cs="Calibri" w:hint="eastAsia"/>
                <w:b/>
                <w:bCs/>
                <w:color w:val="000000"/>
                <w:sz w:val="20"/>
                <w:lang w:val="en-US" w:eastAsia="zh-CN"/>
              </w:rPr>
              <w:t>费用</w:t>
            </w:r>
          </w:p>
        </w:tc>
        <w:tc>
          <w:tcPr>
            <w:tcW w:w="2605"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185B0B0F" w14:textId="77777777" w:rsidR="00686EC7" w:rsidRPr="000C156A" w:rsidRDefault="00686EC7" w:rsidP="00141BAA">
            <w:pPr>
              <w:overflowPunct/>
              <w:autoSpaceDE/>
              <w:autoSpaceDN/>
              <w:adjustRightInd/>
              <w:spacing w:before="0"/>
              <w:jc w:val="center"/>
              <w:textAlignment w:val="auto"/>
              <w:rPr>
                <w:rFonts w:cs="Calibri"/>
                <w:b/>
                <w:bCs/>
                <w:color w:val="000000"/>
                <w:sz w:val="20"/>
                <w:lang w:val="en-US" w:eastAsia="zh-CN"/>
              </w:rPr>
            </w:pPr>
            <w:r w:rsidRPr="000C156A">
              <w:rPr>
                <w:rFonts w:cs="Calibri"/>
                <w:b/>
                <w:bCs/>
                <w:color w:val="000000"/>
                <w:sz w:val="20"/>
                <w:lang w:val="en-US" w:eastAsia="zh-CN"/>
              </w:rPr>
              <w:t>预算金额</w:t>
            </w:r>
          </w:p>
        </w:tc>
        <w:tc>
          <w:tcPr>
            <w:tcW w:w="579" w:type="pct"/>
            <w:gridSpan w:val="2"/>
            <w:vMerge w:val="restart"/>
            <w:tcBorders>
              <w:top w:val="nil"/>
              <w:left w:val="single" w:sz="4" w:space="0" w:color="auto"/>
              <w:right w:val="single" w:sz="4" w:space="0" w:color="auto"/>
            </w:tcBorders>
            <w:shd w:val="clear" w:color="auto" w:fill="auto"/>
            <w:vAlign w:val="center"/>
            <w:hideMark/>
          </w:tcPr>
          <w:p w14:paraId="77C3F2D2" w14:textId="77777777" w:rsidR="00686EC7" w:rsidRPr="000C156A" w:rsidRDefault="00686EC7" w:rsidP="00141BAA">
            <w:pPr>
              <w:overflowPunct/>
              <w:adjustRightInd/>
              <w:spacing w:before="0"/>
              <w:jc w:val="center"/>
              <w:textAlignment w:val="auto"/>
              <w:rPr>
                <w:rFonts w:cs="Calibri"/>
                <w:b/>
                <w:bCs/>
                <w:color w:val="000000"/>
                <w:sz w:val="20"/>
                <w:lang w:val="en-US" w:eastAsia="zh-CN"/>
              </w:rPr>
            </w:pPr>
            <w:r w:rsidRPr="000C156A">
              <w:rPr>
                <w:rFonts w:cs="Calibri"/>
                <w:b/>
                <w:bCs/>
                <w:color w:val="000000"/>
                <w:sz w:val="20"/>
                <w:lang w:val="en-US" w:eastAsia="zh-CN"/>
              </w:rPr>
              <w:t>实际金额</w:t>
            </w:r>
          </w:p>
        </w:tc>
        <w:tc>
          <w:tcPr>
            <w:tcW w:w="618" w:type="pct"/>
            <w:vMerge w:val="restart"/>
            <w:tcBorders>
              <w:top w:val="nil"/>
              <w:left w:val="single" w:sz="4" w:space="0" w:color="auto"/>
              <w:right w:val="single" w:sz="4" w:space="0" w:color="auto"/>
            </w:tcBorders>
            <w:shd w:val="clear" w:color="auto" w:fill="auto"/>
            <w:vAlign w:val="center"/>
          </w:tcPr>
          <w:p w14:paraId="33476138" w14:textId="77777777" w:rsidR="00686EC7" w:rsidRPr="000C156A" w:rsidRDefault="00686EC7" w:rsidP="00141BAA">
            <w:pPr>
              <w:overflowPunct/>
              <w:adjustRightInd/>
              <w:spacing w:before="0"/>
              <w:jc w:val="center"/>
              <w:textAlignment w:val="auto"/>
              <w:rPr>
                <w:rFonts w:cs="Calibri"/>
                <w:b/>
                <w:bCs/>
                <w:color w:val="000000"/>
                <w:sz w:val="20"/>
                <w:lang w:val="en-US" w:eastAsia="zh-CN"/>
              </w:rPr>
            </w:pPr>
            <w:r w:rsidRPr="000C156A">
              <w:rPr>
                <w:rFonts w:cs="Calibri" w:hint="eastAsia"/>
                <w:b/>
                <w:bCs/>
                <w:color w:val="000000"/>
                <w:sz w:val="20"/>
                <w:lang w:val="en-US" w:eastAsia="zh-CN"/>
              </w:rPr>
              <w:t>最终预算与</w:t>
            </w:r>
            <w:r w:rsidRPr="000C156A">
              <w:rPr>
                <w:rFonts w:cs="Calibri"/>
                <w:b/>
                <w:bCs/>
                <w:color w:val="000000"/>
                <w:sz w:val="20"/>
                <w:lang w:val="en-US" w:eastAsia="zh-CN"/>
              </w:rPr>
              <w:t>实际金额</w:t>
            </w:r>
            <w:r w:rsidRPr="000C156A">
              <w:rPr>
                <w:rFonts w:cs="Calibri" w:hint="eastAsia"/>
                <w:b/>
                <w:bCs/>
                <w:color w:val="000000"/>
                <w:sz w:val="20"/>
                <w:lang w:val="en-US" w:eastAsia="zh-CN"/>
              </w:rPr>
              <w:t>之间</w:t>
            </w:r>
            <w:r w:rsidRPr="000C156A">
              <w:rPr>
                <w:rFonts w:cs="Calibri"/>
                <w:b/>
                <w:bCs/>
                <w:color w:val="000000"/>
                <w:sz w:val="20"/>
                <w:lang w:val="en-US" w:eastAsia="zh-CN"/>
              </w:rPr>
              <w:t>的差额</w:t>
            </w:r>
          </w:p>
        </w:tc>
      </w:tr>
      <w:tr w:rsidR="00686EC7" w:rsidRPr="000C156A" w14:paraId="482C2083" w14:textId="77777777" w:rsidTr="00637F0F">
        <w:trPr>
          <w:trHeight w:val="361"/>
        </w:trPr>
        <w:tc>
          <w:tcPr>
            <w:tcW w:w="1198" w:type="pct"/>
            <w:vMerge/>
            <w:tcBorders>
              <w:top w:val="nil"/>
              <w:left w:val="single" w:sz="4" w:space="0" w:color="auto"/>
              <w:bottom w:val="single" w:sz="4" w:space="0" w:color="000000"/>
              <w:right w:val="single" w:sz="4" w:space="0" w:color="auto"/>
            </w:tcBorders>
            <w:vAlign w:val="center"/>
            <w:hideMark/>
          </w:tcPr>
          <w:p w14:paraId="6BF29F67" w14:textId="77777777" w:rsidR="00686EC7" w:rsidRPr="000C156A" w:rsidRDefault="00686EC7" w:rsidP="00141BAA">
            <w:pPr>
              <w:overflowPunct/>
              <w:autoSpaceDE/>
              <w:autoSpaceDN/>
              <w:adjustRightInd/>
              <w:spacing w:before="0"/>
              <w:textAlignment w:val="auto"/>
              <w:rPr>
                <w:rFonts w:cs="Calibri"/>
                <w:b/>
                <w:bCs/>
                <w:color w:val="000000"/>
                <w:sz w:val="20"/>
                <w:lang w:val="en-US" w:eastAsia="zh-CN"/>
              </w:rPr>
            </w:pPr>
          </w:p>
        </w:tc>
        <w:tc>
          <w:tcPr>
            <w:tcW w:w="704" w:type="pct"/>
            <w:tcBorders>
              <w:top w:val="nil"/>
              <w:left w:val="nil"/>
              <w:bottom w:val="single" w:sz="4" w:space="0" w:color="auto"/>
              <w:right w:val="single" w:sz="4" w:space="0" w:color="auto"/>
            </w:tcBorders>
            <w:shd w:val="clear" w:color="auto" w:fill="auto"/>
            <w:vAlign w:val="center"/>
            <w:hideMark/>
          </w:tcPr>
          <w:p w14:paraId="55DA1865" w14:textId="77777777" w:rsidR="00686EC7" w:rsidRPr="000C156A" w:rsidRDefault="00686EC7" w:rsidP="00141BAA">
            <w:pPr>
              <w:overflowPunct/>
              <w:adjustRightInd/>
              <w:spacing w:before="0"/>
              <w:jc w:val="center"/>
              <w:textAlignment w:val="auto"/>
              <w:rPr>
                <w:rFonts w:cs="Calibri"/>
                <w:b/>
                <w:bCs/>
                <w:color w:val="000000"/>
                <w:sz w:val="20"/>
                <w:lang w:val="en-US" w:eastAsia="zh-CN"/>
              </w:rPr>
            </w:pPr>
            <w:r w:rsidRPr="000C156A">
              <w:rPr>
                <w:rFonts w:cs="Calibri"/>
                <w:b/>
                <w:bCs/>
                <w:color w:val="000000"/>
                <w:sz w:val="20"/>
                <w:lang w:val="en-US" w:eastAsia="zh-CN"/>
              </w:rPr>
              <w:t>最初预算</w:t>
            </w:r>
          </w:p>
        </w:tc>
        <w:tc>
          <w:tcPr>
            <w:tcW w:w="604" w:type="pct"/>
            <w:tcBorders>
              <w:top w:val="nil"/>
              <w:left w:val="nil"/>
              <w:bottom w:val="single" w:sz="4" w:space="0" w:color="auto"/>
              <w:right w:val="single" w:sz="4" w:space="0" w:color="000000"/>
            </w:tcBorders>
            <w:shd w:val="clear" w:color="auto" w:fill="auto"/>
            <w:vAlign w:val="center"/>
            <w:hideMark/>
          </w:tcPr>
          <w:p w14:paraId="2AE6BCC6" w14:textId="77777777" w:rsidR="00686EC7" w:rsidRPr="000C156A" w:rsidRDefault="00686EC7" w:rsidP="00141BAA">
            <w:pPr>
              <w:overflowPunct/>
              <w:adjustRightInd/>
              <w:spacing w:before="0"/>
              <w:jc w:val="center"/>
              <w:textAlignment w:val="auto"/>
              <w:rPr>
                <w:rFonts w:cs="Calibri"/>
                <w:b/>
                <w:bCs/>
                <w:color w:val="000000"/>
                <w:sz w:val="20"/>
                <w:lang w:val="en-US" w:eastAsia="zh-CN"/>
              </w:rPr>
            </w:pPr>
          </w:p>
        </w:tc>
        <w:tc>
          <w:tcPr>
            <w:tcW w:w="644" w:type="pct"/>
            <w:tcBorders>
              <w:top w:val="nil"/>
              <w:left w:val="single" w:sz="4" w:space="0" w:color="000000"/>
              <w:bottom w:val="single" w:sz="4" w:space="0" w:color="auto"/>
              <w:right w:val="nil"/>
            </w:tcBorders>
            <w:shd w:val="clear" w:color="auto" w:fill="auto"/>
            <w:vAlign w:val="center"/>
            <w:hideMark/>
          </w:tcPr>
          <w:p w14:paraId="70E4C8D9" w14:textId="77777777" w:rsidR="00686EC7" w:rsidRPr="000C156A" w:rsidRDefault="00686EC7" w:rsidP="00141BAA">
            <w:pPr>
              <w:overflowPunct/>
              <w:adjustRightInd/>
              <w:spacing w:before="0"/>
              <w:jc w:val="center"/>
              <w:textAlignment w:val="auto"/>
              <w:rPr>
                <w:rFonts w:cs="Calibri"/>
                <w:b/>
                <w:bCs/>
                <w:color w:val="000000"/>
                <w:sz w:val="20"/>
                <w:lang w:val="en-US" w:eastAsia="zh-CN"/>
              </w:rPr>
            </w:pPr>
            <w:r w:rsidRPr="000C156A">
              <w:rPr>
                <w:rFonts w:cs="Calibri" w:hint="eastAsia"/>
                <w:b/>
                <w:bCs/>
                <w:color w:val="000000"/>
                <w:sz w:val="20"/>
                <w:lang w:val="en-US" w:eastAsia="zh-CN"/>
              </w:rPr>
              <w:t>预算转账</w:t>
            </w:r>
          </w:p>
        </w:tc>
        <w:tc>
          <w:tcPr>
            <w:tcW w:w="654" w:type="pct"/>
            <w:gridSpan w:val="2"/>
            <w:tcBorders>
              <w:top w:val="nil"/>
              <w:left w:val="single" w:sz="4" w:space="0" w:color="auto"/>
              <w:bottom w:val="single" w:sz="4" w:space="0" w:color="auto"/>
              <w:right w:val="single" w:sz="4" w:space="0" w:color="auto"/>
            </w:tcBorders>
            <w:shd w:val="clear" w:color="auto" w:fill="auto"/>
            <w:vAlign w:val="center"/>
            <w:hideMark/>
          </w:tcPr>
          <w:p w14:paraId="13FA33A2" w14:textId="77777777" w:rsidR="00686EC7" w:rsidRPr="000C156A" w:rsidRDefault="00686EC7" w:rsidP="00141BAA">
            <w:pPr>
              <w:overflowPunct/>
              <w:adjustRightInd/>
              <w:spacing w:before="0"/>
              <w:jc w:val="center"/>
              <w:textAlignment w:val="auto"/>
              <w:rPr>
                <w:rFonts w:cs="Calibri"/>
                <w:b/>
                <w:bCs/>
                <w:color w:val="000000"/>
                <w:sz w:val="20"/>
                <w:lang w:val="en-US" w:eastAsia="zh-CN"/>
              </w:rPr>
            </w:pPr>
            <w:r w:rsidRPr="000C156A">
              <w:rPr>
                <w:rFonts w:cs="Calibri"/>
                <w:b/>
                <w:bCs/>
                <w:color w:val="000000"/>
                <w:sz w:val="20"/>
                <w:lang w:val="en-US" w:eastAsia="zh-CN"/>
              </w:rPr>
              <w:t>最终预算</w:t>
            </w:r>
          </w:p>
        </w:tc>
        <w:tc>
          <w:tcPr>
            <w:tcW w:w="579" w:type="pct"/>
            <w:gridSpan w:val="2"/>
            <w:vMerge/>
            <w:tcBorders>
              <w:left w:val="single" w:sz="4" w:space="0" w:color="auto"/>
              <w:bottom w:val="single" w:sz="4" w:space="0" w:color="000000"/>
              <w:right w:val="single" w:sz="4" w:space="0" w:color="auto"/>
            </w:tcBorders>
            <w:vAlign w:val="center"/>
            <w:hideMark/>
          </w:tcPr>
          <w:p w14:paraId="009B78A4" w14:textId="77777777" w:rsidR="00686EC7" w:rsidRPr="000C156A" w:rsidRDefault="00686EC7" w:rsidP="00141BAA">
            <w:pPr>
              <w:overflowPunct/>
              <w:autoSpaceDE/>
              <w:autoSpaceDN/>
              <w:adjustRightInd/>
              <w:spacing w:before="0"/>
              <w:jc w:val="center"/>
              <w:textAlignment w:val="auto"/>
              <w:rPr>
                <w:rFonts w:cs="Calibri"/>
                <w:b/>
                <w:bCs/>
                <w:color w:val="000000"/>
                <w:sz w:val="20"/>
                <w:lang w:val="en-US" w:eastAsia="zh-CN"/>
              </w:rPr>
            </w:pPr>
          </w:p>
        </w:tc>
        <w:tc>
          <w:tcPr>
            <w:tcW w:w="618" w:type="pct"/>
            <w:vMerge/>
            <w:tcBorders>
              <w:left w:val="single" w:sz="4" w:space="0" w:color="auto"/>
              <w:bottom w:val="single" w:sz="4" w:space="0" w:color="000000"/>
              <w:right w:val="single" w:sz="4" w:space="0" w:color="auto"/>
            </w:tcBorders>
            <w:vAlign w:val="center"/>
          </w:tcPr>
          <w:p w14:paraId="676FD430" w14:textId="77777777" w:rsidR="00686EC7" w:rsidRPr="000C156A" w:rsidRDefault="00686EC7" w:rsidP="00141BAA">
            <w:pPr>
              <w:overflowPunct/>
              <w:autoSpaceDE/>
              <w:autoSpaceDN/>
              <w:adjustRightInd/>
              <w:spacing w:before="0"/>
              <w:jc w:val="center"/>
              <w:textAlignment w:val="auto"/>
              <w:rPr>
                <w:rFonts w:cs="Calibri"/>
                <w:b/>
                <w:bCs/>
                <w:color w:val="000000"/>
                <w:sz w:val="20"/>
                <w:lang w:val="en-US" w:eastAsia="zh-CN"/>
              </w:rPr>
            </w:pPr>
          </w:p>
        </w:tc>
      </w:tr>
      <w:tr w:rsidR="00686EC7" w:rsidRPr="000C156A" w14:paraId="2DC676F6" w14:textId="77777777" w:rsidTr="004F2843">
        <w:trPr>
          <w:trHeight w:val="439"/>
        </w:trPr>
        <w:tc>
          <w:tcPr>
            <w:tcW w:w="1198" w:type="pct"/>
            <w:vMerge/>
            <w:tcBorders>
              <w:top w:val="nil"/>
              <w:left w:val="single" w:sz="4" w:space="0" w:color="auto"/>
              <w:bottom w:val="single" w:sz="4" w:space="0" w:color="000000"/>
              <w:right w:val="single" w:sz="4" w:space="0" w:color="auto"/>
            </w:tcBorders>
            <w:vAlign w:val="center"/>
            <w:hideMark/>
          </w:tcPr>
          <w:p w14:paraId="5FE8162F" w14:textId="77777777" w:rsidR="00686EC7" w:rsidRPr="000C156A" w:rsidRDefault="00686EC7" w:rsidP="00141BAA">
            <w:pPr>
              <w:overflowPunct/>
              <w:autoSpaceDE/>
              <w:autoSpaceDN/>
              <w:adjustRightInd/>
              <w:spacing w:before="0"/>
              <w:textAlignment w:val="auto"/>
              <w:rPr>
                <w:rFonts w:cs="Calibri"/>
                <w:b/>
                <w:bCs/>
                <w:color w:val="000000"/>
                <w:sz w:val="20"/>
                <w:lang w:val="en-US" w:eastAsia="zh-CN"/>
              </w:rPr>
            </w:pPr>
          </w:p>
        </w:tc>
        <w:tc>
          <w:tcPr>
            <w:tcW w:w="704" w:type="pct"/>
            <w:tcBorders>
              <w:top w:val="nil"/>
              <w:left w:val="nil"/>
              <w:bottom w:val="single" w:sz="4" w:space="0" w:color="auto"/>
              <w:right w:val="single" w:sz="4" w:space="0" w:color="auto"/>
            </w:tcBorders>
            <w:shd w:val="clear" w:color="auto" w:fill="auto"/>
            <w:noWrap/>
            <w:vAlign w:val="center"/>
            <w:hideMark/>
          </w:tcPr>
          <w:p w14:paraId="65A7E5AF" w14:textId="77777777" w:rsidR="00686EC7" w:rsidRPr="000C156A" w:rsidRDefault="00686EC7" w:rsidP="00141BAA">
            <w:pPr>
              <w:jc w:val="center"/>
              <w:rPr>
                <w:rFonts w:eastAsiaTheme="minorEastAsia" w:cs="Calibri"/>
                <w:b/>
                <w:bCs/>
                <w:color w:val="000000"/>
                <w:sz w:val="18"/>
                <w:szCs w:val="18"/>
                <w:lang w:val="en-US" w:eastAsia="zh-CN"/>
              </w:rPr>
            </w:pPr>
            <w:r w:rsidRPr="000C156A">
              <w:rPr>
                <w:rFonts w:eastAsiaTheme="minorEastAsia" w:cs="Calibri"/>
                <w:b/>
                <w:bCs/>
                <w:color w:val="000000"/>
                <w:sz w:val="18"/>
                <w:szCs w:val="18"/>
                <w:lang w:val="en-US" w:eastAsia="zh-CN"/>
              </w:rPr>
              <w:t>2020</w:t>
            </w:r>
            <w:r w:rsidRPr="000C156A">
              <w:rPr>
                <w:rFonts w:eastAsiaTheme="minorEastAsia" w:cs="Calibri"/>
                <w:b/>
                <w:bCs/>
                <w:color w:val="000000"/>
                <w:sz w:val="18"/>
                <w:szCs w:val="18"/>
                <w:lang w:val="en-US" w:eastAsia="zh-CN"/>
              </w:rPr>
              <w:t>年</w:t>
            </w:r>
            <w:r w:rsidRPr="000C156A">
              <w:rPr>
                <w:rFonts w:eastAsiaTheme="minorEastAsia" w:cs="Calibri"/>
                <w:b/>
                <w:bCs/>
                <w:color w:val="000000"/>
                <w:sz w:val="18"/>
                <w:szCs w:val="18"/>
                <w:lang w:val="en-US" w:eastAsia="zh-CN"/>
              </w:rPr>
              <w:br/>
              <w:t>12</w:t>
            </w:r>
            <w:r w:rsidRPr="000C156A">
              <w:rPr>
                <w:rFonts w:eastAsiaTheme="minorEastAsia" w:cs="Calibri"/>
                <w:b/>
                <w:bCs/>
                <w:color w:val="000000"/>
                <w:sz w:val="18"/>
                <w:szCs w:val="18"/>
                <w:lang w:val="en-US" w:eastAsia="zh-CN"/>
              </w:rPr>
              <w:t>月</w:t>
            </w:r>
            <w:r w:rsidRPr="000C156A">
              <w:rPr>
                <w:rFonts w:eastAsiaTheme="minorEastAsia" w:cs="Calibri"/>
                <w:b/>
                <w:bCs/>
                <w:color w:val="000000"/>
                <w:sz w:val="18"/>
                <w:szCs w:val="18"/>
                <w:lang w:val="en-US" w:eastAsia="zh-CN"/>
              </w:rPr>
              <w:t>31</w:t>
            </w:r>
            <w:r w:rsidRPr="000C156A">
              <w:rPr>
                <w:rFonts w:eastAsiaTheme="minorEastAsia" w:cs="Calibri"/>
                <w:b/>
                <w:bCs/>
                <w:color w:val="000000"/>
                <w:sz w:val="18"/>
                <w:szCs w:val="18"/>
                <w:lang w:val="en-US" w:eastAsia="zh-CN"/>
              </w:rPr>
              <w:t>日</w:t>
            </w:r>
          </w:p>
        </w:tc>
        <w:tc>
          <w:tcPr>
            <w:tcW w:w="604" w:type="pct"/>
            <w:tcBorders>
              <w:top w:val="nil"/>
              <w:left w:val="nil"/>
              <w:bottom w:val="single" w:sz="4" w:space="0" w:color="auto"/>
              <w:right w:val="single" w:sz="4" w:space="0" w:color="auto"/>
            </w:tcBorders>
            <w:shd w:val="clear" w:color="auto" w:fill="auto"/>
            <w:noWrap/>
          </w:tcPr>
          <w:p w14:paraId="752357E4" w14:textId="77777777" w:rsidR="00686EC7" w:rsidRPr="000C156A" w:rsidRDefault="00686EC7" w:rsidP="00141BAA">
            <w:pPr>
              <w:overflowPunct/>
              <w:autoSpaceDE/>
              <w:autoSpaceDN/>
              <w:adjustRightInd/>
              <w:spacing w:before="0"/>
              <w:jc w:val="center"/>
              <w:textAlignment w:val="auto"/>
              <w:rPr>
                <w:rFonts w:cs="Calibri"/>
                <w:b/>
                <w:bCs/>
                <w:color w:val="000000"/>
                <w:sz w:val="18"/>
                <w:szCs w:val="18"/>
                <w:lang w:val="en-US" w:eastAsia="zh-CN"/>
              </w:rPr>
            </w:pPr>
          </w:p>
        </w:tc>
        <w:tc>
          <w:tcPr>
            <w:tcW w:w="644" w:type="pct"/>
            <w:tcBorders>
              <w:top w:val="nil"/>
              <w:left w:val="nil"/>
              <w:bottom w:val="single" w:sz="4" w:space="0" w:color="auto"/>
              <w:right w:val="single" w:sz="4" w:space="0" w:color="auto"/>
            </w:tcBorders>
            <w:shd w:val="clear" w:color="auto" w:fill="auto"/>
            <w:noWrap/>
            <w:hideMark/>
          </w:tcPr>
          <w:p w14:paraId="67EFC68E" w14:textId="77777777" w:rsidR="00686EC7" w:rsidRPr="000C156A" w:rsidRDefault="00686EC7" w:rsidP="00141BAA">
            <w:pPr>
              <w:jc w:val="center"/>
              <w:rPr>
                <w:rFonts w:cs="Calibri"/>
                <w:sz w:val="18"/>
                <w:szCs w:val="18"/>
                <w:lang w:eastAsia="zh-CN"/>
              </w:rPr>
            </w:pPr>
            <w:r w:rsidRPr="000C156A">
              <w:rPr>
                <w:rFonts w:eastAsiaTheme="minorEastAsia" w:cs="Calibri"/>
                <w:b/>
                <w:bCs/>
                <w:color w:val="000000"/>
                <w:sz w:val="18"/>
                <w:szCs w:val="18"/>
                <w:lang w:val="en-US" w:eastAsia="zh-CN"/>
              </w:rPr>
              <w:t>2020</w:t>
            </w:r>
            <w:r w:rsidRPr="000C156A">
              <w:rPr>
                <w:rFonts w:eastAsiaTheme="minorEastAsia" w:cs="Calibri"/>
                <w:b/>
                <w:bCs/>
                <w:color w:val="000000"/>
                <w:sz w:val="18"/>
                <w:szCs w:val="18"/>
                <w:lang w:val="en-US" w:eastAsia="zh-CN"/>
              </w:rPr>
              <w:t>年</w:t>
            </w:r>
            <w:r w:rsidRPr="000C156A">
              <w:rPr>
                <w:rFonts w:eastAsiaTheme="minorEastAsia" w:cs="Calibri"/>
                <w:b/>
                <w:bCs/>
                <w:color w:val="000000"/>
                <w:sz w:val="18"/>
                <w:szCs w:val="18"/>
                <w:lang w:val="en-US" w:eastAsia="zh-CN"/>
              </w:rPr>
              <w:br/>
              <w:t>12</w:t>
            </w:r>
            <w:r w:rsidRPr="000C156A">
              <w:rPr>
                <w:rFonts w:eastAsiaTheme="minorEastAsia" w:cs="Calibri"/>
                <w:b/>
                <w:bCs/>
                <w:color w:val="000000"/>
                <w:sz w:val="18"/>
                <w:szCs w:val="18"/>
                <w:lang w:val="en-US" w:eastAsia="zh-CN"/>
              </w:rPr>
              <w:t>月</w:t>
            </w:r>
            <w:r w:rsidRPr="000C156A">
              <w:rPr>
                <w:rFonts w:eastAsiaTheme="minorEastAsia" w:cs="Calibri"/>
                <w:b/>
                <w:bCs/>
                <w:color w:val="000000"/>
                <w:sz w:val="18"/>
                <w:szCs w:val="18"/>
                <w:lang w:val="en-US" w:eastAsia="zh-CN"/>
              </w:rPr>
              <w:t>31</w:t>
            </w:r>
            <w:r w:rsidRPr="000C156A">
              <w:rPr>
                <w:rFonts w:eastAsiaTheme="minorEastAsia" w:cs="Calibri"/>
                <w:b/>
                <w:bCs/>
                <w:color w:val="000000"/>
                <w:sz w:val="18"/>
                <w:szCs w:val="18"/>
                <w:lang w:val="en-US" w:eastAsia="zh-CN"/>
              </w:rPr>
              <w:t>日</w:t>
            </w:r>
          </w:p>
        </w:tc>
        <w:tc>
          <w:tcPr>
            <w:tcW w:w="654" w:type="pct"/>
            <w:gridSpan w:val="2"/>
            <w:tcBorders>
              <w:top w:val="nil"/>
              <w:left w:val="nil"/>
              <w:bottom w:val="single" w:sz="4" w:space="0" w:color="auto"/>
              <w:right w:val="single" w:sz="4" w:space="0" w:color="auto"/>
            </w:tcBorders>
            <w:shd w:val="clear" w:color="auto" w:fill="auto"/>
            <w:noWrap/>
            <w:hideMark/>
          </w:tcPr>
          <w:p w14:paraId="74A111D2" w14:textId="77777777" w:rsidR="00686EC7" w:rsidRPr="000C156A" w:rsidRDefault="00686EC7" w:rsidP="00141BAA">
            <w:pPr>
              <w:jc w:val="center"/>
              <w:rPr>
                <w:rFonts w:cs="Calibri"/>
                <w:sz w:val="18"/>
                <w:szCs w:val="18"/>
                <w:lang w:eastAsia="zh-CN"/>
              </w:rPr>
            </w:pPr>
            <w:r w:rsidRPr="000C156A">
              <w:rPr>
                <w:rFonts w:eastAsiaTheme="minorEastAsia" w:cs="Calibri"/>
                <w:b/>
                <w:bCs/>
                <w:color w:val="000000"/>
                <w:sz w:val="18"/>
                <w:szCs w:val="18"/>
                <w:lang w:val="en-US" w:eastAsia="zh-CN"/>
              </w:rPr>
              <w:t>2020</w:t>
            </w:r>
            <w:r w:rsidRPr="000C156A">
              <w:rPr>
                <w:rFonts w:eastAsiaTheme="minorEastAsia" w:cs="Calibri"/>
                <w:b/>
                <w:bCs/>
                <w:color w:val="000000"/>
                <w:sz w:val="18"/>
                <w:szCs w:val="18"/>
                <w:lang w:val="en-US" w:eastAsia="zh-CN"/>
              </w:rPr>
              <w:t>年</w:t>
            </w:r>
            <w:r w:rsidRPr="000C156A">
              <w:rPr>
                <w:rFonts w:eastAsiaTheme="minorEastAsia" w:cs="Calibri"/>
                <w:b/>
                <w:bCs/>
                <w:color w:val="000000"/>
                <w:sz w:val="18"/>
                <w:szCs w:val="18"/>
                <w:lang w:val="en-US" w:eastAsia="zh-CN"/>
              </w:rPr>
              <w:br/>
              <w:t>12</w:t>
            </w:r>
            <w:r w:rsidRPr="000C156A">
              <w:rPr>
                <w:rFonts w:eastAsiaTheme="minorEastAsia" w:cs="Calibri"/>
                <w:b/>
                <w:bCs/>
                <w:color w:val="000000"/>
                <w:sz w:val="18"/>
                <w:szCs w:val="18"/>
                <w:lang w:val="en-US" w:eastAsia="zh-CN"/>
              </w:rPr>
              <w:t>月</w:t>
            </w:r>
            <w:r w:rsidRPr="000C156A">
              <w:rPr>
                <w:rFonts w:eastAsiaTheme="minorEastAsia" w:cs="Calibri"/>
                <w:b/>
                <w:bCs/>
                <w:color w:val="000000"/>
                <w:sz w:val="18"/>
                <w:szCs w:val="18"/>
                <w:lang w:val="en-US" w:eastAsia="zh-CN"/>
              </w:rPr>
              <w:t>31</w:t>
            </w:r>
            <w:r w:rsidRPr="000C156A">
              <w:rPr>
                <w:rFonts w:eastAsiaTheme="minorEastAsia" w:cs="Calibri"/>
                <w:b/>
                <w:bCs/>
                <w:color w:val="000000"/>
                <w:sz w:val="18"/>
                <w:szCs w:val="18"/>
                <w:lang w:val="en-US" w:eastAsia="zh-CN"/>
              </w:rPr>
              <w:t>日</w:t>
            </w:r>
          </w:p>
        </w:tc>
        <w:tc>
          <w:tcPr>
            <w:tcW w:w="576" w:type="pct"/>
            <w:tcBorders>
              <w:top w:val="nil"/>
              <w:left w:val="nil"/>
              <w:bottom w:val="single" w:sz="4" w:space="0" w:color="auto"/>
              <w:right w:val="single" w:sz="4" w:space="0" w:color="auto"/>
            </w:tcBorders>
            <w:shd w:val="clear" w:color="auto" w:fill="auto"/>
            <w:noWrap/>
            <w:hideMark/>
          </w:tcPr>
          <w:p w14:paraId="62359621" w14:textId="77777777" w:rsidR="00686EC7" w:rsidRPr="000C156A" w:rsidRDefault="00686EC7" w:rsidP="00141BAA">
            <w:pPr>
              <w:jc w:val="center"/>
              <w:rPr>
                <w:rFonts w:cs="Calibri"/>
                <w:sz w:val="18"/>
                <w:szCs w:val="18"/>
                <w:lang w:eastAsia="zh-CN"/>
              </w:rPr>
            </w:pPr>
            <w:r w:rsidRPr="000C156A">
              <w:rPr>
                <w:rFonts w:eastAsiaTheme="minorEastAsia" w:cs="Calibri"/>
                <w:b/>
                <w:bCs/>
                <w:color w:val="000000"/>
                <w:sz w:val="18"/>
                <w:szCs w:val="18"/>
                <w:lang w:val="en-US" w:eastAsia="zh-CN"/>
              </w:rPr>
              <w:t>2020</w:t>
            </w:r>
            <w:r w:rsidRPr="000C156A">
              <w:rPr>
                <w:rFonts w:eastAsiaTheme="minorEastAsia" w:cs="Calibri"/>
                <w:b/>
                <w:bCs/>
                <w:color w:val="000000"/>
                <w:sz w:val="18"/>
                <w:szCs w:val="18"/>
                <w:lang w:val="en-US" w:eastAsia="zh-CN"/>
              </w:rPr>
              <w:t>年</w:t>
            </w:r>
            <w:r w:rsidRPr="000C156A">
              <w:rPr>
                <w:rFonts w:eastAsiaTheme="minorEastAsia" w:cs="Calibri"/>
                <w:b/>
                <w:bCs/>
                <w:color w:val="000000"/>
                <w:sz w:val="18"/>
                <w:szCs w:val="18"/>
                <w:lang w:val="en-US" w:eastAsia="zh-CN"/>
              </w:rPr>
              <w:br/>
              <w:t>12</w:t>
            </w:r>
            <w:r w:rsidRPr="000C156A">
              <w:rPr>
                <w:rFonts w:eastAsiaTheme="minorEastAsia" w:cs="Calibri"/>
                <w:b/>
                <w:bCs/>
                <w:color w:val="000000"/>
                <w:sz w:val="18"/>
                <w:szCs w:val="18"/>
                <w:lang w:val="en-US" w:eastAsia="zh-CN"/>
              </w:rPr>
              <w:t>月</w:t>
            </w:r>
            <w:r w:rsidRPr="000C156A">
              <w:rPr>
                <w:rFonts w:eastAsiaTheme="minorEastAsia" w:cs="Calibri"/>
                <w:b/>
                <w:bCs/>
                <w:color w:val="000000"/>
                <w:sz w:val="18"/>
                <w:szCs w:val="18"/>
                <w:lang w:val="en-US" w:eastAsia="zh-CN"/>
              </w:rPr>
              <w:t>31</w:t>
            </w:r>
            <w:r w:rsidRPr="000C156A">
              <w:rPr>
                <w:rFonts w:eastAsiaTheme="minorEastAsia" w:cs="Calibri"/>
                <w:b/>
                <w:bCs/>
                <w:color w:val="000000"/>
                <w:sz w:val="18"/>
                <w:szCs w:val="18"/>
                <w:lang w:val="en-US" w:eastAsia="zh-CN"/>
              </w:rPr>
              <w:t>日</w:t>
            </w:r>
          </w:p>
        </w:tc>
        <w:tc>
          <w:tcPr>
            <w:tcW w:w="621" w:type="pct"/>
            <w:gridSpan w:val="2"/>
            <w:tcBorders>
              <w:top w:val="nil"/>
              <w:left w:val="nil"/>
              <w:bottom w:val="single" w:sz="4" w:space="0" w:color="auto"/>
              <w:right w:val="single" w:sz="4" w:space="0" w:color="auto"/>
            </w:tcBorders>
            <w:shd w:val="clear" w:color="auto" w:fill="auto"/>
            <w:noWrap/>
            <w:hideMark/>
          </w:tcPr>
          <w:p w14:paraId="3CCD5F1C" w14:textId="77777777" w:rsidR="00686EC7" w:rsidRPr="000C156A" w:rsidRDefault="00686EC7" w:rsidP="00141BAA">
            <w:pPr>
              <w:jc w:val="center"/>
              <w:rPr>
                <w:rFonts w:cs="Calibri"/>
                <w:sz w:val="18"/>
                <w:szCs w:val="18"/>
                <w:lang w:eastAsia="zh-CN"/>
              </w:rPr>
            </w:pPr>
            <w:r w:rsidRPr="000C156A">
              <w:rPr>
                <w:rFonts w:eastAsiaTheme="minorEastAsia" w:cs="Calibri"/>
                <w:b/>
                <w:bCs/>
                <w:color w:val="000000"/>
                <w:sz w:val="18"/>
                <w:szCs w:val="18"/>
                <w:lang w:val="en-US" w:eastAsia="zh-CN"/>
              </w:rPr>
              <w:t>2020</w:t>
            </w:r>
            <w:r w:rsidRPr="000C156A">
              <w:rPr>
                <w:rFonts w:eastAsiaTheme="minorEastAsia" w:cs="Calibri"/>
                <w:b/>
                <w:bCs/>
                <w:color w:val="000000"/>
                <w:sz w:val="18"/>
                <w:szCs w:val="18"/>
                <w:lang w:val="en-US" w:eastAsia="zh-CN"/>
              </w:rPr>
              <w:t>年</w:t>
            </w:r>
            <w:r w:rsidRPr="000C156A">
              <w:rPr>
                <w:rFonts w:eastAsiaTheme="minorEastAsia" w:cs="Calibri"/>
                <w:b/>
                <w:bCs/>
                <w:color w:val="000000"/>
                <w:sz w:val="18"/>
                <w:szCs w:val="18"/>
                <w:lang w:val="en-US" w:eastAsia="zh-CN"/>
              </w:rPr>
              <w:br/>
              <w:t>12</w:t>
            </w:r>
            <w:r w:rsidRPr="000C156A">
              <w:rPr>
                <w:rFonts w:eastAsiaTheme="minorEastAsia" w:cs="Calibri"/>
                <w:b/>
                <w:bCs/>
                <w:color w:val="000000"/>
                <w:sz w:val="18"/>
                <w:szCs w:val="18"/>
                <w:lang w:val="en-US" w:eastAsia="zh-CN"/>
              </w:rPr>
              <w:t>月</w:t>
            </w:r>
            <w:r w:rsidRPr="000C156A">
              <w:rPr>
                <w:rFonts w:eastAsiaTheme="minorEastAsia" w:cs="Calibri"/>
                <w:b/>
                <w:bCs/>
                <w:color w:val="000000"/>
                <w:sz w:val="18"/>
                <w:szCs w:val="18"/>
                <w:lang w:val="en-US" w:eastAsia="zh-CN"/>
              </w:rPr>
              <w:t>31</w:t>
            </w:r>
            <w:r w:rsidRPr="000C156A">
              <w:rPr>
                <w:rFonts w:eastAsiaTheme="minorEastAsia" w:cs="Calibri"/>
                <w:b/>
                <w:bCs/>
                <w:color w:val="000000"/>
                <w:sz w:val="18"/>
                <w:szCs w:val="18"/>
                <w:lang w:val="en-US" w:eastAsia="zh-CN"/>
              </w:rPr>
              <w:t>日</w:t>
            </w:r>
          </w:p>
        </w:tc>
      </w:tr>
      <w:tr w:rsidR="00686EC7" w:rsidRPr="000C156A" w14:paraId="49241835" w14:textId="77777777" w:rsidTr="00141BAA">
        <w:trPr>
          <w:trHeight w:val="300"/>
        </w:trPr>
        <w:tc>
          <w:tcPr>
            <w:tcW w:w="1198" w:type="pct"/>
            <w:tcBorders>
              <w:top w:val="nil"/>
              <w:left w:val="single" w:sz="4" w:space="0" w:color="auto"/>
              <w:bottom w:val="nil"/>
              <w:right w:val="nil"/>
            </w:tcBorders>
            <w:shd w:val="clear" w:color="auto" w:fill="auto"/>
            <w:vAlign w:val="bottom"/>
            <w:hideMark/>
          </w:tcPr>
          <w:p w14:paraId="31CE8147" w14:textId="77777777" w:rsidR="00686EC7" w:rsidRPr="000C156A" w:rsidRDefault="00686EC7" w:rsidP="00141BAA">
            <w:pPr>
              <w:overflowPunct/>
              <w:adjustRightInd/>
              <w:spacing w:before="0"/>
              <w:textAlignment w:val="auto"/>
              <w:rPr>
                <w:rFonts w:ascii="STKaiti" w:eastAsia="STKaiti" w:hAnsi="STKaiti" w:cs="Calibri"/>
                <w:color w:val="000000"/>
                <w:sz w:val="20"/>
                <w:lang w:val="en-US" w:eastAsia="zh-CN"/>
              </w:rPr>
            </w:pPr>
            <w:r w:rsidRPr="000C156A">
              <w:rPr>
                <w:rFonts w:ascii="STKaiti" w:eastAsia="STKaiti" w:hAnsi="STKaiti" w:cs="Calibri" w:hint="eastAsia"/>
                <w:color w:val="000000"/>
                <w:sz w:val="20"/>
                <w:lang w:val="en-US" w:eastAsia="zh-CN"/>
              </w:rPr>
              <w:t>总秘书处</w:t>
            </w:r>
          </w:p>
        </w:tc>
        <w:tc>
          <w:tcPr>
            <w:tcW w:w="704" w:type="pct"/>
            <w:tcBorders>
              <w:top w:val="nil"/>
              <w:left w:val="single" w:sz="4" w:space="0" w:color="auto"/>
              <w:bottom w:val="nil"/>
              <w:right w:val="single" w:sz="4" w:space="0" w:color="auto"/>
            </w:tcBorders>
            <w:shd w:val="clear" w:color="auto" w:fill="auto"/>
            <w:noWrap/>
            <w:vAlign w:val="bottom"/>
            <w:hideMark/>
          </w:tcPr>
          <w:p w14:paraId="5A424653" w14:textId="53715CE6"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zh-CN"/>
              </w:rPr>
            </w:pPr>
            <w:r w:rsidRPr="000C156A">
              <w:rPr>
                <w:rFonts w:asciiTheme="minorHAnsi" w:hAnsiTheme="minorHAnsi" w:cstheme="minorHAnsi"/>
                <w:i/>
                <w:iCs/>
                <w:color w:val="000000"/>
                <w:sz w:val="20"/>
                <w:lang w:eastAsia="zh-CN"/>
              </w:rPr>
              <w:t>91</w:t>
            </w:r>
            <w:r w:rsidR="00E870CB" w:rsidRPr="000C156A">
              <w:rPr>
                <w:rFonts w:asciiTheme="minorHAnsi" w:hAnsiTheme="minorHAnsi" w:cstheme="minorHAnsi"/>
                <w:i/>
                <w:iCs/>
                <w:color w:val="000000"/>
                <w:sz w:val="20"/>
                <w:lang w:eastAsia="zh-CN"/>
              </w:rPr>
              <w:t xml:space="preserve"> </w:t>
            </w:r>
            <w:r w:rsidRPr="000C156A">
              <w:rPr>
                <w:rFonts w:asciiTheme="minorHAnsi" w:hAnsiTheme="minorHAnsi" w:cstheme="minorHAnsi"/>
                <w:i/>
                <w:iCs/>
                <w:color w:val="000000"/>
                <w:sz w:val="20"/>
                <w:lang w:eastAsia="zh-CN"/>
              </w:rPr>
              <w:t>920</w:t>
            </w:r>
          </w:p>
        </w:tc>
        <w:tc>
          <w:tcPr>
            <w:tcW w:w="604" w:type="pct"/>
            <w:tcBorders>
              <w:top w:val="nil"/>
              <w:left w:val="nil"/>
              <w:bottom w:val="nil"/>
              <w:right w:val="nil"/>
            </w:tcBorders>
            <w:shd w:val="clear" w:color="auto" w:fill="auto"/>
            <w:noWrap/>
            <w:vAlign w:val="bottom"/>
            <w:hideMark/>
          </w:tcPr>
          <w:p w14:paraId="3B90CD92"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zh-CN"/>
              </w:rPr>
            </w:pPr>
          </w:p>
        </w:tc>
        <w:tc>
          <w:tcPr>
            <w:tcW w:w="644" w:type="pct"/>
            <w:tcBorders>
              <w:top w:val="nil"/>
              <w:left w:val="single" w:sz="4" w:space="0" w:color="auto"/>
              <w:bottom w:val="nil"/>
              <w:right w:val="single" w:sz="4" w:space="0" w:color="auto"/>
            </w:tcBorders>
            <w:shd w:val="clear" w:color="auto" w:fill="auto"/>
            <w:noWrap/>
            <w:vAlign w:val="bottom"/>
            <w:hideMark/>
          </w:tcPr>
          <w:p w14:paraId="3D2B37B3"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zh-CN"/>
              </w:rPr>
            </w:pPr>
          </w:p>
        </w:tc>
        <w:tc>
          <w:tcPr>
            <w:tcW w:w="654" w:type="pct"/>
            <w:gridSpan w:val="2"/>
            <w:tcBorders>
              <w:top w:val="nil"/>
              <w:left w:val="nil"/>
              <w:bottom w:val="nil"/>
              <w:right w:val="single" w:sz="4" w:space="0" w:color="auto"/>
            </w:tcBorders>
            <w:shd w:val="clear" w:color="auto" w:fill="auto"/>
            <w:noWrap/>
            <w:vAlign w:val="bottom"/>
            <w:hideMark/>
          </w:tcPr>
          <w:p w14:paraId="3E04A9D1" w14:textId="6050E59A"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zh-CN"/>
              </w:rPr>
            </w:pPr>
            <w:r w:rsidRPr="000C156A">
              <w:rPr>
                <w:rFonts w:asciiTheme="minorHAnsi" w:hAnsiTheme="minorHAnsi" w:cstheme="minorHAnsi"/>
                <w:i/>
                <w:iCs/>
                <w:color w:val="000000"/>
                <w:sz w:val="20"/>
                <w:lang w:eastAsia="zh-CN"/>
              </w:rPr>
              <w:t>91</w:t>
            </w:r>
            <w:r w:rsidR="00E870CB" w:rsidRPr="000C156A">
              <w:rPr>
                <w:rFonts w:asciiTheme="minorHAnsi" w:hAnsiTheme="minorHAnsi" w:cstheme="minorHAnsi"/>
                <w:i/>
                <w:iCs/>
                <w:color w:val="000000"/>
                <w:sz w:val="20"/>
                <w:lang w:eastAsia="zh-CN"/>
              </w:rPr>
              <w:t xml:space="preserve"> </w:t>
            </w:r>
            <w:r w:rsidRPr="000C156A">
              <w:rPr>
                <w:rFonts w:asciiTheme="minorHAnsi" w:hAnsiTheme="minorHAnsi" w:cstheme="minorHAnsi"/>
                <w:i/>
                <w:iCs/>
                <w:color w:val="000000"/>
                <w:sz w:val="20"/>
                <w:lang w:eastAsia="zh-CN"/>
              </w:rPr>
              <w:t>920</w:t>
            </w:r>
          </w:p>
        </w:tc>
        <w:tc>
          <w:tcPr>
            <w:tcW w:w="576" w:type="pct"/>
            <w:tcBorders>
              <w:top w:val="nil"/>
              <w:left w:val="nil"/>
              <w:bottom w:val="nil"/>
              <w:right w:val="single" w:sz="4" w:space="0" w:color="auto"/>
            </w:tcBorders>
            <w:shd w:val="clear" w:color="auto" w:fill="auto"/>
            <w:noWrap/>
            <w:vAlign w:val="bottom"/>
            <w:hideMark/>
          </w:tcPr>
          <w:p w14:paraId="53F37DF5" w14:textId="49565A2E"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zh-CN"/>
              </w:rPr>
            </w:pPr>
            <w:r w:rsidRPr="000C156A">
              <w:rPr>
                <w:rFonts w:asciiTheme="minorHAnsi" w:hAnsiTheme="minorHAnsi" w:cstheme="minorHAnsi"/>
                <w:i/>
                <w:iCs/>
                <w:color w:val="000000"/>
                <w:sz w:val="20"/>
                <w:lang w:eastAsia="zh-CN"/>
              </w:rPr>
              <w:t>84</w:t>
            </w:r>
            <w:r w:rsidR="00E870CB" w:rsidRPr="000C156A">
              <w:rPr>
                <w:rFonts w:asciiTheme="minorHAnsi" w:hAnsiTheme="minorHAnsi" w:cstheme="minorHAnsi"/>
                <w:i/>
                <w:iCs/>
                <w:color w:val="000000"/>
                <w:sz w:val="20"/>
                <w:lang w:eastAsia="zh-CN"/>
              </w:rPr>
              <w:t xml:space="preserve"> </w:t>
            </w:r>
            <w:r w:rsidRPr="000C156A">
              <w:rPr>
                <w:rFonts w:asciiTheme="minorHAnsi" w:hAnsiTheme="minorHAnsi" w:cstheme="minorHAnsi"/>
                <w:i/>
                <w:iCs/>
                <w:color w:val="000000"/>
                <w:sz w:val="20"/>
                <w:lang w:eastAsia="zh-CN"/>
              </w:rPr>
              <w:t>764</w:t>
            </w:r>
          </w:p>
        </w:tc>
        <w:tc>
          <w:tcPr>
            <w:tcW w:w="621" w:type="pct"/>
            <w:gridSpan w:val="2"/>
            <w:tcBorders>
              <w:top w:val="nil"/>
              <w:left w:val="nil"/>
              <w:bottom w:val="nil"/>
              <w:right w:val="single" w:sz="4" w:space="0" w:color="auto"/>
            </w:tcBorders>
            <w:shd w:val="clear" w:color="auto" w:fill="auto"/>
            <w:noWrap/>
            <w:vAlign w:val="bottom"/>
            <w:hideMark/>
          </w:tcPr>
          <w:p w14:paraId="3F340156" w14:textId="5C47C77A"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zh-CN"/>
              </w:rPr>
            </w:pPr>
            <w:r w:rsidRPr="000C156A">
              <w:rPr>
                <w:rFonts w:asciiTheme="minorHAnsi" w:hAnsiTheme="minorHAnsi" w:cstheme="minorHAnsi"/>
                <w:i/>
                <w:iCs/>
                <w:color w:val="000000"/>
                <w:sz w:val="20"/>
                <w:lang w:eastAsia="zh-CN"/>
              </w:rPr>
              <w:t>7</w:t>
            </w:r>
            <w:r w:rsidR="00E870CB" w:rsidRPr="000C156A">
              <w:rPr>
                <w:rFonts w:asciiTheme="minorHAnsi" w:hAnsiTheme="minorHAnsi" w:cstheme="minorHAnsi"/>
                <w:i/>
                <w:iCs/>
                <w:color w:val="000000"/>
                <w:sz w:val="20"/>
                <w:lang w:eastAsia="zh-CN"/>
              </w:rPr>
              <w:t xml:space="preserve"> </w:t>
            </w:r>
            <w:r w:rsidRPr="000C156A">
              <w:rPr>
                <w:rFonts w:asciiTheme="minorHAnsi" w:hAnsiTheme="minorHAnsi" w:cstheme="minorHAnsi"/>
                <w:i/>
                <w:iCs/>
                <w:color w:val="000000"/>
                <w:sz w:val="20"/>
                <w:lang w:eastAsia="zh-CN"/>
              </w:rPr>
              <w:t>156</w:t>
            </w:r>
          </w:p>
        </w:tc>
      </w:tr>
      <w:tr w:rsidR="00686EC7" w:rsidRPr="000C156A" w14:paraId="0D41DC94" w14:textId="77777777" w:rsidTr="00141BAA">
        <w:trPr>
          <w:trHeight w:val="300"/>
        </w:trPr>
        <w:tc>
          <w:tcPr>
            <w:tcW w:w="1198" w:type="pct"/>
            <w:tcBorders>
              <w:top w:val="nil"/>
              <w:left w:val="single" w:sz="4" w:space="0" w:color="auto"/>
              <w:bottom w:val="nil"/>
              <w:right w:val="nil"/>
            </w:tcBorders>
            <w:shd w:val="clear" w:color="auto" w:fill="auto"/>
            <w:vAlign w:val="bottom"/>
            <w:hideMark/>
          </w:tcPr>
          <w:p w14:paraId="08C18C8A" w14:textId="77777777" w:rsidR="00686EC7" w:rsidRPr="000C156A" w:rsidRDefault="00686EC7" w:rsidP="00141BAA">
            <w:pPr>
              <w:overflowPunct/>
              <w:adjustRightInd/>
              <w:spacing w:before="0"/>
              <w:textAlignment w:val="auto"/>
              <w:rPr>
                <w:rFonts w:ascii="STKaiti" w:eastAsia="STKaiti" w:hAnsi="STKaiti" w:cs="Calibri"/>
                <w:color w:val="000000"/>
                <w:sz w:val="20"/>
                <w:lang w:val="en-US" w:eastAsia="zh-CN"/>
              </w:rPr>
            </w:pPr>
            <w:r w:rsidRPr="000C156A">
              <w:rPr>
                <w:rFonts w:ascii="STKaiti" w:eastAsia="STKaiti" w:hAnsi="STKaiti" w:cs="Calibri" w:hint="eastAsia"/>
                <w:color w:val="000000"/>
                <w:sz w:val="20"/>
                <w:lang w:val="en-US" w:eastAsia="zh-CN"/>
              </w:rPr>
              <w:t>无线电通信</w:t>
            </w:r>
            <w:r w:rsidRPr="000C156A">
              <w:rPr>
                <w:rFonts w:ascii="STKaiti" w:eastAsia="STKaiti" w:hAnsi="STKaiti" w:cs="Calibri"/>
                <w:color w:val="000000"/>
                <w:sz w:val="20"/>
                <w:lang w:val="en-US" w:eastAsia="zh-CN"/>
              </w:rPr>
              <w:t>部门</w:t>
            </w:r>
          </w:p>
        </w:tc>
        <w:tc>
          <w:tcPr>
            <w:tcW w:w="704" w:type="pct"/>
            <w:tcBorders>
              <w:top w:val="nil"/>
              <w:left w:val="single" w:sz="4" w:space="0" w:color="auto"/>
              <w:bottom w:val="nil"/>
              <w:right w:val="single" w:sz="4" w:space="0" w:color="auto"/>
            </w:tcBorders>
            <w:shd w:val="clear" w:color="auto" w:fill="auto"/>
            <w:noWrap/>
            <w:vAlign w:val="bottom"/>
            <w:hideMark/>
          </w:tcPr>
          <w:p w14:paraId="04393119" w14:textId="300522D0"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zh-CN"/>
              </w:rPr>
            </w:pPr>
            <w:r w:rsidRPr="000C156A">
              <w:rPr>
                <w:rFonts w:asciiTheme="minorHAnsi" w:hAnsiTheme="minorHAnsi" w:cstheme="minorHAnsi"/>
                <w:i/>
                <w:iCs/>
                <w:color w:val="000000"/>
                <w:sz w:val="20"/>
                <w:lang w:eastAsia="zh-CN"/>
              </w:rPr>
              <w:t>29</w:t>
            </w:r>
            <w:r w:rsidR="00E870CB" w:rsidRPr="000C156A">
              <w:rPr>
                <w:rFonts w:asciiTheme="minorHAnsi" w:hAnsiTheme="minorHAnsi" w:cstheme="minorHAnsi"/>
                <w:i/>
                <w:iCs/>
                <w:color w:val="000000"/>
                <w:sz w:val="20"/>
                <w:lang w:eastAsia="zh-CN"/>
              </w:rPr>
              <w:t xml:space="preserve"> </w:t>
            </w:r>
            <w:r w:rsidRPr="000C156A">
              <w:rPr>
                <w:rFonts w:asciiTheme="minorHAnsi" w:hAnsiTheme="minorHAnsi" w:cstheme="minorHAnsi"/>
                <w:i/>
                <w:iCs/>
                <w:color w:val="000000"/>
                <w:sz w:val="20"/>
                <w:lang w:eastAsia="zh-CN"/>
              </w:rPr>
              <w:t>831</w:t>
            </w:r>
          </w:p>
        </w:tc>
        <w:tc>
          <w:tcPr>
            <w:tcW w:w="604" w:type="pct"/>
            <w:tcBorders>
              <w:top w:val="nil"/>
              <w:left w:val="nil"/>
              <w:bottom w:val="nil"/>
              <w:right w:val="single" w:sz="4" w:space="0" w:color="auto"/>
            </w:tcBorders>
            <w:shd w:val="clear" w:color="auto" w:fill="auto"/>
            <w:noWrap/>
            <w:vAlign w:val="bottom"/>
            <w:hideMark/>
          </w:tcPr>
          <w:p w14:paraId="211D50F1"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zh-CN"/>
              </w:rPr>
            </w:pPr>
          </w:p>
        </w:tc>
        <w:tc>
          <w:tcPr>
            <w:tcW w:w="644" w:type="pct"/>
            <w:tcBorders>
              <w:top w:val="nil"/>
              <w:left w:val="nil"/>
              <w:bottom w:val="nil"/>
              <w:right w:val="single" w:sz="4" w:space="0" w:color="auto"/>
            </w:tcBorders>
            <w:shd w:val="clear" w:color="auto" w:fill="auto"/>
            <w:noWrap/>
            <w:vAlign w:val="bottom"/>
            <w:hideMark/>
          </w:tcPr>
          <w:p w14:paraId="7CB7049D"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zh-CN"/>
              </w:rPr>
            </w:pPr>
          </w:p>
        </w:tc>
        <w:tc>
          <w:tcPr>
            <w:tcW w:w="654" w:type="pct"/>
            <w:gridSpan w:val="2"/>
            <w:tcBorders>
              <w:top w:val="nil"/>
              <w:left w:val="nil"/>
              <w:bottom w:val="nil"/>
              <w:right w:val="single" w:sz="4" w:space="0" w:color="auto"/>
            </w:tcBorders>
            <w:shd w:val="clear" w:color="auto" w:fill="auto"/>
            <w:noWrap/>
            <w:vAlign w:val="bottom"/>
            <w:hideMark/>
          </w:tcPr>
          <w:p w14:paraId="1438FDCA" w14:textId="14CE668F"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zh-CN"/>
              </w:rPr>
            </w:pPr>
            <w:r w:rsidRPr="000C156A">
              <w:rPr>
                <w:rFonts w:asciiTheme="minorHAnsi" w:hAnsiTheme="minorHAnsi" w:cstheme="minorHAnsi"/>
                <w:i/>
                <w:iCs/>
                <w:color w:val="000000"/>
                <w:sz w:val="20"/>
                <w:lang w:eastAsia="zh-CN"/>
              </w:rPr>
              <w:t>29</w:t>
            </w:r>
            <w:r w:rsidR="00E870CB" w:rsidRPr="000C156A">
              <w:rPr>
                <w:rFonts w:asciiTheme="minorHAnsi" w:hAnsiTheme="minorHAnsi" w:cstheme="minorHAnsi"/>
                <w:i/>
                <w:iCs/>
                <w:color w:val="000000"/>
                <w:sz w:val="20"/>
                <w:lang w:eastAsia="zh-CN"/>
              </w:rPr>
              <w:t xml:space="preserve"> </w:t>
            </w:r>
            <w:r w:rsidRPr="000C156A">
              <w:rPr>
                <w:rFonts w:asciiTheme="minorHAnsi" w:hAnsiTheme="minorHAnsi" w:cstheme="minorHAnsi"/>
                <w:i/>
                <w:iCs/>
                <w:color w:val="000000"/>
                <w:sz w:val="20"/>
                <w:lang w:eastAsia="zh-CN"/>
              </w:rPr>
              <w:t>831</w:t>
            </w:r>
          </w:p>
        </w:tc>
        <w:tc>
          <w:tcPr>
            <w:tcW w:w="576" w:type="pct"/>
            <w:tcBorders>
              <w:top w:val="nil"/>
              <w:left w:val="nil"/>
              <w:bottom w:val="nil"/>
              <w:right w:val="single" w:sz="4" w:space="0" w:color="auto"/>
            </w:tcBorders>
            <w:shd w:val="clear" w:color="auto" w:fill="auto"/>
            <w:noWrap/>
            <w:vAlign w:val="bottom"/>
            <w:hideMark/>
          </w:tcPr>
          <w:p w14:paraId="696CE082" w14:textId="42FFA014"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zh-CN"/>
              </w:rPr>
            </w:pPr>
            <w:r w:rsidRPr="000C156A">
              <w:rPr>
                <w:rFonts w:asciiTheme="minorHAnsi" w:hAnsiTheme="minorHAnsi" w:cstheme="minorHAnsi"/>
                <w:i/>
                <w:iCs/>
                <w:color w:val="000000"/>
                <w:sz w:val="20"/>
                <w:lang w:eastAsia="zh-CN"/>
              </w:rPr>
              <w:t>27</w:t>
            </w:r>
            <w:r w:rsidR="00E870CB" w:rsidRPr="000C156A">
              <w:rPr>
                <w:rFonts w:asciiTheme="minorHAnsi" w:hAnsiTheme="minorHAnsi" w:cstheme="minorHAnsi"/>
                <w:i/>
                <w:iCs/>
                <w:color w:val="000000"/>
                <w:sz w:val="20"/>
                <w:lang w:eastAsia="zh-CN"/>
              </w:rPr>
              <w:t xml:space="preserve"> </w:t>
            </w:r>
            <w:r w:rsidRPr="000C156A">
              <w:rPr>
                <w:rFonts w:asciiTheme="minorHAnsi" w:hAnsiTheme="minorHAnsi" w:cstheme="minorHAnsi"/>
                <w:i/>
                <w:iCs/>
                <w:color w:val="000000"/>
                <w:sz w:val="20"/>
                <w:lang w:eastAsia="zh-CN"/>
              </w:rPr>
              <w:t>278</w:t>
            </w:r>
          </w:p>
        </w:tc>
        <w:tc>
          <w:tcPr>
            <w:tcW w:w="621" w:type="pct"/>
            <w:gridSpan w:val="2"/>
            <w:tcBorders>
              <w:top w:val="nil"/>
              <w:left w:val="nil"/>
              <w:bottom w:val="nil"/>
              <w:right w:val="single" w:sz="4" w:space="0" w:color="auto"/>
            </w:tcBorders>
            <w:shd w:val="clear" w:color="auto" w:fill="auto"/>
            <w:noWrap/>
            <w:vAlign w:val="bottom"/>
            <w:hideMark/>
          </w:tcPr>
          <w:p w14:paraId="10EDC8ED" w14:textId="34BB3B1D"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zh-CN"/>
              </w:rPr>
            </w:pPr>
            <w:r w:rsidRPr="000C156A">
              <w:rPr>
                <w:rFonts w:asciiTheme="minorHAnsi" w:hAnsiTheme="minorHAnsi" w:cstheme="minorHAnsi"/>
                <w:i/>
                <w:iCs/>
                <w:color w:val="000000"/>
                <w:sz w:val="20"/>
                <w:lang w:eastAsia="zh-CN"/>
              </w:rPr>
              <w:t>2</w:t>
            </w:r>
            <w:r w:rsidR="00E870CB" w:rsidRPr="000C156A">
              <w:rPr>
                <w:rFonts w:asciiTheme="minorHAnsi" w:hAnsiTheme="minorHAnsi" w:cstheme="minorHAnsi"/>
                <w:i/>
                <w:iCs/>
                <w:color w:val="000000"/>
                <w:sz w:val="20"/>
                <w:lang w:eastAsia="zh-CN"/>
              </w:rPr>
              <w:t xml:space="preserve"> </w:t>
            </w:r>
            <w:r w:rsidRPr="000C156A">
              <w:rPr>
                <w:rFonts w:asciiTheme="minorHAnsi" w:hAnsiTheme="minorHAnsi" w:cstheme="minorHAnsi"/>
                <w:i/>
                <w:iCs/>
                <w:color w:val="000000"/>
                <w:sz w:val="20"/>
                <w:lang w:eastAsia="zh-CN"/>
              </w:rPr>
              <w:t>553</w:t>
            </w:r>
          </w:p>
        </w:tc>
      </w:tr>
      <w:tr w:rsidR="00686EC7" w:rsidRPr="000C156A" w14:paraId="6E43339C" w14:textId="77777777" w:rsidTr="00141BAA">
        <w:trPr>
          <w:trHeight w:val="300"/>
        </w:trPr>
        <w:tc>
          <w:tcPr>
            <w:tcW w:w="1198" w:type="pct"/>
            <w:tcBorders>
              <w:top w:val="nil"/>
              <w:left w:val="single" w:sz="4" w:space="0" w:color="auto"/>
              <w:bottom w:val="nil"/>
              <w:right w:val="nil"/>
            </w:tcBorders>
            <w:shd w:val="clear" w:color="auto" w:fill="auto"/>
            <w:vAlign w:val="bottom"/>
            <w:hideMark/>
          </w:tcPr>
          <w:p w14:paraId="32B7E140" w14:textId="77777777" w:rsidR="00686EC7" w:rsidRPr="000C156A" w:rsidRDefault="00686EC7" w:rsidP="00141BAA">
            <w:pPr>
              <w:overflowPunct/>
              <w:adjustRightInd/>
              <w:spacing w:before="0"/>
              <w:textAlignment w:val="auto"/>
              <w:rPr>
                <w:rFonts w:ascii="STKaiti" w:eastAsia="STKaiti" w:hAnsi="STKaiti" w:cs="Calibri"/>
                <w:color w:val="000000"/>
                <w:sz w:val="20"/>
                <w:lang w:val="en-US" w:eastAsia="zh-CN"/>
              </w:rPr>
            </w:pPr>
            <w:r w:rsidRPr="000C156A">
              <w:rPr>
                <w:rFonts w:ascii="STKaiti" w:eastAsia="STKaiti" w:hAnsi="STKaiti" w:cs="Calibri" w:hint="eastAsia"/>
                <w:color w:val="000000"/>
                <w:sz w:val="20"/>
                <w:lang w:val="en-US" w:eastAsia="zh-CN"/>
              </w:rPr>
              <w:t>电信标准化</w:t>
            </w:r>
            <w:r w:rsidRPr="000C156A">
              <w:rPr>
                <w:rFonts w:ascii="STKaiti" w:eastAsia="STKaiti" w:hAnsi="STKaiti" w:cs="Calibri"/>
                <w:color w:val="000000"/>
                <w:sz w:val="20"/>
                <w:lang w:val="en-US" w:eastAsia="zh-CN"/>
              </w:rPr>
              <w:t>部门</w:t>
            </w:r>
          </w:p>
        </w:tc>
        <w:tc>
          <w:tcPr>
            <w:tcW w:w="704" w:type="pct"/>
            <w:tcBorders>
              <w:top w:val="nil"/>
              <w:left w:val="single" w:sz="4" w:space="0" w:color="auto"/>
              <w:bottom w:val="nil"/>
              <w:right w:val="single" w:sz="4" w:space="0" w:color="auto"/>
            </w:tcBorders>
            <w:shd w:val="clear" w:color="auto" w:fill="auto"/>
            <w:noWrap/>
            <w:vAlign w:val="bottom"/>
            <w:hideMark/>
          </w:tcPr>
          <w:p w14:paraId="534912AA" w14:textId="5B67F243"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zh-CN"/>
              </w:rPr>
            </w:pPr>
            <w:r w:rsidRPr="000C156A">
              <w:rPr>
                <w:rFonts w:asciiTheme="minorHAnsi" w:hAnsiTheme="minorHAnsi" w:cstheme="minorHAnsi"/>
                <w:i/>
                <w:iCs/>
                <w:color w:val="000000"/>
                <w:sz w:val="20"/>
                <w:lang w:eastAsia="zh-CN"/>
              </w:rPr>
              <w:t>14</w:t>
            </w:r>
            <w:r w:rsidR="00E870CB" w:rsidRPr="000C156A">
              <w:rPr>
                <w:rFonts w:asciiTheme="minorHAnsi" w:hAnsiTheme="minorHAnsi" w:cstheme="minorHAnsi"/>
                <w:i/>
                <w:iCs/>
                <w:color w:val="000000"/>
                <w:sz w:val="20"/>
                <w:lang w:eastAsia="zh-CN"/>
              </w:rPr>
              <w:t xml:space="preserve"> </w:t>
            </w:r>
            <w:r w:rsidRPr="000C156A">
              <w:rPr>
                <w:rFonts w:asciiTheme="minorHAnsi" w:hAnsiTheme="minorHAnsi" w:cstheme="minorHAnsi"/>
                <w:i/>
                <w:iCs/>
                <w:color w:val="000000"/>
                <w:sz w:val="20"/>
                <w:lang w:eastAsia="zh-CN"/>
              </w:rPr>
              <w:t>328</w:t>
            </w:r>
          </w:p>
        </w:tc>
        <w:tc>
          <w:tcPr>
            <w:tcW w:w="604" w:type="pct"/>
            <w:tcBorders>
              <w:top w:val="nil"/>
              <w:left w:val="nil"/>
              <w:bottom w:val="nil"/>
              <w:right w:val="single" w:sz="4" w:space="0" w:color="auto"/>
            </w:tcBorders>
            <w:shd w:val="clear" w:color="auto" w:fill="auto"/>
            <w:noWrap/>
            <w:vAlign w:val="bottom"/>
            <w:hideMark/>
          </w:tcPr>
          <w:p w14:paraId="355DE95D" w14:textId="31DCB52B"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zh-CN"/>
              </w:rPr>
            </w:pPr>
            <w:r w:rsidRPr="000C156A">
              <w:rPr>
                <w:rFonts w:asciiTheme="minorHAnsi" w:hAnsiTheme="minorHAnsi" w:cstheme="minorHAnsi"/>
                <w:i/>
                <w:iCs/>
                <w:color w:val="000000"/>
                <w:sz w:val="20"/>
                <w:lang w:eastAsia="zh-CN"/>
              </w:rPr>
              <w:t>-1</w:t>
            </w:r>
            <w:r w:rsidR="00E870CB" w:rsidRPr="000C156A">
              <w:rPr>
                <w:rFonts w:asciiTheme="minorHAnsi" w:hAnsiTheme="minorHAnsi" w:cstheme="minorHAnsi"/>
                <w:i/>
                <w:iCs/>
                <w:color w:val="000000"/>
                <w:sz w:val="20"/>
                <w:lang w:eastAsia="zh-CN"/>
              </w:rPr>
              <w:t xml:space="preserve"> </w:t>
            </w:r>
            <w:r w:rsidRPr="000C156A">
              <w:rPr>
                <w:rFonts w:asciiTheme="minorHAnsi" w:hAnsiTheme="minorHAnsi" w:cstheme="minorHAnsi"/>
                <w:i/>
                <w:iCs/>
                <w:color w:val="000000"/>
                <w:sz w:val="20"/>
                <w:lang w:eastAsia="zh-CN"/>
              </w:rPr>
              <w:t>685</w:t>
            </w:r>
          </w:p>
        </w:tc>
        <w:tc>
          <w:tcPr>
            <w:tcW w:w="644" w:type="pct"/>
            <w:tcBorders>
              <w:top w:val="nil"/>
              <w:left w:val="nil"/>
              <w:bottom w:val="nil"/>
              <w:right w:val="single" w:sz="4" w:space="0" w:color="auto"/>
            </w:tcBorders>
            <w:shd w:val="clear" w:color="auto" w:fill="auto"/>
            <w:noWrap/>
            <w:vAlign w:val="bottom"/>
            <w:hideMark/>
          </w:tcPr>
          <w:p w14:paraId="6ECE53F2"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zh-CN"/>
              </w:rPr>
            </w:pPr>
          </w:p>
        </w:tc>
        <w:tc>
          <w:tcPr>
            <w:tcW w:w="654" w:type="pct"/>
            <w:gridSpan w:val="2"/>
            <w:tcBorders>
              <w:top w:val="nil"/>
              <w:left w:val="nil"/>
              <w:bottom w:val="nil"/>
              <w:right w:val="single" w:sz="4" w:space="0" w:color="auto"/>
            </w:tcBorders>
            <w:shd w:val="clear" w:color="auto" w:fill="auto"/>
            <w:noWrap/>
            <w:vAlign w:val="bottom"/>
            <w:hideMark/>
          </w:tcPr>
          <w:p w14:paraId="7C776FD5" w14:textId="00D3B4B1"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zh-CN"/>
              </w:rPr>
            </w:pPr>
            <w:r w:rsidRPr="000C156A">
              <w:rPr>
                <w:rFonts w:asciiTheme="minorHAnsi" w:hAnsiTheme="minorHAnsi" w:cstheme="minorHAnsi"/>
                <w:i/>
                <w:iCs/>
                <w:color w:val="000000"/>
                <w:sz w:val="20"/>
                <w:lang w:eastAsia="zh-CN"/>
              </w:rPr>
              <w:t>12</w:t>
            </w:r>
            <w:r w:rsidR="00E870CB" w:rsidRPr="000C156A">
              <w:rPr>
                <w:rFonts w:asciiTheme="minorHAnsi" w:hAnsiTheme="minorHAnsi" w:cstheme="minorHAnsi"/>
                <w:i/>
                <w:iCs/>
                <w:color w:val="000000"/>
                <w:sz w:val="20"/>
                <w:lang w:eastAsia="zh-CN"/>
              </w:rPr>
              <w:t xml:space="preserve"> </w:t>
            </w:r>
            <w:r w:rsidRPr="000C156A">
              <w:rPr>
                <w:rFonts w:asciiTheme="minorHAnsi" w:hAnsiTheme="minorHAnsi" w:cstheme="minorHAnsi"/>
                <w:i/>
                <w:iCs/>
                <w:color w:val="000000"/>
                <w:sz w:val="20"/>
                <w:lang w:eastAsia="zh-CN"/>
              </w:rPr>
              <w:t>643</w:t>
            </w:r>
          </w:p>
        </w:tc>
        <w:tc>
          <w:tcPr>
            <w:tcW w:w="576" w:type="pct"/>
            <w:tcBorders>
              <w:top w:val="nil"/>
              <w:left w:val="nil"/>
              <w:bottom w:val="nil"/>
              <w:right w:val="single" w:sz="4" w:space="0" w:color="auto"/>
            </w:tcBorders>
            <w:shd w:val="clear" w:color="auto" w:fill="auto"/>
            <w:noWrap/>
            <w:vAlign w:val="bottom"/>
            <w:hideMark/>
          </w:tcPr>
          <w:p w14:paraId="0D0A4793" w14:textId="150C9CED"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zh-CN"/>
              </w:rPr>
            </w:pPr>
            <w:r w:rsidRPr="000C156A">
              <w:rPr>
                <w:rFonts w:asciiTheme="minorHAnsi" w:hAnsiTheme="minorHAnsi" w:cstheme="minorHAnsi"/>
                <w:i/>
                <w:iCs/>
                <w:color w:val="000000"/>
                <w:sz w:val="20"/>
                <w:lang w:eastAsia="zh-CN"/>
              </w:rPr>
              <w:t>13</w:t>
            </w:r>
            <w:r w:rsidR="00E870CB" w:rsidRPr="000C156A">
              <w:rPr>
                <w:rFonts w:asciiTheme="minorHAnsi" w:hAnsiTheme="minorHAnsi" w:cstheme="minorHAnsi"/>
                <w:i/>
                <w:iCs/>
                <w:color w:val="000000"/>
                <w:sz w:val="20"/>
                <w:lang w:eastAsia="zh-CN"/>
              </w:rPr>
              <w:t xml:space="preserve"> </w:t>
            </w:r>
            <w:r w:rsidRPr="000C156A">
              <w:rPr>
                <w:rFonts w:asciiTheme="minorHAnsi" w:hAnsiTheme="minorHAnsi" w:cstheme="minorHAnsi"/>
                <w:i/>
                <w:iCs/>
                <w:color w:val="000000"/>
                <w:sz w:val="20"/>
                <w:lang w:eastAsia="zh-CN"/>
              </w:rPr>
              <w:t>080</w:t>
            </w:r>
          </w:p>
        </w:tc>
        <w:tc>
          <w:tcPr>
            <w:tcW w:w="621" w:type="pct"/>
            <w:gridSpan w:val="2"/>
            <w:tcBorders>
              <w:top w:val="nil"/>
              <w:left w:val="nil"/>
              <w:bottom w:val="nil"/>
              <w:right w:val="single" w:sz="4" w:space="0" w:color="auto"/>
            </w:tcBorders>
            <w:shd w:val="clear" w:color="auto" w:fill="auto"/>
            <w:noWrap/>
            <w:vAlign w:val="bottom"/>
            <w:hideMark/>
          </w:tcPr>
          <w:p w14:paraId="5E689C5B"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zh-CN"/>
              </w:rPr>
            </w:pPr>
            <w:r w:rsidRPr="000C156A">
              <w:rPr>
                <w:rFonts w:asciiTheme="minorHAnsi" w:hAnsiTheme="minorHAnsi" w:cstheme="minorHAnsi"/>
                <w:i/>
                <w:iCs/>
                <w:color w:val="000000"/>
                <w:sz w:val="20"/>
                <w:lang w:eastAsia="zh-CN"/>
              </w:rPr>
              <w:t>-437</w:t>
            </w:r>
          </w:p>
        </w:tc>
      </w:tr>
      <w:tr w:rsidR="00686EC7" w:rsidRPr="000C156A" w14:paraId="76457E18" w14:textId="77777777" w:rsidTr="00141BAA">
        <w:trPr>
          <w:trHeight w:val="300"/>
        </w:trPr>
        <w:tc>
          <w:tcPr>
            <w:tcW w:w="1198" w:type="pct"/>
            <w:tcBorders>
              <w:top w:val="nil"/>
              <w:left w:val="single" w:sz="4" w:space="0" w:color="auto"/>
              <w:bottom w:val="nil"/>
              <w:right w:val="nil"/>
            </w:tcBorders>
            <w:shd w:val="clear" w:color="auto" w:fill="auto"/>
            <w:vAlign w:val="bottom"/>
            <w:hideMark/>
          </w:tcPr>
          <w:p w14:paraId="231FDEBC" w14:textId="77777777" w:rsidR="00686EC7" w:rsidRPr="000C156A" w:rsidRDefault="00686EC7" w:rsidP="00141BAA">
            <w:pPr>
              <w:overflowPunct/>
              <w:adjustRightInd/>
              <w:spacing w:before="0"/>
              <w:textAlignment w:val="auto"/>
              <w:rPr>
                <w:rFonts w:ascii="STKaiti" w:eastAsia="STKaiti" w:hAnsi="STKaiti" w:cs="Calibri"/>
                <w:color w:val="000000"/>
                <w:sz w:val="20"/>
                <w:lang w:val="en-US" w:eastAsia="zh-CN"/>
              </w:rPr>
            </w:pPr>
            <w:r w:rsidRPr="000C156A">
              <w:rPr>
                <w:rFonts w:ascii="STKaiti" w:eastAsia="STKaiti" w:hAnsi="STKaiti" w:cs="Calibri" w:hint="eastAsia"/>
                <w:color w:val="000000"/>
                <w:sz w:val="20"/>
                <w:lang w:val="en-US" w:eastAsia="zh-CN"/>
              </w:rPr>
              <w:t>电信发展</w:t>
            </w:r>
            <w:r w:rsidRPr="000C156A">
              <w:rPr>
                <w:rFonts w:ascii="STKaiti" w:eastAsia="STKaiti" w:hAnsi="STKaiti" w:cs="Calibri"/>
                <w:color w:val="000000"/>
                <w:sz w:val="20"/>
                <w:lang w:val="en-US" w:eastAsia="zh-CN"/>
              </w:rPr>
              <w:t>部门</w:t>
            </w:r>
          </w:p>
        </w:tc>
        <w:tc>
          <w:tcPr>
            <w:tcW w:w="704" w:type="pct"/>
            <w:tcBorders>
              <w:top w:val="nil"/>
              <w:left w:val="single" w:sz="4" w:space="0" w:color="auto"/>
              <w:bottom w:val="nil"/>
              <w:right w:val="single" w:sz="4" w:space="0" w:color="auto"/>
            </w:tcBorders>
            <w:shd w:val="clear" w:color="auto" w:fill="auto"/>
            <w:noWrap/>
            <w:vAlign w:val="bottom"/>
            <w:hideMark/>
          </w:tcPr>
          <w:p w14:paraId="18B09DE7" w14:textId="320AE951"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en-GB"/>
              </w:rPr>
            </w:pPr>
            <w:r w:rsidRPr="000C156A">
              <w:rPr>
                <w:rFonts w:asciiTheme="minorHAnsi" w:hAnsiTheme="minorHAnsi" w:cstheme="minorHAnsi"/>
                <w:i/>
                <w:iCs/>
                <w:color w:val="000000"/>
                <w:sz w:val="20"/>
                <w:lang w:eastAsia="zh-CN"/>
              </w:rPr>
              <w:t>31</w:t>
            </w:r>
            <w:r w:rsidR="00E870CB" w:rsidRPr="000C156A">
              <w:rPr>
                <w:rFonts w:asciiTheme="minorHAnsi" w:hAnsiTheme="minorHAnsi" w:cstheme="minorHAnsi"/>
                <w:i/>
                <w:iCs/>
                <w:color w:val="000000"/>
                <w:sz w:val="20"/>
                <w:lang w:eastAsia="zh-CN"/>
              </w:rPr>
              <w:t xml:space="preserve"> </w:t>
            </w:r>
            <w:r w:rsidRPr="000C156A">
              <w:rPr>
                <w:rFonts w:asciiTheme="minorHAnsi" w:hAnsiTheme="minorHAnsi" w:cstheme="minorHAnsi"/>
                <w:i/>
                <w:iCs/>
                <w:color w:val="000000"/>
                <w:sz w:val="20"/>
                <w:lang w:eastAsia="en-GB"/>
              </w:rPr>
              <w:t>399</w:t>
            </w:r>
          </w:p>
        </w:tc>
        <w:tc>
          <w:tcPr>
            <w:tcW w:w="604" w:type="pct"/>
            <w:tcBorders>
              <w:top w:val="nil"/>
              <w:left w:val="nil"/>
              <w:bottom w:val="nil"/>
              <w:right w:val="single" w:sz="4" w:space="0" w:color="auto"/>
            </w:tcBorders>
            <w:shd w:val="clear" w:color="auto" w:fill="auto"/>
            <w:noWrap/>
            <w:vAlign w:val="bottom"/>
            <w:hideMark/>
          </w:tcPr>
          <w:p w14:paraId="4AA664F5"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en-GB"/>
              </w:rPr>
            </w:pPr>
            <w:r w:rsidRPr="000C156A">
              <w:rPr>
                <w:rFonts w:asciiTheme="minorHAnsi" w:hAnsiTheme="minorHAnsi" w:cstheme="minorHAnsi"/>
                <w:i/>
                <w:iCs/>
                <w:color w:val="000000"/>
                <w:sz w:val="20"/>
                <w:lang w:eastAsia="en-GB"/>
              </w:rPr>
              <w:t>-182</w:t>
            </w:r>
          </w:p>
        </w:tc>
        <w:tc>
          <w:tcPr>
            <w:tcW w:w="644" w:type="pct"/>
            <w:tcBorders>
              <w:top w:val="nil"/>
              <w:left w:val="nil"/>
              <w:bottom w:val="nil"/>
              <w:right w:val="single" w:sz="4" w:space="0" w:color="auto"/>
            </w:tcBorders>
            <w:shd w:val="clear" w:color="auto" w:fill="auto"/>
            <w:noWrap/>
            <w:vAlign w:val="bottom"/>
            <w:hideMark/>
          </w:tcPr>
          <w:p w14:paraId="6C7BF420"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en-GB"/>
              </w:rPr>
            </w:pPr>
          </w:p>
        </w:tc>
        <w:tc>
          <w:tcPr>
            <w:tcW w:w="654" w:type="pct"/>
            <w:gridSpan w:val="2"/>
            <w:tcBorders>
              <w:top w:val="nil"/>
              <w:left w:val="nil"/>
              <w:bottom w:val="nil"/>
              <w:right w:val="single" w:sz="4" w:space="0" w:color="auto"/>
            </w:tcBorders>
            <w:shd w:val="clear" w:color="auto" w:fill="auto"/>
            <w:noWrap/>
            <w:vAlign w:val="bottom"/>
            <w:hideMark/>
          </w:tcPr>
          <w:p w14:paraId="6A5169C2" w14:textId="4113098E"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en-GB"/>
              </w:rPr>
            </w:pPr>
            <w:r w:rsidRPr="000C156A">
              <w:rPr>
                <w:rFonts w:asciiTheme="minorHAnsi" w:hAnsiTheme="minorHAnsi" w:cstheme="minorHAnsi"/>
                <w:i/>
                <w:iCs/>
                <w:color w:val="000000"/>
                <w:sz w:val="20"/>
                <w:lang w:eastAsia="en-GB"/>
              </w:rPr>
              <w:t>31</w:t>
            </w:r>
            <w:r w:rsidR="00E870CB" w:rsidRPr="000C156A">
              <w:rPr>
                <w:rFonts w:asciiTheme="minorHAnsi" w:hAnsiTheme="minorHAnsi" w:cstheme="minorHAnsi"/>
                <w:i/>
                <w:iCs/>
                <w:color w:val="000000"/>
                <w:sz w:val="20"/>
                <w:lang w:eastAsia="en-GB"/>
              </w:rPr>
              <w:t xml:space="preserve"> </w:t>
            </w:r>
            <w:r w:rsidRPr="000C156A">
              <w:rPr>
                <w:rFonts w:asciiTheme="minorHAnsi" w:hAnsiTheme="minorHAnsi" w:cstheme="minorHAnsi"/>
                <w:i/>
                <w:iCs/>
                <w:color w:val="000000"/>
                <w:sz w:val="20"/>
                <w:lang w:eastAsia="en-GB"/>
              </w:rPr>
              <w:t>217</w:t>
            </w:r>
          </w:p>
        </w:tc>
        <w:tc>
          <w:tcPr>
            <w:tcW w:w="576" w:type="pct"/>
            <w:tcBorders>
              <w:top w:val="nil"/>
              <w:left w:val="nil"/>
              <w:bottom w:val="nil"/>
              <w:right w:val="single" w:sz="4" w:space="0" w:color="auto"/>
            </w:tcBorders>
            <w:shd w:val="clear" w:color="auto" w:fill="auto"/>
            <w:noWrap/>
            <w:vAlign w:val="bottom"/>
            <w:hideMark/>
          </w:tcPr>
          <w:p w14:paraId="50531450" w14:textId="479876CF"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en-GB"/>
              </w:rPr>
            </w:pPr>
            <w:r w:rsidRPr="000C156A">
              <w:rPr>
                <w:rFonts w:asciiTheme="minorHAnsi" w:hAnsiTheme="minorHAnsi" w:cstheme="minorHAnsi"/>
                <w:i/>
                <w:iCs/>
                <w:color w:val="000000"/>
                <w:sz w:val="20"/>
                <w:lang w:eastAsia="en-GB"/>
              </w:rPr>
              <w:t>29</w:t>
            </w:r>
            <w:r w:rsidR="00E870CB" w:rsidRPr="000C156A">
              <w:rPr>
                <w:rFonts w:asciiTheme="minorHAnsi" w:hAnsiTheme="minorHAnsi" w:cstheme="minorHAnsi"/>
                <w:i/>
                <w:iCs/>
                <w:color w:val="000000"/>
                <w:sz w:val="20"/>
                <w:lang w:eastAsia="en-GB"/>
              </w:rPr>
              <w:t xml:space="preserve"> </w:t>
            </w:r>
            <w:r w:rsidRPr="000C156A">
              <w:rPr>
                <w:rFonts w:asciiTheme="minorHAnsi" w:hAnsiTheme="minorHAnsi" w:cstheme="minorHAnsi"/>
                <w:i/>
                <w:iCs/>
                <w:color w:val="000000"/>
                <w:sz w:val="20"/>
                <w:lang w:eastAsia="en-GB"/>
              </w:rPr>
              <w:t>795</w:t>
            </w:r>
          </w:p>
        </w:tc>
        <w:tc>
          <w:tcPr>
            <w:tcW w:w="621" w:type="pct"/>
            <w:gridSpan w:val="2"/>
            <w:tcBorders>
              <w:top w:val="nil"/>
              <w:left w:val="nil"/>
              <w:bottom w:val="nil"/>
              <w:right w:val="single" w:sz="4" w:space="0" w:color="auto"/>
            </w:tcBorders>
            <w:shd w:val="clear" w:color="auto" w:fill="auto"/>
            <w:noWrap/>
            <w:vAlign w:val="bottom"/>
            <w:hideMark/>
          </w:tcPr>
          <w:p w14:paraId="1E3F1CED" w14:textId="26892C63"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en-GB"/>
              </w:rPr>
            </w:pPr>
            <w:r w:rsidRPr="000C156A">
              <w:rPr>
                <w:rFonts w:asciiTheme="minorHAnsi" w:hAnsiTheme="minorHAnsi" w:cstheme="minorHAnsi"/>
                <w:i/>
                <w:iCs/>
                <w:color w:val="000000"/>
                <w:sz w:val="20"/>
                <w:lang w:eastAsia="en-GB"/>
              </w:rPr>
              <w:t>1</w:t>
            </w:r>
            <w:r w:rsidR="00E870CB" w:rsidRPr="000C156A">
              <w:rPr>
                <w:rFonts w:asciiTheme="minorHAnsi" w:hAnsiTheme="minorHAnsi" w:cstheme="minorHAnsi"/>
                <w:i/>
                <w:iCs/>
                <w:color w:val="000000"/>
                <w:sz w:val="20"/>
                <w:lang w:eastAsia="en-GB"/>
              </w:rPr>
              <w:t xml:space="preserve"> </w:t>
            </w:r>
            <w:r w:rsidRPr="000C156A">
              <w:rPr>
                <w:rFonts w:asciiTheme="minorHAnsi" w:hAnsiTheme="minorHAnsi" w:cstheme="minorHAnsi"/>
                <w:i/>
                <w:iCs/>
                <w:color w:val="000000"/>
                <w:sz w:val="20"/>
                <w:lang w:eastAsia="en-GB"/>
              </w:rPr>
              <w:t>422</w:t>
            </w:r>
          </w:p>
        </w:tc>
      </w:tr>
      <w:tr w:rsidR="00686EC7" w:rsidRPr="000C156A" w14:paraId="7746102C" w14:textId="77777777" w:rsidTr="00141BAA">
        <w:trPr>
          <w:trHeight w:val="300"/>
        </w:trPr>
        <w:tc>
          <w:tcPr>
            <w:tcW w:w="1198" w:type="pct"/>
            <w:tcBorders>
              <w:top w:val="nil"/>
              <w:left w:val="single" w:sz="4" w:space="0" w:color="auto"/>
              <w:bottom w:val="nil"/>
              <w:right w:val="nil"/>
            </w:tcBorders>
            <w:shd w:val="clear" w:color="auto" w:fill="auto"/>
            <w:vAlign w:val="center"/>
          </w:tcPr>
          <w:p w14:paraId="6303624A" w14:textId="77777777" w:rsidR="00686EC7" w:rsidRPr="000C156A" w:rsidRDefault="00686EC7" w:rsidP="00141BAA">
            <w:pPr>
              <w:overflowPunct/>
              <w:adjustRightInd/>
              <w:spacing w:before="0"/>
              <w:textAlignment w:val="auto"/>
              <w:rPr>
                <w:rFonts w:ascii="STKaiti" w:eastAsia="STKaiti" w:hAnsi="STKaiti" w:cs="Calibri"/>
                <w:color w:val="000000"/>
                <w:sz w:val="20"/>
                <w:lang w:val="en-US" w:eastAsia="zh-CN"/>
              </w:rPr>
            </w:pPr>
          </w:p>
        </w:tc>
        <w:tc>
          <w:tcPr>
            <w:tcW w:w="704" w:type="pct"/>
            <w:tcBorders>
              <w:top w:val="nil"/>
              <w:left w:val="single" w:sz="4" w:space="0" w:color="auto"/>
              <w:bottom w:val="nil"/>
              <w:right w:val="single" w:sz="4" w:space="0" w:color="auto"/>
            </w:tcBorders>
            <w:shd w:val="clear" w:color="auto" w:fill="auto"/>
            <w:noWrap/>
            <w:vAlign w:val="bottom"/>
          </w:tcPr>
          <w:p w14:paraId="13DEAF97"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en-GB"/>
              </w:rPr>
            </w:pPr>
          </w:p>
        </w:tc>
        <w:tc>
          <w:tcPr>
            <w:tcW w:w="604" w:type="pct"/>
            <w:tcBorders>
              <w:top w:val="nil"/>
              <w:left w:val="nil"/>
              <w:bottom w:val="nil"/>
              <w:right w:val="single" w:sz="4" w:space="0" w:color="auto"/>
            </w:tcBorders>
            <w:shd w:val="clear" w:color="auto" w:fill="auto"/>
            <w:noWrap/>
            <w:vAlign w:val="bottom"/>
          </w:tcPr>
          <w:p w14:paraId="6102ED40"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en-GB"/>
              </w:rPr>
            </w:pPr>
          </w:p>
        </w:tc>
        <w:tc>
          <w:tcPr>
            <w:tcW w:w="644" w:type="pct"/>
            <w:tcBorders>
              <w:top w:val="nil"/>
              <w:left w:val="nil"/>
              <w:bottom w:val="nil"/>
              <w:right w:val="single" w:sz="4" w:space="0" w:color="auto"/>
            </w:tcBorders>
            <w:shd w:val="clear" w:color="auto" w:fill="auto"/>
            <w:noWrap/>
            <w:vAlign w:val="bottom"/>
          </w:tcPr>
          <w:p w14:paraId="48548F55"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en-GB"/>
              </w:rPr>
            </w:pPr>
          </w:p>
        </w:tc>
        <w:tc>
          <w:tcPr>
            <w:tcW w:w="654" w:type="pct"/>
            <w:gridSpan w:val="2"/>
            <w:tcBorders>
              <w:top w:val="nil"/>
              <w:left w:val="nil"/>
              <w:bottom w:val="nil"/>
              <w:right w:val="single" w:sz="4" w:space="0" w:color="auto"/>
            </w:tcBorders>
            <w:shd w:val="clear" w:color="auto" w:fill="auto"/>
            <w:noWrap/>
            <w:vAlign w:val="bottom"/>
          </w:tcPr>
          <w:p w14:paraId="6F0B9CF9"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en-GB"/>
              </w:rPr>
            </w:pPr>
            <w:r w:rsidRPr="000C156A">
              <w:rPr>
                <w:rFonts w:asciiTheme="minorHAnsi" w:hAnsiTheme="minorHAnsi" w:cstheme="minorHAnsi"/>
                <w:i/>
                <w:iCs/>
                <w:color w:val="000000"/>
                <w:sz w:val="20"/>
                <w:lang w:eastAsia="en-GB"/>
              </w:rPr>
              <w:t>-</w:t>
            </w:r>
          </w:p>
        </w:tc>
        <w:tc>
          <w:tcPr>
            <w:tcW w:w="576" w:type="pct"/>
            <w:tcBorders>
              <w:top w:val="nil"/>
              <w:left w:val="nil"/>
              <w:bottom w:val="nil"/>
              <w:right w:val="single" w:sz="4" w:space="0" w:color="auto"/>
            </w:tcBorders>
            <w:shd w:val="clear" w:color="auto" w:fill="auto"/>
            <w:noWrap/>
            <w:vAlign w:val="bottom"/>
          </w:tcPr>
          <w:p w14:paraId="2B91E848"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en-GB"/>
              </w:rPr>
            </w:pPr>
          </w:p>
        </w:tc>
        <w:tc>
          <w:tcPr>
            <w:tcW w:w="621" w:type="pct"/>
            <w:gridSpan w:val="2"/>
            <w:tcBorders>
              <w:top w:val="nil"/>
              <w:left w:val="nil"/>
              <w:bottom w:val="nil"/>
              <w:right w:val="single" w:sz="4" w:space="0" w:color="auto"/>
            </w:tcBorders>
            <w:shd w:val="clear" w:color="auto" w:fill="auto"/>
            <w:noWrap/>
            <w:vAlign w:val="bottom"/>
          </w:tcPr>
          <w:p w14:paraId="1788D452"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i/>
                <w:iCs/>
                <w:color w:val="000000"/>
                <w:sz w:val="20"/>
                <w:lang w:eastAsia="en-GB"/>
              </w:rPr>
            </w:pPr>
            <w:r w:rsidRPr="000C156A">
              <w:rPr>
                <w:rFonts w:asciiTheme="minorHAnsi" w:hAnsiTheme="minorHAnsi" w:cstheme="minorHAnsi"/>
                <w:i/>
                <w:iCs/>
                <w:color w:val="000000"/>
                <w:sz w:val="20"/>
                <w:lang w:eastAsia="en-GB"/>
              </w:rPr>
              <w:t>-</w:t>
            </w:r>
          </w:p>
        </w:tc>
      </w:tr>
      <w:tr w:rsidR="00686EC7" w:rsidRPr="000C156A" w14:paraId="769F25E4" w14:textId="77777777" w:rsidTr="00141BAA">
        <w:trPr>
          <w:trHeight w:val="300"/>
        </w:trPr>
        <w:tc>
          <w:tcPr>
            <w:tcW w:w="1198" w:type="pct"/>
            <w:tcBorders>
              <w:top w:val="single" w:sz="4" w:space="0" w:color="auto"/>
              <w:left w:val="single" w:sz="4" w:space="0" w:color="auto"/>
              <w:bottom w:val="single" w:sz="4" w:space="0" w:color="auto"/>
              <w:right w:val="nil"/>
            </w:tcBorders>
            <w:shd w:val="clear" w:color="auto" w:fill="C6D9F1" w:themeFill="text2" w:themeFillTint="33"/>
            <w:noWrap/>
            <w:vAlign w:val="center"/>
            <w:hideMark/>
          </w:tcPr>
          <w:p w14:paraId="55E765A3" w14:textId="77777777" w:rsidR="00686EC7" w:rsidRPr="000C156A" w:rsidRDefault="00686EC7" w:rsidP="00141BAA">
            <w:pPr>
              <w:overflowPunct/>
              <w:adjustRightInd/>
              <w:spacing w:before="0"/>
              <w:textAlignment w:val="auto"/>
              <w:rPr>
                <w:rFonts w:cs="Calibri"/>
                <w:b/>
                <w:bCs/>
                <w:color w:val="000000"/>
                <w:sz w:val="20"/>
                <w:lang w:val="en-US" w:eastAsia="zh-CN"/>
              </w:rPr>
            </w:pPr>
            <w:r w:rsidRPr="000C156A">
              <w:rPr>
                <w:rFonts w:cs="Calibri" w:hint="eastAsia"/>
                <w:b/>
                <w:bCs/>
                <w:color w:val="000000"/>
                <w:sz w:val="20"/>
                <w:lang w:val="en-US" w:eastAsia="zh-CN"/>
              </w:rPr>
              <w:t>费用</w:t>
            </w:r>
            <w:r w:rsidRPr="000C156A">
              <w:rPr>
                <w:rFonts w:cs="Calibri"/>
                <w:b/>
                <w:bCs/>
                <w:color w:val="000000"/>
                <w:sz w:val="20"/>
                <w:lang w:val="en-US" w:eastAsia="zh-CN"/>
              </w:rPr>
              <w:t>合计</w:t>
            </w:r>
          </w:p>
        </w:tc>
        <w:tc>
          <w:tcPr>
            <w:tcW w:w="70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29330F95" w14:textId="7F5D9A34" w:rsidR="00686EC7" w:rsidRPr="000C156A" w:rsidRDefault="00686EC7" w:rsidP="00141BAA">
            <w:pPr>
              <w:overflowPunct/>
              <w:autoSpaceDE/>
              <w:autoSpaceDN/>
              <w:adjustRightInd/>
              <w:spacing w:before="0"/>
              <w:jc w:val="right"/>
              <w:textAlignment w:val="auto"/>
              <w:rPr>
                <w:rFonts w:asciiTheme="minorHAnsi" w:hAnsiTheme="minorHAnsi" w:cstheme="minorHAnsi"/>
                <w:b/>
                <w:bCs/>
                <w:color w:val="000000"/>
                <w:sz w:val="20"/>
                <w:lang w:eastAsia="en-GB"/>
              </w:rPr>
            </w:pPr>
            <w:r w:rsidRPr="000C156A">
              <w:rPr>
                <w:rFonts w:asciiTheme="minorHAnsi" w:hAnsiTheme="minorHAnsi" w:cstheme="minorHAnsi"/>
                <w:b/>
                <w:bCs/>
                <w:color w:val="000000"/>
                <w:sz w:val="20"/>
                <w:lang w:eastAsia="en-GB"/>
              </w:rPr>
              <w:t>167</w:t>
            </w:r>
            <w:r w:rsidR="00E870CB" w:rsidRPr="000C156A">
              <w:rPr>
                <w:rFonts w:asciiTheme="minorHAnsi" w:hAnsiTheme="minorHAnsi" w:cstheme="minorHAnsi"/>
                <w:b/>
                <w:bCs/>
                <w:color w:val="000000"/>
                <w:sz w:val="20"/>
                <w:lang w:eastAsia="en-GB"/>
              </w:rPr>
              <w:t xml:space="preserve"> </w:t>
            </w:r>
            <w:r w:rsidRPr="000C156A">
              <w:rPr>
                <w:rFonts w:asciiTheme="minorHAnsi" w:hAnsiTheme="minorHAnsi" w:cstheme="minorHAnsi"/>
                <w:b/>
                <w:bCs/>
                <w:color w:val="000000"/>
                <w:sz w:val="20"/>
                <w:lang w:eastAsia="en-GB"/>
              </w:rPr>
              <w:t>478</w:t>
            </w:r>
          </w:p>
        </w:tc>
        <w:tc>
          <w:tcPr>
            <w:tcW w:w="604" w:type="pct"/>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26E99A27"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b/>
                <w:bCs/>
                <w:color w:val="000000"/>
                <w:sz w:val="20"/>
                <w:lang w:eastAsia="en-GB"/>
              </w:rPr>
            </w:pPr>
          </w:p>
        </w:tc>
        <w:tc>
          <w:tcPr>
            <w:tcW w:w="644" w:type="pct"/>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6ACB8788"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b/>
                <w:bCs/>
                <w:color w:val="000000"/>
                <w:sz w:val="20"/>
                <w:lang w:eastAsia="en-GB"/>
              </w:rPr>
            </w:pPr>
            <w:r w:rsidRPr="000C156A">
              <w:rPr>
                <w:rFonts w:asciiTheme="minorHAnsi" w:hAnsiTheme="minorHAnsi" w:cstheme="minorHAnsi"/>
                <w:b/>
                <w:bCs/>
                <w:color w:val="000000"/>
                <w:sz w:val="20"/>
                <w:lang w:eastAsia="en-GB"/>
              </w:rPr>
              <w:t>-</w:t>
            </w:r>
          </w:p>
        </w:tc>
        <w:tc>
          <w:tcPr>
            <w:tcW w:w="654" w:type="pct"/>
            <w:gridSpan w:val="2"/>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1D1B638B" w14:textId="04F3B5BA" w:rsidR="00686EC7" w:rsidRPr="000C156A" w:rsidRDefault="00686EC7" w:rsidP="00141BAA">
            <w:pPr>
              <w:overflowPunct/>
              <w:autoSpaceDE/>
              <w:autoSpaceDN/>
              <w:adjustRightInd/>
              <w:spacing w:before="0"/>
              <w:jc w:val="right"/>
              <w:textAlignment w:val="auto"/>
              <w:rPr>
                <w:rFonts w:asciiTheme="minorHAnsi" w:hAnsiTheme="minorHAnsi" w:cstheme="minorHAnsi"/>
                <w:b/>
                <w:bCs/>
                <w:color w:val="000000"/>
                <w:sz w:val="20"/>
                <w:lang w:eastAsia="en-GB"/>
              </w:rPr>
            </w:pPr>
            <w:r w:rsidRPr="000C156A">
              <w:rPr>
                <w:rFonts w:asciiTheme="minorHAnsi" w:hAnsiTheme="minorHAnsi" w:cstheme="minorHAnsi"/>
                <w:b/>
                <w:bCs/>
                <w:color w:val="000000"/>
                <w:sz w:val="20"/>
                <w:lang w:eastAsia="en-GB"/>
              </w:rPr>
              <w:t>165</w:t>
            </w:r>
            <w:r w:rsidR="00E870CB" w:rsidRPr="000C156A">
              <w:rPr>
                <w:rFonts w:asciiTheme="minorHAnsi" w:hAnsiTheme="minorHAnsi" w:cstheme="minorHAnsi"/>
                <w:b/>
                <w:bCs/>
                <w:color w:val="000000"/>
                <w:sz w:val="20"/>
                <w:lang w:eastAsia="en-GB"/>
              </w:rPr>
              <w:t xml:space="preserve"> </w:t>
            </w:r>
            <w:r w:rsidRPr="000C156A">
              <w:rPr>
                <w:rFonts w:asciiTheme="minorHAnsi" w:hAnsiTheme="minorHAnsi" w:cstheme="minorHAnsi"/>
                <w:b/>
                <w:bCs/>
                <w:color w:val="000000"/>
                <w:sz w:val="20"/>
                <w:lang w:eastAsia="en-GB"/>
              </w:rPr>
              <w:t>611</w:t>
            </w:r>
          </w:p>
        </w:tc>
        <w:tc>
          <w:tcPr>
            <w:tcW w:w="576" w:type="pct"/>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3EC69E24" w14:textId="3ED5232C" w:rsidR="00686EC7" w:rsidRPr="000C156A" w:rsidRDefault="00686EC7" w:rsidP="00141BAA">
            <w:pPr>
              <w:overflowPunct/>
              <w:autoSpaceDE/>
              <w:autoSpaceDN/>
              <w:adjustRightInd/>
              <w:spacing w:before="0"/>
              <w:jc w:val="right"/>
              <w:textAlignment w:val="auto"/>
              <w:rPr>
                <w:rFonts w:asciiTheme="minorHAnsi" w:hAnsiTheme="minorHAnsi" w:cstheme="minorHAnsi"/>
                <w:b/>
                <w:bCs/>
                <w:color w:val="000000"/>
                <w:sz w:val="20"/>
                <w:lang w:eastAsia="en-GB"/>
              </w:rPr>
            </w:pPr>
            <w:r w:rsidRPr="000C156A">
              <w:rPr>
                <w:rFonts w:asciiTheme="minorHAnsi" w:hAnsiTheme="minorHAnsi" w:cstheme="minorHAnsi"/>
                <w:b/>
                <w:bCs/>
                <w:color w:val="000000"/>
                <w:sz w:val="20"/>
                <w:lang w:eastAsia="en-GB"/>
              </w:rPr>
              <w:t>154</w:t>
            </w:r>
            <w:r w:rsidR="00E870CB" w:rsidRPr="000C156A">
              <w:rPr>
                <w:rFonts w:asciiTheme="minorHAnsi" w:hAnsiTheme="minorHAnsi" w:cstheme="minorHAnsi"/>
                <w:b/>
                <w:bCs/>
                <w:color w:val="000000"/>
                <w:sz w:val="20"/>
                <w:lang w:eastAsia="en-GB"/>
              </w:rPr>
              <w:t xml:space="preserve"> </w:t>
            </w:r>
            <w:r w:rsidRPr="000C156A">
              <w:rPr>
                <w:rFonts w:asciiTheme="minorHAnsi" w:hAnsiTheme="minorHAnsi" w:cstheme="minorHAnsi"/>
                <w:b/>
                <w:bCs/>
                <w:color w:val="000000"/>
                <w:sz w:val="20"/>
                <w:lang w:eastAsia="en-GB"/>
              </w:rPr>
              <w:t>918</w:t>
            </w:r>
          </w:p>
        </w:tc>
        <w:tc>
          <w:tcPr>
            <w:tcW w:w="621" w:type="pct"/>
            <w:gridSpan w:val="2"/>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64ADB254" w14:textId="5B7B8EDA" w:rsidR="00686EC7" w:rsidRPr="000C156A" w:rsidRDefault="00686EC7" w:rsidP="00141BAA">
            <w:pPr>
              <w:overflowPunct/>
              <w:autoSpaceDE/>
              <w:autoSpaceDN/>
              <w:adjustRightInd/>
              <w:spacing w:before="0"/>
              <w:jc w:val="right"/>
              <w:textAlignment w:val="auto"/>
              <w:rPr>
                <w:rFonts w:asciiTheme="minorHAnsi" w:hAnsiTheme="minorHAnsi" w:cstheme="minorHAnsi"/>
                <w:b/>
                <w:bCs/>
                <w:color w:val="000000"/>
                <w:sz w:val="20"/>
                <w:lang w:eastAsia="en-GB"/>
              </w:rPr>
            </w:pPr>
            <w:r w:rsidRPr="000C156A">
              <w:rPr>
                <w:rFonts w:asciiTheme="minorHAnsi" w:hAnsiTheme="minorHAnsi" w:cstheme="minorHAnsi"/>
                <w:b/>
                <w:bCs/>
                <w:color w:val="000000"/>
                <w:sz w:val="20"/>
                <w:lang w:eastAsia="en-GB"/>
              </w:rPr>
              <w:t>10</w:t>
            </w:r>
            <w:r w:rsidR="00E870CB" w:rsidRPr="000C156A">
              <w:rPr>
                <w:rFonts w:asciiTheme="minorHAnsi" w:hAnsiTheme="minorHAnsi" w:cstheme="minorHAnsi"/>
                <w:b/>
                <w:bCs/>
                <w:color w:val="000000"/>
                <w:sz w:val="20"/>
                <w:lang w:eastAsia="en-GB"/>
              </w:rPr>
              <w:t xml:space="preserve"> </w:t>
            </w:r>
            <w:r w:rsidRPr="000C156A">
              <w:rPr>
                <w:rFonts w:asciiTheme="minorHAnsi" w:hAnsiTheme="minorHAnsi" w:cstheme="minorHAnsi"/>
                <w:b/>
                <w:bCs/>
                <w:color w:val="000000"/>
                <w:sz w:val="20"/>
                <w:lang w:eastAsia="en-GB"/>
              </w:rPr>
              <w:t>693</w:t>
            </w:r>
          </w:p>
        </w:tc>
      </w:tr>
      <w:tr w:rsidR="00686EC7" w:rsidRPr="000C156A" w14:paraId="0E6F169E" w14:textId="77777777" w:rsidTr="00141BAA">
        <w:trPr>
          <w:trHeight w:val="300"/>
        </w:trPr>
        <w:tc>
          <w:tcPr>
            <w:tcW w:w="1198" w:type="pct"/>
            <w:tcBorders>
              <w:top w:val="nil"/>
              <w:left w:val="single" w:sz="4" w:space="0" w:color="auto"/>
              <w:bottom w:val="single" w:sz="4" w:space="0" w:color="auto"/>
              <w:right w:val="nil"/>
            </w:tcBorders>
            <w:shd w:val="clear" w:color="auto" w:fill="auto"/>
            <w:vAlign w:val="center"/>
            <w:hideMark/>
          </w:tcPr>
          <w:p w14:paraId="527D92D0" w14:textId="77777777" w:rsidR="00686EC7" w:rsidRPr="000C156A" w:rsidRDefault="00686EC7" w:rsidP="00141BAA">
            <w:pPr>
              <w:overflowPunct/>
              <w:adjustRightInd/>
              <w:spacing w:before="0"/>
              <w:textAlignment w:val="auto"/>
              <w:rPr>
                <w:rFonts w:cs="Calibri"/>
                <w:b/>
                <w:bCs/>
                <w:color w:val="000000"/>
                <w:sz w:val="20"/>
                <w:lang w:val="en-US" w:eastAsia="zh-CN"/>
              </w:rPr>
            </w:pPr>
            <w:r w:rsidRPr="000C156A">
              <w:rPr>
                <w:rFonts w:cs="Calibri" w:hint="eastAsia"/>
                <w:b/>
                <w:bCs/>
                <w:color w:val="000000"/>
                <w:sz w:val="20"/>
                <w:lang w:val="en-US" w:eastAsia="zh-CN"/>
              </w:rPr>
              <w:t>结果</w:t>
            </w:r>
          </w:p>
        </w:tc>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3676207C"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b/>
                <w:bCs/>
                <w:color w:val="000000"/>
                <w:sz w:val="20"/>
                <w:lang w:eastAsia="en-GB"/>
              </w:rPr>
            </w:pPr>
          </w:p>
        </w:tc>
        <w:tc>
          <w:tcPr>
            <w:tcW w:w="604" w:type="pct"/>
            <w:tcBorders>
              <w:top w:val="nil"/>
              <w:left w:val="nil"/>
              <w:bottom w:val="single" w:sz="4" w:space="0" w:color="auto"/>
              <w:right w:val="single" w:sz="4" w:space="0" w:color="auto"/>
            </w:tcBorders>
            <w:shd w:val="clear" w:color="auto" w:fill="auto"/>
            <w:noWrap/>
            <w:vAlign w:val="bottom"/>
            <w:hideMark/>
          </w:tcPr>
          <w:p w14:paraId="6CC9169A"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b/>
                <w:bCs/>
                <w:color w:val="000000"/>
                <w:sz w:val="20"/>
                <w:lang w:eastAsia="en-GB"/>
              </w:rPr>
            </w:pPr>
          </w:p>
        </w:tc>
        <w:tc>
          <w:tcPr>
            <w:tcW w:w="644" w:type="pct"/>
            <w:tcBorders>
              <w:top w:val="nil"/>
              <w:left w:val="nil"/>
              <w:bottom w:val="single" w:sz="4" w:space="0" w:color="auto"/>
              <w:right w:val="single" w:sz="4" w:space="0" w:color="auto"/>
            </w:tcBorders>
            <w:shd w:val="clear" w:color="auto" w:fill="auto"/>
            <w:noWrap/>
            <w:vAlign w:val="bottom"/>
            <w:hideMark/>
          </w:tcPr>
          <w:p w14:paraId="7974FED0"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b/>
                <w:bCs/>
                <w:color w:val="000000"/>
                <w:sz w:val="20"/>
                <w:lang w:eastAsia="en-GB"/>
              </w:rPr>
            </w:pPr>
          </w:p>
        </w:tc>
        <w:tc>
          <w:tcPr>
            <w:tcW w:w="654" w:type="pct"/>
            <w:gridSpan w:val="2"/>
            <w:tcBorders>
              <w:top w:val="nil"/>
              <w:left w:val="nil"/>
              <w:bottom w:val="single" w:sz="4" w:space="0" w:color="auto"/>
              <w:right w:val="single" w:sz="4" w:space="0" w:color="auto"/>
            </w:tcBorders>
            <w:shd w:val="clear" w:color="auto" w:fill="auto"/>
            <w:noWrap/>
            <w:vAlign w:val="bottom"/>
            <w:hideMark/>
          </w:tcPr>
          <w:p w14:paraId="18606EEC"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b/>
                <w:bCs/>
                <w:color w:val="000000"/>
                <w:sz w:val="20"/>
                <w:lang w:eastAsia="en-GB"/>
              </w:rPr>
            </w:pPr>
          </w:p>
        </w:tc>
        <w:tc>
          <w:tcPr>
            <w:tcW w:w="576" w:type="pct"/>
            <w:tcBorders>
              <w:top w:val="nil"/>
              <w:left w:val="nil"/>
              <w:bottom w:val="single" w:sz="4" w:space="0" w:color="auto"/>
              <w:right w:val="single" w:sz="4" w:space="0" w:color="auto"/>
            </w:tcBorders>
            <w:shd w:val="clear" w:color="auto" w:fill="auto"/>
            <w:noWrap/>
            <w:vAlign w:val="bottom"/>
            <w:hideMark/>
          </w:tcPr>
          <w:p w14:paraId="468C02DD" w14:textId="7E1B60D2" w:rsidR="00686EC7" w:rsidRPr="000C156A" w:rsidRDefault="00686EC7" w:rsidP="00141BAA">
            <w:pPr>
              <w:overflowPunct/>
              <w:autoSpaceDE/>
              <w:autoSpaceDN/>
              <w:adjustRightInd/>
              <w:spacing w:before="0"/>
              <w:jc w:val="right"/>
              <w:textAlignment w:val="auto"/>
              <w:rPr>
                <w:rFonts w:asciiTheme="minorHAnsi" w:hAnsiTheme="minorHAnsi" w:cstheme="minorHAnsi"/>
                <w:b/>
                <w:bCs/>
                <w:color w:val="000000"/>
                <w:sz w:val="20"/>
                <w:lang w:eastAsia="en-GB"/>
              </w:rPr>
            </w:pPr>
            <w:r w:rsidRPr="000C156A">
              <w:rPr>
                <w:rFonts w:asciiTheme="minorHAnsi" w:hAnsiTheme="minorHAnsi" w:cstheme="minorHAnsi"/>
                <w:b/>
                <w:bCs/>
                <w:color w:val="000000"/>
                <w:sz w:val="20"/>
                <w:lang w:eastAsia="en-GB"/>
              </w:rPr>
              <w:t>(1</w:t>
            </w:r>
            <w:r w:rsidR="00E870CB" w:rsidRPr="000C156A">
              <w:rPr>
                <w:rFonts w:asciiTheme="minorHAnsi" w:hAnsiTheme="minorHAnsi" w:cstheme="minorHAnsi"/>
                <w:b/>
                <w:bCs/>
                <w:color w:val="000000"/>
                <w:sz w:val="20"/>
                <w:lang w:eastAsia="en-GB"/>
              </w:rPr>
              <w:t xml:space="preserve"> </w:t>
            </w:r>
            <w:r w:rsidRPr="000C156A">
              <w:rPr>
                <w:rFonts w:asciiTheme="minorHAnsi" w:hAnsiTheme="minorHAnsi" w:cstheme="minorHAnsi"/>
                <w:b/>
                <w:bCs/>
                <w:color w:val="000000"/>
                <w:sz w:val="20"/>
                <w:lang w:eastAsia="en-GB"/>
              </w:rPr>
              <w:t>483)</w:t>
            </w:r>
          </w:p>
        </w:tc>
        <w:tc>
          <w:tcPr>
            <w:tcW w:w="621" w:type="pct"/>
            <w:gridSpan w:val="2"/>
            <w:tcBorders>
              <w:top w:val="nil"/>
              <w:left w:val="nil"/>
              <w:bottom w:val="single" w:sz="4" w:space="0" w:color="auto"/>
              <w:right w:val="single" w:sz="4" w:space="0" w:color="auto"/>
            </w:tcBorders>
            <w:shd w:val="clear" w:color="auto" w:fill="auto"/>
            <w:noWrap/>
            <w:vAlign w:val="bottom"/>
            <w:hideMark/>
          </w:tcPr>
          <w:p w14:paraId="0456BBCB" w14:textId="3CA532C3" w:rsidR="00686EC7" w:rsidRPr="000C156A" w:rsidRDefault="00686EC7" w:rsidP="00141BAA">
            <w:pPr>
              <w:overflowPunct/>
              <w:autoSpaceDE/>
              <w:autoSpaceDN/>
              <w:adjustRightInd/>
              <w:spacing w:before="0"/>
              <w:jc w:val="right"/>
              <w:textAlignment w:val="auto"/>
              <w:rPr>
                <w:rFonts w:asciiTheme="minorHAnsi" w:hAnsiTheme="minorHAnsi" w:cstheme="minorHAnsi"/>
                <w:b/>
                <w:bCs/>
                <w:color w:val="000000"/>
                <w:sz w:val="20"/>
                <w:lang w:eastAsia="en-GB"/>
              </w:rPr>
            </w:pPr>
            <w:r w:rsidRPr="000C156A">
              <w:rPr>
                <w:rFonts w:asciiTheme="minorHAnsi" w:hAnsiTheme="minorHAnsi" w:cstheme="minorHAnsi"/>
                <w:b/>
                <w:bCs/>
                <w:color w:val="000000"/>
                <w:sz w:val="20"/>
                <w:lang w:eastAsia="en-GB"/>
              </w:rPr>
              <w:t>(1</w:t>
            </w:r>
            <w:r w:rsidR="00E870CB" w:rsidRPr="000C156A">
              <w:rPr>
                <w:rFonts w:asciiTheme="minorHAnsi" w:hAnsiTheme="minorHAnsi" w:cstheme="minorHAnsi"/>
                <w:b/>
                <w:bCs/>
                <w:color w:val="000000"/>
                <w:sz w:val="20"/>
                <w:lang w:eastAsia="en-GB"/>
              </w:rPr>
              <w:t xml:space="preserve"> </w:t>
            </w:r>
            <w:r w:rsidRPr="000C156A">
              <w:rPr>
                <w:rFonts w:asciiTheme="minorHAnsi" w:hAnsiTheme="minorHAnsi" w:cstheme="minorHAnsi"/>
                <w:b/>
                <w:bCs/>
                <w:color w:val="000000"/>
                <w:sz w:val="20"/>
                <w:lang w:eastAsia="en-GB"/>
              </w:rPr>
              <w:t>483)</w:t>
            </w:r>
          </w:p>
        </w:tc>
      </w:tr>
    </w:tbl>
    <w:p w14:paraId="56C363E5" w14:textId="77777777" w:rsidR="00686EC7" w:rsidRPr="000C156A" w:rsidRDefault="00686EC7" w:rsidP="00686EC7">
      <w:pPr>
        <w:pStyle w:val="AnnexNo"/>
        <w:spacing w:before="120"/>
        <w:outlineLvl w:val="0"/>
        <w:rPr>
          <w:lang w:val="fr-CH"/>
        </w:rPr>
      </w:pPr>
      <w:r w:rsidRPr="000C156A">
        <w:rPr>
          <w:lang w:val="fr-CH"/>
        </w:rPr>
        <w:br w:type="page"/>
      </w:r>
      <w:bookmarkStart w:id="1188" w:name="_Toc511116024"/>
      <w:bookmarkStart w:id="1189" w:name="_Toc41908087"/>
      <w:bookmarkStart w:id="1190" w:name="_Toc73519303"/>
      <w:bookmarkStart w:id="1191" w:name="_Toc73636342"/>
      <w:r w:rsidRPr="000C156A">
        <w:rPr>
          <w:rFonts w:cs="Microsoft YaHei" w:hint="eastAsia"/>
          <w:lang w:val="fr-CH"/>
        </w:rPr>
        <w:lastRenderedPageBreak/>
        <w:t>附件</w:t>
      </w:r>
      <w:r w:rsidRPr="000C156A">
        <w:rPr>
          <w:lang w:val="fr-CH"/>
        </w:rPr>
        <w:t>B2</w:t>
      </w:r>
      <w:bookmarkEnd w:id="1188"/>
      <w:bookmarkEnd w:id="1189"/>
      <w:bookmarkEnd w:id="1190"/>
      <w:bookmarkEnd w:id="1191"/>
    </w:p>
    <w:p w14:paraId="20DC2062" w14:textId="77777777" w:rsidR="00686EC7" w:rsidRPr="000C156A" w:rsidRDefault="00686EC7" w:rsidP="002720E5">
      <w:pPr>
        <w:pStyle w:val="Annextitle"/>
        <w:rPr>
          <w:bCs/>
          <w:szCs w:val="28"/>
          <w:lang w:val="en-US"/>
        </w:rPr>
      </w:pPr>
      <w:r w:rsidRPr="000C156A">
        <w:rPr>
          <w:rFonts w:hint="eastAsia"/>
          <w:bCs/>
          <w:szCs w:val="28"/>
          <w:lang w:val="en-US" w:eastAsia="zh-CN"/>
        </w:rPr>
        <w:t>总部新办公楼</w:t>
      </w:r>
    </w:p>
    <w:tbl>
      <w:tblPr>
        <w:tblW w:w="5000" w:type="pct"/>
        <w:tblLook w:val="04A0" w:firstRow="1" w:lastRow="0" w:firstColumn="1" w:lastColumn="0" w:noHBand="0" w:noVBand="1"/>
      </w:tblPr>
      <w:tblGrid>
        <w:gridCol w:w="6443"/>
        <w:gridCol w:w="1593"/>
        <w:gridCol w:w="1593"/>
      </w:tblGrid>
      <w:tr w:rsidR="00686EC7" w:rsidRPr="000C156A" w14:paraId="78EACD1C" w14:textId="77777777" w:rsidTr="00141BAA">
        <w:trPr>
          <w:trHeight w:val="255"/>
        </w:trPr>
        <w:tc>
          <w:tcPr>
            <w:tcW w:w="3346" w:type="pct"/>
            <w:tcBorders>
              <w:top w:val="single" w:sz="4" w:space="0" w:color="auto"/>
              <w:left w:val="single" w:sz="4" w:space="0" w:color="auto"/>
              <w:bottom w:val="single" w:sz="4" w:space="0" w:color="auto"/>
              <w:right w:val="nil"/>
            </w:tcBorders>
            <w:shd w:val="clear" w:color="auto" w:fill="auto"/>
            <w:noWrap/>
            <w:vAlign w:val="bottom"/>
            <w:hideMark/>
          </w:tcPr>
          <w:p w14:paraId="37D3216D" w14:textId="77777777" w:rsidR="00686EC7" w:rsidRPr="000C156A" w:rsidRDefault="00686EC7" w:rsidP="00141BAA">
            <w:pPr>
              <w:overflowPunct/>
              <w:autoSpaceDE/>
              <w:autoSpaceDN/>
              <w:adjustRightInd/>
              <w:spacing w:before="0"/>
              <w:textAlignment w:val="auto"/>
              <w:rPr>
                <w:rFonts w:cs="Calibri"/>
                <w:sz w:val="22"/>
                <w:szCs w:val="22"/>
                <w:lang w:eastAsia="en-GB"/>
              </w:rPr>
            </w:pPr>
            <w:bookmarkStart w:id="1192" w:name="_Toc511116025"/>
            <w:r w:rsidRPr="000C156A">
              <w:rPr>
                <w:rFonts w:cs="Arial" w:hint="eastAsia"/>
                <w:sz w:val="22"/>
                <w:szCs w:val="22"/>
                <w:lang w:val="en-US" w:eastAsia="zh-CN"/>
              </w:rPr>
              <w:t>（单位：千瑞郎）</w:t>
            </w:r>
          </w:p>
        </w:tc>
        <w:tc>
          <w:tcPr>
            <w:tcW w:w="827" w:type="pct"/>
            <w:tcBorders>
              <w:top w:val="single" w:sz="4" w:space="0" w:color="auto"/>
              <w:left w:val="single" w:sz="4" w:space="0" w:color="auto"/>
              <w:bottom w:val="single" w:sz="4" w:space="0" w:color="auto"/>
              <w:right w:val="single" w:sz="4" w:space="0" w:color="auto"/>
            </w:tcBorders>
            <w:shd w:val="clear" w:color="auto" w:fill="auto"/>
            <w:hideMark/>
          </w:tcPr>
          <w:p w14:paraId="39B61390" w14:textId="77777777" w:rsidR="00686EC7" w:rsidRPr="000C156A" w:rsidRDefault="00686EC7" w:rsidP="00141BAA">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31/12/2020</w:t>
            </w:r>
          </w:p>
        </w:tc>
        <w:tc>
          <w:tcPr>
            <w:tcW w:w="827" w:type="pct"/>
            <w:tcBorders>
              <w:top w:val="single" w:sz="4" w:space="0" w:color="auto"/>
              <w:left w:val="nil"/>
              <w:bottom w:val="single" w:sz="4" w:space="0" w:color="auto"/>
              <w:right w:val="single" w:sz="4" w:space="0" w:color="auto"/>
            </w:tcBorders>
            <w:shd w:val="clear" w:color="auto" w:fill="auto"/>
            <w:hideMark/>
          </w:tcPr>
          <w:p w14:paraId="1919414C" w14:textId="77777777" w:rsidR="00686EC7" w:rsidRPr="000C156A" w:rsidRDefault="00686EC7" w:rsidP="00141BAA">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31/12/201</w:t>
            </w:r>
            <w:r w:rsidRPr="000C156A">
              <w:rPr>
                <w:rFonts w:cs="Calibri" w:hint="eastAsia"/>
                <w:b/>
                <w:bCs/>
                <w:color w:val="000000"/>
                <w:sz w:val="22"/>
                <w:szCs w:val="22"/>
                <w:lang w:eastAsia="zh-CN"/>
              </w:rPr>
              <w:t>9</w:t>
            </w:r>
          </w:p>
        </w:tc>
      </w:tr>
      <w:tr w:rsidR="00686EC7" w:rsidRPr="000C156A" w14:paraId="09FF2BE8" w14:textId="77777777" w:rsidTr="00141BAA">
        <w:trPr>
          <w:trHeight w:val="255"/>
        </w:trPr>
        <w:tc>
          <w:tcPr>
            <w:tcW w:w="3346" w:type="pct"/>
            <w:tcBorders>
              <w:top w:val="nil"/>
              <w:left w:val="single" w:sz="4" w:space="0" w:color="auto"/>
              <w:bottom w:val="nil"/>
              <w:right w:val="nil"/>
            </w:tcBorders>
            <w:shd w:val="clear" w:color="auto" w:fill="auto"/>
            <w:hideMark/>
          </w:tcPr>
          <w:p w14:paraId="62CB9678" w14:textId="77777777" w:rsidR="00686EC7" w:rsidRPr="000C156A" w:rsidRDefault="00686EC7" w:rsidP="00141BAA">
            <w:pPr>
              <w:overflowPunct/>
              <w:autoSpaceDE/>
              <w:autoSpaceDN/>
              <w:adjustRightInd/>
              <w:spacing w:before="0"/>
              <w:textAlignment w:val="auto"/>
              <w:rPr>
                <w:rFonts w:cs="Calibri"/>
                <w:b/>
                <w:bCs/>
                <w:color w:val="000000"/>
                <w:sz w:val="22"/>
                <w:szCs w:val="22"/>
                <w:lang w:eastAsia="en-GB"/>
              </w:rPr>
            </w:pPr>
            <w:r w:rsidRPr="000C156A">
              <w:rPr>
                <w:rFonts w:cs="Arial" w:hint="eastAsia"/>
                <w:b/>
                <w:bCs/>
                <w:color w:val="000000"/>
                <w:sz w:val="22"/>
                <w:szCs w:val="22"/>
                <w:lang w:val="en-US" w:eastAsia="zh-CN"/>
              </w:rPr>
              <w:t>收入</w:t>
            </w:r>
          </w:p>
        </w:tc>
        <w:tc>
          <w:tcPr>
            <w:tcW w:w="827" w:type="pct"/>
            <w:tcBorders>
              <w:top w:val="nil"/>
              <w:left w:val="single" w:sz="4" w:space="0" w:color="auto"/>
              <w:bottom w:val="nil"/>
              <w:right w:val="single" w:sz="4" w:space="0" w:color="auto"/>
            </w:tcBorders>
            <w:shd w:val="clear" w:color="auto" w:fill="auto"/>
            <w:hideMark/>
          </w:tcPr>
          <w:p w14:paraId="375857A1"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b/>
                <w:bCs/>
                <w:color w:val="000000"/>
                <w:sz w:val="22"/>
                <w:szCs w:val="22"/>
                <w:lang w:eastAsia="en-GB"/>
              </w:rPr>
            </w:pPr>
          </w:p>
        </w:tc>
        <w:tc>
          <w:tcPr>
            <w:tcW w:w="827" w:type="pct"/>
            <w:tcBorders>
              <w:top w:val="nil"/>
              <w:left w:val="nil"/>
              <w:bottom w:val="nil"/>
              <w:right w:val="single" w:sz="4" w:space="0" w:color="auto"/>
            </w:tcBorders>
            <w:shd w:val="clear" w:color="auto" w:fill="auto"/>
            <w:hideMark/>
          </w:tcPr>
          <w:p w14:paraId="532693C1"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b/>
                <w:bCs/>
                <w:color w:val="000000"/>
                <w:sz w:val="22"/>
                <w:szCs w:val="22"/>
                <w:lang w:eastAsia="en-GB"/>
              </w:rPr>
            </w:pPr>
          </w:p>
        </w:tc>
      </w:tr>
      <w:tr w:rsidR="00686EC7" w:rsidRPr="000C156A" w14:paraId="107266BD" w14:textId="77777777" w:rsidTr="00141BAA">
        <w:trPr>
          <w:trHeight w:val="255"/>
        </w:trPr>
        <w:tc>
          <w:tcPr>
            <w:tcW w:w="3346" w:type="pct"/>
            <w:tcBorders>
              <w:top w:val="nil"/>
              <w:left w:val="single" w:sz="4" w:space="0" w:color="auto"/>
              <w:bottom w:val="nil"/>
              <w:right w:val="nil"/>
            </w:tcBorders>
            <w:shd w:val="clear" w:color="auto" w:fill="auto"/>
            <w:hideMark/>
          </w:tcPr>
          <w:p w14:paraId="1D442020" w14:textId="77777777" w:rsidR="00686EC7" w:rsidRPr="000C156A" w:rsidRDefault="00686EC7" w:rsidP="00141BAA">
            <w:pPr>
              <w:overflowPunct/>
              <w:autoSpaceDE/>
              <w:autoSpaceDN/>
              <w:adjustRightInd/>
              <w:spacing w:before="0"/>
              <w:textAlignment w:val="auto"/>
              <w:rPr>
                <w:rFonts w:asciiTheme="minorHAnsi" w:hAnsiTheme="minorHAnsi"/>
                <w:sz w:val="22"/>
                <w:szCs w:val="22"/>
              </w:rPr>
            </w:pPr>
            <w:r w:rsidRPr="000C156A">
              <w:rPr>
                <w:rFonts w:asciiTheme="minorHAnsi" w:hAnsiTheme="minorHAnsi" w:cstheme="minorHAnsi" w:hint="eastAsia"/>
                <w:sz w:val="22"/>
                <w:szCs w:val="22"/>
                <w:lang w:eastAsia="zh-CN"/>
              </w:rPr>
              <w:t>捐赠</w:t>
            </w:r>
            <w:r w:rsidRPr="000C156A">
              <w:rPr>
                <w:rFonts w:asciiTheme="minorHAnsi" w:hAnsiTheme="minorHAnsi" w:cstheme="minorHAnsi" w:hint="eastAsia"/>
                <w:sz w:val="22"/>
                <w:szCs w:val="22"/>
                <w:lang w:eastAsia="zh-CN"/>
              </w:rPr>
              <w:t>/</w:t>
            </w:r>
            <w:r w:rsidRPr="000C156A">
              <w:rPr>
                <w:rFonts w:asciiTheme="minorHAnsi" w:hAnsiTheme="minorHAnsi" w:cstheme="minorHAnsi" w:hint="eastAsia"/>
                <w:sz w:val="22"/>
                <w:szCs w:val="22"/>
                <w:lang w:eastAsia="zh-CN"/>
              </w:rPr>
              <w:t>赞助方</w:t>
            </w:r>
          </w:p>
        </w:tc>
        <w:tc>
          <w:tcPr>
            <w:tcW w:w="827" w:type="pct"/>
            <w:tcBorders>
              <w:top w:val="nil"/>
              <w:left w:val="single" w:sz="4" w:space="0" w:color="auto"/>
              <w:bottom w:val="nil"/>
              <w:right w:val="single" w:sz="4" w:space="0" w:color="auto"/>
            </w:tcBorders>
            <w:shd w:val="clear" w:color="auto" w:fill="auto"/>
            <w:vAlign w:val="bottom"/>
            <w:hideMark/>
          </w:tcPr>
          <w:p w14:paraId="599131FB" w14:textId="538B5E72" w:rsidR="00686EC7" w:rsidRPr="000C156A" w:rsidRDefault="00686EC7" w:rsidP="00CF3BE7">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0C156A">
              <w:rPr>
                <w:rFonts w:asciiTheme="minorHAnsi" w:hAnsiTheme="minorHAnsi" w:cstheme="minorHAnsi"/>
                <w:color w:val="000000"/>
                <w:sz w:val="22"/>
                <w:szCs w:val="22"/>
                <w:lang w:eastAsia="en-GB"/>
              </w:rPr>
              <w:t>10</w:t>
            </w:r>
            <w:r w:rsidR="00CF3BE7" w:rsidRPr="000C156A">
              <w:rPr>
                <w:rFonts w:asciiTheme="minorHAnsi" w:hAnsiTheme="minorHAnsi" w:cstheme="minorHAnsi"/>
                <w:color w:val="000000"/>
                <w:sz w:val="22"/>
                <w:szCs w:val="22"/>
                <w:lang w:eastAsia="en-GB"/>
              </w:rPr>
              <w:t xml:space="preserve"> </w:t>
            </w:r>
            <w:r w:rsidRPr="000C156A">
              <w:rPr>
                <w:rFonts w:asciiTheme="minorHAnsi" w:hAnsiTheme="minorHAnsi" w:cstheme="minorHAnsi"/>
                <w:color w:val="000000"/>
                <w:sz w:val="22"/>
                <w:szCs w:val="22"/>
                <w:lang w:eastAsia="en-GB"/>
              </w:rPr>
              <w:t>000</w:t>
            </w:r>
          </w:p>
        </w:tc>
        <w:tc>
          <w:tcPr>
            <w:tcW w:w="827" w:type="pct"/>
            <w:tcBorders>
              <w:top w:val="nil"/>
              <w:left w:val="nil"/>
              <w:bottom w:val="nil"/>
              <w:right w:val="single" w:sz="4" w:space="0" w:color="auto"/>
            </w:tcBorders>
            <w:shd w:val="clear" w:color="auto" w:fill="auto"/>
            <w:vAlign w:val="bottom"/>
            <w:hideMark/>
          </w:tcPr>
          <w:p w14:paraId="32375987"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0C156A">
              <w:rPr>
                <w:rFonts w:asciiTheme="minorHAnsi" w:hAnsiTheme="minorHAnsi" w:cstheme="minorHAnsi"/>
                <w:color w:val="000000"/>
                <w:sz w:val="22"/>
                <w:szCs w:val="22"/>
                <w:lang w:eastAsia="en-GB"/>
              </w:rPr>
              <w:t>-</w:t>
            </w:r>
          </w:p>
        </w:tc>
      </w:tr>
      <w:tr w:rsidR="00686EC7" w:rsidRPr="000C156A" w14:paraId="5D3358B5" w14:textId="77777777" w:rsidTr="00141BAA">
        <w:trPr>
          <w:trHeight w:val="255"/>
        </w:trPr>
        <w:tc>
          <w:tcPr>
            <w:tcW w:w="3346" w:type="pct"/>
            <w:tcBorders>
              <w:top w:val="nil"/>
              <w:left w:val="single" w:sz="4" w:space="0" w:color="auto"/>
              <w:bottom w:val="nil"/>
              <w:right w:val="nil"/>
            </w:tcBorders>
            <w:shd w:val="clear" w:color="auto" w:fill="auto"/>
            <w:hideMark/>
          </w:tcPr>
          <w:p w14:paraId="0FDC1A35"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Arial" w:hint="eastAsia"/>
                <w:sz w:val="22"/>
                <w:szCs w:val="22"/>
                <w:lang w:val="en-US" w:eastAsia="zh-CN"/>
              </w:rPr>
              <w:t>财务收入</w:t>
            </w:r>
          </w:p>
        </w:tc>
        <w:tc>
          <w:tcPr>
            <w:tcW w:w="827" w:type="pct"/>
            <w:tcBorders>
              <w:top w:val="nil"/>
              <w:left w:val="single" w:sz="4" w:space="0" w:color="auto"/>
              <w:bottom w:val="nil"/>
              <w:right w:val="single" w:sz="4" w:space="0" w:color="auto"/>
            </w:tcBorders>
            <w:shd w:val="clear" w:color="auto" w:fill="auto"/>
            <w:noWrap/>
            <w:vAlign w:val="bottom"/>
            <w:hideMark/>
          </w:tcPr>
          <w:p w14:paraId="09E629EA"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0C156A">
              <w:rPr>
                <w:rFonts w:asciiTheme="minorHAnsi" w:hAnsiTheme="minorHAnsi" w:cstheme="minorHAnsi"/>
                <w:color w:val="000000"/>
                <w:sz w:val="22"/>
                <w:szCs w:val="22"/>
                <w:lang w:eastAsia="en-GB"/>
              </w:rPr>
              <w:t>11</w:t>
            </w:r>
          </w:p>
        </w:tc>
        <w:tc>
          <w:tcPr>
            <w:tcW w:w="827" w:type="pct"/>
            <w:tcBorders>
              <w:top w:val="nil"/>
              <w:left w:val="nil"/>
              <w:bottom w:val="nil"/>
              <w:right w:val="single" w:sz="4" w:space="0" w:color="auto"/>
            </w:tcBorders>
            <w:shd w:val="clear" w:color="auto" w:fill="auto"/>
            <w:noWrap/>
            <w:vAlign w:val="bottom"/>
            <w:hideMark/>
          </w:tcPr>
          <w:p w14:paraId="5DE2B47F"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p>
        </w:tc>
      </w:tr>
      <w:tr w:rsidR="00686EC7" w:rsidRPr="000C156A" w14:paraId="7DAA580B" w14:textId="77777777" w:rsidTr="00141BAA">
        <w:trPr>
          <w:trHeight w:val="255"/>
        </w:trPr>
        <w:tc>
          <w:tcPr>
            <w:tcW w:w="3346" w:type="pct"/>
            <w:tcBorders>
              <w:top w:val="single" w:sz="4" w:space="0" w:color="auto"/>
              <w:left w:val="single" w:sz="4" w:space="0" w:color="auto"/>
              <w:bottom w:val="single" w:sz="4" w:space="0" w:color="auto"/>
              <w:right w:val="nil"/>
            </w:tcBorders>
            <w:shd w:val="clear" w:color="000000" w:fill="C5D9F1"/>
            <w:noWrap/>
            <w:vAlign w:val="center"/>
            <w:hideMark/>
          </w:tcPr>
          <w:p w14:paraId="15DEF92A" w14:textId="77777777" w:rsidR="00686EC7" w:rsidRPr="000C156A" w:rsidRDefault="00686EC7" w:rsidP="00141BAA">
            <w:pPr>
              <w:overflowPunct/>
              <w:autoSpaceDE/>
              <w:autoSpaceDN/>
              <w:adjustRightInd/>
              <w:spacing w:before="0"/>
              <w:textAlignment w:val="auto"/>
              <w:rPr>
                <w:rFonts w:cs="Calibri"/>
                <w:b/>
                <w:bCs/>
                <w:color w:val="000000"/>
                <w:sz w:val="22"/>
                <w:szCs w:val="22"/>
                <w:lang w:eastAsia="en-GB"/>
              </w:rPr>
            </w:pPr>
            <w:r w:rsidRPr="000C156A">
              <w:rPr>
                <w:rFonts w:cs="Arial" w:hint="eastAsia"/>
                <w:b/>
                <w:bCs/>
                <w:color w:val="000000"/>
                <w:sz w:val="22"/>
                <w:szCs w:val="22"/>
                <w:lang w:val="en-US" w:eastAsia="zh-CN"/>
              </w:rPr>
              <w:t>总支出</w:t>
            </w:r>
          </w:p>
        </w:tc>
        <w:tc>
          <w:tcPr>
            <w:tcW w:w="827"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60978D5" w14:textId="19DE1BC6" w:rsidR="00686EC7" w:rsidRPr="000C156A" w:rsidRDefault="00686EC7" w:rsidP="00CF3BE7">
            <w:pPr>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0C156A">
              <w:rPr>
                <w:rFonts w:asciiTheme="minorHAnsi" w:hAnsiTheme="minorHAnsi" w:cstheme="minorHAnsi"/>
                <w:b/>
                <w:bCs/>
                <w:color w:val="000000"/>
                <w:sz w:val="22"/>
                <w:szCs w:val="22"/>
                <w:lang w:eastAsia="en-GB"/>
              </w:rPr>
              <w:t>10</w:t>
            </w:r>
            <w:r w:rsidR="00CF3BE7"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011</w:t>
            </w:r>
          </w:p>
        </w:tc>
        <w:tc>
          <w:tcPr>
            <w:tcW w:w="827" w:type="pct"/>
            <w:tcBorders>
              <w:top w:val="single" w:sz="4" w:space="0" w:color="auto"/>
              <w:left w:val="nil"/>
              <w:bottom w:val="single" w:sz="4" w:space="0" w:color="auto"/>
              <w:right w:val="single" w:sz="4" w:space="0" w:color="auto"/>
            </w:tcBorders>
            <w:shd w:val="clear" w:color="000000" w:fill="C5D9F1"/>
            <w:noWrap/>
            <w:vAlign w:val="center"/>
            <w:hideMark/>
          </w:tcPr>
          <w:p w14:paraId="546D3C2C"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0C156A">
              <w:rPr>
                <w:rFonts w:asciiTheme="minorHAnsi" w:hAnsiTheme="minorHAnsi" w:cstheme="minorHAnsi"/>
                <w:b/>
                <w:bCs/>
                <w:color w:val="000000"/>
                <w:sz w:val="22"/>
                <w:szCs w:val="22"/>
                <w:lang w:eastAsia="en-GB"/>
              </w:rPr>
              <w:t>-</w:t>
            </w:r>
          </w:p>
        </w:tc>
      </w:tr>
      <w:tr w:rsidR="00686EC7" w:rsidRPr="000C156A" w14:paraId="32F7201C" w14:textId="77777777" w:rsidTr="00141BAA">
        <w:trPr>
          <w:trHeight w:val="315"/>
        </w:trPr>
        <w:tc>
          <w:tcPr>
            <w:tcW w:w="3346" w:type="pct"/>
            <w:tcBorders>
              <w:top w:val="nil"/>
              <w:left w:val="single" w:sz="4" w:space="0" w:color="auto"/>
              <w:bottom w:val="nil"/>
              <w:right w:val="nil"/>
            </w:tcBorders>
            <w:shd w:val="clear" w:color="auto" w:fill="auto"/>
            <w:noWrap/>
            <w:vAlign w:val="center"/>
            <w:hideMark/>
          </w:tcPr>
          <w:p w14:paraId="0B00AC10" w14:textId="77777777" w:rsidR="00686EC7" w:rsidRPr="000C156A" w:rsidRDefault="00686EC7" w:rsidP="00141BAA">
            <w:pPr>
              <w:overflowPunct/>
              <w:autoSpaceDE/>
              <w:autoSpaceDN/>
              <w:adjustRightInd/>
              <w:spacing w:before="0"/>
              <w:textAlignment w:val="auto"/>
              <w:rPr>
                <w:rFonts w:cs="Calibri"/>
                <w:b/>
                <w:bCs/>
                <w:color w:val="000000"/>
                <w:sz w:val="22"/>
                <w:szCs w:val="22"/>
                <w:lang w:eastAsia="en-GB"/>
              </w:rPr>
            </w:pPr>
            <w:r w:rsidRPr="000C156A">
              <w:rPr>
                <w:rFonts w:cs="Arial" w:hint="eastAsia"/>
                <w:b/>
                <w:bCs/>
                <w:color w:val="000000"/>
                <w:sz w:val="22"/>
                <w:szCs w:val="22"/>
                <w:lang w:val="en-US" w:eastAsia="zh-CN"/>
              </w:rPr>
              <w:t>当期盈余</w:t>
            </w:r>
            <w:r w:rsidRPr="000C156A">
              <w:rPr>
                <w:rFonts w:cs="Arial" w:hint="eastAsia"/>
                <w:b/>
                <w:bCs/>
                <w:color w:val="000000"/>
                <w:sz w:val="22"/>
                <w:szCs w:val="22"/>
                <w:lang w:val="en-US" w:eastAsia="zh-CN"/>
              </w:rPr>
              <w:t>/</w:t>
            </w:r>
            <w:r w:rsidRPr="000C156A">
              <w:rPr>
                <w:rFonts w:cs="Arial" w:hint="eastAsia"/>
                <w:b/>
                <w:bCs/>
                <w:color w:val="000000"/>
                <w:sz w:val="22"/>
                <w:szCs w:val="22"/>
                <w:lang w:val="en-US" w:eastAsia="zh-CN"/>
              </w:rPr>
              <w:t>亏损</w:t>
            </w:r>
          </w:p>
        </w:tc>
        <w:tc>
          <w:tcPr>
            <w:tcW w:w="827" w:type="pct"/>
            <w:tcBorders>
              <w:top w:val="nil"/>
              <w:left w:val="single" w:sz="4" w:space="0" w:color="auto"/>
              <w:bottom w:val="nil"/>
              <w:right w:val="single" w:sz="4" w:space="0" w:color="auto"/>
            </w:tcBorders>
            <w:shd w:val="clear" w:color="auto" w:fill="auto"/>
            <w:hideMark/>
          </w:tcPr>
          <w:p w14:paraId="33D5A446"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p>
        </w:tc>
        <w:tc>
          <w:tcPr>
            <w:tcW w:w="827" w:type="pct"/>
            <w:tcBorders>
              <w:top w:val="nil"/>
              <w:left w:val="nil"/>
              <w:bottom w:val="nil"/>
              <w:right w:val="single" w:sz="4" w:space="0" w:color="auto"/>
            </w:tcBorders>
            <w:shd w:val="clear" w:color="auto" w:fill="auto"/>
            <w:hideMark/>
          </w:tcPr>
          <w:p w14:paraId="260BEFB1"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p>
        </w:tc>
      </w:tr>
      <w:tr w:rsidR="00686EC7" w:rsidRPr="000C156A" w14:paraId="74A2DB5C" w14:textId="77777777" w:rsidTr="00141BAA">
        <w:trPr>
          <w:trHeight w:val="255"/>
        </w:trPr>
        <w:tc>
          <w:tcPr>
            <w:tcW w:w="3346" w:type="pct"/>
            <w:tcBorders>
              <w:top w:val="nil"/>
              <w:left w:val="single" w:sz="4" w:space="0" w:color="auto"/>
              <w:bottom w:val="nil"/>
              <w:right w:val="nil"/>
            </w:tcBorders>
            <w:shd w:val="clear" w:color="auto" w:fill="auto"/>
            <w:noWrap/>
            <w:vAlign w:val="bottom"/>
            <w:hideMark/>
          </w:tcPr>
          <w:p w14:paraId="4D979E99"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Arial" w:hint="eastAsia"/>
                <w:sz w:val="22"/>
                <w:szCs w:val="22"/>
                <w:lang w:val="en-US" w:eastAsia="zh-CN"/>
              </w:rPr>
              <w:t>人员支出</w:t>
            </w:r>
          </w:p>
        </w:tc>
        <w:tc>
          <w:tcPr>
            <w:tcW w:w="827" w:type="pct"/>
            <w:tcBorders>
              <w:top w:val="nil"/>
              <w:left w:val="single" w:sz="4" w:space="0" w:color="auto"/>
              <w:bottom w:val="nil"/>
              <w:right w:val="single" w:sz="4" w:space="0" w:color="auto"/>
            </w:tcBorders>
            <w:shd w:val="clear" w:color="auto" w:fill="auto"/>
            <w:vAlign w:val="bottom"/>
            <w:hideMark/>
          </w:tcPr>
          <w:p w14:paraId="4CAC37E9"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0C156A">
              <w:rPr>
                <w:rFonts w:asciiTheme="minorHAnsi" w:hAnsiTheme="minorHAnsi" w:cstheme="minorHAnsi"/>
                <w:color w:val="000000"/>
                <w:sz w:val="22"/>
                <w:szCs w:val="22"/>
                <w:lang w:eastAsia="en-GB"/>
              </w:rPr>
              <w:t>-</w:t>
            </w:r>
          </w:p>
        </w:tc>
        <w:tc>
          <w:tcPr>
            <w:tcW w:w="827" w:type="pct"/>
            <w:tcBorders>
              <w:top w:val="nil"/>
              <w:left w:val="nil"/>
              <w:bottom w:val="nil"/>
              <w:right w:val="single" w:sz="4" w:space="0" w:color="auto"/>
            </w:tcBorders>
            <w:shd w:val="clear" w:color="auto" w:fill="auto"/>
            <w:vAlign w:val="bottom"/>
            <w:hideMark/>
          </w:tcPr>
          <w:p w14:paraId="05E9C7CE"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0C156A">
              <w:rPr>
                <w:rFonts w:asciiTheme="minorHAnsi" w:hAnsiTheme="minorHAnsi" w:cstheme="minorHAnsi"/>
                <w:color w:val="000000"/>
                <w:sz w:val="22"/>
                <w:szCs w:val="22"/>
                <w:lang w:eastAsia="en-GB"/>
              </w:rPr>
              <w:t>-</w:t>
            </w:r>
          </w:p>
        </w:tc>
      </w:tr>
      <w:tr w:rsidR="00686EC7" w:rsidRPr="000C156A" w14:paraId="06004D6C" w14:textId="77777777" w:rsidTr="00141BAA">
        <w:trPr>
          <w:trHeight w:val="255"/>
        </w:trPr>
        <w:tc>
          <w:tcPr>
            <w:tcW w:w="3346" w:type="pct"/>
            <w:tcBorders>
              <w:top w:val="nil"/>
              <w:left w:val="single" w:sz="4" w:space="0" w:color="auto"/>
              <w:bottom w:val="nil"/>
              <w:right w:val="nil"/>
            </w:tcBorders>
            <w:shd w:val="clear" w:color="auto" w:fill="auto"/>
            <w:hideMark/>
          </w:tcPr>
          <w:p w14:paraId="26C65B19"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Arial" w:hint="eastAsia"/>
                <w:sz w:val="22"/>
                <w:szCs w:val="22"/>
                <w:lang w:val="en-US" w:eastAsia="zh-CN"/>
              </w:rPr>
              <w:t>出差费用</w:t>
            </w:r>
          </w:p>
        </w:tc>
        <w:tc>
          <w:tcPr>
            <w:tcW w:w="827" w:type="pct"/>
            <w:tcBorders>
              <w:top w:val="nil"/>
              <w:left w:val="single" w:sz="4" w:space="0" w:color="auto"/>
              <w:bottom w:val="nil"/>
              <w:right w:val="single" w:sz="4" w:space="0" w:color="auto"/>
            </w:tcBorders>
            <w:shd w:val="clear" w:color="auto" w:fill="auto"/>
            <w:vAlign w:val="bottom"/>
            <w:hideMark/>
          </w:tcPr>
          <w:p w14:paraId="22A19F88"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0C156A">
              <w:rPr>
                <w:rFonts w:asciiTheme="minorHAnsi" w:hAnsiTheme="minorHAnsi" w:cstheme="minorHAnsi"/>
                <w:color w:val="000000"/>
                <w:sz w:val="22"/>
                <w:szCs w:val="22"/>
                <w:lang w:eastAsia="en-GB"/>
              </w:rPr>
              <w:t>-</w:t>
            </w:r>
          </w:p>
        </w:tc>
        <w:tc>
          <w:tcPr>
            <w:tcW w:w="827" w:type="pct"/>
            <w:tcBorders>
              <w:top w:val="nil"/>
              <w:left w:val="nil"/>
              <w:bottom w:val="nil"/>
              <w:right w:val="single" w:sz="4" w:space="0" w:color="auto"/>
            </w:tcBorders>
            <w:shd w:val="clear" w:color="auto" w:fill="auto"/>
            <w:vAlign w:val="bottom"/>
            <w:hideMark/>
          </w:tcPr>
          <w:p w14:paraId="2D71E8E4"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0C156A">
              <w:rPr>
                <w:rFonts w:asciiTheme="minorHAnsi" w:hAnsiTheme="minorHAnsi" w:cstheme="minorHAnsi"/>
                <w:color w:val="000000"/>
                <w:sz w:val="22"/>
                <w:szCs w:val="22"/>
                <w:lang w:eastAsia="en-GB"/>
              </w:rPr>
              <w:t>-</w:t>
            </w:r>
          </w:p>
        </w:tc>
      </w:tr>
      <w:tr w:rsidR="00686EC7" w:rsidRPr="000C156A" w14:paraId="5A941CFE" w14:textId="77777777" w:rsidTr="00141BAA">
        <w:trPr>
          <w:trHeight w:val="255"/>
        </w:trPr>
        <w:tc>
          <w:tcPr>
            <w:tcW w:w="3346" w:type="pct"/>
            <w:tcBorders>
              <w:top w:val="nil"/>
              <w:left w:val="single" w:sz="4" w:space="0" w:color="auto"/>
              <w:bottom w:val="nil"/>
              <w:right w:val="nil"/>
            </w:tcBorders>
            <w:shd w:val="clear" w:color="auto" w:fill="auto"/>
            <w:hideMark/>
          </w:tcPr>
          <w:p w14:paraId="54A6CC80"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Arial" w:hint="eastAsia"/>
                <w:sz w:val="22"/>
                <w:szCs w:val="22"/>
                <w:lang w:val="en-US" w:eastAsia="zh-CN"/>
              </w:rPr>
              <w:t>合同服务</w:t>
            </w:r>
          </w:p>
        </w:tc>
        <w:tc>
          <w:tcPr>
            <w:tcW w:w="827" w:type="pct"/>
            <w:tcBorders>
              <w:top w:val="nil"/>
              <w:left w:val="single" w:sz="4" w:space="0" w:color="auto"/>
              <w:bottom w:val="nil"/>
              <w:right w:val="single" w:sz="4" w:space="0" w:color="auto"/>
            </w:tcBorders>
            <w:shd w:val="clear" w:color="auto" w:fill="auto"/>
            <w:vAlign w:val="bottom"/>
            <w:hideMark/>
          </w:tcPr>
          <w:p w14:paraId="1E00210B"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0C156A">
              <w:rPr>
                <w:rFonts w:asciiTheme="minorHAnsi" w:hAnsiTheme="minorHAnsi" w:cstheme="minorHAnsi"/>
                <w:color w:val="000000"/>
                <w:sz w:val="22"/>
                <w:szCs w:val="22"/>
                <w:lang w:eastAsia="en-GB"/>
              </w:rPr>
              <w:t>-</w:t>
            </w:r>
          </w:p>
        </w:tc>
        <w:tc>
          <w:tcPr>
            <w:tcW w:w="827" w:type="pct"/>
            <w:tcBorders>
              <w:top w:val="nil"/>
              <w:left w:val="nil"/>
              <w:bottom w:val="nil"/>
              <w:right w:val="single" w:sz="4" w:space="0" w:color="auto"/>
            </w:tcBorders>
            <w:shd w:val="clear" w:color="auto" w:fill="auto"/>
            <w:vAlign w:val="bottom"/>
            <w:hideMark/>
          </w:tcPr>
          <w:p w14:paraId="060074F9"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0C156A">
              <w:rPr>
                <w:rFonts w:asciiTheme="minorHAnsi" w:hAnsiTheme="minorHAnsi" w:cstheme="minorHAnsi"/>
                <w:color w:val="000000"/>
                <w:sz w:val="22"/>
                <w:szCs w:val="22"/>
                <w:lang w:eastAsia="en-GB"/>
              </w:rPr>
              <w:t>5</w:t>
            </w:r>
          </w:p>
        </w:tc>
      </w:tr>
      <w:tr w:rsidR="00686EC7" w:rsidRPr="000C156A" w14:paraId="45021DD1" w14:textId="77777777" w:rsidTr="00141BAA">
        <w:trPr>
          <w:trHeight w:val="255"/>
        </w:trPr>
        <w:tc>
          <w:tcPr>
            <w:tcW w:w="3346" w:type="pct"/>
            <w:tcBorders>
              <w:top w:val="nil"/>
              <w:left w:val="single" w:sz="4" w:space="0" w:color="auto"/>
              <w:bottom w:val="nil"/>
              <w:right w:val="nil"/>
            </w:tcBorders>
            <w:shd w:val="clear" w:color="auto" w:fill="auto"/>
            <w:hideMark/>
          </w:tcPr>
          <w:p w14:paraId="7F292060" w14:textId="77777777" w:rsidR="00686EC7" w:rsidRPr="000C156A" w:rsidRDefault="00686EC7" w:rsidP="00141BAA">
            <w:pPr>
              <w:overflowPunct/>
              <w:autoSpaceDE/>
              <w:autoSpaceDN/>
              <w:adjustRightInd/>
              <w:spacing w:before="0"/>
              <w:textAlignment w:val="auto"/>
              <w:rPr>
                <w:rFonts w:cs="Calibri"/>
                <w:sz w:val="22"/>
                <w:szCs w:val="22"/>
                <w:lang w:eastAsia="zh-CN"/>
              </w:rPr>
            </w:pPr>
            <w:r w:rsidRPr="000C156A">
              <w:rPr>
                <w:rFonts w:cs="Arial" w:hint="eastAsia"/>
                <w:sz w:val="22"/>
                <w:szCs w:val="22"/>
                <w:lang w:val="en-US" w:eastAsia="zh-CN"/>
              </w:rPr>
              <w:t>办公场地和设备租赁与维护</w:t>
            </w:r>
          </w:p>
        </w:tc>
        <w:tc>
          <w:tcPr>
            <w:tcW w:w="827" w:type="pct"/>
            <w:tcBorders>
              <w:top w:val="nil"/>
              <w:left w:val="single" w:sz="4" w:space="0" w:color="auto"/>
              <w:bottom w:val="nil"/>
              <w:right w:val="single" w:sz="4" w:space="0" w:color="auto"/>
            </w:tcBorders>
            <w:shd w:val="clear" w:color="auto" w:fill="auto"/>
            <w:vAlign w:val="bottom"/>
            <w:hideMark/>
          </w:tcPr>
          <w:p w14:paraId="67CBF67D"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0C156A">
              <w:rPr>
                <w:rFonts w:asciiTheme="minorHAnsi" w:hAnsiTheme="minorHAnsi" w:cstheme="minorHAnsi"/>
                <w:color w:val="000000"/>
                <w:sz w:val="22"/>
                <w:szCs w:val="22"/>
                <w:lang w:eastAsia="en-GB"/>
              </w:rPr>
              <w:t>-</w:t>
            </w:r>
          </w:p>
        </w:tc>
        <w:tc>
          <w:tcPr>
            <w:tcW w:w="827" w:type="pct"/>
            <w:tcBorders>
              <w:top w:val="nil"/>
              <w:left w:val="nil"/>
              <w:bottom w:val="nil"/>
              <w:right w:val="single" w:sz="4" w:space="0" w:color="auto"/>
            </w:tcBorders>
            <w:shd w:val="clear" w:color="auto" w:fill="auto"/>
            <w:vAlign w:val="bottom"/>
            <w:hideMark/>
          </w:tcPr>
          <w:p w14:paraId="16BBFDBE"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0C156A">
              <w:rPr>
                <w:rFonts w:asciiTheme="minorHAnsi" w:hAnsiTheme="minorHAnsi" w:cstheme="minorHAnsi"/>
                <w:color w:val="000000"/>
                <w:sz w:val="22"/>
                <w:szCs w:val="22"/>
                <w:lang w:eastAsia="en-GB"/>
              </w:rPr>
              <w:t>-</w:t>
            </w:r>
          </w:p>
        </w:tc>
      </w:tr>
      <w:tr w:rsidR="00686EC7" w:rsidRPr="000C156A" w14:paraId="1D6BBE29" w14:textId="77777777" w:rsidTr="00141BAA">
        <w:trPr>
          <w:trHeight w:val="255"/>
        </w:trPr>
        <w:tc>
          <w:tcPr>
            <w:tcW w:w="3346" w:type="pct"/>
            <w:tcBorders>
              <w:top w:val="nil"/>
              <w:left w:val="single" w:sz="4" w:space="0" w:color="auto"/>
              <w:bottom w:val="nil"/>
              <w:right w:val="nil"/>
            </w:tcBorders>
            <w:shd w:val="clear" w:color="auto" w:fill="auto"/>
            <w:hideMark/>
          </w:tcPr>
          <w:p w14:paraId="7D3EB2D0"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Arial" w:hint="eastAsia"/>
                <w:sz w:val="22"/>
                <w:szCs w:val="22"/>
                <w:lang w:val="en-US" w:eastAsia="zh-CN"/>
              </w:rPr>
              <w:t>设备和办公用品</w:t>
            </w:r>
          </w:p>
        </w:tc>
        <w:tc>
          <w:tcPr>
            <w:tcW w:w="827" w:type="pct"/>
            <w:tcBorders>
              <w:top w:val="nil"/>
              <w:left w:val="single" w:sz="4" w:space="0" w:color="auto"/>
              <w:bottom w:val="nil"/>
              <w:right w:val="single" w:sz="4" w:space="0" w:color="auto"/>
            </w:tcBorders>
            <w:shd w:val="clear" w:color="auto" w:fill="auto"/>
            <w:vAlign w:val="bottom"/>
            <w:hideMark/>
          </w:tcPr>
          <w:p w14:paraId="695ED83C"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0C156A">
              <w:rPr>
                <w:rFonts w:asciiTheme="minorHAnsi" w:hAnsiTheme="minorHAnsi" w:cstheme="minorHAnsi"/>
                <w:color w:val="000000"/>
                <w:sz w:val="22"/>
                <w:szCs w:val="22"/>
                <w:lang w:eastAsia="en-GB"/>
              </w:rPr>
              <w:t>1</w:t>
            </w:r>
          </w:p>
        </w:tc>
        <w:tc>
          <w:tcPr>
            <w:tcW w:w="827" w:type="pct"/>
            <w:tcBorders>
              <w:top w:val="nil"/>
              <w:left w:val="nil"/>
              <w:bottom w:val="nil"/>
              <w:right w:val="single" w:sz="4" w:space="0" w:color="auto"/>
            </w:tcBorders>
            <w:shd w:val="clear" w:color="auto" w:fill="auto"/>
            <w:vAlign w:val="bottom"/>
            <w:hideMark/>
          </w:tcPr>
          <w:p w14:paraId="769A6D9B"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0C156A">
              <w:rPr>
                <w:rFonts w:asciiTheme="minorHAnsi" w:hAnsiTheme="minorHAnsi" w:cstheme="minorHAnsi"/>
                <w:color w:val="000000"/>
                <w:sz w:val="22"/>
                <w:szCs w:val="22"/>
                <w:lang w:eastAsia="en-GB"/>
              </w:rPr>
              <w:t>3</w:t>
            </w:r>
          </w:p>
        </w:tc>
      </w:tr>
      <w:tr w:rsidR="00686EC7" w:rsidRPr="000C156A" w14:paraId="26DE8DE4" w14:textId="77777777" w:rsidTr="00141BAA">
        <w:trPr>
          <w:trHeight w:val="255"/>
        </w:trPr>
        <w:tc>
          <w:tcPr>
            <w:tcW w:w="3346" w:type="pct"/>
            <w:tcBorders>
              <w:top w:val="nil"/>
              <w:left w:val="single" w:sz="4" w:space="0" w:color="auto"/>
              <w:bottom w:val="nil"/>
              <w:right w:val="nil"/>
            </w:tcBorders>
            <w:shd w:val="clear" w:color="auto" w:fill="auto"/>
            <w:hideMark/>
          </w:tcPr>
          <w:p w14:paraId="496ADF45" w14:textId="77777777" w:rsidR="00686EC7" w:rsidRPr="000C156A" w:rsidRDefault="00686EC7" w:rsidP="00141BAA">
            <w:pPr>
              <w:overflowPunct/>
              <w:autoSpaceDE/>
              <w:autoSpaceDN/>
              <w:adjustRightInd/>
              <w:spacing w:before="0"/>
              <w:textAlignment w:val="auto"/>
              <w:rPr>
                <w:rFonts w:cs="Calibri"/>
                <w:sz w:val="22"/>
                <w:szCs w:val="22"/>
                <w:lang w:eastAsia="zh-CN"/>
              </w:rPr>
            </w:pPr>
            <w:r w:rsidRPr="000C156A">
              <w:rPr>
                <w:rFonts w:cs="Arial" w:hint="eastAsia"/>
                <w:sz w:val="22"/>
                <w:szCs w:val="22"/>
                <w:lang w:val="en-US" w:eastAsia="zh-CN"/>
              </w:rPr>
              <w:t>运输、担心和服务支出</w:t>
            </w:r>
          </w:p>
        </w:tc>
        <w:tc>
          <w:tcPr>
            <w:tcW w:w="827" w:type="pct"/>
            <w:tcBorders>
              <w:top w:val="nil"/>
              <w:left w:val="single" w:sz="4" w:space="0" w:color="auto"/>
              <w:bottom w:val="nil"/>
              <w:right w:val="single" w:sz="4" w:space="0" w:color="auto"/>
            </w:tcBorders>
            <w:shd w:val="clear" w:color="auto" w:fill="auto"/>
            <w:vAlign w:val="bottom"/>
            <w:hideMark/>
          </w:tcPr>
          <w:p w14:paraId="240432A2"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0C156A">
              <w:rPr>
                <w:rFonts w:asciiTheme="minorHAnsi" w:hAnsiTheme="minorHAnsi" w:cstheme="minorHAnsi"/>
                <w:color w:val="000000"/>
                <w:sz w:val="22"/>
                <w:szCs w:val="22"/>
                <w:lang w:eastAsia="en-GB"/>
              </w:rPr>
              <w:t>-</w:t>
            </w:r>
          </w:p>
        </w:tc>
        <w:tc>
          <w:tcPr>
            <w:tcW w:w="827" w:type="pct"/>
            <w:tcBorders>
              <w:top w:val="nil"/>
              <w:left w:val="nil"/>
              <w:bottom w:val="nil"/>
              <w:right w:val="single" w:sz="4" w:space="0" w:color="auto"/>
            </w:tcBorders>
            <w:shd w:val="clear" w:color="auto" w:fill="auto"/>
            <w:vAlign w:val="bottom"/>
            <w:hideMark/>
          </w:tcPr>
          <w:p w14:paraId="50173F27"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0C156A">
              <w:rPr>
                <w:rFonts w:asciiTheme="minorHAnsi" w:hAnsiTheme="minorHAnsi" w:cstheme="minorHAnsi"/>
                <w:color w:val="000000"/>
                <w:sz w:val="22"/>
                <w:szCs w:val="22"/>
                <w:lang w:eastAsia="en-GB"/>
              </w:rPr>
              <w:t>-</w:t>
            </w:r>
          </w:p>
        </w:tc>
      </w:tr>
      <w:tr w:rsidR="00686EC7" w:rsidRPr="000C156A" w14:paraId="458FD75A" w14:textId="77777777" w:rsidTr="00141BAA">
        <w:trPr>
          <w:trHeight w:val="255"/>
        </w:trPr>
        <w:tc>
          <w:tcPr>
            <w:tcW w:w="3346" w:type="pct"/>
            <w:tcBorders>
              <w:top w:val="nil"/>
              <w:left w:val="single" w:sz="4" w:space="0" w:color="auto"/>
              <w:bottom w:val="nil"/>
              <w:right w:val="nil"/>
            </w:tcBorders>
            <w:shd w:val="clear" w:color="auto" w:fill="auto"/>
            <w:hideMark/>
          </w:tcPr>
          <w:p w14:paraId="42F62BAF"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Arial" w:hint="eastAsia"/>
                <w:sz w:val="22"/>
                <w:szCs w:val="22"/>
                <w:lang w:val="en-US" w:eastAsia="zh-CN"/>
              </w:rPr>
              <w:t>其他支出</w:t>
            </w:r>
          </w:p>
        </w:tc>
        <w:tc>
          <w:tcPr>
            <w:tcW w:w="827" w:type="pct"/>
            <w:tcBorders>
              <w:top w:val="nil"/>
              <w:left w:val="single" w:sz="4" w:space="0" w:color="auto"/>
              <w:bottom w:val="nil"/>
              <w:right w:val="single" w:sz="4" w:space="0" w:color="auto"/>
            </w:tcBorders>
            <w:shd w:val="clear" w:color="auto" w:fill="auto"/>
            <w:vAlign w:val="bottom"/>
            <w:hideMark/>
          </w:tcPr>
          <w:p w14:paraId="78F6B9D4"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0C156A">
              <w:rPr>
                <w:rFonts w:asciiTheme="minorHAnsi" w:hAnsiTheme="minorHAnsi" w:cstheme="minorHAnsi"/>
                <w:color w:val="000000"/>
                <w:sz w:val="22"/>
                <w:szCs w:val="22"/>
                <w:lang w:eastAsia="en-GB"/>
              </w:rPr>
              <w:t>-</w:t>
            </w:r>
          </w:p>
        </w:tc>
        <w:tc>
          <w:tcPr>
            <w:tcW w:w="827" w:type="pct"/>
            <w:tcBorders>
              <w:top w:val="nil"/>
              <w:left w:val="nil"/>
              <w:bottom w:val="nil"/>
              <w:right w:val="single" w:sz="4" w:space="0" w:color="auto"/>
            </w:tcBorders>
            <w:shd w:val="clear" w:color="auto" w:fill="auto"/>
            <w:vAlign w:val="bottom"/>
            <w:hideMark/>
          </w:tcPr>
          <w:p w14:paraId="2C43F161"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0C156A">
              <w:rPr>
                <w:rFonts w:asciiTheme="minorHAnsi" w:hAnsiTheme="minorHAnsi" w:cstheme="minorHAnsi"/>
                <w:color w:val="000000"/>
                <w:sz w:val="22"/>
                <w:szCs w:val="22"/>
                <w:lang w:eastAsia="en-GB"/>
              </w:rPr>
              <w:t>-</w:t>
            </w:r>
          </w:p>
        </w:tc>
      </w:tr>
      <w:tr w:rsidR="00686EC7" w:rsidRPr="000C156A" w14:paraId="3599BB42" w14:textId="77777777" w:rsidTr="00141BAA">
        <w:trPr>
          <w:trHeight w:val="255"/>
        </w:trPr>
        <w:tc>
          <w:tcPr>
            <w:tcW w:w="3346" w:type="pct"/>
            <w:tcBorders>
              <w:top w:val="nil"/>
              <w:left w:val="single" w:sz="4" w:space="0" w:color="auto"/>
              <w:bottom w:val="nil"/>
              <w:right w:val="nil"/>
            </w:tcBorders>
            <w:shd w:val="clear" w:color="auto" w:fill="auto"/>
            <w:hideMark/>
          </w:tcPr>
          <w:p w14:paraId="3A456B9E"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Arial" w:hint="eastAsia"/>
                <w:sz w:val="22"/>
                <w:szCs w:val="22"/>
                <w:lang w:val="en-US" w:eastAsia="zh-CN"/>
              </w:rPr>
              <w:t>财务支出</w:t>
            </w:r>
          </w:p>
        </w:tc>
        <w:tc>
          <w:tcPr>
            <w:tcW w:w="827" w:type="pct"/>
            <w:tcBorders>
              <w:top w:val="nil"/>
              <w:left w:val="single" w:sz="4" w:space="0" w:color="auto"/>
              <w:bottom w:val="nil"/>
              <w:right w:val="single" w:sz="4" w:space="0" w:color="auto"/>
            </w:tcBorders>
            <w:shd w:val="clear" w:color="auto" w:fill="auto"/>
            <w:vAlign w:val="bottom"/>
            <w:hideMark/>
          </w:tcPr>
          <w:p w14:paraId="143E50A9"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0C156A">
              <w:rPr>
                <w:rFonts w:asciiTheme="minorHAnsi" w:hAnsiTheme="minorHAnsi" w:cstheme="minorHAnsi"/>
                <w:color w:val="000000"/>
                <w:sz w:val="22"/>
                <w:szCs w:val="22"/>
                <w:lang w:eastAsia="en-GB"/>
              </w:rPr>
              <w:t>345</w:t>
            </w:r>
          </w:p>
        </w:tc>
        <w:tc>
          <w:tcPr>
            <w:tcW w:w="827" w:type="pct"/>
            <w:tcBorders>
              <w:top w:val="nil"/>
              <w:left w:val="nil"/>
              <w:bottom w:val="nil"/>
              <w:right w:val="single" w:sz="4" w:space="0" w:color="auto"/>
            </w:tcBorders>
            <w:shd w:val="clear" w:color="auto" w:fill="auto"/>
            <w:vAlign w:val="bottom"/>
            <w:hideMark/>
          </w:tcPr>
          <w:p w14:paraId="35A92914"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0C156A">
              <w:rPr>
                <w:rFonts w:asciiTheme="minorHAnsi" w:hAnsiTheme="minorHAnsi" w:cstheme="minorHAnsi"/>
                <w:color w:val="000000"/>
                <w:sz w:val="22"/>
                <w:szCs w:val="22"/>
                <w:lang w:eastAsia="en-GB"/>
              </w:rPr>
              <w:t>0</w:t>
            </w:r>
          </w:p>
        </w:tc>
      </w:tr>
      <w:tr w:rsidR="00686EC7" w:rsidRPr="000C156A" w14:paraId="1B5567DF" w14:textId="77777777" w:rsidTr="00141BAA">
        <w:trPr>
          <w:trHeight w:val="255"/>
        </w:trPr>
        <w:tc>
          <w:tcPr>
            <w:tcW w:w="3346" w:type="pct"/>
            <w:tcBorders>
              <w:top w:val="nil"/>
              <w:left w:val="single" w:sz="4" w:space="0" w:color="auto"/>
              <w:bottom w:val="nil"/>
              <w:right w:val="nil"/>
            </w:tcBorders>
            <w:shd w:val="clear" w:color="auto" w:fill="auto"/>
            <w:hideMark/>
          </w:tcPr>
          <w:p w14:paraId="65B1A865" w14:textId="77777777" w:rsidR="00686EC7" w:rsidRPr="000C156A" w:rsidRDefault="00686EC7" w:rsidP="00141BAA">
            <w:pPr>
              <w:overflowPunct/>
              <w:autoSpaceDE/>
              <w:autoSpaceDN/>
              <w:adjustRightInd/>
              <w:spacing w:before="0"/>
              <w:textAlignment w:val="auto"/>
              <w:rPr>
                <w:rFonts w:cs="Calibri"/>
                <w:sz w:val="22"/>
                <w:szCs w:val="22"/>
                <w:lang w:eastAsia="en-GB"/>
              </w:rPr>
            </w:pPr>
          </w:p>
        </w:tc>
        <w:tc>
          <w:tcPr>
            <w:tcW w:w="827" w:type="pct"/>
            <w:tcBorders>
              <w:top w:val="nil"/>
              <w:left w:val="single" w:sz="4" w:space="0" w:color="auto"/>
              <w:bottom w:val="nil"/>
              <w:right w:val="single" w:sz="4" w:space="0" w:color="auto"/>
            </w:tcBorders>
            <w:shd w:val="clear" w:color="auto" w:fill="auto"/>
            <w:hideMark/>
          </w:tcPr>
          <w:p w14:paraId="6B96073A"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p>
        </w:tc>
        <w:tc>
          <w:tcPr>
            <w:tcW w:w="827" w:type="pct"/>
            <w:tcBorders>
              <w:top w:val="nil"/>
              <w:left w:val="nil"/>
              <w:bottom w:val="nil"/>
              <w:right w:val="single" w:sz="4" w:space="0" w:color="auto"/>
            </w:tcBorders>
            <w:shd w:val="clear" w:color="auto" w:fill="auto"/>
            <w:hideMark/>
          </w:tcPr>
          <w:p w14:paraId="75A0226B"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p>
        </w:tc>
      </w:tr>
      <w:tr w:rsidR="00686EC7" w:rsidRPr="000C156A" w14:paraId="2B48FE08" w14:textId="77777777" w:rsidTr="00141BAA">
        <w:trPr>
          <w:trHeight w:val="255"/>
        </w:trPr>
        <w:tc>
          <w:tcPr>
            <w:tcW w:w="3346" w:type="pct"/>
            <w:tcBorders>
              <w:top w:val="single" w:sz="4" w:space="0" w:color="auto"/>
              <w:left w:val="single" w:sz="4" w:space="0" w:color="auto"/>
              <w:bottom w:val="single" w:sz="4" w:space="0" w:color="auto"/>
              <w:right w:val="nil"/>
            </w:tcBorders>
            <w:shd w:val="clear" w:color="000000" w:fill="C5D9F1"/>
            <w:noWrap/>
            <w:vAlign w:val="center"/>
            <w:hideMark/>
          </w:tcPr>
          <w:p w14:paraId="367E9960" w14:textId="77777777" w:rsidR="00686EC7" w:rsidRPr="000C156A" w:rsidRDefault="00686EC7" w:rsidP="00141BAA">
            <w:pPr>
              <w:overflowPunct/>
              <w:autoSpaceDE/>
              <w:autoSpaceDN/>
              <w:adjustRightInd/>
              <w:spacing w:before="0"/>
              <w:textAlignment w:val="auto"/>
              <w:rPr>
                <w:rFonts w:cs="Calibri"/>
                <w:b/>
                <w:bCs/>
                <w:color w:val="000000"/>
                <w:sz w:val="22"/>
                <w:szCs w:val="22"/>
                <w:lang w:eastAsia="en-GB"/>
              </w:rPr>
            </w:pPr>
            <w:r w:rsidRPr="000C156A">
              <w:rPr>
                <w:rFonts w:cs="Arial" w:hint="eastAsia"/>
                <w:b/>
                <w:bCs/>
                <w:color w:val="000000"/>
                <w:sz w:val="22"/>
                <w:szCs w:val="22"/>
                <w:lang w:val="en-US" w:eastAsia="zh-CN"/>
              </w:rPr>
              <w:t>总支出</w:t>
            </w:r>
          </w:p>
        </w:tc>
        <w:tc>
          <w:tcPr>
            <w:tcW w:w="827"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1CEB6AB"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0C156A">
              <w:rPr>
                <w:rFonts w:asciiTheme="minorHAnsi" w:hAnsiTheme="minorHAnsi" w:cstheme="minorHAnsi"/>
                <w:color w:val="000000"/>
                <w:sz w:val="22"/>
                <w:szCs w:val="22"/>
                <w:lang w:eastAsia="en-GB"/>
              </w:rPr>
              <w:t>346</w:t>
            </w:r>
          </w:p>
        </w:tc>
        <w:tc>
          <w:tcPr>
            <w:tcW w:w="827" w:type="pct"/>
            <w:tcBorders>
              <w:top w:val="single" w:sz="4" w:space="0" w:color="auto"/>
              <w:left w:val="nil"/>
              <w:bottom w:val="single" w:sz="4" w:space="0" w:color="auto"/>
              <w:right w:val="single" w:sz="4" w:space="0" w:color="auto"/>
            </w:tcBorders>
            <w:shd w:val="clear" w:color="000000" w:fill="C5D9F1"/>
            <w:noWrap/>
            <w:vAlign w:val="center"/>
            <w:hideMark/>
          </w:tcPr>
          <w:p w14:paraId="624279D6"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0C156A">
              <w:rPr>
                <w:rFonts w:asciiTheme="minorHAnsi" w:hAnsiTheme="minorHAnsi" w:cstheme="minorHAnsi"/>
                <w:color w:val="000000"/>
                <w:sz w:val="22"/>
                <w:szCs w:val="22"/>
                <w:lang w:eastAsia="en-GB"/>
              </w:rPr>
              <w:t>8</w:t>
            </w:r>
          </w:p>
        </w:tc>
      </w:tr>
      <w:tr w:rsidR="00686EC7" w:rsidRPr="000C156A" w14:paraId="4B3A3B5B" w14:textId="77777777" w:rsidTr="00141BAA">
        <w:trPr>
          <w:trHeight w:val="255"/>
        </w:trPr>
        <w:tc>
          <w:tcPr>
            <w:tcW w:w="3346" w:type="pct"/>
            <w:tcBorders>
              <w:top w:val="nil"/>
              <w:left w:val="single" w:sz="4" w:space="0" w:color="auto"/>
              <w:bottom w:val="single" w:sz="4" w:space="0" w:color="auto"/>
              <w:right w:val="nil"/>
            </w:tcBorders>
            <w:shd w:val="clear" w:color="auto" w:fill="auto"/>
            <w:noWrap/>
            <w:vAlign w:val="center"/>
            <w:hideMark/>
          </w:tcPr>
          <w:p w14:paraId="2A4632FA" w14:textId="77777777" w:rsidR="00686EC7" w:rsidRPr="000C156A" w:rsidRDefault="00686EC7" w:rsidP="00141BAA">
            <w:pPr>
              <w:overflowPunct/>
              <w:autoSpaceDE/>
              <w:autoSpaceDN/>
              <w:adjustRightInd/>
              <w:spacing w:before="0"/>
              <w:textAlignment w:val="auto"/>
              <w:rPr>
                <w:rFonts w:cs="Calibri"/>
                <w:b/>
                <w:bCs/>
                <w:color w:val="000000"/>
                <w:sz w:val="22"/>
                <w:szCs w:val="22"/>
                <w:lang w:eastAsia="en-GB"/>
              </w:rPr>
            </w:pPr>
            <w:r w:rsidRPr="000C156A">
              <w:rPr>
                <w:rFonts w:cs="Arial" w:hint="eastAsia"/>
                <w:b/>
                <w:bCs/>
                <w:color w:val="000000"/>
                <w:sz w:val="22"/>
                <w:szCs w:val="22"/>
                <w:lang w:val="en-US" w:eastAsia="zh-CN"/>
              </w:rPr>
              <w:t>当期盈余</w:t>
            </w:r>
            <w:r w:rsidRPr="000C156A">
              <w:rPr>
                <w:rFonts w:cs="Arial" w:hint="eastAsia"/>
                <w:b/>
                <w:bCs/>
                <w:color w:val="000000"/>
                <w:sz w:val="22"/>
                <w:szCs w:val="22"/>
                <w:lang w:val="en-US" w:eastAsia="zh-CN"/>
              </w:rPr>
              <w:t>/</w:t>
            </w:r>
            <w:r w:rsidRPr="000C156A">
              <w:rPr>
                <w:rFonts w:cs="Arial" w:hint="eastAsia"/>
                <w:b/>
                <w:bCs/>
                <w:color w:val="000000"/>
                <w:sz w:val="22"/>
                <w:szCs w:val="22"/>
                <w:lang w:val="en-US" w:eastAsia="zh-CN"/>
              </w:rPr>
              <w:t>亏损</w:t>
            </w:r>
          </w:p>
        </w:tc>
        <w:tc>
          <w:tcPr>
            <w:tcW w:w="827" w:type="pct"/>
            <w:tcBorders>
              <w:top w:val="nil"/>
              <w:left w:val="single" w:sz="4" w:space="0" w:color="auto"/>
              <w:bottom w:val="single" w:sz="4" w:space="0" w:color="auto"/>
              <w:right w:val="single" w:sz="4" w:space="0" w:color="auto"/>
            </w:tcBorders>
            <w:shd w:val="clear" w:color="auto" w:fill="auto"/>
            <w:noWrap/>
            <w:vAlign w:val="center"/>
            <w:hideMark/>
          </w:tcPr>
          <w:p w14:paraId="621E71E4" w14:textId="61650D13" w:rsidR="00686EC7" w:rsidRPr="000C156A" w:rsidRDefault="00686EC7" w:rsidP="00F86975">
            <w:pPr>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0C156A">
              <w:rPr>
                <w:rFonts w:asciiTheme="minorHAnsi" w:hAnsiTheme="minorHAnsi" w:cstheme="minorHAnsi"/>
                <w:b/>
                <w:bCs/>
                <w:color w:val="000000"/>
                <w:sz w:val="22"/>
                <w:szCs w:val="22"/>
                <w:lang w:eastAsia="en-GB"/>
              </w:rPr>
              <w:t>9</w:t>
            </w:r>
            <w:r w:rsidR="00F86975" w:rsidRPr="000C156A">
              <w:rPr>
                <w:rFonts w:asciiTheme="minorHAnsi" w:hAnsiTheme="minorHAnsi" w:cstheme="minorHAnsi"/>
                <w:b/>
                <w:bCs/>
                <w:color w:val="000000"/>
                <w:sz w:val="22"/>
                <w:szCs w:val="22"/>
                <w:lang w:eastAsia="en-GB"/>
              </w:rPr>
              <w:t xml:space="preserve"> </w:t>
            </w:r>
            <w:r w:rsidRPr="000C156A">
              <w:rPr>
                <w:rFonts w:asciiTheme="minorHAnsi" w:hAnsiTheme="minorHAnsi" w:cstheme="minorHAnsi"/>
                <w:b/>
                <w:bCs/>
                <w:color w:val="000000"/>
                <w:sz w:val="22"/>
                <w:szCs w:val="22"/>
                <w:lang w:eastAsia="en-GB"/>
              </w:rPr>
              <w:t>665</w:t>
            </w:r>
          </w:p>
        </w:tc>
        <w:tc>
          <w:tcPr>
            <w:tcW w:w="827" w:type="pct"/>
            <w:tcBorders>
              <w:top w:val="nil"/>
              <w:left w:val="nil"/>
              <w:bottom w:val="single" w:sz="4" w:space="0" w:color="auto"/>
              <w:right w:val="single" w:sz="4" w:space="0" w:color="auto"/>
            </w:tcBorders>
            <w:shd w:val="clear" w:color="auto" w:fill="auto"/>
            <w:noWrap/>
            <w:vAlign w:val="center"/>
            <w:hideMark/>
          </w:tcPr>
          <w:p w14:paraId="45042633" w14:textId="77777777" w:rsidR="00686EC7" w:rsidRPr="000C156A" w:rsidRDefault="00686EC7" w:rsidP="00141BAA">
            <w:pPr>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0C156A">
              <w:rPr>
                <w:rFonts w:asciiTheme="minorHAnsi" w:hAnsiTheme="minorHAnsi" w:cstheme="minorHAnsi"/>
                <w:b/>
                <w:bCs/>
                <w:color w:val="000000"/>
                <w:sz w:val="22"/>
                <w:szCs w:val="22"/>
                <w:lang w:eastAsia="en-GB"/>
              </w:rPr>
              <w:t>-8</w:t>
            </w:r>
          </w:p>
        </w:tc>
      </w:tr>
    </w:tbl>
    <w:p w14:paraId="1404012E" w14:textId="77777777" w:rsidR="00686EC7" w:rsidRPr="000C156A" w:rsidRDefault="00686EC7" w:rsidP="00686EC7">
      <w:pPr>
        <w:snapToGrid w:val="0"/>
        <w:spacing w:before="0"/>
        <w:jc w:val="center"/>
        <w:rPr>
          <w:b/>
          <w:bCs/>
          <w:sz w:val="20"/>
          <w:lang w:val="en-US"/>
        </w:rPr>
      </w:pPr>
    </w:p>
    <w:tbl>
      <w:tblPr>
        <w:tblW w:w="5000" w:type="pct"/>
        <w:tblLook w:val="04A0" w:firstRow="1" w:lastRow="0" w:firstColumn="1" w:lastColumn="0" w:noHBand="0" w:noVBand="1"/>
      </w:tblPr>
      <w:tblGrid>
        <w:gridCol w:w="6047"/>
        <w:gridCol w:w="1791"/>
        <w:gridCol w:w="1791"/>
      </w:tblGrid>
      <w:tr w:rsidR="00686EC7" w:rsidRPr="000C156A" w14:paraId="65A33C22" w14:textId="77777777" w:rsidTr="00141BAA">
        <w:trPr>
          <w:trHeight w:val="300"/>
        </w:trPr>
        <w:tc>
          <w:tcPr>
            <w:tcW w:w="3140" w:type="pct"/>
            <w:tcBorders>
              <w:top w:val="single" w:sz="4" w:space="0" w:color="auto"/>
              <w:left w:val="single" w:sz="4" w:space="0" w:color="auto"/>
              <w:bottom w:val="single" w:sz="4" w:space="0" w:color="auto"/>
              <w:right w:val="nil"/>
            </w:tcBorders>
            <w:shd w:val="clear" w:color="auto" w:fill="auto"/>
            <w:noWrap/>
            <w:vAlign w:val="bottom"/>
            <w:hideMark/>
          </w:tcPr>
          <w:p w14:paraId="78AE037F" w14:textId="77777777" w:rsidR="00686EC7" w:rsidRPr="000C156A" w:rsidRDefault="00686EC7" w:rsidP="00141BAA">
            <w:pPr>
              <w:pageBreakBefore/>
              <w:overflowPunct/>
              <w:autoSpaceDE/>
              <w:autoSpaceDN/>
              <w:adjustRightInd/>
              <w:spacing w:before="0"/>
              <w:textAlignment w:val="auto"/>
              <w:rPr>
                <w:rFonts w:cs="Calibri"/>
                <w:sz w:val="22"/>
                <w:szCs w:val="22"/>
                <w:lang w:eastAsia="en-GB"/>
              </w:rPr>
            </w:pPr>
            <w:r w:rsidRPr="000C156A">
              <w:rPr>
                <w:rFonts w:cs="Arial" w:hint="eastAsia"/>
                <w:sz w:val="22"/>
                <w:szCs w:val="22"/>
                <w:lang w:val="en-US" w:eastAsia="zh-CN"/>
              </w:rPr>
              <w:lastRenderedPageBreak/>
              <w:t>（单位：千瑞郎）</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14:paraId="46C90B68" w14:textId="77777777" w:rsidR="00686EC7" w:rsidRPr="000C156A" w:rsidRDefault="00686EC7" w:rsidP="00141BAA">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31/12/2020</w:t>
            </w:r>
          </w:p>
        </w:tc>
        <w:tc>
          <w:tcPr>
            <w:tcW w:w="930" w:type="pct"/>
            <w:tcBorders>
              <w:top w:val="single" w:sz="4" w:space="0" w:color="auto"/>
              <w:left w:val="nil"/>
              <w:bottom w:val="single" w:sz="4" w:space="0" w:color="auto"/>
              <w:right w:val="single" w:sz="4" w:space="0" w:color="auto"/>
            </w:tcBorders>
            <w:shd w:val="clear" w:color="auto" w:fill="auto"/>
            <w:hideMark/>
          </w:tcPr>
          <w:p w14:paraId="29C780C1" w14:textId="77777777" w:rsidR="00686EC7" w:rsidRPr="000C156A" w:rsidRDefault="00686EC7" w:rsidP="00141BAA">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31/12/201</w:t>
            </w:r>
            <w:r w:rsidRPr="000C156A">
              <w:rPr>
                <w:rFonts w:cs="Calibri" w:hint="eastAsia"/>
                <w:b/>
                <w:bCs/>
                <w:color w:val="000000"/>
                <w:sz w:val="22"/>
                <w:szCs w:val="22"/>
                <w:lang w:eastAsia="zh-CN"/>
              </w:rPr>
              <w:t>9</w:t>
            </w:r>
          </w:p>
        </w:tc>
      </w:tr>
      <w:tr w:rsidR="00686EC7" w:rsidRPr="000C156A" w14:paraId="7FF7618F" w14:textId="77777777" w:rsidTr="00141BAA">
        <w:trPr>
          <w:trHeight w:val="300"/>
        </w:trPr>
        <w:tc>
          <w:tcPr>
            <w:tcW w:w="3140" w:type="pct"/>
            <w:tcBorders>
              <w:top w:val="nil"/>
              <w:left w:val="single" w:sz="4" w:space="0" w:color="auto"/>
              <w:bottom w:val="nil"/>
              <w:right w:val="nil"/>
            </w:tcBorders>
            <w:shd w:val="clear" w:color="auto" w:fill="auto"/>
            <w:hideMark/>
          </w:tcPr>
          <w:p w14:paraId="4246E441" w14:textId="77777777" w:rsidR="00686EC7" w:rsidRPr="000C156A" w:rsidRDefault="00686EC7" w:rsidP="00141BAA">
            <w:pPr>
              <w:overflowPunct/>
              <w:autoSpaceDE/>
              <w:autoSpaceDN/>
              <w:adjustRightInd/>
              <w:spacing w:before="0"/>
              <w:textAlignment w:val="auto"/>
              <w:rPr>
                <w:rFonts w:cs="Calibri"/>
                <w:b/>
                <w:bCs/>
                <w:color w:val="000000"/>
                <w:sz w:val="22"/>
                <w:szCs w:val="22"/>
                <w:lang w:eastAsia="en-GB"/>
              </w:rPr>
            </w:pPr>
            <w:r w:rsidRPr="000C156A">
              <w:rPr>
                <w:rFonts w:cs="Arial" w:hint="eastAsia"/>
                <w:b/>
                <w:bCs/>
                <w:color w:val="000000"/>
                <w:sz w:val="22"/>
                <w:szCs w:val="22"/>
                <w:lang w:val="en-US" w:eastAsia="zh-CN"/>
              </w:rPr>
              <w:t>资产</w:t>
            </w:r>
          </w:p>
        </w:tc>
        <w:tc>
          <w:tcPr>
            <w:tcW w:w="930" w:type="pct"/>
            <w:tcBorders>
              <w:top w:val="nil"/>
              <w:left w:val="single" w:sz="4" w:space="0" w:color="auto"/>
              <w:bottom w:val="nil"/>
              <w:right w:val="single" w:sz="4" w:space="0" w:color="auto"/>
            </w:tcBorders>
            <w:shd w:val="clear" w:color="auto" w:fill="auto"/>
            <w:hideMark/>
          </w:tcPr>
          <w:p w14:paraId="34AF6DC7" w14:textId="77777777"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p>
        </w:tc>
        <w:tc>
          <w:tcPr>
            <w:tcW w:w="930" w:type="pct"/>
            <w:tcBorders>
              <w:top w:val="nil"/>
              <w:left w:val="nil"/>
              <w:bottom w:val="nil"/>
              <w:right w:val="single" w:sz="4" w:space="0" w:color="auto"/>
            </w:tcBorders>
            <w:shd w:val="clear" w:color="auto" w:fill="auto"/>
            <w:hideMark/>
          </w:tcPr>
          <w:p w14:paraId="49132ECE" w14:textId="77777777"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p>
        </w:tc>
      </w:tr>
      <w:tr w:rsidR="00686EC7" w:rsidRPr="000C156A" w14:paraId="71507540" w14:textId="77777777" w:rsidTr="00141BAA">
        <w:trPr>
          <w:trHeight w:val="300"/>
        </w:trPr>
        <w:tc>
          <w:tcPr>
            <w:tcW w:w="3140" w:type="pct"/>
            <w:tcBorders>
              <w:top w:val="nil"/>
              <w:left w:val="single" w:sz="4" w:space="0" w:color="auto"/>
              <w:bottom w:val="nil"/>
              <w:right w:val="nil"/>
            </w:tcBorders>
            <w:shd w:val="clear" w:color="auto" w:fill="auto"/>
            <w:hideMark/>
          </w:tcPr>
          <w:p w14:paraId="5066AB27" w14:textId="77777777" w:rsidR="00686EC7" w:rsidRPr="000C156A" w:rsidRDefault="00686EC7" w:rsidP="00141BAA">
            <w:pPr>
              <w:overflowPunct/>
              <w:autoSpaceDE/>
              <w:autoSpaceDN/>
              <w:adjustRightInd/>
              <w:spacing w:before="0"/>
              <w:textAlignment w:val="auto"/>
              <w:rPr>
                <w:rFonts w:cs="Calibri"/>
                <w:b/>
                <w:bCs/>
                <w:color w:val="000000"/>
                <w:sz w:val="22"/>
                <w:szCs w:val="22"/>
                <w:lang w:eastAsia="en-GB"/>
              </w:rPr>
            </w:pPr>
            <w:r w:rsidRPr="000C156A">
              <w:rPr>
                <w:rFonts w:cs="Arial" w:hint="eastAsia"/>
                <w:b/>
                <w:bCs/>
                <w:color w:val="000000"/>
                <w:sz w:val="22"/>
                <w:szCs w:val="22"/>
                <w:lang w:val="en-US" w:eastAsia="zh-CN"/>
              </w:rPr>
              <w:t>流动资产</w:t>
            </w:r>
          </w:p>
        </w:tc>
        <w:tc>
          <w:tcPr>
            <w:tcW w:w="930" w:type="pct"/>
            <w:tcBorders>
              <w:top w:val="nil"/>
              <w:left w:val="single" w:sz="4" w:space="0" w:color="auto"/>
              <w:bottom w:val="nil"/>
              <w:right w:val="single" w:sz="4" w:space="0" w:color="auto"/>
            </w:tcBorders>
            <w:shd w:val="clear" w:color="auto" w:fill="auto"/>
            <w:hideMark/>
          </w:tcPr>
          <w:p w14:paraId="0DC0C8EB" w14:textId="77777777"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p>
        </w:tc>
        <w:tc>
          <w:tcPr>
            <w:tcW w:w="930" w:type="pct"/>
            <w:tcBorders>
              <w:top w:val="nil"/>
              <w:left w:val="nil"/>
              <w:bottom w:val="nil"/>
              <w:right w:val="single" w:sz="4" w:space="0" w:color="auto"/>
            </w:tcBorders>
            <w:shd w:val="clear" w:color="auto" w:fill="auto"/>
            <w:hideMark/>
          </w:tcPr>
          <w:p w14:paraId="37E8995E" w14:textId="77777777"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p>
        </w:tc>
      </w:tr>
      <w:tr w:rsidR="00686EC7" w:rsidRPr="000C156A" w14:paraId="6EC200E8" w14:textId="77777777" w:rsidTr="00141BAA">
        <w:trPr>
          <w:trHeight w:val="300"/>
        </w:trPr>
        <w:tc>
          <w:tcPr>
            <w:tcW w:w="3140" w:type="pct"/>
            <w:tcBorders>
              <w:top w:val="nil"/>
              <w:left w:val="single" w:sz="4" w:space="0" w:color="auto"/>
              <w:bottom w:val="nil"/>
              <w:right w:val="nil"/>
            </w:tcBorders>
            <w:shd w:val="clear" w:color="auto" w:fill="auto"/>
            <w:hideMark/>
          </w:tcPr>
          <w:p w14:paraId="36AF0ABE"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Arial" w:hint="eastAsia"/>
                <w:sz w:val="22"/>
                <w:szCs w:val="22"/>
                <w:lang w:val="en-US" w:eastAsia="zh-CN"/>
              </w:rPr>
              <w:t>现金和现金等价物</w:t>
            </w:r>
          </w:p>
        </w:tc>
        <w:tc>
          <w:tcPr>
            <w:tcW w:w="930" w:type="pct"/>
            <w:tcBorders>
              <w:top w:val="nil"/>
              <w:left w:val="single" w:sz="4" w:space="0" w:color="auto"/>
              <w:bottom w:val="nil"/>
              <w:right w:val="single" w:sz="4" w:space="0" w:color="auto"/>
            </w:tcBorders>
            <w:shd w:val="clear" w:color="auto" w:fill="auto"/>
            <w:hideMark/>
          </w:tcPr>
          <w:p w14:paraId="743BE37A" w14:textId="0F04EC89"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15</w:t>
            </w:r>
            <w:r w:rsidR="00034CDD" w:rsidRPr="000C156A">
              <w:rPr>
                <w:rFonts w:cs="Calibri"/>
                <w:color w:val="000000"/>
                <w:sz w:val="22"/>
                <w:szCs w:val="22"/>
                <w:lang w:eastAsia="en-GB"/>
              </w:rPr>
              <w:t xml:space="preserve"> </w:t>
            </w:r>
            <w:r w:rsidRPr="000C156A">
              <w:rPr>
                <w:rFonts w:cs="Calibri"/>
                <w:color w:val="000000"/>
                <w:sz w:val="22"/>
                <w:szCs w:val="22"/>
                <w:lang w:eastAsia="en-GB"/>
              </w:rPr>
              <w:t>005</w:t>
            </w:r>
          </w:p>
        </w:tc>
        <w:tc>
          <w:tcPr>
            <w:tcW w:w="930" w:type="pct"/>
            <w:tcBorders>
              <w:top w:val="nil"/>
              <w:left w:val="nil"/>
              <w:bottom w:val="nil"/>
              <w:right w:val="single" w:sz="4" w:space="0" w:color="auto"/>
            </w:tcBorders>
            <w:shd w:val="clear" w:color="auto" w:fill="auto"/>
            <w:hideMark/>
          </w:tcPr>
          <w:p w14:paraId="3892B1F6" w14:textId="570D6FD4"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9</w:t>
            </w:r>
            <w:r w:rsidR="00034CDD" w:rsidRPr="000C156A">
              <w:rPr>
                <w:rFonts w:cs="Calibri"/>
                <w:color w:val="000000"/>
                <w:sz w:val="22"/>
                <w:szCs w:val="22"/>
                <w:lang w:eastAsia="en-GB"/>
              </w:rPr>
              <w:t xml:space="preserve"> </w:t>
            </w:r>
            <w:r w:rsidRPr="000C156A">
              <w:rPr>
                <w:rFonts w:cs="Calibri"/>
                <w:color w:val="000000"/>
                <w:sz w:val="22"/>
                <w:szCs w:val="22"/>
                <w:lang w:eastAsia="en-GB"/>
              </w:rPr>
              <w:t>046</w:t>
            </w:r>
          </w:p>
        </w:tc>
      </w:tr>
      <w:tr w:rsidR="00686EC7" w:rsidRPr="000C156A" w14:paraId="6E72E083" w14:textId="77777777" w:rsidTr="00141BAA">
        <w:trPr>
          <w:trHeight w:val="300"/>
        </w:trPr>
        <w:tc>
          <w:tcPr>
            <w:tcW w:w="3140" w:type="pct"/>
            <w:tcBorders>
              <w:top w:val="nil"/>
              <w:left w:val="single" w:sz="4" w:space="0" w:color="auto"/>
              <w:bottom w:val="nil"/>
              <w:right w:val="nil"/>
            </w:tcBorders>
            <w:shd w:val="clear" w:color="auto" w:fill="auto"/>
            <w:hideMark/>
          </w:tcPr>
          <w:p w14:paraId="23A9BC9E"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Arial" w:hint="eastAsia"/>
                <w:sz w:val="22"/>
                <w:szCs w:val="22"/>
                <w:lang w:val="en-US" w:eastAsia="zh-CN"/>
              </w:rPr>
              <w:t>投资</w:t>
            </w:r>
          </w:p>
        </w:tc>
        <w:tc>
          <w:tcPr>
            <w:tcW w:w="930" w:type="pct"/>
            <w:tcBorders>
              <w:top w:val="nil"/>
              <w:left w:val="single" w:sz="4" w:space="0" w:color="auto"/>
              <w:bottom w:val="nil"/>
              <w:right w:val="single" w:sz="4" w:space="0" w:color="auto"/>
            </w:tcBorders>
            <w:shd w:val="clear" w:color="auto" w:fill="auto"/>
            <w:hideMark/>
          </w:tcPr>
          <w:p w14:paraId="41B5C873" w14:textId="1104E9BF"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w:t>
            </w:r>
            <w:r w:rsidR="00034CDD" w:rsidRPr="000C156A">
              <w:rPr>
                <w:rFonts w:cs="Calibri"/>
                <w:color w:val="000000"/>
                <w:sz w:val="22"/>
                <w:szCs w:val="22"/>
                <w:lang w:eastAsia="en-GB"/>
              </w:rPr>
              <w:t xml:space="preserve"> </w:t>
            </w:r>
            <w:r w:rsidRPr="000C156A">
              <w:rPr>
                <w:rFonts w:cs="Calibri"/>
                <w:color w:val="000000"/>
                <w:sz w:val="22"/>
                <w:szCs w:val="22"/>
                <w:lang w:eastAsia="en-GB"/>
              </w:rPr>
              <w:t>530</w:t>
            </w:r>
          </w:p>
        </w:tc>
        <w:tc>
          <w:tcPr>
            <w:tcW w:w="930" w:type="pct"/>
            <w:tcBorders>
              <w:top w:val="nil"/>
              <w:left w:val="nil"/>
              <w:bottom w:val="nil"/>
              <w:right w:val="single" w:sz="4" w:space="0" w:color="auto"/>
            </w:tcBorders>
            <w:shd w:val="clear" w:color="auto" w:fill="auto"/>
            <w:hideMark/>
          </w:tcPr>
          <w:p w14:paraId="75D7AF74" w14:textId="77777777"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w:t>
            </w:r>
          </w:p>
        </w:tc>
      </w:tr>
      <w:tr w:rsidR="00686EC7" w:rsidRPr="000C156A" w14:paraId="62CDDD0D" w14:textId="77777777" w:rsidTr="00141BAA">
        <w:trPr>
          <w:trHeight w:val="300"/>
        </w:trPr>
        <w:tc>
          <w:tcPr>
            <w:tcW w:w="3140" w:type="pct"/>
            <w:tcBorders>
              <w:top w:val="nil"/>
              <w:left w:val="single" w:sz="4" w:space="0" w:color="auto"/>
              <w:bottom w:val="nil"/>
              <w:right w:val="nil"/>
            </w:tcBorders>
            <w:shd w:val="clear" w:color="auto" w:fill="auto"/>
          </w:tcPr>
          <w:p w14:paraId="481BE6AB" w14:textId="77777777" w:rsidR="00686EC7" w:rsidRPr="000C156A" w:rsidRDefault="00686EC7" w:rsidP="00141BAA">
            <w:pPr>
              <w:keepNext/>
              <w:keepLines/>
              <w:overflowPunct/>
              <w:autoSpaceDE/>
              <w:autoSpaceDN/>
              <w:adjustRightInd/>
              <w:spacing w:before="0"/>
              <w:textAlignment w:val="auto"/>
              <w:rPr>
                <w:rFonts w:cs="Calibri"/>
                <w:color w:val="000000"/>
                <w:sz w:val="22"/>
                <w:szCs w:val="22"/>
                <w:lang w:eastAsia="en-GB"/>
              </w:rPr>
            </w:pPr>
            <w:r w:rsidRPr="000C156A">
              <w:rPr>
                <w:rFonts w:cs="Calibri" w:hint="eastAsia"/>
                <w:color w:val="000000"/>
                <w:sz w:val="22"/>
                <w:szCs w:val="22"/>
                <w:lang w:eastAsia="zh-CN"/>
              </w:rPr>
              <w:t>应收账款</w:t>
            </w:r>
            <w:r w:rsidRPr="000C156A">
              <w:rPr>
                <w:rFonts w:cs="Calibri" w:hint="eastAsia"/>
                <w:color w:val="000000"/>
                <w:sz w:val="22"/>
                <w:szCs w:val="22"/>
                <w:lang w:eastAsia="zh-CN"/>
              </w:rPr>
              <w:t xml:space="preserve"> </w:t>
            </w:r>
            <w:r w:rsidRPr="000C156A">
              <w:rPr>
                <w:rFonts w:cs="Calibri"/>
                <w:color w:val="000000"/>
                <w:sz w:val="22"/>
                <w:szCs w:val="22"/>
                <w:lang w:eastAsia="en-GB"/>
              </w:rPr>
              <w:t xml:space="preserve">– </w:t>
            </w:r>
            <w:r w:rsidRPr="000C156A">
              <w:rPr>
                <w:rFonts w:cs="Calibri" w:hint="eastAsia"/>
                <w:color w:val="000000"/>
                <w:sz w:val="22"/>
                <w:szCs w:val="22"/>
                <w:lang w:eastAsia="zh-CN"/>
              </w:rPr>
              <w:t>非兑换交易</w:t>
            </w:r>
          </w:p>
        </w:tc>
        <w:tc>
          <w:tcPr>
            <w:tcW w:w="930" w:type="pct"/>
            <w:tcBorders>
              <w:top w:val="nil"/>
              <w:left w:val="single" w:sz="4" w:space="0" w:color="auto"/>
              <w:bottom w:val="nil"/>
              <w:right w:val="single" w:sz="4" w:space="0" w:color="auto"/>
            </w:tcBorders>
            <w:shd w:val="clear" w:color="auto" w:fill="auto"/>
          </w:tcPr>
          <w:p w14:paraId="716D094E" w14:textId="03BB91D4"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2</w:t>
            </w:r>
            <w:r w:rsidR="00034CDD" w:rsidRPr="000C156A">
              <w:rPr>
                <w:rFonts w:cs="Calibri"/>
                <w:color w:val="000000"/>
                <w:sz w:val="22"/>
                <w:szCs w:val="22"/>
                <w:lang w:eastAsia="en-GB"/>
              </w:rPr>
              <w:t xml:space="preserve"> </w:t>
            </w:r>
            <w:r w:rsidRPr="000C156A">
              <w:rPr>
                <w:rFonts w:cs="Calibri"/>
                <w:color w:val="000000"/>
                <w:sz w:val="22"/>
                <w:szCs w:val="22"/>
                <w:lang w:eastAsia="en-GB"/>
              </w:rPr>
              <w:t>000</w:t>
            </w:r>
          </w:p>
        </w:tc>
        <w:tc>
          <w:tcPr>
            <w:tcW w:w="930" w:type="pct"/>
            <w:tcBorders>
              <w:top w:val="nil"/>
              <w:left w:val="nil"/>
              <w:bottom w:val="nil"/>
              <w:right w:val="single" w:sz="4" w:space="0" w:color="auto"/>
            </w:tcBorders>
            <w:shd w:val="clear" w:color="auto" w:fill="auto"/>
          </w:tcPr>
          <w:p w14:paraId="7F0AF7B5" w14:textId="4000E48A"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5</w:t>
            </w:r>
            <w:r w:rsidR="00034CDD" w:rsidRPr="000C156A">
              <w:rPr>
                <w:rFonts w:cs="Calibri"/>
                <w:color w:val="000000"/>
                <w:sz w:val="22"/>
                <w:szCs w:val="22"/>
                <w:lang w:eastAsia="en-GB"/>
              </w:rPr>
              <w:t xml:space="preserve"> </w:t>
            </w:r>
            <w:r w:rsidRPr="000C156A">
              <w:rPr>
                <w:rFonts w:cs="Calibri"/>
                <w:color w:val="000000"/>
                <w:sz w:val="22"/>
                <w:szCs w:val="22"/>
                <w:lang w:eastAsia="en-GB"/>
              </w:rPr>
              <w:t>000</w:t>
            </w:r>
          </w:p>
        </w:tc>
      </w:tr>
      <w:tr w:rsidR="00686EC7" w:rsidRPr="000C156A" w14:paraId="2B808241" w14:textId="77777777" w:rsidTr="00141BAA">
        <w:trPr>
          <w:trHeight w:val="300"/>
        </w:trPr>
        <w:tc>
          <w:tcPr>
            <w:tcW w:w="3140" w:type="pct"/>
            <w:tcBorders>
              <w:top w:val="nil"/>
              <w:left w:val="single" w:sz="4" w:space="0" w:color="auto"/>
              <w:bottom w:val="nil"/>
              <w:right w:val="nil"/>
            </w:tcBorders>
            <w:shd w:val="clear" w:color="auto" w:fill="auto"/>
          </w:tcPr>
          <w:p w14:paraId="0EA63722" w14:textId="77777777" w:rsidR="00686EC7" w:rsidRPr="000C156A" w:rsidRDefault="00686EC7" w:rsidP="00141BAA">
            <w:pPr>
              <w:keepNext/>
              <w:keepLines/>
              <w:overflowPunct/>
              <w:autoSpaceDE/>
              <w:autoSpaceDN/>
              <w:adjustRightInd/>
              <w:spacing w:before="0"/>
              <w:textAlignment w:val="auto"/>
              <w:rPr>
                <w:rFonts w:cs="Calibri"/>
                <w:color w:val="000000"/>
                <w:sz w:val="22"/>
                <w:szCs w:val="22"/>
                <w:lang w:eastAsia="en-GB"/>
              </w:rPr>
            </w:pPr>
            <w:r w:rsidRPr="000C156A">
              <w:rPr>
                <w:rFonts w:cs="Calibri" w:hint="eastAsia"/>
                <w:color w:val="000000"/>
                <w:sz w:val="22"/>
                <w:szCs w:val="22"/>
                <w:lang w:eastAsia="zh-CN"/>
              </w:rPr>
              <w:t>库存</w:t>
            </w:r>
          </w:p>
        </w:tc>
        <w:tc>
          <w:tcPr>
            <w:tcW w:w="930" w:type="pct"/>
            <w:tcBorders>
              <w:top w:val="nil"/>
              <w:left w:val="single" w:sz="4" w:space="0" w:color="auto"/>
              <w:bottom w:val="nil"/>
              <w:right w:val="single" w:sz="4" w:space="0" w:color="auto"/>
            </w:tcBorders>
            <w:shd w:val="clear" w:color="auto" w:fill="auto"/>
          </w:tcPr>
          <w:p w14:paraId="199DCD0D" w14:textId="77777777"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p>
        </w:tc>
        <w:tc>
          <w:tcPr>
            <w:tcW w:w="930" w:type="pct"/>
            <w:tcBorders>
              <w:top w:val="nil"/>
              <w:left w:val="nil"/>
              <w:bottom w:val="nil"/>
              <w:right w:val="single" w:sz="4" w:space="0" w:color="auto"/>
            </w:tcBorders>
            <w:shd w:val="clear" w:color="auto" w:fill="auto"/>
          </w:tcPr>
          <w:p w14:paraId="55D019F4" w14:textId="77777777"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p>
        </w:tc>
      </w:tr>
      <w:tr w:rsidR="00686EC7" w:rsidRPr="000C156A" w14:paraId="01ABBF84" w14:textId="77777777" w:rsidTr="00141BAA">
        <w:trPr>
          <w:trHeight w:val="300"/>
        </w:trPr>
        <w:tc>
          <w:tcPr>
            <w:tcW w:w="3140" w:type="pct"/>
            <w:tcBorders>
              <w:top w:val="nil"/>
              <w:left w:val="single" w:sz="4" w:space="0" w:color="auto"/>
              <w:bottom w:val="nil"/>
              <w:right w:val="nil"/>
            </w:tcBorders>
            <w:shd w:val="clear" w:color="auto" w:fill="auto"/>
          </w:tcPr>
          <w:p w14:paraId="7C11BE91" w14:textId="77777777" w:rsidR="00686EC7" w:rsidRPr="000C156A" w:rsidRDefault="00686EC7" w:rsidP="00141BAA">
            <w:pPr>
              <w:keepNext/>
              <w:keepLines/>
              <w:overflowPunct/>
              <w:autoSpaceDE/>
              <w:autoSpaceDN/>
              <w:adjustRightInd/>
              <w:spacing w:before="0"/>
              <w:textAlignment w:val="auto"/>
              <w:rPr>
                <w:rFonts w:cs="Calibri"/>
                <w:color w:val="000000"/>
                <w:sz w:val="22"/>
                <w:szCs w:val="22"/>
                <w:lang w:eastAsia="en-GB"/>
              </w:rPr>
            </w:pPr>
            <w:r w:rsidRPr="000C156A">
              <w:rPr>
                <w:rFonts w:cs="Calibri" w:hint="eastAsia"/>
                <w:color w:val="000000"/>
                <w:sz w:val="22"/>
                <w:szCs w:val="22"/>
                <w:lang w:eastAsia="zh-CN"/>
              </w:rPr>
              <w:t>其他应收账款</w:t>
            </w:r>
          </w:p>
        </w:tc>
        <w:tc>
          <w:tcPr>
            <w:tcW w:w="930" w:type="pct"/>
            <w:tcBorders>
              <w:top w:val="nil"/>
              <w:left w:val="single" w:sz="4" w:space="0" w:color="auto"/>
              <w:bottom w:val="nil"/>
              <w:right w:val="single" w:sz="4" w:space="0" w:color="auto"/>
            </w:tcBorders>
            <w:shd w:val="clear" w:color="auto" w:fill="auto"/>
          </w:tcPr>
          <w:p w14:paraId="4FC8C167" w14:textId="35FEABD7"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2</w:t>
            </w:r>
            <w:r w:rsidR="00034CDD" w:rsidRPr="000C156A">
              <w:rPr>
                <w:rFonts w:cs="Calibri"/>
                <w:color w:val="000000"/>
                <w:sz w:val="22"/>
                <w:szCs w:val="22"/>
                <w:lang w:eastAsia="en-GB"/>
              </w:rPr>
              <w:t xml:space="preserve"> </w:t>
            </w:r>
            <w:r w:rsidRPr="000C156A">
              <w:rPr>
                <w:rFonts w:cs="Calibri"/>
                <w:color w:val="000000"/>
                <w:sz w:val="22"/>
                <w:szCs w:val="22"/>
                <w:lang w:eastAsia="en-GB"/>
              </w:rPr>
              <w:t>022</w:t>
            </w:r>
          </w:p>
        </w:tc>
        <w:tc>
          <w:tcPr>
            <w:tcW w:w="930" w:type="pct"/>
            <w:tcBorders>
              <w:top w:val="nil"/>
              <w:left w:val="nil"/>
              <w:bottom w:val="nil"/>
              <w:right w:val="single" w:sz="4" w:space="0" w:color="auto"/>
            </w:tcBorders>
            <w:shd w:val="clear" w:color="auto" w:fill="auto"/>
          </w:tcPr>
          <w:p w14:paraId="63B068A7" w14:textId="02B3C0E0"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w:t>
            </w:r>
            <w:r w:rsidR="00034CDD" w:rsidRPr="000C156A">
              <w:rPr>
                <w:rFonts w:cs="Calibri"/>
                <w:color w:val="000000"/>
                <w:sz w:val="22"/>
                <w:szCs w:val="22"/>
                <w:lang w:eastAsia="en-GB"/>
              </w:rPr>
              <w:t xml:space="preserve"> </w:t>
            </w:r>
            <w:r w:rsidRPr="000C156A">
              <w:rPr>
                <w:rFonts w:cs="Calibri"/>
                <w:color w:val="000000"/>
                <w:sz w:val="22"/>
                <w:szCs w:val="22"/>
                <w:lang w:eastAsia="en-GB"/>
              </w:rPr>
              <w:t>430</w:t>
            </w:r>
          </w:p>
        </w:tc>
      </w:tr>
      <w:tr w:rsidR="00686EC7" w:rsidRPr="000C156A" w14:paraId="05D9ED6A" w14:textId="77777777" w:rsidTr="00141BAA">
        <w:trPr>
          <w:trHeight w:val="300"/>
        </w:trPr>
        <w:tc>
          <w:tcPr>
            <w:tcW w:w="3140" w:type="pct"/>
            <w:tcBorders>
              <w:top w:val="nil"/>
              <w:left w:val="single" w:sz="4" w:space="0" w:color="auto"/>
              <w:bottom w:val="nil"/>
              <w:right w:val="single" w:sz="4" w:space="0" w:color="auto"/>
            </w:tcBorders>
            <w:shd w:val="clear" w:color="auto" w:fill="auto"/>
            <w:hideMark/>
          </w:tcPr>
          <w:p w14:paraId="34DECD32" w14:textId="77777777" w:rsidR="00686EC7" w:rsidRPr="000C156A" w:rsidRDefault="00686EC7" w:rsidP="00141BAA">
            <w:pPr>
              <w:overflowPunct/>
              <w:autoSpaceDE/>
              <w:autoSpaceDN/>
              <w:adjustRightInd/>
              <w:spacing w:before="0"/>
              <w:textAlignment w:val="auto"/>
              <w:rPr>
                <w:rFonts w:cs="Calibri"/>
                <w:b/>
                <w:bCs/>
                <w:color w:val="000000"/>
                <w:sz w:val="22"/>
                <w:szCs w:val="22"/>
                <w:lang w:eastAsia="en-GB"/>
              </w:rPr>
            </w:pPr>
            <w:r w:rsidRPr="000C156A">
              <w:rPr>
                <w:rFonts w:cs="Arial" w:hint="eastAsia"/>
                <w:b/>
                <w:bCs/>
                <w:color w:val="000000"/>
                <w:sz w:val="22"/>
                <w:szCs w:val="22"/>
                <w:lang w:val="en-US" w:eastAsia="zh-CN"/>
              </w:rPr>
              <w:t>流动资产总额</w:t>
            </w:r>
          </w:p>
        </w:tc>
        <w:tc>
          <w:tcPr>
            <w:tcW w:w="930" w:type="pct"/>
            <w:tcBorders>
              <w:top w:val="single" w:sz="4" w:space="0" w:color="auto"/>
              <w:left w:val="nil"/>
              <w:bottom w:val="single" w:sz="4" w:space="0" w:color="auto"/>
              <w:right w:val="single" w:sz="4" w:space="0" w:color="auto"/>
            </w:tcBorders>
            <w:shd w:val="clear" w:color="auto" w:fill="auto"/>
            <w:hideMark/>
          </w:tcPr>
          <w:p w14:paraId="6272D161" w14:textId="157C7D3D"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23</w:t>
            </w:r>
            <w:r w:rsidR="00034CDD" w:rsidRPr="000C156A">
              <w:rPr>
                <w:rFonts w:cs="Calibri"/>
                <w:b/>
                <w:bCs/>
                <w:color w:val="000000"/>
                <w:sz w:val="22"/>
                <w:szCs w:val="22"/>
                <w:lang w:eastAsia="en-GB"/>
              </w:rPr>
              <w:t xml:space="preserve"> </w:t>
            </w:r>
            <w:r w:rsidRPr="000C156A">
              <w:rPr>
                <w:rFonts w:cs="Calibri"/>
                <w:b/>
                <w:bCs/>
                <w:color w:val="000000"/>
                <w:sz w:val="22"/>
                <w:szCs w:val="22"/>
                <w:lang w:eastAsia="en-GB"/>
              </w:rPr>
              <w:t>556</w:t>
            </w:r>
          </w:p>
        </w:tc>
        <w:tc>
          <w:tcPr>
            <w:tcW w:w="930" w:type="pct"/>
            <w:tcBorders>
              <w:top w:val="single" w:sz="4" w:space="0" w:color="auto"/>
              <w:left w:val="nil"/>
              <w:bottom w:val="single" w:sz="4" w:space="0" w:color="auto"/>
              <w:right w:val="single" w:sz="4" w:space="0" w:color="auto"/>
            </w:tcBorders>
            <w:shd w:val="clear" w:color="auto" w:fill="auto"/>
            <w:hideMark/>
          </w:tcPr>
          <w:p w14:paraId="69D75B64" w14:textId="121E0234"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15</w:t>
            </w:r>
            <w:r w:rsidR="00034CDD" w:rsidRPr="000C156A">
              <w:rPr>
                <w:rFonts w:cs="Calibri"/>
                <w:b/>
                <w:bCs/>
                <w:color w:val="000000"/>
                <w:sz w:val="22"/>
                <w:szCs w:val="22"/>
                <w:lang w:eastAsia="en-GB"/>
              </w:rPr>
              <w:t xml:space="preserve"> </w:t>
            </w:r>
            <w:r w:rsidRPr="000C156A">
              <w:rPr>
                <w:rFonts w:cs="Calibri"/>
                <w:b/>
                <w:bCs/>
                <w:color w:val="000000"/>
                <w:sz w:val="22"/>
                <w:szCs w:val="22"/>
                <w:lang w:eastAsia="en-GB"/>
              </w:rPr>
              <w:t>476</w:t>
            </w:r>
          </w:p>
        </w:tc>
      </w:tr>
      <w:tr w:rsidR="00686EC7" w:rsidRPr="000C156A" w14:paraId="2E693E65" w14:textId="77777777" w:rsidTr="00141BAA">
        <w:trPr>
          <w:trHeight w:val="300"/>
        </w:trPr>
        <w:tc>
          <w:tcPr>
            <w:tcW w:w="3140" w:type="pct"/>
            <w:tcBorders>
              <w:top w:val="nil"/>
              <w:left w:val="single" w:sz="4" w:space="0" w:color="auto"/>
              <w:bottom w:val="nil"/>
              <w:right w:val="single" w:sz="4" w:space="0" w:color="auto"/>
            </w:tcBorders>
            <w:shd w:val="clear" w:color="auto" w:fill="auto"/>
          </w:tcPr>
          <w:p w14:paraId="1475A612" w14:textId="77777777" w:rsidR="00686EC7" w:rsidRPr="000C156A" w:rsidRDefault="00686EC7" w:rsidP="00141BAA">
            <w:pPr>
              <w:overflowPunct/>
              <w:autoSpaceDE/>
              <w:autoSpaceDN/>
              <w:adjustRightInd/>
              <w:spacing w:before="0"/>
              <w:textAlignment w:val="auto"/>
              <w:rPr>
                <w:rFonts w:cs="Arial"/>
                <w:b/>
                <w:bCs/>
                <w:color w:val="000000"/>
                <w:sz w:val="22"/>
                <w:szCs w:val="22"/>
                <w:lang w:val="en-US" w:eastAsia="zh-CN"/>
              </w:rPr>
            </w:pPr>
          </w:p>
        </w:tc>
        <w:tc>
          <w:tcPr>
            <w:tcW w:w="930" w:type="pct"/>
            <w:tcBorders>
              <w:top w:val="single" w:sz="4" w:space="0" w:color="auto"/>
              <w:left w:val="single" w:sz="4" w:space="0" w:color="auto"/>
            </w:tcBorders>
            <w:shd w:val="clear" w:color="auto" w:fill="auto"/>
          </w:tcPr>
          <w:p w14:paraId="0070BA9D" w14:textId="77777777"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p>
        </w:tc>
        <w:tc>
          <w:tcPr>
            <w:tcW w:w="930" w:type="pct"/>
            <w:tcBorders>
              <w:top w:val="single" w:sz="4" w:space="0" w:color="auto"/>
            </w:tcBorders>
            <w:shd w:val="clear" w:color="auto" w:fill="auto"/>
          </w:tcPr>
          <w:p w14:paraId="7FB3C3BE" w14:textId="77777777"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p>
        </w:tc>
      </w:tr>
      <w:tr w:rsidR="00686EC7" w:rsidRPr="000C156A" w14:paraId="4D8279A8" w14:textId="77777777" w:rsidTr="00141BAA">
        <w:trPr>
          <w:trHeight w:val="300"/>
        </w:trPr>
        <w:tc>
          <w:tcPr>
            <w:tcW w:w="3140" w:type="pct"/>
            <w:tcBorders>
              <w:top w:val="nil"/>
              <w:left w:val="single" w:sz="4" w:space="0" w:color="auto"/>
              <w:bottom w:val="nil"/>
              <w:right w:val="single" w:sz="4" w:space="0" w:color="auto"/>
            </w:tcBorders>
            <w:shd w:val="clear" w:color="auto" w:fill="auto"/>
            <w:hideMark/>
          </w:tcPr>
          <w:p w14:paraId="168B7D23" w14:textId="77777777" w:rsidR="00686EC7" w:rsidRPr="000C156A" w:rsidRDefault="00686EC7" w:rsidP="00141BAA">
            <w:pPr>
              <w:overflowPunct/>
              <w:autoSpaceDE/>
              <w:autoSpaceDN/>
              <w:adjustRightInd/>
              <w:spacing w:before="0"/>
              <w:textAlignment w:val="auto"/>
              <w:rPr>
                <w:rFonts w:cs="Calibri"/>
                <w:b/>
                <w:bCs/>
                <w:color w:val="000000"/>
                <w:sz w:val="22"/>
                <w:szCs w:val="22"/>
                <w:lang w:eastAsia="en-GB"/>
              </w:rPr>
            </w:pPr>
            <w:r w:rsidRPr="000C156A">
              <w:rPr>
                <w:rFonts w:cs="Arial" w:hint="eastAsia"/>
                <w:b/>
                <w:bCs/>
                <w:color w:val="000000"/>
                <w:sz w:val="22"/>
                <w:szCs w:val="22"/>
                <w:lang w:val="en-US" w:eastAsia="zh-CN"/>
              </w:rPr>
              <w:t>非流动资产</w:t>
            </w:r>
          </w:p>
        </w:tc>
        <w:tc>
          <w:tcPr>
            <w:tcW w:w="930" w:type="pct"/>
            <w:tcBorders>
              <w:top w:val="nil"/>
              <w:left w:val="single" w:sz="4" w:space="0" w:color="auto"/>
              <w:bottom w:val="nil"/>
            </w:tcBorders>
            <w:shd w:val="clear" w:color="auto" w:fill="auto"/>
            <w:hideMark/>
          </w:tcPr>
          <w:p w14:paraId="004C7665" w14:textId="77777777"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p>
        </w:tc>
        <w:tc>
          <w:tcPr>
            <w:tcW w:w="930" w:type="pct"/>
            <w:tcBorders>
              <w:top w:val="nil"/>
              <w:bottom w:val="nil"/>
            </w:tcBorders>
            <w:shd w:val="clear" w:color="auto" w:fill="auto"/>
            <w:hideMark/>
          </w:tcPr>
          <w:p w14:paraId="1066A988" w14:textId="77777777"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p>
        </w:tc>
      </w:tr>
      <w:tr w:rsidR="00686EC7" w:rsidRPr="000C156A" w14:paraId="243BE574" w14:textId="77777777" w:rsidTr="00141BAA">
        <w:trPr>
          <w:trHeight w:val="300"/>
        </w:trPr>
        <w:tc>
          <w:tcPr>
            <w:tcW w:w="3140" w:type="pct"/>
            <w:tcBorders>
              <w:top w:val="nil"/>
              <w:left w:val="single" w:sz="4" w:space="0" w:color="auto"/>
              <w:bottom w:val="nil"/>
              <w:right w:val="nil"/>
            </w:tcBorders>
            <w:shd w:val="clear" w:color="auto" w:fill="auto"/>
            <w:hideMark/>
          </w:tcPr>
          <w:p w14:paraId="21821388"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Arial" w:hint="eastAsia"/>
                <w:color w:val="000000"/>
                <w:sz w:val="22"/>
                <w:szCs w:val="22"/>
                <w:lang w:val="en-US" w:eastAsia="zh-CN"/>
              </w:rPr>
              <w:t>物业、机器和设备</w:t>
            </w:r>
          </w:p>
        </w:tc>
        <w:tc>
          <w:tcPr>
            <w:tcW w:w="930" w:type="pct"/>
            <w:tcBorders>
              <w:top w:val="nil"/>
              <w:left w:val="single" w:sz="4" w:space="0" w:color="auto"/>
              <w:bottom w:val="nil"/>
              <w:right w:val="single" w:sz="4" w:space="0" w:color="auto"/>
            </w:tcBorders>
            <w:shd w:val="clear" w:color="auto" w:fill="auto"/>
            <w:hideMark/>
          </w:tcPr>
          <w:p w14:paraId="16340ADF" w14:textId="77777777"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p>
        </w:tc>
        <w:tc>
          <w:tcPr>
            <w:tcW w:w="930" w:type="pct"/>
            <w:tcBorders>
              <w:top w:val="nil"/>
              <w:left w:val="nil"/>
              <w:bottom w:val="nil"/>
              <w:right w:val="single" w:sz="4" w:space="0" w:color="auto"/>
            </w:tcBorders>
            <w:shd w:val="clear" w:color="auto" w:fill="auto"/>
            <w:hideMark/>
          </w:tcPr>
          <w:p w14:paraId="6591C4E8" w14:textId="77777777"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p>
        </w:tc>
      </w:tr>
      <w:tr w:rsidR="00686EC7" w:rsidRPr="000C156A" w14:paraId="302E605C" w14:textId="77777777" w:rsidTr="00141BAA">
        <w:trPr>
          <w:trHeight w:val="300"/>
        </w:trPr>
        <w:tc>
          <w:tcPr>
            <w:tcW w:w="3140" w:type="pct"/>
            <w:tcBorders>
              <w:top w:val="nil"/>
              <w:left w:val="single" w:sz="4" w:space="0" w:color="auto"/>
              <w:bottom w:val="nil"/>
              <w:right w:val="nil"/>
            </w:tcBorders>
            <w:shd w:val="clear" w:color="auto" w:fill="auto"/>
            <w:hideMark/>
          </w:tcPr>
          <w:p w14:paraId="28DE5F92"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Arial" w:hint="eastAsia"/>
                <w:color w:val="000000"/>
                <w:sz w:val="22"/>
                <w:szCs w:val="22"/>
                <w:lang w:val="en-US" w:eastAsia="zh-CN"/>
              </w:rPr>
              <w:t>无形资产</w:t>
            </w:r>
          </w:p>
        </w:tc>
        <w:tc>
          <w:tcPr>
            <w:tcW w:w="930" w:type="pct"/>
            <w:tcBorders>
              <w:top w:val="nil"/>
              <w:left w:val="single" w:sz="4" w:space="0" w:color="auto"/>
              <w:bottom w:val="nil"/>
              <w:right w:val="single" w:sz="4" w:space="0" w:color="auto"/>
            </w:tcBorders>
            <w:shd w:val="clear" w:color="auto" w:fill="auto"/>
            <w:hideMark/>
          </w:tcPr>
          <w:p w14:paraId="76052200" w14:textId="77777777"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p>
        </w:tc>
        <w:tc>
          <w:tcPr>
            <w:tcW w:w="930" w:type="pct"/>
            <w:tcBorders>
              <w:top w:val="nil"/>
              <w:left w:val="nil"/>
              <w:bottom w:val="nil"/>
              <w:right w:val="single" w:sz="4" w:space="0" w:color="auto"/>
            </w:tcBorders>
            <w:shd w:val="clear" w:color="auto" w:fill="auto"/>
            <w:hideMark/>
          </w:tcPr>
          <w:p w14:paraId="3DF66285" w14:textId="77777777"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p>
        </w:tc>
      </w:tr>
      <w:tr w:rsidR="00686EC7" w:rsidRPr="000C156A" w14:paraId="199F385F" w14:textId="77777777" w:rsidTr="00141BAA">
        <w:trPr>
          <w:trHeight w:val="300"/>
        </w:trPr>
        <w:tc>
          <w:tcPr>
            <w:tcW w:w="3140" w:type="pct"/>
            <w:tcBorders>
              <w:top w:val="nil"/>
              <w:left w:val="single" w:sz="4" w:space="0" w:color="auto"/>
              <w:bottom w:val="nil"/>
              <w:right w:val="nil"/>
            </w:tcBorders>
            <w:shd w:val="clear" w:color="auto" w:fill="auto"/>
            <w:hideMark/>
          </w:tcPr>
          <w:p w14:paraId="7E336D4E"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Arial" w:hint="eastAsia"/>
                <w:color w:val="000000"/>
                <w:sz w:val="22"/>
                <w:szCs w:val="22"/>
                <w:lang w:val="en-US" w:eastAsia="zh-CN"/>
              </w:rPr>
              <w:t>在建资产</w:t>
            </w:r>
          </w:p>
        </w:tc>
        <w:tc>
          <w:tcPr>
            <w:tcW w:w="930" w:type="pct"/>
            <w:tcBorders>
              <w:top w:val="nil"/>
              <w:left w:val="single" w:sz="4" w:space="0" w:color="auto"/>
              <w:bottom w:val="nil"/>
              <w:right w:val="single" w:sz="4" w:space="0" w:color="auto"/>
            </w:tcBorders>
            <w:shd w:val="clear" w:color="auto" w:fill="auto"/>
            <w:hideMark/>
          </w:tcPr>
          <w:p w14:paraId="15F538E8" w14:textId="462CB0DD"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w:t>
            </w:r>
            <w:r w:rsidR="00034CDD" w:rsidRPr="000C156A">
              <w:rPr>
                <w:rFonts w:cs="Calibri"/>
                <w:color w:val="000000"/>
                <w:sz w:val="22"/>
                <w:szCs w:val="22"/>
                <w:lang w:eastAsia="en-GB"/>
              </w:rPr>
              <w:t xml:space="preserve"> </w:t>
            </w:r>
            <w:r w:rsidRPr="000C156A">
              <w:rPr>
                <w:rFonts w:cs="Calibri"/>
                <w:color w:val="000000"/>
                <w:sz w:val="22"/>
                <w:szCs w:val="22"/>
                <w:lang w:eastAsia="en-GB"/>
              </w:rPr>
              <w:t>176</w:t>
            </w:r>
          </w:p>
        </w:tc>
        <w:tc>
          <w:tcPr>
            <w:tcW w:w="930" w:type="pct"/>
            <w:tcBorders>
              <w:top w:val="nil"/>
              <w:left w:val="nil"/>
              <w:bottom w:val="nil"/>
              <w:right w:val="single" w:sz="4" w:space="0" w:color="auto"/>
            </w:tcBorders>
            <w:shd w:val="clear" w:color="auto" w:fill="auto"/>
            <w:hideMark/>
          </w:tcPr>
          <w:p w14:paraId="7B94E196" w14:textId="211F498B"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w:t>
            </w:r>
            <w:r w:rsidR="00034CDD" w:rsidRPr="000C156A">
              <w:rPr>
                <w:rFonts w:cs="Calibri"/>
                <w:color w:val="000000"/>
                <w:sz w:val="22"/>
                <w:szCs w:val="22"/>
                <w:lang w:eastAsia="en-GB"/>
              </w:rPr>
              <w:t xml:space="preserve"> </w:t>
            </w:r>
            <w:r w:rsidRPr="000C156A">
              <w:rPr>
                <w:rFonts w:cs="Calibri"/>
                <w:color w:val="000000"/>
                <w:sz w:val="22"/>
                <w:szCs w:val="22"/>
                <w:lang w:eastAsia="en-GB"/>
              </w:rPr>
              <w:t>948</w:t>
            </w:r>
          </w:p>
        </w:tc>
      </w:tr>
      <w:tr w:rsidR="00686EC7" w:rsidRPr="000C156A" w14:paraId="55A0F757" w14:textId="77777777" w:rsidTr="00141BAA">
        <w:trPr>
          <w:trHeight w:val="300"/>
        </w:trPr>
        <w:tc>
          <w:tcPr>
            <w:tcW w:w="3140" w:type="pct"/>
            <w:tcBorders>
              <w:top w:val="nil"/>
              <w:left w:val="single" w:sz="4" w:space="0" w:color="auto"/>
              <w:bottom w:val="nil"/>
              <w:right w:val="nil"/>
            </w:tcBorders>
            <w:shd w:val="clear" w:color="auto" w:fill="auto"/>
            <w:hideMark/>
          </w:tcPr>
          <w:p w14:paraId="0C42582D" w14:textId="77777777" w:rsidR="00686EC7" w:rsidRPr="000C156A" w:rsidRDefault="00686EC7" w:rsidP="00141BAA">
            <w:pPr>
              <w:overflowPunct/>
              <w:autoSpaceDE/>
              <w:autoSpaceDN/>
              <w:adjustRightInd/>
              <w:spacing w:before="0"/>
              <w:textAlignment w:val="auto"/>
              <w:rPr>
                <w:rFonts w:cs="Calibri"/>
                <w:b/>
                <w:bCs/>
                <w:color w:val="000000"/>
                <w:sz w:val="22"/>
                <w:szCs w:val="22"/>
                <w:lang w:eastAsia="en-GB"/>
              </w:rPr>
            </w:pPr>
            <w:r w:rsidRPr="000C156A">
              <w:rPr>
                <w:rFonts w:cs="Arial" w:hint="eastAsia"/>
                <w:b/>
                <w:bCs/>
                <w:color w:val="000000"/>
                <w:sz w:val="22"/>
                <w:szCs w:val="22"/>
                <w:lang w:val="en-US" w:eastAsia="zh-CN"/>
              </w:rPr>
              <w:t>非流动资产总额</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14:paraId="683D6AA5" w14:textId="4EF16A44"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8</w:t>
            </w:r>
            <w:r w:rsidR="00034CDD" w:rsidRPr="000C156A">
              <w:rPr>
                <w:rFonts w:cs="Calibri"/>
                <w:b/>
                <w:bCs/>
                <w:color w:val="000000"/>
                <w:sz w:val="22"/>
                <w:szCs w:val="22"/>
                <w:lang w:eastAsia="en-GB"/>
              </w:rPr>
              <w:t xml:space="preserve"> </w:t>
            </w:r>
            <w:r w:rsidRPr="000C156A">
              <w:rPr>
                <w:rFonts w:cs="Calibri"/>
                <w:b/>
                <w:bCs/>
                <w:color w:val="000000"/>
                <w:sz w:val="22"/>
                <w:szCs w:val="22"/>
                <w:lang w:eastAsia="en-GB"/>
              </w:rPr>
              <w:t>176</w:t>
            </w:r>
          </w:p>
        </w:tc>
        <w:tc>
          <w:tcPr>
            <w:tcW w:w="930" w:type="pct"/>
            <w:tcBorders>
              <w:top w:val="single" w:sz="4" w:space="0" w:color="auto"/>
              <w:left w:val="nil"/>
              <w:bottom w:val="single" w:sz="4" w:space="0" w:color="auto"/>
              <w:right w:val="single" w:sz="4" w:space="0" w:color="auto"/>
            </w:tcBorders>
            <w:shd w:val="clear" w:color="auto" w:fill="auto"/>
            <w:hideMark/>
          </w:tcPr>
          <w:p w14:paraId="173133E8" w14:textId="5E78CAD4"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3</w:t>
            </w:r>
            <w:r w:rsidR="00034CDD" w:rsidRPr="000C156A">
              <w:rPr>
                <w:rFonts w:cs="Calibri"/>
                <w:b/>
                <w:bCs/>
                <w:color w:val="000000"/>
                <w:sz w:val="22"/>
                <w:szCs w:val="22"/>
                <w:lang w:eastAsia="en-GB"/>
              </w:rPr>
              <w:t xml:space="preserve"> </w:t>
            </w:r>
            <w:r w:rsidRPr="000C156A">
              <w:rPr>
                <w:rFonts w:cs="Calibri"/>
                <w:b/>
                <w:bCs/>
                <w:color w:val="000000"/>
                <w:sz w:val="22"/>
                <w:szCs w:val="22"/>
                <w:lang w:eastAsia="en-GB"/>
              </w:rPr>
              <w:t>948</w:t>
            </w:r>
          </w:p>
        </w:tc>
      </w:tr>
      <w:tr w:rsidR="00686EC7" w:rsidRPr="000C156A" w14:paraId="28510F8D" w14:textId="77777777" w:rsidTr="00141BAA">
        <w:trPr>
          <w:trHeight w:val="300"/>
        </w:trPr>
        <w:tc>
          <w:tcPr>
            <w:tcW w:w="3140" w:type="pct"/>
            <w:tcBorders>
              <w:top w:val="nil"/>
              <w:left w:val="single" w:sz="4" w:space="0" w:color="auto"/>
              <w:bottom w:val="nil"/>
              <w:right w:val="nil"/>
            </w:tcBorders>
            <w:shd w:val="clear" w:color="auto" w:fill="auto"/>
          </w:tcPr>
          <w:p w14:paraId="1B3D96F4" w14:textId="77777777" w:rsidR="00686EC7" w:rsidRPr="000C156A" w:rsidRDefault="00686EC7" w:rsidP="00141BAA">
            <w:pPr>
              <w:overflowPunct/>
              <w:autoSpaceDE/>
              <w:autoSpaceDN/>
              <w:adjustRightInd/>
              <w:spacing w:before="0"/>
              <w:textAlignment w:val="auto"/>
              <w:rPr>
                <w:rFonts w:cs="Arial"/>
                <w:b/>
                <w:bCs/>
                <w:color w:val="000000"/>
                <w:sz w:val="22"/>
                <w:szCs w:val="22"/>
                <w:lang w:val="en-US" w:eastAsia="zh-CN"/>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24D4DA05" w14:textId="77777777"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p>
        </w:tc>
        <w:tc>
          <w:tcPr>
            <w:tcW w:w="930" w:type="pct"/>
            <w:tcBorders>
              <w:top w:val="single" w:sz="4" w:space="0" w:color="auto"/>
              <w:left w:val="nil"/>
              <w:bottom w:val="single" w:sz="4" w:space="0" w:color="auto"/>
              <w:right w:val="single" w:sz="4" w:space="0" w:color="auto"/>
            </w:tcBorders>
            <w:shd w:val="clear" w:color="auto" w:fill="auto"/>
          </w:tcPr>
          <w:p w14:paraId="14BCC151" w14:textId="77777777"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p>
        </w:tc>
      </w:tr>
      <w:tr w:rsidR="00686EC7" w:rsidRPr="000C156A" w14:paraId="42C3CE72" w14:textId="77777777" w:rsidTr="00141BAA">
        <w:trPr>
          <w:trHeight w:val="300"/>
        </w:trPr>
        <w:tc>
          <w:tcPr>
            <w:tcW w:w="3140" w:type="pct"/>
            <w:tcBorders>
              <w:top w:val="single" w:sz="4" w:space="0" w:color="auto"/>
              <w:left w:val="single" w:sz="4" w:space="0" w:color="auto"/>
              <w:bottom w:val="single" w:sz="4" w:space="0" w:color="auto"/>
              <w:right w:val="nil"/>
            </w:tcBorders>
            <w:shd w:val="clear" w:color="000000" w:fill="C5D9F1"/>
            <w:noWrap/>
            <w:vAlign w:val="center"/>
            <w:hideMark/>
          </w:tcPr>
          <w:p w14:paraId="48CE66DE" w14:textId="77777777" w:rsidR="00686EC7" w:rsidRPr="000C156A" w:rsidRDefault="00686EC7" w:rsidP="00141BAA">
            <w:pPr>
              <w:overflowPunct/>
              <w:autoSpaceDE/>
              <w:autoSpaceDN/>
              <w:adjustRightInd/>
              <w:spacing w:before="0"/>
              <w:textAlignment w:val="auto"/>
              <w:rPr>
                <w:rFonts w:cs="Calibri"/>
                <w:b/>
                <w:bCs/>
                <w:color w:val="000000"/>
                <w:sz w:val="22"/>
                <w:szCs w:val="22"/>
                <w:lang w:eastAsia="en-GB"/>
              </w:rPr>
            </w:pPr>
            <w:r w:rsidRPr="000C156A">
              <w:rPr>
                <w:rFonts w:cs="Arial" w:hint="eastAsia"/>
                <w:b/>
                <w:bCs/>
                <w:color w:val="000000"/>
                <w:sz w:val="22"/>
                <w:szCs w:val="22"/>
                <w:lang w:val="en-US" w:eastAsia="zh-CN"/>
              </w:rPr>
              <w:t>总资产</w:t>
            </w:r>
          </w:p>
        </w:tc>
        <w:tc>
          <w:tcPr>
            <w:tcW w:w="930"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14D39E7" w14:textId="17EC8459"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31</w:t>
            </w:r>
            <w:r w:rsidR="00034CDD" w:rsidRPr="000C156A">
              <w:rPr>
                <w:rFonts w:cs="Calibri"/>
                <w:b/>
                <w:bCs/>
                <w:color w:val="000000"/>
                <w:sz w:val="22"/>
                <w:szCs w:val="22"/>
                <w:lang w:eastAsia="en-GB"/>
              </w:rPr>
              <w:t xml:space="preserve"> </w:t>
            </w:r>
            <w:r w:rsidRPr="000C156A">
              <w:rPr>
                <w:rFonts w:cs="Calibri"/>
                <w:b/>
                <w:bCs/>
                <w:color w:val="000000"/>
                <w:sz w:val="22"/>
                <w:szCs w:val="22"/>
                <w:lang w:eastAsia="en-GB"/>
              </w:rPr>
              <w:t>732</w:t>
            </w:r>
          </w:p>
        </w:tc>
        <w:tc>
          <w:tcPr>
            <w:tcW w:w="930" w:type="pct"/>
            <w:tcBorders>
              <w:top w:val="single" w:sz="4" w:space="0" w:color="auto"/>
              <w:left w:val="nil"/>
              <w:bottom w:val="single" w:sz="4" w:space="0" w:color="auto"/>
              <w:right w:val="single" w:sz="4" w:space="0" w:color="auto"/>
            </w:tcBorders>
            <w:shd w:val="clear" w:color="000000" w:fill="C5D9F1"/>
            <w:noWrap/>
            <w:vAlign w:val="center"/>
            <w:hideMark/>
          </w:tcPr>
          <w:p w14:paraId="7AB311EE" w14:textId="4DE54305"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19</w:t>
            </w:r>
            <w:r w:rsidR="00034CDD" w:rsidRPr="000C156A">
              <w:rPr>
                <w:rFonts w:cs="Calibri"/>
                <w:b/>
                <w:bCs/>
                <w:color w:val="000000"/>
                <w:sz w:val="22"/>
                <w:szCs w:val="22"/>
                <w:lang w:eastAsia="en-GB"/>
              </w:rPr>
              <w:t xml:space="preserve"> </w:t>
            </w:r>
            <w:r w:rsidRPr="000C156A">
              <w:rPr>
                <w:rFonts w:cs="Calibri"/>
                <w:b/>
                <w:bCs/>
                <w:color w:val="000000"/>
                <w:sz w:val="22"/>
                <w:szCs w:val="22"/>
                <w:lang w:eastAsia="en-GB"/>
              </w:rPr>
              <w:t>424</w:t>
            </w:r>
          </w:p>
        </w:tc>
      </w:tr>
      <w:tr w:rsidR="00686EC7" w:rsidRPr="000C156A" w14:paraId="78FB0BD7" w14:textId="77777777" w:rsidTr="00141BAA">
        <w:trPr>
          <w:trHeight w:val="300"/>
        </w:trPr>
        <w:tc>
          <w:tcPr>
            <w:tcW w:w="3140" w:type="pct"/>
            <w:tcBorders>
              <w:top w:val="nil"/>
              <w:left w:val="single" w:sz="4" w:space="0" w:color="auto"/>
              <w:bottom w:val="nil"/>
              <w:right w:val="nil"/>
            </w:tcBorders>
            <w:shd w:val="clear" w:color="auto" w:fill="auto"/>
            <w:hideMark/>
          </w:tcPr>
          <w:p w14:paraId="6CD3D656" w14:textId="77777777" w:rsidR="00686EC7" w:rsidRPr="000C156A" w:rsidRDefault="00686EC7" w:rsidP="00141BAA">
            <w:pPr>
              <w:overflowPunct/>
              <w:autoSpaceDE/>
              <w:autoSpaceDN/>
              <w:adjustRightInd/>
              <w:spacing w:before="0"/>
              <w:textAlignment w:val="auto"/>
              <w:rPr>
                <w:rFonts w:cs="Calibri"/>
                <w:b/>
                <w:bCs/>
                <w:color w:val="000000"/>
                <w:sz w:val="22"/>
                <w:szCs w:val="22"/>
                <w:lang w:eastAsia="en-GB"/>
              </w:rPr>
            </w:pPr>
            <w:r w:rsidRPr="000C156A">
              <w:rPr>
                <w:rFonts w:cs="Arial" w:hint="eastAsia"/>
                <w:b/>
                <w:bCs/>
                <w:color w:val="000000"/>
                <w:sz w:val="22"/>
                <w:szCs w:val="22"/>
                <w:lang w:val="en-US" w:eastAsia="zh-CN"/>
              </w:rPr>
              <w:t>负债</w:t>
            </w:r>
          </w:p>
        </w:tc>
        <w:tc>
          <w:tcPr>
            <w:tcW w:w="930" w:type="pct"/>
            <w:tcBorders>
              <w:top w:val="nil"/>
              <w:left w:val="single" w:sz="4" w:space="0" w:color="auto"/>
              <w:bottom w:val="nil"/>
              <w:right w:val="single" w:sz="4" w:space="0" w:color="auto"/>
            </w:tcBorders>
            <w:shd w:val="clear" w:color="auto" w:fill="auto"/>
            <w:hideMark/>
          </w:tcPr>
          <w:p w14:paraId="15D282CD" w14:textId="77777777"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p>
        </w:tc>
        <w:tc>
          <w:tcPr>
            <w:tcW w:w="930" w:type="pct"/>
            <w:tcBorders>
              <w:top w:val="nil"/>
              <w:left w:val="nil"/>
              <w:bottom w:val="nil"/>
              <w:right w:val="single" w:sz="4" w:space="0" w:color="auto"/>
            </w:tcBorders>
            <w:shd w:val="clear" w:color="auto" w:fill="auto"/>
            <w:hideMark/>
          </w:tcPr>
          <w:p w14:paraId="47F0B921" w14:textId="77777777"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p>
        </w:tc>
      </w:tr>
      <w:tr w:rsidR="00686EC7" w:rsidRPr="000C156A" w14:paraId="03B75CEA" w14:textId="77777777" w:rsidTr="00141BAA">
        <w:trPr>
          <w:trHeight w:val="300"/>
        </w:trPr>
        <w:tc>
          <w:tcPr>
            <w:tcW w:w="3140" w:type="pct"/>
            <w:tcBorders>
              <w:top w:val="nil"/>
              <w:left w:val="single" w:sz="4" w:space="0" w:color="auto"/>
              <w:bottom w:val="nil"/>
              <w:right w:val="nil"/>
            </w:tcBorders>
            <w:shd w:val="clear" w:color="auto" w:fill="auto"/>
            <w:hideMark/>
          </w:tcPr>
          <w:p w14:paraId="520223AD" w14:textId="77777777" w:rsidR="00686EC7" w:rsidRPr="000C156A" w:rsidRDefault="00686EC7" w:rsidP="00141BAA">
            <w:pPr>
              <w:overflowPunct/>
              <w:autoSpaceDE/>
              <w:autoSpaceDN/>
              <w:adjustRightInd/>
              <w:spacing w:before="0"/>
              <w:textAlignment w:val="auto"/>
              <w:rPr>
                <w:rFonts w:cs="Calibri"/>
                <w:b/>
                <w:bCs/>
                <w:color w:val="000000"/>
                <w:sz w:val="22"/>
                <w:szCs w:val="22"/>
                <w:lang w:eastAsia="en-GB"/>
              </w:rPr>
            </w:pPr>
            <w:r w:rsidRPr="000C156A">
              <w:rPr>
                <w:rFonts w:cs="Arial" w:hint="eastAsia"/>
                <w:b/>
                <w:bCs/>
                <w:color w:val="000000"/>
                <w:sz w:val="22"/>
                <w:szCs w:val="22"/>
                <w:lang w:val="en-US" w:eastAsia="zh-CN"/>
              </w:rPr>
              <w:t>流动负债</w:t>
            </w:r>
          </w:p>
        </w:tc>
        <w:tc>
          <w:tcPr>
            <w:tcW w:w="930" w:type="pct"/>
            <w:tcBorders>
              <w:top w:val="nil"/>
              <w:left w:val="single" w:sz="4" w:space="0" w:color="auto"/>
              <w:bottom w:val="nil"/>
              <w:right w:val="single" w:sz="4" w:space="0" w:color="auto"/>
            </w:tcBorders>
            <w:shd w:val="clear" w:color="auto" w:fill="auto"/>
            <w:hideMark/>
          </w:tcPr>
          <w:p w14:paraId="371F8555" w14:textId="77777777"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p>
        </w:tc>
        <w:tc>
          <w:tcPr>
            <w:tcW w:w="930" w:type="pct"/>
            <w:tcBorders>
              <w:top w:val="nil"/>
              <w:left w:val="nil"/>
              <w:bottom w:val="nil"/>
              <w:right w:val="single" w:sz="4" w:space="0" w:color="auto"/>
            </w:tcBorders>
            <w:shd w:val="clear" w:color="auto" w:fill="auto"/>
            <w:hideMark/>
          </w:tcPr>
          <w:p w14:paraId="4F4ACD6B" w14:textId="77777777"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p>
        </w:tc>
      </w:tr>
      <w:tr w:rsidR="00686EC7" w:rsidRPr="000C156A" w14:paraId="3AB9DE30" w14:textId="77777777" w:rsidTr="00141BAA">
        <w:trPr>
          <w:trHeight w:val="300"/>
        </w:trPr>
        <w:tc>
          <w:tcPr>
            <w:tcW w:w="3140" w:type="pct"/>
            <w:tcBorders>
              <w:top w:val="nil"/>
              <w:left w:val="single" w:sz="4" w:space="0" w:color="auto"/>
              <w:bottom w:val="nil"/>
              <w:right w:val="nil"/>
            </w:tcBorders>
            <w:shd w:val="clear" w:color="auto" w:fill="auto"/>
            <w:hideMark/>
          </w:tcPr>
          <w:p w14:paraId="2C7424B9"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Arial" w:hint="eastAsia"/>
                <w:sz w:val="22"/>
                <w:szCs w:val="22"/>
                <w:lang w:val="en-US" w:eastAsia="zh-CN"/>
              </w:rPr>
              <w:t>供应商和其他债权人</w:t>
            </w:r>
          </w:p>
        </w:tc>
        <w:tc>
          <w:tcPr>
            <w:tcW w:w="930" w:type="pct"/>
            <w:tcBorders>
              <w:top w:val="nil"/>
              <w:left w:val="single" w:sz="4" w:space="0" w:color="auto"/>
              <w:bottom w:val="nil"/>
              <w:right w:val="single" w:sz="4" w:space="0" w:color="auto"/>
            </w:tcBorders>
            <w:shd w:val="clear" w:color="auto" w:fill="auto"/>
            <w:hideMark/>
          </w:tcPr>
          <w:p w14:paraId="7EB18B05" w14:textId="77777777"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66</w:t>
            </w:r>
          </w:p>
        </w:tc>
        <w:tc>
          <w:tcPr>
            <w:tcW w:w="930" w:type="pct"/>
            <w:tcBorders>
              <w:top w:val="nil"/>
              <w:left w:val="nil"/>
              <w:bottom w:val="nil"/>
              <w:right w:val="single" w:sz="4" w:space="0" w:color="auto"/>
            </w:tcBorders>
            <w:shd w:val="clear" w:color="auto" w:fill="auto"/>
            <w:hideMark/>
          </w:tcPr>
          <w:p w14:paraId="7C2F3965" w14:textId="77777777"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87</w:t>
            </w:r>
          </w:p>
        </w:tc>
      </w:tr>
      <w:tr w:rsidR="00686EC7" w:rsidRPr="000C156A" w14:paraId="6F1DAEDA" w14:textId="77777777" w:rsidTr="00141BAA">
        <w:trPr>
          <w:trHeight w:val="300"/>
        </w:trPr>
        <w:tc>
          <w:tcPr>
            <w:tcW w:w="3140" w:type="pct"/>
            <w:tcBorders>
              <w:top w:val="nil"/>
              <w:left w:val="single" w:sz="4" w:space="0" w:color="auto"/>
              <w:bottom w:val="nil"/>
              <w:right w:val="nil"/>
            </w:tcBorders>
            <w:shd w:val="clear" w:color="auto" w:fill="auto"/>
          </w:tcPr>
          <w:p w14:paraId="078DB314" w14:textId="77777777" w:rsidR="00686EC7" w:rsidRPr="000C156A" w:rsidRDefault="00686EC7" w:rsidP="00141BAA">
            <w:pPr>
              <w:keepNext/>
              <w:keepLines/>
              <w:overflowPunct/>
              <w:autoSpaceDE/>
              <w:autoSpaceDN/>
              <w:adjustRightInd/>
              <w:spacing w:before="0"/>
              <w:textAlignment w:val="auto"/>
              <w:rPr>
                <w:rFonts w:cs="Calibri"/>
                <w:color w:val="000000"/>
                <w:sz w:val="22"/>
                <w:szCs w:val="22"/>
                <w:lang w:eastAsia="en-GB"/>
              </w:rPr>
            </w:pPr>
            <w:r w:rsidRPr="000C156A">
              <w:rPr>
                <w:rFonts w:cs="Calibri" w:hint="eastAsia"/>
                <w:color w:val="000000"/>
                <w:sz w:val="22"/>
                <w:szCs w:val="22"/>
                <w:lang w:eastAsia="zh-CN"/>
              </w:rPr>
              <w:t>递延收入</w:t>
            </w:r>
          </w:p>
        </w:tc>
        <w:tc>
          <w:tcPr>
            <w:tcW w:w="930" w:type="pct"/>
            <w:tcBorders>
              <w:top w:val="nil"/>
              <w:left w:val="single" w:sz="4" w:space="0" w:color="auto"/>
              <w:bottom w:val="nil"/>
              <w:right w:val="single" w:sz="4" w:space="0" w:color="auto"/>
            </w:tcBorders>
            <w:shd w:val="clear" w:color="auto" w:fill="auto"/>
          </w:tcPr>
          <w:p w14:paraId="621BBF5C" w14:textId="6F73D426"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2</w:t>
            </w:r>
            <w:r w:rsidR="00034CDD" w:rsidRPr="000C156A">
              <w:rPr>
                <w:rFonts w:cs="Calibri"/>
                <w:color w:val="000000"/>
                <w:sz w:val="22"/>
                <w:szCs w:val="22"/>
                <w:lang w:eastAsia="en-GB"/>
              </w:rPr>
              <w:t xml:space="preserve"> </w:t>
            </w:r>
            <w:r w:rsidRPr="000C156A">
              <w:rPr>
                <w:rFonts w:cs="Calibri"/>
                <w:color w:val="000000"/>
                <w:sz w:val="22"/>
                <w:szCs w:val="22"/>
                <w:lang w:eastAsia="en-GB"/>
              </w:rPr>
              <w:t>000</w:t>
            </w:r>
          </w:p>
        </w:tc>
        <w:tc>
          <w:tcPr>
            <w:tcW w:w="930" w:type="pct"/>
            <w:tcBorders>
              <w:top w:val="nil"/>
              <w:left w:val="nil"/>
              <w:bottom w:val="nil"/>
              <w:right w:val="single" w:sz="4" w:space="0" w:color="auto"/>
            </w:tcBorders>
            <w:shd w:val="clear" w:color="auto" w:fill="auto"/>
          </w:tcPr>
          <w:p w14:paraId="5D8915FF" w14:textId="075A7E79"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5</w:t>
            </w:r>
            <w:r w:rsidR="00034CDD" w:rsidRPr="000C156A">
              <w:rPr>
                <w:rFonts w:cs="Calibri"/>
                <w:color w:val="000000"/>
                <w:sz w:val="22"/>
                <w:szCs w:val="22"/>
                <w:lang w:eastAsia="en-GB"/>
              </w:rPr>
              <w:t xml:space="preserve"> </w:t>
            </w:r>
            <w:r w:rsidRPr="000C156A">
              <w:rPr>
                <w:rFonts w:cs="Calibri"/>
                <w:color w:val="000000"/>
                <w:sz w:val="22"/>
                <w:szCs w:val="22"/>
                <w:lang w:eastAsia="en-GB"/>
              </w:rPr>
              <w:t>000</w:t>
            </w:r>
          </w:p>
        </w:tc>
      </w:tr>
      <w:tr w:rsidR="00686EC7" w:rsidRPr="000C156A" w14:paraId="2C834147" w14:textId="77777777" w:rsidTr="00141BAA">
        <w:trPr>
          <w:trHeight w:val="300"/>
        </w:trPr>
        <w:tc>
          <w:tcPr>
            <w:tcW w:w="3140" w:type="pct"/>
            <w:tcBorders>
              <w:top w:val="nil"/>
              <w:left w:val="single" w:sz="4" w:space="0" w:color="auto"/>
              <w:bottom w:val="nil"/>
              <w:right w:val="nil"/>
            </w:tcBorders>
            <w:shd w:val="clear" w:color="auto" w:fill="auto"/>
          </w:tcPr>
          <w:p w14:paraId="60C9CB84" w14:textId="77777777" w:rsidR="00686EC7" w:rsidRPr="000C156A" w:rsidRDefault="00686EC7" w:rsidP="00141BAA">
            <w:pPr>
              <w:keepNext/>
              <w:keepLines/>
              <w:overflowPunct/>
              <w:autoSpaceDE/>
              <w:autoSpaceDN/>
              <w:adjustRightInd/>
              <w:spacing w:before="0"/>
              <w:textAlignment w:val="auto"/>
              <w:rPr>
                <w:rFonts w:cs="Calibri"/>
                <w:color w:val="000000"/>
                <w:sz w:val="22"/>
                <w:szCs w:val="22"/>
                <w:lang w:eastAsia="en-GB"/>
              </w:rPr>
            </w:pPr>
            <w:r w:rsidRPr="000C156A">
              <w:rPr>
                <w:rFonts w:cs="Calibri" w:hint="eastAsia"/>
                <w:color w:val="000000"/>
                <w:sz w:val="22"/>
                <w:szCs w:val="22"/>
                <w:lang w:eastAsia="zh-CN"/>
              </w:rPr>
              <w:t>其他债务</w:t>
            </w:r>
          </w:p>
        </w:tc>
        <w:tc>
          <w:tcPr>
            <w:tcW w:w="930" w:type="pct"/>
            <w:tcBorders>
              <w:top w:val="nil"/>
              <w:left w:val="single" w:sz="4" w:space="0" w:color="auto"/>
              <w:bottom w:val="nil"/>
              <w:right w:val="single" w:sz="4" w:space="0" w:color="auto"/>
            </w:tcBorders>
            <w:shd w:val="clear" w:color="auto" w:fill="auto"/>
          </w:tcPr>
          <w:p w14:paraId="38917D91" w14:textId="77777777"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6</w:t>
            </w:r>
          </w:p>
        </w:tc>
        <w:tc>
          <w:tcPr>
            <w:tcW w:w="930" w:type="pct"/>
            <w:tcBorders>
              <w:top w:val="nil"/>
              <w:left w:val="nil"/>
              <w:bottom w:val="nil"/>
              <w:right w:val="single" w:sz="4" w:space="0" w:color="auto"/>
            </w:tcBorders>
            <w:shd w:val="clear" w:color="auto" w:fill="auto"/>
          </w:tcPr>
          <w:p w14:paraId="408AEBC2" w14:textId="77777777"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p>
        </w:tc>
      </w:tr>
      <w:tr w:rsidR="00686EC7" w:rsidRPr="000C156A" w14:paraId="7D41A761" w14:textId="77777777" w:rsidTr="00141BAA">
        <w:trPr>
          <w:trHeight w:val="207"/>
        </w:trPr>
        <w:tc>
          <w:tcPr>
            <w:tcW w:w="3140" w:type="pct"/>
            <w:tcBorders>
              <w:top w:val="nil"/>
              <w:left w:val="single" w:sz="4" w:space="0" w:color="auto"/>
              <w:right w:val="nil"/>
            </w:tcBorders>
            <w:shd w:val="clear" w:color="auto" w:fill="auto"/>
            <w:hideMark/>
          </w:tcPr>
          <w:p w14:paraId="426C056D" w14:textId="77777777" w:rsidR="00686EC7" w:rsidRPr="000C156A" w:rsidRDefault="00686EC7" w:rsidP="00141BAA">
            <w:pPr>
              <w:overflowPunct/>
              <w:autoSpaceDE/>
              <w:autoSpaceDN/>
              <w:adjustRightInd/>
              <w:spacing w:before="0"/>
              <w:textAlignment w:val="auto"/>
              <w:rPr>
                <w:rFonts w:cs="Calibri"/>
                <w:b/>
                <w:bCs/>
                <w:color w:val="000000"/>
                <w:sz w:val="22"/>
                <w:szCs w:val="22"/>
                <w:lang w:eastAsia="en-GB"/>
              </w:rPr>
            </w:pPr>
            <w:r w:rsidRPr="000C156A">
              <w:rPr>
                <w:rFonts w:cs="Arial" w:hint="eastAsia"/>
                <w:b/>
                <w:bCs/>
                <w:color w:val="000000"/>
                <w:sz w:val="22"/>
                <w:szCs w:val="22"/>
                <w:lang w:val="en-US" w:eastAsia="zh-CN"/>
              </w:rPr>
              <w:t>流动负债总额</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14:paraId="45190F1F" w14:textId="13C523F1"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2</w:t>
            </w:r>
            <w:r w:rsidR="00034CDD" w:rsidRPr="000C156A">
              <w:rPr>
                <w:rFonts w:cs="Calibri"/>
                <w:b/>
                <w:bCs/>
                <w:color w:val="000000"/>
                <w:sz w:val="22"/>
                <w:szCs w:val="22"/>
                <w:lang w:eastAsia="en-GB"/>
              </w:rPr>
              <w:t xml:space="preserve"> </w:t>
            </w:r>
            <w:r w:rsidRPr="000C156A">
              <w:rPr>
                <w:rFonts w:cs="Calibri"/>
                <w:b/>
                <w:bCs/>
                <w:color w:val="000000"/>
                <w:sz w:val="22"/>
                <w:szCs w:val="22"/>
                <w:lang w:eastAsia="en-GB"/>
              </w:rPr>
              <w:t>071</w:t>
            </w:r>
          </w:p>
        </w:tc>
        <w:tc>
          <w:tcPr>
            <w:tcW w:w="930" w:type="pct"/>
            <w:tcBorders>
              <w:top w:val="single" w:sz="4" w:space="0" w:color="auto"/>
              <w:left w:val="nil"/>
              <w:bottom w:val="single" w:sz="4" w:space="0" w:color="auto"/>
              <w:right w:val="single" w:sz="4" w:space="0" w:color="auto"/>
            </w:tcBorders>
            <w:shd w:val="clear" w:color="auto" w:fill="auto"/>
            <w:hideMark/>
          </w:tcPr>
          <w:p w14:paraId="6D660102" w14:textId="2A7A18CF" w:rsidR="00686EC7" w:rsidRPr="000C156A" w:rsidRDefault="00686EC7" w:rsidP="00141BAA">
            <w:pPr>
              <w:keepNext/>
              <w:keepLines/>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5</w:t>
            </w:r>
            <w:r w:rsidR="00034CDD" w:rsidRPr="000C156A">
              <w:rPr>
                <w:rFonts w:cs="Calibri"/>
                <w:b/>
                <w:bCs/>
                <w:color w:val="000000"/>
                <w:sz w:val="22"/>
                <w:szCs w:val="22"/>
                <w:lang w:eastAsia="en-GB"/>
              </w:rPr>
              <w:t xml:space="preserve"> </w:t>
            </w:r>
            <w:r w:rsidRPr="000C156A">
              <w:rPr>
                <w:rFonts w:cs="Calibri"/>
                <w:b/>
                <w:bCs/>
                <w:color w:val="000000"/>
                <w:sz w:val="22"/>
                <w:szCs w:val="22"/>
                <w:lang w:eastAsia="en-GB"/>
              </w:rPr>
              <w:t>087</w:t>
            </w:r>
          </w:p>
        </w:tc>
      </w:tr>
      <w:tr w:rsidR="00686EC7" w:rsidRPr="000C156A" w14:paraId="6344EB8C" w14:textId="77777777" w:rsidTr="00141BAA">
        <w:trPr>
          <w:trHeight w:val="300"/>
        </w:trPr>
        <w:tc>
          <w:tcPr>
            <w:tcW w:w="3140" w:type="pct"/>
            <w:tcBorders>
              <w:top w:val="nil"/>
              <w:left w:val="single" w:sz="4" w:space="0" w:color="auto"/>
              <w:bottom w:val="nil"/>
              <w:right w:val="single" w:sz="4" w:space="0" w:color="auto"/>
            </w:tcBorders>
            <w:shd w:val="clear" w:color="auto" w:fill="auto"/>
          </w:tcPr>
          <w:p w14:paraId="5ABF259A" w14:textId="77777777" w:rsidR="00686EC7" w:rsidRPr="000C156A" w:rsidRDefault="00686EC7" w:rsidP="00141BAA">
            <w:pPr>
              <w:overflowPunct/>
              <w:autoSpaceDE/>
              <w:autoSpaceDN/>
              <w:adjustRightInd/>
              <w:spacing w:before="0"/>
              <w:textAlignment w:val="auto"/>
              <w:rPr>
                <w:rFonts w:cs="Arial"/>
                <w:b/>
                <w:bCs/>
                <w:color w:val="000000"/>
                <w:sz w:val="22"/>
                <w:szCs w:val="22"/>
                <w:lang w:val="en-US" w:eastAsia="zh-CN"/>
              </w:rPr>
            </w:pPr>
          </w:p>
        </w:tc>
        <w:tc>
          <w:tcPr>
            <w:tcW w:w="930" w:type="pct"/>
            <w:tcBorders>
              <w:top w:val="single" w:sz="4" w:space="0" w:color="auto"/>
              <w:left w:val="single" w:sz="4" w:space="0" w:color="auto"/>
            </w:tcBorders>
            <w:shd w:val="clear" w:color="auto" w:fill="auto"/>
          </w:tcPr>
          <w:p w14:paraId="72127E67" w14:textId="77777777"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p>
        </w:tc>
        <w:tc>
          <w:tcPr>
            <w:tcW w:w="930" w:type="pct"/>
            <w:tcBorders>
              <w:top w:val="single" w:sz="4" w:space="0" w:color="auto"/>
            </w:tcBorders>
            <w:shd w:val="clear" w:color="auto" w:fill="auto"/>
          </w:tcPr>
          <w:p w14:paraId="4A88201E" w14:textId="77777777"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p>
        </w:tc>
      </w:tr>
      <w:tr w:rsidR="00686EC7" w:rsidRPr="000C156A" w14:paraId="0B435B0F" w14:textId="77777777" w:rsidTr="00141BAA">
        <w:trPr>
          <w:trHeight w:val="300"/>
        </w:trPr>
        <w:tc>
          <w:tcPr>
            <w:tcW w:w="3140" w:type="pct"/>
            <w:tcBorders>
              <w:top w:val="nil"/>
              <w:left w:val="single" w:sz="4" w:space="0" w:color="auto"/>
              <w:bottom w:val="nil"/>
              <w:right w:val="single" w:sz="4" w:space="0" w:color="auto"/>
            </w:tcBorders>
            <w:shd w:val="clear" w:color="auto" w:fill="auto"/>
            <w:hideMark/>
          </w:tcPr>
          <w:p w14:paraId="660D5317" w14:textId="77777777" w:rsidR="00686EC7" w:rsidRPr="000C156A" w:rsidRDefault="00686EC7" w:rsidP="00141BAA">
            <w:pPr>
              <w:overflowPunct/>
              <w:autoSpaceDE/>
              <w:autoSpaceDN/>
              <w:adjustRightInd/>
              <w:spacing w:before="0"/>
              <w:textAlignment w:val="auto"/>
              <w:rPr>
                <w:rFonts w:cs="Calibri"/>
                <w:b/>
                <w:bCs/>
                <w:color w:val="000000"/>
                <w:sz w:val="22"/>
                <w:szCs w:val="22"/>
                <w:lang w:eastAsia="en-GB"/>
              </w:rPr>
            </w:pPr>
            <w:r w:rsidRPr="000C156A">
              <w:rPr>
                <w:rFonts w:cs="Arial" w:hint="eastAsia"/>
                <w:b/>
                <w:bCs/>
                <w:color w:val="000000"/>
                <w:sz w:val="22"/>
                <w:szCs w:val="22"/>
                <w:lang w:val="en-US" w:eastAsia="zh-CN"/>
              </w:rPr>
              <w:t>非流动负债</w:t>
            </w:r>
          </w:p>
        </w:tc>
        <w:tc>
          <w:tcPr>
            <w:tcW w:w="930" w:type="pct"/>
            <w:tcBorders>
              <w:top w:val="nil"/>
              <w:left w:val="single" w:sz="4" w:space="0" w:color="auto"/>
              <w:bottom w:val="nil"/>
            </w:tcBorders>
            <w:shd w:val="clear" w:color="auto" w:fill="auto"/>
            <w:hideMark/>
          </w:tcPr>
          <w:p w14:paraId="28399583" w14:textId="77777777"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p>
        </w:tc>
        <w:tc>
          <w:tcPr>
            <w:tcW w:w="930" w:type="pct"/>
            <w:tcBorders>
              <w:top w:val="nil"/>
              <w:bottom w:val="nil"/>
            </w:tcBorders>
            <w:shd w:val="clear" w:color="auto" w:fill="auto"/>
            <w:hideMark/>
          </w:tcPr>
          <w:p w14:paraId="44299B9B" w14:textId="77777777" w:rsidR="00686EC7" w:rsidRPr="000C156A" w:rsidRDefault="00686EC7" w:rsidP="00141BAA">
            <w:pPr>
              <w:keepNext/>
              <w:keepLines/>
              <w:overflowPunct/>
              <w:autoSpaceDE/>
              <w:autoSpaceDN/>
              <w:adjustRightInd/>
              <w:spacing w:before="0"/>
              <w:jc w:val="right"/>
              <w:textAlignment w:val="auto"/>
              <w:rPr>
                <w:rFonts w:cs="Calibri"/>
                <w:color w:val="000000"/>
                <w:sz w:val="22"/>
                <w:szCs w:val="22"/>
                <w:lang w:eastAsia="en-GB"/>
              </w:rPr>
            </w:pPr>
          </w:p>
        </w:tc>
      </w:tr>
      <w:tr w:rsidR="00686EC7" w:rsidRPr="000C156A" w14:paraId="2B21AEDF" w14:textId="77777777" w:rsidTr="00141BAA">
        <w:trPr>
          <w:trHeight w:val="300"/>
        </w:trPr>
        <w:tc>
          <w:tcPr>
            <w:tcW w:w="3140" w:type="pct"/>
            <w:tcBorders>
              <w:top w:val="nil"/>
              <w:left w:val="single" w:sz="4" w:space="0" w:color="auto"/>
              <w:bottom w:val="nil"/>
              <w:right w:val="nil"/>
            </w:tcBorders>
            <w:shd w:val="clear" w:color="auto" w:fill="auto"/>
            <w:hideMark/>
          </w:tcPr>
          <w:p w14:paraId="32090872"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Arial" w:hint="eastAsia"/>
                <w:sz w:val="22"/>
                <w:szCs w:val="22"/>
                <w:lang w:val="en-US" w:eastAsia="zh-CN"/>
              </w:rPr>
              <w:t>借贷</w:t>
            </w:r>
          </w:p>
        </w:tc>
        <w:tc>
          <w:tcPr>
            <w:tcW w:w="930" w:type="pct"/>
            <w:tcBorders>
              <w:top w:val="nil"/>
              <w:left w:val="single" w:sz="4" w:space="0" w:color="auto"/>
              <w:bottom w:val="nil"/>
              <w:right w:val="single" w:sz="4" w:space="0" w:color="auto"/>
            </w:tcBorders>
            <w:shd w:val="clear" w:color="auto" w:fill="auto"/>
            <w:hideMark/>
          </w:tcPr>
          <w:p w14:paraId="1F95C785" w14:textId="644AF339"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9</w:t>
            </w:r>
            <w:r w:rsidR="00034CDD" w:rsidRPr="000C156A">
              <w:rPr>
                <w:rFonts w:cs="Calibri"/>
                <w:color w:val="000000"/>
                <w:sz w:val="22"/>
                <w:szCs w:val="22"/>
                <w:lang w:eastAsia="en-GB"/>
              </w:rPr>
              <w:t xml:space="preserve"> </w:t>
            </w:r>
            <w:r w:rsidRPr="000C156A">
              <w:rPr>
                <w:rFonts w:cs="Calibri"/>
                <w:color w:val="000000"/>
                <w:sz w:val="22"/>
                <w:szCs w:val="22"/>
                <w:lang w:eastAsia="en-GB"/>
              </w:rPr>
              <w:t>291</w:t>
            </w:r>
          </w:p>
        </w:tc>
        <w:tc>
          <w:tcPr>
            <w:tcW w:w="930" w:type="pct"/>
            <w:tcBorders>
              <w:top w:val="nil"/>
              <w:left w:val="nil"/>
              <w:bottom w:val="nil"/>
              <w:right w:val="single" w:sz="4" w:space="0" w:color="auto"/>
            </w:tcBorders>
            <w:shd w:val="clear" w:color="auto" w:fill="auto"/>
            <w:hideMark/>
          </w:tcPr>
          <w:p w14:paraId="50140571" w14:textId="0E4AC8E2"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5</w:t>
            </w:r>
            <w:r w:rsidR="00034CDD" w:rsidRPr="000C156A">
              <w:rPr>
                <w:rFonts w:cs="Calibri"/>
                <w:color w:val="000000"/>
                <w:sz w:val="22"/>
                <w:szCs w:val="22"/>
                <w:lang w:eastAsia="en-GB"/>
              </w:rPr>
              <w:t xml:space="preserve"> </w:t>
            </w:r>
            <w:r w:rsidRPr="000C156A">
              <w:rPr>
                <w:rFonts w:cs="Calibri"/>
                <w:color w:val="000000"/>
                <w:sz w:val="22"/>
                <w:szCs w:val="22"/>
                <w:lang w:eastAsia="en-GB"/>
              </w:rPr>
              <w:t>637</w:t>
            </w:r>
          </w:p>
        </w:tc>
      </w:tr>
      <w:tr w:rsidR="00686EC7" w:rsidRPr="000C156A" w14:paraId="2A193D29" w14:textId="77777777" w:rsidTr="00141BAA">
        <w:trPr>
          <w:trHeight w:val="300"/>
        </w:trPr>
        <w:tc>
          <w:tcPr>
            <w:tcW w:w="3140" w:type="pct"/>
            <w:tcBorders>
              <w:top w:val="nil"/>
              <w:left w:val="single" w:sz="4" w:space="0" w:color="auto"/>
              <w:bottom w:val="nil"/>
              <w:right w:val="nil"/>
            </w:tcBorders>
            <w:shd w:val="clear" w:color="auto" w:fill="auto"/>
            <w:hideMark/>
          </w:tcPr>
          <w:p w14:paraId="463E6D4A"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Arial" w:hint="eastAsia"/>
                <w:color w:val="000000"/>
                <w:sz w:val="22"/>
                <w:szCs w:val="22"/>
                <w:lang w:val="en-US" w:eastAsia="zh-CN"/>
              </w:rPr>
              <w:t>职员福利</w:t>
            </w:r>
          </w:p>
        </w:tc>
        <w:tc>
          <w:tcPr>
            <w:tcW w:w="930" w:type="pct"/>
            <w:tcBorders>
              <w:top w:val="nil"/>
              <w:left w:val="single" w:sz="4" w:space="0" w:color="auto"/>
              <w:bottom w:val="nil"/>
              <w:right w:val="single" w:sz="4" w:space="0" w:color="auto"/>
            </w:tcBorders>
            <w:shd w:val="clear" w:color="auto" w:fill="auto"/>
            <w:hideMark/>
          </w:tcPr>
          <w:p w14:paraId="63F38646" w14:textId="77777777"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w:t>
            </w:r>
          </w:p>
        </w:tc>
        <w:tc>
          <w:tcPr>
            <w:tcW w:w="930" w:type="pct"/>
            <w:tcBorders>
              <w:top w:val="nil"/>
              <w:left w:val="nil"/>
              <w:bottom w:val="nil"/>
              <w:right w:val="single" w:sz="4" w:space="0" w:color="auto"/>
            </w:tcBorders>
            <w:shd w:val="clear" w:color="auto" w:fill="auto"/>
            <w:hideMark/>
          </w:tcPr>
          <w:p w14:paraId="107315D5" w14:textId="77777777"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w:t>
            </w:r>
          </w:p>
        </w:tc>
      </w:tr>
      <w:tr w:rsidR="00686EC7" w:rsidRPr="000C156A" w14:paraId="29E44435" w14:textId="77777777" w:rsidTr="00141BAA">
        <w:trPr>
          <w:trHeight w:val="300"/>
        </w:trPr>
        <w:tc>
          <w:tcPr>
            <w:tcW w:w="3140" w:type="pct"/>
            <w:tcBorders>
              <w:top w:val="nil"/>
              <w:left w:val="single" w:sz="4" w:space="0" w:color="auto"/>
              <w:bottom w:val="nil"/>
              <w:right w:val="nil"/>
            </w:tcBorders>
            <w:shd w:val="clear" w:color="auto" w:fill="auto"/>
            <w:hideMark/>
          </w:tcPr>
          <w:p w14:paraId="254C0AE3" w14:textId="77777777" w:rsidR="00686EC7" w:rsidRPr="000C156A" w:rsidRDefault="00686EC7" w:rsidP="00141BAA">
            <w:pPr>
              <w:overflowPunct/>
              <w:autoSpaceDE/>
              <w:autoSpaceDN/>
              <w:adjustRightInd/>
              <w:spacing w:before="0"/>
              <w:textAlignment w:val="auto"/>
              <w:rPr>
                <w:rFonts w:cs="Calibri"/>
                <w:b/>
                <w:bCs/>
                <w:color w:val="000000"/>
                <w:sz w:val="22"/>
                <w:szCs w:val="22"/>
                <w:lang w:eastAsia="en-GB"/>
              </w:rPr>
            </w:pPr>
            <w:r w:rsidRPr="000C156A">
              <w:rPr>
                <w:rFonts w:cs="Arial" w:hint="eastAsia"/>
                <w:b/>
                <w:bCs/>
                <w:color w:val="000000"/>
                <w:sz w:val="22"/>
                <w:szCs w:val="22"/>
                <w:lang w:val="en-US" w:eastAsia="zh-CN"/>
              </w:rPr>
              <w:t>非流动负债总额</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14:paraId="714A7AC2" w14:textId="024443F0" w:rsidR="00686EC7" w:rsidRPr="000C156A" w:rsidRDefault="00686EC7" w:rsidP="00141BAA">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9</w:t>
            </w:r>
            <w:r w:rsidR="00034CDD" w:rsidRPr="000C156A">
              <w:rPr>
                <w:rFonts w:cs="Calibri"/>
                <w:b/>
                <w:bCs/>
                <w:color w:val="000000"/>
                <w:sz w:val="22"/>
                <w:szCs w:val="22"/>
                <w:lang w:eastAsia="en-GB"/>
              </w:rPr>
              <w:t xml:space="preserve"> </w:t>
            </w:r>
            <w:r w:rsidRPr="000C156A">
              <w:rPr>
                <w:rFonts w:cs="Calibri"/>
                <w:b/>
                <w:bCs/>
                <w:color w:val="000000"/>
                <w:sz w:val="22"/>
                <w:szCs w:val="22"/>
                <w:lang w:eastAsia="en-GB"/>
              </w:rPr>
              <w:t>299</w:t>
            </w:r>
          </w:p>
        </w:tc>
        <w:tc>
          <w:tcPr>
            <w:tcW w:w="930" w:type="pct"/>
            <w:tcBorders>
              <w:top w:val="single" w:sz="4" w:space="0" w:color="auto"/>
              <w:left w:val="nil"/>
              <w:bottom w:val="single" w:sz="4" w:space="0" w:color="auto"/>
              <w:right w:val="single" w:sz="4" w:space="0" w:color="auto"/>
            </w:tcBorders>
            <w:shd w:val="clear" w:color="auto" w:fill="auto"/>
            <w:hideMark/>
          </w:tcPr>
          <w:p w14:paraId="51544B94" w14:textId="5078DCB6" w:rsidR="00686EC7" w:rsidRPr="000C156A" w:rsidRDefault="00686EC7" w:rsidP="00141BAA">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5</w:t>
            </w:r>
            <w:r w:rsidR="00034CDD" w:rsidRPr="000C156A">
              <w:rPr>
                <w:rFonts w:cs="Calibri"/>
                <w:b/>
                <w:bCs/>
                <w:color w:val="000000"/>
                <w:sz w:val="22"/>
                <w:szCs w:val="22"/>
                <w:lang w:eastAsia="en-GB"/>
              </w:rPr>
              <w:t xml:space="preserve"> </w:t>
            </w:r>
            <w:r w:rsidRPr="000C156A">
              <w:rPr>
                <w:rFonts w:cs="Calibri"/>
                <w:b/>
                <w:bCs/>
                <w:color w:val="000000"/>
                <w:sz w:val="22"/>
                <w:szCs w:val="22"/>
                <w:lang w:eastAsia="en-GB"/>
              </w:rPr>
              <w:t>645</w:t>
            </w:r>
          </w:p>
        </w:tc>
      </w:tr>
      <w:tr w:rsidR="00686EC7" w:rsidRPr="000C156A" w14:paraId="00DF6470" w14:textId="77777777" w:rsidTr="00141BAA">
        <w:trPr>
          <w:trHeight w:val="300"/>
        </w:trPr>
        <w:tc>
          <w:tcPr>
            <w:tcW w:w="3140" w:type="pct"/>
            <w:tcBorders>
              <w:top w:val="single" w:sz="4" w:space="0" w:color="auto"/>
              <w:left w:val="single" w:sz="4" w:space="0" w:color="auto"/>
              <w:bottom w:val="single" w:sz="4" w:space="0" w:color="auto"/>
              <w:right w:val="nil"/>
            </w:tcBorders>
            <w:shd w:val="clear" w:color="000000" w:fill="C5D9F1"/>
            <w:noWrap/>
            <w:vAlign w:val="center"/>
            <w:hideMark/>
          </w:tcPr>
          <w:p w14:paraId="35197E1F" w14:textId="77777777" w:rsidR="00686EC7" w:rsidRPr="000C156A" w:rsidRDefault="00686EC7" w:rsidP="00141BAA">
            <w:pPr>
              <w:overflowPunct/>
              <w:autoSpaceDE/>
              <w:autoSpaceDN/>
              <w:adjustRightInd/>
              <w:spacing w:before="0"/>
              <w:textAlignment w:val="auto"/>
              <w:rPr>
                <w:rFonts w:cs="Calibri"/>
                <w:b/>
                <w:bCs/>
                <w:color w:val="000000"/>
                <w:sz w:val="22"/>
                <w:szCs w:val="22"/>
                <w:lang w:eastAsia="en-GB"/>
              </w:rPr>
            </w:pPr>
            <w:r w:rsidRPr="000C156A">
              <w:rPr>
                <w:rFonts w:cs="Calibri"/>
                <w:b/>
                <w:bCs/>
                <w:color w:val="000000"/>
                <w:sz w:val="22"/>
                <w:szCs w:val="22"/>
                <w:lang w:eastAsia="en-GB"/>
              </w:rPr>
              <w:t>总负债</w:t>
            </w:r>
          </w:p>
        </w:tc>
        <w:tc>
          <w:tcPr>
            <w:tcW w:w="930" w:type="pct"/>
            <w:tcBorders>
              <w:top w:val="nil"/>
              <w:left w:val="single" w:sz="4" w:space="0" w:color="auto"/>
              <w:bottom w:val="single" w:sz="4" w:space="0" w:color="auto"/>
              <w:right w:val="single" w:sz="4" w:space="0" w:color="auto"/>
            </w:tcBorders>
            <w:shd w:val="clear" w:color="000000" w:fill="C5D9F1"/>
            <w:noWrap/>
            <w:vAlign w:val="center"/>
            <w:hideMark/>
          </w:tcPr>
          <w:p w14:paraId="2E082F13" w14:textId="0D8DF326" w:rsidR="00686EC7" w:rsidRPr="000C156A" w:rsidRDefault="00686EC7" w:rsidP="00141BAA">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11</w:t>
            </w:r>
            <w:r w:rsidR="00034CDD" w:rsidRPr="000C156A">
              <w:rPr>
                <w:rFonts w:cs="Calibri"/>
                <w:b/>
                <w:bCs/>
                <w:color w:val="000000"/>
                <w:sz w:val="22"/>
                <w:szCs w:val="22"/>
                <w:lang w:eastAsia="en-GB"/>
              </w:rPr>
              <w:t xml:space="preserve"> </w:t>
            </w:r>
            <w:r w:rsidRPr="000C156A">
              <w:rPr>
                <w:rFonts w:cs="Calibri"/>
                <w:b/>
                <w:bCs/>
                <w:color w:val="000000"/>
                <w:sz w:val="22"/>
                <w:szCs w:val="22"/>
                <w:lang w:eastAsia="en-GB"/>
              </w:rPr>
              <w:t>370</w:t>
            </w:r>
          </w:p>
        </w:tc>
        <w:tc>
          <w:tcPr>
            <w:tcW w:w="930" w:type="pct"/>
            <w:tcBorders>
              <w:top w:val="nil"/>
              <w:left w:val="nil"/>
              <w:bottom w:val="single" w:sz="4" w:space="0" w:color="auto"/>
              <w:right w:val="single" w:sz="4" w:space="0" w:color="auto"/>
            </w:tcBorders>
            <w:shd w:val="clear" w:color="000000" w:fill="C5D9F1"/>
            <w:noWrap/>
            <w:vAlign w:val="center"/>
            <w:hideMark/>
          </w:tcPr>
          <w:p w14:paraId="0B02AE24" w14:textId="2D6EBE48" w:rsidR="00686EC7" w:rsidRPr="000C156A" w:rsidRDefault="00686EC7" w:rsidP="00141BAA">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10</w:t>
            </w:r>
            <w:r w:rsidR="00034CDD" w:rsidRPr="000C156A">
              <w:rPr>
                <w:rFonts w:cs="Calibri"/>
                <w:b/>
                <w:bCs/>
                <w:color w:val="000000"/>
                <w:sz w:val="22"/>
                <w:szCs w:val="22"/>
                <w:lang w:eastAsia="en-GB"/>
              </w:rPr>
              <w:t xml:space="preserve"> </w:t>
            </w:r>
            <w:r w:rsidRPr="000C156A">
              <w:rPr>
                <w:rFonts w:cs="Calibri"/>
                <w:b/>
                <w:bCs/>
                <w:color w:val="000000"/>
                <w:sz w:val="22"/>
                <w:szCs w:val="22"/>
                <w:lang w:eastAsia="en-GB"/>
              </w:rPr>
              <w:t>731</w:t>
            </w:r>
          </w:p>
        </w:tc>
      </w:tr>
      <w:tr w:rsidR="00686EC7" w:rsidRPr="000C156A" w14:paraId="292D7686" w14:textId="77777777" w:rsidTr="00141BAA">
        <w:trPr>
          <w:trHeight w:val="300"/>
        </w:trPr>
        <w:tc>
          <w:tcPr>
            <w:tcW w:w="3140" w:type="pct"/>
            <w:tcBorders>
              <w:top w:val="nil"/>
              <w:left w:val="single" w:sz="4" w:space="0" w:color="auto"/>
              <w:bottom w:val="nil"/>
              <w:right w:val="nil"/>
            </w:tcBorders>
            <w:shd w:val="clear" w:color="auto" w:fill="auto"/>
            <w:hideMark/>
          </w:tcPr>
          <w:p w14:paraId="151CC97F" w14:textId="77777777" w:rsidR="00686EC7" w:rsidRPr="000C156A" w:rsidRDefault="00686EC7" w:rsidP="00141BAA">
            <w:pPr>
              <w:overflowPunct/>
              <w:autoSpaceDE/>
              <w:autoSpaceDN/>
              <w:adjustRightInd/>
              <w:spacing w:before="0"/>
              <w:textAlignment w:val="auto"/>
              <w:rPr>
                <w:rFonts w:cs="Calibri"/>
                <w:b/>
                <w:bCs/>
                <w:color w:val="000000"/>
                <w:sz w:val="22"/>
                <w:szCs w:val="22"/>
                <w:lang w:eastAsia="en-GB"/>
              </w:rPr>
            </w:pPr>
            <w:r w:rsidRPr="000C156A">
              <w:rPr>
                <w:rFonts w:cs="Calibri" w:hint="eastAsia"/>
                <w:b/>
                <w:bCs/>
                <w:color w:val="000000"/>
                <w:sz w:val="22"/>
                <w:szCs w:val="22"/>
                <w:lang w:eastAsia="zh-CN"/>
              </w:rPr>
              <w:t>净资产</w:t>
            </w:r>
          </w:p>
        </w:tc>
        <w:tc>
          <w:tcPr>
            <w:tcW w:w="930" w:type="pct"/>
            <w:tcBorders>
              <w:top w:val="nil"/>
              <w:left w:val="single" w:sz="4" w:space="0" w:color="auto"/>
              <w:bottom w:val="nil"/>
              <w:right w:val="single" w:sz="4" w:space="0" w:color="auto"/>
            </w:tcBorders>
            <w:shd w:val="clear" w:color="auto" w:fill="auto"/>
            <w:hideMark/>
          </w:tcPr>
          <w:p w14:paraId="0C6AD872" w14:textId="77777777"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p>
        </w:tc>
        <w:tc>
          <w:tcPr>
            <w:tcW w:w="930" w:type="pct"/>
            <w:tcBorders>
              <w:top w:val="nil"/>
              <w:left w:val="nil"/>
              <w:bottom w:val="nil"/>
              <w:right w:val="single" w:sz="4" w:space="0" w:color="auto"/>
            </w:tcBorders>
            <w:shd w:val="clear" w:color="auto" w:fill="auto"/>
            <w:hideMark/>
          </w:tcPr>
          <w:p w14:paraId="79FE3B14" w14:textId="77777777"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p>
        </w:tc>
      </w:tr>
      <w:tr w:rsidR="00686EC7" w:rsidRPr="000C156A" w14:paraId="5E5AAF23" w14:textId="77777777" w:rsidTr="00141BAA">
        <w:trPr>
          <w:trHeight w:val="300"/>
        </w:trPr>
        <w:tc>
          <w:tcPr>
            <w:tcW w:w="3140" w:type="pct"/>
            <w:tcBorders>
              <w:top w:val="nil"/>
              <w:left w:val="single" w:sz="4" w:space="0" w:color="auto"/>
              <w:bottom w:val="nil"/>
              <w:right w:val="nil"/>
            </w:tcBorders>
            <w:shd w:val="clear" w:color="auto" w:fill="auto"/>
            <w:hideMark/>
          </w:tcPr>
          <w:p w14:paraId="5028C57A"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Arial" w:hint="eastAsia"/>
                <w:color w:val="000000"/>
                <w:sz w:val="22"/>
                <w:szCs w:val="22"/>
                <w:lang w:val="en-US" w:eastAsia="zh-CN"/>
              </w:rPr>
              <w:t>自有资金划拨</w:t>
            </w:r>
          </w:p>
        </w:tc>
        <w:tc>
          <w:tcPr>
            <w:tcW w:w="930" w:type="pct"/>
            <w:tcBorders>
              <w:top w:val="nil"/>
              <w:left w:val="single" w:sz="4" w:space="0" w:color="auto"/>
              <w:bottom w:val="nil"/>
              <w:right w:val="single" w:sz="4" w:space="0" w:color="auto"/>
            </w:tcBorders>
            <w:shd w:val="clear" w:color="auto" w:fill="auto"/>
            <w:hideMark/>
          </w:tcPr>
          <w:p w14:paraId="472CA825" w14:textId="19507D9A"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12</w:t>
            </w:r>
            <w:r w:rsidR="00034CDD" w:rsidRPr="000C156A">
              <w:rPr>
                <w:rFonts w:cs="Calibri"/>
                <w:color w:val="000000"/>
                <w:sz w:val="22"/>
                <w:szCs w:val="22"/>
                <w:lang w:eastAsia="en-GB"/>
              </w:rPr>
              <w:t xml:space="preserve"> </w:t>
            </w:r>
            <w:r w:rsidRPr="000C156A">
              <w:rPr>
                <w:rFonts w:cs="Calibri"/>
                <w:color w:val="000000"/>
                <w:sz w:val="22"/>
                <w:szCs w:val="22"/>
                <w:lang w:eastAsia="en-GB"/>
              </w:rPr>
              <w:t>528</w:t>
            </w:r>
          </w:p>
        </w:tc>
        <w:tc>
          <w:tcPr>
            <w:tcW w:w="930" w:type="pct"/>
            <w:tcBorders>
              <w:top w:val="nil"/>
              <w:left w:val="nil"/>
              <w:bottom w:val="nil"/>
              <w:right w:val="single" w:sz="4" w:space="0" w:color="auto"/>
            </w:tcBorders>
            <w:shd w:val="clear" w:color="auto" w:fill="auto"/>
            <w:hideMark/>
          </w:tcPr>
          <w:p w14:paraId="173B7095" w14:textId="412CD33C"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w:t>
            </w:r>
            <w:r w:rsidR="00034CDD" w:rsidRPr="000C156A">
              <w:rPr>
                <w:rFonts w:cs="Calibri"/>
                <w:color w:val="000000"/>
                <w:sz w:val="22"/>
                <w:szCs w:val="22"/>
                <w:lang w:eastAsia="en-GB"/>
              </w:rPr>
              <w:t xml:space="preserve"> </w:t>
            </w:r>
            <w:r w:rsidRPr="000C156A">
              <w:rPr>
                <w:rFonts w:cs="Calibri"/>
                <w:color w:val="000000"/>
                <w:sz w:val="22"/>
                <w:szCs w:val="22"/>
                <w:lang w:eastAsia="en-GB"/>
              </w:rPr>
              <w:t>745</w:t>
            </w:r>
          </w:p>
        </w:tc>
      </w:tr>
      <w:tr w:rsidR="00686EC7" w:rsidRPr="000C156A" w14:paraId="0424808C" w14:textId="77777777" w:rsidTr="00141BAA">
        <w:trPr>
          <w:trHeight w:val="300"/>
        </w:trPr>
        <w:tc>
          <w:tcPr>
            <w:tcW w:w="3140" w:type="pct"/>
            <w:tcBorders>
              <w:top w:val="nil"/>
              <w:left w:val="single" w:sz="4" w:space="0" w:color="auto"/>
              <w:bottom w:val="nil"/>
              <w:right w:val="nil"/>
            </w:tcBorders>
            <w:shd w:val="clear" w:color="auto" w:fill="auto"/>
            <w:hideMark/>
          </w:tcPr>
          <w:p w14:paraId="57FDB598" w14:textId="77777777" w:rsidR="00686EC7" w:rsidRPr="000C156A" w:rsidRDefault="00686EC7" w:rsidP="00141BAA">
            <w:pPr>
              <w:overflowPunct/>
              <w:autoSpaceDE/>
              <w:autoSpaceDN/>
              <w:adjustRightInd/>
              <w:spacing w:before="0"/>
              <w:textAlignment w:val="auto"/>
              <w:rPr>
                <w:rFonts w:cs="Calibri"/>
                <w:color w:val="000000"/>
                <w:sz w:val="22"/>
                <w:szCs w:val="22"/>
                <w:lang w:eastAsia="zh-CN"/>
              </w:rPr>
            </w:pPr>
            <w:r w:rsidRPr="000C156A">
              <w:rPr>
                <w:rFonts w:cs="Calibri"/>
                <w:color w:val="000000"/>
                <w:sz w:val="22"/>
                <w:szCs w:val="22"/>
                <w:lang w:eastAsia="zh-CN"/>
              </w:rPr>
              <w:t>IPSAS</w:t>
            </w:r>
            <w:r w:rsidRPr="000C156A">
              <w:rPr>
                <w:rFonts w:cs="Calibri"/>
                <w:color w:val="000000"/>
                <w:sz w:val="22"/>
                <w:szCs w:val="22"/>
                <w:lang w:eastAsia="zh-CN"/>
              </w:rPr>
              <w:t>累计赤字（统计）</w:t>
            </w:r>
          </w:p>
        </w:tc>
        <w:tc>
          <w:tcPr>
            <w:tcW w:w="930" w:type="pct"/>
            <w:tcBorders>
              <w:top w:val="nil"/>
              <w:left w:val="single" w:sz="4" w:space="0" w:color="auto"/>
              <w:bottom w:val="nil"/>
              <w:right w:val="single" w:sz="4" w:space="0" w:color="auto"/>
            </w:tcBorders>
            <w:shd w:val="clear" w:color="auto" w:fill="auto"/>
            <w:hideMark/>
          </w:tcPr>
          <w:p w14:paraId="3B2C66EE" w14:textId="08F0776D"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7</w:t>
            </w:r>
            <w:r w:rsidR="00034CDD" w:rsidRPr="000C156A">
              <w:rPr>
                <w:rFonts w:cs="Calibri"/>
                <w:color w:val="000000"/>
                <w:sz w:val="22"/>
                <w:szCs w:val="22"/>
                <w:lang w:eastAsia="en-GB"/>
              </w:rPr>
              <w:t xml:space="preserve"> </w:t>
            </w:r>
            <w:r w:rsidRPr="000C156A">
              <w:rPr>
                <w:rFonts w:cs="Calibri"/>
                <w:color w:val="000000"/>
                <w:sz w:val="22"/>
                <w:szCs w:val="22"/>
                <w:lang w:eastAsia="en-GB"/>
              </w:rPr>
              <w:t>835</w:t>
            </w:r>
          </w:p>
        </w:tc>
        <w:tc>
          <w:tcPr>
            <w:tcW w:w="930" w:type="pct"/>
            <w:tcBorders>
              <w:top w:val="nil"/>
              <w:left w:val="nil"/>
              <w:bottom w:val="nil"/>
              <w:right w:val="single" w:sz="4" w:space="0" w:color="auto"/>
            </w:tcBorders>
            <w:shd w:val="clear" w:color="auto" w:fill="auto"/>
            <w:hideMark/>
          </w:tcPr>
          <w:p w14:paraId="317582B7" w14:textId="5D1811D6"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w:t>
            </w:r>
            <w:r w:rsidR="00034CDD" w:rsidRPr="000C156A">
              <w:rPr>
                <w:rFonts w:cs="Calibri"/>
                <w:color w:val="000000"/>
                <w:sz w:val="22"/>
                <w:szCs w:val="22"/>
                <w:lang w:eastAsia="en-GB"/>
              </w:rPr>
              <w:t xml:space="preserve"> </w:t>
            </w:r>
            <w:r w:rsidRPr="000C156A">
              <w:rPr>
                <w:rFonts w:cs="Calibri"/>
                <w:color w:val="000000"/>
                <w:sz w:val="22"/>
                <w:szCs w:val="22"/>
                <w:lang w:eastAsia="en-GB"/>
              </w:rPr>
              <w:t>948</w:t>
            </w:r>
          </w:p>
        </w:tc>
      </w:tr>
      <w:tr w:rsidR="00686EC7" w:rsidRPr="000C156A" w14:paraId="28E495C0" w14:textId="77777777" w:rsidTr="00141BAA">
        <w:trPr>
          <w:trHeight w:val="300"/>
        </w:trPr>
        <w:tc>
          <w:tcPr>
            <w:tcW w:w="3140" w:type="pct"/>
            <w:tcBorders>
              <w:top w:val="single" w:sz="4" w:space="0" w:color="auto"/>
              <w:left w:val="single" w:sz="4" w:space="0" w:color="auto"/>
              <w:bottom w:val="single" w:sz="4" w:space="0" w:color="auto"/>
              <w:right w:val="nil"/>
            </w:tcBorders>
            <w:shd w:val="clear" w:color="000000" w:fill="C5D9F1"/>
            <w:noWrap/>
            <w:vAlign w:val="center"/>
            <w:hideMark/>
          </w:tcPr>
          <w:p w14:paraId="07643B14" w14:textId="77777777" w:rsidR="00686EC7" w:rsidRPr="000C156A" w:rsidRDefault="00686EC7" w:rsidP="00141BAA">
            <w:pPr>
              <w:overflowPunct/>
              <w:autoSpaceDE/>
              <w:autoSpaceDN/>
              <w:adjustRightInd/>
              <w:spacing w:before="0"/>
              <w:textAlignment w:val="auto"/>
              <w:rPr>
                <w:rFonts w:cs="Calibri"/>
                <w:b/>
                <w:bCs/>
                <w:color w:val="000000"/>
                <w:sz w:val="22"/>
                <w:szCs w:val="22"/>
                <w:lang w:eastAsia="en-GB"/>
              </w:rPr>
            </w:pPr>
            <w:r w:rsidRPr="000C156A">
              <w:rPr>
                <w:rFonts w:cs="Arial" w:hint="eastAsia"/>
                <w:b/>
                <w:bCs/>
                <w:color w:val="000000"/>
                <w:sz w:val="22"/>
                <w:szCs w:val="22"/>
                <w:lang w:val="en-US" w:eastAsia="zh-CN"/>
              </w:rPr>
              <w:t>总净资产</w:t>
            </w:r>
          </w:p>
        </w:tc>
        <w:tc>
          <w:tcPr>
            <w:tcW w:w="930"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B3B14EE" w14:textId="64A2D9FA" w:rsidR="00686EC7" w:rsidRPr="000C156A" w:rsidRDefault="00686EC7" w:rsidP="00141BAA">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20</w:t>
            </w:r>
            <w:r w:rsidR="00034CDD" w:rsidRPr="000C156A">
              <w:rPr>
                <w:rFonts w:cs="Calibri"/>
                <w:b/>
                <w:bCs/>
                <w:color w:val="000000"/>
                <w:sz w:val="22"/>
                <w:szCs w:val="22"/>
                <w:lang w:eastAsia="en-GB"/>
              </w:rPr>
              <w:t xml:space="preserve"> </w:t>
            </w:r>
            <w:r w:rsidRPr="000C156A">
              <w:rPr>
                <w:rFonts w:cs="Calibri"/>
                <w:b/>
                <w:bCs/>
                <w:color w:val="000000"/>
                <w:sz w:val="22"/>
                <w:szCs w:val="22"/>
                <w:lang w:eastAsia="en-GB"/>
              </w:rPr>
              <w:t>363</w:t>
            </w:r>
          </w:p>
        </w:tc>
        <w:tc>
          <w:tcPr>
            <w:tcW w:w="930" w:type="pct"/>
            <w:tcBorders>
              <w:top w:val="single" w:sz="4" w:space="0" w:color="auto"/>
              <w:left w:val="nil"/>
              <w:bottom w:val="single" w:sz="4" w:space="0" w:color="auto"/>
              <w:right w:val="single" w:sz="4" w:space="0" w:color="auto"/>
            </w:tcBorders>
            <w:shd w:val="clear" w:color="000000" w:fill="C5D9F1"/>
            <w:noWrap/>
            <w:vAlign w:val="center"/>
            <w:hideMark/>
          </w:tcPr>
          <w:p w14:paraId="149EBDD0" w14:textId="21F0BF3C" w:rsidR="00686EC7" w:rsidRPr="000C156A" w:rsidRDefault="00686EC7" w:rsidP="00141BAA">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8</w:t>
            </w:r>
            <w:r w:rsidR="00034CDD" w:rsidRPr="000C156A">
              <w:rPr>
                <w:rFonts w:cs="Calibri"/>
                <w:b/>
                <w:bCs/>
                <w:color w:val="000000"/>
                <w:sz w:val="22"/>
                <w:szCs w:val="22"/>
                <w:lang w:eastAsia="en-GB"/>
              </w:rPr>
              <w:t xml:space="preserve"> </w:t>
            </w:r>
            <w:r w:rsidRPr="000C156A">
              <w:rPr>
                <w:rFonts w:cs="Calibri"/>
                <w:b/>
                <w:bCs/>
                <w:color w:val="000000"/>
                <w:sz w:val="22"/>
                <w:szCs w:val="22"/>
                <w:lang w:eastAsia="en-GB"/>
              </w:rPr>
              <w:t>693</w:t>
            </w:r>
          </w:p>
        </w:tc>
      </w:tr>
    </w:tbl>
    <w:p w14:paraId="6451C1A3" w14:textId="77777777" w:rsidR="00686EC7" w:rsidRPr="000C156A" w:rsidRDefault="00686EC7" w:rsidP="00686EC7">
      <w:pPr>
        <w:pStyle w:val="Annextitle"/>
        <w:jc w:val="left"/>
        <w:rPr>
          <w:w w:val="105"/>
          <w:lang w:val="en-US" w:eastAsia="zh-CN"/>
        </w:rPr>
      </w:pPr>
      <w:bookmarkStart w:id="1193" w:name="_Toc41905916"/>
      <w:bookmarkStart w:id="1194" w:name="_Toc41908088"/>
      <w:r w:rsidRPr="000C156A">
        <w:rPr>
          <w:w w:val="105"/>
          <w:lang w:val="en-US" w:eastAsia="zh-CN"/>
        </w:rPr>
        <w:br w:type="page"/>
      </w:r>
    </w:p>
    <w:p w14:paraId="2F7E70B8" w14:textId="21ED368F" w:rsidR="00686EC7" w:rsidRPr="000C156A" w:rsidRDefault="00686EC7" w:rsidP="00686EC7">
      <w:pPr>
        <w:pStyle w:val="AnnexNo"/>
        <w:outlineLvl w:val="0"/>
        <w:rPr>
          <w:w w:val="105"/>
          <w:lang w:val="en-US" w:eastAsia="zh-CN"/>
        </w:rPr>
      </w:pPr>
      <w:bookmarkStart w:id="1195" w:name="_Toc73519304"/>
      <w:bookmarkStart w:id="1196" w:name="_Toc73636343"/>
      <w:r w:rsidRPr="000C156A">
        <w:rPr>
          <w:rFonts w:hint="eastAsia"/>
          <w:w w:val="105"/>
          <w:lang w:val="en-US" w:eastAsia="zh-CN"/>
        </w:rPr>
        <w:lastRenderedPageBreak/>
        <w:t>附件</w:t>
      </w:r>
      <w:r w:rsidRPr="000C156A">
        <w:rPr>
          <w:w w:val="105"/>
          <w:lang w:val="en-US" w:eastAsia="zh-CN"/>
        </w:rPr>
        <w:t>B3</w:t>
      </w:r>
      <w:bookmarkEnd w:id="1192"/>
      <w:bookmarkEnd w:id="1193"/>
      <w:bookmarkEnd w:id="1194"/>
      <w:bookmarkEnd w:id="1195"/>
      <w:bookmarkEnd w:id="1196"/>
    </w:p>
    <w:p w14:paraId="20B708E7" w14:textId="77777777" w:rsidR="00686EC7" w:rsidRPr="000C156A" w:rsidRDefault="00686EC7" w:rsidP="00B1736F">
      <w:pPr>
        <w:pStyle w:val="Annextitle"/>
        <w:rPr>
          <w:lang w:val="fr-FR" w:eastAsia="zh-CN"/>
        </w:rPr>
      </w:pPr>
      <w:bookmarkStart w:id="1197" w:name="_Toc73518905"/>
      <w:bookmarkStart w:id="1198" w:name="_Toc73519305"/>
      <w:r w:rsidRPr="000C156A">
        <w:rPr>
          <w:rFonts w:cs="Microsoft YaHei" w:hint="eastAsia"/>
          <w:lang w:val="fr-FR" w:eastAsia="zh-CN"/>
        </w:rPr>
        <w:t>职员退休和福利基金</w:t>
      </w:r>
      <w:r w:rsidRPr="000C156A">
        <w:rPr>
          <w:rFonts w:hint="eastAsia"/>
          <w:lang w:val="fr-FR" w:eastAsia="zh-CN"/>
        </w:rPr>
        <w:t xml:space="preserve"> </w:t>
      </w:r>
      <w:r w:rsidRPr="000C156A">
        <w:rPr>
          <w:lang w:val="fr-FR" w:eastAsia="zh-CN"/>
        </w:rPr>
        <w:t>–</w:t>
      </w:r>
      <w:r w:rsidRPr="000C156A">
        <w:rPr>
          <w:rFonts w:hint="eastAsia"/>
          <w:lang w:val="fr-FR" w:eastAsia="zh-CN"/>
        </w:rPr>
        <w:t xml:space="preserve"> </w:t>
      </w:r>
      <w:r w:rsidRPr="000C156A">
        <w:rPr>
          <w:rFonts w:cs="Microsoft YaHei" w:hint="eastAsia"/>
          <w:lang w:val="fr-FR" w:eastAsia="zh-CN"/>
        </w:rPr>
        <w:t>见说明</w:t>
      </w:r>
      <w:r w:rsidRPr="000C156A">
        <w:rPr>
          <w:rFonts w:hint="eastAsia"/>
          <w:lang w:val="fr-FR" w:eastAsia="zh-CN"/>
        </w:rPr>
        <w:t>2</w:t>
      </w:r>
      <w:bookmarkEnd w:id="1197"/>
      <w:bookmarkEnd w:id="1198"/>
    </w:p>
    <w:tbl>
      <w:tblPr>
        <w:tblW w:w="5150" w:type="pct"/>
        <w:tblInd w:w="-147" w:type="dxa"/>
        <w:tblLook w:val="04A0" w:firstRow="1" w:lastRow="0" w:firstColumn="1" w:lastColumn="0" w:noHBand="0" w:noVBand="1"/>
      </w:tblPr>
      <w:tblGrid>
        <w:gridCol w:w="3294"/>
        <w:gridCol w:w="1492"/>
        <w:gridCol w:w="1617"/>
        <w:gridCol w:w="1801"/>
        <w:gridCol w:w="1714"/>
      </w:tblGrid>
      <w:tr w:rsidR="00686EC7" w:rsidRPr="000C156A" w14:paraId="4EBB1224" w14:textId="77777777" w:rsidTr="00141BAA">
        <w:trPr>
          <w:trHeight w:val="405"/>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14:paraId="28DD5964" w14:textId="77777777" w:rsidR="00686EC7" w:rsidRPr="000C156A" w:rsidRDefault="00686EC7" w:rsidP="00141BAA">
            <w:pPr>
              <w:overflowPunct/>
              <w:adjustRightInd/>
              <w:spacing w:before="0"/>
              <w:jc w:val="center"/>
              <w:textAlignment w:val="auto"/>
              <w:rPr>
                <w:rFonts w:asciiTheme="minorHAnsi" w:hAnsiTheme="minorHAnsi"/>
                <w:sz w:val="18"/>
                <w:szCs w:val="18"/>
                <w:lang w:val="en-US" w:eastAsia="zh-CN"/>
              </w:rPr>
            </w:pPr>
            <w:r w:rsidRPr="000C156A">
              <w:rPr>
                <w:rFonts w:cs="Calibri" w:hint="eastAsia"/>
                <w:b/>
                <w:bCs/>
                <w:sz w:val="18"/>
                <w:szCs w:val="18"/>
                <w:lang w:val="en-US" w:eastAsia="zh-CN"/>
              </w:rPr>
              <w:t>2020</w:t>
            </w:r>
            <w:r w:rsidRPr="000C156A">
              <w:rPr>
                <w:rFonts w:cs="Calibri" w:hint="eastAsia"/>
                <w:b/>
                <w:bCs/>
                <w:sz w:val="18"/>
                <w:szCs w:val="18"/>
                <w:lang w:val="en-US" w:eastAsia="zh-CN"/>
              </w:rPr>
              <w:t>财年财务业绩报表以及与</w:t>
            </w:r>
            <w:r w:rsidRPr="000C156A">
              <w:rPr>
                <w:rFonts w:cs="Calibri" w:hint="eastAsia"/>
                <w:b/>
                <w:bCs/>
                <w:sz w:val="18"/>
                <w:szCs w:val="18"/>
                <w:lang w:val="en-US" w:eastAsia="zh-CN"/>
              </w:rPr>
              <w:t>201</w:t>
            </w:r>
            <w:r w:rsidRPr="000C156A">
              <w:rPr>
                <w:rFonts w:cs="Calibri"/>
                <w:b/>
                <w:bCs/>
                <w:sz w:val="18"/>
                <w:szCs w:val="18"/>
                <w:lang w:val="en-US" w:eastAsia="zh-CN"/>
              </w:rPr>
              <w:t>9</w:t>
            </w:r>
            <w:r w:rsidRPr="000C156A">
              <w:rPr>
                <w:rFonts w:cs="Calibri" w:hint="eastAsia"/>
                <w:b/>
                <w:bCs/>
                <w:sz w:val="18"/>
                <w:szCs w:val="18"/>
                <w:lang w:val="en-US" w:eastAsia="zh-CN"/>
              </w:rPr>
              <w:t>年数额的对比</w:t>
            </w:r>
          </w:p>
        </w:tc>
      </w:tr>
      <w:tr w:rsidR="00686EC7" w:rsidRPr="000C156A" w14:paraId="128ABC6F" w14:textId="77777777" w:rsidTr="00141BAA">
        <w:trPr>
          <w:trHeight w:val="316"/>
        </w:trPr>
        <w:tc>
          <w:tcPr>
            <w:tcW w:w="1661" w:type="pct"/>
            <w:tcBorders>
              <w:top w:val="single" w:sz="4" w:space="0" w:color="auto"/>
              <w:left w:val="single" w:sz="4" w:space="0" w:color="auto"/>
              <w:bottom w:val="nil"/>
              <w:right w:val="nil"/>
            </w:tcBorders>
            <w:shd w:val="clear" w:color="auto" w:fill="auto"/>
            <w:noWrap/>
            <w:vAlign w:val="center"/>
            <w:hideMark/>
          </w:tcPr>
          <w:p w14:paraId="79B3CD7C" w14:textId="77777777" w:rsidR="00686EC7" w:rsidRPr="000C156A" w:rsidRDefault="00686EC7" w:rsidP="00141BAA">
            <w:pPr>
              <w:overflowPunct/>
              <w:adjustRightInd/>
              <w:spacing w:before="0"/>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 </w:t>
            </w:r>
          </w:p>
        </w:tc>
        <w:tc>
          <w:tcPr>
            <w:tcW w:w="1567" w:type="pct"/>
            <w:gridSpan w:val="2"/>
            <w:tcBorders>
              <w:top w:val="single" w:sz="4" w:space="0" w:color="auto"/>
              <w:left w:val="single" w:sz="4" w:space="0" w:color="auto"/>
              <w:bottom w:val="nil"/>
              <w:right w:val="single" w:sz="4" w:space="0" w:color="000000"/>
            </w:tcBorders>
            <w:shd w:val="clear" w:color="auto" w:fill="auto"/>
            <w:vAlign w:val="center"/>
            <w:hideMark/>
          </w:tcPr>
          <w:p w14:paraId="01DF0928" w14:textId="77777777" w:rsidR="00686EC7" w:rsidRPr="000C156A" w:rsidRDefault="00686EC7" w:rsidP="000121F2">
            <w:pPr>
              <w:overflowPunct/>
              <w:adjustRightInd/>
              <w:spacing w:before="0"/>
              <w:jc w:val="center"/>
              <w:textAlignment w:val="auto"/>
              <w:rPr>
                <w:rFonts w:cs="Calibri"/>
                <w:b/>
                <w:bCs/>
                <w:sz w:val="18"/>
                <w:szCs w:val="18"/>
                <w:lang w:val="fr-FR"/>
              </w:rPr>
            </w:pPr>
            <w:r w:rsidRPr="000C156A">
              <w:rPr>
                <w:rFonts w:cs="Calibri" w:hint="eastAsia"/>
                <w:b/>
                <w:bCs/>
                <w:sz w:val="18"/>
                <w:szCs w:val="18"/>
                <w:lang w:val="fr-FR"/>
              </w:rPr>
              <w:t>储备与补充基金</w:t>
            </w:r>
          </w:p>
        </w:tc>
        <w:tc>
          <w:tcPr>
            <w:tcW w:w="1772" w:type="pct"/>
            <w:gridSpan w:val="2"/>
            <w:tcBorders>
              <w:top w:val="single" w:sz="4" w:space="0" w:color="auto"/>
              <w:left w:val="nil"/>
              <w:bottom w:val="nil"/>
              <w:right w:val="single" w:sz="4" w:space="0" w:color="000000"/>
            </w:tcBorders>
            <w:shd w:val="clear" w:color="auto" w:fill="auto"/>
            <w:noWrap/>
            <w:vAlign w:val="center"/>
            <w:hideMark/>
          </w:tcPr>
          <w:p w14:paraId="646F07CA" w14:textId="77777777" w:rsidR="00686EC7" w:rsidRPr="000C156A" w:rsidRDefault="00686EC7" w:rsidP="00141BAA">
            <w:pPr>
              <w:overflowPunct/>
              <w:adjustRightInd/>
              <w:spacing w:before="0"/>
              <w:jc w:val="center"/>
              <w:textAlignment w:val="auto"/>
              <w:rPr>
                <w:rFonts w:asciiTheme="minorHAnsi" w:hAnsiTheme="minorHAnsi" w:cs="Arial"/>
                <w:b/>
                <w:bCs/>
                <w:sz w:val="18"/>
                <w:szCs w:val="18"/>
                <w:lang w:val="fr-CH" w:eastAsia="zh-CN"/>
              </w:rPr>
            </w:pPr>
            <w:r w:rsidRPr="000C156A">
              <w:rPr>
                <w:rFonts w:cs="Calibri" w:hint="eastAsia"/>
                <w:b/>
                <w:bCs/>
                <w:sz w:val="18"/>
                <w:szCs w:val="18"/>
              </w:rPr>
              <w:t>援助基金</w:t>
            </w:r>
          </w:p>
        </w:tc>
      </w:tr>
      <w:tr w:rsidR="00686EC7" w:rsidRPr="000C156A" w14:paraId="08D9B306" w14:textId="77777777" w:rsidTr="001F611F">
        <w:trPr>
          <w:trHeight w:val="300"/>
        </w:trPr>
        <w:tc>
          <w:tcPr>
            <w:tcW w:w="1661" w:type="pct"/>
            <w:tcBorders>
              <w:top w:val="nil"/>
              <w:left w:val="single" w:sz="4" w:space="0" w:color="auto"/>
              <w:bottom w:val="single" w:sz="4" w:space="0" w:color="auto"/>
              <w:right w:val="nil"/>
            </w:tcBorders>
            <w:shd w:val="clear" w:color="auto" w:fill="auto"/>
            <w:noWrap/>
            <w:vAlign w:val="center"/>
            <w:hideMark/>
          </w:tcPr>
          <w:p w14:paraId="6F6BB5F4" w14:textId="77777777" w:rsidR="00686EC7" w:rsidRPr="000C156A" w:rsidRDefault="00686EC7" w:rsidP="00141BAA">
            <w:pPr>
              <w:overflowPunct/>
              <w:adjustRightInd/>
              <w:spacing w:before="0"/>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 </w:t>
            </w:r>
          </w:p>
        </w:tc>
        <w:tc>
          <w:tcPr>
            <w:tcW w:w="1567" w:type="pct"/>
            <w:gridSpan w:val="2"/>
            <w:tcBorders>
              <w:top w:val="nil"/>
              <w:left w:val="single" w:sz="4" w:space="0" w:color="auto"/>
              <w:bottom w:val="single" w:sz="4" w:space="0" w:color="auto"/>
              <w:right w:val="nil"/>
            </w:tcBorders>
            <w:shd w:val="clear" w:color="auto" w:fill="auto"/>
            <w:noWrap/>
            <w:vAlign w:val="center"/>
            <w:hideMark/>
          </w:tcPr>
          <w:p w14:paraId="1230445C" w14:textId="77777777" w:rsidR="00686EC7" w:rsidRPr="000C156A" w:rsidRDefault="00686EC7" w:rsidP="001F611F">
            <w:pPr>
              <w:spacing w:before="0"/>
              <w:jc w:val="center"/>
              <w:rPr>
                <w:sz w:val="18"/>
                <w:szCs w:val="18"/>
              </w:rPr>
            </w:pPr>
            <w:r w:rsidRPr="000C156A">
              <w:rPr>
                <w:rFonts w:hint="eastAsia"/>
                <w:sz w:val="18"/>
                <w:szCs w:val="18"/>
              </w:rPr>
              <w:t>瑞郎</w:t>
            </w:r>
          </w:p>
        </w:tc>
        <w:tc>
          <w:tcPr>
            <w:tcW w:w="1772" w:type="pct"/>
            <w:gridSpan w:val="2"/>
            <w:tcBorders>
              <w:top w:val="nil"/>
              <w:left w:val="single" w:sz="4" w:space="0" w:color="auto"/>
              <w:bottom w:val="single" w:sz="4" w:space="0" w:color="auto"/>
              <w:right w:val="single" w:sz="4" w:space="0" w:color="000000"/>
            </w:tcBorders>
            <w:shd w:val="clear" w:color="auto" w:fill="auto"/>
            <w:noWrap/>
            <w:vAlign w:val="center"/>
            <w:hideMark/>
          </w:tcPr>
          <w:p w14:paraId="60BB347E" w14:textId="77777777" w:rsidR="00686EC7" w:rsidRPr="000C156A" w:rsidRDefault="00686EC7" w:rsidP="001F611F">
            <w:pPr>
              <w:spacing w:before="0"/>
              <w:jc w:val="center"/>
              <w:rPr>
                <w:sz w:val="18"/>
                <w:szCs w:val="18"/>
              </w:rPr>
            </w:pPr>
            <w:r w:rsidRPr="000C156A">
              <w:rPr>
                <w:rFonts w:hint="eastAsia"/>
                <w:sz w:val="18"/>
                <w:szCs w:val="18"/>
              </w:rPr>
              <w:t>瑞郎</w:t>
            </w:r>
          </w:p>
        </w:tc>
      </w:tr>
      <w:tr w:rsidR="00686EC7" w:rsidRPr="000C156A" w14:paraId="69529694" w14:textId="77777777" w:rsidTr="00141BAA">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22B59A37" w14:textId="77777777" w:rsidR="00686EC7" w:rsidRPr="000C156A" w:rsidRDefault="00686EC7" w:rsidP="00141BAA">
            <w:pPr>
              <w:overflowPunct/>
              <w:adjustRightInd/>
              <w:spacing w:before="0"/>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 </w:t>
            </w:r>
          </w:p>
        </w:tc>
        <w:tc>
          <w:tcPr>
            <w:tcW w:w="752" w:type="pct"/>
            <w:tcBorders>
              <w:top w:val="nil"/>
              <w:left w:val="nil"/>
              <w:bottom w:val="nil"/>
              <w:right w:val="single" w:sz="4" w:space="0" w:color="auto"/>
            </w:tcBorders>
            <w:shd w:val="clear" w:color="auto" w:fill="auto"/>
            <w:noWrap/>
            <w:vAlign w:val="center"/>
            <w:hideMark/>
          </w:tcPr>
          <w:p w14:paraId="2BE9E9D4" w14:textId="77777777" w:rsidR="00686EC7" w:rsidRPr="000C156A" w:rsidRDefault="00686EC7" w:rsidP="00141BAA">
            <w:pPr>
              <w:overflowPunct/>
              <w:autoSpaceDE/>
              <w:autoSpaceDN/>
              <w:adjustRightInd/>
              <w:spacing w:before="0"/>
              <w:jc w:val="center"/>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2020</w:t>
            </w:r>
          </w:p>
        </w:tc>
        <w:tc>
          <w:tcPr>
            <w:tcW w:w="815" w:type="pct"/>
            <w:tcBorders>
              <w:top w:val="nil"/>
              <w:left w:val="nil"/>
              <w:bottom w:val="nil"/>
              <w:right w:val="single" w:sz="4" w:space="0" w:color="auto"/>
            </w:tcBorders>
            <w:shd w:val="clear" w:color="auto" w:fill="auto"/>
            <w:noWrap/>
            <w:vAlign w:val="center"/>
            <w:hideMark/>
          </w:tcPr>
          <w:p w14:paraId="47BC262F" w14:textId="77777777" w:rsidR="00686EC7" w:rsidRPr="000C156A" w:rsidRDefault="00686EC7" w:rsidP="00141BAA">
            <w:pPr>
              <w:overflowPunct/>
              <w:autoSpaceDE/>
              <w:autoSpaceDN/>
              <w:adjustRightInd/>
              <w:spacing w:before="0"/>
              <w:jc w:val="center"/>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2019</w:t>
            </w:r>
          </w:p>
        </w:tc>
        <w:tc>
          <w:tcPr>
            <w:tcW w:w="908" w:type="pct"/>
            <w:tcBorders>
              <w:top w:val="nil"/>
              <w:left w:val="nil"/>
              <w:bottom w:val="nil"/>
              <w:right w:val="single" w:sz="4" w:space="0" w:color="auto"/>
            </w:tcBorders>
            <w:shd w:val="clear" w:color="auto" w:fill="auto"/>
            <w:noWrap/>
            <w:vAlign w:val="center"/>
            <w:hideMark/>
          </w:tcPr>
          <w:p w14:paraId="1811AD72" w14:textId="77777777" w:rsidR="00686EC7" w:rsidRPr="000C156A" w:rsidRDefault="00686EC7" w:rsidP="00141BAA">
            <w:pPr>
              <w:overflowPunct/>
              <w:autoSpaceDE/>
              <w:autoSpaceDN/>
              <w:adjustRightInd/>
              <w:spacing w:before="0"/>
              <w:jc w:val="center"/>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2020</w:t>
            </w:r>
          </w:p>
        </w:tc>
        <w:tc>
          <w:tcPr>
            <w:tcW w:w="864" w:type="pct"/>
            <w:tcBorders>
              <w:top w:val="nil"/>
              <w:left w:val="nil"/>
              <w:bottom w:val="nil"/>
              <w:right w:val="single" w:sz="4" w:space="0" w:color="auto"/>
            </w:tcBorders>
            <w:shd w:val="clear" w:color="auto" w:fill="auto"/>
            <w:noWrap/>
            <w:vAlign w:val="center"/>
            <w:hideMark/>
          </w:tcPr>
          <w:p w14:paraId="7937B61E" w14:textId="77777777" w:rsidR="00686EC7" w:rsidRPr="000C156A" w:rsidRDefault="00686EC7" w:rsidP="00141BAA">
            <w:pPr>
              <w:overflowPunct/>
              <w:autoSpaceDE/>
              <w:autoSpaceDN/>
              <w:adjustRightInd/>
              <w:spacing w:before="0"/>
              <w:jc w:val="center"/>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2019</w:t>
            </w:r>
          </w:p>
        </w:tc>
      </w:tr>
      <w:tr w:rsidR="00686EC7" w:rsidRPr="000C156A" w14:paraId="16FE325A" w14:textId="77777777" w:rsidTr="00141BAA">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2067AB5F" w14:textId="77777777" w:rsidR="00686EC7" w:rsidRPr="000C156A" w:rsidRDefault="00686EC7" w:rsidP="00141BAA">
            <w:pPr>
              <w:overflowPunct/>
              <w:adjustRightInd/>
              <w:spacing w:before="0"/>
              <w:textAlignment w:val="auto"/>
              <w:rPr>
                <w:rFonts w:asciiTheme="minorHAnsi" w:hAnsiTheme="minorHAnsi"/>
                <w:sz w:val="18"/>
                <w:szCs w:val="18"/>
                <w:u w:val="single"/>
                <w:lang w:val="en-US" w:eastAsia="zh-CN"/>
              </w:rPr>
            </w:pPr>
            <w:r w:rsidRPr="000C156A">
              <w:rPr>
                <w:rFonts w:cs="Calibri" w:hint="eastAsia"/>
                <w:sz w:val="18"/>
                <w:szCs w:val="18"/>
                <w:u w:val="single"/>
              </w:rPr>
              <w:t>费用</w:t>
            </w:r>
          </w:p>
        </w:tc>
        <w:tc>
          <w:tcPr>
            <w:tcW w:w="752" w:type="pct"/>
            <w:tcBorders>
              <w:top w:val="nil"/>
              <w:left w:val="nil"/>
              <w:bottom w:val="nil"/>
              <w:right w:val="nil"/>
            </w:tcBorders>
            <w:shd w:val="clear" w:color="auto" w:fill="auto"/>
            <w:noWrap/>
            <w:vAlign w:val="center"/>
            <w:hideMark/>
          </w:tcPr>
          <w:p w14:paraId="44261BCD"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u w:val="single"/>
                <w:lang w:val="en-US" w:eastAsia="zh-CN"/>
              </w:rPr>
            </w:pPr>
          </w:p>
        </w:tc>
        <w:tc>
          <w:tcPr>
            <w:tcW w:w="815" w:type="pct"/>
            <w:tcBorders>
              <w:top w:val="nil"/>
              <w:left w:val="single" w:sz="4" w:space="0" w:color="auto"/>
              <w:bottom w:val="nil"/>
              <w:right w:val="single" w:sz="4" w:space="0" w:color="auto"/>
            </w:tcBorders>
            <w:shd w:val="clear" w:color="auto" w:fill="auto"/>
            <w:noWrap/>
            <w:vAlign w:val="center"/>
            <w:hideMark/>
          </w:tcPr>
          <w:p w14:paraId="05055B79"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p>
        </w:tc>
        <w:tc>
          <w:tcPr>
            <w:tcW w:w="908" w:type="pct"/>
            <w:tcBorders>
              <w:top w:val="nil"/>
              <w:left w:val="nil"/>
              <w:bottom w:val="nil"/>
              <w:right w:val="single" w:sz="4" w:space="0" w:color="auto"/>
            </w:tcBorders>
            <w:shd w:val="clear" w:color="auto" w:fill="auto"/>
            <w:noWrap/>
            <w:vAlign w:val="center"/>
            <w:hideMark/>
          </w:tcPr>
          <w:p w14:paraId="3992D5D3"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p>
        </w:tc>
        <w:tc>
          <w:tcPr>
            <w:tcW w:w="864" w:type="pct"/>
            <w:tcBorders>
              <w:top w:val="nil"/>
              <w:left w:val="nil"/>
              <w:bottom w:val="nil"/>
              <w:right w:val="single" w:sz="4" w:space="0" w:color="auto"/>
            </w:tcBorders>
            <w:shd w:val="clear" w:color="auto" w:fill="auto"/>
            <w:noWrap/>
            <w:vAlign w:val="center"/>
            <w:hideMark/>
          </w:tcPr>
          <w:p w14:paraId="5121C137"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p>
        </w:tc>
      </w:tr>
      <w:tr w:rsidR="00686EC7" w:rsidRPr="000C156A" w14:paraId="60FE0BA8" w14:textId="77777777" w:rsidTr="00141BAA">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30DE523B" w14:textId="77777777" w:rsidR="00686EC7" w:rsidRPr="000C156A" w:rsidRDefault="00686EC7" w:rsidP="00141BAA">
            <w:pPr>
              <w:overflowPunct/>
              <w:adjustRightInd/>
              <w:spacing w:before="0"/>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 </w:t>
            </w:r>
          </w:p>
        </w:tc>
        <w:tc>
          <w:tcPr>
            <w:tcW w:w="752" w:type="pct"/>
            <w:tcBorders>
              <w:top w:val="nil"/>
              <w:left w:val="nil"/>
              <w:bottom w:val="nil"/>
              <w:right w:val="nil"/>
            </w:tcBorders>
            <w:shd w:val="clear" w:color="auto" w:fill="auto"/>
            <w:noWrap/>
            <w:vAlign w:val="center"/>
            <w:hideMark/>
          </w:tcPr>
          <w:p w14:paraId="5C05695D"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22"/>
                <w:szCs w:val="22"/>
                <w:lang w:val="en-US" w:eastAsia="zh-CN"/>
              </w:rPr>
            </w:pPr>
          </w:p>
        </w:tc>
        <w:tc>
          <w:tcPr>
            <w:tcW w:w="815" w:type="pct"/>
            <w:tcBorders>
              <w:top w:val="nil"/>
              <w:left w:val="single" w:sz="4" w:space="0" w:color="auto"/>
              <w:bottom w:val="nil"/>
              <w:right w:val="single" w:sz="4" w:space="0" w:color="auto"/>
            </w:tcBorders>
            <w:shd w:val="clear" w:color="auto" w:fill="auto"/>
            <w:noWrap/>
            <w:vAlign w:val="center"/>
            <w:hideMark/>
          </w:tcPr>
          <w:p w14:paraId="56A7FD02"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22"/>
                <w:szCs w:val="22"/>
                <w:lang w:val="en-US" w:eastAsia="zh-CN"/>
              </w:rPr>
            </w:pPr>
          </w:p>
        </w:tc>
        <w:tc>
          <w:tcPr>
            <w:tcW w:w="908" w:type="pct"/>
            <w:tcBorders>
              <w:top w:val="nil"/>
              <w:left w:val="nil"/>
              <w:bottom w:val="nil"/>
              <w:right w:val="single" w:sz="4" w:space="0" w:color="auto"/>
            </w:tcBorders>
            <w:shd w:val="clear" w:color="auto" w:fill="auto"/>
            <w:noWrap/>
            <w:vAlign w:val="center"/>
            <w:hideMark/>
          </w:tcPr>
          <w:p w14:paraId="05A228F8"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22"/>
                <w:szCs w:val="22"/>
                <w:lang w:val="en-US" w:eastAsia="zh-CN"/>
              </w:rPr>
            </w:pPr>
          </w:p>
        </w:tc>
        <w:tc>
          <w:tcPr>
            <w:tcW w:w="864" w:type="pct"/>
            <w:tcBorders>
              <w:top w:val="nil"/>
              <w:left w:val="nil"/>
              <w:bottom w:val="nil"/>
              <w:right w:val="single" w:sz="4" w:space="0" w:color="auto"/>
            </w:tcBorders>
            <w:shd w:val="clear" w:color="auto" w:fill="auto"/>
            <w:noWrap/>
            <w:vAlign w:val="center"/>
            <w:hideMark/>
          </w:tcPr>
          <w:p w14:paraId="390A7382"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22"/>
                <w:szCs w:val="22"/>
                <w:lang w:val="en-US" w:eastAsia="zh-CN"/>
              </w:rPr>
            </w:pPr>
          </w:p>
        </w:tc>
      </w:tr>
      <w:tr w:rsidR="00686EC7" w:rsidRPr="000C156A" w14:paraId="71863414" w14:textId="77777777" w:rsidTr="00141BAA">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0D12062C" w14:textId="77777777" w:rsidR="00686EC7" w:rsidRPr="000C156A" w:rsidRDefault="00686EC7" w:rsidP="00141BAA">
            <w:pPr>
              <w:spacing w:before="100"/>
              <w:rPr>
                <w:rFonts w:cs="Calibri"/>
                <w:sz w:val="18"/>
                <w:szCs w:val="18"/>
              </w:rPr>
            </w:pPr>
            <w:r w:rsidRPr="000C156A">
              <w:rPr>
                <w:rFonts w:cs="Calibri" w:hint="eastAsia"/>
                <w:sz w:val="18"/>
                <w:szCs w:val="18"/>
              </w:rPr>
              <w:t>养恤金</w:t>
            </w:r>
          </w:p>
        </w:tc>
        <w:tc>
          <w:tcPr>
            <w:tcW w:w="752" w:type="pct"/>
            <w:tcBorders>
              <w:top w:val="nil"/>
              <w:left w:val="nil"/>
              <w:bottom w:val="nil"/>
              <w:right w:val="nil"/>
            </w:tcBorders>
            <w:shd w:val="clear" w:color="auto" w:fill="auto"/>
            <w:noWrap/>
            <w:vAlign w:val="center"/>
            <w:hideMark/>
          </w:tcPr>
          <w:p w14:paraId="07838D2C" w14:textId="022E514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16</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864.80</w:t>
            </w:r>
          </w:p>
        </w:tc>
        <w:tc>
          <w:tcPr>
            <w:tcW w:w="815" w:type="pct"/>
            <w:tcBorders>
              <w:top w:val="nil"/>
              <w:left w:val="single" w:sz="4" w:space="0" w:color="auto"/>
              <w:bottom w:val="nil"/>
              <w:right w:val="nil"/>
            </w:tcBorders>
            <w:shd w:val="clear" w:color="auto" w:fill="auto"/>
            <w:noWrap/>
            <w:vAlign w:val="center"/>
            <w:hideMark/>
          </w:tcPr>
          <w:p w14:paraId="5CCB7386" w14:textId="154C9C85"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16</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864.80</w:t>
            </w:r>
          </w:p>
        </w:tc>
        <w:tc>
          <w:tcPr>
            <w:tcW w:w="908" w:type="pct"/>
            <w:tcBorders>
              <w:top w:val="nil"/>
              <w:left w:val="single" w:sz="4" w:space="0" w:color="auto"/>
              <w:bottom w:val="nil"/>
              <w:right w:val="single" w:sz="4" w:space="0" w:color="auto"/>
            </w:tcBorders>
            <w:shd w:val="clear" w:color="auto" w:fill="auto"/>
            <w:noWrap/>
            <w:vAlign w:val="center"/>
            <w:hideMark/>
          </w:tcPr>
          <w:p w14:paraId="041BD1C5"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w:t>
            </w:r>
          </w:p>
        </w:tc>
        <w:tc>
          <w:tcPr>
            <w:tcW w:w="864" w:type="pct"/>
            <w:tcBorders>
              <w:top w:val="nil"/>
              <w:left w:val="nil"/>
              <w:bottom w:val="nil"/>
              <w:right w:val="single" w:sz="4" w:space="0" w:color="auto"/>
            </w:tcBorders>
            <w:shd w:val="clear" w:color="auto" w:fill="auto"/>
            <w:noWrap/>
            <w:vAlign w:val="center"/>
            <w:hideMark/>
          </w:tcPr>
          <w:p w14:paraId="3A4B303C"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w:t>
            </w:r>
          </w:p>
        </w:tc>
      </w:tr>
      <w:tr w:rsidR="00686EC7" w:rsidRPr="000C156A" w14:paraId="024C6639" w14:textId="77777777" w:rsidTr="00141BAA">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4488CBA4" w14:textId="77777777" w:rsidR="00686EC7" w:rsidRPr="000C156A" w:rsidRDefault="00686EC7" w:rsidP="00141BAA">
            <w:pPr>
              <w:spacing w:before="100"/>
              <w:rPr>
                <w:rFonts w:cs="Calibri"/>
                <w:sz w:val="18"/>
                <w:szCs w:val="18"/>
              </w:rPr>
            </w:pPr>
            <w:r w:rsidRPr="000C156A">
              <w:rPr>
                <w:rFonts w:cs="Calibri" w:hint="eastAsia"/>
                <w:sz w:val="18"/>
                <w:szCs w:val="18"/>
              </w:rPr>
              <w:t>捐款</w:t>
            </w:r>
          </w:p>
        </w:tc>
        <w:tc>
          <w:tcPr>
            <w:tcW w:w="752" w:type="pct"/>
            <w:tcBorders>
              <w:top w:val="nil"/>
              <w:left w:val="nil"/>
              <w:bottom w:val="nil"/>
              <w:right w:val="single" w:sz="4" w:space="0" w:color="auto"/>
            </w:tcBorders>
            <w:shd w:val="clear" w:color="auto" w:fill="auto"/>
            <w:noWrap/>
            <w:vAlign w:val="center"/>
            <w:hideMark/>
          </w:tcPr>
          <w:p w14:paraId="4EF92D77"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p>
        </w:tc>
        <w:tc>
          <w:tcPr>
            <w:tcW w:w="815" w:type="pct"/>
            <w:tcBorders>
              <w:top w:val="nil"/>
              <w:left w:val="nil"/>
              <w:bottom w:val="nil"/>
              <w:right w:val="single" w:sz="4" w:space="0" w:color="auto"/>
            </w:tcBorders>
            <w:shd w:val="clear" w:color="auto" w:fill="auto"/>
            <w:noWrap/>
            <w:vAlign w:val="center"/>
            <w:hideMark/>
          </w:tcPr>
          <w:p w14:paraId="485214BB"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p>
        </w:tc>
        <w:tc>
          <w:tcPr>
            <w:tcW w:w="908" w:type="pct"/>
            <w:tcBorders>
              <w:top w:val="nil"/>
              <w:left w:val="nil"/>
              <w:bottom w:val="nil"/>
              <w:right w:val="single" w:sz="4" w:space="0" w:color="auto"/>
            </w:tcBorders>
            <w:shd w:val="clear" w:color="auto" w:fill="auto"/>
            <w:noWrap/>
            <w:vAlign w:val="center"/>
            <w:hideMark/>
          </w:tcPr>
          <w:p w14:paraId="0FF2365C"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p>
        </w:tc>
        <w:tc>
          <w:tcPr>
            <w:tcW w:w="864" w:type="pct"/>
            <w:tcBorders>
              <w:top w:val="nil"/>
              <w:left w:val="nil"/>
              <w:bottom w:val="nil"/>
              <w:right w:val="single" w:sz="4" w:space="0" w:color="auto"/>
            </w:tcBorders>
            <w:shd w:val="clear" w:color="auto" w:fill="auto"/>
            <w:noWrap/>
            <w:vAlign w:val="center"/>
            <w:hideMark/>
          </w:tcPr>
          <w:p w14:paraId="5A1C1487"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p>
        </w:tc>
      </w:tr>
      <w:tr w:rsidR="00686EC7" w:rsidRPr="000C156A" w14:paraId="3BDB200F" w14:textId="77777777" w:rsidTr="00141BAA">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47FA50C1" w14:textId="77777777" w:rsidR="00686EC7" w:rsidRPr="000C156A" w:rsidRDefault="00686EC7" w:rsidP="00141BAA">
            <w:pPr>
              <w:rPr>
                <w:rFonts w:cs="Calibri"/>
                <w:sz w:val="18"/>
                <w:szCs w:val="18"/>
              </w:rPr>
            </w:pPr>
            <w:r w:rsidRPr="000C156A">
              <w:rPr>
                <w:rFonts w:cs="Calibri" w:hint="eastAsia"/>
                <w:sz w:val="18"/>
                <w:szCs w:val="18"/>
              </w:rPr>
              <w:t>财务</w:t>
            </w:r>
            <w:r w:rsidRPr="000C156A">
              <w:rPr>
                <w:rFonts w:cs="Calibri"/>
                <w:sz w:val="18"/>
                <w:szCs w:val="18"/>
              </w:rPr>
              <w:t>费用</w:t>
            </w:r>
            <w:r w:rsidRPr="000C156A">
              <w:rPr>
                <w:rFonts w:cs="Calibri"/>
                <w:sz w:val="18"/>
                <w:szCs w:val="18"/>
              </w:rPr>
              <w:t xml:space="preserve"> </w:t>
            </w:r>
          </w:p>
        </w:tc>
        <w:tc>
          <w:tcPr>
            <w:tcW w:w="752" w:type="pct"/>
            <w:tcBorders>
              <w:top w:val="nil"/>
              <w:left w:val="nil"/>
              <w:bottom w:val="nil"/>
              <w:right w:val="nil"/>
            </w:tcBorders>
            <w:shd w:val="clear" w:color="auto" w:fill="auto"/>
            <w:noWrap/>
            <w:vAlign w:val="center"/>
            <w:hideMark/>
          </w:tcPr>
          <w:p w14:paraId="68F8D0DB"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143.17</w:t>
            </w:r>
          </w:p>
        </w:tc>
        <w:tc>
          <w:tcPr>
            <w:tcW w:w="815" w:type="pct"/>
            <w:tcBorders>
              <w:top w:val="nil"/>
              <w:left w:val="single" w:sz="4" w:space="0" w:color="auto"/>
              <w:bottom w:val="nil"/>
              <w:right w:val="nil"/>
            </w:tcBorders>
            <w:shd w:val="clear" w:color="auto" w:fill="auto"/>
            <w:noWrap/>
            <w:vAlign w:val="center"/>
            <w:hideMark/>
          </w:tcPr>
          <w:p w14:paraId="2C71631C"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p>
        </w:tc>
        <w:tc>
          <w:tcPr>
            <w:tcW w:w="908" w:type="pct"/>
            <w:tcBorders>
              <w:top w:val="nil"/>
              <w:left w:val="single" w:sz="4" w:space="0" w:color="auto"/>
              <w:bottom w:val="nil"/>
              <w:right w:val="single" w:sz="4" w:space="0" w:color="auto"/>
            </w:tcBorders>
            <w:shd w:val="clear" w:color="auto" w:fill="auto"/>
            <w:noWrap/>
            <w:vAlign w:val="center"/>
            <w:hideMark/>
          </w:tcPr>
          <w:p w14:paraId="14F40530"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329.86</w:t>
            </w:r>
          </w:p>
        </w:tc>
        <w:tc>
          <w:tcPr>
            <w:tcW w:w="864" w:type="pct"/>
            <w:tcBorders>
              <w:top w:val="nil"/>
              <w:left w:val="nil"/>
              <w:bottom w:val="nil"/>
              <w:right w:val="single" w:sz="4" w:space="0" w:color="auto"/>
            </w:tcBorders>
            <w:shd w:val="clear" w:color="auto" w:fill="auto"/>
            <w:noWrap/>
            <w:vAlign w:val="center"/>
            <w:hideMark/>
          </w:tcPr>
          <w:p w14:paraId="7077B802"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p>
        </w:tc>
      </w:tr>
      <w:tr w:rsidR="00686EC7" w:rsidRPr="000C156A" w14:paraId="3A68BF43" w14:textId="77777777" w:rsidTr="00141BAA">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6069B8B0" w14:textId="77777777" w:rsidR="00686EC7" w:rsidRPr="000C156A" w:rsidRDefault="00686EC7" w:rsidP="00141BAA">
            <w:pPr>
              <w:spacing w:before="100"/>
              <w:rPr>
                <w:rFonts w:cs="Calibri"/>
                <w:sz w:val="18"/>
                <w:szCs w:val="18"/>
              </w:rPr>
            </w:pPr>
            <w:r w:rsidRPr="000C156A">
              <w:rPr>
                <w:rFonts w:cs="Calibri" w:hint="eastAsia"/>
                <w:sz w:val="18"/>
                <w:szCs w:val="18"/>
              </w:rPr>
              <w:t>其他财务费用合计</w:t>
            </w:r>
          </w:p>
        </w:tc>
        <w:tc>
          <w:tcPr>
            <w:tcW w:w="752" w:type="pct"/>
            <w:tcBorders>
              <w:top w:val="nil"/>
              <w:left w:val="nil"/>
              <w:bottom w:val="nil"/>
              <w:right w:val="nil"/>
            </w:tcBorders>
            <w:shd w:val="clear" w:color="auto" w:fill="auto"/>
            <w:noWrap/>
            <w:vAlign w:val="center"/>
            <w:hideMark/>
          </w:tcPr>
          <w:p w14:paraId="52DF1E97" w14:textId="2E429BD5"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413</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434.15</w:t>
            </w:r>
          </w:p>
        </w:tc>
        <w:tc>
          <w:tcPr>
            <w:tcW w:w="815" w:type="pct"/>
            <w:tcBorders>
              <w:top w:val="nil"/>
              <w:left w:val="single" w:sz="4" w:space="0" w:color="auto"/>
              <w:bottom w:val="nil"/>
              <w:right w:val="nil"/>
            </w:tcBorders>
            <w:shd w:val="clear" w:color="auto" w:fill="auto"/>
            <w:noWrap/>
            <w:vAlign w:val="center"/>
            <w:hideMark/>
          </w:tcPr>
          <w:p w14:paraId="54A55AD9"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p>
        </w:tc>
        <w:tc>
          <w:tcPr>
            <w:tcW w:w="908" w:type="pct"/>
            <w:tcBorders>
              <w:top w:val="nil"/>
              <w:left w:val="single" w:sz="4" w:space="0" w:color="auto"/>
              <w:bottom w:val="nil"/>
              <w:right w:val="single" w:sz="4" w:space="0" w:color="auto"/>
            </w:tcBorders>
            <w:shd w:val="clear" w:color="auto" w:fill="auto"/>
            <w:noWrap/>
            <w:vAlign w:val="center"/>
            <w:hideMark/>
          </w:tcPr>
          <w:p w14:paraId="669B286C"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w:t>
            </w:r>
          </w:p>
        </w:tc>
        <w:tc>
          <w:tcPr>
            <w:tcW w:w="864" w:type="pct"/>
            <w:tcBorders>
              <w:top w:val="nil"/>
              <w:left w:val="nil"/>
              <w:bottom w:val="nil"/>
              <w:right w:val="single" w:sz="4" w:space="0" w:color="auto"/>
            </w:tcBorders>
            <w:shd w:val="clear" w:color="auto" w:fill="auto"/>
            <w:noWrap/>
            <w:vAlign w:val="center"/>
            <w:hideMark/>
          </w:tcPr>
          <w:p w14:paraId="696A9F28"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w:t>
            </w:r>
          </w:p>
        </w:tc>
      </w:tr>
      <w:tr w:rsidR="00686EC7" w:rsidRPr="000C156A" w14:paraId="1675EE83" w14:textId="77777777" w:rsidTr="00141BAA">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5F7E3F3C" w14:textId="77777777" w:rsidR="00686EC7" w:rsidRPr="000C156A" w:rsidRDefault="00686EC7" w:rsidP="00141BAA">
            <w:pPr>
              <w:overflowPunct/>
              <w:adjustRightInd/>
              <w:spacing w:before="0"/>
              <w:textAlignment w:val="auto"/>
              <w:rPr>
                <w:rFonts w:asciiTheme="minorHAnsi" w:hAnsiTheme="minorHAnsi"/>
                <w:b/>
                <w:bCs/>
                <w:sz w:val="18"/>
                <w:szCs w:val="18"/>
                <w:lang w:val="en-US" w:eastAsia="zh-CN"/>
              </w:rPr>
            </w:pPr>
            <w:r w:rsidRPr="000C156A">
              <w:rPr>
                <w:rFonts w:cs="Calibri" w:hint="eastAsia"/>
                <w:b/>
                <w:bCs/>
                <w:sz w:val="18"/>
                <w:szCs w:val="18"/>
                <w:lang w:eastAsia="zh-CN"/>
              </w:rPr>
              <w:t>费用合计</w:t>
            </w:r>
          </w:p>
        </w:tc>
        <w:tc>
          <w:tcPr>
            <w:tcW w:w="752" w:type="pct"/>
            <w:tcBorders>
              <w:top w:val="nil"/>
              <w:left w:val="nil"/>
              <w:bottom w:val="nil"/>
              <w:right w:val="single" w:sz="4" w:space="0" w:color="auto"/>
            </w:tcBorders>
            <w:shd w:val="clear" w:color="auto" w:fill="auto"/>
            <w:noWrap/>
            <w:vAlign w:val="center"/>
            <w:hideMark/>
          </w:tcPr>
          <w:p w14:paraId="094CCF18" w14:textId="29F3EB0A" w:rsidR="00686EC7" w:rsidRPr="000C156A" w:rsidRDefault="00686EC7" w:rsidP="00141BAA">
            <w:pPr>
              <w:keepNext/>
              <w:keepLines/>
              <w:overflowPunct/>
              <w:autoSpaceDE/>
              <w:autoSpaceDN/>
              <w:adjustRightInd/>
              <w:spacing w:before="0"/>
              <w:jc w:val="right"/>
              <w:textAlignment w:val="auto"/>
              <w:rPr>
                <w:rFonts w:asciiTheme="minorHAnsi" w:hAnsiTheme="minorHAnsi"/>
                <w:b/>
                <w:bCs/>
                <w:sz w:val="18"/>
                <w:szCs w:val="18"/>
                <w:lang w:val="en-US" w:eastAsia="zh-CN"/>
              </w:rPr>
            </w:pPr>
            <w:r w:rsidRPr="000C156A">
              <w:rPr>
                <w:rFonts w:asciiTheme="minorHAnsi" w:hAnsiTheme="minorHAnsi"/>
                <w:b/>
                <w:bCs/>
                <w:sz w:val="18"/>
                <w:szCs w:val="18"/>
                <w:lang w:val="en-US" w:eastAsia="zh-CN"/>
              </w:rPr>
              <w:t>430</w:t>
            </w:r>
            <w:r w:rsidR="001D2D81" w:rsidRPr="000C156A">
              <w:rPr>
                <w:rFonts w:asciiTheme="minorHAnsi" w:hAnsiTheme="minorHAnsi"/>
                <w:b/>
                <w:bCs/>
                <w:sz w:val="18"/>
                <w:szCs w:val="18"/>
                <w:lang w:val="en-US" w:eastAsia="zh-CN"/>
              </w:rPr>
              <w:t xml:space="preserve"> </w:t>
            </w:r>
            <w:r w:rsidRPr="000C156A">
              <w:rPr>
                <w:rFonts w:asciiTheme="minorHAnsi" w:hAnsiTheme="minorHAnsi"/>
                <w:b/>
                <w:bCs/>
                <w:sz w:val="18"/>
                <w:szCs w:val="18"/>
                <w:lang w:val="en-US" w:eastAsia="zh-CN"/>
              </w:rPr>
              <w:t>442.12</w:t>
            </w:r>
          </w:p>
        </w:tc>
        <w:tc>
          <w:tcPr>
            <w:tcW w:w="815" w:type="pct"/>
            <w:tcBorders>
              <w:top w:val="single" w:sz="4" w:space="0" w:color="auto"/>
              <w:left w:val="nil"/>
              <w:bottom w:val="nil"/>
              <w:right w:val="single" w:sz="4" w:space="0" w:color="auto"/>
            </w:tcBorders>
            <w:shd w:val="clear" w:color="auto" w:fill="auto"/>
            <w:noWrap/>
            <w:vAlign w:val="center"/>
            <w:hideMark/>
          </w:tcPr>
          <w:p w14:paraId="62B18D94" w14:textId="49154E0A" w:rsidR="00686EC7" w:rsidRPr="000C156A" w:rsidRDefault="00686EC7" w:rsidP="00141BAA">
            <w:pPr>
              <w:keepNext/>
              <w:keepLines/>
              <w:overflowPunct/>
              <w:autoSpaceDE/>
              <w:autoSpaceDN/>
              <w:adjustRightInd/>
              <w:spacing w:before="0"/>
              <w:jc w:val="right"/>
              <w:textAlignment w:val="auto"/>
              <w:rPr>
                <w:rFonts w:asciiTheme="minorHAnsi" w:hAnsiTheme="minorHAnsi"/>
                <w:b/>
                <w:bCs/>
                <w:sz w:val="18"/>
                <w:szCs w:val="18"/>
                <w:lang w:val="en-US" w:eastAsia="zh-CN"/>
              </w:rPr>
            </w:pPr>
            <w:r w:rsidRPr="000C156A">
              <w:rPr>
                <w:rFonts w:asciiTheme="minorHAnsi" w:hAnsiTheme="minorHAnsi"/>
                <w:b/>
                <w:bCs/>
                <w:sz w:val="18"/>
                <w:szCs w:val="18"/>
                <w:lang w:val="en-US" w:eastAsia="zh-CN"/>
              </w:rPr>
              <w:t>16</w:t>
            </w:r>
            <w:r w:rsidR="001D2D81" w:rsidRPr="000C156A">
              <w:rPr>
                <w:rFonts w:asciiTheme="minorHAnsi" w:hAnsiTheme="minorHAnsi"/>
                <w:b/>
                <w:bCs/>
                <w:sz w:val="18"/>
                <w:szCs w:val="18"/>
                <w:lang w:val="en-US" w:eastAsia="zh-CN"/>
              </w:rPr>
              <w:t xml:space="preserve"> </w:t>
            </w:r>
            <w:r w:rsidRPr="000C156A">
              <w:rPr>
                <w:rFonts w:asciiTheme="minorHAnsi" w:hAnsiTheme="minorHAnsi"/>
                <w:b/>
                <w:bCs/>
                <w:sz w:val="18"/>
                <w:szCs w:val="18"/>
                <w:lang w:val="en-US" w:eastAsia="zh-CN"/>
              </w:rPr>
              <w:t>864.80</w:t>
            </w:r>
          </w:p>
        </w:tc>
        <w:tc>
          <w:tcPr>
            <w:tcW w:w="908" w:type="pct"/>
            <w:tcBorders>
              <w:top w:val="nil"/>
              <w:left w:val="nil"/>
              <w:bottom w:val="nil"/>
              <w:right w:val="single" w:sz="4" w:space="0" w:color="auto"/>
            </w:tcBorders>
            <w:shd w:val="clear" w:color="auto" w:fill="auto"/>
            <w:noWrap/>
            <w:vAlign w:val="center"/>
            <w:hideMark/>
          </w:tcPr>
          <w:p w14:paraId="50915A01"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b/>
                <w:bCs/>
                <w:sz w:val="18"/>
                <w:szCs w:val="18"/>
                <w:lang w:val="en-US" w:eastAsia="zh-CN"/>
              </w:rPr>
            </w:pPr>
            <w:r w:rsidRPr="000C156A">
              <w:rPr>
                <w:rFonts w:asciiTheme="minorHAnsi" w:hAnsiTheme="minorHAnsi"/>
                <w:sz w:val="18"/>
                <w:szCs w:val="18"/>
                <w:lang w:val="en-US" w:eastAsia="zh-CN"/>
              </w:rPr>
              <w:t>329.86</w:t>
            </w:r>
          </w:p>
        </w:tc>
        <w:tc>
          <w:tcPr>
            <w:tcW w:w="864" w:type="pct"/>
            <w:tcBorders>
              <w:top w:val="nil"/>
              <w:left w:val="nil"/>
              <w:bottom w:val="nil"/>
              <w:right w:val="single" w:sz="4" w:space="0" w:color="auto"/>
            </w:tcBorders>
            <w:shd w:val="clear" w:color="auto" w:fill="auto"/>
            <w:noWrap/>
            <w:vAlign w:val="center"/>
            <w:hideMark/>
          </w:tcPr>
          <w:p w14:paraId="7336C023"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b/>
                <w:bCs/>
                <w:sz w:val="18"/>
                <w:szCs w:val="18"/>
                <w:lang w:val="en-US" w:eastAsia="zh-CN"/>
              </w:rPr>
            </w:pPr>
            <w:r w:rsidRPr="000C156A">
              <w:rPr>
                <w:rFonts w:asciiTheme="minorHAnsi" w:hAnsiTheme="minorHAnsi"/>
                <w:sz w:val="18"/>
                <w:szCs w:val="18"/>
                <w:lang w:val="en-US" w:eastAsia="zh-CN"/>
              </w:rPr>
              <w:t>-</w:t>
            </w:r>
          </w:p>
        </w:tc>
      </w:tr>
      <w:tr w:rsidR="00686EC7" w:rsidRPr="000C156A" w14:paraId="25CE7B5F" w14:textId="77777777" w:rsidTr="00141BAA">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454BCB5E" w14:textId="77777777" w:rsidR="00686EC7" w:rsidRPr="000C156A" w:rsidRDefault="00686EC7" w:rsidP="00141BAA">
            <w:pPr>
              <w:overflowPunct/>
              <w:adjustRightInd/>
              <w:spacing w:before="0"/>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 </w:t>
            </w:r>
          </w:p>
        </w:tc>
        <w:tc>
          <w:tcPr>
            <w:tcW w:w="752" w:type="pct"/>
            <w:tcBorders>
              <w:top w:val="nil"/>
              <w:left w:val="nil"/>
              <w:bottom w:val="nil"/>
              <w:right w:val="single" w:sz="4" w:space="0" w:color="auto"/>
            </w:tcBorders>
            <w:shd w:val="clear" w:color="auto" w:fill="auto"/>
            <w:noWrap/>
            <w:vAlign w:val="center"/>
            <w:hideMark/>
          </w:tcPr>
          <w:p w14:paraId="07C59C56"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p>
        </w:tc>
        <w:tc>
          <w:tcPr>
            <w:tcW w:w="815" w:type="pct"/>
            <w:tcBorders>
              <w:top w:val="nil"/>
              <w:left w:val="nil"/>
              <w:bottom w:val="nil"/>
              <w:right w:val="single" w:sz="4" w:space="0" w:color="auto"/>
            </w:tcBorders>
            <w:shd w:val="clear" w:color="auto" w:fill="auto"/>
            <w:noWrap/>
            <w:vAlign w:val="center"/>
            <w:hideMark/>
          </w:tcPr>
          <w:p w14:paraId="430B31C9"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p>
        </w:tc>
        <w:tc>
          <w:tcPr>
            <w:tcW w:w="908" w:type="pct"/>
            <w:tcBorders>
              <w:top w:val="nil"/>
              <w:left w:val="nil"/>
              <w:bottom w:val="nil"/>
              <w:right w:val="single" w:sz="4" w:space="0" w:color="auto"/>
            </w:tcBorders>
            <w:shd w:val="clear" w:color="auto" w:fill="auto"/>
            <w:noWrap/>
            <w:vAlign w:val="center"/>
            <w:hideMark/>
          </w:tcPr>
          <w:p w14:paraId="1F81BBBF"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p>
        </w:tc>
        <w:tc>
          <w:tcPr>
            <w:tcW w:w="864" w:type="pct"/>
            <w:tcBorders>
              <w:top w:val="nil"/>
              <w:left w:val="nil"/>
              <w:bottom w:val="nil"/>
              <w:right w:val="single" w:sz="4" w:space="0" w:color="auto"/>
            </w:tcBorders>
            <w:shd w:val="clear" w:color="auto" w:fill="auto"/>
            <w:noWrap/>
            <w:vAlign w:val="center"/>
            <w:hideMark/>
          </w:tcPr>
          <w:p w14:paraId="4F0C4C0D"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p>
        </w:tc>
      </w:tr>
      <w:tr w:rsidR="00686EC7" w:rsidRPr="000C156A" w14:paraId="521E64D1" w14:textId="77777777" w:rsidTr="00141BAA">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7D5FAD85" w14:textId="77777777" w:rsidR="00686EC7" w:rsidRPr="000C156A" w:rsidRDefault="00686EC7" w:rsidP="00141BAA">
            <w:pPr>
              <w:overflowPunct/>
              <w:adjustRightInd/>
              <w:spacing w:before="0"/>
              <w:textAlignment w:val="auto"/>
              <w:rPr>
                <w:rFonts w:asciiTheme="minorHAnsi" w:hAnsiTheme="minorHAnsi"/>
                <w:sz w:val="18"/>
                <w:szCs w:val="18"/>
                <w:u w:val="single"/>
                <w:lang w:val="en-US" w:eastAsia="zh-CN"/>
              </w:rPr>
            </w:pPr>
            <w:r w:rsidRPr="000C156A">
              <w:rPr>
                <w:rFonts w:cs="Calibri" w:hint="eastAsia"/>
                <w:sz w:val="18"/>
                <w:szCs w:val="18"/>
                <w:u w:val="single"/>
                <w:lang w:val="fr-CH" w:eastAsia="zh-CN"/>
              </w:rPr>
              <w:t>收入</w:t>
            </w:r>
          </w:p>
        </w:tc>
        <w:tc>
          <w:tcPr>
            <w:tcW w:w="752" w:type="pct"/>
            <w:tcBorders>
              <w:top w:val="nil"/>
              <w:left w:val="nil"/>
              <w:bottom w:val="nil"/>
              <w:right w:val="single" w:sz="4" w:space="0" w:color="auto"/>
            </w:tcBorders>
            <w:shd w:val="clear" w:color="auto" w:fill="auto"/>
            <w:noWrap/>
            <w:vAlign w:val="center"/>
            <w:hideMark/>
          </w:tcPr>
          <w:p w14:paraId="5A90C87E"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p>
        </w:tc>
        <w:tc>
          <w:tcPr>
            <w:tcW w:w="815" w:type="pct"/>
            <w:tcBorders>
              <w:top w:val="nil"/>
              <w:left w:val="nil"/>
              <w:bottom w:val="nil"/>
              <w:right w:val="single" w:sz="4" w:space="0" w:color="auto"/>
            </w:tcBorders>
            <w:shd w:val="clear" w:color="auto" w:fill="auto"/>
            <w:noWrap/>
            <w:vAlign w:val="center"/>
            <w:hideMark/>
          </w:tcPr>
          <w:p w14:paraId="7F68694E"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p>
        </w:tc>
        <w:tc>
          <w:tcPr>
            <w:tcW w:w="908" w:type="pct"/>
            <w:tcBorders>
              <w:top w:val="nil"/>
              <w:left w:val="nil"/>
              <w:bottom w:val="nil"/>
              <w:right w:val="single" w:sz="4" w:space="0" w:color="auto"/>
            </w:tcBorders>
            <w:shd w:val="clear" w:color="auto" w:fill="auto"/>
            <w:noWrap/>
            <w:vAlign w:val="center"/>
            <w:hideMark/>
          </w:tcPr>
          <w:p w14:paraId="639CC5E0"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p>
        </w:tc>
        <w:tc>
          <w:tcPr>
            <w:tcW w:w="864" w:type="pct"/>
            <w:tcBorders>
              <w:top w:val="nil"/>
              <w:left w:val="nil"/>
              <w:bottom w:val="nil"/>
              <w:right w:val="single" w:sz="4" w:space="0" w:color="auto"/>
            </w:tcBorders>
            <w:shd w:val="clear" w:color="auto" w:fill="auto"/>
            <w:noWrap/>
            <w:vAlign w:val="center"/>
            <w:hideMark/>
          </w:tcPr>
          <w:p w14:paraId="10601BFD" w14:textId="77777777" w:rsidR="00686EC7" w:rsidRPr="000C156A" w:rsidRDefault="00686EC7" w:rsidP="00141BAA">
            <w:pPr>
              <w:keepNext/>
              <w:keepLines/>
              <w:overflowPunct/>
              <w:autoSpaceDE/>
              <w:autoSpaceDN/>
              <w:adjustRightInd/>
              <w:spacing w:before="0"/>
              <w:jc w:val="right"/>
              <w:textAlignment w:val="auto"/>
              <w:rPr>
                <w:rFonts w:asciiTheme="minorHAnsi" w:hAnsiTheme="minorHAnsi"/>
                <w:sz w:val="18"/>
                <w:szCs w:val="18"/>
                <w:lang w:val="en-US" w:eastAsia="zh-CN"/>
              </w:rPr>
            </w:pPr>
          </w:p>
        </w:tc>
      </w:tr>
      <w:tr w:rsidR="00686EC7" w:rsidRPr="000C156A" w14:paraId="0D1B3E51" w14:textId="77777777" w:rsidTr="00141BAA">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730E90B2" w14:textId="77777777" w:rsidR="00686EC7" w:rsidRPr="000C156A" w:rsidRDefault="00686EC7" w:rsidP="00141BAA">
            <w:pPr>
              <w:overflowPunct/>
              <w:adjustRightInd/>
              <w:spacing w:before="0"/>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 </w:t>
            </w:r>
          </w:p>
        </w:tc>
        <w:tc>
          <w:tcPr>
            <w:tcW w:w="752" w:type="pct"/>
            <w:tcBorders>
              <w:top w:val="nil"/>
              <w:left w:val="nil"/>
              <w:bottom w:val="nil"/>
              <w:right w:val="single" w:sz="4" w:space="0" w:color="auto"/>
            </w:tcBorders>
            <w:shd w:val="clear" w:color="auto" w:fill="auto"/>
            <w:noWrap/>
            <w:vAlign w:val="center"/>
            <w:hideMark/>
          </w:tcPr>
          <w:p w14:paraId="10D1F6A7"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c>
          <w:tcPr>
            <w:tcW w:w="815" w:type="pct"/>
            <w:tcBorders>
              <w:top w:val="nil"/>
              <w:left w:val="nil"/>
              <w:bottom w:val="nil"/>
              <w:right w:val="single" w:sz="4" w:space="0" w:color="auto"/>
            </w:tcBorders>
            <w:shd w:val="clear" w:color="auto" w:fill="auto"/>
            <w:noWrap/>
            <w:vAlign w:val="center"/>
            <w:hideMark/>
          </w:tcPr>
          <w:p w14:paraId="61F00D0D"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c>
          <w:tcPr>
            <w:tcW w:w="908" w:type="pct"/>
            <w:tcBorders>
              <w:top w:val="nil"/>
              <w:left w:val="nil"/>
              <w:bottom w:val="nil"/>
              <w:right w:val="single" w:sz="4" w:space="0" w:color="auto"/>
            </w:tcBorders>
            <w:shd w:val="clear" w:color="auto" w:fill="auto"/>
            <w:noWrap/>
            <w:vAlign w:val="center"/>
            <w:hideMark/>
          </w:tcPr>
          <w:p w14:paraId="5131A841"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c>
          <w:tcPr>
            <w:tcW w:w="864" w:type="pct"/>
            <w:tcBorders>
              <w:top w:val="nil"/>
              <w:left w:val="nil"/>
              <w:bottom w:val="nil"/>
              <w:right w:val="single" w:sz="4" w:space="0" w:color="auto"/>
            </w:tcBorders>
            <w:shd w:val="clear" w:color="auto" w:fill="auto"/>
            <w:noWrap/>
            <w:vAlign w:val="center"/>
            <w:hideMark/>
          </w:tcPr>
          <w:p w14:paraId="79109B1A"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r>
      <w:tr w:rsidR="00686EC7" w:rsidRPr="000C156A" w14:paraId="35F4E062" w14:textId="77777777" w:rsidTr="00141BAA">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6932654B" w14:textId="77777777" w:rsidR="00686EC7" w:rsidRPr="000C156A" w:rsidRDefault="00686EC7" w:rsidP="00141BAA">
            <w:pPr>
              <w:spacing w:before="100"/>
              <w:rPr>
                <w:rFonts w:cs="Calibri"/>
                <w:sz w:val="18"/>
                <w:szCs w:val="18"/>
                <w:lang w:val="fr-CH"/>
              </w:rPr>
            </w:pPr>
            <w:r w:rsidRPr="000C156A">
              <w:rPr>
                <w:rFonts w:cs="Calibri" w:hint="eastAsia"/>
                <w:sz w:val="18"/>
                <w:szCs w:val="18"/>
                <w:lang w:val="fr-CH" w:eastAsia="zh-CN"/>
              </w:rPr>
              <w:t>投资利</w:t>
            </w:r>
            <w:r w:rsidRPr="000C156A">
              <w:rPr>
                <w:rFonts w:cs="Calibri"/>
                <w:sz w:val="18"/>
                <w:szCs w:val="18"/>
                <w:lang w:val="fr-CH" w:eastAsia="zh-CN"/>
              </w:rPr>
              <w:t>息</w:t>
            </w:r>
          </w:p>
        </w:tc>
        <w:tc>
          <w:tcPr>
            <w:tcW w:w="752" w:type="pct"/>
            <w:tcBorders>
              <w:top w:val="nil"/>
              <w:left w:val="nil"/>
              <w:bottom w:val="nil"/>
              <w:right w:val="single" w:sz="4" w:space="0" w:color="auto"/>
            </w:tcBorders>
            <w:shd w:val="clear" w:color="auto" w:fill="auto"/>
            <w:noWrap/>
            <w:vAlign w:val="center"/>
            <w:hideMark/>
          </w:tcPr>
          <w:p w14:paraId="4D64CD1B" w14:textId="583343CA"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24</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992.39</w:t>
            </w:r>
          </w:p>
        </w:tc>
        <w:tc>
          <w:tcPr>
            <w:tcW w:w="815" w:type="pct"/>
            <w:tcBorders>
              <w:top w:val="nil"/>
              <w:left w:val="nil"/>
              <w:bottom w:val="nil"/>
              <w:right w:val="single" w:sz="4" w:space="0" w:color="auto"/>
            </w:tcBorders>
            <w:shd w:val="clear" w:color="auto" w:fill="auto"/>
            <w:noWrap/>
            <w:vAlign w:val="center"/>
            <w:hideMark/>
          </w:tcPr>
          <w:p w14:paraId="2F1D5D00"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w:t>
            </w:r>
          </w:p>
        </w:tc>
        <w:tc>
          <w:tcPr>
            <w:tcW w:w="908" w:type="pct"/>
            <w:tcBorders>
              <w:top w:val="nil"/>
              <w:left w:val="nil"/>
              <w:bottom w:val="nil"/>
              <w:right w:val="single" w:sz="4" w:space="0" w:color="auto"/>
            </w:tcBorders>
            <w:shd w:val="clear" w:color="auto" w:fill="auto"/>
            <w:noWrap/>
            <w:vAlign w:val="center"/>
            <w:hideMark/>
          </w:tcPr>
          <w:p w14:paraId="14859AD3"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w:t>
            </w:r>
          </w:p>
        </w:tc>
        <w:tc>
          <w:tcPr>
            <w:tcW w:w="864" w:type="pct"/>
            <w:tcBorders>
              <w:top w:val="nil"/>
              <w:left w:val="nil"/>
              <w:bottom w:val="nil"/>
              <w:right w:val="single" w:sz="4" w:space="0" w:color="auto"/>
            </w:tcBorders>
            <w:shd w:val="clear" w:color="auto" w:fill="auto"/>
            <w:noWrap/>
            <w:vAlign w:val="center"/>
            <w:hideMark/>
          </w:tcPr>
          <w:p w14:paraId="6491519D"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w:t>
            </w:r>
          </w:p>
        </w:tc>
      </w:tr>
      <w:tr w:rsidR="00686EC7" w:rsidRPr="000C156A" w14:paraId="0E66A047" w14:textId="77777777" w:rsidTr="00141BAA">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0E50DC1B" w14:textId="77777777" w:rsidR="00686EC7" w:rsidRPr="000C156A" w:rsidRDefault="00686EC7" w:rsidP="00141BAA">
            <w:pPr>
              <w:spacing w:before="100"/>
              <w:rPr>
                <w:rFonts w:cs="Calibri"/>
                <w:sz w:val="18"/>
                <w:szCs w:val="18"/>
              </w:rPr>
            </w:pPr>
            <w:r w:rsidRPr="000C156A">
              <w:rPr>
                <w:rFonts w:cs="Calibri" w:hint="eastAsia"/>
                <w:sz w:val="18"/>
                <w:szCs w:val="18"/>
                <w:lang w:eastAsia="zh-CN"/>
              </w:rPr>
              <w:t>其他财务</w:t>
            </w:r>
            <w:r w:rsidRPr="000C156A">
              <w:rPr>
                <w:rFonts w:cs="Calibri" w:hint="eastAsia"/>
                <w:sz w:val="18"/>
                <w:szCs w:val="18"/>
              </w:rPr>
              <w:t>收入</w:t>
            </w:r>
          </w:p>
        </w:tc>
        <w:tc>
          <w:tcPr>
            <w:tcW w:w="752" w:type="pct"/>
            <w:tcBorders>
              <w:top w:val="nil"/>
              <w:left w:val="nil"/>
              <w:bottom w:val="nil"/>
              <w:right w:val="single" w:sz="4" w:space="0" w:color="auto"/>
            </w:tcBorders>
            <w:shd w:val="clear" w:color="auto" w:fill="auto"/>
            <w:noWrap/>
            <w:vAlign w:val="center"/>
            <w:hideMark/>
          </w:tcPr>
          <w:p w14:paraId="4F18BCBE" w14:textId="73EFF8A5"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4</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315.15</w:t>
            </w:r>
          </w:p>
        </w:tc>
        <w:tc>
          <w:tcPr>
            <w:tcW w:w="815" w:type="pct"/>
            <w:tcBorders>
              <w:top w:val="nil"/>
              <w:left w:val="nil"/>
              <w:bottom w:val="nil"/>
              <w:right w:val="single" w:sz="4" w:space="0" w:color="auto"/>
            </w:tcBorders>
            <w:shd w:val="clear" w:color="auto" w:fill="auto"/>
            <w:noWrap/>
            <w:vAlign w:val="center"/>
            <w:hideMark/>
          </w:tcPr>
          <w:p w14:paraId="030DA310"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w:t>
            </w:r>
          </w:p>
        </w:tc>
        <w:tc>
          <w:tcPr>
            <w:tcW w:w="908" w:type="pct"/>
            <w:tcBorders>
              <w:top w:val="nil"/>
              <w:left w:val="nil"/>
              <w:bottom w:val="nil"/>
              <w:right w:val="single" w:sz="4" w:space="0" w:color="auto"/>
            </w:tcBorders>
            <w:shd w:val="clear" w:color="auto" w:fill="auto"/>
            <w:noWrap/>
            <w:vAlign w:val="center"/>
            <w:hideMark/>
          </w:tcPr>
          <w:p w14:paraId="3D354EB7"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w:t>
            </w:r>
          </w:p>
        </w:tc>
        <w:tc>
          <w:tcPr>
            <w:tcW w:w="864" w:type="pct"/>
            <w:tcBorders>
              <w:top w:val="nil"/>
              <w:left w:val="nil"/>
              <w:bottom w:val="nil"/>
              <w:right w:val="single" w:sz="4" w:space="0" w:color="auto"/>
            </w:tcBorders>
            <w:shd w:val="clear" w:color="auto" w:fill="auto"/>
            <w:noWrap/>
            <w:vAlign w:val="center"/>
            <w:hideMark/>
          </w:tcPr>
          <w:p w14:paraId="41199B46"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w:t>
            </w:r>
          </w:p>
        </w:tc>
      </w:tr>
      <w:tr w:rsidR="00686EC7" w:rsidRPr="000C156A" w14:paraId="624E48C6" w14:textId="77777777" w:rsidTr="00141BAA">
        <w:trPr>
          <w:trHeight w:val="255"/>
        </w:trPr>
        <w:tc>
          <w:tcPr>
            <w:tcW w:w="1661" w:type="pct"/>
            <w:tcBorders>
              <w:top w:val="nil"/>
              <w:left w:val="single" w:sz="4" w:space="0" w:color="auto"/>
              <w:right w:val="single" w:sz="4" w:space="0" w:color="auto"/>
            </w:tcBorders>
            <w:shd w:val="clear" w:color="auto" w:fill="auto"/>
            <w:noWrap/>
            <w:vAlign w:val="center"/>
            <w:hideMark/>
          </w:tcPr>
          <w:p w14:paraId="121F8116" w14:textId="77777777" w:rsidR="00686EC7" w:rsidRPr="000C156A" w:rsidRDefault="00686EC7" w:rsidP="00141BAA">
            <w:pPr>
              <w:overflowPunct/>
              <w:adjustRightInd/>
              <w:spacing w:before="0"/>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 </w:t>
            </w:r>
          </w:p>
        </w:tc>
        <w:tc>
          <w:tcPr>
            <w:tcW w:w="752" w:type="pct"/>
            <w:tcBorders>
              <w:top w:val="nil"/>
              <w:left w:val="nil"/>
              <w:right w:val="single" w:sz="4" w:space="0" w:color="auto"/>
            </w:tcBorders>
            <w:shd w:val="clear" w:color="auto" w:fill="auto"/>
            <w:noWrap/>
            <w:vAlign w:val="center"/>
            <w:hideMark/>
          </w:tcPr>
          <w:p w14:paraId="5DA7F2CC"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c>
          <w:tcPr>
            <w:tcW w:w="815" w:type="pct"/>
            <w:tcBorders>
              <w:top w:val="nil"/>
              <w:left w:val="nil"/>
              <w:right w:val="single" w:sz="4" w:space="0" w:color="auto"/>
            </w:tcBorders>
            <w:shd w:val="clear" w:color="auto" w:fill="auto"/>
            <w:noWrap/>
            <w:vAlign w:val="center"/>
            <w:hideMark/>
          </w:tcPr>
          <w:p w14:paraId="0F1A52BB"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c>
          <w:tcPr>
            <w:tcW w:w="908" w:type="pct"/>
            <w:tcBorders>
              <w:top w:val="nil"/>
              <w:left w:val="nil"/>
              <w:right w:val="single" w:sz="4" w:space="0" w:color="auto"/>
            </w:tcBorders>
            <w:shd w:val="clear" w:color="auto" w:fill="auto"/>
            <w:noWrap/>
            <w:vAlign w:val="center"/>
            <w:hideMark/>
          </w:tcPr>
          <w:p w14:paraId="7FE48282"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c>
          <w:tcPr>
            <w:tcW w:w="864" w:type="pct"/>
            <w:tcBorders>
              <w:top w:val="nil"/>
              <w:left w:val="nil"/>
              <w:right w:val="single" w:sz="4" w:space="0" w:color="auto"/>
            </w:tcBorders>
            <w:shd w:val="clear" w:color="auto" w:fill="auto"/>
            <w:noWrap/>
            <w:vAlign w:val="center"/>
            <w:hideMark/>
          </w:tcPr>
          <w:p w14:paraId="7C6FA65D"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r>
      <w:tr w:rsidR="00686EC7" w:rsidRPr="000C156A" w14:paraId="34A9DBA8" w14:textId="77777777" w:rsidTr="00141BAA">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704AD208" w14:textId="77777777" w:rsidR="00686EC7" w:rsidRPr="000C156A" w:rsidRDefault="00686EC7" w:rsidP="00141BAA">
            <w:pPr>
              <w:overflowPunct/>
              <w:adjustRightInd/>
              <w:spacing w:before="0"/>
              <w:textAlignment w:val="auto"/>
              <w:rPr>
                <w:rFonts w:asciiTheme="minorHAnsi" w:hAnsiTheme="minorHAnsi"/>
                <w:b/>
                <w:bCs/>
                <w:sz w:val="18"/>
                <w:szCs w:val="18"/>
                <w:lang w:val="en-US" w:eastAsia="zh-CN"/>
              </w:rPr>
            </w:pPr>
            <w:r w:rsidRPr="000C156A">
              <w:rPr>
                <w:rFonts w:cs="Calibri" w:hint="eastAsia"/>
                <w:b/>
                <w:bCs/>
                <w:sz w:val="18"/>
                <w:szCs w:val="18"/>
                <w:lang w:eastAsia="zh-CN"/>
              </w:rPr>
              <w:t>收入合计</w:t>
            </w:r>
          </w:p>
        </w:tc>
        <w:tc>
          <w:tcPr>
            <w:tcW w:w="752" w:type="pct"/>
            <w:tcBorders>
              <w:top w:val="nil"/>
              <w:left w:val="nil"/>
              <w:bottom w:val="nil"/>
              <w:right w:val="single" w:sz="4" w:space="0" w:color="auto"/>
            </w:tcBorders>
            <w:shd w:val="clear" w:color="auto" w:fill="auto"/>
            <w:noWrap/>
            <w:vAlign w:val="center"/>
            <w:hideMark/>
          </w:tcPr>
          <w:p w14:paraId="016871A6" w14:textId="7405FE4D" w:rsidR="00686EC7" w:rsidRPr="000C156A" w:rsidRDefault="00686EC7" w:rsidP="00141BAA">
            <w:pPr>
              <w:overflowPunct/>
              <w:autoSpaceDE/>
              <w:autoSpaceDN/>
              <w:adjustRightInd/>
              <w:spacing w:before="0"/>
              <w:jc w:val="right"/>
              <w:textAlignment w:val="auto"/>
              <w:rPr>
                <w:rFonts w:asciiTheme="minorHAnsi" w:hAnsiTheme="minorHAnsi"/>
                <w:b/>
                <w:bCs/>
                <w:sz w:val="18"/>
                <w:szCs w:val="18"/>
                <w:lang w:val="en-US" w:eastAsia="zh-CN"/>
              </w:rPr>
            </w:pPr>
            <w:r w:rsidRPr="000C156A">
              <w:rPr>
                <w:rFonts w:asciiTheme="minorHAnsi" w:hAnsiTheme="minorHAnsi"/>
                <w:b/>
                <w:bCs/>
                <w:sz w:val="18"/>
                <w:szCs w:val="18"/>
                <w:lang w:val="en-US" w:eastAsia="zh-CN"/>
              </w:rPr>
              <w:t>16</w:t>
            </w:r>
            <w:r w:rsidR="001D2D81" w:rsidRPr="000C156A">
              <w:rPr>
                <w:rFonts w:asciiTheme="minorHAnsi" w:hAnsiTheme="minorHAnsi"/>
                <w:b/>
                <w:bCs/>
                <w:sz w:val="18"/>
                <w:szCs w:val="18"/>
                <w:lang w:val="en-US" w:eastAsia="zh-CN"/>
              </w:rPr>
              <w:t xml:space="preserve"> </w:t>
            </w:r>
            <w:r w:rsidRPr="000C156A">
              <w:rPr>
                <w:rFonts w:asciiTheme="minorHAnsi" w:hAnsiTheme="minorHAnsi"/>
                <w:b/>
                <w:bCs/>
                <w:sz w:val="18"/>
                <w:szCs w:val="18"/>
                <w:lang w:val="en-US" w:eastAsia="zh-CN"/>
              </w:rPr>
              <w:t>864.80</w:t>
            </w:r>
          </w:p>
        </w:tc>
        <w:tc>
          <w:tcPr>
            <w:tcW w:w="815" w:type="pct"/>
            <w:tcBorders>
              <w:top w:val="nil"/>
              <w:left w:val="nil"/>
              <w:bottom w:val="nil"/>
              <w:right w:val="single" w:sz="4" w:space="0" w:color="auto"/>
            </w:tcBorders>
            <w:shd w:val="clear" w:color="auto" w:fill="auto"/>
            <w:noWrap/>
            <w:vAlign w:val="center"/>
            <w:hideMark/>
          </w:tcPr>
          <w:p w14:paraId="1EDCA0C8" w14:textId="6944C04D" w:rsidR="00686EC7" w:rsidRPr="000C156A" w:rsidRDefault="00686EC7" w:rsidP="00141BAA">
            <w:pPr>
              <w:overflowPunct/>
              <w:autoSpaceDE/>
              <w:autoSpaceDN/>
              <w:adjustRightInd/>
              <w:spacing w:before="0"/>
              <w:jc w:val="right"/>
              <w:textAlignment w:val="auto"/>
              <w:rPr>
                <w:rFonts w:asciiTheme="minorHAnsi" w:hAnsiTheme="minorHAnsi"/>
                <w:b/>
                <w:bCs/>
                <w:sz w:val="18"/>
                <w:szCs w:val="18"/>
                <w:lang w:val="en-US" w:eastAsia="zh-CN"/>
              </w:rPr>
            </w:pPr>
            <w:r w:rsidRPr="000C156A">
              <w:rPr>
                <w:rFonts w:asciiTheme="minorHAnsi" w:hAnsiTheme="minorHAnsi"/>
                <w:b/>
                <w:bCs/>
                <w:sz w:val="18"/>
                <w:szCs w:val="18"/>
                <w:lang w:val="en-US" w:eastAsia="zh-CN"/>
              </w:rPr>
              <w:t>16</w:t>
            </w:r>
            <w:r w:rsidR="001D2D81" w:rsidRPr="000C156A">
              <w:rPr>
                <w:rFonts w:asciiTheme="minorHAnsi" w:hAnsiTheme="minorHAnsi"/>
                <w:b/>
                <w:bCs/>
                <w:sz w:val="18"/>
                <w:szCs w:val="18"/>
                <w:lang w:val="en-US" w:eastAsia="zh-CN"/>
              </w:rPr>
              <w:t xml:space="preserve"> </w:t>
            </w:r>
            <w:r w:rsidRPr="000C156A">
              <w:rPr>
                <w:rFonts w:asciiTheme="minorHAnsi" w:hAnsiTheme="minorHAnsi"/>
                <w:b/>
                <w:bCs/>
                <w:sz w:val="18"/>
                <w:szCs w:val="18"/>
                <w:lang w:val="en-US" w:eastAsia="zh-CN"/>
              </w:rPr>
              <w:t>864.80</w:t>
            </w:r>
          </w:p>
        </w:tc>
        <w:tc>
          <w:tcPr>
            <w:tcW w:w="908" w:type="pct"/>
            <w:tcBorders>
              <w:top w:val="nil"/>
              <w:left w:val="nil"/>
              <w:bottom w:val="nil"/>
              <w:right w:val="single" w:sz="4" w:space="0" w:color="auto"/>
            </w:tcBorders>
            <w:shd w:val="clear" w:color="auto" w:fill="auto"/>
            <w:noWrap/>
            <w:vAlign w:val="center"/>
            <w:hideMark/>
          </w:tcPr>
          <w:p w14:paraId="1110EA55" w14:textId="77777777" w:rsidR="00686EC7" w:rsidRPr="000C156A" w:rsidRDefault="00686EC7" w:rsidP="00141BAA">
            <w:pPr>
              <w:overflowPunct/>
              <w:autoSpaceDE/>
              <w:autoSpaceDN/>
              <w:adjustRightInd/>
              <w:spacing w:before="0"/>
              <w:jc w:val="right"/>
              <w:textAlignment w:val="auto"/>
              <w:rPr>
                <w:rFonts w:asciiTheme="minorHAnsi" w:hAnsiTheme="minorHAnsi"/>
                <w:b/>
                <w:bCs/>
                <w:sz w:val="18"/>
                <w:szCs w:val="18"/>
                <w:lang w:val="en-US" w:eastAsia="zh-CN"/>
              </w:rPr>
            </w:pPr>
            <w:r w:rsidRPr="000C156A">
              <w:rPr>
                <w:rFonts w:asciiTheme="minorHAnsi" w:hAnsiTheme="minorHAnsi"/>
                <w:sz w:val="18"/>
                <w:szCs w:val="18"/>
                <w:lang w:val="en-US" w:eastAsia="zh-CN"/>
              </w:rPr>
              <w:t>-</w:t>
            </w:r>
          </w:p>
        </w:tc>
        <w:tc>
          <w:tcPr>
            <w:tcW w:w="864" w:type="pct"/>
            <w:tcBorders>
              <w:top w:val="nil"/>
              <w:left w:val="nil"/>
              <w:bottom w:val="nil"/>
              <w:right w:val="single" w:sz="4" w:space="0" w:color="auto"/>
            </w:tcBorders>
            <w:shd w:val="clear" w:color="auto" w:fill="auto"/>
            <w:noWrap/>
            <w:vAlign w:val="center"/>
            <w:hideMark/>
          </w:tcPr>
          <w:p w14:paraId="50FA7D68" w14:textId="77777777" w:rsidR="00686EC7" w:rsidRPr="000C156A" w:rsidRDefault="00686EC7" w:rsidP="00141BAA">
            <w:pPr>
              <w:overflowPunct/>
              <w:autoSpaceDE/>
              <w:autoSpaceDN/>
              <w:adjustRightInd/>
              <w:spacing w:before="0"/>
              <w:jc w:val="right"/>
              <w:textAlignment w:val="auto"/>
              <w:rPr>
                <w:rFonts w:asciiTheme="minorHAnsi" w:hAnsiTheme="minorHAnsi"/>
                <w:b/>
                <w:bCs/>
                <w:sz w:val="18"/>
                <w:szCs w:val="18"/>
                <w:lang w:val="en-US" w:eastAsia="zh-CN"/>
              </w:rPr>
            </w:pPr>
            <w:r w:rsidRPr="000C156A">
              <w:rPr>
                <w:rFonts w:asciiTheme="minorHAnsi" w:hAnsiTheme="minorHAnsi"/>
                <w:sz w:val="18"/>
                <w:szCs w:val="18"/>
                <w:lang w:val="en-US" w:eastAsia="zh-CN"/>
              </w:rPr>
              <w:t>-</w:t>
            </w:r>
          </w:p>
        </w:tc>
      </w:tr>
      <w:tr w:rsidR="00686EC7" w:rsidRPr="000C156A" w14:paraId="66E6F4C7" w14:textId="77777777" w:rsidTr="00141BAA">
        <w:trPr>
          <w:trHeight w:val="300"/>
        </w:trPr>
        <w:tc>
          <w:tcPr>
            <w:tcW w:w="1661" w:type="pct"/>
            <w:tcBorders>
              <w:top w:val="nil"/>
              <w:left w:val="single" w:sz="4" w:space="0" w:color="auto"/>
              <w:bottom w:val="single" w:sz="4" w:space="0" w:color="auto"/>
              <w:right w:val="single" w:sz="4" w:space="0" w:color="auto"/>
            </w:tcBorders>
            <w:shd w:val="clear" w:color="auto" w:fill="auto"/>
            <w:noWrap/>
            <w:vAlign w:val="center"/>
          </w:tcPr>
          <w:p w14:paraId="735C8828" w14:textId="77777777" w:rsidR="00686EC7" w:rsidRPr="000C156A" w:rsidRDefault="00686EC7" w:rsidP="00141BAA">
            <w:pPr>
              <w:overflowPunct/>
              <w:autoSpaceDE/>
              <w:autoSpaceDN/>
              <w:adjustRightInd/>
              <w:spacing w:before="0"/>
              <w:textAlignment w:val="auto"/>
              <w:rPr>
                <w:rFonts w:asciiTheme="minorHAnsi" w:hAnsiTheme="minorHAnsi"/>
                <w:b/>
                <w:bCs/>
                <w:sz w:val="18"/>
                <w:szCs w:val="18"/>
                <w:lang w:val="en-US" w:eastAsia="zh-CN"/>
              </w:rPr>
            </w:pPr>
            <w:r w:rsidRPr="000C156A">
              <w:rPr>
                <w:rFonts w:asciiTheme="minorHAnsi" w:hAnsiTheme="minorHAnsi" w:hint="eastAsia"/>
                <w:b/>
                <w:bCs/>
                <w:sz w:val="18"/>
                <w:szCs w:val="18"/>
                <w:lang w:val="en-US" w:eastAsia="zh-CN"/>
              </w:rPr>
              <w:t>本期盈余</w:t>
            </w:r>
            <w:r w:rsidRPr="000C156A">
              <w:rPr>
                <w:rFonts w:asciiTheme="minorHAnsi" w:hAnsiTheme="minorHAnsi" w:hint="eastAsia"/>
                <w:b/>
                <w:bCs/>
                <w:sz w:val="18"/>
                <w:szCs w:val="18"/>
                <w:lang w:val="en-US" w:eastAsia="zh-CN"/>
              </w:rPr>
              <w:t>/</w:t>
            </w:r>
            <w:r w:rsidRPr="000C156A">
              <w:rPr>
                <w:rFonts w:asciiTheme="minorHAnsi" w:hAnsiTheme="minorHAnsi" w:hint="eastAsia"/>
                <w:b/>
                <w:bCs/>
                <w:sz w:val="18"/>
                <w:szCs w:val="18"/>
                <w:lang w:val="en-US" w:eastAsia="zh-CN"/>
              </w:rPr>
              <w:t>赤字</w:t>
            </w:r>
          </w:p>
        </w:tc>
        <w:tc>
          <w:tcPr>
            <w:tcW w:w="752" w:type="pct"/>
            <w:tcBorders>
              <w:top w:val="nil"/>
              <w:left w:val="nil"/>
              <w:bottom w:val="single" w:sz="4" w:space="0" w:color="auto"/>
              <w:right w:val="single" w:sz="4" w:space="0" w:color="auto"/>
            </w:tcBorders>
            <w:shd w:val="clear" w:color="auto" w:fill="auto"/>
            <w:noWrap/>
            <w:vAlign w:val="center"/>
          </w:tcPr>
          <w:p w14:paraId="3FE0555A" w14:textId="5389B2BA" w:rsidR="00686EC7" w:rsidRPr="000C156A" w:rsidRDefault="00686EC7" w:rsidP="00141BAA">
            <w:pPr>
              <w:overflowPunct/>
              <w:autoSpaceDE/>
              <w:autoSpaceDN/>
              <w:adjustRightInd/>
              <w:spacing w:before="0"/>
              <w:jc w:val="right"/>
              <w:textAlignment w:val="auto"/>
              <w:rPr>
                <w:rFonts w:asciiTheme="minorHAnsi" w:hAnsiTheme="minorHAnsi"/>
                <w:b/>
                <w:bCs/>
                <w:sz w:val="18"/>
                <w:szCs w:val="18"/>
                <w:lang w:val="en-US" w:eastAsia="zh-CN"/>
              </w:rPr>
            </w:pPr>
            <w:r w:rsidRPr="000C156A">
              <w:rPr>
                <w:rFonts w:asciiTheme="minorHAnsi" w:hAnsiTheme="minorHAnsi"/>
                <w:b/>
                <w:bCs/>
                <w:sz w:val="18"/>
                <w:szCs w:val="18"/>
                <w:lang w:val="en-US" w:eastAsia="zh-CN"/>
              </w:rPr>
              <w:t>-401</w:t>
            </w:r>
            <w:r w:rsidR="001D2D81" w:rsidRPr="000C156A">
              <w:rPr>
                <w:rFonts w:asciiTheme="minorHAnsi" w:hAnsiTheme="minorHAnsi"/>
                <w:b/>
                <w:bCs/>
                <w:sz w:val="18"/>
                <w:szCs w:val="18"/>
                <w:lang w:val="en-US" w:eastAsia="zh-CN"/>
              </w:rPr>
              <w:t xml:space="preserve"> </w:t>
            </w:r>
            <w:r w:rsidRPr="000C156A">
              <w:rPr>
                <w:rFonts w:asciiTheme="minorHAnsi" w:hAnsiTheme="minorHAnsi"/>
                <w:b/>
                <w:bCs/>
                <w:sz w:val="18"/>
                <w:szCs w:val="18"/>
                <w:lang w:val="en-US" w:eastAsia="zh-CN"/>
              </w:rPr>
              <w:t>134.58</w:t>
            </w:r>
          </w:p>
        </w:tc>
        <w:tc>
          <w:tcPr>
            <w:tcW w:w="815" w:type="pct"/>
            <w:tcBorders>
              <w:top w:val="nil"/>
              <w:left w:val="nil"/>
              <w:bottom w:val="single" w:sz="4" w:space="0" w:color="auto"/>
              <w:right w:val="single" w:sz="4" w:space="0" w:color="auto"/>
            </w:tcBorders>
            <w:shd w:val="clear" w:color="auto" w:fill="auto"/>
            <w:noWrap/>
            <w:vAlign w:val="center"/>
          </w:tcPr>
          <w:p w14:paraId="1C372A0D" w14:textId="639B3BDB" w:rsidR="00686EC7" w:rsidRPr="000C156A" w:rsidRDefault="00686EC7" w:rsidP="00141BAA">
            <w:pPr>
              <w:overflowPunct/>
              <w:autoSpaceDE/>
              <w:autoSpaceDN/>
              <w:adjustRightInd/>
              <w:spacing w:before="0"/>
              <w:jc w:val="right"/>
              <w:textAlignment w:val="auto"/>
              <w:rPr>
                <w:rFonts w:asciiTheme="minorHAnsi" w:hAnsiTheme="minorHAnsi"/>
                <w:b/>
                <w:bCs/>
                <w:sz w:val="18"/>
                <w:szCs w:val="18"/>
                <w:lang w:val="en-US" w:eastAsia="zh-CN"/>
              </w:rPr>
            </w:pPr>
            <w:r w:rsidRPr="000C156A">
              <w:rPr>
                <w:rFonts w:asciiTheme="minorHAnsi" w:hAnsiTheme="minorHAnsi"/>
                <w:b/>
                <w:bCs/>
                <w:sz w:val="18"/>
                <w:szCs w:val="18"/>
                <w:lang w:val="en-US" w:eastAsia="zh-CN"/>
              </w:rPr>
              <w:t>-16</w:t>
            </w:r>
            <w:r w:rsidR="001D2D81" w:rsidRPr="000C156A">
              <w:rPr>
                <w:rFonts w:asciiTheme="minorHAnsi" w:hAnsiTheme="minorHAnsi"/>
                <w:b/>
                <w:bCs/>
                <w:sz w:val="18"/>
                <w:szCs w:val="18"/>
                <w:lang w:val="en-US" w:eastAsia="zh-CN"/>
              </w:rPr>
              <w:t xml:space="preserve"> </w:t>
            </w:r>
            <w:r w:rsidRPr="000C156A">
              <w:rPr>
                <w:rFonts w:asciiTheme="minorHAnsi" w:hAnsiTheme="minorHAnsi"/>
                <w:b/>
                <w:bCs/>
                <w:sz w:val="18"/>
                <w:szCs w:val="18"/>
                <w:lang w:val="en-US" w:eastAsia="zh-CN"/>
              </w:rPr>
              <w:t>864.80</w:t>
            </w:r>
          </w:p>
        </w:tc>
        <w:tc>
          <w:tcPr>
            <w:tcW w:w="908" w:type="pct"/>
            <w:tcBorders>
              <w:top w:val="nil"/>
              <w:left w:val="nil"/>
              <w:bottom w:val="single" w:sz="4" w:space="0" w:color="auto"/>
              <w:right w:val="single" w:sz="4" w:space="0" w:color="auto"/>
            </w:tcBorders>
            <w:shd w:val="clear" w:color="auto" w:fill="auto"/>
            <w:noWrap/>
            <w:vAlign w:val="center"/>
          </w:tcPr>
          <w:p w14:paraId="0B54EBB9" w14:textId="77777777" w:rsidR="00686EC7" w:rsidRPr="000C156A" w:rsidRDefault="00686EC7" w:rsidP="00141BAA">
            <w:pPr>
              <w:overflowPunct/>
              <w:autoSpaceDE/>
              <w:autoSpaceDN/>
              <w:adjustRightInd/>
              <w:spacing w:before="0"/>
              <w:jc w:val="right"/>
              <w:textAlignment w:val="auto"/>
              <w:rPr>
                <w:rFonts w:asciiTheme="minorHAnsi" w:hAnsiTheme="minorHAnsi"/>
                <w:b/>
                <w:bCs/>
                <w:sz w:val="18"/>
                <w:szCs w:val="18"/>
                <w:lang w:val="en-US" w:eastAsia="zh-CN"/>
              </w:rPr>
            </w:pPr>
            <w:r w:rsidRPr="000C156A">
              <w:rPr>
                <w:rFonts w:asciiTheme="minorHAnsi" w:hAnsiTheme="minorHAnsi"/>
                <w:b/>
                <w:bCs/>
                <w:sz w:val="18"/>
                <w:szCs w:val="18"/>
                <w:lang w:val="en-US" w:eastAsia="zh-CN"/>
              </w:rPr>
              <w:t>-329.86</w:t>
            </w:r>
          </w:p>
        </w:tc>
        <w:tc>
          <w:tcPr>
            <w:tcW w:w="864" w:type="pct"/>
            <w:tcBorders>
              <w:top w:val="nil"/>
              <w:left w:val="nil"/>
              <w:bottom w:val="single" w:sz="4" w:space="0" w:color="auto"/>
              <w:right w:val="single" w:sz="4" w:space="0" w:color="auto"/>
            </w:tcBorders>
            <w:shd w:val="clear" w:color="auto" w:fill="auto"/>
            <w:noWrap/>
            <w:vAlign w:val="center"/>
          </w:tcPr>
          <w:p w14:paraId="53E3D81F"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r>
    </w:tbl>
    <w:p w14:paraId="45495620" w14:textId="77777777" w:rsidR="00686EC7" w:rsidRPr="000C156A" w:rsidRDefault="00686EC7" w:rsidP="00686EC7">
      <w:pPr>
        <w:spacing w:before="0"/>
        <w:rPr>
          <w:sz w:val="22"/>
          <w:szCs w:val="18"/>
          <w:lang w:val="en-US"/>
        </w:rPr>
      </w:pPr>
    </w:p>
    <w:tbl>
      <w:tblPr>
        <w:tblW w:w="5153" w:type="pct"/>
        <w:tblInd w:w="-147" w:type="dxa"/>
        <w:tblLook w:val="04A0" w:firstRow="1" w:lastRow="0" w:firstColumn="1" w:lastColumn="0" w:noHBand="0" w:noVBand="1"/>
      </w:tblPr>
      <w:tblGrid>
        <w:gridCol w:w="3415"/>
        <w:gridCol w:w="1983"/>
        <w:gridCol w:w="1379"/>
        <w:gridCol w:w="1633"/>
        <w:gridCol w:w="1514"/>
      </w:tblGrid>
      <w:tr w:rsidR="00686EC7" w:rsidRPr="000C156A" w14:paraId="45ECA8D2" w14:textId="77777777" w:rsidTr="00864622">
        <w:trPr>
          <w:trHeight w:val="331"/>
        </w:trPr>
        <w:tc>
          <w:tcPr>
            <w:tcW w:w="5000" w:type="pct"/>
            <w:gridSpan w:val="5"/>
            <w:tcBorders>
              <w:top w:val="single" w:sz="4" w:space="0" w:color="auto"/>
              <w:left w:val="single" w:sz="4" w:space="0" w:color="auto"/>
              <w:bottom w:val="nil"/>
              <w:right w:val="single" w:sz="4" w:space="0" w:color="auto"/>
            </w:tcBorders>
            <w:shd w:val="clear" w:color="auto" w:fill="auto"/>
            <w:noWrap/>
            <w:vAlign w:val="center"/>
            <w:hideMark/>
          </w:tcPr>
          <w:p w14:paraId="2979EFAE" w14:textId="77777777" w:rsidR="00686EC7" w:rsidRPr="000C156A" w:rsidRDefault="00686EC7" w:rsidP="00141BAA">
            <w:pPr>
              <w:overflowPunct/>
              <w:adjustRightInd/>
              <w:spacing w:before="0"/>
              <w:jc w:val="center"/>
              <w:textAlignment w:val="auto"/>
              <w:rPr>
                <w:rFonts w:asciiTheme="minorHAnsi" w:hAnsiTheme="minorHAnsi"/>
                <w:sz w:val="18"/>
                <w:szCs w:val="18"/>
                <w:lang w:val="en-US" w:eastAsia="zh-CN"/>
              </w:rPr>
            </w:pPr>
            <w:r w:rsidRPr="000C156A">
              <w:rPr>
                <w:rFonts w:cs="Calibri" w:hint="eastAsia"/>
                <w:b/>
                <w:bCs/>
                <w:sz w:val="18"/>
                <w:szCs w:val="18"/>
                <w:lang w:val="en-US" w:eastAsia="zh-CN"/>
              </w:rPr>
              <w:t>截至</w:t>
            </w:r>
            <w:r w:rsidRPr="000C156A">
              <w:rPr>
                <w:rFonts w:cs="Calibri" w:hint="eastAsia"/>
                <w:b/>
                <w:bCs/>
                <w:sz w:val="18"/>
                <w:szCs w:val="18"/>
                <w:lang w:val="en-US" w:eastAsia="zh-CN"/>
              </w:rPr>
              <w:t>2020</w:t>
            </w:r>
            <w:r w:rsidRPr="000C156A">
              <w:rPr>
                <w:rFonts w:cs="Calibri" w:hint="eastAsia"/>
                <w:b/>
                <w:bCs/>
                <w:sz w:val="18"/>
                <w:szCs w:val="18"/>
                <w:lang w:val="en-US" w:eastAsia="zh-CN"/>
              </w:rPr>
              <w:t>年</w:t>
            </w:r>
            <w:r w:rsidRPr="000C156A">
              <w:rPr>
                <w:rFonts w:cs="Calibri" w:hint="eastAsia"/>
                <w:b/>
                <w:bCs/>
                <w:sz w:val="18"/>
                <w:szCs w:val="18"/>
                <w:lang w:val="en-US" w:eastAsia="zh-CN"/>
              </w:rPr>
              <w:t>12</w:t>
            </w:r>
            <w:r w:rsidRPr="000C156A">
              <w:rPr>
                <w:rFonts w:cs="Calibri" w:hint="eastAsia"/>
                <w:b/>
                <w:bCs/>
                <w:sz w:val="18"/>
                <w:szCs w:val="18"/>
                <w:lang w:val="en-US" w:eastAsia="zh-CN"/>
              </w:rPr>
              <w:t>月</w:t>
            </w:r>
            <w:r w:rsidRPr="000C156A">
              <w:rPr>
                <w:rFonts w:cs="Calibri" w:hint="eastAsia"/>
                <w:b/>
                <w:bCs/>
                <w:sz w:val="18"/>
                <w:szCs w:val="18"/>
                <w:lang w:val="en-US" w:eastAsia="zh-CN"/>
              </w:rPr>
              <w:t>31</w:t>
            </w:r>
            <w:r w:rsidRPr="000C156A">
              <w:rPr>
                <w:rFonts w:cs="Calibri" w:hint="eastAsia"/>
                <w:b/>
                <w:bCs/>
                <w:sz w:val="18"/>
                <w:szCs w:val="18"/>
                <w:lang w:val="en-US" w:eastAsia="zh-CN"/>
              </w:rPr>
              <w:t>日的财务状况报表以及与</w:t>
            </w:r>
            <w:r w:rsidRPr="000C156A">
              <w:rPr>
                <w:rFonts w:cs="Calibri" w:hint="eastAsia"/>
                <w:b/>
                <w:bCs/>
                <w:sz w:val="18"/>
                <w:szCs w:val="18"/>
                <w:lang w:val="en-US" w:eastAsia="zh-CN"/>
              </w:rPr>
              <w:t>201</w:t>
            </w:r>
            <w:r w:rsidRPr="000C156A">
              <w:rPr>
                <w:rFonts w:cs="Calibri"/>
                <w:b/>
                <w:bCs/>
                <w:sz w:val="18"/>
                <w:szCs w:val="18"/>
                <w:lang w:val="en-US" w:eastAsia="zh-CN"/>
              </w:rPr>
              <w:t>9</w:t>
            </w:r>
            <w:r w:rsidRPr="000C156A">
              <w:rPr>
                <w:rFonts w:cs="Calibri" w:hint="eastAsia"/>
                <w:b/>
                <w:bCs/>
                <w:sz w:val="18"/>
                <w:szCs w:val="18"/>
                <w:lang w:val="en-US" w:eastAsia="zh-CN"/>
              </w:rPr>
              <w:t>年</w:t>
            </w:r>
            <w:r w:rsidRPr="000C156A">
              <w:rPr>
                <w:rFonts w:cs="Calibri" w:hint="eastAsia"/>
                <w:b/>
                <w:bCs/>
                <w:sz w:val="18"/>
                <w:szCs w:val="18"/>
                <w:lang w:val="en-US" w:eastAsia="zh-CN"/>
              </w:rPr>
              <w:t>12</w:t>
            </w:r>
            <w:r w:rsidRPr="000C156A">
              <w:rPr>
                <w:rFonts w:cs="Calibri" w:hint="eastAsia"/>
                <w:b/>
                <w:bCs/>
                <w:sz w:val="18"/>
                <w:szCs w:val="18"/>
                <w:lang w:val="en-US" w:eastAsia="zh-CN"/>
              </w:rPr>
              <w:t>月</w:t>
            </w:r>
            <w:r w:rsidRPr="000C156A">
              <w:rPr>
                <w:rFonts w:cs="Calibri" w:hint="eastAsia"/>
                <w:b/>
                <w:bCs/>
                <w:sz w:val="18"/>
                <w:szCs w:val="18"/>
                <w:lang w:val="en-US" w:eastAsia="zh-CN"/>
              </w:rPr>
              <w:t>31</w:t>
            </w:r>
            <w:r w:rsidRPr="000C156A">
              <w:rPr>
                <w:rFonts w:cs="Calibri" w:hint="eastAsia"/>
                <w:b/>
                <w:bCs/>
                <w:sz w:val="18"/>
                <w:szCs w:val="18"/>
                <w:lang w:val="en-US" w:eastAsia="zh-CN"/>
              </w:rPr>
              <w:t>日数额的对比</w:t>
            </w:r>
          </w:p>
        </w:tc>
      </w:tr>
      <w:tr w:rsidR="00686EC7" w:rsidRPr="000C156A" w14:paraId="313D87EC" w14:textId="77777777" w:rsidTr="00141BAA">
        <w:trPr>
          <w:trHeight w:val="343"/>
        </w:trPr>
        <w:tc>
          <w:tcPr>
            <w:tcW w:w="1720" w:type="pct"/>
            <w:tcBorders>
              <w:top w:val="single" w:sz="4" w:space="0" w:color="auto"/>
              <w:left w:val="single" w:sz="4" w:space="0" w:color="auto"/>
              <w:bottom w:val="nil"/>
              <w:right w:val="single" w:sz="4" w:space="0" w:color="auto"/>
            </w:tcBorders>
            <w:shd w:val="clear" w:color="auto" w:fill="auto"/>
            <w:noWrap/>
            <w:vAlign w:val="center"/>
            <w:hideMark/>
          </w:tcPr>
          <w:p w14:paraId="23156C7D" w14:textId="77777777" w:rsidR="00686EC7" w:rsidRPr="000C156A" w:rsidRDefault="00686EC7" w:rsidP="00141BAA">
            <w:pPr>
              <w:overflowPunct/>
              <w:adjustRightInd/>
              <w:spacing w:before="0"/>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 </w:t>
            </w:r>
          </w:p>
        </w:tc>
        <w:tc>
          <w:tcPr>
            <w:tcW w:w="1694" w:type="pct"/>
            <w:gridSpan w:val="2"/>
            <w:tcBorders>
              <w:top w:val="single" w:sz="4" w:space="0" w:color="auto"/>
              <w:left w:val="nil"/>
              <w:bottom w:val="nil"/>
              <w:right w:val="single" w:sz="4" w:space="0" w:color="000000"/>
            </w:tcBorders>
            <w:shd w:val="clear" w:color="auto" w:fill="auto"/>
            <w:vAlign w:val="center"/>
            <w:hideMark/>
          </w:tcPr>
          <w:p w14:paraId="07EFB5FB" w14:textId="77777777" w:rsidR="00686EC7" w:rsidRPr="000C156A" w:rsidRDefault="00686EC7" w:rsidP="00864622">
            <w:pPr>
              <w:overflowPunct/>
              <w:adjustRightInd/>
              <w:spacing w:before="0"/>
              <w:jc w:val="center"/>
              <w:textAlignment w:val="auto"/>
              <w:rPr>
                <w:rFonts w:cs="Calibri"/>
                <w:b/>
                <w:bCs/>
                <w:sz w:val="18"/>
                <w:szCs w:val="18"/>
                <w:lang w:val="fr-FR"/>
              </w:rPr>
            </w:pPr>
            <w:r w:rsidRPr="000C156A">
              <w:rPr>
                <w:rFonts w:cs="Calibri" w:hint="eastAsia"/>
                <w:b/>
                <w:bCs/>
                <w:sz w:val="18"/>
                <w:szCs w:val="18"/>
                <w:lang w:val="fr-FR"/>
              </w:rPr>
              <w:t>储备与补充基金</w:t>
            </w:r>
          </w:p>
        </w:tc>
        <w:tc>
          <w:tcPr>
            <w:tcW w:w="1587" w:type="pct"/>
            <w:gridSpan w:val="2"/>
            <w:tcBorders>
              <w:top w:val="single" w:sz="4" w:space="0" w:color="auto"/>
              <w:left w:val="nil"/>
              <w:bottom w:val="nil"/>
              <w:right w:val="single" w:sz="4" w:space="0" w:color="auto"/>
            </w:tcBorders>
            <w:shd w:val="clear" w:color="auto" w:fill="auto"/>
            <w:noWrap/>
            <w:vAlign w:val="center"/>
            <w:hideMark/>
          </w:tcPr>
          <w:p w14:paraId="12250500" w14:textId="77777777" w:rsidR="00686EC7" w:rsidRPr="000C156A" w:rsidRDefault="00686EC7" w:rsidP="00141BAA">
            <w:pPr>
              <w:overflowPunct/>
              <w:adjustRightInd/>
              <w:spacing w:before="0"/>
              <w:jc w:val="center"/>
              <w:textAlignment w:val="auto"/>
              <w:rPr>
                <w:rFonts w:asciiTheme="minorHAnsi" w:hAnsiTheme="minorHAnsi" w:cs="Arial"/>
                <w:b/>
                <w:bCs/>
                <w:sz w:val="18"/>
                <w:szCs w:val="18"/>
                <w:lang w:val="fr-CH" w:eastAsia="zh-CN"/>
              </w:rPr>
            </w:pPr>
            <w:r w:rsidRPr="000C156A">
              <w:rPr>
                <w:rFonts w:cs="Calibri" w:hint="eastAsia"/>
                <w:b/>
                <w:bCs/>
                <w:sz w:val="18"/>
                <w:szCs w:val="18"/>
              </w:rPr>
              <w:t>援助基金</w:t>
            </w:r>
          </w:p>
        </w:tc>
      </w:tr>
      <w:tr w:rsidR="00686EC7" w:rsidRPr="000C156A" w14:paraId="01013F6D" w14:textId="77777777" w:rsidTr="001F611F">
        <w:trPr>
          <w:trHeight w:val="300"/>
        </w:trPr>
        <w:tc>
          <w:tcPr>
            <w:tcW w:w="1715" w:type="pct"/>
            <w:tcBorders>
              <w:top w:val="nil"/>
              <w:left w:val="single" w:sz="4" w:space="0" w:color="auto"/>
              <w:bottom w:val="nil"/>
              <w:right w:val="single" w:sz="4" w:space="0" w:color="auto"/>
            </w:tcBorders>
            <w:shd w:val="clear" w:color="auto" w:fill="auto"/>
            <w:noWrap/>
            <w:vAlign w:val="center"/>
            <w:hideMark/>
          </w:tcPr>
          <w:p w14:paraId="2094480C" w14:textId="77777777" w:rsidR="00686EC7" w:rsidRPr="000C156A" w:rsidRDefault="00686EC7" w:rsidP="00141BAA">
            <w:pPr>
              <w:overflowPunct/>
              <w:adjustRightInd/>
              <w:spacing w:before="0"/>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 </w:t>
            </w:r>
          </w:p>
        </w:tc>
        <w:tc>
          <w:tcPr>
            <w:tcW w:w="1694" w:type="pct"/>
            <w:gridSpan w:val="2"/>
            <w:tcBorders>
              <w:top w:val="nil"/>
              <w:left w:val="nil"/>
              <w:bottom w:val="single" w:sz="4" w:space="0" w:color="auto"/>
              <w:right w:val="nil"/>
            </w:tcBorders>
            <w:shd w:val="clear" w:color="auto" w:fill="auto"/>
            <w:noWrap/>
            <w:vAlign w:val="center"/>
            <w:hideMark/>
          </w:tcPr>
          <w:p w14:paraId="739CA9A1" w14:textId="77777777" w:rsidR="00686EC7" w:rsidRPr="000C156A" w:rsidRDefault="00686EC7" w:rsidP="001F611F">
            <w:pPr>
              <w:spacing w:before="0"/>
              <w:jc w:val="center"/>
              <w:rPr>
                <w:sz w:val="18"/>
                <w:szCs w:val="18"/>
              </w:rPr>
            </w:pPr>
            <w:r w:rsidRPr="000C156A">
              <w:rPr>
                <w:rFonts w:hint="eastAsia"/>
                <w:sz w:val="18"/>
                <w:szCs w:val="18"/>
              </w:rPr>
              <w:t>瑞郎</w:t>
            </w:r>
          </w:p>
        </w:tc>
        <w:tc>
          <w:tcPr>
            <w:tcW w:w="15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5C248B4F" w14:textId="77777777" w:rsidR="00686EC7" w:rsidRPr="000C156A" w:rsidRDefault="00686EC7" w:rsidP="001F611F">
            <w:pPr>
              <w:spacing w:before="0"/>
              <w:jc w:val="center"/>
              <w:rPr>
                <w:sz w:val="18"/>
                <w:szCs w:val="18"/>
              </w:rPr>
            </w:pPr>
            <w:r w:rsidRPr="000C156A">
              <w:rPr>
                <w:rFonts w:hint="eastAsia"/>
                <w:sz w:val="18"/>
                <w:szCs w:val="18"/>
              </w:rPr>
              <w:t>瑞郎</w:t>
            </w:r>
          </w:p>
        </w:tc>
      </w:tr>
      <w:tr w:rsidR="00686EC7" w:rsidRPr="000C156A" w14:paraId="44D73989" w14:textId="77777777" w:rsidTr="00141BAA">
        <w:trPr>
          <w:trHeight w:val="300"/>
        </w:trPr>
        <w:tc>
          <w:tcPr>
            <w:tcW w:w="1715" w:type="pct"/>
            <w:tcBorders>
              <w:top w:val="nil"/>
              <w:left w:val="single" w:sz="4" w:space="0" w:color="auto"/>
              <w:bottom w:val="nil"/>
              <w:right w:val="single" w:sz="4" w:space="0" w:color="auto"/>
            </w:tcBorders>
            <w:shd w:val="clear" w:color="auto" w:fill="auto"/>
            <w:noWrap/>
            <w:vAlign w:val="center"/>
            <w:hideMark/>
          </w:tcPr>
          <w:p w14:paraId="27EAF764" w14:textId="77777777" w:rsidR="00686EC7" w:rsidRPr="000C156A" w:rsidRDefault="00686EC7" w:rsidP="00141BAA">
            <w:pPr>
              <w:overflowPunct/>
              <w:adjustRightInd/>
              <w:spacing w:before="0"/>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 </w:t>
            </w:r>
          </w:p>
        </w:tc>
        <w:tc>
          <w:tcPr>
            <w:tcW w:w="999" w:type="pct"/>
            <w:tcBorders>
              <w:top w:val="nil"/>
              <w:left w:val="nil"/>
              <w:right w:val="single" w:sz="4" w:space="0" w:color="auto"/>
            </w:tcBorders>
            <w:shd w:val="clear" w:color="auto" w:fill="auto"/>
            <w:noWrap/>
            <w:vAlign w:val="center"/>
            <w:hideMark/>
          </w:tcPr>
          <w:p w14:paraId="7C21730B" w14:textId="77777777" w:rsidR="00686EC7" w:rsidRPr="000C156A" w:rsidRDefault="00686EC7" w:rsidP="00141BAA">
            <w:pPr>
              <w:overflowPunct/>
              <w:autoSpaceDE/>
              <w:autoSpaceDN/>
              <w:adjustRightInd/>
              <w:spacing w:before="0"/>
              <w:jc w:val="center"/>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2020</w:t>
            </w:r>
          </w:p>
        </w:tc>
        <w:tc>
          <w:tcPr>
            <w:tcW w:w="695" w:type="pct"/>
            <w:tcBorders>
              <w:top w:val="nil"/>
              <w:left w:val="nil"/>
              <w:right w:val="single" w:sz="4" w:space="0" w:color="auto"/>
            </w:tcBorders>
            <w:shd w:val="clear" w:color="auto" w:fill="auto"/>
            <w:noWrap/>
            <w:vAlign w:val="center"/>
            <w:hideMark/>
          </w:tcPr>
          <w:p w14:paraId="2A476FC9" w14:textId="77777777" w:rsidR="00686EC7" w:rsidRPr="000C156A" w:rsidRDefault="00686EC7" w:rsidP="00141BAA">
            <w:pPr>
              <w:overflowPunct/>
              <w:autoSpaceDE/>
              <w:autoSpaceDN/>
              <w:adjustRightInd/>
              <w:spacing w:before="0"/>
              <w:jc w:val="center"/>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2019</w:t>
            </w:r>
          </w:p>
        </w:tc>
        <w:tc>
          <w:tcPr>
            <w:tcW w:w="823" w:type="pct"/>
            <w:tcBorders>
              <w:top w:val="nil"/>
              <w:left w:val="nil"/>
              <w:right w:val="single" w:sz="4" w:space="0" w:color="auto"/>
            </w:tcBorders>
            <w:shd w:val="clear" w:color="auto" w:fill="auto"/>
            <w:noWrap/>
            <w:vAlign w:val="center"/>
            <w:hideMark/>
          </w:tcPr>
          <w:p w14:paraId="11983AC7" w14:textId="77777777" w:rsidR="00686EC7" w:rsidRPr="000C156A" w:rsidRDefault="00686EC7" w:rsidP="00141BAA">
            <w:pPr>
              <w:overflowPunct/>
              <w:autoSpaceDE/>
              <w:autoSpaceDN/>
              <w:adjustRightInd/>
              <w:spacing w:before="0"/>
              <w:jc w:val="center"/>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2020</w:t>
            </w:r>
          </w:p>
        </w:tc>
        <w:tc>
          <w:tcPr>
            <w:tcW w:w="767" w:type="pct"/>
            <w:tcBorders>
              <w:top w:val="nil"/>
              <w:left w:val="nil"/>
              <w:right w:val="single" w:sz="4" w:space="0" w:color="auto"/>
            </w:tcBorders>
            <w:shd w:val="clear" w:color="auto" w:fill="auto"/>
            <w:noWrap/>
            <w:vAlign w:val="center"/>
            <w:hideMark/>
          </w:tcPr>
          <w:p w14:paraId="1813A615" w14:textId="77777777" w:rsidR="00686EC7" w:rsidRPr="000C156A" w:rsidRDefault="00686EC7" w:rsidP="00141BAA">
            <w:pPr>
              <w:overflowPunct/>
              <w:autoSpaceDE/>
              <w:autoSpaceDN/>
              <w:adjustRightInd/>
              <w:spacing w:before="0"/>
              <w:jc w:val="center"/>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2019</w:t>
            </w:r>
          </w:p>
        </w:tc>
      </w:tr>
      <w:tr w:rsidR="00686EC7" w:rsidRPr="000C156A" w14:paraId="4F964FC0" w14:textId="77777777" w:rsidTr="00141BAA">
        <w:trPr>
          <w:trHeight w:val="300"/>
        </w:trPr>
        <w:tc>
          <w:tcPr>
            <w:tcW w:w="1715" w:type="pct"/>
            <w:tcBorders>
              <w:top w:val="nil"/>
              <w:left w:val="single" w:sz="4" w:space="0" w:color="auto"/>
              <w:bottom w:val="nil"/>
              <w:right w:val="single" w:sz="4" w:space="0" w:color="auto"/>
            </w:tcBorders>
            <w:shd w:val="clear" w:color="auto" w:fill="auto"/>
            <w:noWrap/>
            <w:vAlign w:val="center"/>
            <w:hideMark/>
          </w:tcPr>
          <w:p w14:paraId="0FC728AB" w14:textId="77777777" w:rsidR="00686EC7" w:rsidRPr="000C156A" w:rsidRDefault="00686EC7" w:rsidP="00141BAA">
            <w:pPr>
              <w:overflowPunct/>
              <w:adjustRightInd/>
              <w:spacing w:before="0"/>
              <w:textAlignment w:val="auto"/>
              <w:rPr>
                <w:rFonts w:asciiTheme="minorHAnsi" w:hAnsiTheme="minorHAnsi"/>
                <w:sz w:val="18"/>
                <w:szCs w:val="18"/>
                <w:u w:val="single"/>
                <w:lang w:val="en-US" w:eastAsia="zh-CN"/>
              </w:rPr>
            </w:pPr>
            <w:r w:rsidRPr="000C156A">
              <w:rPr>
                <w:rFonts w:cs="Calibri" w:hint="eastAsia"/>
                <w:sz w:val="18"/>
                <w:szCs w:val="18"/>
                <w:u w:val="single"/>
              </w:rPr>
              <w:t>资产</w:t>
            </w:r>
          </w:p>
        </w:tc>
        <w:tc>
          <w:tcPr>
            <w:tcW w:w="999" w:type="pct"/>
            <w:tcBorders>
              <w:top w:val="nil"/>
              <w:left w:val="single" w:sz="4" w:space="0" w:color="auto"/>
              <w:bottom w:val="nil"/>
              <w:right w:val="single" w:sz="4" w:space="0" w:color="auto"/>
            </w:tcBorders>
            <w:shd w:val="clear" w:color="auto" w:fill="auto"/>
            <w:noWrap/>
            <w:vAlign w:val="center"/>
            <w:hideMark/>
          </w:tcPr>
          <w:p w14:paraId="666FF12D"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c>
          <w:tcPr>
            <w:tcW w:w="695" w:type="pct"/>
            <w:tcBorders>
              <w:top w:val="nil"/>
              <w:left w:val="single" w:sz="4" w:space="0" w:color="auto"/>
              <w:bottom w:val="nil"/>
              <w:right w:val="single" w:sz="4" w:space="0" w:color="auto"/>
            </w:tcBorders>
            <w:shd w:val="clear" w:color="auto" w:fill="auto"/>
            <w:noWrap/>
            <w:vAlign w:val="center"/>
            <w:hideMark/>
          </w:tcPr>
          <w:p w14:paraId="6F842901"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c>
          <w:tcPr>
            <w:tcW w:w="823" w:type="pct"/>
            <w:tcBorders>
              <w:top w:val="nil"/>
              <w:left w:val="single" w:sz="4" w:space="0" w:color="auto"/>
              <w:bottom w:val="nil"/>
              <w:right w:val="single" w:sz="4" w:space="0" w:color="auto"/>
            </w:tcBorders>
            <w:shd w:val="clear" w:color="auto" w:fill="auto"/>
            <w:noWrap/>
            <w:vAlign w:val="center"/>
            <w:hideMark/>
          </w:tcPr>
          <w:p w14:paraId="3C260D84"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c>
          <w:tcPr>
            <w:tcW w:w="767" w:type="pct"/>
            <w:tcBorders>
              <w:top w:val="nil"/>
              <w:left w:val="single" w:sz="4" w:space="0" w:color="auto"/>
              <w:bottom w:val="nil"/>
              <w:right w:val="single" w:sz="4" w:space="0" w:color="auto"/>
            </w:tcBorders>
            <w:shd w:val="clear" w:color="auto" w:fill="auto"/>
            <w:noWrap/>
            <w:vAlign w:val="center"/>
            <w:hideMark/>
          </w:tcPr>
          <w:p w14:paraId="1AE14810"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r>
      <w:tr w:rsidR="00686EC7" w:rsidRPr="000C156A" w14:paraId="34A26649" w14:textId="77777777" w:rsidTr="00141BAA">
        <w:trPr>
          <w:trHeight w:val="300"/>
        </w:trPr>
        <w:tc>
          <w:tcPr>
            <w:tcW w:w="1720" w:type="pct"/>
            <w:tcBorders>
              <w:top w:val="nil"/>
              <w:left w:val="single" w:sz="4" w:space="0" w:color="auto"/>
              <w:bottom w:val="nil"/>
              <w:right w:val="single" w:sz="4" w:space="0" w:color="auto"/>
            </w:tcBorders>
            <w:shd w:val="clear" w:color="auto" w:fill="auto"/>
            <w:noWrap/>
            <w:vAlign w:val="center"/>
            <w:hideMark/>
          </w:tcPr>
          <w:p w14:paraId="547E4C98" w14:textId="77777777" w:rsidR="00686EC7" w:rsidRPr="000C156A" w:rsidRDefault="00686EC7" w:rsidP="00141BAA">
            <w:pPr>
              <w:rPr>
                <w:rFonts w:cs="Calibri"/>
                <w:sz w:val="18"/>
                <w:szCs w:val="18"/>
              </w:rPr>
            </w:pPr>
            <w:r w:rsidRPr="000C156A">
              <w:rPr>
                <w:rFonts w:cs="Calibri" w:hint="eastAsia"/>
                <w:sz w:val="18"/>
                <w:szCs w:val="18"/>
                <w:lang w:eastAsia="zh-CN"/>
              </w:rPr>
              <w:t>现金和现金等价物</w:t>
            </w:r>
          </w:p>
        </w:tc>
        <w:tc>
          <w:tcPr>
            <w:tcW w:w="999" w:type="pct"/>
            <w:tcBorders>
              <w:top w:val="nil"/>
              <w:left w:val="single" w:sz="4" w:space="0" w:color="auto"/>
              <w:bottom w:val="nil"/>
              <w:right w:val="single" w:sz="4" w:space="0" w:color="auto"/>
            </w:tcBorders>
            <w:shd w:val="clear" w:color="auto" w:fill="auto"/>
            <w:noWrap/>
            <w:vAlign w:val="center"/>
            <w:hideMark/>
          </w:tcPr>
          <w:p w14:paraId="0C4D46E0" w14:textId="2550B611"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357</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712.96</w:t>
            </w:r>
          </w:p>
        </w:tc>
        <w:tc>
          <w:tcPr>
            <w:tcW w:w="695" w:type="pct"/>
            <w:tcBorders>
              <w:top w:val="nil"/>
              <w:left w:val="single" w:sz="4" w:space="0" w:color="auto"/>
              <w:bottom w:val="nil"/>
              <w:right w:val="single" w:sz="4" w:space="0" w:color="auto"/>
            </w:tcBorders>
            <w:shd w:val="clear" w:color="auto" w:fill="auto"/>
            <w:noWrap/>
            <w:vAlign w:val="center"/>
            <w:hideMark/>
          </w:tcPr>
          <w:p w14:paraId="0BA4C92F" w14:textId="0D693BB4"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6</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236</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867.40</w:t>
            </w:r>
          </w:p>
        </w:tc>
        <w:tc>
          <w:tcPr>
            <w:tcW w:w="823" w:type="pct"/>
            <w:tcBorders>
              <w:top w:val="nil"/>
              <w:left w:val="single" w:sz="4" w:space="0" w:color="auto"/>
              <w:bottom w:val="nil"/>
              <w:right w:val="single" w:sz="4" w:space="0" w:color="auto"/>
            </w:tcBorders>
            <w:shd w:val="clear" w:color="auto" w:fill="auto"/>
            <w:noWrap/>
            <w:vAlign w:val="center"/>
            <w:hideMark/>
          </w:tcPr>
          <w:p w14:paraId="4BC6C054" w14:textId="431B14FB"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277</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580.84</w:t>
            </w:r>
          </w:p>
        </w:tc>
        <w:tc>
          <w:tcPr>
            <w:tcW w:w="764" w:type="pct"/>
            <w:tcBorders>
              <w:top w:val="nil"/>
              <w:left w:val="single" w:sz="4" w:space="0" w:color="auto"/>
              <w:bottom w:val="nil"/>
              <w:right w:val="single" w:sz="4" w:space="0" w:color="auto"/>
            </w:tcBorders>
            <w:shd w:val="clear" w:color="auto" w:fill="auto"/>
            <w:noWrap/>
            <w:vAlign w:val="center"/>
            <w:hideMark/>
          </w:tcPr>
          <w:p w14:paraId="22CD2F75" w14:textId="66321ECC"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277</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580.84</w:t>
            </w:r>
          </w:p>
        </w:tc>
      </w:tr>
      <w:tr w:rsidR="00686EC7" w:rsidRPr="000C156A" w14:paraId="42751ECB" w14:textId="77777777" w:rsidTr="00141BAA">
        <w:trPr>
          <w:trHeight w:val="300"/>
        </w:trPr>
        <w:tc>
          <w:tcPr>
            <w:tcW w:w="1720" w:type="pct"/>
            <w:tcBorders>
              <w:top w:val="nil"/>
              <w:left w:val="single" w:sz="4" w:space="0" w:color="auto"/>
              <w:bottom w:val="nil"/>
              <w:right w:val="single" w:sz="4" w:space="0" w:color="auto"/>
            </w:tcBorders>
            <w:shd w:val="clear" w:color="auto" w:fill="auto"/>
            <w:noWrap/>
            <w:vAlign w:val="center"/>
            <w:hideMark/>
          </w:tcPr>
          <w:p w14:paraId="553ABCA2" w14:textId="77777777" w:rsidR="00686EC7" w:rsidRPr="000C156A" w:rsidRDefault="00686EC7" w:rsidP="00141BAA">
            <w:pPr>
              <w:rPr>
                <w:rFonts w:cs="Calibri"/>
                <w:sz w:val="18"/>
                <w:szCs w:val="18"/>
                <w:lang w:eastAsia="zh-CN"/>
              </w:rPr>
            </w:pPr>
            <w:r w:rsidRPr="000C156A">
              <w:rPr>
                <w:rFonts w:cs="Calibri" w:hint="eastAsia"/>
                <w:sz w:val="18"/>
                <w:szCs w:val="18"/>
                <w:lang w:eastAsia="zh-CN"/>
              </w:rPr>
              <w:t>待收资金</w:t>
            </w:r>
          </w:p>
        </w:tc>
        <w:tc>
          <w:tcPr>
            <w:tcW w:w="999" w:type="pct"/>
            <w:tcBorders>
              <w:top w:val="nil"/>
              <w:left w:val="single" w:sz="4" w:space="0" w:color="auto"/>
              <w:bottom w:val="nil"/>
              <w:right w:val="single" w:sz="4" w:space="0" w:color="auto"/>
            </w:tcBorders>
            <w:shd w:val="clear" w:color="auto" w:fill="auto"/>
            <w:noWrap/>
            <w:vAlign w:val="center"/>
            <w:hideMark/>
          </w:tcPr>
          <w:p w14:paraId="496382F2"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w:t>
            </w:r>
          </w:p>
        </w:tc>
        <w:tc>
          <w:tcPr>
            <w:tcW w:w="695" w:type="pct"/>
            <w:tcBorders>
              <w:top w:val="nil"/>
              <w:left w:val="single" w:sz="4" w:space="0" w:color="auto"/>
              <w:bottom w:val="nil"/>
              <w:right w:val="single" w:sz="4" w:space="0" w:color="auto"/>
            </w:tcBorders>
            <w:shd w:val="clear" w:color="auto" w:fill="auto"/>
            <w:noWrap/>
            <w:vAlign w:val="center"/>
            <w:hideMark/>
          </w:tcPr>
          <w:p w14:paraId="09A34D91" w14:textId="15A480AB"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-16</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864.80</w:t>
            </w:r>
          </w:p>
        </w:tc>
        <w:tc>
          <w:tcPr>
            <w:tcW w:w="823" w:type="pct"/>
            <w:tcBorders>
              <w:top w:val="nil"/>
              <w:left w:val="single" w:sz="4" w:space="0" w:color="auto"/>
              <w:bottom w:val="nil"/>
              <w:right w:val="single" w:sz="4" w:space="0" w:color="auto"/>
            </w:tcBorders>
            <w:shd w:val="clear" w:color="auto" w:fill="auto"/>
            <w:noWrap/>
            <w:vAlign w:val="center"/>
            <w:hideMark/>
          </w:tcPr>
          <w:p w14:paraId="58E36A5F"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c>
          <w:tcPr>
            <w:tcW w:w="764" w:type="pct"/>
            <w:tcBorders>
              <w:top w:val="nil"/>
              <w:left w:val="single" w:sz="4" w:space="0" w:color="auto"/>
              <w:bottom w:val="nil"/>
              <w:right w:val="single" w:sz="4" w:space="0" w:color="auto"/>
            </w:tcBorders>
            <w:shd w:val="clear" w:color="auto" w:fill="auto"/>
            <w:noWrap/>
            <w:vAlign w:val="center"/>
            <w:hideMark/>
          </w:tcPr>
          <w:p w14:paraId="2774AF48"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r>
      <w:tr w:rsidR="00686EC7" w:rsidRPr="000C156A" w14:paraId="1E8B835E" w14:textId="77777777" w:rsidTr="00141BAA">
        <w:trPr>
          <w:trHeight w:val="300"/>
        </w:trPr>
        <w:tc>
          <w:tcPr>
            <w:tcW w:w="1720" w:type="pct"/>
            <w:tcBorders>
              <w:top w:val="nil"/>
              <w:left w:val="single" w:sz="4" w:space="0" w:color="auto"/>
              <w:bottom w:val="nil"/>
              <w:right w:val="single" w:sz="4" w:space="0" w:color="auto"/>
            </w:tcBorders>
            <w:shd w:val="clear" w:color="auto" w:fill="auto"/>
            <w:noWrap/>
            <w:vAlign w:val="center"/>
            <w:hideMark/>
          </w:tcPr>
          <w:p w14:paraId="222B3015" w14:textId="77777777" w:rsidR="00686EC7" w:rsidRPr="000C156A" w:rsidRDefault="00686EC7" w:rsidP="00141BAA">
            <w:pPr>
              <w:rPr>
                <w:rFonts w:cs="Calibri"/>
                <w:sz w:val="18"/>
                <w:szCs w:val="18"/>
                <w:lang w:eastAsia="zh-CN"/>
              </w:rPr>
            </w:pPr>
            <w:r w:rsidRPr="000C156A">
              <w:rPr>
                <w:rFonts w:cs="Calibri" w:hint="eastAsia"/>
                <w:sz w:val="18"/>
                <w:szCs w:val="18"/>
                <w:lang w:eastAsia="zh-CN"/>
              </w:rPr>
              <w:t>投资</w:t>
            </w:r>
          </w:p>
        </w:tc>
        <w:tc>
          <w:tcPr>
            <w:tcW w:w="999" w:type="pct"/>
            <w:tcBorders>
              <w:top w:val="nil"/>
              <w:left w:val="single" w:sz="4" w:space="0" w:color="auto"/>
              <w:bottom w:val="nil"/>
              <w:right w:val="single" w:sz="4" w:space="0" w:color="auto"/>
            </w:tcBorders>
            <w:shd w:val="clear" w:color="auto" w:fill="auto"/>
            <w:noWrap/>
            <w:vAlign w:val="center"/>
            <w:hideMark/>
          </w:tcPr>
          <w:p w14:paraId="54525516" w14:textId="6EC8DA5B" w:rsidR="00686EC7" w:rsidRPr="000C156A" w:rsidRDefault="00686EC7" w:rsidP="006265F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5</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436</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013.59</w:t>
            </w:r>
          </w:p>
        </w:tc>
        <w:tc>
          <w:tcPr>
            <w:tcW w:w="695" w:type="pct"/>
            <w:tcBorders>
              <w:top w:val="nil"/>
              <w:left w:val="single" w:sz="4" w:space="0" w:color="auto"/>
              <w:bottom w:val="nil"/>
              <w:right w:val="single" w:sz="4" w:space="0" w:color="auto"/>
            </w:tcBorders>
            <w:shd w:val="clear" w:color="auto" w:fill="auto"/>
            <w:noWrap/>
            <w:vAlign w:val="center"/>
            <w:hideMark/>
          </w:tcPr>
          <w:p w14:paraId="759711C5"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w:t>
            </w:r>
          </w:p>
        </w:tc>
        <w:tc>
          <w:tcPr>
            <w:tcW w:w="823" w:type="pct"/>
            <w:tcBorders>
              <w:top w:val="nil"/>
              <w:left w:val="single" w:sz="4" w:space="0" w:color="auto"/>
              <w:bottom w:val="nil"/>
              <w:right w:val="single" w:sz="4" w:space="0" w:color="auto"/>
            </w:tcBorders>
            <w:shd w:val="clear" w:color="auto" w:fill="auto"/>
            <w:noWrap/>
            <w:vAlign w:val="center"/>
            <w:hideMark/>
          </w:tcPr>
          <w:p w14:paraId="3F91982B"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c>
          <w:tcPr>
            <w:tcW w:w="764" w:type="pct"/>
            <w:tcBorders>
              <w:top w:val="nil"/>
              <w:left w:val="single" w:sz="4" w:space="0" w:color="auto"/>
              <w:bottom w:val="nil"/>
              <w:right w:val="single" w:sz="4" w:space="0" w:color="auto"/>
            </w:tcBorders>
            <w:shd w:val="clear" w:color="auto" w:fill="auto"/>
            <w:noWrap/>
            <w:vAlign w:val="center"/>
            <w:hideMark/>
          </w:tcPr>
          <w:p w14:paraId="4F878F26"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r>
      <w:tr w:rsidR="00686EC7" w:rsidRPr="000C156A" w14:paraId="1FD4E9F8" w14:textId="77777777" w:rsidTr="00141BAA">
        <w:trPr>
          <w:trHeight w:val="300"/>
        </w:trPr>
        <w:tc>
          <w:tcPr>
            <w:tcW w:w="1720" w:type="pct"/>
            <w:tcBorders>
              <w:top w:val="nil"/>
              <w:left w:val="single" w:sz="4" w:space="0" w:color="auto"/>
              <w:bottom w:val="single" w:sz="4" w:space="0" w:color="auto"/>
              <w:right w:val="single" w:sz="4" w:space="0" w:color="auto"/>
            </w:tcBorders>
            <w:shd w:val="clear" w:color="auto" w:fill="auto"/>
            <w:noWrap/>
            <w:vAlign w:val="center"/>
            <w:hideMark/>
          </w:tcPr>
          <w:p w14:paraId="693B6977" w14:textId="77777777" w:rsidR="00686EC7" w:rsidRPr="000C156A" w:rsidRDefault="00686EC7" w:rsidP="00141BAA">
            <w:pPr>
              <w:rPr>
                <w:rFonts w:cs="Calibri"/>
                <w:sz w:val="18"/>
                <w:szCs w:val="18"/>
                <w:lang w:eastAsia="zh-CN"/>
              </w:rPr>
            </w:pPr>
            <w:r w:rsidRPr="000C156A">
              <w:rPr>
                <w:rFonts w:cs="Calibri" w:hint="eastAsia"/>
                <w:sz w:val="18"/>
                <w:szCs w:val="18"/>
                <w:lang w:eastAsia="zh-CN"/>
              </w:rPr>
              <w:t>过渡性</w:t>
            </w:r>
            <w:r w:rsidRPr="000C156A">
              <w:rPr>
                <w:rFonts w:cs="Calibri"/>
                <w:sz w:val="18"/>
                <w:szCs w:val="18"/>
                <w:lang w:eastAsia="zh-CN"/>
              </w:rPr>
              <w:t>资产</w:t>
            </w:r>
          </w:p>
        </w:tc>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579E5999" w14:textId="34764B99" w:rsidR="00686EC7" w:rsidRPr="000C156A" w:rsidRDefault="00686EC7" w:rsidP="006265F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25</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254.81</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14:paraId="70E016A6"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w:t>
            </w:r>
          </w:p>
        </w:tc>
        <w:tc>
          <w:tcPr>
            <w:tcW w:w="823" w:type="pct"/>
            <w:tcBorders>
              <w:top w:val="nil"/>
              <w:left w:val="single" w:sz="4" w:space="0" w:color="auto"/>
              <w:bottom w:val="single" w:sz="4" w:space="0" w:color="auto"/>
              <w:right w:val="single" w:sz="4" w:space="0" w:color="auto"/>
            </w:tcBorders>
            <w:shd w:val="clear" w:color="auto" w:fill="auto"/>
            <w:noWrap/>
            <w:vAlign w:val="center"/>
            <w:hideMark/>
          </w:tcPr>
          <w:p w14:paraId="5FD1D6DD"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14:paraId="102CC02B"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w:t>
            </w:r>
          </w:p>
        </w:tc>
      </w:tr>
      <w:tr w:rsidR="00686EC7" w:rsidRPr="000C156A" w14:paraId="6249EB9E" w14:textId="77777777" w:rsidTr="00141BAA">
        <w:trPr>
          <w:trHeight w:val="300"/>
        </w:trPr>
        <w:tc>
          <w:tcPr>
            <w:tcW w:w="17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09959" w14:textId="77777777" w:rsidR="00686EC7" w:rsidRPr="000C156A" w:rsidRDefault="00686EC7" w:rsidP="00141BAA">
            <w:pPr>
              <w:overflowPunct/>
              <w:adjustRightInd/>
              <w:spacing w:before="0"/>
              <w:textAlignment w:val="auto"/>
              <w:rPr>
                <w:rFonts w:asciiTheme="minorHAnsi" w:hAnsiTheme="minorHAnsi"/>
                <w:b/>
                <w:bCs/>
                <w:sz w:val="18"/>
                <w:szCs w:val="18"/>
                <w:lang w:val="en-US" w:eastAsia="zh-CN"/>
              </w:rPr>
            </w:pPr>
            <w:r w:rsidRPr="000C156A">
              <w:rPr>
                <w:rFonts w:cs="Calibri" w:hint="eastAsia"/>
                <w:b/>
                <w:bCs/>
                <w:sz w:val="18"/>
                <w:szCs w:val="18"/>
                <w:lang w:eastAsia="zh-CN"/>
              </w:rPr>
              <w:t>资产合计</w:t>
            </w: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7C565" w14:textId="2958C98B" w:rsidR="00686EC7" w:rsidRPr="000C156A" w:rsidRDefault="00686EC7" w:rsidP="00141BAA">
            <w:pPr>
              <w:overflowPunct/>
              <w:autoSpaceDE/>
              <w:autoSpaceDN/>
              <w:adjustRightInd/>
              <w:spacing w:before="0"/>
              <w:jc w:val="right"/>
              <w:textAlignment w:val="auto"/>
              <w:rPr>
                <w:rFonts w:asciiTheme="minorHAnsi" w:hAnsiTheme="minorHAnsi"/>
                <w:b/>
                <w:bCs/>
                <w:sz w:val="18"/>
                <w:szCs w:val="18"/>
                <w:lang w:val="en-US" w:eastAsia="zh-CN"/>
              </w:rPr>
            </w:pPr>
            <w:r w:rsidRPr="000C156A">
              <w:rPr>
                <w:rFonts w:asciiTheme="minorHAnsi" w:hAnsiTheme="minorHAnsi"/>
                <w:b/>
                <w:bCs/>
                <w:sz w:val="18"/>
                <w:szCs w:val="18"/>
                <w:lang w:val="en-US" w:eastAsia="zh-CN"/>
              </w:rPr>
              <w:t>5</w:t>
            </w:r>
            <w:r w:rsidR="001D2D81" w:rsidRPr="000C156A">
              <w:rPr>
                <w:rFonts w:asciiTheme="minorHAnsi" w:hAnsiTheme="minorHAnsi"/>
                <w:b/>
                <w:bCs/>
                <w:sz w:val="18"/>
                <w:szCs w:val="18"/>
                <w:lang w:val="en-US" w:eastAsia="zh-CN"/>
              </w:rPr>
              <w:t xml:space="preserve"> </w:t>
            </w:r>
            <w:r w:rsidRPr="000C156A">
              <w:rPr>
                <w:rFonts w:asciiTheme="minorHAnsi" w:hAnsiTheme="minorHAnsi"/>
                <w:b/>
                <w:bCs/>
                <w:sz w:val="18"/>
                <w:szCs w:val="18"/>
                <w:lang w:val="en-US" w:eastAsia="zh-CN"/>
              </w:rPr>
              <w:t>818</w:t>
            </w:r>
            <w:r w:rsidR="001D2D81" w:rsidRPr="000C156A">
              <w:rPr>
                <w:rFonts w:asciiTheme="minorHAnsi" w:hAnsiTheme="minorHAnsi"/>
                <w:b/>
                <w:bCs/>
                <w:sz w:val="18"/>
                <w:szCs w:val="18"/>
                <w:lang w:val="en-US" w:eastAsia="zh-CN"/>
              </w:rPr>
              <w:t xml:space="preserve"> </w:t>
            </w:r>
            <w:r w:rsidRPr="000C156A">
              <w:rPr>
                <w:rFonts w:asciiTheme="minorHAnsi" w:hAnsiTheme="minorHAnsi"/>
                <w:b/>
                <w:bCs/>
                <w:sz w:val="18"/>
                <w:szCs w:val="18"/>
                <w:lang w:val="en-US" w:eastAsia="zh-CN"/>
              </w:rPr>
              <w:t>981.36</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C9A45" w14:textId="29931A72" w:rsidR="00686EC7" w:rsidRPr="000C156A" w:rsidRDefault="00686EC7" w:rsidP="00141BAA">
            <w:pPr>
              <w:overflowPunct/>
              <w:autoSpaceDE/>
              <w:autoSpaceDN/>
              <w:adjustRightInd/>
              <w:spacing w:before="0"/>
              <w:jc w:val="right"/>
              <w:textAlignment w:val="auto"/>
              <w:rPr>
                <w:rFonts w:asciiTheme="minorHAnsi" w:hAnsiTheme="minorHAnsi"/>
                <w:b/>
                <w:bCs/>
                <w:sz w:val="18"/>
                <w:szCs w:val="18"/>
                <w:lang w:val="en-US" w:eastAsia="zh-CN"/>
              </w:rPr>
            </w:pPr>
            <w:r w:rsidRPr="000C156A">
              <w:rPr>
                <w:rFonts w:asciiTheme="minorHAnsi" w:hAnsiTheme="minorHAnsi"/>
                <w:b/>
                <w:bCs/>
                <w:sz w:val="18"/>
                <w:szCs w:val="18"/>
                <w:lang w:val="en-US" w:eastAsia="zh-CN"/>
              </w:rPr>
              <w:t>6</w:t>
            </w:r>
            <w:r w:rsidR="001D2D81" w:rsidRPr="000C156A">
              <w:rPr>
                <w:rFonts w:asciiTheme="minorHAnsi" w:hAnsiTheme="minorHAnsi"/>
                <w:b/>
                <w:bCs/>
                <w:sz w:val="18"/>
                <w:szCs w:val="18"/>
                <w:lang w:val="en-US" w:eastAsia="zh-CN"/>
              </w:rPr>
              <w:t xml:space="preserve"> </w:t>
            </w:r>
            <w:r w:rsidRPr="000C156A">
              <w:rPr>
                <w:rFonts w:asciiTheme="minorHAnsi" w:hAnsiTheme="minorHAnsi"/>
                <w:b/>
                <w:bCs/>
                <w:sz w:val="18"/>
                <w:szCs w:val="18"/>
                <w:lang w:val="en-US" w:eastAsia="zh-CN"/>
              </w:rPr>
              <w:t>220</w:t>
            </w:r>
            <w:r w:rsidR="001D2D81" w:rsidRPr="000C156A">
              <w:rPr>
                <w:rFonts w:asciiTheme="minorHAnsi" w:hAnsiTheme="minorHAnsi"/>
                <w:b/>
                <w:bCs/>
                <w:sz w:val="18"/>
                <w:szCs w:val="18"/>
                <w:lang w:val="en-US" w:eastAsia="zh-CN"/>
              </w:rPr>
              <w:t xml:space="preserve"> </w:t>
            </w:r>
            <w:r w:rsidRPr="000C156A">
              <w:rPr>
                <w:rFonts w:asciiTheme="minorHAnsi" w:hAnsiTheme="minorHAnsi"/>
                <w:b/>
                <w:bCs/>
                <w:sz w:val="18"/>
                <w:szCs w:val="18"/>
                <w:lang w:val="en-US" w:eastAsia="zh-CN"/>
              </w:rPr>
              <w:t>002.60</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7162A" w14:textId="3A4C87B4" w:rsidR="00686EC7" w:rsidRPr="000C156A" w:rsidRDefault="00686EC7" w:rsidP="00141BAA">
            <w:pPr>
              <w:overflowPunct/>
              <w:autoSpaceDE/>
              <w:autoSpaceDN/>
              <w:adjustRightInd/>
              <w:spacing w:before="0"/>
              <w:jc w:val="right"/>
              <w:textAlignment w:val="auto"/>
              <w:rPr>
                <w:rFonts w:asciiTheme="minorHAnsi" w:hAnsiTheme="minorHAnsi"/>
                <w:b/>
                <w:bCs/>
                <w:sz w:val="18"/>
                <w:szCs w:val="18"/>
                <w:lang w:val="en-US" w:eastAsia="zh-CN"/>
              </w:rPr>
            </w:pPr>
            <w:r w:rsidRPr="000C156A">
              <w:rPr>
                <w:rFonts w:asciiTheme="minorHAnsi" w:hAnsiTheme="minorHAnsi"/>
                <w:b/>
                <w:bCs/>
                <w:sz w:val="18"/>
                <w:szCs w:val="18"/>
                <w:lang w:val="en-US" w:eastAsia="zh-CN"/>
              </w:rPr>
              <w:t>277</w:t>
            </w:r>
            <w:r w:rsidR="001D2D81" w:rsidRPr="000C156A">
              <w:rPr>
                <w:rFonts w:asciiTheme="minorHAnsi" w:hAnsiTheme="minorHAnsi"/>
                <w:b/>
                <w:bCs/>
                <w:sz w:val="18"/>
                <w:szCs w:val="18"/>
                <w:lang w:val="en-US" w:eastAsia="zh-CN"/>
              </w:rPr>
              <w:t xml:space="preserve"> </w:t>
            </w:r>
            <w:r w:rsidRPr="000C156A">
              <w:rPr>
                <w:rFonts w:asciiTheme="minorHAnsi" w:hAnsiTheme="minorHAnsi"/>
                <w:b/>
                <w:bCs/>
                <w:sz w:val="18"/>
                <w:szCs w:val="18"/>
                <w:lang w:val="en-US" w:eastAsia="zh-CN"/>
              </w:rPr>
              <w:t>580.84</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A45F1" w14:textId="185F6FB5" w:rsidR="00686EC7" w:rsidRPr="000C156A" w:rsidRDefault="00686EC7" w:rsidP="00141BAA">
            <w:pPr>
              <w:overflowPunct/>
              <w:autoSpaceDE/>
              <w:autoSpaceDN/>
              <w:adjustRightInd/>
              <w:spacing w:before="0"/>
              <w:jc w:val="right"/>
              <w:textAlignment w:val="auto"/>
              <w:rPr>
                <w:rFonts w:asciiTheme="minorHAnsi" w:hAnsiTheme="minorHAnsi"/>
                <w:b/>
                <w:bCs/>
                <w:sz w:val="18"/>
                <w:szCs w:val="18"/>
                <w:lang w:val="en-US" w:eastAsia="zh-CN"/>
              </w:rPr>
            </w:pPr>
            <w:r w:rsidRPr="000C156A">
              <w:rPr>
                <w:rFonts w:asciiTheme="minorHAnsi" w:hAnsiTheme="minorHAnsi"/>
                <w:b/>
                <w:bCs/>
                <w:sz w:val="18"/>
                <w:szCs w:val="18"/>
                <w:lang w:val="en-US" w:eastAsia="zh-CN"/>
              </w:rPr>
              <w:t>277</w:t>
            </w:r>
            <w:r w:rsidR="001D2D81" w:rsidRPr="000C156A">
              <w:rPr>
                <w:rFonts w:asciiTheme="minorHAnsi" w:hAnsiTheme="minorHAnsi"/>
                <w:b/>
                <w:bCs/>
                <w:sz w:val="18"/>
                <w:szCs w:val="18"/>
                <w:lang w:val="en-US" w:eastAsia="zh-CN"/>
              </w:rPr>
              <w:t xml:space="preserve"> </w:t>
            </w:r>
            <w:r w:rsidRPr="000C156A">
              <w:rPr>
                <w:rFonts w:asciiTheme="minorHAnsi" w:hAnsiTheme="minorHAnsi"/>
                <w:b/>
                <w:bCs/>
                <w:sz w:val="18"/>
                <w:szCs w:val="18"/>
                <w:lang w:val="en-US" w:eastAsia="zh-CN"/>
              </w:rPr>
              <w:t>580.84</w:t>
            </w:r>
          </w:p>
        </w:tc>
      </w:tr>
      <w:tr w:rsidR="00686EC7" w:rsidRPr="000C156A" w14:paraId="58B2DEB3" w14:textId="77777777" w:rsidTr="00141BAA">
        <w:trPr>
          <w:trHeight w:val="300"/>
        </w:trPr>
        <w:tc>
          <w:tcPr>
            <w:tcW w:w="1720" w:type="pct"/>
            <w:tcBorders>
              <w:top w:val="single" w:sz="4" w:space="0" w:color="auto"/>
              <w:left w:val="single" w:sz="4" w:space="0" w:color="auto"/>
              <w:bottom w:val="nil"/>
              <w:right w:val="single" w:sz="4" w:space="0" w:color="auto"/>
            </w:tcBorders>
            <w:shd w:val="clear" w:color="auto" w:fill="auto"/>
            <w:noWrap/>
            <w:vAlign w:val="center"/>
            <w:hideMark/>
          </w:tcPr>
          <w:p w14:paraId="48E0E7A9" w14:textId="77777777" w:rsidR="00686EC7" w:rsidRPr="000C156A" w:rsidRDefault="00686EC7" w:rsidP="00141BAA">
            <w:pPr>
              <w:overflowPunct/>
              <w:adjustRightInd/>
              <w:spacing w:before="0"/>
              <w:textAlignment w:val="auto"/>
              <w:rPr>
                <w:rFonts w:asciiTheme="minorHAnsi" w:hAnsiTheme="minorHAnsi"/>
                <w:sz w:val="18"/>
                <w:szCs w:val="18"/>
                <w:u w:val="single"/>
                <w:lang w:val="en-US" w:eastAsia="zh-CN"/>
              </w:rPr>
            </w:pPr>
            <w:r w:rsidRPr="000C156A">
              <w:rPr>
                <w:rFonts w:cs="Calibri" w:hint="eastAsia"/>
                <w:sz w:val="18"/>
                <w:szCs w:val="18"/>
                <w:u w:val="single"/>
              </w:rPr>
              <w:t>负债</w:t>
            </w:r>
          </w:p>
        </w:tc>
        <w:tc>
          <w:tcPr>
            <w:tcW w:w="999" w:type="pct"/>
            <w:tcBorders>
              <w:top w:val="single" w:sz="4" w:space="0" w:color="auto"/>
              <w:left w:val="single" w:sz="4" w:space="0" w:color="auto"/>
              <w:bottom w:val="nil"/>
              <w:right w:val="single" w:sz="4" w:space="0" w:color="auto"/>
            </w:tcBorders>
            <w:shd w:val="clear" w:color="auto" w:fill="auto"/>
            <w:noWrap/>
            <w:vAlign w:val="center"/>
            <w:hideMark/>
          </w:tcPr>
          <w:p w14:paraId="7724215F"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c>
          <w:tcPr>
            <w:tcW w:w="695" w:type="pct"/>
            <w:tcBorders>
              <w:top w:val="single" w:sz="4" w:space="0" w:color="auto"/>
              <w:left w:val="single" w:sz="4" w:space="0" w:color="auto"/>
              <w:bottom w:val="nil"/>
              <w:right w:val="single" w:sz="4" w:space="0" w:color="auto"/>
            </w:tcBorders>
            <w:shd w:val="clear" w:color="auto" w:fill="auto"/>
            <w:noWrap/>
            <w:vAlign w:val="center"/>
            <w:hideMark/>
          </w:tcPr>
          <w:p w14:paraId="402137B1"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c>
          <w:tcPr>
            <w:tcW w:w="823" w:type="pct"/>
            <w:tcBorders>
              <w:top w:val="single" w:sz="4" w:space="0" w:color="auto"/>
              <w:left w:val="single" w:sz="4" w:space="0" w:color="auto"/>
              <w:bottom w:val="nil"/>
              <w:right w:val="single" w:sz="4" w:space="0" w:color="auto"/>
            </w:tcBorders>
            <w:shd w:val="clear" w:color="auto" w:fill="auto"/>
            <w:noWrap/>
            <w:vAlign w:val="center"/>
            <w:hideMark/>
          </w:tcPr>
          <w:p w14:paraId="556256A5"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c>
          <w:tcPr>
            <w:tcW w:w="764" w:type="pct"/>
            <w:tcBorders>
              <w:top w:val="single" w:sz="4" w:space="0" w:color="auto"/>
              <w:left w:val="single" w:sz="4" w:space="0" w:color="auto"/>
              <w:bottom w:val="nil"/>
              <w:right w:val="single" w:sz="4" w:space="0" w:color="auto"/>
            </w:tcBorders>
            <w:shd w:val="clear" w:color="auto" w:fill="auto"/>
            <w:noWrap/>
            <w:vAlign w:val="center"/>
            <w:hideMark/>
          </w:tcPr>
          <w:p w14:paraId="38A2CD83"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r>
      <w:tr w:rsidR="00686EC7" w:rsidRPr="000C156A" w14:paraId="738A9A31" w14:textId="77777777" w:rsidTr="00141BAA">
        <w:trPr>
          <w:trHeight w:val="167"/>
        </w:trPr>
        <w:tc>
          <w:tcPr>
            <w:tcW w:w="1720" w:type="pct"/>
            <w:tcBorders>
              <w:top w:val="nil"/>
              <w:left w:val="single" w:sz="4" w:space="0" w:color="auto"/>
              <w:bottom w:val="nil"/>
              <w:right w:val="single" w:sz="4" w:space="0" w:color="auto"/>
            </w:tcBorders>
            <w:shd w:val="clear" w:color="auto" w:fill="auto"/>
            <w:noWrap/>
            <w:vAlign w:val="center"/>
            <w:hideMark/>
          </w:tcPr>
          <w:p w14:paraId="61165723" w14:textId="77777777" w:rsidR="00686EC7" w:rsidRPr="000C156A" w:rsidRDefault="00686EC7" w:rsidP="00141BAA">
            <w:pPr>
              <w:overflowPunct/>
              <w:adjustRightInd/>
              <w:spacing w:before="0"/>
              <w:textAlignment w:val="auto"/>
              <w:rPr>
                <w:rFonts w:cs="Calibri"/>
                <w:sz w:val="18"/>
                <w:szCs w:val="18"/>
              </w:rPr>
            </w:pPr>
            <w:r w:rsidRPr="000C156A">
              <w:rPr>
                <w:rFonts w:cs="Calibri" w:hint="eastAsia"/>
                <w:sz w:val="18"/>
                <w:szCs w:val="18"/>
                <w:lang w:eastAsia="zh-CN"/>
              </w:rPr>
              <w:t>职员</w:t>
            </w:r>
            <w:r w:rsidRPr="000C156A">
              <w:rPr>
                <w:rFonts w:cs="Calibri" w:hint="eastAsia"/>
                <w:sz w:val="18"/>
                <w:szCs w:val="18"/>
              </w:rPr>
              <w:t>福利</w:t>
            </w:r>
          </w:p>
        </w:tc>
        <w:tc>
          <w:tcPr>
            <w:tcW w:w="999" w:type="pct"/>
            <w:tcBorders>
              <w:top w:val="nil"/>
              <w:left w:val="single" w:sz="4" w:space="0" w:color="auto"/>
              <w:bottom w:val="nil"/>
              <w:right w:val="single" w:sz="4" w:space="0" w:color="auto"/>
            </w:tcBorders>
            <w:shd w:val="clear" w:color="auto" w:fill="auto"/>
            <w:noWrap/>
            <w:vAlign w:val="center"/>
            <w:hideMark/>
          </w:tcPr>
          <w:p w14:paraId="3119B8F3" w14:textId="64237B68"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54</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000.00</w:t>
            </w:r>
          </w:p>
        </w:tc>
        <w:tc>
          <w:tcPr>
            <w:tcW w:w="695" w:type="pct"/>
            <w:tcBorders>
              <w:top w:val="nil"/>
              <w:left w:val="single" w:sz="4" w:space="0" w:color="auto"/>
              <w:bottom w:val="nil"/>
              <w:right w:val="single" w:sz="4" w:space="0" w:color="auto"/>
            </w:tcBorders>
            <w:shd w:val="clear" w:color="auto" w:fill="auto"/>
            <w:noWrap/>
            <w:vAlign w:val="center"/>
            <w:hideMark/>
          </w:tcPr>
          <w:p w14:paraId="42D916F2" w14:textId="667AA3A8"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54</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000.00</w:t>
            </w:r>
          </w:p>
        </w:tc>
        <w:tc>
          <w:tcPr>
            <w:tcW w:w="823" w:type="pct"/>
            <w:tcBorders>
              <w:top w:val="nil"/>
              <w:left w:val="single" w:sz="4" w:space="0" w:color="auto"/>
              <w:bottom w:val="nil"/>
              <w:right w:val="single" w:sz="4" w:space="0" w:color="auto"/>
            </w:tcBorders>
            <w:shd w:val="clear" w:color="auto" w:fill="auto"/>
            <w:noWrap/>
            <w:vAlign w:val="center"/>
            <w:hideMark/>
          </w:tcPr>
          <w:p w14:paraId="1D52257F"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c>
          <w:tcPr>
            <w:tcW w:w="764" w:type="pct"/>
            <w:tcBorders>
              <w:top w:val="nil"/>
              <w:left w:val="single" w:sz="4" w:space="0" w:color="auto"/>
              <w:bottom w:val="nil"/>
              <w:right w:val="single" w:sz="4" w:space="0" w:color="auto"/>
            </w:tcBorders>
            <w:shd w:val="clear" w:color="auto" w:fill="auto"/>
            <w:noWrap/>
            <w:vAlign w:val="center"/>
            <w:hideMark/>
          </w:tcPr>
          <w:p w14:paraId="73753BF8"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r>
      <w:tr w:rsidR="00686EC7" w:rsidRPr="000C156A" w14:paraId="5965DCCC" w14:textId="77777777" w:rsidTr="00141BAA">
        <w:trPr>
          <w:trHeight w:val="300"/>
        </w:trPr>
        <w:tc>
          <w:tcPr>
            <w:tcW w:w="1720" w:type="pct"/>
            <w:tcBorders>
              <w:top w:val="nil"/>
              <w:left w:val="single" w:sz="4" w:space="0" w:color="auto"/>
              <w:bottom w:val="single" w:sz="4" w:space="0" w:color="auto"/>
              <w:right w:val="single" w:sz="4" w:space="0" w:color="auto"/>
            </w:tcBorders>
            <w:shd w:val="clear" w:color="auto" w:fill="auto"/>
            <w:noWrap/>
            <w:vAlign w:val="center"/>
          </w:tcPr>
          <w:p w14:paraId="274A48CE" w14:textId="77777777" w:rsidR="00686EC7" w:rsidRPr="000C156A" w:rsidRDefault="00686EC7" w:rsidP="00141BAA">
            <w:pPr>
              <w:overflowPunct/>
              <w:adjustRightInd/>
              <w:spacing w:before="0"/>
              <w:textAlignment w:val="auto"/>
              <w:rPr>
                <w:rFonts w:asciiTheme="minorHAnsi" w:hAnsiTheme="minorHAnsi"/>
                <w:sz w:val="18"/>
                <w:szCs w:val="18"/>
                <w:lang w:val="en-US" w:eastAsia="zh-CN"/>
              </w:rPr>
            </w:pPr>
            <w:r w:rsidRPr="000C156A">
              <w:rPr>
                <w:rFonts w:asciiTheme="minorHAnsi" w:hAnsiTheme="minorHAnsi" w:hint="eastAsia"/>
                <w:sz w:val="18"/>
                <w:szCs w:val="18"/>
                <w:lang w:val="en-US" w:eastAsia="zh-CN"/>
              </w:rPr>
              <w:t>过度债务</w:t>
            </w:r>
          </w:p>
        </w:tc>
        <w:tc>
          <w:tcPr>
            <w:tcW w:w="999" w:type="pct"/>
            <w:tcBorders>
              <w:top w:val="nil"/>
              <w:left w:val="single" w:sz="4" w:space="0" w:color="auto"/>
              <w:bottom w:val="single" w:sz="4" w:space="0" w:color="auto"/>
              <w:right w:val="single" w:sz="4" w:space="0" w:color="auto"/>
            </w:tcBorders>
            <w:shd w:val="clear" w:color="auto" w:fill="auto"/>
            <w:noWrap/>
            <w:vAlign w:val="center"/>
          </w:tcPr>
          <w:p w14:paraId="67D7DC2D" w14:textId="0AFDFF40"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113</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34</w:t>
            </w:r>
          </w:p>
        </w:tc>
        <w:tc>
          <w:tcPr>
            <w:tcW w:w="695" w:type="pct"/>
            <w:tcBorders>
              <w:top w:val="nil"/>
              <w:left w:val="single" w:sz="4" w:space="0" w:color="auto"/>
              <w:bottom w:val="single" w:sz="4" w:space="0" w:color="auto"/>
              <w:right w:val="single" w:sz="4" w:space="0" w:color="auto"/>
            </w:tcBorders>
            <w:shd w:val="clear" w:color="auto" w:fill="auto"/>
            <w:noWrap/>
            <w:vAlign w:val="center"/>
          </w:tcPr>
          <w:p w14:paraId="5F26A647"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c>
          <w:tcPr>
            <w:tcW w:w="823" w:type="pct"/>
            <w:tcBorders>
              <w:top w:val="nil"/>
              <w:left w:val="single" w:sz="4" w:space="0" w:color="auto"/>
              <w:bottom w:val="single" w:sz="4" w:space="0" w:color="auto"/>
              <w:right w:val="single" w:sz="4" w:space="0" w:color="auto"/>
            </w:tcBorders>
            <w:shd w:val="clear" w:color="auto" w:fill="auto"/>
            <w:noWrap/>
            <w:vAlign w:val="center"/>
          </w:tcPr>
          <w:p w14:paraId="68C5DC44"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141.77</w:t>
            </w:r>
          </w:p>
        </w:tc>
        <w:tc>
          <w:tcPr>
            <w:tcW w:w="764" w:type="pct"/>
            <w:tcBorders>
              <w:top w:val="nil"/>
              <w:left w:val="single" w:sz="4" w:space="0" w:color="auto"/>
              <w:bottom w:val="single" w:sz="4" w:space="0" w:color="auto"/>
              <w:right w:val="single" w:sz="4" w:space="0" w:color="auto"/>
            </w:tcBorders>
            <w:shd w:val="clear" w:color="auto" w:fill="auto"/>
            <w:noWrap/>
            <w:vAlign w:val="center"/>
          </w:tcPr>
          <w:p w14:paraId="099FFAD1"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r>
      <w:tr w:rsidR="00686EC7" w:rsidRPr="000C156A" w14:paraId="4024AC4C" w14:textId="77777777" w:rsidTr="00141BAA">
        <w:trPr>
          <w:trHeight w:val="300"/>
        </w:trPr>
        <w:tc>
          <w:tcPr>
            <w:tcW w:w="17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D452C8" w14:textId="77777777" w:rsidR="00686EC7" w:rsidRPr="000C156A" w:rsidRDefault="00686EC7" w:rsidP="00141BAA">
            <w:pPr>
              <w:overflowPunct/>
              <w:autoSpaceDE/>
              <w:autoSpaceDN/>
              <w:adjustRightInd/>
              <w:spacing w:before="0"/>
              <w:textAlignment w:val="auto"/>
              <w:rPr>
                <w:rFonts w:asciiTheme="minorHAnsi" w:hAnsiTheme="minorHAnsi"/>
                <w:b/>
                <w:bCs/>
                <w:sz w:val="18"/>
                <w:szCs w:val="18"/>
                <w:lang w:val="en-US" w:eastAsia="zh-CN"/>
              </w:rPr>
            </w:pPr>
            <w:r w:rsidRPr="000C156A">
              <w:rPr>
                <w:rFonts w:asciiTheme="minorHAnsi" w:hAnsiTheme="minorHAnsi" w:hint="eastAsia"/>
                <w:b/>
                <w:bCs/>
                <w:sz w:val="18"/>
                <w:szCs w:val="18"/>
                <w:lang w:val="en-US" w:eastAsia="zh-CN"/>
              </w:rPr>
              <w:t>债务合计</w:t>
            </w: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787FDF" w14:textId="40317C48"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54</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113.34</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CE7735" w14:textId="4D221AC3"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54</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000</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C02D5B"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141.77</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98D4B3"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w:t>
            </w:r>
          </w:p>
        </w:tc>
      </w:tr>
      <w:tr w:rsidR="00686EC7" w:rsidRPr="000C156A" w14:paraId="3680E481" w14:textId="77777777" w:rsidTr="00141BAA">
        <w:trPr>
          <w:trHeight w:val="300"/>
        </w:trPr>
        <w:tc>
          <w:tcPr>
            <w:tcW w:w="1720" w:type="pct"/>
            <w:tcBorders>
              <w:top w:val="single" w:sz="4" w:space="0" w:color="auto"/>
              <w:left w:val="single" w:sz="4" w:space="0" w:color="auto"/>
              <w:bottom w:val="nil"/>
              <w:right w:val="single" w:sz="4" w:space="0" w:color="auto"/>
            </w:tcBorders>
            <w:shd w:val="clear" w:color="auto" w:fill="auto"/>
            <w:noWrap/>
            <w:vAlign w:val="center"/>
          </w:tcPr>
          <w:p w14:paraId="59F2AE35" w14:textId="77777777" w:rsidR="00686EC7" w:rsidRPr="000C156A" w:rsidRDefault="00686EC7" w:rsidP="00141BAA">
            <w:pPr>
              <w:overflowPunct/>
              <w:autoSpaceDE/>
              <w:autoSpaceDN/>
              <w:adjustRightInd/>
              <w:spacing w:before="0"/>
              <w:textAlignment w:val="auto"/>
              <w:rPr>
                <w:rFonts w:asciiTheme="minorHAnsi" w:hAnsiTheme="minorHAnsi"/>
                <w:b/>
                <w:bCs/>
                <w:sz w:val="18"/>
                <w:szCs w:val="18"/>
                <w:lang w:val="en-US" w:eastAsia="zh-CN"/>
              </w:rPr>
            </w:pPr>
            <w:r w:rsidRPr="000C156A">
              <w:rPr>
                <w:rFonts w:asciiTheme="minorHAnsi" w:hAnsiTheme="minorHAnsi" w:hint="eastAsia"/>
                <w:b/>
                <w:bCs/>
                <w:sz w:val="18"/>
                <w:szCs w:val="18"/>
                <w:lang w:val="en-US" w:eastAsia="zh-CN"/>
              </w:rPr>
              <w:t>净资产</w:t>
            </w:r>
          </w:p>
        </w:tc>
        <w:tc>
          <w:tcPr>
            <w:tcW w:w="999" w:type="pct"/>
            <w:tcBorders>
              <w:top w:val="single" w:sz="4" w:space="0" w:color="auto"/>
              <w:left w:val="single" w:sz="4" w:space="0" w:color="auto"/>
              <w:bottom w:val="nil"/>
              <w:right w:val="single" w:sz="4" w:space="0" w:color="auto"/>
            </w:tcBorders>
            <w:shd w:val="clear" w:color="auto" w:fill="auto"/>
            <w:noWrap/>
            <w:vAlign w:val="center"/>
          </w:tcPr>
          <w:p w14:paraId="4E1215D9"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c>
          <w:tcPr>
            <w:tcW w:w="695" w:type="pct"/>
            <w:tcBorders>
              <w:top w:val="single" w:sz="4" w:space="0" w:color="auto"/>
              <w:left w:val="single" w:sz="4" w:space="0" w:color="auto"/>
              <w:bottom w:val="nil"/>
              <w:right w:val="single" w:sz="4" w:space="0" w:color="auto"/>
            </w:tcBorders>
            <w:shd w:val="clear" w:color="auto" w:fill="auto"/>
            <w:noWrap/>
            <w:vAlign w:val="center"/>
          </w:tcPr>
          <w:p w14:paraId="26DD0392"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c>
          <w:tcPr>
            <w:tcW w:w="823" w:type="pct"/>
            <w:tcBorders>
              <w:top w:val="single" w:sz="4" w:space="0" w:color="auto"/>
              <w:left w:val="single" w:sz="4" w:space="0" w:color="auto"/>
              <w:bottom w:val="nil"/>
              <w:right w:val="single" w:sz="4" w:space="0" w:color="auto"/>
            </w:tcBorders>
            <w:shd w:val="clear" w:color="auto" w:fill="auto"/>
            <w:noWrap/>
            <w:vAlign w:val="center"/>
          </w:tcPr>
          <w:p w14:paraId="07DEB46F"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c>
          <w:tcPr>
            <w:tcW w:w="764" w:type="pct"/>
            <w:tcBorders>
              <w:top w:val="single" w:sz="4" w:space="0" w:color="auto"/>
              <w:left w:val="single" w:sz="4" w:space="0" w:color="auto"/>
              <w:bottom w:val="nil"/>
              <w:right w:val="single" w:sz="4" w:space="0" w:color="auto"/>
            </w:tcBorders>
            <w:shd w:val="clear" w:color="auto" w:fill="auto"/>
            <w:noWrap/>
            <w:vAlign w:val="center"/>
          </w:tcPr>
          <w:p w14:paraId="05BCC93D"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r>
      <w:tr w:rsidR="00686EC7" w:rsidRPr="000C156A" w14:paraId="31DED462" w14:textId="77777777" w:rsidTr="00141BAA">
        <w:trPr>
          <w:trHeight w:val="300"/>
        </w:trPr>
        <w:tc>
          <w:tcPr>
            <w:tcW w:w="1720" w:type="pct"/>
            <w:tcBorders>
              <w:top w:val="nil"/>
              <w:left w:val="single" w:sz="4" w:space="0" w:color="auto"/>
              <w:bottom w:val="nil"/>
              <w:right w:val="single" w:sz="4" w:space="0" w:color="auto"/>
            </w:tcBorders>
            <w:shd w:val="clear" w:color="auto" w:fill="auto"/>
            <w:noWrap/>
            <w:vAlign w:val="center"/>
            <w:hideMark/>
          </w:tcPr>
          <w:p w14:paraId="09CAFD50" w14:textId="77777777" w:rsidR="00686EC7" w:rsidRPr="000C156A" w:rsidRDefault="00686EC7" w:rsidP="00141BAA">
            <w:pPr>
              <w:overflowPunct/>
              <w:adjustRightInd/>
              <w:spacing w:before="0"/>
              <w:textAlignment w:val="auto"/>
              <w:rPr>
                <w:rFonts w:cs="Calibri"/>
                <w:sz w:val="18"/>
                <w:szCs w:val="18"/>
              </w:rPr>
            </w:pPr>
            <w:r w:rsidRPr="000C156A">
              <w:rPr>
                <w:rFonts w:cs="Calibri" w:hint="eastAsia"/>
                <w:sz w:val="18"/>
                <w:szCs w:val="18"/>
              </w:rPr>
              <w:t>已分配自有资金</w:t>
            </w:r>
          </w:p>
        </w:tc>
        <w:tc>
          <w:tcPr>
            <w:tcW w:w="999" w:type="pct"/>
            <w:tcBorders>
              <w:top w:val="nil"/>
              <w:left w:val="single" w:sz="4" w:space="0" w:color="auto"/>
              <w:bottom w:val="nil"/>
              <w:right w:val="single" w:sz="4" w:space="0" w:color="auto"/>
            </w:tcBorders>
            <w:shd w:val="clear" w:color="auto" w:fill="auto"/>
            <w:noWrap/>
            <w:vAlign w:val="center"/>
            <w:hideMark/>
          </w:tcPr>
          <w:p w14:paraId="4B648E60" w14:textId="7D630EE1"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6</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166</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002.60</w:t>
            </w:r>
          </w:p>
        </w:tc>
        <w:tc>
          <w:tcPr>
            <w:tcW w:w="695" w:type="pct"/>
            <w:tcBorders>
              <w:top w:val="nil"/>
              <w:left w:val="single" w:sz="4" w:space="0" w:color="auto"/>
              <w:bottom w:val="nil"/>
              <w:right w:val="single" w:sz="4" w:space="0" w:color="auto"/>
            </w:tcBorders>
            <w:shd w:val="clear" w:color="auto" w:fill="auto"/>
            <w:noWrap/>
            <w:vAlign w:val="center"/>
            <w:hideMark/>
          </w:tcPr>
          <w:p w14:paraId="6BB6C812" w14:textId="63A18D73"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6</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166</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002.60</w:t>
            </w:r>
          </w:p>
        </w:tc>
        <w:tc>
          <w:tcPr>
            <w:tcW w:w="823" w:type="pct"/>
            <w:tcBorders>
              <w:top w:val="nil"/>
              <w:left w:val="single" w:sz="4" w:space="0" w:color="auto"/>
              <w:bottom w:val="nil"/>
              <w:right w:val="single" w:sz="4" w:space="0" w:color="auto"/>
            </w:tcBorders>
            <w:shd w:val="clear" w:color="auto" w:fill="auto"/>
            <w:noWrap/>
            <w:vAlign w:val="center"/>
            <w:hideMark/>
          </w:tcPr>
          <w:p w14:paraId="5E265A84" w14:textId="07EC9AA6"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277</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580.84</w:t>
            </w:r>
          </w:p>
        </w:tc>
        <w:tc>
          <w:tcPr>
            <w:tcW w:w="764" w:type="pct"/>
            <w:tcBorders>
              <w:top w:val="nil"/>
              <w:left w:val="single" w:sz="4" w:space="0" w:color="auto"/>
              <w:bottom w:val="nil"/>
              <w:right w:val="single" w:sz="4" w:space="0" w:color="auto"/>
            </w:tcBorders>
            <w:shd w:val="clear" w:color="auto" w:fill="auto"/>
            <w:noWrap/>
            <w:vAlign w:val="center"/>
            <w:hideMark/>
          </w:tcPr>
          <w:p w14:paraId="006B5D16" w14:textId="4A87194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277</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580.84</w:t>
            </w:r>
          </w:p>
        </w:tc>
      </w:tr>
      <w:tr w:rsidR="00686EC7" w:rsidRPr="000C156A" w14:paraId="7D7C6F8F" w14:textId="77777777" w:rsidTr="00141BAA">
        <w:trPr>
          <w:trHeight w:val="300"/>
        </w:trPr>
        <w:tc>
          <w:tcPr>
            <w:tcW w:w="1720" w:type="pct"/>
            <w:tcBorders>
              <w:top w:val="nil"/>
              <w:left w:val="single" w:sz="4" w:space="0" w:color="auto"/>
              <w:bottom w:val="nil"/>
              <w:right w:val="single" w:sz="4" w:space="0" w:color="auto"/>
            </w:tcBorders>
            <w:shd w:val="clear" w:color="auto" w:fill="auto"/>
            <w:noWrap/>
            <w:vAlign w:val="center"/>
            <w:hideMark/>
          </w:tcPr>
          <w:p w14:paraId="4C8680B4" w14:textId="77777777" w:rsidR="00686EC7" w:rsidRPr="000C156A" w:rsidRDefault="00686EC7" w:rsidP="00141BAA">
            <w:pPr>
              <w:overflowPunct/>
              <w:autoSpaceDE/>
              <w:autoSpaceDN/>
              <w:adjustRightInd/>
              <w:spacing w:before="0"/>
              <w:textAlignment w:val="auto"/>
              <w:rPr>
                <w:rFonts w:asciiTheme="minorHAnsi" w:hAnsiTheme="minorHAnsi"/>
                <w:sz w:val="18"/>
                <w:szCs w:val="18"/>
                <w:lang w:val="en-US" w:eastAsia="zh-CN"/>
              </w:rPr>
            </w:pPr>
            <w:r w:rsidRPr="000C156A">
              <w:rPr>
                <w:rFonts w:asciiTheme="minorHAnsi" w:hAnsiTheme="minorHAnsi" w:hint="eastAsia"/>
                <w:sz w:val="18"/>
                <w:szCs w:val="18"/>
                <w:lang w:val="en-US" w:eastAsia="zh-CN"/>
              </w:rPr>
              <w:t>本期盈余</w:t>
            </w:r>
            <w:r w:rsidRPr="000C156A">
              <w:rPr>
                <w:rFonts w:asciiTheme="minorHAnsi" w:hAnsiTheme="minorHAnsi" w:hint="eastAsia"/>
                <w:sz w:val="18"/>
                <w:szCs w:val="18"/>
                <w:lang w:val="en-US" w:eastAsia="zh-CN"/>
              </w:rPr>
              <w:t>/</w:t>
            </w:r>
            <w:r w:rsidRPr="000C156A">
              <w:rPr>
                <w:rFonts w:asciiTheme="minorHAnsi" w:hAnsiTheme="minorHAnsi" w:hint="eastAsia"/>
                <w:sz w:val="18"/>
                <w:szCs w:val="18"/>
                <w:lang w:val="en-US" w:eastAsia="zh-CN"/>
              </w:rPr>
              <w:t>赤字</w:t>
            </w:r>
          </w:p>
        </w:tc>
        <w:tc>
          <w:tcPr>
            <w:tcW w:w="999" w:type="pct"/>
            <w:tcBorders>
              <w:top w:val="nil"/>
              <w:left w:val="single" w:sz="4" w:space="0" w:color="auto"/>
              <w:right w:val="single" w:sz="4" w:space="0" w:color="auto"/>
            </w:tcBorders>
            <w:shd w:val="clear" w:color="auto" w:fill="auto"/>
            <w:noWrap/>
            <w:vAlign w:val="center"/>
            <w:hideMark/>
          </w:tcPr>
          <w:p w14:paraId="5F045B35" w14:textId="43DB45DE"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7</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984.42</w:t>
            </w:r>
          </w:p>
        </w:tc>
        <w:tc>
          <w:tcPr>
            <w:tcW w:w="695" w:type="pct"/>
            <w:tcBorders>
              <w:top w:val="nil"/>
              <w:left w:val="single" w:sz="4" w:space="0" w:color="auto"/>
              <w:right w:val="single" w:sz="4" w:space="0" w:color="auto"/>
            </w:tcBorders>
            <w:shd w:val="clear" w:color="auto" w:fill="auto"/>
            <w:noWrap/>
            <w:vAlign w:val="center"/>
            <w:hideMark/>
          </w:tcPr>
          <w:p w14:paraId="452BF24B"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c>
          <w:tcPr>
            <w:tcW w:w="823" w:type="pct"/>
            <w:tcBorders>
              <w:top w:val="nil"/>
              <w:left w:val="single" w:sz="4" w:space="0" w:color="auto"/>
              <w:right w:val="single" w:sz="4" w:space="0" w:color="auto"/>
            </w:tcBorders>
            <w:shd w:val="clear" w:color="auto" w:fill="auto"/>
            <w:noWrap/>
            <w:vAlign w:val="center"/>
            <w:hideMark/>
          </w:tcPr>
          <w:p w14:paraId="41FB129E"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-329.86</w:t>
            </w:r>
          </w:p>
        </w:tc>
        <w:tc>
          <w:tcPr>
            <w:tcW w:w="764" w:type="pct"/>
            <w:tcBorders>
              <w:top w:val="nil"/>
              <w:left w:val="single" w:sz="4" w:space="0" w:color="auto"/>
              <w:right w:val="single" w:sz="4" w:space="0" w:color="auto"/>
            </w:tcBorders>
            <w:shd w:val="clear" w:color="auto" w:fill="auto"/>
            <w:noWrap/>
            <w:vAlign w:val="center"/>
            <w:hideMark/>
          </w:tcPr>
          <w:p w14:paraId="58061C67"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r>
      <w:tr w:rsidR="00686EC7" w:rsidRPr="000C156A" w14:paraId="12A2BEB1" w14:textId="77777777" w:rsidTr="00141BAA">
        <w:trPr>
          <w:trHeight w:val="300"/>
        </w:trPr>
        <w:tc>
          <w:tcPr>
            <w:tcW w:w="1720" w:type="pct"/>
            <w:tcBorders>
              <w:top w:val="nil"/>
              <w:left w:val="single" w:sz="4" w:space="0" w:color="auto"/>
              <w:bottom w:val="single" w:sz="4" w:space="0" w:color="auto"/>
              <w:right w:val="single" w:sz="4" w:space="0" w:color="auto"/>
            </w:tcBorders>
            <w:shd w:val="clear" w:color="auto" w:fill="auto"/>
            <w:noWrap/>
            <w:vAlign w:val="center"/>
            <w:hideMark/>
          </w:tcPr>
          <w:p w14:paraId="29D0C07B" w14:textId="77777777" w:rsidR="00686EC7" w:rsidRPr="000C156A" w:rsidRDefault="00686EC7" w:rsidP="00141BAA">
            <w:pPr>
              <w:overflowPunct/>
              <w:autoSpaceDE/>
              <w:autoSpaceDN/>
              <w:adjustRightInd/>
              <w:spacing w:before="0"/>
              <w:textAlignment w:val="auto"/>
              <w:rPr>
                <w:rFonts w:asciiTheme="minorHAnsi" w:hAnsiTheme="minorHAnsi"/>
                <w:sz w:val="18"/>
                <w:szCs w:val="18"/>
                <w:lang w:val="en-US" w:eastAsia="zh-CN"/>
              </w:rPr>
            </w:pPr>
            <w:r w:rsidRPr="000C156A">
              <w:rPr>
                <w:rFonts w:asciiTheme="minorHAnsi" w:hAnsiTheme="minorHAnsi" w:hint="eastAsia"/>
                <w:sz w:val="18"/>
                <w:szCs w:val="18"/>
                <w:lang w:val="en-US" w:eastAsia="zh-CN"/>
              </w:rPr>
              <w:t>IPSAS</w:t>
            </w:r>
            <w:r w:rsidRPr="000C156A">
              <w:rPr>
                <w:rFonts w:asciiTheme="minorHAnsi" w:hAnsiTheme="minorHAnsi" w:hint="eastAsia"/>
                <w:sz w:val="18"/>
                <w:szCs w:val="18"/>
                <w:lang w:val="en-US" w:eastAsia="zh-CN"/>
              </w:rPr>
              <w:t>累计结果</w:t>
            </w:r>
          </w:p>
        </w:tc>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4874E827" w14:textId="2B016DA2"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-409</w:t>
            </w:r>
            <w:r w:rsidR="001D2D81" w:rsidRPr="000C156A">
              <w:rPr>
                <w:rFonts w:asciiTheme="minorHAnsi" w:hAnsiTheme="minorHAnsi"/>
                <w:sz w:val="18"/>
                <w:szCs w:val="18"/>
                <w:lang w:val="en-US" w:eastAsia="zh-CN"/>
              </w:rPr>
              <w:t xml:space="preserve"> </w:t>
            </w:r>
            <w:r w:rsidRPr="000C156A">
              <w:rPr>
                <w:rFonts w:asciiTheme="minorHAnsi" w:hAnsiTheme="minorHAnsi"/>
                <w:sz w:val="18"/>
                <w:szCs w:val="18"/>
                <w:lang w:val="en-US" w:eastAsia="zh-CN"/>
              </w:rPr>
              <w:t>119</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14:paraId="47FB0638"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r w:rsidRPr="000C156A">
              <w:rPr>
                <w:rFonts w:asciiTheme="minorHAnsi" w:hAnsiTheme="minorHAnsi"/>
                <w:sz w:val="18"/>
                <w:szCs w:val="18"/>
                <w:lang w:val="en-US" w:eastAsia="zh-CN"/>
              </w:rPr>
              <w:t>-</w:t>
            </w:r>
          </w:p>
        </w:tc>
        <w:tc>
          <w:tcPr>
            <w:tcW w:w="823" w:type="pct"/>
            <w:tcBorders>
              <w:top w:val="nil"/>
              <w:left w:val="single" w:sz="4" w:space="0" w:color="auto"/>
              <w:bottom w:val="single" w:sz="4" w:space="0" w:color="auto"/>
              <w:right w:val="single" w:sz="4" w:space="0" w:color="auto"/>
            </w:tcBorders>
            <w:shd w:val="clear" w:color="auto" w:fill="auto"/>
            <w:noWrap/>
            <w:vAlign w:val="center"/>
            <w:hideMark/>
          </w:tcPr>
          <w:p w14:paraId="042A7B52"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14:paraId="6CC9BE9F" w14:textId="77777777" w:rsidR="00686EC7" w:rsidRPr="000C156A" w:rsidRDefault="00686EC7" w:rsidP="00141BAA">
            <w:pPr>
              <w:overflowPunct/>
              <w:autoSpaceDE/>
              <w:autoSpaceDN/>
              <w:adjustRightInd/>
              <w:spacing w:before="0"/>
              <w:jc w:val="right"/>
              <w:textAlignment w:val="auto"/>
              <w:rPr>
                <w:rFonts w:asciiTheme="minorHAnsi" w:hAnsiTheme="minorHAnsi"/>
                <w:sz w:val="18"/>
                <w:szCs w:val="18"/>
                <w:lang w:val="en-US" w:eastAsia="zh-CN"/>
              </w:rPr>
            </w:pPr>
          </w:p>
        </w:tc>
      </w:tr>
      <w:tr w:rsidR="00686EC7" w:rsidRPr="000C156A" w14:paraId="270B0C0D" w14:textId="77777777" w:rsidTr="00141BAA">
        <w:trPr>
          <w:trHeight w:val="300"/>
        </w:trPr>
        <w:tc>
          <w:tcPr>
            <w:tcW w:w="17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A598E" w14:textId="77777777" w:rsidR="00686EC7" w:rsidRPr="000C156A" w:rsidRDefault="00686EC7" w:rsidP="00141BAA">
            <w:pPr>
              <w:overflowPunct/>
              <w:adjustRightInd/>
              <w:spacing w:before="0"/>
              <w:textAlignment w:val="auto"/>
              <w:rPr>
                <w:rFonts w:asciiTheme="minorHAnsi" w:hAnsiTheme="minorHAnsi"/>
                <w:b/>
                <w:bCs/>
                <w:sz w:val="18"/>
                <w:szCs w:val="18"/>
                <w:lang w:val="en-US" w:eastAsia="zh-CN"/>
              </w:rPr>
            </w:pPr>
            <w:r w:rsidRPr="000C156A">
              <w:rPr>
                <w:rFonts w:cs="Calibri" w:hint="eastAsia"/>
                <w:b/>
                <w:bCs/>
                <w:sz w:val="18"/>
                <w:szCs w:val="18"/>
                <w:lang w:eastAsia="zh-CN"/>
              </w:rPr>
              <w:t>合计</w:t>
            </w: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A5A7A" w14:textId="386A078E" w:rsidR="00686EC7" w:rsidRPr="000C156A" w:rsidRDefault="00686EC7" w:rsidP="00141BAA">
            <w:pPr>
              <w:overflowPunct/>
              <w:autoSpaceDE/>
              <w:autoSpaceDN/>
              <w:adjustRightInd/>
              <w:spacing w:before="0"/>
              <w:jc w:val="right"/>
              <w:textAlignment w:val="auto"/>
              <w:rPr>
                <w:rFonts w:asciiTheme="minorHAnsi" w:hAnsiTheme="minorHAnsi"/>
                <w:b/>
                <w:bCs/>
                <w:sz w:val="18"/>
                <w:szCs w:val="18"/>
                <w:lang w:val="en-US" w:eastAsia="zh-CN"/>
              </w:rPr>
            </w:pPr>
            <w:r w:rsidRPr="000C156A">
              <w:rPr>
                <w:rFonts w:asciiTheme="minorHAnsi" w:hAnsiTheme="minorHAnsi"/>
                <w:b/>
                <w:bCs/>
                <w:sz w:val="18"/>
                <w:szCs w:val="18"/>
                <w:lang w:val="en-US" w:eastAsia="zh-CN"/>
              </w:rPr>
              <w:t>5</w:t>
            </w:r>
            <w:r w:rsidR="001D2D81" w:rsidRPr="000C156A">
              <w:rPr>
                <w:rFonts w:asciiTheme="minorHAnsi" w:hAnsiTheme="minorHAnsi"/>
                <w:b/>
                <w:bCs/>
                <w:sz w:val="18"/>
                <w:szCs w:val="18"/>
                <w:lang w:val="en-US" w:eastAsia="zh-CN"/>
              </w:rPr>
              <w:t xml:space="preserve"> </w:t>
            </w:r>
            <w:r w:rsidRPr="000C156A">
              <w:rPr>
                <w:rFonts w:asciiTheme="minorHAnsi" w:hAnsiTheme="minorHAnsi"/>
                <w:b/>
                <w:bCs/>
                <w:sz w:val="18"/>
                <w:szCs w:val="18"/>
                <w:lang w:val="en-US" w:eastAsia="zh-CN"/>
              </w:rPr>
              <w:t>764</w:t>
            </w:r>
            <w:r w:rsidR="001D2D81" w:rsidRPr="000C156A">
              <w:rPr>
                <w:rFonts w:asciiTheme="minorHAnsi" w:hAnsiTheme="minorHAnsi"/>
                <w:b/>
                <w:bCs/>
                <w:sz w:val="18"/>
                <w:szCs w:val="18"/>
                <w:lang w:val="en-US" w:eastAsia="zh-CN"/>
              </w:rPr>
              <w:t xml:space="preserve"> </w:t>
            </w:r>
            <w:r w:rsidRPr="000C156A">
              <w:rPr>
                <w:rFonts w:asciiTheme="minorHAnsi" w:hAnsiTheme="minorHAnsi"/>
                <w:b/>
                <w:bCs/>
                <w:sz w:val="18"/>
                <w:szCs w:val="18"/>
                <w:lang w:val="en-US" w:eastAsia="zh-CN"/>
              </w:rPr>
              <w:t>868.02</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DD582" w14:textId="652BD8BA" w:rsidR="00686EC7" w:rsidRPr="000C156A" w:rsidRDefault="00686EC7" w:rsidP="00141BAA">
            <w:pPr>
              <w:overflowPunct/>
              <w:autoSpaceDE/>
              <w:autoSpaceDN/>
              <w:adjustRightInd/>
              <w:spacing w:before="0"/>
              <w:jc w:val="right"/>
              <w:textAlignment w:val="auto"/>
              <w:rPr>
                <w:rFonts w:asciiTheme="minorHAnsi" w:hAnsiTheme="minorHAnsi"/>
                <w:b/>
                <w:bCs/>
                <w:sz w:val="18"/>
                <w:szCs w:val="18"/>
                <w:lang w:val="en-US" w:eastAsia="zh-CN"/>
              </w:rPr>
            </w:pPr>
            <w:r w:rsidRPr="000C156A">
              <w:rPr>
                <w:rFonts w:asciiTheme="minorHAnsi" w:hAnsiTheme="minorHAnsi"/>
                <w:b/>
                <w:bCs/>
                <w:sz w:val="18"/>
                <w:szCs w:val="18"/>
                <w:lang w:val="en-US" w:eastAsia="zh-CN"/>
              </w:rPr>
              <w:t>6</w:t>
            </w:r>
            <w:r w:rsidR="001D2D81" w:rsidRPr="000C156A">
              <w:rPr>
                <w:rFonts w:asciiTheme="minorHAnsi" w:hAnsiTheme="minorHAnsi"/>
                <w:b/>
                <w:bCs/>
                <w:sz w:val="18"/>
                <w:szCs w:val="18"/>
                <w:lang w:val="en-US" w:eastAsia="zh-CN"/>
              </w:rPr>
              <w:t xml:space="preserve"> </w:t>
            </w:r>
            <w:r w:rsidRPr="000C156A">
              <w:rPr>
                <w:rFonts w:asciiTheme="minorHAnsi" w:hAnsiTheme="minorHAnsi"/>
                <w:b/>
                <w:bCs/>
                <w:sz w:val="18"/>
                <w:szCs w:val="18"/>
                <w:lang w:val="en-US" w:eastAsia="zh-CN"/>
              </w:rPr>
              <w:t>220</w:t>
            </w:r>
            <w:r w:rsidR="001D2D81" w:rsidRPr="000C156A">
              <w:rPr>
                <w:rFonts w:asciiTheme="minorHAnsi" w:hAnsiTheme="minorHAnsi"/>
                <w:b/>
                <w:bCs/>
                <w:sz w:val="18"/>
                <w:szCs w:val="18"/>
                <w:lang w:val="en-US" w:eastAsia="zh-CN"/>
              </w:rPr>
              <w:t xml:space="preserve"> </w:t>
            </w:r>
            <w:r w:rsidRPr="000C156A">
              <w:rPr>
                <w:rFonts w:asciiTheme="minorHAnsi" w:hAnsiTheme="minorHAnsi"/>
                <w:b/>
                <w:bCs/>
                <w:sz w:val="18"/>
                <w:szCs w:val="18"/>
                <w:lang w:val="en-US" w:eastAsia="zh-CN"/>
              </w:rPr>
              <w:t>002.60</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4B83D" w14:textId="4BF54478" w:rsidR="00686EC7" w:rsidRPr="000C156A" w:rsidRDefault="00686EC7" w:rsidP="00141BAA">
            <w:pPr>
              <w:overflowPunct/>
              <w:autoSpaceDE/>
              <w:autoSpaceDN/>
              <w:adjustRightInd/>
              <w:spacing w:before="0"/>
              <w:jc w:val="right"/>
              <w:textAlignment w:val="auto"/>
              <w:rPr>
                <w:rFonts w:asciiTheme="minorHAnsi" w:hAnsiTheme="minorHAnsi"/>
                <w:b/>
                <w:bCs/>
                <w:sz w:val="18"/>
                <w:szCs w:val="18"/>
                <w:lang w:val="en-US" w:eastAsia="zh-CN"/>
              </w:rPr>
            </w:pPr>
            <w:r w:rsidRPr="000C156A">
              <w:rPr>
                <w:rFonts w:asciiTheme="minorHAnsi" w:hAnsiTheme="minorHAnsi"/>
                <w:b/>
                <w:bCs/>
                <w:sz w:val="18"/>
                <w:szCs w:val="18"/>
                <w:lang w:val="en-US" w:eastAsia="zh-CN"/>
              </w:rPr>
              <w:t>277</w:t>
            </w:r>
            <w:r w:rsidR="001D2D81" w:rsidRPr="000C156A">
              <w:rPr>
                <w:rFonts w:asciiTheme="minorHAnsi" w:hAnsiTheme="minorHAnsi"/>
                <w:b/>
                <w:bCs/>
                <w:sz w:val="18"/>
                <w:szCs w:val="18"/>
                <w:lang w:val="en-US" w:eastAsia="zh-CN"/>
              </w:rPr>
              <w:t xml:space="preserve"> </w:t>
            </w:r>
            <w:r w:rsidRPr="000C156A">
              <w:rPr>
                <w:rFonts w:asciiTheme="minorHAnsi" w:hAnsiTheme="minorHAnsi"/>
                <w:b/>
                <w:bCs/>
                <w:sz w:val="18"/>
                <w:szCs w:val="18"/>
                <w:lang w:val="en-US" w:eastAsia="zh-CN"/>
              </w:rPr>
              <w:t>250.98</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CD819" w14:textId="672AF8E7" w:rsidR="00686EC7" w:rsidRPr="000C156A" w:rsidRDefault="00686EC7" w:rsidP="00141BAA">
            <w:pPr>
              <w:overflowPunct/>
              <w:autoSpaceDE/>
              <w:autoSpaceDN/>
              <w:adjustRightInd/>
              <w:spacing w:before="0"/>
              <w:jc w:val="right"/>
              <w:textAlignment w:val="auto"/>
              <w:rPr>
                <w:rFonts w:asciiTheme="minorHAnsi" w:hAnsiTheme="minorHAnsi"/>
                <w:b/>
                <w:bCs/>
                <w:sz w:val="18"/>
                <w:szCs w:val="18"/>
                <w:lang w:val="en-US" w:eastAsia="zh-CN"/>
              </w:rPr>
            </w:pPr>
            <w:r w:rsidRPr="000C156A">
              <w:rPr>
                <w:rFonts w:asciiTheme="minorHAnsi" w:hAnsiTheme="minorHAnsi"/>
                <w:b/>
                <w:bCs/>
                <w:sz w:val="18"/>
                <w:szCs w:val="18"/>
                <w:lang w:val="en-US" w:eastAsia="zh-CN"/>
              </w:rPr>
              <w:t>277</w:t>
            </w:r>
            <w:r w:rsidR="001D2D81" w:rsidRPr="000C156A">
              <w:rPr>
                <w:rFonts w:asciiTheme="minorHAnsi" w:hAnsiTheme="minorHAnsi"/>
                <w:b/>
                <w:bCs/>
                <w:sz w:val="18"/>
                <w:szCs w:val="18"/>
                <w:lang w:val="en-US" w:eastAsia="zh-CN"/>
              </w:rPr>
              <w:t xml:space="preserve"> </w:t>
            </w:r>
            <w:r w:rsidRPr="000C156A">
              <w:rPr>
                <w:rFonts w:asciiTheme="minorHAnsi" w:hAnsiTheme="minorHAnsi"/>
                <w:b/>
                <w:bCs/>
                <w:sz w:val="18"/>
                <w:szCs w:val="18"/>
                <w:lang w:val="en-US" w:eastAsia="zh-CN"/>
              </w:rPr>
              <w:t>580.84</w:t>
            </w:r>
          </w:p>
        </w:tc>
      </w:tr>
    </w:tbl>
    <w:p w14:paraId="6DDA27CF" w14:textId="77777777" w:rsidR="00686EC7" w:rsidRPr="000C156A" w:rsidRDefault="00686EC7" w:rsidP="00686EC7">
      <w:pPr>
        <w:rPr>
          <w:lang w:val="en-US" w:eastAsia="zh-CN"/>
        </w:rPr>
        <w:sectPr w:rsidR="00686EC7" w:rsidRPr="000C156A" w:rsidSect="00141BAA">
          <w:pgSz w:w="11907" w:h="16834"/>
          <w:pgMar w:top="851" w:right="1134" w:bottom="851" w:left="1134" w:header="720" w:footer="720" w:gutter="0"/>
          <w:paperSrc w:first="15" w:other="15"/>
          <w:cols w:space="720"/>
          <w:titlePg/>
          <w:docGrid w:linePitch="326"/>
        </w:sectPr>
      </w:pPr>
    </w:p>
    <w:p w14:paraId="65362F47" w14:textId="77777777" w:rsidR="00686EC7" w:rsidRPr="000C156A" w:rsidRDefault="00686EC7" w:rsidP="007A359B">
      <w:pPr>
        <w:pStyle w:val="AnnexNo"/>
        <w:spacing w:before="0"/>
        <w:outlineLvl w:val="0"/>
        <w:rPr>
          <w:caps w:val="0"/>
          <w:lang w:val="ru-RU" w:eastAsia="zh-CN"/>
        </w:rPr>
      </w:pPr>
      <w:bookmarkStart w:id="1199" w:name="_Toc41905917"/>
      <w:bookmarkStart w:id="1200" w:name="_Toc41908089"/>
      <w:bookmarkStart w:id="1201" w:name="_Toc73519306"/>
      <w:bookmarkStart w:id="1202" w:name="_Toc73636344"/>
      <w:r w:rsidRPr="000C156A">
        <w:rPr>
          <w:rFonts w:hint="eastAsia"/>
          <w:w w:val="105"/>
          <w:lang w:val="en-US" w:eastAsia="zh-CN"/>
        </w:rPr>
        <w:lastRenderedPageBreak/>
        <w:t>附件</w:t>
      </w:r>
      <w:r w:rsidRPr="000C156A">
        <w:rPr>
          <w:w w:val="105"/>
          <w:lang w:val="en-US" w:eastAsia="zh-CN"/>
        </w:rPr>
        <w:t>B4</w:t>
      </w:r>
      <w:bookmarkEnd w:id="1199"/>
      <w:bookmarkEnd w:id="1200"/>
      <w:bookmarkEnd w:id="1201"/>
      <w:bookmarkEnd w:id="1202"/>
    </w:p>
    <w:p w14:paraId="6AC09307" w14:textId="77777777" w:rsidR="00686EC7" w:rsidRPr="000C156A" w:rsidRDefault="00686EC7" w:rsidP="00B1736F">
      <w:pPr>
        <w:pStyle w:val="Annextitle"/>
        <w:rPr>
          <w:rFonts w:cs="Microsoft YaHei"/>
          <w:lang w:val="fr-FR" w:eastAsia="zh-CN"/>
        </w:rPr>
      </w:pPr>
      <w:bookmarkStart w:id="1203" w:name="_Toc358374608"/>
      <w:bookmarkStart w:id="1204" w:name="_Toc358136606"/>
      <w:bookmarkStart w:id="1205" w:name="_Toc452103924"/>
      <w:bookmarkStart w:id="1206" w:name="_Toc452103502"/>
      <w:bookmarkStart w:id="1207" w:name="_Toc452103245"/>
      <w:bookmarkStart w:id="1208" w:name="_Toc419404413"/>
      <w:bookmarkStart w:id="1209" w:name="_Toc419389938"/>
      <w:bookmarkStart w:id="1210" w:name="_Toc387243059"/>
      <w:r w:rsidRPr="000C156A">
        <w:rPr>
          <w:rFonts w:cs="Microsoft YaHei" w:hint="eastAsia"/>
          <w:lang w:val="fr-FR" w:eastAsia="zh-CN"/>
        </w:rPr>
        <w:t>信托基金（未使用的拨款）</w:t>
      </w:r>
      <w:bookmarkEnd w:id="1203"/>
      <w:bookmarkEnd w:id="1204"/>
      <w:r w:rsidRPr="000C156A">
        <w:rPr>
          <w:rFonts w:cs="Microsoft YaHei"/>
          <w:lang w:val="fr-FR" w:eastAsia="zh-CN"/>
        </w:rPr>
        <w:t xml:space="preserve"> – </w:t>
      </w:r>
      <w:r w:rsidRPr="000C156A">
        <w:rPr>
          <w:rFonts w:cs="Microsoft YaHei" w:hint="eastAsia"/>
          <w:lang w:val="fr-FR" w:eastAsia="zh-CN"/>
        </w:rPr>
        <w:t>见说明</w:t>
      </w:r>
      <w:bookmarkEnd w:id="1205"/>
      <w:bookmarkEnd w:id="1206"/>
      <w:bookmarkEnd w:id="1207"/>
      <w:bookmarkEnd w:id="1208"/>
      <w:bookmarkEnd w:id="1209"/>
      <w:bookmarkEnd w:id="1210"/>
      <w:r w:rsidRPr="000C156A">
        <w:rPr>
          <w:rFonts w:cs="Microsoft YaHei"/>
          <w:lang w:val="fr-FR" w:eastAsia="zh-CN"/>
        </w:rPr>
        <w:t>20</w:t>
      </w:r>
    </w:p>
    <w:p w14:paraId="78D56462" w14:textId="5FEE0787" w:rsidR="00686EC7" w:rsidRPr="000C156A" w:rsidRDefault="009559A2" w:rsidP="00686EC7">
      <w:pPr>
        <w:overflowPunct/>
        <w:autoSpaceDE/>
        <w:autoSpaceDN/>
        <w:adjustRightInd/>
        <w:spacing w:before="0"/>
        <w:textAlignment w:val="auto"/>
      </w:pPr>
      <w:r w:rsidRPr="009559A2">
        <w:drawing>
          <wp:inline distT="0" distB="0" distL="0" distR="0" wp14:anchorId="42AE8005" wp14:editId="44FD7733">
            <wp:extent cx="9779000" cy="256445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779000" cy="2564456"/>
                    </a:xfrm>
                    <a:prstGeom prst="rect">
                      <a:avLst/>
                    </a:prstGeom>
                    <a:noFill/>
                    <a:ln>
                      <a:noFill/>
                    </a:ln>
                  </pic:spPr>
                </pic:pic>
              </a:graphicData>
            </a:graphic>
          </wp:inline>
        </w:drawing>
      </w:r>
    </w:p>
    <w:p w14:paraId="1D1A2AED" w14:textId="77777777" w:rsidR="00271B4E" w:rsidRPr="000C156A" w:rsidRDefault="00271B4E" w:rsidP="005161EC">
      <w:pPr>
        <w:pStyle w:val="Annextitle"/>
        <w:keepNext/>
        <w:rPr>
          <w:rFonts w:ascii="Times New Roman Bold" w:hAnsi="Times New Roman Bold"/>
          <w:szCs w:val="24"/>
          <w:lang w:val="ru-RU" w:eastAsia="zh-CN"/>
        </w:rPr>
      </w:pPr>
      <w:r w:rsidRPr="000C156A">
        <w:rPr>
          <w:rFonts w:ascii="Times New Roman Bold" w:hAnsi="Times New Roman Bold" w:hint="eastAsia"/>
          <w:szCs w:val="24"/>
          <w:lang w:val="ru-RU" w:eastAsia="zh-CN"/>
        </w:rPr>
        <w:lastRenderedPageBreak/>
        <w:t>信托</w:t>
      </w:r>
      <w:r w:rsidRPr="000C156A">
        <w:rPr>
          <w:rFonts w:ascii="Times New Roman Bold" w:hAnsi="Times New Roman Bold"/>
          <w:szCs w:val="24"/>
          <w:lang w:val="ru-RU" w:eastAsia="zh-CN"/>
        </w:rPr>
        <w:t>基金（未使用的拨款）（</w:t>
      </w:r>
      <w:r w:rsidRPr="000C156A">
        <w:rPr>
          <w:rFonts w:ascii="Times New Roman Bold" w:eastAsia="STKaiti" w:hAnsi="Times New Roman Bold"/>
          <w:szCs w:val="24"/>
          <w:lang w:val="ru-RU" w:eastAsia="zh-CN"/>
        </w:rPr>
        <w:t>续</w:t>
      </w:r>
      <w:r w:rsidRPr="000C156A">
        <w:rPr>
          <w:rFonts w:ascii="Times New Roman Bold" w:hAnsi="Times New Roman Bold"/>
          <w:szCs w:val="24"/>
          <w:lang w:val="ru-RU" w:eastAsia="zh-CN"/>
        </w:rPr>
        <w:t>）</w:t>
      </w:r>
    </w:p>
    <w:p w14:paraId="2D78F292" w14:textId="3288AB99" w:rsidR="00686EC7" w:rsidRPr="000C156A" w:rsidRDefault="00A100EC" w:rsidP="00686EC7">
      <w:pPr>
        <w:overflowPunct/>
        <w:autoSpaceDE/>
        <w:autoSpaceDN/>
        <w:adjustRightInd/>
        <w:spacing w:before="0"/>
        <w:textAlignment w:val="auto"/>
      </w:pPr>
      <w:r w:rsidRPr="00A100EC">
        <w:drawing>
          <wp:inline distT="0" distB="0" distL="0" distR="0" wp14:anchorId="46672D2C" wp14:editId="220B4D44">
            <wp:extent cx="9779000" cy="48780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779000" cy="4878038"/>
                    </a:xfrm>
                    <a:prstGeom prst="rect">
                      <a:avLst/>
                    </a:prstGeom>
                    <a:noFill/>
                    <a:ln>
                      <a:noFill/>
                    </a:ln>
                  </pic:spPr>
                </pic:pic>
              </a:graphicData>
            </a:graphic>
          </wp:inline>
        </w:drawing>
      </w:r>
      <w:r w:rsidR="00686EC7" w:rsidRPr="000C156A">
        <w:br w:type="page"/>
      </w:r>
    </w:p>
    <w:p w14:paraId="60423C90" w14:textId="77777777" w:rsidR="00271B4E" w:rsidRPr="000C156A" w:rsidRDefault="00271B4E" w:rsidP="005161EC">
      <w:pPr>
        <w:pStyle w:val="Annextitle"/>
        <w:rPr>
          <w:rFonts w:ascii="Times New Roman Bold" w:hAnsi="Times New Roman Bold"/>
          <w:szCs w:val="24"/>
          <w:lang w:val="ru-RU" w:eastAsia="zh-CN"/>
        </w:rPr>
      </w:pPr>
      <w:r w:rsidRPr="000C156A">
        <w:rPr>
          <w:rFonts w:ascii="Times New Roman Bold" w:hAnsi="Times New Roman Bold" w:hint="eastAsia"/>
          <w:szCs w:val="24"/>
          <w:lang w:val="ru-RU" w:eastAsia="zh-CN"/>
        </w:rPr>
        <w:lastRenderedPageBreak/>
        <w:t>信托</w:t>
      </w:r>
      <w:r w:rsidRPr="000C156A">
        <w:rPr>
          <w:rFonts w:ascii="Times New Roman Bold" w:hAnsi="Times New Roman Bold"/>
          <w:szCs w:val="24"/>
          <w:lang w:val="ru-RU" w:eastAsia="zh-CN"/>
        </w:rPr>
        <w:t>基金（未使用的拨款）（</w:t>
      </w:r>
      <w:r w:rsidRPr="000C156A">
        <w:rPr>
          <w:rFonts w:ascii="Times New Roman Bold" w:eastAsia="STKaiti" w:hAnsi="Times New Roman Bold"/>
          <w:szCs w:val="24"/>
          <w:lang w:val="ru-RU" w:eastAsia="zh-CN"/>
        </w:rPr>
        <w:t>续</w:t>
      </w:r>
      <w:r w:rsidRPr="000C156A">
        <w:rPr>
          <w:rFonts w:ascii="Times New Roman Bold" w:hAnsi="Times New Roman Bold"/>
          <w:szCs w:val="24"/>
          <w:lang w:val="ru-RU" w:eastAsia="zh-CN"/>
        </w:rPr>
        <w:t>）</w:t>
      </w:r>
    </w:p>
    <w:p w14:paraId="13FEA555" w14:textId="079132FC" w:rsidR="00686EC7" w:rsidRPr="000C156A" w:rsidRDefault="00A100EC" w:rsidP="00686EC7">
      <w:pPr>
        <w:overflowPunct/>
        <w:autoSpaceDE/>
        <w:autoSpaceDN/>
        <w:adjustRightInd/>
        <w:spacing w:before="0"/>
        <w:textAlignment w:val="auto"/>
        <w:rPr>
          <w:rFonts w:ascii="Times New Roman Bold" w:hAnsi="Times New Roman Bold"/>
          <w:b/>
          <w:sz w:val="22"/>
          <w:szCs w:val="22"/>
          <w:lang w:val="ru-RU" w:eastAsia="zh-CN"/>
        </w:rPr>
      </w:pPr>
      <w:r w:rsidRPr="00A100EC">
        <w:drawing>
          <wp:inline distT="0" distB="0" distL="0" distR="0" wp14:anchorId="6B754806" wp14:editId="275B6ACE">
            <wp:extent cx="9779000" cy="5232189"/>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779000" cy="5232189"/>
                    </a:xfrm>
                    <a:prstGeom prst="rect">
                      <a:avLst/>
                    </a:prstGeom>
                    <a:noFill/>
                    <a:ln>
                      <a:noFill/>
                    </a:ln>
                  </pic:spPr>
                </pic:pic>
              </a:graphicData>
            </a:graphic>
          </wp:inline>
        </w:drawing>
      </w:r>
      <w:r w:rsidR="00686EC7" w:rsidRPr="000C156A">
        <w:rPr>
          <w:rFonts w:ascii="Times New Roman Bold" w:hAnsi="Times New Roman Bold"/>
          <w:b/>
          <w:sz w:val="22"/>
          <w:szCs w:val="22"/>
          <w:lang w:val="ru-RU" w:eastAsia="zh-CN"/>
        </w:rPr>
        <w:br w:type="page"/>
      </w:r>
    </w:p>
    <w:p w14:paraId="2B195CA3" w14:textId="77777777" w:rsidR="00686EC7" w:rsidRPr="000C156A" w:rsidRDefault="00686EC7" w:rsidP="005161EC">
      <w:pPr>
        <w:pStyle w:val="Annextitle"/>
        <w:rPr>
          <w:rFonts w:ascii="Times New Roman Bold" w:hAnsi="Times New Roman Bold"/>
          <w:szCs w:val="24"/>
          <w:lang w:val="ru-RU" w:eastAsia="zh-CN"/>
        </w:rPr>
      </w:pPr>
      <w:r w:rsidRPr="000C156A">
        <w:rPr>
          <w:rFonts w:ascii="Times New Roman Bold" w:hAnsi="Times New Roman Bold" w:hint="eastAsia"/>
          <w:szCs w:val="24"/>
          <w:lang w:val="ru-RU" w:eastAsia="zh-CN"/>
        </w:rPr>
        <w:lastRenderedPageBreak/>
        <w:t>信托</w:t>
      </w:r>
      <w:r w:rsidRPr="000C156A">
        <w:rPr>
          <w:rFonts w:ascii="Times New Roman Bold" w:hAnsi="Times New Roman Bold"/>
          <w:szCs w:val="24"/>
          <w:lang w:val="ru-RU" w:eastAsia="zh-CN"/>
        </w:rPr>
        <w:t>基金（未使用的拨款）（</w:t>
      </w:r>
      <w:r w:rsidRPr="000C156A">
        <w:rPr>
          <w:rFonts w:ascii="Times New Roman Bold" w:eastAsia="STKaiti" w:hAnsi="Times New Roman Bold"/>
          <w:szCs w:val="24"/>
          <w:lang w:val="ru-RU" w:eastAsia="zh-CN"/>
        </w:rPr>
        <w:t>续</w:t>
      </w:r>
      <w:r w:rsidRPr="000C156A">
        <w:rPr>
          <w:rFonts w:ascii="Times New Roman Bold" w:hAnsi="Times New Roman Bold"/>
          <w:szCs w:val="24"/>
          <w:lang w:val="ru-RU" w:eastAsia="zh-CN"/>
        </w:rPr>
        <w:t>）</w:t>
      </w:r>
    </w:p>
    <w:p w14:paraId="070399E2" w14:textId="1ABFCC37" w:rsidR="00686EC7" w:rsidRPr="000C156A" w:rsidRDefault="00A100EC" w:rsidP="00686EC7">
      <w:pPr>
        <w:overflowPunct/>
        <w:autoSpaceDE/>
        <w:autoSpaceDN/>
        <w:adjustRightInd/>
        <w:spacing w:before="0"/>
        <w:textAlignment w:val="auto"/>
        <w:rPr>
          <w:rFonts w:ascii="Times New Roman Bold" w:hAnsi="Times New Roman Bold"/>
          <w:b/>
          <w:sz w:val="22"/>
          <w:szCs w:val="22"/>
          <w:lang w:val="ru-RU" w:eastAsia="zh-CN"/>
        </w:rPr>
      </w:pPr>
      <w:r w:rsidRPr="00A100EC">
        <w:drawing>
          <wp:inline distT="0" distB="0" distL="0" distR="0" wp14:anchorId="23DB3444" wp14:editId="166A3CC0">
            <wp:extent cx="9779000" cy="525112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779000" cy="5251125"/>
                    </a:xfrm>
                    <a:prstGeom prst="rect">
                      <a:avLst/>
                    </a:prstGeom>
                    <a:noFill/>
                    <a:ln>
                      <a:noFill/>
                    </a:ln>
                  </pic:spPr>
                </pic:pic>
              </a:graphicData>
            </a:graphic>
          </wp:inline>
        </w:drawing>
      </w:r>
      <w:r w:rsidR="00686EC7" w:rsidRPr="000C156A">
        <w:rPr>
          <w:rFonts w:ascii="Times New Roman Bold" w:hAnsi="Times New Roman Bold"/>
          <w:b/>
          <w:sz w:val="22"/>
          <w:szCs w:val="22"/>
          <w:lang w:val="ru-RU" w:eastAsia="zh-CN"/>
        </w:rPr>
        <w:br w:type="page"/>
      </w:r>
    </w:p>
    <w:p w14:paraId="60A823FE" w14:textId="77777777" w:rsidR="005161EC" w:rsidRPr="000C156A" w:rsidRDefault="005161EC" w:rsidP="005161EC">
      <w:pPr>
        <w:pStyle w:val="Annextitle"/>
        <w:rPr>
          <w:rFonts w:ascii="Times New Roman Bold" w:hAnsi="Times New Roman Bold"/>
          <w:szCs w:val="24"/>
          <w:lang w:val="ru-RU" w:eastAsia="zh-CN"/>
        </w:rPr>
      </w:pPr>
      <w:r w:rsidRPr="000C156A">
        <w:rPr>
          <w:rFonts w:ascii="Times New Roman Bold" w:hAnsi="Times New Roman Bold" w:hint="eastAsia"/>
          <w:szCs w:val="24"/>
          <w:lang w:val="ru-RU" w:eastAsia="zh-CN"/>
        </w:rPr>
        <w:lastRenderedPageBreak/>
        <w:t>信托</w:t>
      </w:r>
      <w:r w:rsidRPr="000C156A">
        <w:rPr>
          <w:rFonts w:ascii="Times New Roman Bold" w:hAnsi="Times New Roman Bold"/>
          <w:szCs w:val="24"/>
          <w:lang w:val="ru-RU" w:eastAsia="zh-CN"/>
        </w:rPr>
        <w:t>基金（未使用的拨款）（</w:t>
      </w:r>
      <w:r w:rsidRPr="000C156A">
        <w:rPr>
          <w:rFonts w:ascii="Times New Roman Bold" w:eastAsia="STKaiti" w:hAnsi="Times New Roman Bold"/>
          <w:szCs w:val="24"/>
          <w:lang w:val="ru-RU" w:eastAsia="zh-CN"/>
        </w:rPr>
        <w:t>续</w:t>
      </w:r>
      <w:r w:rsidRPr="000C156A">
        <w:rPr>
          <w:rFonts w:ascii="Times New Roman Bold" w:hAnsi="Times New Roman Bold"/>
          <w:szCs w:val="24"/>
          <w:lang w:val="ru-RU" w:eastAsia="zh-CN"/>
        </w:rPr>
        <w:t>）</w:t>
      </w:r>
    </w:p>
    <w:p w14:paraId="30331D36" w14:textId="1EA27A79" w:rsidR="00686EC7" w:rsidRPr="000C156A" w:rsidRDefault="00A100EC" w:rsidP="00686EC7">
      <w:pPr>
        <w:overflowPunct/>
        <w:autoSpaceDE/>
        <w:autoSpaceDN/>
        <w:adjustRightInd/>
        <w:spacing w:before="0"/>
        <w:textAlignment w:val="auto"/>
        <w:rPr>
          <w:rFonts w:ascii="Times New Roman Bold" w:hAnsi="Times New Roman Bold"/>
          <w:b/>
          <w:sz w:val="22"/>
          <w:szCs w:val="22"/>
          <w:lang w:val="ru-RU" w:eastAsia="zh-CN"/>
        </w:rPr>
      </w:pPr>
      <w:r w:rsidRPr="00A100EC">
        <w:drawing>
          <wp:inline distT="0" distB="0" distL="0" distR="0" wp14:anchorId="139F15D1" wp14:editId="3DB699FF">
            <wp:extent cx="9779000" cy="248237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779000" cy="2482374"/>
                    </a:xfrm>
                    <a:prstGeom prst="rect">
                      <a:avLst/>
                    </a:prstGeom>
                    <a:noFill/>
                    <a:ln>
                      <a:noFill/>
                    </a:ln>
                  </pic:spPr>
                </pic:pic>
              </a:graphicData>
            </a:graphic>
          </wp:inline>
        </w:drawing>
      </w:r>
    </w:p>
    <w:p w14:paraId="33F47D9B" w14:textId="4B6A94D2" w:rsidR="00686EC7" w:rsidRPr="000C156A" w:rsidRDefault="00A100EC" w:rsidP="00686EC7">
      <w:pPr>
        <w:overflowPunct/>
        <w:autoSpaceDE/>
        <w:autoSpaceDN/>
        <w:adjustRightInd/>
        <w:spacing w:before="0"/>
        <w:textAlignment w:val="auto"/>
        <w:rPr>
          <w:rFonts w:ascii="Times New Roman Bold" w:hAnsi="Times New Roman Bold"/>
          <w:b/>
          <w:sz w:val="22"/>
          <w:szCs w:val="22"/>
          <w:lang w:val="ru-RU" w:eastAsia="zh-CN"/>
        </w:rPr>
      </w:pPr>
      <w:r w:rsidRPr="00A100EC">
        <w:drawing>
          <wp:inline distT="0" distB="0" distL="0" distR="0" wp14:anchorId="70E35011" wp14:editId="0F3BC009">
            <wp:extent cx="9779000" cy="15634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779000" cy="1563444"/>
                    </a:xfrm>
                    <a:prstGeom prst="rect">
                      <a:avLst/>
                    </a:prstGeom>
                    <a:noFill/>
                    <a:ln>
                      <a:noFill/>
                    </a:ln>
                  </pic:spPr>
                </pic:pic>
              </a:graphicData>
            </a:graphic>
          </wp:inline>
        </w:drawing>
      </w:r>
      <w:r w:rsidR="00686EC7" w:rsidRPr="000C156A">
        <w:rPr>
          <w:rFonts w:ascii="Times New Roman Bold" w:hAnsi="Times New Roman Bold"/>
          <w:b/>
          <w:sz w:val="22"/>
          <w:szCs w:val="22"/>
          <w:lang w:val="ru-RU" w:eastAsia="zh-CN"/>
        </w:rPr>
        <w:br w:type="page"/>
      </w:r>
    </w:p>
    <w:p w14:paraId="458366BE" w14:textId="77777777" w:rsidR="00686EC7" w:rsidRPr="000C156A" w:rsidRDefault="00686EC7" w:rsidP="006842CC">
      <w:pPr>
        <w:pStyle w:val="Annextitle"/>
        <w:rPr>
          <w:rFonts w:ascii="Times New Roman Bold" w:hAnsi="Times New Roman Bold"/>
          <w:bCs/>
          <w:szCs w:val="24"/>
          <w:lang w:val="ru-RU" w:eastAsia="zh-CN"/>
        </w:rPr>
      </w:pPr>
      <w:r w:rsidRPr="000C156A">
        <w:rPr>
          <w:rFonts w:ascii="Times New Roman Bold" w:hAnsi="Times New Roman Bold" w:hint="eastAsia"/>
          <w:szCs w:val="24"/>
          <w:lang w:val="ru-RU" w:eastAsia="zh-CN"/>
        </w:rPr>
        <w:lastRenderedPageBreak/>
        <w:t>信托</w:t>
      </w:r>
      <w:r w:rsidRPr="000C156A">
        <w:rPr>
          <w:rFonts w:ascii="Times New Roman Bold" w:hAnsi="Times New Roman Bold"/>
          <w:szCs w:val="24"/>
          <w:lang w:val="ru-RU" w:eastAsia="zh-CN"/>
        </w:rPr>
        <w:t>基金（未使用的拨款）（</w:t>
      </w:r>
      <w:r w:rsidRPr="000C156A">
        <w:rPr>
          <w:rFonts w:ascii="STKaiti" w:eastAsia="STKaiti" w:hAnsi="STKaiti" w:hint="eastAsia"/>
          <w:szCs w:val="24"/>
          <w:lang w:val="ru-RU" w:eastAsia="zh-CN"/>
        </w:rPr>
        <w:t>完</w:t>
      </w:r>
      <w:r w:rsidRPr="000C156A">
        <w:rPr>
          <w:rFonts w:ascii="Times New Roman Bold" w:hAnsi="Times New Roman Bold"/>
          <w:szCs w:val="24"/>
          <w:lang w:val="ru-RU" w:eastAsia="zh-CN"/>
        </w:rPr>
        <w:t>）</w:t>
      </w:r>
    </w:p>
    <w:p w14:paraId="5D097325" w14:textId="701EB927" w:rsidR="00686EC7" w:rsidRPr="000C156A" w:rsidRDefault="00A100EC" w:rsidP="00686EC7">
      <w:pPr>
        <w:overflowPunct/>
        <w:adjustRightInd/>
        <w:spacing w:before="0"/>
        <w:rPr>
          <w:sz w:val="20"/>
          <w:lang w:val="ru-RU" w:eastAsia="zh-CN"/>
        </w:rPr>
      </w:pPr>
      <w:r w:rsidRPr="00A100EC">
        <w:drawing>
          <wp:inline distT="0" distB="0" distL="0" distR="0" wp14:anchorId="0FA6BB03" wp14:editId="48BC4F5A">
            <wp:extent cx="9779000" cy="4776378"/>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779000" cy="4776378"/>
                    </a:xfrm>
                    <a:prstGeom prst="rect">
                      <a:avLst/>
                    </a:prstGeom>
                    <a:noFill/>
                    <a:ln>
                      <a:noFill/>
                    </a:ln>
                  </pic:spPr>
                </pic:pic>
              </a:graphicData>
            </a:graphic>
          </wp:inline>
        </w:drawing>
      </w:r>
    </w:p>
    <w:p w14:paraId="4E933067" w14:textId="77777777" w:rsidR="00686EC7" w:rsidRPr="000C156A" w:rsidRDefault="00686EC7" w:rsidP="00686EC7">
      <w:pPr>
        <w:overflowPunct/>
        <w:adjustRightInd/>
        <w:spacing w:before="0"/>
        <w:rPr>
          <w:lang w:eastAsia="zh-CN"/>
        </w:rPr>
      </w:pPr>
      <w:r w:rsidRPr="000C156A">
        <w:rPr>
          <w:sz w:val="20"/>
          <w:lang w:val="ru-RU" w:eastAsia="zh-CN"/>
        </w:rPr>
        <w:br w:type="page"/>
      </w:r>
    </w:p>
    <w:p w14:paraId="7FB4B0B6" w14:textId="77777777" w:rsidR="00686EC7" w:rsidRPr="000C156A" w:rsidRDefault="00686EC7" w:rsidP="00686EC7">
      <w:pPr>
        <w:pStyle w:val="AnnexNo"/>
        <w:spacing w:before="0"/>
        <w:outlineLvl w:val="0"/>
        <w:rPr>
          <w:rFonts w:cs="Calibri"/>
          <w:caps w:val="0"/>
          <w:lang w:eastAsia="zh-CN"/>
        </w:rPr>
      </w:pPr>
      <w:bookmarkStart w:id="1211" w:name="_Toc482894275"/>
      <w:bookmarkStart w:id="1212" w:name="_Toc41908090"/>
      <w:bookmarkStart w:id="1213" w:name="_Toc73519307"/>
      <w:bookmarkStart w:id="1214" w:name="_Toc73636345"/>
      <w:r w:rsidRPr="000C156A">
        <w:rPr>
          <w:rFonts w:hint="eastAsia"/>
          <w:lang w:eastAsia="zh-CN"/>
        </w:rPr>
        <w:lastRenderedPageBreak/>
        <w:t>附件</w:t>
      </w:r>
      <w:bookmarkEnd w:id="1211"/>
      <w:r w:rsidRPr="000C156A">
        <w:rPr>
          <w:caps w:val="0"/>
          <w:lang w:eastAsia="zh-CN"/>
        </w:rPr>
        <w:t>B5</w:t>
      </w:r>
      <w:bookmarkEnd w:id="1212"/>
      <w:bookmarkEnd w:id="1213"/>
      <w:bookmarkEnd w:id="1214"/>
    </w:p>
    <w:p w14:paraId="51EC3964" w14:textId="77777777" w:rsidR="00686EC7" w:rsidRPr="000C156A" w:rsidRDefault="00686EC7" w:rsidP="00236F8C">
      <w:pPr>
        <w:pStyle w:val="Annextitle"/>
        <w:rPr>
          <w:rFonts w:cs="Calibri"/>
          <w:caps/>
          <w:szCs w:val="18"/>
          <w:lang w:eastAsia="zh-CN"/>
        </w:rPr>
      </w:pPr>
      <w:bookmarkStart w:id="1215" w:name="_Toc482894800"/>
      <w:bookmarkStart w:id="1216" w:name="_Toc482892591"/>
      <w:r w:rsidRPr="000C156A">
        <w:rPr>
          <w:rFonts w:ascii="Times New Roman Bold" w:hAnsi="Times New Roman Bold" w:hint="eastAsia"/>
          <w:szCs w:val="18"/>
          <w:lang w:eastAsia="zh-CN"/>
        </w:rPr>
        <w:t>自愿捐款</w:t>
      </w:r>
      <w:r w:rsidRPr="000C156A">
        <w:rPr>
          <w:rFonts w:ascii="Times New Roman Bold" w:hAnsi="Times New Roman Bold"/>
          <w:szCs w:val="18"/>
          <w:lang w:eastAsia="zh-CN"/>
        </w:rPr>
        <w:t xml:space="preserve"> – </w:t>
      </w:r>
      <w:r w:rsidRPr="000C156A">
        <w:rPr>
          <w:rFonts w:ascii="Times New Roman Bold" w:hAnsi="Times New Roman Bold" w:hint="eastAsia"/>
          <w:szCs w:val="18"/>
          <w:lang w:eastAsia="zh-CN"/>
        </w:rPr>
        <w:t>瑞郎</w:t>
      </w:r>
      <w:r w:rsidRPr="000C156A">
        <w:rPr>
          <w:rFonts w:ascii="Times New Roman Bold" w:hAnsi="Times New Roman Bold"/>
          <w:szCs w:val="18"/>
          <w:lang w:eastAsia="zh-CN"/>
        </w:rPr>
        <w:t xml:space="preserve"> – </w:t>
      </w:r>
      <w:r w:rsidRPr="000C156A">
        <w:rPr>
          <w:rFonts w:ascii="Times New Roman Bold" w:hAnsi="Times New Roman Bold" w:hint="eastAsia"/>
          <w:szCs w:val="18"/>
          <w:lang w:eastAsia="zh-CN"/>
        </w:rPr>
        <w:t>见说明</w:t>
      </w:r>
      <w:r w:rsidRPr="000C156A">
        <w:rPr>
          <w:rFonts w:cs="Calibri"/>
          <w:caps/>
          <w:szCs w:val="18"/>
          <w:lang w:eastAsia="zh-CN"/>
        </w:rPr>
        <w:t>20</w:t>
      </w:r>
      <w:bookmarkEnd w:id="1215"/>
      <w:bookmarkEnd w:id="1216"/>
    </w:p>
    <w:p w14:paraId="6E629428" w14:textId="751FEED8" w:rsidR="00686EC7" w:rsidRPr="000C156A" w:rsidRDefault="00A100EC" w:rsidP="00686EC7">
      <w:pPr>
        <w:keepNext/>
        <w:keepLines/>
        <w:jc w:val="center"/>
        <w:rPr>
          <w:rFonts w:cs="Calibri"/>
          <w:caps/>
          <w:szCs w:val="18"/>
          <w:lang w:eastAsia="zh-CN"/>
        </w:rPr>
      </w:pPr>
      <w:r w:rsidRPr="00A100EC">
        <w:drawing>
          <wp:inline distT="0" distB="0" distL="0" distR="0" wp14:anchorId="61B56D23" wp14:editId="7BFC40EF">
            <wp:extent cx="9779000" cy="22924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779000" cy="2292455"/>
                    </a:xfrm>
                    <a:prstGeom prst="rect">
                      <a:avLst/>
                    </a:prstGeom>
                    <a:noFill/>
                    <a:ln>
                      <a:noFill/>
                    </a:ln>
                  </pic:spPr>
                </pic:pic>
              </a:graphicData>
            </a:graphic>
          </wp:inline>
        </w:drawing>
      </w:r>
    </w:p>
    <w:p w14:paraId="56DAB2C6" w14:textId="49A9FC97" w:rsidR="00686EC7" w:rsidRPr="000C156A" w:rsidRDefault="00A100EC" w:rsidP="00686EC7">
      <w:pPr>
        <w:overflowPunct/>
        <w:autoSpaceDE/>
        <w:autoSpaceDN/>
        <w:adjustRightInd/>
        <w:spacing w:before="0"/>
        <w:jc w:val="center"/>
        <w:textAlignment w:val="auto"/>
        <w:rPr>
          <w:lang w:eastAsia="zh-CN"/>
        </w:rPr>
      </w:pPr>
      <w:r w:rsidRPr="00A100EC">
        <w:drawing>
          <wp:inline distT="0" distB="0" distL="0" distR="0" wp14:anchorId="285988A7" wp14:editId="219494D7">
            <wp:extent cx="9779000" cy="2298247"/>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779000" cy="2298247"/>
                    </a:xfrm>
                    <a:prstGeom prst="rect">
                      <a:avLst/>
                    </a:prstGeom>
                    <a:noFill/>
                    <a:ln>
                      <a:noFill/>
                    </a:ln>
                  </pic:spPr>
                </pic:pic>
              </a:graphicData>
            </a:graphic>
          </wp:inline>
        </w:drawing>
      </w:r>
    </w:p>
    <w:p w14:paraId="1F0933AB" w14:textId="77777777" w:rsidR="00686EC7" w:rsidRPr="000C156A" w:rsidRDefault="00686EC7" w:rsidP="00686EC7">
      <w:pPr>
        <w:overflowPunct/>
        <w:autoSpaceDE/>
        <w:autoSpaceDN/>
        <w:adjustRightInd/>
        <w:spacing w:before="0"/>
        <w:textAlignment w:val="auto"/>
        <w:rPr>
          <w:lang w:eastAsia="zh-CN"/>
        </w:rPr>
      </w:pPr>
      <w:r w:rsidRPr="000C156A">
        <w:rPr>
          <w:lang w:eastAsia="zh-CN"/>
        </w:rPr>
        <w:br w:type="page"/>
      </w:r>
    </w:p>
    <w:p w14:paraId="18E1E447" w14:textId="77777777" w:rsidR="00236F8C" w:rsidRPr="000C156A" w:rsidRDefault="00236F8C" w:rsidP="00236F8C">
      <w:pPr>
        <w:pStyle w:val="Annextitle"/>
        <w:keepNext/>
        <w:rPr>
          <w:rFonts w:ascii="Times New Roman Bold" w:hAnsi="Times New Roman Bold"/>
          <w:szCs w:val="24"/>
          <w:lang w:val="ru-RU" w:eastAsia="zh-CN"/>
        </w:rPr>
      </w:pPr>
      <w:r w:rsidRPr="000C156A">
        <w:rPr>
          <w:rFonts w:ascii="Times New Roman Bold" w:hAnsi="Times New Roman Bold" w:hint="eastAsia"/>
          <w:szCs w:val="24"/>
          <w:lang w:val="ru-RU" w:eastAsia="zh-CN"/>
        </w:rPr>
        <w:lastRenderedPageBreak/>
        <w:t>自愿捐款（</w:t>
      </w:r>
      <w:r w:rsidRPr="000C156A">
        <w:rPr>
          <w:rFonts w:ascii="Times New Roman Bold" w:eastAsia="STKaiti" w:hAnsi="Times New Roman Bold" w:hint="eastAsia"/>
          <w:szCs w:val="24"/>
          <w:lang w:val="ru-RU" w:eastAsia="zh-CN"/>
        </w:rPr>
        <w:t>续</w:t>
      </w:r>
      <w:r w:rsidRPr="000C156A">
        <w:rPr>
          <w:rFonts w:ascii="Times New Roman Bold" w:hAnsi="Times New Roman Bold" w:hint="eastAsia"/>
          <w:szCs w:val="24"/>
          <w:lang w:val="ru-RU" w:eastAsia="zh-CN"/>
        </w:rPr>
        <w:t>）</w:t>
      </w:r>
    </w:p>
    <w:p w14:paraId="3F0FE384" w14:textId="78F8358C" w:rsidR="00686EC7" w:rsidRPr="000C156A" w:rsidRDefault="00A100EC" w:rsidP="00236F8C">
      <w:pPr>
        <w:tabs>
          <w:tab w:val="left" w:pos="720"/>
        </w:tabs>
        <w:overflowPunct/>
        <w:adjustRightInd/>
        <w:spacing w:before="0"/>
        <w:jc w:val="center"/>
        <w:rPr>
          <w:rFonts w:ascii="Times New Roman Bold" w:hAnsi="Times New Roman Bold"/>
          <w:b/>
          <w:szCs w:val="18"/>
          <w:lang w:eastAsia="zh-CN"/>
        </w:rPr>
      </w:pPr>
      <w:r w:rsidRPr="00A100EC">
        <w:drawing>
          <wp:inline distT="0" distB="0" distL="0" distR="0" wp14:anchorId="268AAFA2" wp14:editId="2C3108D9">
            <wp:extent cx="9779000" cy="525937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779000" cy="5259378"/>
                    </a:xfrm>
                    <a:prstGeom prst="rect">
                      <a:avLst/>
                    </a:prstGeom>
                    <a:noFill/>
                    <a:ln>
                      <a:noFill/>
                    </a:ln>
                  </pic:spPr>
                </pic:pic>
              </a:graphicData>
            </a:graphic>
          </wp:inline>
        </w:drawing>
      </w:r>
    </w:p>
    <w:p w14:paraId="5F9801DD" w14:textId="77777777" w:rsidR="00686EC7" w:rsidRPr="000C156A" w:rsidRDefault="00686EC7" w:rsidP="00236F8C">
      <w:pPr>
        <w:pStyle w:val="Annextitle"/>
        <w:keepNext/>
        <w:rPr>
          <w:rFonts w:ascii="Times New Roman Bold" w:hAnsi="Times New Roman Bold"/>
          <w:szCs w:val="24"/>
          <w:lang w:val="ru-RU" w:eastAsia="zh-CN"/>
        </w:rPr>
      </w:pPr>
      <w:r w:rsidRPr="000C156A">
        <w:rPr>
          <w:rFonts w:ascii="Times New Roman Bold" w:hAnsi="Times New Roman Bold" w:hint="eastAsia"/>
          <w:szCs w:val="24"/>
          <w:lang w:val="ru-RU" w:eastAsia="zh-CN"/>
        </w:rPr>
        <w:lastRenderedPageBreak/>
        <w:t>自愿捐款（</w:t>
      </w:r>
      <w:r w:rsidRPr="000C156A">
        <w:rPr>
          <w:rFonts w:ascii="Times New Roman Bold" w:eastAsia="STKaiti" w:hAnsi="Times New Roman Bold" w:hint="eastAsia"/>
          <w:szCs w:val="24"/>
          <w:lang w:val="ru-RU" w:eastAsia="zh-CN"/>
        </w:rPr>
        <w:t>续</w:t>
      </w:r>
      <w:r w:rsidRPr="000C156A">
        <w:rPr>
          <w:rFonts w:ascii="Times New Roman Bold" w:hAnsi="Times New Roman Bold" w:hint="eastAsia"/>
          <w:szCs w:val="24"/>
          <w:lang w:val="ru-RU" w:eastAsia="zh-CN"/>
        </w:rPr>
        <w:t>）</w:t>
      </w:r>
    </w:p>
    <w:p w14:paraId="658C5CFD" w14:textId="03B0D5E5" w:rsidR="00686EC7" w:rsidRPr="000C156A" w:rsidRDefault="00A100EC" w:rsidP="00686EC7">
      <w:pPr>
        <w:overflowPunct/>
        <w:adjustRightInd/>
        <w:spacing w:before="0"/>
        <w:rPr>
          <w:lang w:eastAsia="zh-CN"/>
        </w:rPr>
      </w:pPr>
      <w:r w:rsidRPr="00A100EC">
        <w:drawing>
          <wp:inline distT="0" distB="0" distL="0" distR="0" wp14:anchorId="4B61ED8B" wp14:editId="79B1CB1C">
            <wp:extent cx="9779000" cy="3707206"/>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779000" cy="3707206"/>
                    </a:xfrm>
                    <a:prstGeom prst="rect">
                      <a:avLst/>
                    </a:prstGeom>
                    <a:noFill/>
                    <a:ln>
                      <a:noFill/>
                    </a:ln>
                  </pic:spPr>
                </pic:pic>
              </a:graphicData>
            </a:graphic>
          </wp:inline>
        </w:drawing>
      </w:r>
    </w:p>
    <w:p w14:paraId="54D850B7" w14:textId="77777777" w:rsidR="00686EC7" w:rsidRPr="000C156A" w:rsidRDefault="00686EC7" w:rsidP="00686EC7">
      <w:pPr>
        <w:overflowPunct/>
        <w:autoSpaceDE/>
        <w:autoSpaceDN/>
        <w:adjustRightInd/>
        <w:spacing w:before="0"/>
        <w:textAlignment w:val="auto"/>
        <w:rPr>
          <w:lang w:eastAsia="zh-CN"/>
        </w:rPr>
      </w:pPr>
      <w:r w:rsidRPr="000C156A">
        <w:rPr>
          <w:lang w:eastAsia="zh-CN"/>
        </w:rPr>
        <w:br w:type="page"/>
      </w:r>
    </w:p>
    <w:p w14:paraId="099D7186" w14:textId="77777777" w:rsidR="00686EC7" w:rsidRPr="000C156A" w:rsidRDefault="00686EC7" w:rsidP="00236F8C">
      <w:pPr>
        <w:pStyle w:val="Annextitle"/>
        <w:rPr>
          <w:lang w:eastAsia="zh-CN"/>
        </w:rPr>
      </w:pPr>
      <w:r w:rsidRPr="000C156A">
        <w:rPr>
          <w:rFonts w:ascii="Times New Roman Bold" w:hAnsi="Times New Roman Bold" w:hint="eastAsia"/>
          <w:szCs w:val="18"/>
          <w:lang w:eastAsia="zh-CN"/>
        </w:rPr>
        <w:lastRenderedPageBreak/>
        <w:t>自愿捐款（</w:t>
      </w:r>
      <w:r w:rsidRPr="000C156A">
        <w:rPr>
          <w:rFonts w:ascii="STKaiti" w:eastAsia="STKaiti" w:hAnsi="STKaiti" w:hint="eastAsia"/>
          <w:szCs w:val="18"/>
          <w:lang w:eastAsia="zh-CN"/>
        </w:rPr>
        <w:t>续</w:t>
      </w:r>
      <w:r w:rsidRPr="000C156A">
        <w:rPr>
          <w:rFonts w:ascii="Times New Roman Bold" w:hAnsi="Times New Roman Bold" w:hint="eastAsia"/>
          <w:szCs w:val="18"/>
          <w:lang w:eastAsia="zh-CN"/>
        </w:rPr>
        <w:t>）</w:t>
      </w:r>
    </w:p>
    <w:p w14:paraId="7818CA83" w14:textId="73452D82" w:rsidR="00686EC7" w:rsidRPr="000C156A" w:rsidRDefault="00A100EC" w:rsidP="00686EC7">
      <w:r w:rsidRPr="00A100EC">
        <w:drawing>
          <wp:inline distT="0" distB="0" distL="0" distR="0" wp14:anchorId="459253EA" wp14:editId="1BC0FC87">
            <wp:extent cx="9779000" cy="4107359"/>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779000" cy="4107359"/>
                    </a:xfrm>
                    <a:prstGeom prst="rect">
                      <a:avLst/>
                    </a:prstGeom>
                    <a:noFill/>
                    <a:ln>
                      <a:noFill/>
                    </a:ln>
                  </pic:spPr>
                </pic:pic>
              </a:graphicData>
            </a:graphic>
          </wp:inline>
        </w:drawing>
      </w:r>
    </w:p>
    <w:p w14:paraId="6A1E0391" w14:textId="77777777" w:rsidR="00686EC7" w:rsidRPr="000C156A" w:rsidRDefault="00686EC7" w:rsidP="00686EC7">
      <w:pPr>
        <w:tabs>
          <w:tab w:val="left" w:pos="720"/>
        </w:tabs>
        <w:overflowPunct/>
        <w:adjustRightInd/>
        <w:spacing w:before="0"/>
        <w:jc w:val="center"/>
        <w:rPr>
          <w:rFonts w:ascii="Times New Roman Bold" w:hAnsi="Times New Roman Bold"/>
          <w:b/>
          <w:szCs w:val="18"/>
          <w:lang w:eastAsia="zh-CN"/>
        </w:rPr>
      </w:pPr>
      <w:r w:rsidRPr="000C156A">
        <w:rPr>
          <w:rFonts w:ascii="Times New Roman Bold" w:hAnsi="Times New Roman Bold"/>
          <w:b/>
          <w:szCs w:val="18"/>
          <w:lang w:eastAsia="zh-CN"/>
        </w:rPr>
        <w:br w:type="page"/>
      </w:r>
    </w:p>
    <w:p w14:paraId="1C7BB4CF" w14:textId="77777777" w:rsidR="00686EC7" w:rsidRPr="000C156A" w:rsidRDefault="00686EC7" w:rsidP="00686EC7">
      <w:pPr>
        <w:tabs>
          <w:tab w:val="left" w:pos="720"/>
        </w:tabs>
        <w:overflowPunct/>
        <w:adjustRightInd/>
        <w:spacing w:before="0" w:after="240"/>
        <w:jc w:val="center"/>
        <w:rPr>
          <w:rFonts w:ascii="Times New Roman Bold" w:hAnsi="Times New Roman Bold"/>
          <w:b/>
          <w:szCs w:val="18"/>
          <w:lang w:eastAsia="zh-CN"/>
        </w:rPr>
      </w:pPr>
      <w:r w:rsidRPr="000C156A">
        <w:rPr>
          <w:rFonts w:ascii="Times New Roman Bold" w:hAnsi="Times New Roman Bold" w:hint="eastAsia"/>
          <w:b/>
          <w:szCs w:val="18"/>
          <w:lang w:eastAsia="zh-CN"/>
        </w:rPr>
        <w:lastRenderedPageBreak/>
        <w:t>自愿捐款（</w:t>
      </w:r>
      <w:r w:rsidRPr="000C156A">
        <w:rPr>
          <w:rFonts w:ascii="STKaiti" w:eastAsia="STKaiti" w:hAnsi="STKaiti" w:hint="eastAsia"/>
          <w:b/>
          <w:szCs w:val="18"/>
          <w:lang w:val="fr-CH" w:eastAsia="zh-CN"/>
        </w:rPr>
        <w:t>完</w:t>
      </w:r>
      <w:r w:rsidRPr="000C156A">
        <w:rPr>
          <w:rFonts w:ascii="Times New Roman Bold" w:hAnsi="Times New Roman Bold" w:hint="eastAsia"/>
          <w:b/>
          <w:szCs w:val="18"/>
          <w:lang w:eastAsia="zh-CN"/>
        </w:rPr>
        <w:t>）</w:t>
      </w:r>
    </w:p>
    <w:p w14:paraId="50D42896" w14:textId="583A8879" w:rsidR="00686EC7" w:rsidRPr="000C156A" w:rsidRDefault="004C5779" w:rsidP="00686EC7">
      <w:pPr>
        <w:overflowPunct/>
        <w:adjustRightInd/>
        <w:spacing w:before="0"/>
        <w:rPr>
          <w:lang w:eastAsia="zh-CN"/>
        </w:rPr>
      </w:pPr>
      <w:r w:rsidRPr="004C5779">
        <w:drawing>
          <wp:inline distT="0" distB="0" distL="0" distR="0" wp14:anchorId="5AAED5F5" wp14:editId="0B5F8B59">
            <wp:extent cx="9779000" cy="2513592"/>
            <wp:effectExtent l="0" t="0" r="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779000" cy="2513592"/>
                    </a:xfrm>
                    <a:prstGeom prst="rect">
                      <a:avLst/>
                    </a:prstGeom>
                    <a:noFill/>
                    <a:ln>
                      <a:noFill/>
                    </a:ln>
                  </pic:spPr>
                </pic:pic>
              </a:graphicData>
            </a:graphic>
          </wp:inline>
        </w:drawing>
      </w:r>
    </w:p>
    <w:p w14:paraId="7625F5F4" w14:textId="77777777" w:rsidR="00686EC7" w:rsidRPr="000C156A" w:rsidRDefault="00686EC7" w:rsidP="00686EC7">
      <w:pPr>
        <w:overflowPunct/>
        <w:adjustRightInd/>
        <w:spacing w:before="0"/>
        <w:rPr>
          <w:lang w:eastAsia="zh-CN"/>
        </w:rPr>
        <w:sectPr w:rsidR="00686EC7" w:rsidRPr="000C156A" w:rsidSect="00141BAA">
          <w:pgSz w:w="16834" w:h="11907" w:orient="landscape"/>
          <w:pgMar w:top="720" w:right="714" w:bottom="726" w:left="720" w:header="567" w:footer="567" w:gutter="0"/>
          <w:paperSrc w:first="15" w:other="15"/>
          <w:cols w:space="720"/>
        </w:sectPr>
      </w:pPr>
    </w:p>
    <w:p w14:paraId="29598E53" w14:textId="77777777" w:rsidR="00686EC7" w:rsidRPr="000C156A" w:rsidRDefault="00686EC7" w:rsidP="0066795A">
      <w:pPr>
        <w:pStyle w:val="AnnexNo"/>
        <w:spacing w:before="0"/>
        <w:rPr>
          <w:caps w:val="0"/>
          <w:lang w:eastAsia="zh-CN"/>
        </w:rPr>
      </w:pPr>
      <w:bookmarkStart w:id="1217" w:name="_Toc482894276"/>
      <w:bookmarkStart w:id="1218" w:name="_Toc358364842"/>
      <w:bookmarkStart w:id="1219" w:name="_Toc41908091"/>
      <w:bookmarkStart w:id="1220" w:name="_Toc73519308"/>
      <w:r w:rsidRPr="000C156A">
        <w:rPr>
          <w:rFonts w:hint="eastAsia"/>
          <w:caps w:val="0"/>
          <w:lang w:eastAsia="zh-CN"/>
        </w:rPr>
        <w:lastRenderedPageBreak/>
        <w:t>附件</w:t>
      </w:r>
      <w:bookmarkEnd w:id="1217"/>
      <w:bookmarkEnd w:id="1218"/>
      <w:r w:rsidRPr="000C156A">
        <w:rPr>
          <w:caps w:val="0"/>
          <w:lang w:eastAsia="zh-CN"/>
        </w:rPr>
        <w:t>B</w:t>
      </w:r>
      <w:r w:rsidRPr="000C156A">
        <w:rPr>
          <w:rFonts w:hint="eastAsia"/>
          <w:caps w:val="0"/>
          <w:lang w:eastAsia="zh-CN"/>
        </w:rPr>
        <w:t>6</w:t>
      </w:r>
      <w:bookmarkEnd w:id="1219"/>
      <w:bookmarkEnd w:id="1220"/>
    </w:p>
    <w:p w14:paraId="6BB5C337" w14:textId="77777777" w:rsidR="00686EC7" w:rsidRPr="000C156A" w:rsidRDefault="00686EC7" w:rsidP="00236F8C">
      <w:pPr>
        <w:pStyle w:val="Annextitle"/>
        <w:rPr>
          <w:lang w:eastAsia="zh-CN"/>
        </w:rPr>
      </w:pPr>
      <w:r w:rsidRPr="000C156A">
        <w:rPr>
          <w:rFonts w:cs="Microsoft YaHei" w:hint="eastAsia"/>
          <w:lang w:val="fr-CH" w:eastAsia="zh-CN"/>
        </w:rPr>
        <w:t>信息通信技术发展基金</w:t>
      </w:r>
      <w:r w:rsidRPr="000C156A">
        <w:rPr>
          <w:rFonts w:cs="Microsoft YaHei" w:hint="eastAsia"/>
          <w:lang w:eastAsia="zh-CN"/>
        </w:rPr>
        <w:t>（</w:t>
      </w:r>
      <w:r w:rsidRPr="000C156A">
        <w:rPr>
          <w:lang w:eastAsia="zh-CN"/>
        </w:rPr>
        <w:t>ICTDF</w:t>
      </w:r>
      <w:r w:rsidRPr="000C156A">
        <w:rPr>
          <w:rFonts w:cs="Microsoft YaHei" w:hint="eastAsia"/>
          <w:lang w:eastAsia="zh-CN"/>
        </w:rPr>
        <w:t>）</w:t>
      </w:r>
      <w:r w:rsidRPr="000C156A">
        <w:rPr>
          <w:lang w:eastAsia="zh-CN"/>
        </w:rPr>
        <w:t xml:space="preserve"> – </w:t>
      </w:r>
      <w:r w:rsidRPr="000C156A">
        <w:rPr>
          <w:rFonts w:cs="Microsoft YaHei" w:hint="eastAsia"/>
          <w:lang w:val="fr-CH" w:eastAsia="zh-CN"/>
        </w:rPr>
        <w:t>瑞郎</w:t>
      </w:r>
      <w:r w:rsidRPr="000C156A">
        <w:rPr>
          <w:lang w:eastAsia="zh-CN"/>
        </w:rPr>
        <w:t xml:space="preserve"> – </w:t>
      </w:r>
      <w:r w:rsidRPr="000C156A">
        <w:rPr>
          <w:rFonts w:cs="Microsoft YaHei" w:hint="eastAsia"/>
          <w:lang w:val="fr-CH" w:eastAsia="zh-CN"/>
        </w:rPr>
        <w:t>见说明</w:t>
      </w:r>
      <w:r w:rsidRPr="000C156A">
        <w:rPr>
          <w:lang w:eastAsia="zh-CN"/>
        </w:rPr>
        <w:t>20</w:t>
      </w:r>
    </w:p>
    <w:p w14:paraId="370F169B" w14:textId="77777777" w:rsidR="00686EC7" w:rsidRPr="000C156A" w:rsidRDefault="00686EC7" w:rsidP="00686EC7">
      <w:pPr>
        <w:keepNext/>
        <w:keepLines/>
        <w:spacing w:before="0" w:after="120"/>
        <w:jc w:val="center"/>
        <w:textAlignment w:val="auto"/>
        <w:rPr>
          <w:b/>
          <w:lang w:eastAsia="zh-CN"/>
        </w:rPr>
      </w:pPr>
      <w:r w:rsidRPr="000C156A">
        <w:rPr>
          <w:b/>
          <w:lang w:eastAsia="zh-CN"/>
        </w:rPr>
        <w:t>ICT</w:t>
      </w:r>
      <w:r w:rsidRPr="000C156A">
        <w:rPr>
          <w:rFonts w:hint="eastAsia"/>
          <w:b/>
          <w:lang w:eastAsia="zh-CN"/>
        </w:rPr>
        <w:t>资本基金的变更</w:t>
      </w:r>
    </w:p>
    <w:p w14:paraId="58E31B70" w14:textId="77777777" w:rsidR="00686EC7" w:rsidRPr="000C156A" w:rsidRDefault="00686EC7" w:rsidP="00686EC7">
      <w:pPr>
        <w:rPr>
          <w:lang w:eastAsia="zh-CN"/>
        </w:rPr>
      </w:pPr>
    </w:p>
    <w:tbl>
      <w:tblPr>
        <w:tblW w:w="4461" w:type="pct"/>
        <w:jc w:val="center"/>
        <w:tblLook w:val="04A0" w:firstRow="1" w:lastRow="0" w:firstColumn="1" w:lastColumn="0" w:noHBand="0" w:noVBand="1"/>
      </w:tblPr>
      <w:tblGrid>
        <w:gridCol w:w="4820"/>
        <w:gridCol w:w="1480"/>
        <w:gridCol w:w="4700"/>
        <w:gridCol w:w="1480"/>
      </w:tblGrid>
      <w:tr w:rsidR="00686EC7" w:rsidRPr="000C156A" w14:paraId="76441294" w14:textId="77777777" w:rsidTr="00141BAA">
        <w:trPr>
          <w:trHeight w:val="288"/>
          <w:jc w:val="center"/>
        </w:trPr>
        <w:tc>
          <w:tcPr>
            <w:tcW w:w="48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BA07D71" w14:textId="77777777" w:rsidR="00686EC7" w:rsidRPr="000C156A" w:rsidRDefault="00686EC7" w:rsidP="00141BAA">
            <w:pPr>
              <w:overflowPunct/>
              <w:autoSpaceDE/>
              <w:autoSpaceDN/>
              <w:adjustRightInd/>
              <w:spacing w:before="0"/>
              <w:jc w:val="center"/>
              <w:textAlignment w:val="auto"/>
              <w:rPr>
                <w:rFonts w:cs="Calibri"/>
                <w:b/>
                <w:bCs/>
                <w:color w:val="000000"/>
                <w:sz w:val="22"/>
                <w:szCs w:val="22"/>
                <w:lang w:eastAsia="zh-CN"/>
              </w:rPr>
            </w:pPr>
            <w:r w:rsidRPr="000C156A">
              <w:rPr>
                <w:rFonts w:hint="eastAsia"/>
                <w:b/>
                <w:bCs/>
                <w:color w:val="000000"/>
                <w:sz w:val="22"/>
                <w:szCs w:val="22"/>
                <w:lang w:val="en-US" w:eastAsia="zh-CN"/>
              </w:rPr>
              <w:t>减少</w:t>
            </w:r>
          </w:p>
        </w:tc>
        <w:tc>
          <w:tcPr>
            <w:tcW w:w="1480" w:type="dxa"/>
            <w:tcBorders>
              <w:top w:val="single" w:sz="4" w:space="0" w:color="auto"/>
              <w:left w:val="nil"/>
              <w:bottom w:val="single" w:sz="4" w:space="0" w:color="auto"/>
              <w:right w:val="single" w:sz="4" w:space="0" w:color="auto"/>
            </w:tcBorders>
            <w:shd w:val="clear" w:color="000000" w:fill="F2F2F2"/>
            <w:noWrap/>
            <w:vAlign w:val="bottom"/>
            <w:hideMark/>
          </w:tcPr>
          <w:p w14:paraId="76F92526" w14:textId="77777777" w:rsidR="00686EC7" w:rsidRPr="000C156A" w:rsidRDefault="00686EC7" w:rsidP="00141BAA">
            <w:pPr>
              <w:overflowPunct/>
              <w:autoSpaceDE/>
              <w:autoSpaceDN/>
              <w:adjustRightInd/>
              <w:spacing w:before="0"/>
              <w:jc w:val="center"/>
              <w:textAlignment w:val="auto"/>
              <w:rPr>
                <w:rFonts w:cs="Calibri"/>
                <w:b/>
                <w:bCs/>
                <w:color w:val="000000"/>
                <w:sz w:val="22"/>
                <w:szCs w:val="22"/>
                <w:lang w:eastAsia="zh-CN"/>
              </w:rPr>
            </w:pPr>
            <w:r w:rsidRPr="000C156A">
              <w:rPr>
                <w:rFonts w:cs="Calibri"/>
                <w:b/>
                <w:bCs/>
                <w:color w:val="000000"/>
                <w:sz w:val="22"/>
                <w:szCs w:val="22"/>
                <w:lang w:eastAsia="zh-CN"/>
              </w:rPr>
              <w:t>20</w:t>
            </w:r>
            <w:r w:rsidRPr="000C156A">
              <w:rPr>
                <w:rFonts w:cs="Calibri" w:hint="eastAsia"/>
                <w:b/>
                <w:bCs/>
                <w:color w:val="000000"/>
                <w:sz w:val="22"/>
                <w:szCs w:val="22"/>
                <w:lang w:eastAsia="zh-CN"/>
              </w:rPr>
              <w:t>19</w:t>
            </w:r>
            <w:r w:rsidRPr="000C156A">
              <w:rPr>
                <w:rFonts w:cs="Calibri"/>
                <w:b/>
                <w:bCs/>
                <w:color w:val="000000"/>
                <w:sz w:val="22"/>
                <w:szCs w:val="22"/>
                <w:lang w:val="en-US" w:eastAsia="zh-CN"/>
              </w:rPr>
              <w:t>年</w:t>
            </w:r>
          </w:p>
        </w:tc>
        <w:tc>
          <w:tcPr>
            <w:tcW w:w="4700" w:type="dxa"/>
            <w:tcBorders>
              <w:top w:val="single" w:sz="4" w:space="0" w:color="auto"/>
              <w:left w:val="nil"/>
              <w:bottom w:val="single" w:sz="4" w:space="0" w:color="auto"/>
              <w:right w:val="single" w:sz="4" w:space="0" w:color="auto"/>
            </w:tcBorders>
            <w:shd w:val="clear" w:color="000000" w:fill="F2F2F2"/>
            <w:noWrap/>
            <w:vAlign w:val="bottom"/>
            <w:hideMark/>
          </w:tcPr>
          <w:p w14:paraId="4F131F7C" w14:textId="77777777" w:rsidR="00686EC7" w:rsidRPr="000C156A" w:rsidRDefault="00686EC7" w:rsidP="00141BAA">
            <w:pPr>
              <w:overflowPunct/>
              <w:autoSpaceDE/>
              <w:autoSpaceDN/>
              <w:adjustRightInd/>
              <w:spacing w:before="0"/>
              <w:jc w:val="center"/>
              <w:textAlignment w:val="auto"/>
              <w:rPr>
                <w:rFonts w:cs="Calibri"/>
                <w:b/>
                <w:bCs/>
                <w:color w:val="000000"/>
                <w:sz w:val="22"/>
                <w:szCs w:val="22"/>
                <w:lang w:eastAsia="zh-CN"/>
              </w:rPr>
            </w:pPr>
            <w:r w:rsidRPr="000C156A">
              <w:rPr>
                <w:rFonts w:cs="Calibri"/>
                <w:b/>
                <w:bCs/>
                <w:color w:val="000000"/>
                <w:sz w:val="22"/>
                <w:szCs w:val="22"/>
                <w:lang w:val="en-US" w:eastAsia="zh-CN"/>
              </w:rPr>
              <w:t>增加</w:t>
            </w:r>
          </w:p>
        </w:tc>
        <w:tc>
          <w:tcPr>
            <w:tcW w:w="1480" w:type="dxa"/>
            <w:tcBorders>
              <w:top w:val="single" w:sz="4" w:space="0" w:color="auto"/>
              <w:left w:val="nil"/>
              <w:bottom w:val="single" w:sz="4" w:space="0" w:color="auto"/>
              <w:right w:val="single" w:sz="4" w:space="0" w:color="auto"/>
            </w:tcBorders>
            <w:shd w:val="clear" w:color="000000" w:fill="F2F2F2"/>
            <w:noWrap/>
            <w:vAlign w:val="bottom"/>
            <w:hideMark/>
          </w:tcPr>
          <w:p w14:paraId="2BABBB7A" w14:textId="77777777" w:rsidR="00686EC7" w:rsidRPr="000C156A" w:rsidRDefault="00686EC7" w:rsidP="00141BAA">
            <w:pPr>
              <w:overflowPunct/>
              <w:autoSpaceDE/>
              <w:autoSpaceDN/>
              <w:adjustRightInd/>
              <w:spacing w:before="0"/>
              <w:jc w:val="center"/>
              <w:textAlignment w:val="auto"/>
              <w:rPr>
                <w:rFonts w:cs="Calibri"/>
                <w:b/>
                <w:bCs/>
                <w:color w:val="000000"/>
                <w:sz w:val="22"/>
                <w:szCs w:val="22"/>
                <w:lang w:eastAsia="zh-CN"/>
              </w:rPr>
            </w:pPr>
            <w:r w:rsidRPr="000C156A">
              <w:rPr>
                <w:rFonts w:cs="Calibri"/>
                <w:b/>
                <w:bCs/>
                <w:color w:val="000000"/>
                <w:sz w:val="22"/>
                <w:szCs w:val="22"/>
                <w:lang w:eastAsia="zh-CN"/>
              </w:rPr>
              <w:t>20</w:t>
            </w:r>
            <w:r w:rsidRPr="000C156A">
              <w:rPr>
                <w:rFonts w:cs="Calibri" w:hint="eastAsia"/>
                <w:b/>
                <w:bCs/>
                <w:color w:val="000000"/>
                <w:sz w:val="22"/>
                <w:szCs w:val="22"/>
                <w:lang w:eastAsia="zh-CN"/>
              </w:rPr>
              <w:t>19</w:t>
            </w:r>
            <w:r w:rsidRPr="000C156A">
              <w:rPr>
                <w:rFonts w:cs="Calibri"/>
                <w:b/>
                <w:bCs/>
                <w:color w:val="000000"/>
                <w:sz w:val="22"/>
                <w:szCs w:val="22"/>
                <w:lang w:val="en-US" w:eastAsia="zh-CN"/>
              </w:rPr>
              <w:t>年</w:t>
            </w:r>
          </w:p>
        </w:tc>
      </w:tr>
      <w:tr w:rsidR="00686EC7" w:rsidRPr="000C156A" w14:paraId="4CBB3B63" w14:textId="77777777" w:rsidTr="00141BAA">
        <w:trPr>
          <w:trHeight w:val="288"/>
          <w:jc w:val="center"/>
        </w:trPr>
        <w:tc>
          <w:tcPr>
            <w:tcW w:w="4820" w:type="dxa"/>
            <w:tcBorders>
              <w:top w:val="nil"/>
              <w:left w:val="single" w:sz="4" w:space="0" w:color="auto"/>
              <w:bottom w:val="nil"/>
              <w:right w:val="single" w:sz="4" w:space="0" w:color="auto"/>
            </w:tcBorders>
            <w:shd w:val="clear" w:color="auto" w:fill="auto"/>
            <w:noWrap/>
            <w:vAlign w:val="bottom"/>
            <w:hideMark/>
          </w:tcPr>
          <w:p w14:paraId="2C89C11C"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14:paraId="3BC22710"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4700" w:type="dxa"/>
            <w:tcBorders>
              <w:top w:val="nil"/>
              <w:left w:val="nil"/>
              <w:bottom w:val="nil"/>
              <w:right w:val="single" w:sz="4" w:space="0" w:color="auto"/>
            </w:tcBorders>
            <w:shd w:val="clear" w:color="auto" w:fill="auto"/>
            <w:noWrap/>
            <w:vAlign w:val="bottom"/>
            <w:hideMark/>
          </w:tcPr>
          <w:p w14:paraId="22616D20"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14:paraId="0EA43613"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p>
        </w:tc>
      </w:tr>
      <w:tr w:rsidR="00686EC7" w:rsidRPr="000C156A" w14:paraId="7B5CC0B7" w14:textId="77777777" w:rsidTr="00141BAA">
        <w:trPr>
          <w:trHeight w:val="288"/>
          <w:jc w:val="center"/>
        </w:trPr>
        <w:tc>
          <w:tcPr>
            <w:tcW w:w="4820" w:type="dxa"/>
            <w:tcBorders>
              <w:top w:val="nil"/>
              <w:left w:val="single" w:sz="4" w:space="0" w:color="auto"/>
              <w:bottom w:val="nil"/>
              <w:right w:val="single" w:sz="4" w:space="0" w:color="auto"/>
            </w:tcBorders>
            <w:shd w:val="clear" w:color="auto" w:fill="auto"/>
            <w:noWrap/>
            <w:vAlign w:val="bottom"/>
            <w:hideMark/>
          </w:tcPr>
          <w:p w14:paraId="45E21F8E"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hint="eastAsia"/>
                <w:color w:val="000000"/>
                <w:sz w:val="22"/>
                <w:szCs w:val="22"/>
                <w:lang w:val="en-US" w:eastAsia="zh-CN"/>
              </w:rPr>
              <w:t>项目融资</w:t>
            </w:r>
          </w:p>
        </w:tc>
        <w:tc>
          <w:tcPr>
            <w:tcW w:w="1480" w:type="dxa"/>
            <w:tcBorders>
              <w:top w:val="nil"/>
              <w:left w:val="nil"/>
              <w:bottom w:val="nil"/>
              <w:right w:val="single" w:sz="4" w:space="0" w:color="auto"/>
            </w:tcBorders>
            <w:shd w:val="clear" w:color="auto" w:fill="auto"/>
            <w:noWrap/>
            <w:vAlign w:val="bottom"/>
            <w:hideMark/>
          </w:tcPr>
          <w:p w14:paraId="0EE15538" w14:textId="0473E3E7"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r w:rsidRPr="000C156A">
              <w:rPr>
                <w:rFonts w:cs="Calibri"/>
                <w:color w:val="000000"/>
                <w:sz w:val="22"/>
                <w:szCs w:val="22"/>
                <w:lang w:eastAsia="en-GB"/>
              </w:rPr>
              <w:t>123</w:t>
            </w:r>
            <w:r w:rsidR="001D2D81" w:rsidRPr="000C156A">
              <w:rPr>
                <w:rFonts w:cs="Calibri"/>
                <w:color w:val="000000"/>
                <w:sz w:val="22"/>
                <w:szCs w:val="22"/>
                <w:lang w:eastAsia="en-GB"/>
              </w:rPr>
              <w:t xml:space="preserve"> </w:t>
            </w:r>
            <w:r w:rsidRPr="000C156A">
              <w:rPr>
                <w:rFonts w:cs="Calibri"/>
                <w:color w:val="000000"/>
                <w:sz w:val="22"/>
                <w:szCs w:val="22"/>
                <w:lang w:eastAsia="en-GB"/>
              </w:rPr>
              <w:t>589.00</w:t>
            </w:r>
          </w:p>
        </w:tc>
        <w:tc>
          <w:tcPr>
            <w:tcW w:w="4700" w:type="dxa"/>
            <w:tcBorders>
              <w:top w:val="nil"/>
              <w:left w:val="nil"/>
              <w:bottom w:val="nil"/>
              <w:right w:val="single" w:sz="4" w:space="0" w:color="auto"/>
            </w:tcBorders>
            <w:shd w:val="clear" w:color="auto" w:fill="auto"/>
            <w:noWrap/>
            <w:vAlign w:val="bottom"/>
            <w:hideMark/>
          </w:tcPr>
          <w:p w14:paraId="758EF585"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hint="eastAsia"/>
                <w:color w:val="000000"/>
                <w:sz w:val="22"/>
                <w:szCs w:val="22"/>
                <w:lang w:val="en-US" w:eastAsia="zh-CN"/>
              </w:rPr>
              <w:t>捐款，</w:t>
            </w:r>
            <w:r w:rsidRPr="000C156A">
              <w:rPr>
                <w:rFonts w:cs="Calibri"/>
                <w:color w:val="000000"/>
                <w:sz w:val="22"/>
                <w:szCs w:val="22"/>
                <w:lang w:eastAsia="zh-CN"/>
              </w:rPr>
              <w:t>20</w:t>
            </w:r>
            <w:r w:rsidRPr="000C156A">
              <w:rPr>
                <w:rFonts w:cs="Calibri" w:hint="eastAsia"/>
                <w:color w:val="000000"/>
                <w:sz w:val="22"/>
                <w:szCs w:val="22"/>
                <w:lang w:eastAsia="zh-CN"/>
              </w:rPr>
              <w:t>19</w:t>
            </w:r>
            <w:r w:rsidRPr="000C156A">
              <w:rPr>
                <w:rFonts w:asciiTheme="minorEastAsia" w:eastAsiaTheme="minorEastAsia" w:hAnsiTheme="minorEastAsia" w:cs="Calibri" w:hint="eastAsia"/>
                <w:color w:val="000000"/>
                <w:sz w:val="22"/>
                <w:szCs w:val="22"/>
                <w:lang w:eastAsia="zh-CN"/>
              </w:rPr>
              <w:t>年</w:t>
            </w:r>
          </w:p>
        </w:tc>
        <w:tc>
          <w:tcPr>
            <w:tcW w:w="1480" w:type="dxa"/>
            <w:tcBorders>
              <w:top w:val="nil"/>
              <w:left w:val="nil"/>
              <w:bottom w:val="nil"/>
              <w:right w:val="single" w:sz="4" w:space="0" w:color="auto"/>
            </w:tcBorders>
            <w:shd w:val="clear" w:color="auto" w:fill="auto"/>
            <w:noWrap/>
            <w:vAlign w:val="bottom"/>
            <w:hideMark/>
          </w:tcPr>
          <w:p w14:paraId="086DE7A8" w14:textId="77777777"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r w:rsidRPr="000C156A">
              <w:rPr>
                <w:rFonts w:cs="Calibri"/>
                <w:color w:val="000000"/>
                <w:sz w:val="22"/>
                <w:szCs w:val="22"/>
                <w:lang w:eastAsia="en-GB"/>
              </w:rPr>
              <w:t>-</w:t>
            </w:r>
          </w:p>
        </w:tc>
      </w:tr>
      <w:tr w:rsidR="00686EC7" w:rsidRPr="000C156A" w14:paraId="5926D23C" w14:textId="77777777" w:rsidTr="00141BAA">
        <w:trPr>
          <w:trHeight w:val="288"/>
          <w:jc w:val="center"/>
        </w:trPr>
        <w:tc>
          <w:tcPr>
            <w:tcW w:w="4820" w:type="dxa"/>
            <w:tcBorders>
              <w:top w:val="nil"/>
              <w:left w:val="single" w:sz="4" w:space="0" w:color="auto"/>
              <w:bottom w:val="nil"/>
              <w:right w:val="single" w:sz="4" w:space="0" w:color="auto"/>
            </w:tcBorders>
            <w:shd w:val="clear" w:color="auto" w:fill="auto"/>
            <w:noWrap/>
            <w:vAlign w:val="bottom"/>
            <w:hideMark/>
          </w:tcPr>
          <w:p w14:paraId="305A1E86"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14:paraId="0C51BFD8" w14:textId="77777777"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p>
        </w:tc>
        <w:tc>
          <w:tcPr>
            <w:tcW w:w="4700" w:type="dxa"/>
            <w:tcBorders>
              <w:top w:val="nil"/>
              <w:left w:val="nil"/>
              <w:bottom w:val="nil"/>
              <w:right w:val="single" w:sz="4" w:space="0" w:color="auto"/>
            </w:tcBorders>
            <w:shd w:val="clear" w:color="auto" w:fill="auto"/>
            <w:noWrap/>
            <w:vAlign w:val="bottom"/>
            <w:hideMark/>
          </w:tcPr>
          <w:p w14:paraId="373967AF"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14:paraId="304B707A" w14:textId="77777777"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p>
        </w:tc>
      </w:tr>
      <w:tr w:rsidR="00686EC7" w:rsidRPr="000C156A" w14:paraId="71E6E3DE" w14:textId="77777777" w:rsidTr="00141BAA">
        <w:trPr>
          <w:trHeight w:val="288"/>
          <w:jc w:val="center"/>
        </w:trPr>
        <w:tc>
          <w:tcPr>
            <w:tcW w:w="4820" w:type="dxa"/>
            <w:tcBorders>
              <w:top w:val="nil"/>
              <w:left w:val="single" w:sz="4" w:space="0" w:color="auto"/>
              <w:bottom w:val="nil"/>
              <w:right w:val="single" w:sz="4" w:space="0" w:color="auto"/>
            </w:tcBorders>
            <w:shd w:val="clear" w:color="auto" w:fill="auto"/>
            <w:noWrap/>
            <w:vAlign w:val="bottom"/>
            <w:hideMark/>
          </w:tcPr>
          <w:p w14:paraId="415C2070"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hint="eastAsia"/>
                <w:sz w:val="22"/>
                <w:szCs w:val="22"/>
                <w:lang w:val="en-US" w:eastAsia="zh-CN"/>
              </w:rPr>
              <w:t>行政费用</w:t>
            </w:r>
          </w:p>
        </w:tc>
        <w:tc>
          <w:tcPr>
            <w:tcW w:w="1480" w:type="dxa"/>
            <w:tcBorders>
              <w:top w:val="nil"/>
              <w:left w:val="nil"/>
              <w:bottom w:val="nil"/>
              <w:right w:val="single" w:sz="4" w:space="0" w:color="auto"/>
            </w:tcBorders>
            <w:shd w:val="clear" w:color="auto" w:fill="auto"/>
            <w:noWrap/>
            <w:vAlign w:val="bottom"/>
            <w:hideMark/>
          </w:tcPr>
          <w:p w14:paraId="06553DF6" w14:textId="77777777"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r w:rsidRPr="000C156A">
              <w:rPr>
                <w:rFonts w:cs="Calibri"/>
                <w:color w:val="000000"/>
                <w:sz w:val="22"/>
                <w:szCs w:val="22"/>
                <w:lang w:eastAsia="en-GB"/>
              </w:rPr>
              <w:t>38.79</w:t>
            </w:r>
          </w:p>
        </w:tc>
        <w:tc>
          <w:tcPr>
            <w:tcW w:w="4700" w:type="dxa"/>
            <w:tcBorders>
              <w:top w:val="nil"/>
              <w:left w:val="nil"/>
              <w:bottom w:val="nil"/>
              <w:right w:val="single" w:sz="4" w:space="0" w:color="auto"/>
            </w:tcBorders>
            <w:shd w:val="clear" w:color="auto" w:fill="auto"/>
            <w:noWrap/>
            <w:vAlign w:val="bottom"/>
            <w:hideMark/>
          </w:tcPr>
          <w:p w14:paraId="0F36AE9B"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hint="eastAsia"/>
                <w:color w:val="000000"/>
                <w:sz w:val="22"/>
                <w:szCs w:val="22"/>
                <w:lang w:val="en-US" w:eastAsia="zh-CN"/>
              </w:rPr>
              <w:t>利息</w:t>
            </w:r>
          </w:p>
        </w:tc>
        <w:tc>
          <w:tcPr>
            <w:tcW w:w="1480" w:type="dxa"/>
            <w:tcBorders>
              <w:top w:val="nil"/>
              <w:left w:val="nil"/>
              <w:bottom w:val="nil"/>
              <w:right w:val="single" w:sz="4" w:space="0" w:color="auto"/>
            </w:tcBorders>
            <w:shd w:val="clear" w:color="auto" w:fill="auto"/>
            <w:noWrap/>
            <w:vAlign w:val="bottom"/>
            <w:hideMark/>
          </w:tcPr>
          <w:p w14:paraId="3FD5388A" w14:textId="06B4D205"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r w:rsidRPr="000C156A">
              <w:rPr>
                <w:rFonts w:cs="Calibri"/>
                <w:color w:val="000000"/>
                <w:sz w:val="22"/>
                <w:szCs w:val="22"/>
                <w:lang w:eastAsia="en-GB"/>
              </w:rPr>
              <w:t>70</w:t>
            </w:r>
            <w:r w:rsidR="001D2D81" w:rsidRPr="000C156A">
              <w:rPr>
                <w:rFonts w:cs="Calibri"/>
                <w:color w:val="000000"/>
                <w:sz w:val="22"/>
                <w:szCs w:val="22"/>
                <w:lang w:eastAsia="en-GB"/>
              </w:rPr>
              <w:t xml:space="preserve"> </w:t>
            </w:r>
            <w:r w:rsidRPr="000C156A">
              <w:rPr>
                <w:rFonts w:cs="Calibri"/>
                <w:color w:val="000000"/>
                <w:sz w:val="22"/>
                <w:szCs w:val="22"/>
                <w:lang w:eastAsia="en-GB"/>
              </w:rPr>
              <w:t>719.02</w:t>
            </w:r>
          </w:p>
        </w:tc>
      </w:tr>
      <w:tr w:rsidR="00686EC7" w:rsidRPr="000C156A" w14:paraId="0C306211" w14:textId="77777777" w:rsidTr="00141BAA">
        <w:trPr>
          <w:trHeight w:val="288"/>
          <w:jc w:val="center"/>
        </w:trPr>
        <w:tc>
          <w:tcPr>
            <w:tcW w:w="4820" w:type="dxa"/>
            <w:tcBorders>
              <w:top w:val="nil"/>
              <w:left w:val="single" w:sz="4" w:space="0" w:color="auto"/>
              <w:bottom w:val="nil"/>
              <w:right w:val="single" w:sz="4" w:space="0" w:color="auto"/>
            </w:tcBorders>
            <w:shd w:val="clear" w:color="auto" w:fill="auto"/>
            <w:noWrap/>
            <w:vAlign w:val="bottom"/>
            <w:hideMark/>
          </w:tcPr>
          <w:p w14:paraId="41C09E67"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14:paraId="1589BED8" w14:textId="77777777"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p>
        </w:tc>
        <w:tc>
          <w:tcPr>
            <w:tcW w:w="4700" w:type="dxa"/>
            <w:tcBorders>
              <w:top w:val="nil"/>
              <w:left w:val="nil"/>
              <w:bottom w:val="nil"/>
              <w:right w:val="single" w:sz="4" w:space="0" w:color="auto"/>
            </w:tcBorders>
            <w:shd w:val="clear" w:color="auto" w:fill="auto"/>
            <w:noWrap/>
            <w:vAlign w:val="bottom"/>
            <w:hideMark/>
          </w:tcPr>
          <w:p w14:paraId="606B2DBF"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14:paraId="0AC6EAF5" w14:textId="77777777"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p>
        </w:tc>
      </w:tr>
      <w:tr w:rsidR="00686EC7" w:rsidRPr="000C156A" w14:paraId="5CEE62E1" w14:textId="77777777" w:rsidTr="00141BAA">
        <w:trPr>
          <w:trHeight w:val="288"/>
          <w:jc w:val="center"/>
        </w:trPr>
        <w:tc>
          <w:tcPr>
            <w:tcW w:w="4820" w:type="dxa"/>
            <w:tcBorders>
              <w:top w:val="nil"/>
              <w:left w:val="single" w:sz="4" w:space="0" w:color="auto"/>
              <w:bottom w:val="nil"/>
              <w:right w:val="single" w:sz="4" w:space="0" w:color="auto"/>
            </w:tcBorders>
            <w:shd w:val="clear" w:color="auto" w:fill="auto"/>
            <w:noWrap/>
            <w:vAlign w:val="bottom"/>
            <w:hideMark/>
          </w:tcPr>
          <w:p w14:paraId="372EEE55"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val="fr-CH" w:eastAsia="zh-CN"/>
              </w:rPr>
            </w:pPr>
            <w:r w:rsidRPr="000C156A">
              <w:rPr>
                <w:rFonts w:hint="eastAsia"/>
                <w:sz w:val="22"/>
                <w:szCs w:val="22"/>
                <w:lang w:val="en-US" w:eastAsia="zh-CN"/>
              </w:rPr>
              <w:t>反向重新估值</w:t>
            </w:r>
            <w:r w:rsidRPr="000C156A">
              <w:rPr>
                <w:rFonts w:hint="eastAsia"/>
                <w:sz w:val="22"/>
                <w:szCs w:val="22"/>
                <w:lang w:val="fr-CH" w:eastAsia="zh-CN"/>
              </w:rPr>
              <w:t>，</w:t>
            </w:r>
            <w:r w:rsidRPr="000C156A">
              <w:rPr>
                <w:sz w:val="22"/>
                <w:szCs w:val="22"/>
                <w:lang w:val="fr-CH" w:eastAsia="zh-CN"/>
              </w:rPr>
              <w:t>201</w:t>
            </w:r>
            <w:r w:rsidRPr="000C156A">
              <w:rPr>
                <w:rFonts w:hint="eastAsia"/>
                <w:sz w:val="22"/>
                <w:szCs w:val="22"/>
                <w:lang w:val="fr-CH" w:eastAsia="zh-CN"/>
              </w:rPr>
              <w:t>8</w:t>
            </w:r>
            <w:r w:rsidRPr="000C156A">
              <w:rPr>
                <w:rFonts w:hint="eastAsia"/>
                <w:sz w:val="22"/>
                <w:szCs w:val="22"/>
                <w:lang w:val="en-US" w:eastAsia="zh-CN"/>
              </w:rPr>
              <w:t>年</w:t>
            </w:r>
          </w:p>
        </w:tc>
        <w:tc>
          <w:tcPr>
            <w:tcW w:w="1480" w:type="dxa"/>
            <w:tcBorders>
              <w:top w:val="nil"/>
              <w:left w:val="nil"/>
              <w:bottom w:val="nil"/>
              <w:right w:val="single" w:sz="4" w:space="0" w:color="auto"/>
            </w:tcBorders>
            <w:shd w:val="clear" w:color="auto" w:fill="auto"/>
            <w:noWrap/>
            <w:vAlign w:val="bottom"/>
            <w:hideMark/>
          </w:tcPr>
          <w:p w14:paraId="1E7A09A6" w14:textId="7DDE8DE4"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r w:rsidRPr="000C156A">
              <w:rPr>
                <w:rFonts w:cs="Calibri"/>
                <w:color w:val="000000"/>
                <w:sz w:val="22"/>
                <w:szCs w:val="22"/>
                <w:lang w:eastAsia="en-GB"/>
              </w:rPr>
              <w:t>98</w:t>
            </w:r>
            <w:r w:rsidR="001D2D81" w:rsidRPr="000C156A">
              <w:rPr>
                <w:rFonts w:cs="Calibri"/>
                <w:color w:val="000000"/>
                <w:sz w:val="22"/>
                <w:szCs w:val="22"/>
                <w:lang w:eastAsia="en-GB"/>
              </w:rPr>
              <w:t xml:space="preserve"> </w:t>
            </w:r>
            <w:r w:rsidRPr="000C156A">
              <w:rPr>
                <w:rFonts w:cs="Calibri"/>
                <w:color w:val="000000"/>
                <w:sz w:val="22"/>
                <w:szCs w:val="22"/>
                <w:lang w:eastAsia="en-GB"/>
              </w:rPr>
              <w:t>361.00</w:t>
            </w:r>
          </w:p>
        </w:tc>
        <w:tc>
          <w:tcPr>
            <w:tcW w:w="4700" w:type="dxa"/>
            <w:tcBorders>
              <w:top w:val="nil"/>
              <w:left w:val="nil"/>
              <w:bottom w:val="nil"/>
              <w:right w:val="single" w:sz="4" w:space="0" w:color="auto"/>
            </w:tcBorders>
            <w:shd w:val="clear" w:color="auto" w:fill="auto"/>
            <w:noWrap/>
            <w:vAlign w:val="bottom"/>
            <w:hideMark/>
          </w:tcPr>
          <w:p w14:paraId="4AD0E5D1"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hint="eastAsia"/>
                <w:color w:val="000000"/>
                <w:sz w:val="22"/>
                <w:szCs w:val="22"/>
                <w:lang w:val="en-US" w:eastAsia="zh-CN"/>
              </w:rPr>
              <w:t>从信托基金转入的利息</w:t>
            </w:r>
          </w:p>
        </w:tc>
        <w:tc>
          <w:tcPr>
            <w:tcW w:w="1480" w:type="dxa"/>
            <w:tcBorders>
              <w:top w:val="nil"/>
              <w:left w:val="nil"/>
              <w:bottom w:val="nil"/>
              <w:right w:val="single" w:sz="4" w:space="0" w:color="auto"/>
            </w:tcBorders>
            <w:shd w:val="clear" w:color="auto" w:fill="auto"/>
            <w:noWrap/>
            <w:vAlign w:val="bottom"/>
            <w:hideMark/>
          </w:tcPr>
          <w:p w14:paraId="4B0D6BD3" w14:textId="5A89AB6A"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r w:rsidRPr="000C156A">
              <w:rPr>
                <w:rFonts w:cs="Calibri"/>
                <w:color w:val="000000"/>
                <w:sz w:val="22"/>
                <w:szCs w:val="22"/>
                <w:lang w:eastAsia="en-GB"/>
              </w:rPr>
              <w:t>42</w:t>
            </w:r>
            <w:r w:rsidR="001D2D81" w:rsidRPr="000C156A">
              <w:rPr>
                <w:rFonts w:cs="Calibri"/>
                <w:color w:val="000000"/>
                <w:sz w:val="22"/>
                <w:szCs w:val="22"/>
                <w:lang w:eastAsia="en-GB"/>
              </w:rPr>
              <w:t xml:space="preserve"> </w:t>
            </w:r>
            <w:r w:rsidRPr="000C156A">
              <w:rPr>
                <w:rFonts w:cs="Calibri"/>
                <w:color w:val="000000"/>
                <w:sz w:val="22"/>
                <w:szCs w:val="22"/>
                <w:lang w:eastAsia="en-GB"/>
              </w:rPr>
              <w:t>544.46</w:t>
            </w:r>
          </w:p>
        </w:tc>
      </w:tr>
      <w:tr w:rsidR="00686EC7" w:rsidRPr="000C156A" w14:paraId="609F366E" w14:textId="77777777" w:rsidTr="00141BAA">
        <w:trPr>
          <w:trHeight w:val="288"/>
          <w:jc w:val="center"/>
        </w:trPr>
        <w:tc>
          <w:tcPr>
            <w:tcW w:w="4820" w:type="dxa"/>
            <w:tcBorders>
              <w:top w:val="nil"/>
              <w:left w:val="single" w:sz="4" w:space="0" w:color="auto"/>
              <w:bottom w:val="nil"/>
              <w:right w:val="single" w:sz="4" w:space="0" w:color="auto"/>
            </w:tcBorders>
            <w:shd w:val="clear" w:color="auto" w:fill="auto"/>
            <w:noWrap/>
            <w:vAlign w:val="bottom"/>
            <w:hideMark/>
          </w:tcPr>
          <w:p w14:paraId="40543ACA"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14:paraId="7A60242E" w14:textId="77777777"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4700" w:type="dxa"/>
            <w:tcBorders>
              <w:top w:val="nil"/>
              <w:left w:val="nil"/>
              <w:bottom w:val="nil"/>
              <w:right w:val="single" w:sz="4" w:space="0" w:color="auto"/>
            </w:tcBorders>
            <w:shd w:val="clear" w:color="auto" w:fill="auto"/>
            <w:noWrap/>
            <w:vAlign w:val="bottom"/>
            <w:hideMark/>
          </w:tcPr>
          <w:p w14:paraId="5558FFE1"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14:paraId="525D4EA7" w14:textId="77777777"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p>
        </w:tc>
      </w:tr>
      <w:tr w:rsidR="00686EC7" w:rsidRPr="000C156A" w14:paraId="02BEA074" w14:textId="77777777" w:rsidTr="00141BAA">
        <w:trPr>
          <w:trHeight w:val="288"/>
          <w:jc w:val="center"/>
        </w:trPr>
        <w:tc>
          <w:tcPr>
            <w:tcW w:w="4820" w:type="dxa"/>
            <w:tcBorders>
              <w:top w:val="nil"/>
              <w:left w:val="single" w:sz="4" w:space="0" w:color="auto"/>
              <w:bottom w:val="nil"/>
              <w:right w:val="single" w:sz="4" w:space="0" w:color="auto"/>
            </w:tcBorders>
            <w:shd w:val="clear" w:color="auto" w:fill="auto"/>
            <w:noWrap/>
            <w:vAlign w:val="bottom"/>
            <w:hideMark/>
          </w:tcPr>
          <w:p w14:paraId="56F80B07"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14:paraId="04CBE90F" w14:textId="77777777"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4700" w:type="dxa"/>
            <w:tcBorders>
              <w:top w:val="nil"/>
              <w:left w:val="nil"/>
              <w:bottom w:val="nil"/>
              <w:right w:val="single" w:sz="4" w:space="0" w:color="auto"/>
            </w:tcBorders>
            <w:shd w:val="clear" w:color="auto" w:fill="auto"/>
            <w:noWrap/>
            <w:vAlign w:val="bottom"/>
            <w:hideMark/>
          </w:tcPr>
          <w:p w14:paraId="1DB88BF0"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hint="eastAsia"/>
                <w:color w:val="000000"/>
                <w:sz w:val="22"/>
                <w:szCs w:val="22"/>
                <w:lang w:val="en-US" w:eastAsia="zh-CN"/>
              </w:rPr>
              <w:t>从已结账的</w:t>
            </w:r>
            <w:r w:rsidRPr="000C156A">
              <w:rPr>
                <w:rFonts w:eastAsia="Times New Roman" w:cs="Calibri"/>
                <w:color w:val="000000"/>
                <w:sz w:val="22"/>
                <w:szCs w:val="22"/>
                <w:lang w:eastAsia="zh-CN"/>
              </w:rPr>
              <w:t>ICTDF</w:t>
            </w:r>
            <w:r w:rsidRPr="000C156A">
              <w:rPr>
                <w:rFonts w:hint="eastAsia"/>
                <w:color w:val="000000"/>
                <w:sz w:val="22"/>
                <w:szCs w:val="22"/>
                <w:lang w:val="en-US" w:eastAsia="zh-CN"/>
              </w:rPr>
              <w:t>项目转入的余额</w:t>
            </w:r>
          </w:p>
        </w:tc>
        <w:tc>
          <w:tcPr>
            <w:tcW w:w="1480" w:type="dxa"/>
            <w:tcBorders>
              <w:top w:val="nil"/>
              <w:left w:val="nil"/>
              <w:bottom w:val="nil"/>
              <w:right w:val="single" w:sz="4" w:space="0" w:color="auto"/>
            </w:tcBorders>
            <w:shd w:val="clear" w:color="auto" w:fill="auto"/>
            <w:noWrap/>
            <w:vAlign w:val="bottom"/>
            <w:hideMark/>
          </w:tcPr>
          <w:p w14:paraId="4BDD4576" w14:textId="7A2D80C8"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r w:rsidRPr="000C156A">
              <w:rPr>
                <w:rFonts w:cs="Calibri"/>
                <w:color w:val="000000"/>
                <w:sz w:val="22"/>
                <w:szCs w:val="22"/>
                <w:lang w:eastAsia="en-GB"/>
              </w:rPr>
              <w:t>269</w:t>
            </w:r>
            <w:r w:rsidR="001D2D81" w:rsidRPr="000C156A">
              <w:rPr>
                <w:rFonts w:cs="Calibri"/>
                <w:color w:val="000000"/>
                <w:sz w:val="22"/>
                <w:szCs w:val="22"/>
                <w:lang w:eastAsia="en-GB"/>
              </w:rPr>
              <w:t xml:space="preserve"> </w:t>
            </w:r>
            <w:r w:rsidRPr="000C156A">
              <w:rPr>
                <w:rFonts w:cs="Calibri"/>
                <w:color w:val="000000"/>
                <w:sz w:val="22"/>
                <w:szCs w:val="22"/>
                <w:lang w:eastAsia="en-GB"/>
              </w:rPr>
              <w:t>612.95</w:t>
            </w:r>
          </w:p>
        </w:tc>
      </w:tr>
      <w:tr w:rsidR="00686EC7" w:rsidRPr="000C156A" w14:paraId="011BAF97" w14:textId="77777777" w:rsidTr="00141BAA">
        <w:trPr>
          <w:trHeight w:val="288"/>
          <w:jc w:val="center"/>
        </w:trPr>
        <w:tc>
          <w:tcPr>
            <w:tcW w:w="4820" w:type="dxa"/>
            <w:tcBorders>
              <w:top w:val="nil"/>
              <w:left w:val="single" w:sz="4" w:space="0" w:color="auto"/>
              <w:bottom w:val="nil"/>
              <w:right w:val="single" w:sz="4" w:space="0" w:color="auto"/>
            </w:tcBorders>
            <w:shd w:val="clear" w:color="auto" w:fill="auto"/>
            <w:noWrap/>
            <w:vAlign w:val="bottom"/>
            <w:hideMark/>
          </w:tcPr>
          <w:p w14:paraId="661E3AC9"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14:paraId="30C21726" w14:textId="77777777"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4700" w:type="dxa"/>
            <w:tcBorders>
              <w:top w:val="nil"/>
              <w:left w:val="nil"/>
              <w:bottom w:val="nil"/>
              <w:right w:val="single" w:sz="4" w:space="0" w:color="auto"/>
            </w:tcBorders>
            <w:shd w:val="clear" w:color="auto" w:fill="auto"/>
            <w:noWrap/>
            <w:vAlign w:val="bottom"/>
            <w:hideMark/>
          </w:tcPr>
          <w:p w14:paraId="20FEED64"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14:paraId="6EE5CDF9" w14:textId="77777777"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p>
        </w:tc>
      </w:tr>
      <w:tr w:rsidR="00686EC7" w:rsidRPr="000C156A" w14:paraId="00E2249C" w14:textId="77777777" w:rsidTr="00141BAA">
        <w:trPr>
          <w:trHeight w:val="288"/>
          <w:jc w:val="center"/>
        </w:trPr>
        <w:tc>
          <w:tcPr>
            <w:tcW w:w="4820" w:type="dxa"/>
            <w:tcBorders>
              <w:top w:val="nil"/>
              <w:left w:val="single" w:sz="4" w:space="0" w:color="auto"/>
              <w:bottom w:val="nil"/>
              <w:right w:val="nil"/>
            </w:tcBorders>
            <w:shd w:val="clear" w:color="auto" w:fill="auto"/>
            <w:noWrap/>
            <w:vAlign w:val="bottom"/>
            <w:hideMark/>
          </w:tcPr>
          <w:p w14:paraId="1E2BD726"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1480" w:type="dxa"/>
            <w:tcBorders>
              <w:top w:val="nil"/>
              <w:left w:val="single" w:sz="4" w:space="0" w:color="auto"/>
              <w:bottom w:val="nil"/>
              <w:right w:val="single" w:sz="4" w:space="0" w:color="auto"/>
            </w:tcBorders>
            <w:shd w:val="clear" w:color="auto" w:fill="auto"/>
            <w:noWrap/>
            <w:vAlign w:val="bottom"/>
            <w:hideMark/>
          </w:tcPr>
          <w:p w14:paraId="12E9957D" w14:textId="77777777"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4700" w:type="dxa"/>
            <w:tcBorders>
              <w:top w:val="nil"/>
              <w:left w:val="nil"/>
              <w:bottom w:val="nil"/>
              <w:right w:val="single" w:sz="4" w:space="0" w:color="auto"/>
            </w:tcBorders>
            <w:shd w:val="clear" w:color="auto" w:fill="auto"/>
            <w:noWrap/>
            <w:vAlign w:val="bottom"/>
            <w:hideMark/>
          </w:tcPr>
          <w:p w14:paraId="2618A2BB"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cs="Calibri"/>
                <w:color w:val="000000"/>
                <w:sz w:val="22"/>
                <w:szCs w:val="22"/>
                <w:lang w:eastAsia="zh-CN"/>
              </w:rPr>
              <w:t>20</w:t>
            </w:r>
            <w:r w:rsidRPr="000C156A">
              <w:rPr>
                <w:rFonts w:cs="Calibri" w:hint="eastAsia"/>
                <w:color w:val="000000"/>
                <w:sz w:val="22"/>
                <w:szCs w:val="22"/>
                <w:lang w:eastAsia="zh-CN"/>
              </w:rPr>
              <w:t>19</w:t>
            </w:r>
            <w:r w:rsidRPr="000C156A">
              <w:rPr>
                <w:rFonts w:hint="eastAsia"/>
                <w:color w:val="000000"/>
                <w:sz w:val="22"/>
                <w:szCs w:val="22"/>
                <w:lang w:val="en-US" w:eastAsia="zh-CN"/>
              </w:rPr>
              <w:t>年重新估值</w:t>
            </w:r>
          </w:p>
        </w:tc>
        <w:tc>
          <w:tcPr>
            <w:tcW w:w="1480" w:type="dxa"/>
            <w:tcBorders>
              <w:top w:val="nil"/>
              <w:left w:val="nil"/>
              <w:bottom w:val="nil"/>
              <w:right w:val="single" w:sz="4" w:space="0" w:color="auto"/>
            </w:tcBorders>
            <w:shd w:val="clear" w:color="auto" w:fill="auto"/>
            <w:noWrap/>
            <w:vAlign w:val="bottom"/>
            <w:hideMark/>
          </w:tcPr>
          <w:p w14:paraId="1A27B89D" w14:textId="51848959"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r w:rsidRPr="000C156A">
              <w:rPr>
                <w:rFonts w:cs="Calibri"/>
                <w:color w:val="000000"/>
                <w:sz w:val="22"/>
                <w:szCs w:val="22"/>
                <w:lang w:eastAsia="en-GB"/>
              </w:rPr>
              <w:t>108</w:t>
            </w:r>
            <w:r w:rsidR="001D2D81" w:rsidRPr="000C156A">
              <w:rPr>
                <w:rFonts w:cs="Calibri"/>
                <w:color w:val="000000"/>
                <w:sz w:val="22"/>
                <w:szCs w:val="22"/>
                <w:lang w:eastAsia="en-GB"/>
              </w:rPr>
              <w:t xml:space="preserve"> </w:t>
            </w:r>
            <w:r w:rsidRPr="000C156A">
              <w:rPr>
                <w:rFonts w:cs="Calibri"/>
                <w:color w:val="000000"/>
                <w:sz w:val="22"/>
                <w:szCs w:val="22"/>
                <w:lang w:eastAsia="en-GB"/>
              </w:rPr>
              <w:t>727.04</w:t>
            </w:r>
          </w:p>
        </w:tc>
      </w:tr>
      <w:tr w:rsidR="00686EC7" w:rsidRPr="000C156A" w14:paraId="77F9E867" w14:textId="77777777" w:rsidTr="00141BAA">
        <w:trPr>
          <w:trHeight w:val="288"/>
          <w:jc w:val="center"/>
        </w:trPr>
        <w:tc>
          <w:tcPr>
            <w:tcW w:w="4820" w:type="dxa"/>
            <w:tcBorders>
              <w:top w:val="nil"/>
              <w:left w:val="single" w:sz="4" w:space="0" w:color="auto"/>
              <w:bottom w:val="nil"/>
              <w:right w:val="nil"/>
            </w:tcBorders>
            <w:shd w:val="clear" w:color="auto" w:fill="auto"/>
            <w:noWrap/>
            <w:vAlign w:val="bottom"/>
            <w:hideMark/>
          </w:tcPr>
          <w:p w14:paraId="7EA32E07"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1480" w:type="dxa"/>
            <w:tcBorders>
              <w:top w:val="nil"/>
              <w:left w:val="single" w:sz="4" w:space="0" w:color="auto"/>
              <w:bottom w:val="nil"/>
              <w:right w:val="single" w:sz="4" w:space="0" w:color="auto"/>
            </w:tcBorders>
            <w:shd w:val="clear" w:color="auto" w:fill="auto"/>
            <w:noWrap/>
            <w:vAlign w:val="bottom"/>
            <w:hideMark/>
          </w:tcPr>
          <w:p w14:paraId="5529B153" w14:textId="77777777"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4700" w:type="dxa"/>
            <w:tcBorders>
              <w:top w:val="nil"/>
              <w:left w:val="nil"/>
              <w:bottom w:val="nil"/>
              <w:right w:val="single" w:sz="4" w:space="0" w:color="auto"/>
            </w:tcBorders>
            <w:shd w:val="clear" w:color="auto" w:fill="auto"/>
            <w:noWrap/>
            <w:vAlign w:val="bottom"/>
            <w:hideMark/>
          </w:tcPr>
          <w:p w14:paraId="3B84A4A1"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14:paraId="6AAC8868" w14:textId="77777777"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p>
        </w:tc>
      </w:tr>
      <w:tr w:rsidR="00686EC7" w:rsidRPr="000C156A" w14:paraId="372C4278" w14:textId="77777777" w:rsidTr="00141BAA">
        <w:trPr>
          <w:trHeight w:val="288"/>
          <w:jc w:val="center"/>
        </w:trPr>
        <w:tc>
          <w:tcPr>
            <w:tcW w:w="4820" w:type="dxa"/>
            <w:tcBorders>
              <w:top w:val="nil"/>
              <w:left w:val="single" w:sz="4" w:space="0" w:color="auto"/>
              <w:bottom w:val="nil"/>
              <w:right w:val="single" w:sz="4" w:space="0" w:color="auto"/>
            </w:tcBorders>
            <w:shd w:val="clear" w:color="auto" w:fill="auto"/>
            <w:noWrap/>
            <w:vAlign w:val="bottom"/>
            <w:hideMark/>
          </w:tcPr>
          <w:p w14:paraId="4955A377"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cs="Calibri"/>
                <w:color w:val="000000"/>
                <w:sz w:val="22"/>
                <w:szCs w:val="22"/>
                <w:lang w:eastAsia="en-GB"/>
              </w:rPr>
              <w:t>收入盈余</w:t>
            </w:r>
            <w:r w:rsidRPr="000C156A">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14:paraId="756CE35E" w14:textId="72D02F90"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r w:rsidRPr="000C156A">
              <w:rPr>
                <w:rFonts w:cs="Calibri"/>
                <w:color w:val="000000"/>
                <w:sz w:val="22"/>
                <w:szCs w:val="22"/>
                <w:lang w:eastAsia="en-GB"/>
              </w:rPr>
              <w:t>269</w:t>
            </w:r>
            <w:r w:rsidR="001D2D81" w:rsidRPr="000C156A">
              <w:rPr>
                <w:rFonts w:cs="Calibri"/>
                <w:color w:val="000000"/>
                <w:sz w:val="22"/>
                <w:szCs w:val="22"/>
                <w:lang w:eastAsia="en-GB"/>
              </w:rPr>
              <w:t xml:space="preserve"> </w:t>
            </w:r>
            <w:r w:rsidRPr="000C156A">
              <w:rPr>
                <w:rFonts w:cs="Calibri"/>
                <w:color w:val="000000"/>
                <w:sz w:val="22"/>
                <w:szCs w:val="22"/>
                <w:lang w:eastAsia="en-GB"/>
              </w:rPr>
              <w:t>614.68</w:t>
            </w:r>
          </w:p>
        </w:tc>
        <w:tc>
          <w:tcPr>
            <w:tcW w:w="4700" w:type="dxa"/>
            <w:tcBorders>
              <w:top w:val="nil"/>
              <w:left w:val="nil"/>
              <w:bottom w:val="nil"/>
              <w:right w:val="single" w:sz="4" w:space="0" w:color="auto"/>
            </w:tcBorders>
            <w:shd w:val="clear" w:color="auto" w:fill="auto"/>
            <w:noWrap/>
            <w:vAlign w:val="bottom"/>
            <w:hideMark/>
          </w:tcPr>
          <w:p w14:paraId="6D5B96DD"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p>
        </w:tc>
        <w:tc>
          <w:tcPr>
            <w:tcW w:w="1480" w:type="dxa"/>
            <w:tcBorders>
              <w:top w:val="nil"/>
              <w:left w:val="nil"/>
              <w:bottom w:val="nil"/>
              <w:right w:val="single" w:sz="4" w:space="0" w:color="auto"/>
            </w:tcBorders>
            <w:shd w:val="clear" w:color="auto" w:fill="auto"/>
            <w:noWrap/>
            <w:vAlign w:val="bottom"/>
            <w:hideMark/>
          </w:tcPr>
          <w:p w14:paraId="6DB79717" w14:textId="77777777"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p>
        </w:tc>
      </w:tr>
      <w:tr w:rsidR="00686EC7" w:rsidRPr="000C156A" w14:paraId="2C08EF9C" w14:textId="77777777" w:rsidTr="00141BAA">
        <w:trPr>
          <w:trHeight w:val="288"/>
          <w:jc w:val="center"/>
        </w:trPr>
        <w:tc>
          <w:tcPr>
            <w:tcW w:w="4820" w:type="dxa"/>
            <w:tcBorders>
              <w:top w:val="nil"/>
              <w:left w:val="single" w:sz="4" w:space="0" w:color="auto"/>
              <w:bottom w:val="nil"/>
              <w:right w:val="single" w:sz="4" w:space="0" w:color="auto"/>
            </w:tcBorders>
            <w:shd w:val="clear" w:color="auto" w:fill="auto"/>
            <w:noWrap/>
            <w:vAlign w:val="bottom"/>
            <w:hideMark/>
          </w:tcPr>
          <w:p w14:paraId="37FECBD6"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14:paraId="44DEAD34" w14:textId="77777777"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p>
        </w:tc>
        <w:tc>
          <w:tcPr>
            <w:tcW w:w="4700" w:type="dxa"/>
            <w:tcBorders>
              <w:top w:val="nil"/>
              <w:left w:val="nil"/>
              <w:bottom w:val="nil"/>
              <w:right w:val="single" w:sz="4" w:space="0" w:color="auto"/>
            </w:tcBorders>
            <w:shd w:val="clear" w:color="auto" w:fill="auto"/>
            <w:noWrap/>
            <w:vAlign w:val="bottom"/>
            <w:hideMark/>
          </w:tcPr>
          <w:p w14:paraId="2DA78347"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14:paraId="0E63F70A" w14:textId="77777777"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p>
        </w:tc>
      </w:tr>
      <w:tr w:rsidR="00686EC7" w:rsidRPr="000C156A" w14:paraId="39C898F2" w14:textId="77777777" w:rsidTr="00141BAA">
        <w:trPr>
          <w:trHeight w:val="300"/>
          <w:jc w:val="center"/>
        </w:trPr>
        <w:tc>
          <w:tcPr>
            <w:tcW w:w="4820" w:type="dxa"/>
            <w:tcBorders>
              <w:top w:val="nil"/>
              <w:left w:val="single" w:sz="4" w:space="0" w:color="auto"/>
              <w:bottom w:val="nil"/>
              <w:right w:val="single" w:sz="4" w:space="0" w:color="auto"/>
            </w:tcBorders>
            <w:shd w:val="clear" w:color="auto" w:fill="auto"/>
            <w:noWrap/>
            <w:vAlign w:val="bottom"/>
            <w:hideMark/>
          </w:tcPr>
          <w:p w14:paraId="6DDCF741"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1480" w:type="dxa"/>
            <w:tcBorders>
              <w:top w:val="single" w:sz="4" w:space="0" w:color="auto"/>
              <w:left w:val="nil"/>
              <w:bottom w:val="double" w:sz="6" w:space="0" w:color="auto"/>
              <w:right w:val="single" w:sz="4" w:space="0" w:color="auto"/>
            </w:tcBorders>
            <w:shd w:val="clear" w:color="000000" w:fill="F2F2F2"/>
            <w:noWrap/>
            <w:vAlign w:val="bottom"/>
            <w:hideMark/>
          </w:tcPr>
          <w:p w14:paraId="510672AC" w14:textId="5427E4CF"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r w:rsidRPr="000C156A">
              <w:rPr>
                <w:rFonts w:cs="Calibri"/>
                <w:color w:val="000000"/>
                <w:sz w:val="22"/>
                <w:szCs w:val="22"/>
                <w:lang w:eastAsia="en-GB"/>
              </w:rPr>
              <w:t>491</w:t>
            </w:r>
            <w:r w:rsidR="001D2D81" w:rsidRPr="000C156A">
              <w:rPr>
                <w:rFonts w:cs="Calibri"/>
                <w:color w:val="000000"/>
                <w:sz w:val="22"/>
                <w:szCs w:val="22"/>
                <w:lang w:eastAsia="en-GB"/>
              </w:rPr>
              <w:t xml:space="preserve"> </w:t>
            </w:r>
            <w:r w:rsidRPr="000C156A">
              <w:rPr>
                <w:rFonts w:cs="Calibri"/>
                <w:color w:val="000000"/>
                <w:sz w:val="22"/>
                <w:szCs w:val="22"/>
                <w:lang w:eastAsia="en-GB"/>
              </w:rPr>
              <w:t>603.47</w:t>
            </w:r>
          </w:p>
        </w:tc>
        <w:tc>
          <w:tcPr>
            <w:tcW w:w="4700" w:type="dxa"/>
            <w:tcBorders>
              <w:top w:val="nil"/>
              <w:left w:val="nil"/>
              <w:bottom w:val="nil"/>
              <w:right w:val="single" w:sz="4" w:space="0" w:color="auto"/>
            </w:tcBorders>
            <w:shd w:val="clear" w:color="auto" w:fill="auto"/>
            <w:noWrap/>
            <w:vAlign w:val="bottom"/>
            <w:hideMark/>
          </w:tcPr>
          <w:p w14:paraId="7F6A0646"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1480" w:type="dxa"/>
            <w:tcBorders>
              <w:top w:val="single" w:sz="4" w:space="0" w:color="auto"/>
              <w:left w:val="nil"/>
              <w:bottom w:val="double" w:sz="6" w:space="0" w:color="auto"/>
              <w:right w:val="single" w:sz="4" w:space="0" w:color="auto"/>
            </w:tcBorders>
            <w:shd w:val="clear" w:color="000000" w:fill="F2F2F2"/>
            <w:noWrap/>
            <w:vAlign w:val="bottom"/>
            <w:hideMark/>
          </w:tcPr>
          <w:p w14:paraId="217FAACF" w14:textId="1A9B0405"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r w:rsidRPr="000C156A">
              <w:rPr>
                <w:rFonts w:cs="Calibri"/>
                <w:color w:val="000000"/>
                <w:sz w:val="22"/>
                <w:szCs w:val="22"/>
                <w:lang w:eastAsia="en-GB"/>
              </w:rPr>
              <w:t>491</w:t>
            </w:r>
            <w:r w:rsidR="001D2D81" w:rsidRPr="000C156A">
              <w:rPr>
                <w:rFonts w:cs="Calibri"/>
                <w:color w:val="000000"/>
                <w:sz w:val="22"/>
                <w:szCs w:val="22"/>
                <w:lang w:eastAsia="en-GB"/>
              </w:rPr>
              <w:t xml:space="preserve"> </w:t>
            </w:r>
            <w:r w:rsidRPr="000C156A">
              <w:rPr>
                <w:rFonts w:cs="Calibri"/>
                <w:color w:val="000000"/>
                <w:sz w:val="22"/>
                <w:szCs w:val="22"/>
                <w:lang w:eastAsia="en-GB"/>
              </w:rPr>
              <w:t>603.47</w:t>
            </w:r>
          </w:p>
        </w:tc>
      </w:tr>
      <w:tr w:rsidR="00686EC7" w:rsidRPr="000C156A" w14:paraId="2604295E" w14:textId="77777777" w:rsidTr="00141BAA">
        <w:trPr>
          <w:trHeight w:val="300"/>
          <w:jc w:val="center"/>
        </w:trPr>
        <w:tc>
          <w:tcPr>
            <w:tcW w:w="4820" w:type="dxa"/>
            <w:tcBorders>
              <w:top w:val="nil"/>
              <w:left w:val="single" w:sz="4" w:space="0" w:color="auto"/>
              <w:bottom w:val="nil"/>
              <w:right w:val="single" w:sz="4" w:space="0" w:color="auto"/>
            </w:tcBorders>
            <w:shd w:val="clear" w:color="auto" w:fill="auto"/>
            <w:noWrap/>
            <w:vAlign w:val="bottom"/>
            <w:hideMark/>
          </w:tcPr>
          <w:p w14:paraId="5FA05C45"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14:paraId="2600B389" w14:textId="77777777"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4700" w:type="dxa"/>
            <w:tcBorders>
              <w:top w:val="nil"/>
              <w:left w:val="nil"/>
              <w:bottom w:val="nil"/>
              <w:right w:val="single" w:sz="4" w:space="0" w:color="auto"/>
            </w:tcBorders>
            <w:shd w:val="clear" w:color="auto" w:fill="auto"/>
            <w:noWrap/>
            <w:vAlign w:val="bottom"/>
            <w:hideMark/>
          </w:tcPr>
          <w:p w14:paraId="03F45AE7"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14:paraId="504FF202" w14:textId="77777777"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p>
        </w:tc>
      </w:tr>
      <w:tr w:rsidR="00686EC7" w:rsidRPr="000C156A" w14:paraId="3B132939" w14:textId="77777777" w:rsidTr="00141BAA">
        <w:trPr>
          <w:trHeight w:val="288"/>
          <w:jc w:val="center"/>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08B3D18B"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1480" w:type="dxa"/>
            <w:tcBorders>
              <w:top w:val="nil"/>
              <w:left w:val="nil"/>
              <w:bottom w:val="single" w:sz="4" w:space="0" w:color="auto"/>
              <w:right w:val="single" w:sz="4" w:space="0" w:color="auto"/>
            </w:tcBorders>
            <w:shd w:val="clear" w:color="auto" w:fill="auto"/>
            <w:noWrap/>
            <w:vAlign w:val="bottom"/>
            <w:hideMark/>
          </w:tcPr>
          <w:p w14:paraId="757A8587" w14:textId="77777777"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4700" w:type="dxa"/>
            <w:tcBorders>
              <w:top w:val="nil"/>
              <w:left w:val="nil"/>
              <w:bottom w:val="single" w:sz="4" w:space="0" w:color="auto"/>
              <w:right w:val="single" w:sz="4" w:space="0" w:color="auto"/>
            </w:tcBorders>
            <w:shd w:val="clear" w:color="auto" w:fill="auto"/>
            <w:noWrap/>
            <w:vAlign w:val="bottom"/>
            <w:hideMark/>
          </w:tcPr>
          <w:p w14:paraId="7861898B" w14:textId="77777777" w:rsidR="00686EC7" w:rsidRPr="000C156A" w:rsidRDefault="00686EC7" w:rsidP="00141BAA">
            <w:pPr>
              <w:overflowPunct/>
              <w:autoSpaceDE/>
              <w:autoSpaceDN/>
              <w:adjustRightInd/>
              <w:spacing w:before="0"/>
              <w:textAlignment w:val="auto"/>
              <w:rPr>
                <w:rFonts w:eastAsia="Times New Roman" w:cs="Calibri"/>
                <w:color w:val="000000"/>
                <w:sz w:val="22"/>
                <w:szCs w:val="22"/>
                <w:lang w:eastAsia="zh-CN"/>
              </w:rPr>
            </w:pPr>
            <w:r w:rsidRPr="000C156A">
              <w:rPr>
                <w:rFonts w:eastAsia="Times New Roman" w:cs="Calibri"/>
                <w:color w:val="000000"/>
                <w:sz w:val="22"/>
                <w:szCs w:val="22"/>
                <w:lang w:eastAsia="zh-CN"/>
              </w:rPr>
              <w:t> </w:t>
            </w:r>
          </w:p>
        </w:tc>
        <w:tc>
          <w:tcPr>
            <w:tcW w:w="1480" w:type="dxa"/>
            <w:tcBorders>
              <w:top w:val="nil"/>
              <w:left w:val="nil"/>
              <w:bottom w:val="single" w:sz="4" w:space="0" w:color="auto"/>
              <w:right w:val="single" w:sz="4" w:space="0" w:color="auto"/>
            </w:tcBorders>
            <w:shd w:val="clear" w:color="auto" w:fill="auto"/>
            <w:noWrap/>
            <w:vAlign w:val="bottom"/>
            <w:hideMark/>
          </w:tcPr>
          <w:p w14:paraId="50E6A34A" w14:textId="77777777" w:rsidR="00686EC7" w:rsidRPr="000C156A" w:rsidRDefault="00686EC7" w:rsidP="00141BAA">
            <w:pPr>
              <w:overflowPunct/>
              <w:autoSpaceDE/>
              <w:autoSpaceDN/>
              <w:adjustRightInd/>
              <w:spacing w:before="0"/>
              <w:jc w:val="right"/>
              <w:textAlignment w:val="auto"/>
              <w:rPr>
                <w:rFonts w:eastAsia="Times New Roman" w:cs="Calibri"/>
                <w:color w:val="000000"/>
                <w:sz w:val="22"/>
                <w:szCs w:val="22"/>
                <w:lang w:eastAsia="zh-CN"/>
              </w:rPr>
            </w:pPr>
          </w:p>
        </w:tc>
      </w:tr>
    </w:tbl>
    <w:p w14:paraId="6921334A" w14:textId="77777777" w:rsidR="00686EC7" w:rsidRPr="000C156A" w:rsidRDefault="00686EC7" w:rsidP="00686EC7">
      <w:pPr>
        <w:tabs>
          <w:tab w:val="left" w:pos="720"/>
        </w:tabs>
        <w:overflowPunct/>
        <w:adjustRightInd/>
        <w:spacing w:before="0"/>
      </w:pPr>
      <w:r w:rsidRPr="000C156A">
        <w:br w:type="page"/>
      </w:r>
    </w:p>
    <w:p w14:paraId="39B997F1" w14:textId="77777777" w:rsidR="00686EC7" w:rsidRPr="000C156A" w:rsidRDefault="00686EC7" w:rsidP="00686EC7">
      <w:pPr>
        <w:pStyle w:val="AnnexNo"/>
        <w:outlineLvl w:val="0"/>
        <w:rPr>
          <w:w w:val="105"/>
          <w:szCs w:val="24"/>
          <w:lang w:val="en-US" w:eastAsia="zh-CN"/>
        </w:rPr>
      </w:pPr>
      <w:bookmarkStart w:id="1221" w:name="_Toc482894277"/>
      <w:bookmarkStart w:id="1222" w:name="_Toc41908092"/>
      <w:bookmarkStart w:id="1223" w:name="_Toc73519309"/>
      <w:bookmarkStart w:id="1224" w:name="_Toc73636346"/>
      <w:r w:rsidRPr="000C156A">
        <w:rPr>
          <w:rFonts w:hint="eastAsia"/>
          <w:lang w:eastAsia="zh-CN"/>
        </w:rPr>
        <w:lastRenderedPageBreak/>
        <w:t>附件</w:t>
      </w:r>
      <w:bookmarkEnd w:id="1221"/>
      <w:r w:rsidRPr="000C156A">
        <w:rPr>
          <w:lang w:eastAsia="zh-CN"/>
        </w:rPr>
        <w:t>B7</w:t>
      </w:r>
      <w:bookmarkEnd w:id="1222"/>
      <w:bookmarkEnd w:id="1223"/>
      <w:bookmarkEnd w:id="1224"/>
    </w:p>
    <w:p w14:paraId="2006CE45" w14:textId="77777777" w:rsidR="00686EC7" w:rsidRPr="000C156A" w:rsidRDefault="00686EC7" w:rsidP="00163310">
      <w:pPr>
        <w:pStyle w:val="Annextitle"/>
        <w:rPr>
          <w:w w:val="105"/>
          <w:szCs w:val="28"/>
          <w:lang w:val="en-US" w:eastAsia="zh-CN"/>
        </w:rPr>
      </w:pPr>
      <w:r w:rsidRPr="000C156A">
        <w:rPr>
          <w:rFonts w:hint="eastAsia"/>
          <w:w w:val="105"/>
          <w:szCs w:val="28"/>
          <w:lang w:val="en-US" w:eastAsia="zh-CN"/>
        </w:rPr>
        <w:t>国际电联</w:t>
      </w:r>
      <w:r w:rsidRPr="000C156A">
        <w:rPr>
          <w:w w:val="105"/>
          <w:szCs w:val="28"/>
          <w:lang w:val="en-US" w:eastAsia="zh-CN"/>
        </w:rPr>
        <w:t>2020</w:t>
      </w:r>
      <w:r w:rsidRPr="000C156A">
        <w:rPr>
          <w:rFonts w:hint="eastAsia"/>
          <w:w w:val="105"/>
          <w:szCs w:val="28"/>
          <w:lang w:val="en-US" w:eastAsia="zh-CN"/>
        </w:rPr>
        <w:t>年世界电信展</w:t>
      </w:r>
    </w:p>
    <w:p w14:paraId="4023FF1D" w14:textId="2F40D023" w:rsidR="00686EC7" w:rsidRPr="000C156A" w:rsidRDefault="00D53522" w:rsidP="00686EC7">
      <w:pPr>
        <w:overflowPunct/>
        <w:autoSpaceDE/>
        <w:autoSpaceDN/>
        <w:adjustRightInd/>
        <w:spacing w:before="0"/>
        <w:textAlignment w:val="auto"/>
        <w:rPr>
          <w:sz w:val="12"/>
          <w:szCs w:val="12"/>
          <w:lang w:val="en-US" w:eastAsia="zh-CN"/>
        </w:rPr>
        <w:sectPr w:rsidR="00686EC7" w:rsidRPr="000C156A" w:rsidSect="00141BAA">
          <w:headerReference w:type="default" r:id="rId73"/>
          <w:footerReference w:type="default" r:id="rId74"/>
          <w:footerReference w:type="first" r:id="rId75"/>
          <w:pgSz w:w="16834" w:h="11907" w:orient="landscape"/>
          <w:pgMar w:top="1134" w:right="1418" w:bottom="1134" w:left="1418" w:header="720" w:footer="720" w:gutter="0"/>
          <w:paperSrc w:first="15" w:other="15"/>
          <w:cols w:space="720"/>
          <w:titlePg/>
          <w:docGrid w:linePitch="326"/>
        </w:sectPr>
      </w:pPr>
      <w:r w:rsidRPr="00D53522">
        <w:drawing>
          <wp:inline distT="0" distB="0" distL="0" distR="0" wp14:anchorId="14F4208B" wp14:editId="6BBF1C70">
            <wp:extent cx="8888730" cy="4118158"/>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888730" cy="4118158"/>
                    </a:xfrm>
                    <a:prstGeom prst="rect">
                      <a:avLst/>
                    </a:prstGeom>
                    <a:noFill/>
                    <a:ln>
                      <a:noFill/>
                    </a:ln>
                  </pic:spPr>
                </pic:pic>
              </a:graphicData>
            </a:graphic>
          </wp:inline>
        </w:drawing>
      </w:r>
      <w:r w:rsidR="00686EC7" w:rsidRPr="000C156A">
        <w:rPr>
          <w:sz w:val="12"/>
          <w:szCs w:val="12"/>
          <w:lang w:val="en-US" w:eastAsia="zh-CN"/>
        </w:rPr>
        <w:br w:type="page"/>
      </w:r>
    </w:p>
    <w:p w14:paraId="3FFED167" w14:textId="77777777" w:rsidR="00686EC7" w:rsidRPr="000C156A" w:rsidRDefault="00686EC7" w:rsidP="003A2689">
      <w:pPr>
        <w:pStyle w:val="AnnexNo"/>
        <w:spacing w:before="0"/>
        <w:rPr>
          <w:lang w:eastAsia="zh-CN"/>
        </w:rPr>
      </w:pPr>
      <w:bookmarkStart w:id="1225" w:name="_Toc482894803"/>
      <w:bookmarkStart w:id="1226" w:name="_Toc482894278"/>
      <w:bookmarkStart w:id="1227" w:name="_Toc41905918"/>
      <w:bookmarkStart w:id="1228" w:name="_Toc41908093"/>
      <w:bookmarkStart w:id="1229" w:name="_Toc73519310"/>
      <w:r w:rsidRPr="000C156A">
        <w:rPr>
          <w:rFonts w:hint="eastAsia"/>
          <w:lang w:eastAsia="zh-CN"/>
        </w:rPr>
        <w:lastRenderedPageBreak/>
        <w:t>附件</w:t>
      </w:r>
      <w:bookmarkEnd w:id="1225"/>
      <w:bookmarkEnd w:id="1226"/>
      <w:r w:rsidRPr="000C156A">
        <w:rPr>
          <w:lang w:eastAsia="zh-CN"/>
        </w:rPr>
        <w:t>C</w:t>
      </w:r>
      <w:bookmarkEnd w:id="1227"/>
      <w:bookmarkEnd w:id="1228"/>
      <w:bookmarkEnd w:id="1229"/>
    </w:p>
    <w:p w14:paraId="2DB43C67" w14:textId="77777777" w:rsidR="00686EC7" w:rsidRPr="000C156A" w:rsidRDefault="00686EC7" w:rsidP="00686EC7">
      <w:pPr>
        <w:pStyle w:val="Annextitle"/>
        <w:rPr>
          <w:rFonts w:asciiTheme="minorHAnsi" w:hAnsiTheme="minorHAnsi"/>
          <w:lang w:eastAsia="zh-CN"/>
        </w:rPr>
      </w:pPr>
      <w:bookmarkStart w:id="1230" w:name="_Toc482894804"/>
      <w:bookmarkStart w:id="1231" w:name="_Toc482892592"/>
      <w:bookmarkStart w:id="1232" w:name="_Toc511768734"/>
      <w:bookmarkStart w:id="1233" w:name="_Toc10536311"/>
      <w:r w:rsidRPr="000C156A">
        <w:rPr>
          <w:rFonts w:asciiTheme="minorHAnsi" w:hAnsiTheme="minorHAnsi" w:hint="eastAsia"/>
          <w:lang w:eastAsia="zh-CN"/>
        </w:rPr>
        <w:t>截至</w:t>
      </w:r>
      <w:r w:rsidRPr="000C156A">
        <w:rPr>
          <w:rFonts w:asciiTheme="minorHAnsi" w:hAnsiTheme="minorHAnsi"/>
          <w:lang w:eastAsia="zh-CN"/>
        </w:rPr>
        <w:t>2020</w:t>
      </w:r>
      <w:r w:rsidRPr="000C156A">
        <w:rPr>
          <w:rFonts w:asciiTheme="minorHAnsi" w:hAnsiTheme="minorHAnsi" w:hint="eastAsia"/>
          <w:lang w:eastAsia="zh-CN"/>
        </w:rPr>
        <w:t>年</w:t>
      </w:r>
      <w:r w:rsidRPr="000C156A">
        <w:rPr>
          <w:rFonts w:asciiTheme="minorHAnsi" w:hAnsiTheme="minorHAnsi"/>
          <w:lang w:eastAsia="zh-CN"/>
        </w:rPr>
        <w:t>12</w:t>
      </w:r>
      <w:r w:rsidRPr="000C156A">
        <w:rPr>
          <w:rFonts w:asciiTheme="minorHAnsi" w:hAnsiTheme="minorHAnsi" w:hint="eastAsia"/>
          <w:lang w:eastAsia="zh-CN"/>
        </w:rPr>
        <w:t>月</w:t>
      </w:r>
      <w:r w:rsidRPr="000C156A">
        <w:rPr>
          <w:rFonts w:asciiTheme="minorHAnsi" w:hAnsiTheme="minorHAnsi"/>
          <w:lang w:eastAsia="zh-CN"/>
        </w:rPr>
        <w:t>31</w:t>
      </w:r>
      <w:r w:rsidRPr="000C156A">
        <w:rPr>
          <w:rFonts w:asciiTheme="minorHAnsi" w:hAnsiTheme="minorHAnsi" w:hint="eastAsia"/>
          <w:lang w:eastAsia="zh-CN"/>
        </w:rPr>
        <w:t>日的欠款状况</w:t>
      </w:r>
      <w:bookmarkEnd w:id="1230"/>
      <w:bookmarkEnd w:id="1231"/>
      <w:bookmarkEnd w:id="1232"/>
      <w:bookmarkEnd w:id="1233"/>
    </w:p>
    <w:p w14:paraId="767E090A" w14:textId="77777777" w:rsidR="00686EC7" w:rsidRPr="000C156A" w:rsidRDefault="00686EC7" w:rsidP="00E213C9">
      <w:pPr>
        <w:pStyle w:val="Tabletitle"/>
        <w:rPr>
          <w:lang w:val="fr-FR" w:eastAsia="zh-CN"/>
        </w:rPr>
      </w:pPr>
      <w:r w:rsidRPr="000C156A">
        <w:rPr>
          <w:rFonts w:cs="Microsoft YaHei" w:hint="eastAsia"/>
          <w:lang w:val="fr-FR" w:eastAsia="zh-CN"/>
        </w:rPr>
        <w:t>会费和出版物欠款金额</w:t>
      </w:r>
    </w:p>
    <w:tbl>
      <w:tblPr>
        <w:tblW w:w="4862" w:type="pct"/>
        <w:tblLook w:val="04A0" w:firstRow="1" w:lastRow="0" w:firstColumn="1" w:lastColumn="0" w:noHBand="0" w:noVBand="1"/>
      </w:tblPr>
      <w:tblGrid>
        <w:gridCol w:w="3968"/>
        <w:gridCol w:w="1319"/>
        <w:gridCol w:w="1487"/>
        <w:gridCol w:w="1102"/>
        <w:gridCol w:w="1487"/>
      </w:tblGrid>
      <w:tr w:rsidR="00686EC7" w:rsidRPr="000C156A" w14:paraId="7B1D39E1" w14:textId="77777777" w:rsidTr="00141BAA">
        <w:trPr>
          <w:trHeight w:val="270"/>
        </w:trPr>
        <w:tc>
          <w:tcPr>
            <w:tcW w:w="21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DCBBA" w14:textId="77777777" w:rsidR="00686EC7" w:rsidRPr="000C156A" w:rsidRDefault="00686EC7" w:rsidP="00141BAA">
            <w:pPr>
              <w:overflowPunct/>
              <w:autoSpaceDE/>
              <w:autoSpaceDN/>
              <w:adjustRightInd/>
              <w:spacing w:before="0"/>
              <w:textAlignment w:val="auto"/>
              <w:rPr>
                <w:rFonts w:cs="Calibri"/>
                <w:b/>
                <w:bCs/>
                <w:sz w:val="22"/>
                <w:szCs w:val="22"/>
                <w:lang w:eastAsia="en-GB"/>
              </w:rPr>
            </w:pPr>
            <w:r w:rsidRPr="000C156A">
              <w:rPr>
                <w:b/>
                <w:bCs/>
                <w:sz w:val="22"/>
                <w:szCs w:val="22"/>
              </w:rPr>
              <w:t>A.</w:t>
            </w:r>
            <w:r w:rsidRPr="000C156A">
              <w:rPr>
                <w:rFonts w:hint="eastAsia"/>
                <w:b/>
                <w:bCs/>
                <w:sz w:val="22"/>
                <w:szCs w:val="22"/>
              </w:rPr>
              <w:t>国际电联成员国</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14:paraId="63ED8B97" w14:textId="77777777" w:rsidR="00686EC7" w:rsidRPr="000C156A" w:rsidRDefault="00686EC7" w:rsidP="00141BAA">
            <w:pPr>
              <w:overflowPunct/>
              <w:autoSpaceDE/>
              <w:autoSpaceDN/>
              <w:adjustRightInd/>
              <w:spacing w:before="0"/>
              <w:jc w:val="center"/>
              <w:textAlignment w:val="auto"/>
              <w:rPr>
                <w:rFonts w:cs="Calibri"/>
                <w:b/>
                <w:bCs/>
                <w:sz w:val="22"/>
                <w:szCs w:val="22"/>
                <w:lang w:eastAsia="en-GB"/>
              </w:rPr>
            </w:pPr>
            <w:r w:rsidRPr="000C156A">
              <w:rPr>
                <w:rFonts w:hint="eastAsia"/>
                <w:b/>
                <w:bCs/>
                <w:sz w:val="22"/>
                <w:szCs w:val="22"/>
              </w:rPr>
              <w:t>年份</w:t>
            </w:r>
          </w:p>
        </w:tc>
        <w:tc>
          <w:tcPr>
            <w:tcW w:w="780" w:type="pct"/>
            <w:tcBorders>
              <w:top w:val="single" w:sz="4" w:space="0" w:color="auto"/>
              <w:left w:val="nil"/>
              <w:bottom w:val="single" w:sz="4" w:space="0" w:color="auto"/>
              <w:right w:val="single" w:sz="4" w:space="0" w:color="auto"/>
            </w:tcBorders>
            <w:shd w:val="clear" w:color="auto" w:fill="auto"/>
            <w:noWrap/>
            <w:vAlign w:val="bottom"/>
            <w:hideMark/>
          </w:tcPr>
          <w:p w14:paraId="2B1104B6" w14:textId="77777777" w:rsidR="00686EC7" w:rsidRPr="000C156A" w:rsidRDefault="00686EC7" w:rsidP="00141BAA">
            <w:pPr>
              <w:overflowPunct/>
              <w:autoSpaceDE/>
              <w:autoSpaceDN/>
              <w:adjustRightInd/>
              <w:spacing w:before="0"/>
              <w:jc w:val="center"/>
              <w:textAlignment w:val="auto"/>
              <w:rPr>
                <w:rFonts w:cs="Calibri"/>
                <w:b/>
                <w:bCs/>
                <w:sz w:val="22"/>
                <w:szCs w:val="22"/>
                <w:lang w:eastAsia="en-GB"/>
              </w:rPr>
            </w:pPr>
            <w:r w:rsidRPr="000C156A">
              <w:rPr>
                <w:rFonts w:hint="eastAsia"/>
                <w:b/>
                <w:bCs/>
                <w:sz w:val="22"/>
                <w:szCs w:val="22"/>
              </w:rPr>
              <w:t>会费</w:t>
            </w:r>
          </w:p>
        </w:tc>
        <w:tc>
          <w:tcPr>
            <w:tcW w:w="583" w:type="pct"/>
            <w:tcBorders>
              <w:top w:val="single" w:sz="4" w:space="0" w:color="auto"/>
              <w:left w:val="nil"/>
              <w:bottom w:val="single" w:sz="4" w:space="0" w:color="auto"/>
              <w:right w:val="single" w:sz="4" w:space="0" w:color="auto"/>
            </w:tcBorders>
            <w:shd w:val="clear" w:color="auto" w:fill="auto"/>
            <w:noWrap/>
            <w:vAlign w:val="bottom"/>
            <w:hideMark/>
          </w:tcPr>
          <w:p w14:paraId="46EE8053" w14:textId="77777777" w:rsidR="00686EC7" w:rsidRPr="000C156A" w:rsidRDefault="00686EC7" w:rsidP="00141BAA">
            <w:pPr>
              <w:overflowPunct/>
              <w:autoSpaceDE/>
              <w:autoSpaceDN/>
              <w:adjustRightInd/>
              <w:spacing w:before="0"/>
              <w:jc w:val="center"/>
              <w:textAlignment w:val="auto"/>
              <w:rPr>
                <w:rFonts w:cs="Calibri"/>
                <w:b/>
                <w:bCs/>
                <w:sz w:val="22"/>
                <w:szCs w:val="22"/>
                <w:lang w:eastAsia="en-GB"/>
              </w:rPr>
            </w:pPr>
            <w:r w:rsidRPr="000C156A">
              <w:rPr>
                <w:rFonts w:hint="eastAsia"/>
                <w:b/>
                <w:bCs/>
                <w:sz w:val="22"/>
                <w:szCs w:val="22"/>
              </w:rPr>
              <w:t>出版物</w:t>
            </w:r>
          </w:p>
        </w:tc>
        <w:tc>
          <w:tcPr>
            <w:tcW w:w="780" w:type="pct"/>
            <w:tcBorders>
              <w:top w:val="single" w:sz="4" w:space="0" w:color="auto"/>
              <w:left w:val="nil"/>
              <w:bottom w:val="single" w:sz="4" w:space="0" w:color="auto"/>
              <w:right w:val="single" w:sz="4" w:space="0" w:color="auto"/>
            </w:tcBorders>
            <w:shd w:val="clear" w:color="auto" w:fill="auto"/>
            <w:noWrap/>
            <w:vAlign w:val="bottom"/>
            <w:hideMark/>
          </w:tcPr>
          <w:p w14:paraId="46BDD18F" w14:textId="77777777" w:rsidR="00686EC7" w:rsidRPr="000C156A" w:rsidRDefault="00686EC7" w:rsidP="00141BAA">
            <w:pPr>
              <w:overflowPunct/>
              <w:autoSpaceDE/>
              <w:autoSpaceDN/>
              <w:adjustRightInd/>
              <w:spacing w:before="0"/>
              <w:jc w:val="center"/>
              <w:textAlignment w:val="auto"/>
              <w:rPr>
                <w:rFonts w:cs="Calibri"/>
                <w:b/>
                <w:bCs/>
                <w:sz w:val="22"/>
                <w:szCs w:val="22"/>
                <w:lang w:eastAsia="en-GB"/>
              </w:rPr>
            </w:pPr>
            <w:r w:rsidRPr="000C156A">
              <w:rPr>
                <w:rFonts w:hint="eastAsia"/>
                <w:b/>
                <w:bCs/>
                <w:sz w:val="22"/>
                <w:szCs w:val="22"/>
              </w:rPr>
              <w:t>合计</w:t>
            </w:r>
          </w:p>
        </w:tc>
      </w:tr>
      <w:tr w:rsidR="00686EC7" w:rsidRPr="000C156A" w14:paraId="10480937" w14:textId="77777777" w:rsidTr="00141BAA">
        <w:trPr>
          <w:trHeight w:val="270"/>
        </w:trPr>
        <w:tc>
          <w:tcPr>
            <w:tcW w:w="2136" w:type="pct"/>
            <w:tcBorders>
              <w:top w:val="nil"/>
              <w:left w:val="single" w:sz="4" w:space="0" w:color="auto"/>
              <w:bottom w:val="nil"/>
              <w:right w:val="single" w:sz="4" w:space="0" w:color="auto"/>
            </w:tcBorders>
            <w:shd w:val="clear" w:color="auto" w:fill="auto"/>
            <w:noWrap/>
            <w:vAlign w:val="bottom"/>
            <w:hideMark/>
          </w:tcPr>
          <w:p w14:paraId="2B427243" w14:textId="77777777" w:rsidR="00686EC7" w:rsidRPr="000C156A" w:rsidRDefault="00686EC7" w:rsidP="00141BAA">
            <w:pPr>
              <w:overflowPunct/>
              <w:autoSpaceDE/>
              <w:autoSpaceDN/>
              <w:adjustRightInd/>
              <w:spacing w:before="0"/>
              <w:textAlignment w:val="auto"/>
              <w:rPr>
                <w:rFonts w:cs="Calibri"/>
                <w:sz w:val="22"/>
                <w:szCs w:val="22"/>
                <w:lang w:eastAsia="en-GB"/>
              </w:rPr>
            </w:pPr>
          </w:p>
        </w:tc>
        <w:tc>
          <w:tcPr>
            <w:tcW w:w="721" w:type="pct"/>
            <w:tcBorders>
              <w:top w:val="nil"/>
              <w:left w:val="nil"/>
              <w:bottom w:val="nil"/>
              <w:right w:val="single" w:sz="4" w:space="0" w:color="auto"/>
            </w:tcBorders>
            <w:shd w:val="clear" w:color="auto" w:fill="auto"/>
            <w:noWrap/>
            <w:vAlign w:val="bottom"/>
            <w:hideMark/>
          </w:tcPr>
          <w:p w14:paraId="2F264231" w14:textId="77777777" w:rsidR="00686EC7" w:rsidRPr="000C156A" w:rsidRDefault="00686EC7" w:rsidP="00141BAA">
            <w:pPr>
              <w:overflowPunct/>
              <w:autoSpaceDE/>
              <w:autoSpaceDN/>
              <w:adjustRightInd/>
              <w:spacing w:before="0"/>
              <w:textAlignment w:val="auto"/>
              <w:rPr>
                <w:rFonts w:cs="Calibri"/>
                <w:sz w:val="22"/>
                <w:szCs w:val="22"/>
                <w:lang w:eastAsia="en-GB"/>
              </w:rPr>
            </w:pPr>
          </w:p>
        </w:tc>
        <w:tc>
          <w:tcPr>
            <w:tcW w:w="780" w:type="pct"/>
            <w:tcBorders>
              <w:top w:val="nil"/>
              <w:left w:val="nil"/>
              <w:bottom w:val="nil"/>
              <w:right w:val="single" w:sz="4" w:space="0" w:color="auto"/>
            </w:tcBorders>
            <w:shd w:val="clear" w:color="auto" w:fill="auto"/>
            <w:noWrap/>
            <w:vAlign w:val="bottom"/>
            <w:hideMark/>
          </w:tcPr>
          <w:p w14:paraId="69C62113" w14:textId="77777777" w:rsidR="00686EC7" w:rsidRPr="000C156A" w:rsidRDefault="00686EC7" w:rsidP="00141BAA">
            <w:pPr>
              <w:overflowPunct/>
              <w:autoSpaceDE/>
              <w:autoSpaceDN/>
              <w:adjustRightInd/>
              <w:spacing w:before="0"/>
              <w:textAlignment w:val="auto"/>
              <w:rPr>
                <w:rFonts w:cs="Calibri"/>
                <w:sz w:val="22"/>
                <w:szCs w:val="22"/>
                <w:lang w:eastAsia="en-GB"/>
              </w:rPr>
            </w:pPr>
          </w:p>
        </w:tc>
        <w:tc>
          <w:tcPr>
            <w:tcW w:w="583" w:type="pct"/>
            <w:tcBorders>
              <w:top w:val="nil"/>
              <w:left w:val="nil"/>
              <w:bottom w:val="nil"/>
              <w:right w:val="single" w:sz="4" w:space="0" w:color="auto"/>
            </w:tcBorders>
            <w:shd w:val="clear" w:color="auto" w:fill="auto"/>
            <w:noWrap/>
            <w:vAlign w:val="bottom"/>
            <w:hideMark/>
          </w:tcPr>
          <w:p w14:paraId="70EFB67B" w14:textId="77777777" w:rsidR="00686EC7" w:rsidRPr="000C156A" w:rsidRDefault="00686EC7" w:rsidP="00141BAA">
            <w:pPr>
              <w:overflowPunct/>
              <w:autoSpaceDE/>
              <w:autoSpaceDN/>
              <w:adjustRightInd/>
              <w:spacing w:before="0"/>
              <w:textAlignment w:val="auto"/>
              <w:rPr>
                <w:rFonts w:cs="Calibri"/>
                <w:sz w:val="22"/>
                <w:szCs w:val="22"/>
                <w:lang w:eastAsia="en-GB"/>
              </w:rPr>
            </w:pPr>
          </w:p>
        </w:tc>
        <w:tc>
          <w:tcPr>
            <w:tcW w:w="780" w:type="pct"/>
            <w:tcBorders>
              <w:top w:val="nil"/>
              <w:left w:val="nil"/>
              <w:bottom w:val="nil"/>
              <w:right w:val="single" w:sz="4" w:space="0" w:color="auto"/>
            </w:tcBorders>
            <w:shd w:val="clear" w:color="auto" w:fill="auto"/>
            <w:noWrap/>
            <w:vAlign w:val="bottom"/>
            <w:hideMark/>
          </w:tcPr>
          <w:p w14:paraId="3738920F" w14:textId="77777777" w:rsidR="00686EC7" w:rsidRPr="000C156A" w:rsidRDefault="00686EC7" w:rsidP="00141BAA">
            <w:pPr>
              <w:overflowPunct/>
              <w:autoSpaceDE/>
              <w:autoSpaceDN/>
              <w:adjustRightInd/>
              <w:spacing w:before="0"/>
              <w:textAlignment w:val="auto"/>
              <w:rPr>
                <w:rFonts w:cs="Calibri"/>
                <w:sz w:val="22"/>
                <w:szCs w:val="22"/>
                <w:lang w:eastAsia="en-GB"/>
              </w:rPr>
            </w:pPr>
          </w:p>
        </w:tc>
      </w:tr>
      <w:tr w:rsidR="00686EC7" w:rsidRPr="000C156A" w14:paraId="5CC764DF"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36964C90"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val="en-US" w:eastAsia="en-GB"/>
              </w:rPr>
              <w:t>安提瓜和巴布达</w:t>
            </w:r>
          </w:p>
        </w:tc>
        <w:tc>
          <w:tcPr>
            <w:tcW w:w="721" w:type="pct"/>
            <w:tcBorders>
              <w:top w:val="nil"/>
              <w:left w:val="nil"/>
              <w:bottom w:val="nil"/>
              <w:right w:val="single" w:sz="4" w:space="0" w:color="auto"/>
            </w:tcBorders>
            <w:shd w:val="clear" w:color="auto" w:fill="auto"/>
            <w:noWrap/>
            <w:vAlign w:val="bottom"/>
            <w:hideMark/>
          </w:tcPr>
          <w:p w14:paraId="3F03F206"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1987-2019</w:t>
            </w:r>
          </w:p>
        </w:tc>
        <w:tc>
          <w:tcPr>
            <w:tcW w:w="780" w:type="pct"/>
            <w:tcBorders>
              <w:top w:val="nil"/>
              <w:left w:val="nil"/>
              <w:bottom w:val="nil"/>
              <w:right w:val="single" w:sz="4" w:space="0" w:color="auto"/>
            </w:tcBorders>
            <w:shd w:val="clear" w:color="auto" w:fill="auto"/>
            <w:noWrap/>
            <w:vAlign w:val="bottom"/>
            <w:hideMark/>
          </w:tcPr>
          <w:p w14:paraId="1568B57C" w14:textId="7806C16E"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2</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181</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931.95</w:t>
            </w:r>
          </w:p>
        </w:tc>
        <w:tc>
          <w:tcPr>
            <w:tcW w:w="583" w:type="pct"/>
            <w:tcBorders>
              <w:top w:val="nil"/>
              <w:left w:val="nil"/>
              <w:bottom w:val="nil"/>
              <w:right w:val="single" w:sz="4" w:space="0" w:color="auto"/>
            </w:tcBorders>
            <w:shd w:val="clear" w:color="auto" w:fill="auto"/>
            <w:noWrap/>
            <w:vAlign w:val="bottom"/>
            <w:hideMark/>
          </w:tcPr>
          <w:p w14:paraId="6D071FB3" w14:textId="6A89FB58"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43</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574.90</w:t>
            </w:r>
          </w:p>
        </w:tc>
        <w:tc>
          <w:tcPr>
            <w:tcW w:w="780" w:type="pct"/>
            <w:tcBorders>
              <w:top w:val="nil"/>
              <w:left w:val="nil"/>
              <w:bottom w:val="nil"/>
              <w:right w:val="single" w:sz="4" w:space="0" w:color="auto"/>
            </w:tcBorders>
            <w:shd w:val="clear" w:color="auto" w:fill="auto"/>
            <w:noWrap/>
            <w:vAlign w:val="bottom"/>
            <w:hideMark/>
          </w:tcPr>
          <w:p w14:paraId="45580512" w14:textId="3FD621DD"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2</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225</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506.85</w:t>
            </w:r>
          </w:p>
        </w:tc>
      </w:tr>
      <w:tr w:rsidR="00686EC7" w:rsidRPr="000C156A" w14:paraId="1E1C7E77"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687596FA" w14:textId="77777777" w:rsidR="00686EC7" w:rsidRPr="000C156A" w:rsidRDefault="00686EC7" w:rsidP="00141BAA">
            <w:pPr>
              <w:rPr>
                <w:rFonts w:asciiTheme="minorHAnsi" w:hAnsiTheme="minorHAnsi"/>
                <w:sz w:val="22"/>
              </w:rPr>
            </w:pPr>
            <w:r w:rsidRPr="000C156A">
              <w:rPr>
                <w:rFonts w:asciiTheme="minorHAnsi" w:hAnsiTheme="minorHAnsi" w:cstheme="minorHAnsi" w:hint="eastAsia"/>
                <w:sz w:val="22"/>
                <w:szCs w:val="22"/>
                <w:lang w:eastAsia="zh-CN"/>
              </w:rPr>
              <w:t>巴西</w:t>
            </w:r>
          </w:p>
        </w:tc>
        <w:tc>
          <w:tcPr>
            <w:tcW w:w="721" w:type="pct"/>
            <w:tcBorders>
              <w:top w:val="nil"/>
              <w:left w:val="nil"/>
              <w:bottom w:val="nil"/>
              <w:right w:val="single" w:sz="4" w:space="0" w:color="auto"/>
            </w:tcBorders>
            <w:shd w:val="clear" w:color="auto" w:fill="auto"/>
            <w:noWrap/>
            <w:vAlign w:val="bottom"/>
            <w:hideMark/>
          </w:tcPr>
          <w:p w14:paraId="022DD81B"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2018-2019</w:t>
            </w:r>
          </w:p>
        </w:tc>
        <w:tc>
          <w:tcPr>
            <w:tcW w:w="780" w:type="pct"/>
            <w:tcBorders>
              <w:top w:val="nil"/>
              <w:left w:val="nil"/>
              <w:bottom w:val="nil"/>
              <w:right w:val="single" w:sz="4" w:space="0" w:color="auto"/>
            </w:tcBorders>
            <w:shd w:val="clear" w:color="auto" w:fill="auto"/>
            <w:noWrap/>
            <w:vAlign w:val="bottom"/>
            <w:hideMark/>
          </w:tcPr>
          <w:p w14:paraId="33C82AC6" w14:textId="6FA4DA38"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60</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980.80</w:t>
            </w:r>
          </w:p>
        </w:tc>
        <w:tc>
          <w:tcPr>
            <w:tcW w:w="583" w:type="pct"/>
            <w:tcBorders>
              <w:top w:val="nil"/>
              <w:left w:val="nil"/>
              <w:bottom w:val="nil"/>
              <w:right w:val="single" w:sz="4" w:space="0" w:color="auto"/>
            </w:tcBorders>
            <w:shd w:val="clear" w:color="auto" w:fill="auto"/>
            <w:noWrap/>
            <w:vAlign w:val="bottom"/>
            <w:hideMark/>
          </w:tcPr>
          <w:p w14:paraId="211DB2CB"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hideMark/>
          </w:tcPr>
          <w:p w14:paraId="0B60DD75" w14:textId="6BF89868"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60</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980.80</w:t>
            </w:r>
          </w:p>
        </w:tc>
      </w:tr>
      <w:tr w:rsidR="00686EC7" w:rsidRPr="000C156A" w14:paraId="0F01A753"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462C4E1B"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喀麦隆</w:t>
            </w:r>
          </w:p>
        </w:tc>
        <w:tc>
          <w:tcPr>
            <w:tcW w:w="721" w:type="pct"/>
            <w:tcBorders>
              <w:top w:val="nil"/>
              <w:left w:val="nil"/>
              <w:bottom w:val="nil"/>
              <w:right w:val="single" w:sz="4" w:space="0" w:color="auto"/>
            </w:tcBorders>
            <w:shd w:val="clear" w:color="auto" w:fill="auto"/>
            <w:noWrap/>
            <w:vAlign w:val="bottom"/>
            <w:hideMark/>
          </w:tcPr>
          <w:p w14:paraId="2CBD4876"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2014-2019</w:t>
            </w:r>
          </w:p>
        </w:tc>
        <w:tc>
          <w:tcPr>
            <w:tcW w:w="780" w:type="pct"/>
            <w:tcBorders>
              <w:top w:val="nil"/>
              <w:left w:val="nil"/>
              <w:bottom w:val="nil"/>
              <w:right w:val="single" w:sz="4" w:space="0" w:color="auto"/>
            </w:tcBorders>
            <w:shd w:val="clear" w:color="auto" w:fill="auto"/>
            <w:noWrap/>
            <w:vAlign w:val="bottom"/>
            <w:hideMark/>
          </w:tcPr>
          <w:p w14:paraId="7491AADC" w14:textId="2F652BBF"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703</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561.22</w:t>
            </w:r>
          </w:p>
        </w:tc>
        <w:tc>
          <w:tcPr>
            <w:tcW w:w="583" w:type="pct"/>
            <w:tcBorders>
              <w:top w:val="nil"/>
              <w:left w:val="nil"/>
              <w:bottom w:val="nil"/>
              <w:right w:val="single" w:sz="4" w:space="0" w:color="auto"/>
            </w:tcBorders>
            <w:shd w:val="clear" w:color="auto" w:fill="auto"/>
            <w:noWrap/>
            <w:vAlign w:val="bottom"/>
            <w:hideMark/>
          </w:tcPr>
          <w:p w14:paraId="1354AB84"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hideMark/>
          </w:tcPr>
          <w:p w14:paraId="3244A884" w14:textId="29037D61"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703</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561.22</w:t>
            </w:r>
          </w:p>
        </w:tc>
      </w:tr>
      <w:tr w:rsidR="00686EC7" w:rsidRPr="000C156A" w14:paraId="19C187B7"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4D7CC6AF"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乍得</w:t>
            </w:r>
          </w:p>
        </w:tc>
        <w:tc>
          <w:tcPr>
            <w:tcW w:w="721" w:type="pct"/>
            <w:tcBorders>
              <w:top w:val="nil"/>
              <w:left w:val="nil"/>
              <w:bottom w:val="nil"/>
              <w:right w:val="single" w:sz="4" w:space="0" w:color="auto"/>
            </w:tcBorders>
            <w:shd w:val="clear" w:color="auto" w:fill="auto"/>
            <w:noWrap/>
            <w:vAlign w:val="bottom"/>
            <w:hideMark/>
          </w:tcPr>
          <w:p w14:paraId="46DF15DE"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2017-2019</w:t>
            </w:r>
          </w:p>
        </w:tc>
        <w:tc>
          <w:tcPr>
            <w:tcW w:w="780" w:type="pct"/>
            <w:tcBorders>
              <w:top w:val="nil"/>
              <w:left w:val="nil"/>
              <w:bottom w:val="nil"/>
              <w:right w:val="single" w:sz="4" w:space="0" w:color="auto"/>
            </w:tcBorders>
            <w:shd w:val="clear" w:color="auto" w:fill="auto"/>
            <w:noWrap/>
            <w:vAlign w:val="bottom"/>
            <w:hideMark/>
          </w:tcPr>
          <w:p w14:paraId="7756CDDF" w14:textId="59F0A828"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46</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447.50</w:t>
            </w:r>
          </w:p>
        </w:tc>
        <w:tc>
          <w:tcPr>
            <w:tcW w:w="583" w:type="pct"/>
            <w:tcBorders>
              <w:top w:val="nil"/>
              <w:left w:val="nil"/>
              <w:bottom w:val="nil"/>
              <w:right w:val="single" w:sz="4" w:space="0" w:color="auto"/>
            </w:tcBorders>
            <w:shd w:val="clear" w:color="auto" w:fill="auto"/>
            <w:noWrap/>
            <w:vAlign w:val="bottom"/>
            <w:hideMark/>
          </w:tcPr>
          <w:p w14:paraId="5824D740"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hideMark/>
          </w:tcPr>
          <w:p w14:paraId="18629A2E" w14:textId="6DCF1595"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46</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447.50</w:t>
            </w:r>
          </w:p>
        </w:tc>
      </w:tr>
      <w:tr w:rsidR="00686EC7" w:rsidRPr="000C156A" w14:paraId="1D43C1D7"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tcPr>
          <w:p w14:paraId="30804961" w14:textId="77777777" w:rsidR="00686EC7" w:rsidRPr="000C156A" w:rsidRDefault="00686EC7" w:rsidP="00141BAA">
            <w:pPr>
              <w:rPr>
                <w:rFonts w:asciiTheme="minorHAnsi" w:hAnsiTheme="minorHAnsi" w:cstheme="minorHAnsi"/>
                <w:sz w:val="22"/>
                <w:szCs w:val="22"/>
              </w:rPr>
            </w:pPr>
            <w:r w:rsidRPr="000C156A">
              <w:rPr>
                <w:rFonts w:asciiTheme="minorHAnsi" w:hAnsiTheme="minorHAnsi" w:cstheme="minorHAnsi"/>
                <w:sz w:val="22"/>
                <w:szCs w:val="22"/>
              </w:rPr>
              <w:t>科摩罗</w:t>
            </w:r>
          </w:p>
        </w:tc>
        <w:tc>
          <w:tcPr>
            <w:tcW w:w="721" w:type="pct"/>
            <w:tcBorders>
              <w:top w:val="nil"/>
              <w:left w:val="nil"/>
              <w:bottom w:val="nil"/>
              <w:right w:val="single" w:sz="4" w:space="0" w:color="auto"/>
            </w:tcBorders>
            <w:shd w:val="clear" w:color="auto" w:fill="auto"/>
            <w:noWrap/>
            <w:vAlign w:val="bottom"/>
          </w:tcPr>
          <w:p w14:paraId="448BD62B"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2019</w:t>
            </w:r>
          </w:p>
        </w:tc>
        <w:tc>
          <w:tcPr>
            <w:tcW w:w="780" w:type="pct"/>
            <w:tcBorders>
              <w:top w:val="nil"/>
              <w:left w:val="nil"/>
              <w:bottom w:val="nil"/>
              <w:right w:val="single" w:sz="4" w:space="0" w:color="auto"/>
            </w:tcBorders>
            <w:shd w:val="clear" w:color="auto" w:fill="auto"/>
            <w:noWrap/>
            <w:vAlign w:val="bottom"/>
          </w:tcPr>
          <w:p w14:paraId="43A417D9" w14:textId="72AA90ED"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21</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857.50</w:t>
            </w:r>
          </w:p>
        </w:tc>
        <w:tc>
          <w:tcPr>
            <w:tcW w:w="583" w:type="pct"/>
            <w:tcBorders>
              <w:top w:val="nil"/>
              <w:left w:val="nil"/>
              <w:bottom w:val="nil"/>
              <w:right w:val="single" w:sz="4" w:space="0" w:color="auto"/>
            </w:tcBorders>
            <w:shd w:val="clear" w:color="auto" w:fill="auto"/>
            <w:noWrap/>
            <w:vAlign w:val="bottom"/>
          </w:tcPr>
          <w:p w14:paraId="0933ACB6"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tcPr>
          <w:p w14:paraId="1E758388" w14:textId="07A60620"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21</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857.50</w:t>
            </w:r>
          </w:p>
        </w:tc>
      </w:tr>
      <w:tr w:rsidR="00686EC7" w:rsidRPr="000C156A" w14:paraId="46405EA6"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4B7008E1"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古巴</w:t>
            </w:r>
          </w:p>
        </w:tc>
        <w:tc>
          <w:tcPr>
            <w:tcW w:w="721" w:type="pct"/>
            <w:tcBorders>
              <w:top w:val="nil"/>
              <w:left w:val="nil"/>
              <w:bottom w:val="nil"/>
              <w:right w:val="single" w:sz="4" w:space="0" w:color="auto"/>
            </w:tcBorders>
            <w:shd w:val="clear" w:color="auto" w:fill="auto"/>
            <w:noWrap/>
            <w:vAlign w:val="bottom"/>
            <w:hideMark/>
          </w:tcPr>
          <w:p w14:paraId="24118D49"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2016-2019</w:t>
            </w:r>
          </w:p>
        </w:tc>
        <w:tc>
          <w:tcPr>
            <w:tcW w:w="780" w:type="pct"/>
            <w:tcBorders>
              <w:top w:val="nil"/>
              <w:left w:val="nil"/>
              <w:bottom w:val="nil"/>
              <w:right w:val="single" w:sz="4" w:space="0" w:color="auto"/>
            </w:tcBorders>
            <w:shd w:val="clear" w:color="auto" w:fill="auto"/>
            <w:noWrap/>
            <w:vAlign w:val="bottom"/>
            <w:hideMark/>
          </w:tcPr>
          <w:p w14:paraId="5065F26D" w14:textId="41CE1CDE"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95</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134.59</w:t>
            </w:r>
          </w:p>
        </w:tc>
        <w:tc>
          <w:tcPr>
            <w:tcW w:w="583" w:type="pct"/>
            <w:tcBorders>
              <w:top w:val="nil"/>
              <w:left w:val="nil"/>
              <w:bottom w:val="nil"/>
              <w:right w:val="single" w:sz="4" w:space="0" w:color="auto"/>
            </w:tcBorders>
            <w:shd w:val="clear" w:color="auto" w:fill="auto"/>
            <w:noWrap/>
            <w:vAlign w:val="bottom"/>
            <w:hideMark/>
          </w:tcPr>
          <w:p w14:paraId="72120F52"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hideMark/>
          </w:tcPr>
          <w:p w14:paraId="39E2A0D2" w14:textId="0B55FFC5"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95</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134.59</w:t>
            </w:r>
          </w:p>
        </w:tc>
      </w:tr>
      <w:tr w:rsidR="00686EC7" w:rsidRPr="000C156A" w14:paraId="7AEAD54E"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2E7BCF49"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val="en-US" w:eastAsia="en-GB"/>
              </w:rPr>
              <w:t>刚果民主共和国</w:t>
            </w:r>
          </w:p>
        </w:tc>
        <w:tc>
          <w:tcPr>
            <w:tcW w:w="721" w:type="pct"/>
            <w:tcBorders>
              <w:top w:val="nil"/>
              <w:left w:val="nil"/>
              <w:bottom w:val="nil"/>
              <w:right w:val="single" w:sz="4" w:space="0" w:color="auto"/>
            </w:tcBorders>
            <w:shd w:val="clear" w:color="auto" w:fill="auto"/>
            <w:noWrap/>
            <w:vAlign w:val="bottom"/>
            <w:hideMark/>
          </w:tcPr>
          <w:p w14:paraId="5ECBFA36"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2017-2019</w:t>
            </w:r>
          </w:p>
        </w:tc>
        <w:tc>
          <w:tcPr>
            <w:tcW w:w="780" w:type="pct"/>
            <w:tcBorders>
              <w:top w:val="nil"/>
              <w:left w:val="nil"/>
              <w:bottom w:val="nil"/>
              <w:right w:val="single" w:sz="4" w:space="0" w:color="auto"/>
            </w:tcBorders>
            <w:shd w:val="clear" w:color="auto" w:fill="auto"/>
            <w:noWrap/>
            <w:vAlign w:val="bottom"/>
            <w:hideMark/>
          </w:tcPr>
          <w:p w14:paraId="524AC986" w14:textId="680DC488"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47</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036.55</w:t>
            </w:r>
          </w:p>
        </w:tc>
        <w:tc>
          <w:tcPr>
            <w:tcW w:w="583" w:type="pct"/>
            <w:tcBorders>
              <w:top w:val="nil"/>
              <w:left w:val="nil"/>
              <w:bottom w:val="nil"/>
              <w:right w:val="single" w:sz="4" w:space="0" w:color="auto"/>
            </w:tcBorders>
            <w:shd w:val="clear" w:color="auto" w:fill="auto"/>
            <w:noWrap/>
            <w:vAlign w:val="bottom"/>
            <w:hideMark/>
          </w:tcPr>
          <w:p w14:paraId="1A2206B4"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hideMark/>
          </w:tcPr>
          <w:p w14:paraId="2667E5E2" w14:textId="49DBC349"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47</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036.55</w:t>
            </w:r>
          </w:p>
        </w:tc>
      </w:tr>
      <w:tr w:rsidR="00686EC7" w:rsidRPr="000C156A" w14:paraId="008CC319"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1E06191C"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多米尼克</w:t>
            </w:r>
          </w:p>
        </w:tc>
        <w:tc>
          <w:tcPr>
            <w:tcW w:w="721" w:type="pct"/>
            <w:tcBorders>
              <w:top w:val="nil"/>
              <w:left w:val="nil"/>
              <w:bottom w:val="nil"/>
              <w:right w:val="single" w:sz="4" w:space="0" w:color="auto"/>
            </w:tcBorders>
            <w:shd w:val="clear" w:color="auto" w:fill="auto"/>
            <w:noWrap/>
            <w:vAlign w:val="bottom"/>
            <w:hideMark/>
          </w:tcPr>
          <w:p w14:paraId="6AFDFFBE"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2001-2019</w:t>
            </w:r>
          </w:p>
        </w:tc>
        <w:tc>
          <w:tcPr>
            <w:tcW w:w="780" w:type="pct"/>
            <w:tcBorders>
              <w:top w:val="nil"/>
              <w:left w:val="nil"/>
              <w:bottom w:val="nil"/>
              <w:right w:val="single" w:sz="4" w:space="0" w:color="auto"/>
            </w:tcBorders>
            <w:shd w:val="clear" w:color="auto" w:fill="auto"/>
            <w:noWrap/>
            <w:vAlign w:val="bottom"/>
            <w:hideMark/>
          </w:tcPr>
          <w:p w14:paraId="2D48FB2F" w14:textId="746DC3F5"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556</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981.70</w:t>
            </w:r>
          </w:p>
        </w:tc>
        <w:tc>
          <w:tcPr>
            <w:tcW w:w="583" w:type="pct"/>
            <w:tcBorders>
              <w:top w:val="nil"/>
              <w:left w:val="nil"/>
              <w:bottom w:val="nil"/>
              <w:right w:val="single" w:sz="4" w:space="0" w:color="auto"/>
            </w:tcBorders>
            <w:shd w:val="clear" w:color="auto" w:fill="auto"/>
            <w:noWrap/>
            <w:vAlign w:val="bottom"/>
            <w:hideMark/>
          </w:tcPr>
          <w:p w14:paraId="63D907EC"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hideMark/>
          </w:tcPr>
          <w:p w14:paraId="1811DE60" w14:textId="01486178"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556</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981.70</w:t>
            </w:r>
          </w:p>
        </w:tc>
      </w:tr>
      <w:tr w:rsidR="00686EC7" w:rsidRPr="000C156A" w14:paraId="6DC6FD1D"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33254EBB"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val="en-US" w:eastAsia="en-GB"/>
              </w:rPr>
              <w:t>赤道几内亚</w:t>
            </w:r>
          </w:p>
        </w:tc>
        <w:tc>
          <w:tcPr>
            <w:tcW w:w="721" w:type="pct"/>
            <w:tcBorders>
              <w:top w:val="nil"/>
              <w:left w:val="nil"/>
              <w:bottom w:val="nil"/>
              <w:right w:val="single" w:sz="4" w:space="0" w:color="auto"/>
            </w:tcBorders>
            <w:shd w:val="clear" w:color="auto" w:fill="auto"/>
            <w:noWrap/>
            <w:vAlign w:val="bottom"/>
            <w:hideMark/>
          </w:tcPr>
          <w:p w14:paraId="394A1BB3"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2018-2019</w:t>
            </w:r>
          </w:p>
        </w:tc>
        <w:tc>
          <w:tcPr>
            <w:tcW w:w="780" w:type="pct"/>
            <w:tcBorders>
              <w:top w:val="nil"/>
              <w:left w:val="nil"/>
              <w:bottom w:val="nil"/>
              <w:right w:val="single" w:sz="4" w:space="0" w:color="auto"/>
            </w:tcBorders>
            <w:shd w:val="clear" w:color="auto" w:fill="auto"/>
            <w:noWrap/>
            <w:vAlign w:val="bottom"/>
            <w:hideMark/>
          </w:tcPr>
          <w:p w14:paraId="6B15771B" w14:textId="11A8405A"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90</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053.10</w:t>
            </w:r>
          </w:p>
        </w:tc>
        <w:tc>
          <w:tcPr>
            <w:tcW w:w="583" w:type="pct"/>
            <w:tcBorders>
              <w:top w:val="nil"/>
              <w:left w:val="nil"/>
              <w:bottom w:val="nil"/>
              <w:right w:val="single" w:sz="4" w:space="0" w:color="auto"/>
            </w:tcBorders>
            <w:shd w:val="clear" w:color="auto" w:fill="auto"/>
            <w:noWrap/>
            <w:vAlign w:val="bottom"/>
            <w:hideMark/>
          </w:tcPr>
          <w:p w14:paraId="31873D7F"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hideMark/>
          </w:tcPr>
          <w:p w14:paraId="2C4F0030" w14:textId="167EB9A0"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90</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053.10</w:t>
            </w:r>
          </w:p>
        </w:tc>
      </w:tr>
      <w:tr w:rsidR="00686EC7" w:rsidRPr="000C156A" w14:paraId="359ECC5B"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05E92CE9"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厄立特里亚</w:t>
            </w:r>
          </w:p>
        </w:tc>
        <w:tc>
          <w:tcPr>
            <w:tcW w:w="721" w:type="pct"/>
            <w:tcBorders>
              <w:top w:val="nil"/>
              <w:left w:val="nil"/>
              <w:bottom w:val="nil"/>
              <w:right w:val="single" w:sz="4" w:space="0" w:color="auto"/>
            </w:tcBorders>
            <w:shd w:val="clear" w:color="auto" w:fill="auto"/>
            <w:noWrap/>
            <w:vAlign w:val="bottom"/>
            <w:hideMark/>
          </w:tcPr>
          <w:p w14:paraId="5D6CA55C"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2017-2019</w:t>
            </w:r>
          </w:p>
        </w:tc>
        <w:tc>
          <w:tcPr>
            <w:tcW w:w="780" w:type="pct"/>
            <w:tcBorders>
              <w:top w:val="nil"/>
              <w:left w:val="nil"/>
              <w:bottom w:val="nil"/>
              <w:right w:val="single" w:sz="4" w:space="0" w:color="auto"/>
            </w:tcBorders>
            <w:shd w:val="clear" w:color="auto" w:fill="auto"/>
            <w:noWrap/>
            <w:vAlign w:val="bottom"/>
            <w:hideMark/>
          </w:tcPr>
          <w:p w14:paraId="2C109589" w14:textId="5947C99A"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45</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708.80</w:t>
            </w:r>
          </w:p>
        </w:tc>
        <w:tc>
          <w:tcPr>
            <w:tcW w:w="583" w:type="pct"/>
            <w:tcBorders>
              <w:top w:val="nil"/>
              <w:left w:val="nil"/>
              <w:bottom w:val="nil"/>
              <w:right w:val="single" w:sz="4" w:space="0" w:color="auto"/>
            </w:tcBorders>
            <w:shd w:val="clear" w:color="auto" w:fill="auto"/>
            <w:noWrap/>
            <w:vAlign w:val="bottom"/>
            <w:hideMark/>
          </w:tcPr>
          <w:p w14:paraId="13457DD1"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hideMark/>
          </w:tcPr>
          <w:p w14:paraId="6BF8749E" w14:textId="0CC74DBC"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45</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708.80</w:t>
            </w:r>
          </w:p>
        </w:tc>
      </w:tr>
      <w:tr w:rsidR="00686EC7" w:rsidRPr="000C156A" w14:paraId="1EA7A238"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28129BBF"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埃塞俄比亚</w:t>
            </w:r>
          </w:p>
        </w:tc>
        <w:tc>
          <w:tcPr>
            <w:tcW w:w="721" w:type="pct"/>
            <w:tcBorders>
              <w:top w:val="nil"/>
              <w:left w:val="nil"/>
              <w:bottom w:val="nil"/>
              <w:right w:val="single" w:sz="4" w:space="0" w:color="auto"/>
            </w:tcBorders>
            <w:shd w:val="clear" w:color="auto" w:fill="auto"/>
            <w:noWrap/>
            <w:vAlign w:val="bottom"/>
            <w:hideMark/>
          </w:tcPr>
          <w:p w14:paraId="6CEDBC4F"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2017-2019</w:t>
            </w:r>
          </w:p>
        </w:tc>
        <w:tc>
          <w:tcPr>
            <w:tcW w:w="780" w:type="pct"/>
            <w:tcBorders>
              <w:top w:val="nil"/>
              <w:left w:val="nil"/>
              <w:bottom w:val="nil"/>
              <w:right w:val="single" w:sz="4" w:space="0" w:color="auto"/>
            </w:tcBorders>
            <w:shd w:val="clear" w:color="auto" w:fill="auto"/>
            <w:noWrap/>
            <w:vAlign w:val="bottom"/>
            <w:hideMark/>
          </w:tcPr>
          <w:p w14:paraId="775E1F4D" w14:textId="43DA6021"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45</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599.50</w:t>
            </w:r>
          </w:p>
        </w:tc>
        <w:tc>
          <w:tcPr>
            <w:tcW w:w="583" w:type="pct"/>
            <w:tcBorders>
              <w:top w:val="nil"/>
              <w:left w:val="nil"/>
              <w:bottom w:val="nil"/>
              <w:right w:val="single" w:sz="4" w:space="0" w:color="auto"/>
            </w:tcBorders>
            <w:shd w:val="clear" w:color="auto" w:fill="auto"/>
            <w:noWrap/>
            <w:vAlign w:val="bottom"/>
            <w:hideMark/>
          </w:tcPr>
          <w:p w14:paraId="70E3CFDF"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hideMark/>
          </w:tcPr>
          <w:p w14:paraId="6EAA8470" w14:textId="1E380100"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45</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599.50</w:t>
            </w:r>
          </w:p>
        </w:tc>
      </w:tr>
      <w:tr w:rsidR="00686EC7" w:rsidRPr="000C156A" w14:paraId="65ACC66E"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tcPr>
          <w:p w14:paraId="2006F69E" w14:textId="77777777" w:rsidR="00686EC7" w:rsidRPr="000C156A" w:rsidRDefault="00686EC7" w:rsidP="00141BAA">
            <w:pPr>
              <w:rPr>
                <w:rFonts w:asciiTheme="minorHAnsi" w:hAnsiTheme="minorHAnsi" w:cstheme="minorHAnsi"/>
                <w:sz w:val="22"/>
                <w:szCs w:val="22"/>
              </w:rPr>
            </w:pPr>
            <w:r w:rsidRPr="000C156A">
              <w:rPr>
                <w:rFonts w:asciiTheme="minorHAnsi" w:hAnsiTheme="minorHAnsi" w:cstheme="minorHAnsi"/>
                <w:sz w:val="22"/>
                <w:szCs w:val="22"/>
              </w:rPr>
              <w:t>冈比亚</w:t>
            </w:r>
          </w:p>
        </w:tc>
        <w:tc>
          <w:tcPr>
            <w:tcW w:w="721" w:type="pct"/>
            <w:tcBorders>
              <w:top w:val="nil"/>
              <w:left w:val="nil"/>
              <w:bottom w:val="nil"/>
              <w:right w:val="single" w:sz="4" w:space="0" w:color="auto"/>
            </w:tcBorders>
            <w:shd w:val="clear" w:color="auto" w:fill="auto"/>
            <w:noWrap/>
            <w:vAlign w:val="bottom"/>
          </w:tcPr>
          <w:p w14:paraId="462FCEAF"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2019</w:t>
            </w:r>
          </w:p>
        </w:tc>
        <w:tc>
          <w:tcPr>
            <w:tcW w:w="780" w:type="pct"/>
            <w:tcBorders>
              <w:top w:val="nil"/>
              <w:left w:val="nil"/>
              <w:bottom w:val="nil"/>
              <w:right w:val="single" w:sz="4" w:space="0" w:color="auto"/>
            </w:tcBorders>
            <w:shd w:val="clear" w:color="auto" w:fill="auto"/>
            <w:noWrap/>
            <w:vAlign w:val="bottom"/>
          </w:tcPr>
          <w:p w14:paraId="3318EDC3" w14:textId="195BC9D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43</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715.10</w:t>
            </w:r>
          </w:p>
        </w:tc>
        <w:tc>
          <w:tcPr>
            <w:tcW w:w="583" w:type="pct"/>
            <w:tcBorders>
              <w:top w:val="nil"/>
              <w:left w:val="nil"/>
              <w:bottom w:val="nil"/>
              <w:right w:val="single" w:sz="4" w:space="0" w:color="auto"/>
            </w:tcBorders>
            <w:shd w:val="clear" w:color="auto" w:fill="auto"/>
            <w:noWrap/>
            <w:vAlign w:val="bottom"/>
          </w:tcPr>
          <w:p w14:paraId="5E6611AD"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tcPr>
          <w:p w14:paraId="0CC110C3" w14:textId="322E0B74"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43</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715.10</w:t>
            </w:r>
          </w:p>
        </w:tc>
      </w:tr>
      <w:tr w:rsidR="00686EC7" w:rsidRPr="000C156A" w14:paraId="2AFFFB0D"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30454FA4"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几内亚</w:t>
            </w:r>
          </w:p>
        </w:tc>
        <w:tc>
          <w:tcPr>
            <w:tcW w:w="721" w:type="pct"/>
            <w:tcBorders>
              <w:top w:val="nil"/>
              <w:left w:val="nil"/>
              <w:bottom w:val="nil"/>
              <w:right w:val="single" w:sz="4" w:space="0" w:color="auto"/>
            </w:tcBorders>
            <w:shd w:val="clear" w:color="auto" w:fill="auto"/>
            <w:noWrap/>
            <w:vAlign w:val="bottom"/>
            <w:hideMark/>
          </w:tcPr>
          <w:p w14:paraId="6E0D0CB5"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2014-2019</w:t>
            </w:r>
          </w:p>
        </w:tc>
        <w:tc>
          <w:tcPr>
            <w:tcW w:w="780" w:type="pct"/>
            <w:tcBorders>
              <w:top w:val="nil"/>
              <w:left w:val="nil"/>
              <w:bottom w:val="nil"/>
              <w:right w:val="single" w:sz="4" w:space="0" w:color="auto"/>
            </w:tcBorders>
            <w:shd w:val="clear" w:color="auto" w:fill="auto"/>
            <w:noWrap/>
            <w:vAlign w:val="bottom"/>
            <w:hideMark/>
          </w:tcPr>
          <w:p w14:paraId="05AD7C8F" w14:textId="7B120A9C"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271</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298.22</w:t>
            </w:r>
          </w:p>
        </w:tc>
        <w:tc>
          <w:tcPr>
            <w:tcW w:w="583" w:type="pct"/>
            <w:tcBorders>
              <w:top w:val="nil"/>
              <w:left w:val="nil"/>
              <w:bottom w:val="nil"/>
              <w:right w:val="single" w:sz="4" w:space="0" w:color="auto"/>
            </w:tcBorders>
            <w:shd w:val="clear" w:color="auto" w:fill="auto"/>
            <w:noWrap/>
            <w:vAlign w:val="bottom"/>
            <w:hideMark/>
          </w:tcPr>
          <w:p w14:paraId="6B9036B7"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90.20</w:t>
            </w:r>
          </w:p>
        </w:tc>
        <w:tc>
          <w:tcPr>
            <w:tcW w:w="780" w:type="pct"/>
            <w:tcBorders>
              <w:top w:val="nil"/>
              <w:left w:val="nil"/>
              <w:bottom w:val="nil"/>
              <w:right w:val="single" w:sz="4" w:space="0" w:color="auto"/>
            </w:tcBorders>
            <w:shd w:val="clear" w:color="auto" w:fill="auto"/>
            <w:noWrap/>
            <w:vAlign w:val="bottom"/>
            <w:hideMark/>
          </w:tcPr>
          <w:p w14:paraId="168FF03C" w14:textId="3BD39F0E"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271</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388.42</w:t>
            </w:r>
          </w:p>
        </w:tc>
      </w:tr>
      <w:tr w:rsidR="00686EC7" w:rsidRPr="000C156A" w14:paraId="7B1BFD28"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tcPr>
          <w:p w14:paraId="394EDF9D"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洪都拉斯</w:t>
            </w:r>
          </w:p>
        </w:tc>
        <w:tc>
          <w:tcPr>
            <w:tcW w:w="721" w:type="pct"/>
            <w:tcBorders>
              <w:top w:val="nil"/>
              <w:left w:val="nil"/>
              <w:bottom w:val="nil"/>
              <w:right w:val="single" w:sz="4" w:space="0" w:color="auto"/>
            </w:tcBorders>
            <w:shd w:val="clear" w:color="auto" w:fill="auto"/>
            <w:noWrap/>
            <w:vAlign w:val="bottom"/>
          </w:tcPr>
          <w:p w14:paraId="21E5653A"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2019</w:t>
            </w:r>
          </w:p>
        </w:tc>
        <w:tc>
          <w:tcPr>
            <w:tcW w:w="780" w:type="pct"/>
            <w:tcBorders>
              <w:top w:val="nil"/>
              <w:left w:val="nil"/>
              <w:bottom w:val="nil"/>
              <w:right w:val="single" w:sz="4" w:space="0" w:color="auto"/>
            </w:tcBorders>
            <w:shd w:val="clear" w:color="auto" w:fill="auto"/>
            <w:noWrap/>
            <w:vAlign w:val="bottom"/>
          </w:tcPr>
          <w:p w14:paraId="786917B7" w14:textId="11D5A6C3"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52</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615.45</w:t>
            </w:r>
          </w:p>
        </w:tc>
        <w:tc>
          <w:tcPr>
            <w:tcW w:w="583" w:type="pct"/>
            <w:tcBorders>
              <w:top w:val="nil"/>
              <w:left w:val="nil"/>
              <w:bottom w:val="nil"/>
              <w:right w:val="single" w:sz="4" w:space="0" w:color="auto"/>
            </w:tcBorders>
            <w:shd w:val="clear" w:color="auto" w:fill="auto"/>
            <w:noWrap/>
            <w:vAlign w:val="bottom"/>
          </w:tcPr>
          <w:p w14:paraId="72BFC9C7"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tcPr>
          <w:p w14:paraId="42ACD2B3" w14:textId="5751F43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52</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615.45</w:t>
            </w:r>
          </w:p>
        </w:tc>
      </w:tr>
      <w:tr w:rsidR="00686EC7" w:rsidRPr="000C156A" w14:paraId="06D58FD8"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7BCBE974"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伊朗</w:t>
            </w:r>
          </w:p>
        </w:tc>
        <w:tc>
          <w:tcPr>
            <w:tcW w:w="721" w:type="pct"/>
            <w:tcBorders>
              <w:top w:val="nil"/>
              <w:left w:val="nil"/>
              <w:bottom w:val="nil"/>
              <w:right w:val="single" w:sz="4" w:space="0" w:color="auto"/>
            </w:tcBorders>
            <w:shd w:val="clear" w:color="auto" w:fill="auto"/>
            <w:noWrap/>
            <w:vAlign w:val="bottom"/>
            <w:hideMark/>
          </w:tcPr>
          <w:p w14:paraId="58C80625"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2016-2019</w:t>
            </w:r>
          </w:p>
        </w:tc>
        <w:tc>
          <w:tcPr>
            <w:tcW w:w="780" w:type="pct"/>
            <w:tcBorders>
              <w:top w:val="nil"/>
              <w:left w:val="nil"/>
              <w:bottom w:val="nil"/>
              <w:right w:val="single" w:sz="4" w:space="0" w:color="auto"/>
            </w:tcBorders>
            <w:shd w:val="clear" w:color="auto" w:fill="auto"/>
            <w:noWrap/>
            <w:vAlign w:val="bottom"/>
            <w:hideMark/>
          </w:tcPr>
          <w:p w14:paraId="0CA08ECA" w14:textId="18AC26C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79</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660.45</w:t>
            </w:r>
          </w:p>
        </w:tc>
        <w:tc>
          <w:tcPr>
            <w:tcW w:w="583" w:type="pct"/>
            <w:tcBorders>
              <w:top w:val="nil"/>
              <w:left w:val="nil"/>
              <w:bottom w:val="nil"/>
              <w:right w:val="single" w:sz="4" w:space="0" w:color="auto"/>
            </w:tcBorders>
            <w:shd w:val="clear" w:color="auto" w:fill="auto"/>
            <w:noWrap/>
            <w:vAlign w:val="bottom"/>
            <w:hideMark/>
          </w:tcPr>
          <w:p w14:paraId="06928A97"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hideMark/>
          </w:tcPr>
          <w:p w14:paraId="3EDB86F7" w14:textId="17E553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79</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660.45</w:t>
            </w:r>
          </w:p>
        </w:tc>
      </w:tr>
      <w:tr w:rsidR="00686EC7" w:rsidRPr="000C156A" w14:paraId="1A8D124F"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49FC0A57"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利比亚</w:t>
            </w:r>
          </w:p>
        </w:tc>
        <w:tc>
          <w:tcPr>
            <w:tcW w:w="721" w:type="pct"/>
            <w:tcBorders>
              <w:top w:val="nil"/>
              <w:left w:val="nil"/>
              <w:bottom w:val="nil"/>
              <w:right w:val="single" w:sz="4" w:space="0" w:color="auto"/>
            </w:tcBorders>
            <w:shd w:val="clear" w:color="auto" w:fill="auto"/>
            <w:noWrap/>
            <w:vAlign w:val="bottom"/>
            <w:hideMark/>
          </w:tcPr>
          <w:p w14:paraId="65258046"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2014-2019</w:t>
            </w:r>
          </w:p>
        </w:tc>
        <w:tc>
          <w:tcPr>
            <w:tcW w:w="780" w:type="pct"/>
            <w:tcBorders>
              <w:top w:val="nil"/>
              <w:left w:val="nil"/>
              <w:bottom w:val="nil"/>
              <w:right w:val="single" w:sz="4" w:space="0" w:color="auto"/>
            </w:tcBorders>
            <w:shd w:val="clear" w:color="auto" w:fill="auto"/>
            <w:noWrap/>
            <w:vAlign w:val="bottom"/>
            <w:hideMark/>
          </w:tcPr>
          <w:p w14:paraId="6AB6E102" w14:textId="5BF919A0"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2</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095</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568.95</w:t>
            </w:r>
          </w:p>
        </w:tc>
        <w:tc>
          <w:tcPr>
            <w:tcW w:w="583" w:type="pct"/>
            <w:tcBorders>
              <w:top w:val="nil"/>
              <w:left w:val="nil"/>
              <w:bottom w:val="nil"/>
              <w:right w:val="single" w:sz="4" w:space="0" w:color="auto"/>
            </w:tcBorders>
            <w:shd w:val="clear" w:color="auto" w:fill="auto"/>
            <w:noWrap/>
            <w:vAlign w:val="bottom"/>
            <w:hideMark/>
          </w:tcPr>
          <w:p w14:paraId="04E2F2EE"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hideMark/>
          </w:tcPr>
          <w:p w14:paraId="118E48D7" w14:textId="5E4F276C"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2</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095</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568.95</w:t>
            </w:r>
          </w:p>
        </w:tc>
      </w:tr>
      <w:tr w:rsidR="00686EC7" w:rsidRPr="000C156A" w14:paraId="1F90FEEA"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31042F00" w14:textId="77777777" w:rsidR="00686EC7" w:rsidRPr="000C156A" w:rsidRDefault="00686EC7" w:rsidP="00141BAA">
            <w:pPr>
              <w:overflowPunct/>
              <w:autoSpaceDE/>
              <w:autoSpaceDN/>
              <w:adjustRightInd/>
              <w:spacing w:before="0"/>
              <w:textAlignment w:val="auto"/>
              <w:rPr>
                <w:rFonts w:cs="Calibri"/>
                <w:sz w:val="22"/>
                <w:szCs w:val="22"/>
                <w:lang w:val="en-US" w:eastAsia="en-GB"/>
              </w:rPr>
            </w:pPr>
            <w:r w:rsidRPr="000C156A">
              <w:rPr>
                <w:rFonts w:cs="Calibri"/>
                <w:sz w:val="22"/>
                <w:szCs w:val="22"/>
                <w:lang w:val="en-US" w:eastAsia="en-GB"/>
              </w:rPr>
              <w:t>马绍尔群岛</w:t>
            </w:r>
          </w:p>
        </w:tc>
        <w:tc>
          <w:tcPr>
            <w:tcW w:w="721" w:type="pct"/>
            <w:tcBorders>
              <w:top w:val="nil"/>
              <w:left w:val="nil"/>
              <w:bottom w:val="nil"/>
              <w:right w:val="single" w:sz="4" w:space="0" w:color="auto"/>
            </w:tcBorders>
            <w:shd w:val="clear" w:color="auto" w:fill="auto"/>
            <w:noWrap/>
            <w:vAlign w:val="bottom"/>
            <w:hideMark/>
          </w:tcPr>
          <w:p w14:paraId="088BE5B9"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2017-2019</w:t>
            </w:r>
          </w:p>
        </w:tc>
        <w:tc>
          <w:tcPr>
            <w:tcW w:w="780" w:type="pct"/>
            <w:tcBorders>
              <w:top w:val="nil"/>
              <w:left w:val="nil"/>
              <w:bottom w:val="nil"/>
              <w:right w:val="single" w:sz="4" w:space="0" w:color="auto"/>
            </w:tcBorders>
            <w:shd w:val="clear" w:color="auto" w:fill="auto"/>
            <w:noWrap/>
            <w:vAlign w:val="bottom"/>
            <w:hideMark/>
          </w:tcPr>
          <w:p w14:paraId="79F8B20F" w14:textId="01A7BD49"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32</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528.98</w:t>
            </w:r>
          </w:p>
        </w:tc>
        <w:tc>
          <w:tcPr>
            <w:tcW w:w="583" w:type="pct"/>
            <w:tcBorders>
              <w:top w:val="nil"/>
              <w:left w:val="nil"/>
              <w:bottom w:val="nil"/>
              <w:right w:val="single" w:sz="4" w:space="0" w:color="auto"/>
            </w:tcBorders>
            <w:shd w:val="clear" w:color="auto" w:fill="auto"/>
            <w:noWrap/>
            <w:vAlign w:val="bottom"/>
            <w:hideMark/>
          </w:tcPr>
          <w:p w14:paraId="54D3F112"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hideMark/>
          </w:tcPr>
          <w:p w14:paraId="61D410AF" w14:textId="3A4BD5F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32</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528.98</w:t>
            </w:r>
          </w:p>
        </w:tc>
      </w:tr>
      <w:tr w:rsidR="00686EC7" w:rsidRPr="000C156A" w14:paraId="78D7402C"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18901BB8" w14:textId="77777777" w:rsidR="00686EC7" w:rsidRPr="000C156A" w:rsidRDefault="00686EC7" w:rsidP="00141BAA">
            <w:pPr>
              <w:overflowPunct/>
              <w:autoSpaceDE/>
              <w:autoSpaceDN/>
              <w:adjustRightInd/>
              <w:spacing w:before="0"/>
              <w:textAlignment w:val="auto"/>
              <w:rPr>
                <w:rFonts w:cs="Calibri"/>
                <w:sz w:val="22"/>
                <w:szCs w:val="22"/>
                <w:lang w:val="en-US" w:eastAsia="en-GB"/>
              </w:rPr>
            </w:pPr>
            <w:r w:rsidRPr="000C156A">
              <w:rPr>
                <w:rFonts w:cs="Calibri"/>
                <w:sz w:val="22"/>
                <w:szCs w:val="22"/>
                <w:lang w:val="en-US" w:eastAsia="en-GB"/>
              </w:rPr>
              <w:t>莫桑比克</w:t>
            </w:r>
          </w:p>
        </w:tc>
        <w:tc>
          <w:tcPr>
            <w:tcW w:w="721" w:type="pct"/>
            <w:tcBorders>
              <w:top w:val="nil"/>
              <w:left w:val="nil"/>
              <w:bottom w:val="nil"/>
              <w:right w:val="single" w:sz="4" w:space="0" w:color="auto"/>
            </w:tcBorders>
            <w:shd w:val="clear" w:color="auto" w:fill="auto"/>
            <w:noWrap/>
            <w:vAlign w:val="bottom"/>
            <w:hideMark/>
          </w:tcPr>
          <w:p w14:paraId="6B842AF9"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2018-2019</w:t>
            </w:r>
          </w:p>
        </w:tc>
        <w:tc>
          <w:tcPr>
            <w:tcW w:w="780" w:type="pct"/>
            <w:tcBorders>
              <w:top w:val="nil"/>
              <w:left w:val="nil"/>
              <w:bottom w:val="nil"/>
              <w:right w:val="single" w:sz="4" w:space="0" w:color="auto"/>
            </w:tcBorders>
            <w:shd w:val="clear" w:color="auto" w:fill="auto"/>
            <w:noWrap/>
            <w:vAlign w:val="bottom"/>
            <w:hideMark/>
          </w:tcPr>
          <w:p w14:paraId="48717716" w14:textId="6F87FB82"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45</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026.45</w:t>
            </w:r>
          </w:p>
        </w:tc>
        <w:tc>
          <w:tcPr>
            <w:tcW w:w="583" w:type="pct"/>
            <w:tcBorders>
              <w:top w:val="nil"/>
              <w:left w:val="nil"/>
              <w:bottom w:val="nil"/>
              <w:right w:val="single" w:sz="4" w:space="0" w:color="auto"/>
            </w:tcBorders>
            <w:shd w:val="clear" w:color="auto" w:fill="auto"/>
            <w:noWrap/>
            <w:vAlign w:val="bottom"/>
            <w:hideMark/>
          </w:tcPr>
          <w:p w14:paraId="43F25EBC"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hideMark/>
          </w:tcPr>
          <w:p w14:paraId="442920AC" w14:textId="454847D8"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45</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026.45</w:t>
            </w:r>
          </w:p>
        </w:tc>
      </w:tr>
      <w:tr w:rsidR="00686EC7" w:rsidRPr="000C156A" w14:paraId="795D903E"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74C5C214"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瑙鲁</w:t>
            </w:r>
          </w:p>
        </w:tc>
        <w:tc>
          <w:tcPr>
            <w:tcW w:w="721" w:type="pct"/>
            <w:tcBorders>
              <w:top w:val="nil"/>
              <w:left w:val="nil"/>
              <w:bottom w:val="nil"/>
              <w:right w:val="single" w:sz="4" w:space="0" w:color="auto"/>
            </w:tcBorders>
            <w:shd w:val="clear" w:color="auto" w:fill="auto"/>
            <w:noWrap/>
            <w:vAlign w:val="bottom"/>
            <w:hideMark/>
          </w:tcPr>
          <w:p w14:paraId="61B38142"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1991-2019</w:t>
            </w:r>
          </w:p>
        </w:tc>
        <w:tc>
          <w:tcPr>
            <w:tcW w:w="780" w:type="pct"/>
            <w:tcBorders>
              <w:top w:val="nil"/>
              <w:left w:val="nil"/>
              <w:bottom w:val="nil"/>
              <w:right w:val="single" w:sz="4" w:space="0" w:color="auto"/>
            </w:tcBorders>
            <w:shd w:val="clear" w:color="auto" w:fill="auto"/>
            <w:noWrap/>
            <w:vAlign w:val="bottom"/>
            <w:hideMark/>
          </w:tcPr>
          <w:p w14:paraId="3E72B4E4" w14:textId="72646176"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1</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814</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517.15</w:t>
            </w:r>
          </w:p>
        </w:tc>
        <w:tc>
          <w:tcPr>
            <w:tcW w:w="583" w:type="pct"/>
            <w:tcBorders>
              <w:top w:val="nil"/>
              <w:left w:val="nil"/>
              <w:bottom w:val="nil"/>
              <w:right w:val="single" w:sz="4" w:space="0" w:color="auto"/>
            </w:tcBorders>
            <w:shd w:val="clear" w:color="auto" w:fill="auto"/>
            <w:noWrap/>
            <w:vAlign w:val="bottom"/>
            <w:hideMark/>
          </w:tcPr>
          <w:p w14:paraId="51926897"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hideMark/>
          </w:tcPr>
          <w:p w14:paraId="78C359EB" w14:textId="6468C9CC"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1</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814</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517.15</w:t>
            </w:r>
          </w:p>
        </w:tc>
      </w:tr>
      <w:tr w:rsidR="00686EC7" w:rsidRPr="000C156A" w14:paraId="4A25D18A"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15738EBD"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尼泊尔</w:t>
            </w:r>
          </w:p>
        </w:tc>
        <w:tc>
          <w:tcPr>
            <w:tcW w:w="721" w:type="pct"/>
            <w:tcBorders>
              <w:top w:val="nil"/>
              <w:left w:val="nil"/>
              <w:bottom w:val="nil"/>
              <w:right w:val="single" w:sz="4" w:space="0" w:color="auto"/>
            </w:tcBorders>
            <w:shd w:val="clear" w:color="auto" w:fill="auto"/>
            <w:noWrap/>
            <w:vAlign w:val="bottom"/>
            <w:hideMark/>
          </w:tcPr>
          <w:p w14:paraId="0D37B803"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2013-2019</w:t>
            </w:r>
          </w:p>
        </w:tc>
        <w:tc>
          <w:tcPr>
            <w:tcW w:w="780" w:type="pct"/>
            <w:tcBorders>
              <w:top w:val="nil"/>
              <w:left w:val="nil"/>
              <w:bottom w:val="nil"/>
              <w:right w:val="single" w:sz="4" w:space="0" w:color="auto"/>
            </w:tcBorders>
            <w:shd w:val="clear" w:color="auto" w:fill="auto"/>
            <w:noWrap/>
            <w:vAlign w:val="bottom"/>
            <w:hideMark/>
          </w:tcPr>
          <w:p w14:paraId="2D9B0C47" w14:textId="725E57CF"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10</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402.45</w:t>
            </w:r>
          </w:p>
        </w:tc>
        <w:tc>
          <w:tcPr>
            <w:tcW w:w="583" w:type="pct"/>
            <w:tcBorders>
              <w:top w:val="nil"/>
              <w:left w:val="nil"/>
              <w:bottom w:val="nil"/>
              <w:right w:val="single" w:sz="4" w:space="0" w:color="auto"/>
            </w:tcBorders>
            <w:shd w:val="clear" w:color="auto" w:fill="auto"/>
            <w:noWrap/>
            <w:vAlign w:val="bottom"/>
            <w:hideMark/>
          </w:tcPr>
          <w:p w14:paraId="3032DAAF"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42.00</w:t>
            </w:r>
          </w:p>
        </w:tc>
        <w:tc>
          <w:tcPr>
            <w:tcW w:w="780" w:type="pct"/>
            <w:tcBorders>
              <w:top w:val="nil"/>
              <w:left w:val="nil"/>
              <w:bottom w:val="nil"/>
              <w:right w:val="single" w:sz="4" w:space="0" w:color="auto"/>
            </w:tcBorders>
            <w:shd w:val="clear" w:color="auto" w:fill="auto"/>
            <w:noWrap/>
            <w:vAlign w:val="bottom"/>
            <w:hideMark/>
          </w:tcPr>
          <w:p w14:paraId="29FC2BB7" w14:textId="15F8DB46"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10</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444.45</w:t>
            </w:r>
          </w:p>
        </w:tc>
      </w:tr>
      <w:tr w:rsidR="00686EC7" w:rsidRPr="000C156A" w14:paraId="43C4B0B1"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27E46E9B"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尼加拉瓜</w:t>
            </w:r>
          </w:p>
        </w:tc>
        <w:tc>
          <w:tcPr>
            <w:tcW w:w="721" w:type="pct"/>
            <w:tcBorders>
              <w:top w:val="nil"/>
              <w:left w:val="nil"/>
              <w:bottom w:val="nil"/>
              <w:right w:val="single" w:sz="4" w:space="0" w:color="auto"/>
            </w:tcBorders>
            <w:shd w:val="clear" w:color="auto" w:fill="auto"/>
            <w:noWrap/>
            <w:vAlign w:val="bottom"/>
            <w:hideMark/>
          </w:tcPr>
          <w:p w14:paraId="0173F120"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2015-2019</w:t>
            </w:r>
          </w:p>
        </w:tc>
        <w:tc>
          <w:tcPr>
            <w:tcW w:w="780" w:type="pct"/>
            <w:tcBorders>
              <w:top w:val="nil"/>
              <w:left w:val="nil"/>
              <w:bottom w:val="nil"/>
              <w:right w:val="single" w:sz="4" w:space="0" w:color="auto"/>
            </w:tcBorders>
            <w:shd w:val="clear" w:color="auto" w:fill="auto"/>
            <w:noWrap/>
            <w:vAlign w:val="bottom"/>
            <w:hideMark/>
          </w:tcPr>
          <w:p w14:paraId="57F610AC" w14:textId="2E54ABC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492</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851.85</w:t>
            </w:r>
          </w:p>
        </w:tc>
        <w:tc>
          <w:tcPr>
            <w:tcW w:w="583" w:type="pct"/>
            <w:tcBorders>
              <w:top w:val="nil"/>
              <w:left w:val="nil"/>
              <w:bottom w:val="nil"/>
              <w:right w:val="single" w:sz="4" w:space="0" w:color="auto"/>
            </w:tcBorders>
            <w:shd w:val="clear" w:color="auto" w:fill="auto"/>
            <w:noWrap/>
            <w:vAlign w:val="bottom"/>
            <w:hideMark/>
          </w:tcPr>
          <w:p w14:paraId="15EA6B3B"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hideMark/>
          </w:tcPr>
          <w:p w14:paraId="5D208615" w14:textId="7C609FB8"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492</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851.85</w:t>
            </w:r>
          </w:p>
        </w:tc>
      </w:tr>
      <w:tr w:rsidR="00686EC7" w:rsidRPr="000C156A" w14:paraId="02D37F5A"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tcPr>
          <w:p w14:paraId="6BBB40B4"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尼日利亚</w:t>
            </w:r>
          </w:p>
        </w:tc>
        <w:tc>
          <w:tcPr>
            <w:tcW w:w="721" w:type="pct"/>
            <w:tcBorders>
              <w:top w:val="nil"/>
              <w:left w:val="nil"/>
              <w:bottom w:val="nil"/>
              <w:right w:val="single" w:sz="4" w:space="0" w:color="auto"/>
            </w:tcBorders>
            <w:shd w:val="clear" w:color="auto" w:fill="auto"/>
            <w:noWrap/>
            <w:vAlign w:val="bottom"/>
          </w:tcPr>
          <w:p w14:paraId="09AE2165"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2019</w:t>
            </w:r>
          </w:p>
        </w:tc>
        <w:tc>
          <w:tcPr>
            <w:tcW w:w="780" w:type="pct"/>
            <w:tcBorders>
              <w:top w:val="nil"/>
              <w:left w:val="nil"/>
              <w:bottom w:val="nil"/>
              <w:right w:val="single" w:sz="4" w:space="0" w:color="auto"/>
            </w:tcBorders>
            <w:shd w:val="clear" w:color="auto" w:fill="auto"/>
            <w:noWrap/>
            <w:vAlign w:val="bottom"/>
          </w:tcPr>
          <w:p w14:paraId="7843D7A9" w14:textId="693BE41F"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19</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610.00</w:t>
            </w:r>
          </w:p>
        </w:tc>
        <w:tc>
          <w:tcPr>
            <w:tcW w:w="583" w:type="pct"/>
            <w:tcBorders>
              <w:top w:val="nil"/>
              <w:left w:val="nil"/>
              <w:bottom w:val="nil"/>
              <w:right w:val="single" w:sz="4" w:space="0" w:color="auto"/>
            </w:tcBorders>
            <w:shd w:val="clear" w:color="auto" w:fill="auto"/>
            <w:noWrap/>
            <w:vAlign w:val="bottom"/>
          </w:tcPr>
          <w:p w14:paraId="5DB56288"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tcPr>
          <w:p w14:paraId="1291EA3A" w14:textId="13866B51"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19</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610.00</w:t>
            </w:r>
          </w:p>
        </w:tc>
      </w:tr>
      <w:tr w:rsidR="00686EC7" w:rsidRPr="000C156A" w14:paraId="07A74F58"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06C94FBA"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巴基斯坦</w:t>
            </w:r>
          </w:p>
        </w:tc>
        <w:tc>
          <w:tcPr>
            <w:tcW w:w="721" w:type="pct"/>
            <w:tcBorders>
              <w:top w:val="nil"/>
              <w:left w:val="nil"/>
              <w:bottom w:val="nil"/>
              <w:right w:val="single" w:sz="4" w:space="0" w:color="auto"/>
            </w:tcBorders>
            <w:shd w:val="clear" w:color="auto" w:fill="auto"/>
            <w:noWrap/>
            <w:vAlign w:val="bottom"/>
            <w:hideMark/>
          </w:tcPr>
          <w:p w14:paraId="7404569B"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2017-2019</w:t>
            </w:r>
          </w:p>
        </w:tc>
        <w:tc>
          <w:tcPr>
            <w:tcW w:w="780" w:type="pct"/>
            <w:tcBorders>
              <w:top w:val="nil"/>
              <w:left w:val="nil"/>
              <w:bottom w:val="nil"/>
              <w:right w:val="single" w:sz="4" w:space="0" w:color="auto"/>
            </w:tcBorders>
            <w:shd w:val="clear" w:color="auto" w:fill="auto"/>
            <w:noWrap/>
            <w:vAlign w:val="bottom"/>
            <w:hideMark/>
          </w:tcPr>
          <w:p w14:paraId="657B6671" w14:textId="6861255A"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532</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590.42</w:t>
            </w:r>
          </w:p>
        </w:tc>
        <w:tc>
          <w:tcPr>
            <w:tcW w:w="583" w:type="pct"/>
            <w:tcBorders>
              <w:top w:val="nil"/>
              <w:left w:val="nil"/>
              <w:bottom w:val="nil"/>
              <w:right w:val="single" w:sz="4" w:space="0" w:color="auto"/>
            </w:tcBorders>
            <w:shd w:val="clear" w:color="auto" w:fill="auto"/>
            <w:noWrap/>
            <w:vAlign w:val="bottom"/>
            <w:hideMark/>
          </w:tcPr>
          <w:p w14:paraId="4A15EE91"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hideMark/>
          </w:tcPr>
          <w:p w14:paraId="466E11A2" w14:textId="5D566CD0"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532</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590.42</w:t>
            </w:r>
          </w:p>
        </w:tc>
      </w:tr>
      <w:tr w:rsidR="00686EC7" w:rsidRPr="000C156A" w14:paraId="5706F1ED"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389B8E21"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秘鲁</w:t>
            </w:r>
          </w:p>
        </w:tc>
        <w:tc>
          <w:tcPr>
            <w:tcW w:w="721" w:type="pct"/>
            <w:tcBorders>
              <w:top w:val="nil"/>
              <w:left w:val="nil"/>
              <w:bottom w:val="nil"/>
              <w:right w:val="single" w:sz="4" w:space="0" w:color="auto"/>
            </w:tcBorders>
            <w:shd w:val="clear" w:color="auto" w:fill="auto"/>
            <w:noWrap/>
            <w:vAlign w:val="bottom"/>
            <w:hideMark/>
          </w:tcPr>
          <w:p w14:paraId="42A85371"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2014-2017</w:t>
            </w:r>
          </w:p>
        </w:tc>
        <w:tc>
          <w:tcPr>
            <w:tcW w:w="780" w:type="pct"/>
            <w:tcBorders>
              <w:top w:val="nil"/>
              <w:left w:val="nil"/>
              <w:bottom w:val="nil"/>
              <w:right w:val="single" w:sz="4" w:space="0" w:color="auto"/>
            </w:tcBorders>
            <w:shd w:val="clear" w:color="auto" w:fill="auto"/>
            <w:noWrap/>
            <w:vAlign w:val="bottom"/>
            <w:hideMark/>
          </w:tcPr>
          <w:p w14:paraId="4E95EC84" w14:textId="5A659786"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7</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572.35</w:t>
            </w:r>
          </w:p>
        </w:tc>
        <w:tc>
          <w:tcPr>
            <w:tcW w:w="583" w:type="pct"/>
            <w:tcBorders>
              <w:top w:val="nil"/>
              <w:left w:val="nil"/>
              <w:bottom w:val="nil"/>
              <w:right w:val="single" w:sz="4" w:space="0" w:color="auto"/>
            </w:tcBorders>
            <w:shd w:val="clear" w:color="auto" w:fill="auto"/>
            <w:noWrap/>
            <w:vAlign w:val="bottom"/>
            <w:hideMark/>
          </w:tcPr>
          <w:p w14:paraId="689F7551"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hideMark/>
          </w:tcPr>
          <w:p w14:paraId="48649DCF" w14:textId="5E8C90F8"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7</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572.35</w:t>
            </w:r>
          </w:p>
        </w:tc>
      </w:tr>
      <w:tr w:rsidR="00686EC7" w:rsidRPr="000C156A" w14:paraId="43ECE59C"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407C083C"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突尼斯</w:t>
            </w:r>
          </w:p>
        </w:tc>
        <w:tc>
          <w:tcPr>
            <w:tcW w:w="721" w:type="pct"/>
            <w:tcBorders>
              <w:top w:val="nil"/>
              <w:left w:val="nil"/>
              <w:bottom w:val="nil"/>
              <w:right w:val="single" w:sz="4" w:space="0" w:color="auto"/>
            </w:tcBorders>
            <w:shd w:val="clear" w:color="auto" w:fill="auto"/>
            <w:noWrap/>
            <w:vAlign w:val="bottom"/>
            <w:hideMark/>
          </w:tcPr>
          <w:p w14:paraId="7154B84A"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2015-2019</w:t>
            </w:r>
          </w:p>
        </w:tc>
        <w:tc>
          <w:tcPr>
            <w:tcW w:w="780" w:type="pct"/>
            <w:tcBorders>
              <w:top w:val="nil"/>
              <w:left w:val="nil"/>
              <w:bottom w:val="nil"/>
              <w:right w:val="single" w:sz="4" w:space="0" w:color="auto"/>
            </w:tcBorders>
            <w:shd w:val="clear" w:color="auto" w:fill="auto"/>
            <w:noWrap/>
            <w:vAlign w:val="bottom"/>
            <w:hideMark/>
          </w:tcPr>
          <w:p w14:paraId="5A2EEE8F" w14:textId="63136AC0"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21</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648.70</w:t>
            </w:r>
          </w:p>
        </w:tc>
        <w:tc>
          <w:tcPr>
            <w:tcW w:w="583" w:type="pct"/>
            <w:tcBorders>
              <w:top w:val="nil"/>
              <w:left w:val="nil"/>
              <w:bottom w:val="nil"/>
              <w:right w:val="single" w:sz="4" w:space="0" w:color="auto"/>
            </w:tcBorders>
            <w:shd w:val="clear" w:color="auto" w:fill="auto"/>
            <w:noWrap/>
            <w:vAlign w:val="bottom"/>
            <w:hideMark/>
          </w:tcPr>
          <w:p w14:paraId="5582D191"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hideMark/>
          </w:tcPr>
          <w:p w14:paraId="16AE9DEA" w14:textId="35B11680"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21</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648.70</w:t>
            </w:r>
          </w:p>
        </w:tc>
      </w:tr>
      <w:tr w:rsidR="00686EC7" w:rsidRPr="000C156A" w14:paraId="0803250F"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72317613"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瓦努阿图</w:t>
            </w:r>
          </w:p>
        </w:tc>
        <w:tc>
          <w:tcPr>
            <w:tcW w:w="721" w:type="pct"/>
            <w:tcBorders>
              <w:top w:val="nil"/>
              <w:left w:val="nil"/>
              <w:bottom w:val="nil"/>
              <w:right w:val="single" w:sz="4" w:space="0" w:color="auto"/>
            </w:tcBorders>
            <w:shd w:val="clear" w:color="auto" w:fill="auto"/>
            <w:noWrap/>
            <w:vAlign w:val="bottom"/>
            <w:hideMark/>
          </w:tcPr>
          <w:p w14:paraId="6E8BA006"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2014-2019</w:t>
            </w:r>
          </w:p>
        </w:tc>
        <w:tc>
          <w:tcPr>
            <w:tcW w:w="780" w:type="pct"/>
            <w:tcBorders>
              <w:top w:val="nil"/>
              <w:left w:val="nil"/>
              <w:bottom w:val="nil"/>
              <w:right w:val="single" w:sz="4" w:space="0" w:color="auto"/>
            </w:tcBorders>
            <w:shd w:val="clear" w:color="auto" w:fill="auto"/>
            <w:noWrap/>
            <w:vAlign w:val="bottom"/>
            <w:hideMark/>
          </w:tcPr>
          <w:p w14:paraId="7D870062" w14:textId="206D4B2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60</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261.22</w:t>
            </w:r>
          </w:p>
        </w:tc>
        <w:tc>
          <w:tcPr>
            <w:tcW w:w="583" w:type="pct"/>
            <w:tcBorders>
              <w:top w:val="nil"/>
              <w:left w:val="nil"/>
              <w:bottom w:val="nil"/>
              <w:right w:val="single" w:sz="4" w:space="0" w:color="auto"/>
            </w:tcBorders>
            <w:shd w:val="clear" w:color="auto" w:fill="auto"/>
            <w:noWrap/>
            <w:vAlign w:val="bottom"/>
            <w:hideMark/>
          </w:tcPr>
          <w:p w14:paraId="3F26B9B2"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hideMark/>
          </w:tcPr>
          <w:p w14:paraId="4BAEB283" w14:textId="5E0B6D2C"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60</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261.22</w:t>
            </w:r>
          </w:p>
        </w:tc>
      </w:tr>
      <w:tr w:rsidR="00686EC7" w:rsidRPr="000C156A" w14:paraId="35494F38" w14:textId="77777777" w:rsidTr="00141BAA">
        <w:trPr>
          <w:trHeight w:val="270"/>
        </w:trPr>
        <w:tc>
          <w:tcPr>
            <w:tcW w:w="2136" w:type="pct"/>
            <w:tcBorders>
              <w:top w:val="nil"/>
              <w:left w:val="single" w:sz="4" w:space="0" w:color="auto"/>
              <w:bottom w:val="nil"/>
              <w:right w:val="single" w:sz="4" w:space="0" w:color="auto"/>
            </w:tcBorders>
            <w:shd w:val="clear" w:color="auto" w:fill="auto"/>
            <w:vAlign w:val="bottom"/>
            <w:hideMark/>
          </w:tcPr>
          <w:p w14:paraId="7BB15F47"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委内瑞拉</w:t>
            </w:r>
          </w:p>
        </w:tc>
        <w:tc>
          <w:tcPr>
            <w:tcW w:w="721" w:type="pct"/>
            <w:tcBorders>
              <w:top w:val="nil"/>
              <w:left w:val="nil"/>
              <w:bottom w:val="nil"/>
              <w:right w:val="single" w:sz="4" w:space="0" w:color="auto"/>
            </w:tcBorders>
            <w:shd w:val="clear" w:color="auto" w:fill="auto"/>
            <w:noWrap/>
            <w:vAlign w:val="bottom"/>
            <w:hideMark/>
          </w:tcPr>
          <w:p w14:paraId="5EA114C9" w14:textId="77777777" w:rsidR="00686EC7" w:rsidRPr="000C156A" w:rsidRDefault="00686EC7" w:rsidP="00141BAA">
            <w:pPr>
              <w:jc w:val="center"/>
              <w:rPr>
                <w:rFonts w:asciiTheme="minorHAnsi" w:hAnsiTheme="minorHAnsi" w:cstheme="minorHAnsi"/>
                <w:sz w:val="22"/>
                <w:szCs w:val="22"/>
              </w:rPr>
            </w:pPr>
            <w:r w:rsidRPr="000C156A">
              <w:rPr>
                <w:rFonts w:asciiTheme="minorHAnsi" w:hAnsiTheme="minorHAnsi" w:cstheme="minorHAnsi"/>
                <w:sz w:val="22"/>
                <w:szCs w:val="22"/>
              </w:rPr>
              <w:t>2013-2019</w:t>
            </w:r>
          </w:p>
        </w:tc>
        <w:tc>
          <w:tcPr>
            <w:tcW w:w="780" w:type="pct"/>
            <w:tcBorders>
              <w:top w:val="nil"/>
              <w:left w:val="nil"/>
              <w:bottom w:val="nil"/>
              <w:right w:val="single" w:sz="4" w:space="0" w:color="auto"/>
            </w:tcBorders>
            <w:shd w:val="clear" w:color="auto" w:fill="auto"/>
            <w:noWrap/>
            <w:vAlign w:val="bottom"/>
            <w:hideMark/>
          </w:tcPr>
          <w:p w14:paraId="64A755BC" w14:textId="66B38D5D"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1</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563</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999.79</w:t>
            </w:r>
          </w:p>
        </w:tc>
        <w:tc>
          <w:tcPr>
            <w:tcW w:w="583" w:type="pct"/>
            <w:tcBorders>
              <w:top w:val="nil"/>
              <w:left w:val="nil"/>
              <w:bottom w:val="nil"/>
              <w:right w:val="single" w:sz="4" w:space="0" w:color="auto"/>
            </w:tcBorders>
            <w:shd w:val="clear" w:color="auto" w:fill="auto"/>
            <w:noWrap/>
            <w:vAlign w:val="bottom"/>
            <w:hideMark/>
          </w:tcPr>
          <w:p w14:paraId="0290EAA9" w14:textId="77777777"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0.00</w:t>
            </w:r>
          </w:p>
        </w:tc>
        <w:tc>
          <w:tcPr>
            <w:tcW w:w="780" w:type="pct"/>
            <w:tcBorders>
              <w:top w:val="nil"/>
              <w:left w:val="nil"/>
              <w:bottom w:val="nil"/>
              <w:right w:val="single" w:sz="4" w:space="0" w:color="auto"/>
            </w:tcBorders>
            <w:shd w:val="clear" w:color="auto" w:fill="auto"/>
            <w:noWrap/>
            <w:vAlign w:val="bottom"/>
            <w:hideMark/>
          </w:tcPr>
          <w:p w14:paraId="0C871550" w14:textId="5FD66DC3"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1</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563</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999.79</w:t>
            </w:r>
          </w:p>
        </w:tc>
      </w:tr>
      <w:tr w:rsidR="00686EC7" w:rsidRPr="000C156A" w14:paraId="04BB149A" w14:textId="77777777" w:rsidTr="00141BAA">
        <w:trPr>
          <w:trHeight w:val="218"/>
        </w:trPr>
        <w:tc>
          <w:tcPr>
            <w:tcW w:w="2136" w:type="pct"/>
            <w:tcBorders>
              <w:top w:val="nil"/>
              <w:left w:val="single" w:sz="4" w:space="0" w:color="auto"/>
              <w:bottom w:val="single" w:sz="4" w:space="0" w:color="auto"/>
              <w:right w:val="single" w:sz="4" w:space="0" w:color="auto"/>
            </w:tcBorders>
            <w:shd w:val="clear" w:color="auto" w:fill="auto"/>
            <w:vAlign w:val="bottom"/>
            <w:hideMark/>
          </w:tcPr>
          <w:p w14:paraId="5870E7CE" w14:textId="77777777" w:rsidR="00686EC7" w:rsidRPr="000C156A" w:rsidRDefault="00686EC7" w:rsidP="00141BAA">
            <w:pPr>
              <w:overflowPunct/>
              <w:autoSpaceDE/>
              <w:autoSpaceDN/>
              <w:adjustRightInd/>
              <w:spacing w:before="0"/>
              <w:textAlignment w:val="auto"/>
              <w:rPr>
                <w:rFonts w:cs="Calibri"/>
                <w:sz w:val="22"/>
                <w:szCs w:val="22"/>
                <w:lang w:eastAsia="en-GB"/>
              </w:rPr>
            </w:pPr>
          </w:p>
        </w:tc>
        <w:tc>
          <w:tcPr>
            <w:tcW w:w="721" w:type="pct"/>
            <w:tcBorders>
              <w:top w:val="nil"/>
              <w:left w:val="nil"/>
              <w:bottom w:val="single" w:sz="4" w:space="0" w:color="auto"/>
              <w:right w:val="single" w:sz="4" w:space="0" w:color="auto"/>
            </w:tcBorders>
            <w:shd w:val="clear" w:color="auto" w:fill="auto"/>
            <w:noWrap/>
            <w:vAlign w:val="bottom"/>
            <w:hideMark/>
          </w:tcPr>
          <w:p w14:paraId="7E79BDEF" w14:textId="77777777" w:rsidR="00686EC7" w:rsidRPr="000C156A" w:rsidRDefault="00686EC7" w:rsidP="00141BAA">
            <w:pPr>
              <w:rPr>
                <w:rFonts w:asciiTheme="minorHAnsi" w:hAnsiTheme="minorHAnsi" w:cstheme="minorHAnsi"/>
                <w:sz w:val="22"/>
                <w:szCs w:val="22"/>
              </w:rPr>
            </w:pPr>
          </w:p>
        </w:tc>
        <w:tc>
          <w:tcPr>
            <w:tcW w:w="780" w:type="pct"/>
            <w:tcBorders>
              <w:top w:val="single" w:sz="4" w:space="0" w:color="auto"/>
              <w:left w:val="nil"/>
              <w:bottom w:val="single" w:sz="4" w:space="0" w:color="auto"/>
              <w:right w:val="single" w:sz="4" w:space="0" w:color="auto"/>
            </w:tcBorders>
            <w:shd w:val="clear" w:color="auto" w:fill="auto"/>
            <w:noWrap/>
            <w:vAlign w:val="bottom"/>
            <w:hideMark/>
          </w:tcPr>
          <w:p w14:paraId="1F787828" w14:textId="1F276933"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11</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039</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160.74</w:t>
            </w:r>
          </w:p>
        </w:tc>
        <w:tc>
          <w:tcPr>
            <w:tcW w:w="583" w:type="pct"/>
            <w:tcBorders>
              <w:top w:val="single" w:sz="4" w:space="0" w:color="auto"/>
              <w:left w:val="nil"/>
              <w:bottom w:val="single" w:sz="4" w:space="0" w:color="auto"/>
              <w:right w:val="single" w:sz="4" w:space="0" w:color="auto"/>
            </w:tcBorders>
            <w:shd w:val="clear" w:color="auto" w:fill="auto"/>
            <w:noWrap/>
            <w:vAlign w:val="bottom"/>
            <w:hideMark/>
          </w:tcPr>
          <w:p w14:paraId="6BA65398" w14:textId="25C44A85"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43</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707.10</w:t>
            </w:r>
          </w:p>
        </w:tc>
        <w:tc>
          <w:tcPr>
            <w:tcW w:w="780" w:type="pct"/>
            <w:tcBorders>
              <w:top w:val="single" w:sz="4" w:space="0" w:color="auto"/>
              <w:left w:val="nil"/>
              <w:bottom w:val="single" w:sz="4" w:space="0" w:color="auto"/>
              <w:right w:val="single" w:sz="4" w:space="0" w:color="auto"/>
            </w:tcBorders>
            <w:shd w:val="clear" w:color="auto" w:fill="auto"/>
            <w:noWrap/>
            <w:vAlign w:val="bottom"/>
            <w:hideMark/>
          </w:tcPr>
          <w:p w14:paraId="66E1EFD8" w14:textId="3D79C9DB" w:rsidR="00686EC7" w:rsidRPr="000C156A" w:rsidRDefault="00686EC7" w:rsidP="00141BAA">
            <w:pPr>
              <w:jc w:val="right"/>
              <w:rPr>
                <w:rFonts w:asciiTheme="minorHAnsi" w:hAnsiTheme="minorHAnsi" w:cstheme="minorHAnsi"/>
                <w:sz w:val="22"/>
                <w:szCs w:val="22"/>
              </w:rPr>
            </w:pPr>
            <w:r w:rsidRPr="000C156A">
              <w:rPr>
                <w:rFonts w:asciiTheme="minorHAnsi" w:hAnsiTheme="minorHAnsi" w:cstheme="minorHAnsi"/>
                <w:sz w:val="22"/>
                <w:szCs w:val="22"/>
              </w:rPr>
              <w:t>11</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082</w:t>
            </w:r>
            <w:r w:rsidR="001D2D81" w:rsidRPr="000C156A">
              <w:rPr>
                <w:rFonts w:asciiTheme="minorHAnsi" w:hAnsiTheme="minorHAnsi" w:cstheme="minorHAnsi"/>
                <w:sz w:val="22"/>
                <w:szCs w:val="22"/>
              </w:rPr>
              <w:t xml:space="preserve"> </w:t>
            </w:r>
            <w:r w:rsidRPr="000C156A">
              <w:rPr>
                <w:rFonts w:asciiTheme="minorHAnsi" w:hAnsiTheme="minorHAnsi" w:cstheme="minorHAnsi"/>
                <w:sz w:val="22"/>
                <w:szCs w:val="22"/>
              </w:rPr>
              <w:t>867.84</w:t>
            </w:r>
          </w:p>
        </w:tc>
      </w:tr>
    </w:tbl>
    <w:p w14:paraId="18121756" w14:textId="77777777" w:rsidR="00686EC7" w:rsidRPr="000C156A" w:rsidRDefault="00686EC7" w:rsidP="00686EC7">
      <w:r w:rsidRPr="000C156A">
        <w:br w:type="page"/>
      </w:r>
    </w:p>
    <w:tbl>
      <w:tblPr>
        <w:tblW w:w="10234" w:type="dxa"/>
        <w:jc w:val="center"/>
        <w:tblLook w:val="04A0" w:firstRow="1" w:lastRow="0" w:firstColumn="1" w:lastColumn="0" w:noHBand="0" w:noVBand="1"/>
      </w:tblPr>
      <w:tblGrid>
        <w:gridCol w:w="4149"/>
        <w:gridCol w:w="1577"/>
        <w:gridCol w:w="1582"/>
        <w:gridCol w:w="1434"/>
        <w:gridCol w:w="1492"/>
      </w:tblGrid>
      <w:tr w:rsidR="00686EC7" w:rsidRPr="000C156A" w14:paraId="1FE2FE2B" w14:textId="77777777" w:rsidTr="00141BAA">
        <w:trPr>
          <w:trHeight w:val="301"/>
          <w:jc w:val="center"/>
        </w:trPr>
        <w:tc>
          <w:tcPr>
            <w:tcW w:w="41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160B59" w14:textId="77777777" w:rsidR="00686EC7" w:rsidRPr="000C156A" w:rsidRDefault="00686EC7" w:rsidP="00141BAA">
            <w:pPr>
              <w:pStyle w:val="Tablehead"/>
              <w:jc w:val="left"/>
              <w:rPr>
                <w:szCs w:val="22"/>
                <w:lang w:eastAsia="zh-CN"/>
              </w:rPr>
            </w:pPr>
            <w:r w:rsidRPr="000C156A">
              <w:rPr>
                <w:szCs w:val="22"/>
                <w:lang w:eastAsia="zh-CN"/>
              </w:rPr>
              <w:lastRenderedPageBreak/>
              <w:t>B.</w:t>
            </w:r>
            <w:r w:rsidRPr="000C156A">
              <w:rPr>
                <w:rFonts w:hint="eastAsia"/>
                <w:szCs w:val="22"/>
                <w:lang w:eastAsia="zh-CN"/>
              </w:rPr>
              <w:t>部门成员及其他实体</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E054A" w14:textId="77777777" w:rsidR="00686EC7" w:rsidRPr="000C156A" w:rsidRDefault="00686EC7" w:rsidP="00141BAA">
            <w:pPr>
              <w:pStyle w:val="Tablehead"/>
              <w:rPr>
                <w:szCs w:val="22"/>
                <w:lang w:eastAsia="zh-CN"/>
              </w:rPr>
            </w:pPr>
            <w:r w:rsidRPr="000C156A">
              <w:rPr>
                <w:rFonts w:hint="eastAsia"/>
                <w:szCs w:val="22"/>
              </w:rPr>
              <w:t>年份</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DA4F2" w14:textId="77777777" w:rsidR="00686EC7" w:rsidRPr="000C156A" w:rsidRDefault="00686EC7" w:rsidP="00141BAA">
            <w:pPr>
              <w:pStyle w:val="Tablehead"/>
              <w:rPr>
                <w:szCs w:val="22"/>
                <w:lang w:eastAsia="zh-CN"/>
              </w:rPr>
            </w:pPr>
            <w:r w:rsidRPr="000C156A">
              <w:rPr>
                <w:rFonts w:hint="eastAsia"/>
                <w:szCs w:val="22"/>
              </w:rPr>
              <w:t>会费</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DD98A" w14:textId="77777777" w:rsidR="00686EC7" w:rsidRPr="000C156A" w:rsidRDefault="00686EC7" w:rsidP="00141BAA">
            <w:pPr>
              <w:pStyle w:val="Tablehead"/>
              <w:rPr>
                <w:szCs w:val="22"/>
                <w:lang w:eastAsia="zh-CN"/>
              </w:rPr>
            </w:pPr>
            <w:r w:rsidRPr="000C156A">
              <w:rPr>
                <w:rFonts w:hint="eastAsia"/>
                <w:szCs w:val="22"/>
              </w:rPr>
              <w:t>出版物</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F6644" w14:textId="77777777" w:rsidR="00686EC7" w:rsidRPr="000C156A" w:rsidRDefault="00686EC7" w:rsidP="00141BAA">
            <w:pPr>
              <w:pStyle w:val="Tablehead"/>
              <w:rPr>
                <w:szCs w:val="22"/>
                <w:lang w:eastAsia="zh-CN"/>
              </w:rPr>
            </w:pPr>
            <w:r w:rsidRPr="000C156A">
              <w:rPr>
                <w:rFonts w:hint="eastAsia"/>
                <w:szCs w:val="22"/>
              </w:rPr>
              <w:t>合计</w:t>
            </w:r>
          </w:p>
        </w:tc>
      </w:tr>
      <w:tr w:rsidR="00686EC7" w:rsidRPr="000C156A" w14:paraId="14A02774" w14:textId="77777777" w:rsidTr="00141BAA">
        <w:trPr>
          <w:trHeight w:val="301"/>
          <w:jc w:val="center"/>
        </w:trPr>
        <w:tc>
          <w:tcPr>
            <w:tcW w:w="4149" w:type="dxa"/>
            <w:tcBorders>
              <w:top w:val="single" w:sz="4" w:space="0" w:color="auto"/>
              <w:left w:val="single" w:sz="4" w:space="0" w:color="auto"/>
              <w:bottom w:val="nil"/>
              <w:right w:val="single" w:sz="4" w:space="0" w:color="auto"/>
            </w:tcBorders>
            <w:shd w:val="clear" w:color="auto" w:fill="auto"/>
            <w:vAlign w:val="bottom"/>
            <w:hideMark/>
          </w:tcPr>
          <w:p w14:paraId="623D8BB0" w14:textId="77777777" w:rsidR="00686EC7" w:rsidRPr="000C156A" w:rsidRDefault="00686EC7" w:rsidP="00141BAA">
            <w:pPr>
              <w:jc w:val="center"/>
              <w:rPr>
                <w:rFonts w:cs="Calibri"/>
                <w:b/>
                <w:bCs/>
                <w:sz w:val="22"/>
                <w:szCs w:val="22"/>
              </w:rPr>
            </w:pPr>
          </w:p>
        </w:tc>
        <w:tc>
          <w:tcPr>
            <w:tcW w:w="1577" w:type="dxa"/>
            <w:tcBorders>
              <w:top w:val="single" w:sz="4" w:space="0" w:color="auto"/>
              <w:left w:val="single" w:sz="4" w:space="0" w:color="auto"/>
              <w:bottom w:val="nil"/>
              <w:right w:val="single" w:sz="4" w:space="0" w:color="auto"/>
            </w:tcBorders>
            <w:shd w:val="clear" w:color="auto" w:fill="auto"/>
            <w:noWrap/>
            <w:vAlign w:val="bottom"/>
            <w:hideMark/>
          </w:tcPr>
          <w:p w14:paraId="6E24D77F" w14:textId="77777777" w:rsidR="00686EC7" w:rsidRPr="000C156A" w:rsidRDefault="00686EC7" w:rsidP="00141BAA">
            <w:pPr>
              <w:rPr>
                <w:rFonts w:ascii="Times New Roman" w:hAnsi="Times New Roman"/>
                <w:sz w:val="22"/>
                <w:szCs w:val="22"/>
              </w:rPr>
            </w:pPr>
          </w:p>
        </w:tc>
        <w:tc>
          <w:tcPr>
            <w:tcW w:w="1582" w:type="dxa"/>
            <w:tcBorders>
              <w:top w:val="single" w:sz="4" w:space="0" w:color="auto"/>
              <w:left w:val="single" w:sz="4" w:space="0" w:color="auto"/>
              <w:bottom w:val="nil"/>
              <w:right w:val="single" w:sz="4" w:space="0" w:color="auto"/>
            </w:tcBorders>
            <w:shd w:val="clear" w:color="auto" w:fill="auto"/>
            <w:noWrap/>
            <w:vAlign w:val="bottom"/>
            <w:hideMark/>
          </w:tcPr>
          <w:p w14:paraId="166C06F2" w14:textId="77777777" w:rsidR="00686EC7" w:rsidRPr="000C156A" w:rsidRDefault="00686EC7" w:rsidP="00141BAA">
            <w:pPr>
              <w:jc w:val="center"/>
              <w:rPr>
                <w:rFonts w:ascii="Times New Roman" w:hAnsi="Times New Roman"/>
                <w:sz w:val="22"/>
                <w:szCs w:val="22"/>
              </w:rPr>
            </w:pPr>
          </w:p>
        </w:tc>
        <w:tc>
          <w:tcPr>
            <w:tcW w:w="1434" w:type="dxa"/>
            <w:tcBorders>
              <w:top w:val="single" w:sz="4" w:space="0" w:color="auto"/>
              <w:left w:val="single" w:sz="4" w:space="0" w:color="auto"/>
              <w:bottom w:val="nil"/>
              <w:right w:val="single" w:sz="4" w:space="0" w:color="auto"/>
            </w:tcBorders>
            <w:shd w:val="clear" w:color="auto" w:fill="auto"/>
            <w:noWrap/>
            <w:vAlign w:val="bottom"/>
            <w:hideMark/>
          </w:tcPr>
          <w:p w14:paraId="4953234B" w14:textId="77777777" w:rsidR="00686EC7" w:rsidRPr="000C156A" w:rsidRDefault="00686EC7" w:rsidP="00141BAA">
            <w:pPr>
              <w:jc w:val="right"/>
              <w:rPr>
                <w:rFonts w:ascii="Times New Roman" w:hAnsi="Times New Roman"/>
                <w:sz w:val="22"/>
                <w:szCs w:val="22"/>
              </w:rPr>
            </w:pPr>
          </w:p>
        </w:tc>
        <w:tc>
          <w:tcPr>
            <w:tcW w:w="1492" w:type="dxa"/>
            <w:tcBorders>
              <w:top w:val="single" w:sz="4" w:space="0" w:color="auto"/>
              <w:left w:val="single" w:sz="4" w:space="0" w:color="auto"/>
              <w:bottom w:val="nil"/>
              <w:right w:val="single" w:sz="4" w:space="0" w:color="auto"/>
            </w:tcBorders>
            <w:shd w:val="clear" w:color="auto" w:fill="auto"/>
            <w:noWrap/>
            <w:vAlign w:val="bottom"/>
            <w:hideMark/>
          </w:tcPr>
          <w:p w14:paraId="157DC2A0" w14:textId="77777777" w:rsidR="00686EC7" w:rsidRPr="000C156A" w:rsidRDefault="00686EC7" w:rsidP="00141BAA">
            <w:pPr>
              <w:jc w:val="right"/>
              <w:rPr>
                <w:rFonts w:ascii="Times New Roman" w:hAnsi="Times New Roman"/>
                <w:sz w:val="22"/>
                <w:szCs w:val="22"/>
              </w:rPr>
            </w:pPr>
          </w:p>
        </w:tc>
      </w:tr>
      <w:tr w:rsidR="00686EC7" w:rsidRPr="000C156A" w14:paraId="010959C3" w14:textId="77777777" w:rsidTr="00141BAA">
        <w:trPr>
          <w:trHeight w:val="301"/>
          <w:jc w:val="center"/>
        </w:trPr>
        <w:tc>
          <w:tcPr>
            <w:tcW w:w="4149" w:type="dxa"/>
            <w:tcBorders>
              <w:top w:val="nil"/>
              <w:left w:val="single" w:sz="4" w:space="0" w:color="auto"/>
              <w:bottom w:val="nil"/>
              <w:right w:val="single" w:sz="4" w:space="0" w:color="auto"/>
            </w:tcBorders>
            <w:shd w:val="clear" w:color="auto" w:fill="auto"/>
            <w:vAlign w:val="bottom"/>
            <w:hideMark/>
          </w:tcPr>
          <w:p w14:paraId="5F1650E0" w14:textId="77777777" w:rsidR="00686EC7" w:rsidRPr="000C156A" w:rsidRDefault="00686EC7" w:rsidP="00141BAA">
            <w:pPr>
              <w:rPr>
                <w:rFonts w:cs="Calibri"/>
                <w:b/>
                <w:bCs/>
                <w:sz w:val="22"/>
                <w:szCs w:val="22"/>
              </w:rPr>
            </w:pPr>
            <w:r w:rsidRPr="000C156A">
              <w:rPr>
                <w:rFonts w:cs="Calibri" w:hint="eastAsia"/>
                <w:b/>
                <w:bCs/>
                <w:sz w:val="22"/>
                <w:szCs w:val="22"/>
                <w:lang w:eastAsia="zh-CN"/>
              </w:rPr>
              <w:t>阿尔及利亚</w:t>
            </w:r>
          </w:p>
        </w:tc>
        <w:tc>
          <w:tcPr>
            <w:tcW w:w="1577" w:type="dxa"/>
            <w:tcBorders>
              <w:top w:val="nil"/>
              <w:left w:val="single" w:sz="4" w:space="0" w:color="auto"/>
              <w:bottom w:val="nil"/>
              <w:right w:val="single" w:sz="4" w:space="0" w:color="auto"/>
            </w:tcBorders>
            <w:shd w:val="clear" w:color="auto" w:fill="auto"/>
            <w:noWrap/>
            <w:vAlign w:val="bottom"/>
            <w:hideMark/>
          </w:tcPr>
          <w:p w14:paraId="76298301" w14:textId="77777777" w:rsidR="00686EC7" w:rsidRPr="000C156A" w:rsidRDefault="00686EC7" w:rsidP="00141BAA">
            <w:pPr>
              <w:rPr>
                <w:rFonts w:cs="Calibri"/>
                <w:b/>
                <w:bCs/>
                <w:sz w:val="22"/>
                <w:szCs w:val="22"/>
              </w:rPr>
            </w:pPr>
          </w:p>
        </w:tc>
        <w:tc>
          <w:tcPr>
            <w:tcW w:w="1582" w:type="dxa"/>
            <w:tcBorders>
              <w:top w:val="nil"/>
              <w:left w:val="single" w:sz="4" w:space="0" w:color="auto"/>
              <w:bottom w:val="nil"/>
              <w:right w:val="single" w:sz="4" w:space="0" w:color="auto"/>
            </w:tcBorders>
            <w:shd w:val="clear" w:color="auto" w:fill="auto"/>
            <w:noWrap/>
            <w:vAlign w:val="bottom"/>
            <w:hideMark/>
          </w:tcPr>
          <w:p w14:paraId="3193B134"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0A01EAD7" w14:textId="77777777" w:rsidR="00686EC7" w:rsidRPr="000C156A" w:rsidRDefault="00686EC7" w:rsidP="00141BAA">
            <w:pPr>
              <w:jc w:val="right"/>
              <w:rPr>
                <w:rFonts w:ascii="Times New Roman" w:hAnsi="Times New Roman"/>
                <w:sz w:val="22"/>
                <w:szCs w:val="22"/>
              </w:rPr>
            </w:pPr>
          </w:p>
        </w:tc>
        <w:tc>
          <w:tcPr>
            <w:tcW w:w="1492" w:type="dxa"/>
            <w:tcBorders>
              <w:top w:val="nil"/>
              <w:left w:val="single" w:sz="4" w:space="0" w:color="auto"/>
              <w:bottom w:val="nil"/>
              <w:right w:val="single" w:sz="4" w:space="0" w:color="auto"/>
            </w:tcBorders>
            <w:shd w:val="clear" w:color="auto" w:fill="auto"/>
            <w:noWrap/>
            <w:vAlign w:val="bottom"/>
            <w:hideMark/>
          </w:tcPr>
          <w:p w14:paraId="069AF082" w14:textId="77777777" w:rsidR="00686EC7" w:rsidRPr="000C156A" w:rsidRDefault="00686EC7" w:rsidP="00141BAA">
            <w:pPr>
              <w:jc w:val="right"/>
              <w:rPr>
                <w:rFonts w:ascii="Times New Roman" w:hAnsi="Times New Roman"/>
                <w:sz w:val="22"/>
                <w:szCs w:val="22"/>
              </w:rPr>
            </w:pPr>
          </w:p>
        </w:tc>
      </w:tr>
      <w:tr w:rsidR="00686EC7" w:rsidRPr="000C156A" w14:paraId="4375ECA7" w14:textId="77777777" w:rsidTr="00141BAA">
        <w:trPr>
          <w:trHeight w:val="301"/>
          <w:jc w:val="center"/>
        </w:trPr>
        <w:tc>
          <w:tcPr>
            <w:tcW w:w="4149" w:type="dxa"/>
            <w:tcBorders>
              <w:top w:val="nil"/>
              <w:left w:val="single" w:sz="4" w:space="0" w:color="auto"/>
              <w:bottom w:val="nil"/>
              <w:right w:val="single" w:sz="4" w:space="0" w:color="auto"/>
            </w:tcBorders>
            <w:shd w:val="clear" w:color="auto" w:fill="auto"/>
            <w:vAlign w:val="bottom"/>
            <w:hideMark/>
          </w:tcPr>
          <w:p w14:paraId="5EC53999" w14:textId="3E861C7D"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Microsoft YaHei" w:hint="eastAsia"/>
                <w:sz w:val="22"/>
                <w:szCs w:val="22"/>
                <w:lang w:val="fr-FR" w:eastAsia="zh-CN"/>
              </w:rPr>
              <w:t>先进技术开发中心，阿尔及尔</w:t>
            </w:r>
          </w:p>
        </w:tc>
        <w:tc>
          <w:tcPr>
            <w:tcW w:w="1577" w:type="dxa"/>
            <w:tcBorders>
              <w:top w:val="nil"/>
              <w:left w:val="single" w:sz="4" w:space="0" w:color="auto"/>
              <w:bottom w:val="nil"/>
              <w:right w:val="single" w:sz="4" w:space="0" w:color="auto"/>
            </w:tcBorders>
            <w:shd w:val="clear" w:color="auto" w:fill="auto"/>
            <w:noWrap/>
            <w:vAlign w:val="bottom"/>
            <w:hideMark/>
          </w:tcPr>
          <w:p w14:paraId="4F3F7F6B" w14:textId="77777777" w:rsidR="00686EC7" w:rsidRPr="000C156A" w:rsidRDefault="00686EC7" w:rsidP="00141BAA">
            <w:pPr>
              <w:jc w:val="center"/>
              <w:rPr>
                <w:rFonts w:cs="Calibri"/>
                <w:sz w:val="22"/>
                <w:szCs w:val="22"/>
              </w:rPr>
            </w:pPr>
            <w:r w:rsidRPr="000C156A">
              <w:rPr>
                <w:rFonts w:cs="Calibri"/>
                <w:sz w:val="22"/>
                <w:szCs w:val="22"/>
              </w:rPr>
              <w:t>2015</w:t>
            </w:r>
          </w:p>
        </w:tc>
        <w:tc>
          <w:tcPr>
            <w:tcW w:w="1582" w:type="dxa"/>
            <w:tcBorders>
              <w:top w:val="nil"/>
              <w:left w:val="single" w:sz="4" w:space="0" w:color="auto"/>
              <w:bottom w:val="nil"/>
              <w:right w:val="single" w:sz="4" w:space="0" w:color="auto"/>
            </w:tcBorders>
            <w:shd w:val="clear" w:color="auto" w:fill="auto"/>
            <w:noWrap/>
            <w:vAlign w:val="bottom"/>
            <w:hideMark/>
          </w:tcPr>
          <w:p w14:paraId="52081332" w14:textId="711CBAA4"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759.45</w:t>
            </w:r>
          </w:p>
        </w:tc>
        <w:tc>
          <w:tcPr>
            <w:tcW w:w="1434" w:type="dxa"/>
            <w:tcBorders>
              <w:top w:val="nil"/>
              <w:left w:val="single" w:sz="4" w:space="0" w:color="auto"/>
              <w:bottom w:val="nil"/>
              <w:right w:val="single" w:sz="4" w:space="0" w:color="auto"/>
            </w:tcBorders>
            <w:shd w:val="clear" w:color="auto" w:fill="auto"/>
            <w:noWrap/>
            <w:vAlign w:val="bottom"/>
            <w:hideMark/>
          </w:tcPr>
          <w:p w14:paraId="1AD55183" w14:textId="77777777" w:rsidR="00686EC7" w:rsidRPr="000C156A" w:rsidRDefault="00686EC7" w:rsidP="00141BAA">
            <w:pPr>
              <w:jc w:val="right"/>
              <w:rPr>
                <w:rFonts w:cs="Calibri"/>
                <w:sz w:val="22"/>
                <w:szCs w:val="22"/>
              </w:rPr>
            </w:pPr>
            <w:r w:rsidRPr="000C156A">
              <w:rPr>
                <w:rFonts w:cs="Calibri"/>
                <w:sz w:val="22"/>
                <w:szCs w:val="22"/>
              </w:rPr>
              <w:t>0.00</w:t>
            </w:r>
          </w:p>
        </w:tc>
        <w:tc>
          <w:tcPr>
            <w:tcW w:w="1492" w:type="dxa"/>
            <w:tcBorders>
              <w:top w:val="nil"/>
              <w:left w:val="single" w:sz="4" w:space="0" w:color="auto"/>
              <w:bottom w:val="nil"/>
              <w:right w:val="single" w:sz="4" w:space="0" w:color="auto"/>
            </w:tcBorders>
            <w:shd w:val="clear" w:color="auto" w:fill="auto"/>
            <w:noWrap/>
            <w:vAlign w:val="bottom"/>
            <w:hideMark/>
          </w:tcPr>
          <w:p w14:paraId="04A4DB18" w14:textId="4FDC8F3E"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759.45</w:t>
            </w:r>
          </w:p>
        </w:tc>
      </w:tr>
      <w:tr w:rsidR="00686EC7" w:rsidRPr="000C156A" w14:paraId="434AF41E" w14:textId="77777777" w:rsidTr="00141BAA">
        <w:trPr>
          <w:trHeight w:val="557"/>
          <w:jc w:val="center"/>
        </w:trPr>
        <w:tc>
          <w:tcPr>
            <w:tcW w:w="4149" w:type="dxa"/>
            <w:tcBorders>
              <w:top w:val="nil"/>
              <w:left w:val="single" w:sz="4" w:space="0" w:color="auto"/>
              <w:bottom w:val="nil"/>
              <w:right w:val="single" w:sz="4" w:space="0" w:color="auto"/>
            </w:tcBorders>
            <w:shd w:val="clear" w:color="auto" w:fill="auto"/>
            <w:vAlign w:val="bottom"/>
            <w:hideMark/>
          </w:tcPr>
          <w:p w14:paraId="1E04A0B5" w14:textId="09B909ED"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Microsoft YaHei" w:hint="eastAsia"/>
                <w:sz w:val="22"/>
                <w:szCs w:val="22"/>
                <w:lang w:val="fr-FR" w:eastAsia="zh-CN"/>
              </w:rPr>
              <w:t>国家邮政及信息和通信技术研究所，阿尔及尔</w:t>
            </w:r>
          </w:p>
        </w:tc>
        <w:tc>
          <w:tcPr>
            <w:tcW w:w="1577" w:type="dxa"/>
            <w:tcBorders>
              <w:top w:val="nil"/>
              <w:left w:val="single" w:sz="4" w:space="0" w:color="auto"/>
              <w:bottom w:val="nil"/>
              <w:right w:val="single" w:sz="4" w:space="0" w:color="auto"/>
            </w:tcBorders>
            <w:shd w:val="clear" w:color="auto" w:fill="auto"/>
            <w:noWrap/>
            <w:vAlign w:val="bottom"/>
            <w:hideMark/>
          </w:tcPr>
          <w:p w14:paraId="3295F1A8" w14:textId="77777777" w:rsidR="00686EC7" w:rsidRPr="000C156A" w:rsidRDefault="00686EC7" w:rsidP="00141BAA">
            <w:pPr>
              <w:jc w:val="center"/>
              <w:rPr>
                <w:rFonts w:cs="Calibri"/>
                <w:sz w:val="22"/>
                <w:szCs w:val="22"/>
              </w:rPr>
            </w:pPr>
            <w:r w:rsidRPr="000C156A">
              <w:rPr>
                <w:rFonts w:cs="Calibri"/>
                <w:sz w:val="22"/>
                <w:szCs w:val="22"/>
              </w:rPr>
              <w:t>2012-2013</w:t>
            </w:r>
          </w:p>
        </w:tc>
        <w:tc>
          <w:tcPr>
            <w:tcW w:w="1582" w:type="dxa"/>
            <w:tcBorders>
              <w:top w:val="nil"/>
              <w:left w:val="single" w:sz="4" w:space="0" w:color="auto"/>
              <w:bottom w:val="nil"/>
              <w:right w:val="single" w:sz="4" w:space="0" w:color="auto"/>
            </w:tcBorders>
            <w:shd w:val="clear" w:color="auto" w:fill="auto"/>
            <w:noWrap/>
            <w:vAlign w:val="bottom"/>
            <w:hideMark/>
          </w:tcPr>
          <w:p w14:paraId="3D6492D2" w14:textId="2A073D07" w:rsidR="00686EC7" w:rsidRPr="000C156A" w:rsidRDefault="00686EC7" w:rsidP="00141BAA">
            <w:pPr>
              <w:jc w:val="right"/>
              <w:rPr>
                <w:rFonts w:cs="Calibri"/>
                <w:sz w:val="22"/>
                <w:szCs w:val="22"/>
              </w:rPr>
            </w:pPr>
            <w:r w:rsidRPr="000C156A">
              <w:rPr>
                <w:rFonts w:cs="Calibri"/>
                <w:sz w:val="22"/>
                <w:szCs w:val="22"/>
              </w:rPr>
              <w:t>3</w:t>
            </w:r>
            <w:r w:rsidR="003F0401" w:rsidRPr="000C156A">
              <w:rPr>
                <w:rFonts w:cs="Calibri"/>
                <w:sz w:val="22"/>
                <w:szCs w:val="22"/>
              </w:rPr>
              <w:t xml:space="preserve"> </w:t>
            </w:r>
            <w:r w:rsidRPr="000C156A">
              <w:rPr>
                <w:rFonts w:cs="Calibri"/>
                <w:sz w:val="22"/>
                <w:szCs w:val="22"/>
              </w:rPr>
              <w:t>661.45</w:t>
            </w:r>
          </w:p>
        </w:tc>
        <w:tc>
          <w:tcPr>
            <w:tcW w:w="1434" w:type="dxa"/>
            <w:tcBorders>
              <w:top w:val="nil"/>
              <w:left w:val="single" w:sz="4" w:space="0" w:color="auto"/>
              <w:bottom w:val="nil"/>
              <w:right w:val="single" w:sz="4" w:space="0" w:color="auto"/>
            </w:tcBorders>
            <w:shd w:val="clear" w:color="auto" w:fill="auto"/>
            <w:noWrap/>
            <w:vAlign w:val="bottom"/>
            <w:hideMark/>
          </w:tcPr>
          <w:p w14:paraId="5661657E" w14:textId="77777777" w:rsidR="00686EC7" w:rsidRPr="000C156A" w:rsidRDefault="00686EC7" w:rsidP="00141BAA">
            <w:pPr>
              <w:jc w:val="right"/>
              <w:rPr>
                <w:rFonts w:cs="Calibri"/>
                <w:sz w:val="22"/>
                <w:szCs w:val="22"/>
              </w:rPr>
            </w:pPr>
            <w:r w:rsidRPr="000C156A">
              <w:rPr>
                <w:rFonts w:cs="Calibri"/>
                <w:sz w:val="22"/>
                <w:szCs w:val="22"/>
              </w:rPr>
              <w:t>0.00</w:t>
            </w:r>
          </w:p>
        </w:tc>
        <w:tc>
          <w:tcPr>
            <w:tcW w:w="1492" w:type="dxa"/>
            <w:tcBorders>
              <w:top w:val="nil"/>
              <w:left w:val="single" w:sz="4" w:space="0" w:color="auto"/>
              <w:bottom w:val="nil"/>
              <w:right w:val="single" w:sz="4" w:space="0" w:color="auto"/>
            </w:tcBorders>
            <w:shd w:val="clear" w:color="auto" w:fill="auto"/>
            <w:noWrap/>
            <w:vAlign w:val="bottom"/>
            <w:hideMark/>
          </w:tcPr>
          <w:p w14:paraId="717F7F7E" w14:textId="262DD249" w:rsidR="00686EC7" w:rsidRPr="000C156A" w:rsidRDefault="00686EC7" w:rsidP="00141BAA">
            <w:pPr>
              <w:jc w:val="right"/>
              <w:rPr>
                <w:rFonts w:cs="Calibri"/>
                <w:sz w:val="22"/>
                <w:szCs w:val="22"/>
              </w:rPr>
            </w:pPr>
            <w:r w:rsidRPr="000C156A">
              <w:rPr>
                <w:rFonts w:cs="Calibri"/>
                <w:sz w:val="22"/>
                <w:szCs w:val="22"/>
              </w:rPr>
              <w:t>3</w:t>
            </w:r>
            <w:r w:rsidR="003F0401" w:rsidRPr="000C156A">
              <w:rPr>
                <w:rFonts w:cs="Calibri"/>
                <w:sz w:val="22"/>
                <w:szCs w:val="22"/>
              </w:rPr>
              <w:t xml:space="preserve"> </w:t>
            </w:r>
            <w:r w:rsidRPr="000C156A">
              <w:rPr>
                <w:rFonts w:cs="Calibri"/>
                <w:sz w:val="22"/>
                <w:szCs w:val="22"/>
              </w:rPr>
              <w:t>661.45</w:t>
            </w:r>
          </w:p>
        </w:tc>
      </w:tr>
      <w:tr w:rsidR="00686EC7" w:rsidRPr="000C156A" w14:paraId="63A347CB" w14:textId="77777777" w:rsidTr="00141BAA">
        <w:trPr>
          <w:trHeight w:val="301"/>
          <w:jc w:val="center"/>
        </w:trPr>
        <w:tc>
          <w:tcPr>
            <w:tcW w:w="4149" w:type="dxa"/>
            <w:tcBorders>
              <w:top w:val="nil"/>
              <w:left w:val="single" w:sz="4" w:space="0" w:color="auto"/>
              <w:bottom w:val="nil"/>
              <w:right w:val="single" w:sz="4" w:space="0" w:color="auto"/>
            </w:tcBorders>
            <w:shd w:val="clear" w:color="auto" w:fill="auto"/>
            <w:vAlign w:val="bottom"/>
            <w:hideMark/>
          </w:tcPr>
          <w:p w14:paraId="2D83F9BE" w14:textId="4F5412BB"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Microsoft YaHei" w:hint="eastAsia"/>
                <w:sz w:val="22"/>
                <w:szCs w:val="22"/>
                <w:lang w:val="fr-FR" w:eastAsia="zh-CN"/>
              </w:rPr>
              <w:t>阿尔及利亚</w:t>
            </w:r>
            <w:r w:rsidR="00686EC7" w:rsidRPr="000C156A">
              <w:rPr>
                <w:rFonts w:cs="Calibri"/>
                <w:sz w:val="22"/>
                <w:szCs w:val="22"/>
                <w:lang w:val="fr-FR" w:eastAsia="zh-CN"/>
              </w:rPr>
              <w:t>Wataniya</w:t>
            </w:r>
            <w:r w:rsidR="00686EC7" w:rsidRPr="000C156A">
              <w:rPr>
                <w:rFonts w:cs="Microsoft YaHei" w:hint="eastAsia"/>
                <w:sz w:val="22"/>
                <w:szCs w:val="22"/>
                <w:lang w:val="fr-FR" w:eastAsia="zh-CN"/>
              </w:rPr>
              <w:t>电信公司，阿尔及尔</w:t>
            </w:r>
          </w:p>
        </w:tc>
        <w:tc>
          <w:tcPr>
            <w:tcW w:w="1577" w:type="dxa"/>
            <w:tcBorders>
              <w:top w:val="nil"/>
              <w:left w:val="single" w:sz="4" w:space="0" w:color="auto"/>
              <w:bottom w:val="nil"/>
              <w:right w:val="single" w:sz="4" w:space="0" w:color="auto"/>
            </w:tcBorders>
            <w:shd w:val="clear" w:color="auto" w:fill="auto"/>
            <w:noWrap/>
            <w:vAlign w:val="bottom"/>
            <w:hideMark/>
          </w:tcPr>
          <w:p w14:paraId="3B10B581" w14:textId="77777777" w:rsidR="00686EC7" w:rsidRPr="000C156A" w:rsidRDefault="00686EC7" w:rsidP="00141BAA">
            <w:pPr>
              <w:jc w:val="center"/>
              <w:rPr>
                <w:rFonts w:cs="Calibri"/>
                <w:sz w:val="22"/>
                <w:szCs w:val="22"/>
              </w:rPr>
            </w:pPr>
            <w:r w:rsidRPr="000C156A">
              <w:rPr>
                <w:rFonts w:cs="Calibri"/>
                <w:sz w:val="22"/>
                <w:szCs w:val="22"/>
              </w:rPr>
              <w:t>2005-2007</w:t>
            </w:r>
          </w:p>
        </w:tc>
        <w:tc>
          <w:tcPr>
            <w:tcW w:w="1582" w:type="dxa"/>
            <w:tcBorders>
              <w:top w:val="nil"/>
              <w:left w:val="single" w:sz="4" w:space="0" w:color="auto"/>
              <w:bottom w:val="nil"/>
              <w:right w:val="single" w:sz="4" w:space="0" w:color="auto"/>
            </w:tcBorders>
            <w:shd w:val="clear" w:color="auto" w:fill="auto"/>
            <w:noWrap/>
            <w:vAlign w:val="bottom"/>
            <w:hideMark/>
          </w:tcPr>
          <w:p w14:paraId="0B0FFAA5" w14:textId="50EB50CF" w:rsidR="00686EC7" w:rsidRPr="000C156A" w:rsidRDefault="00686EC7" w:rsidP="00141BAA">
            <w:pPr>
              <w:jc w:val="right"/>
              <w:rPr>
                <w:rFonts w:cs="Calibri"/>
                <w:sz w:val="22"/>
                <w:szCs w:val="22"/>
              </w:rPr>
            </w:pPr>
            <w:r w:rsidRPr="000C156A">
              <w:rPr>
                <w:rFonts w:cs="Calibri"/>
                <w:sz w:val="22"/>
                <w:szCs w:val="22"/>
              </w:rPr>
              <w:t>8</w:t>
            </w:r>
            <w:r w:rsidR="003F0401" w:rsidRPr="000C156A">
              <w:rPr>
                <w:rFonts w:cs="Calibri"/>
                <w:sz w:val="22"/>
                <w:szCs w:val="22"/>
              </w:rPr>
              <w:t xml:space="preserve"> </w:t>
            </w:r>
            <w:r w:rsidRPr="000C156A">
              <w:rPr>
                <w:rFonts w:cs="Calibri"/>
                <w:sz w:val="22"/>
                <w:szCs w:val="22"/>
              </w:rPr>
              <w:t>922.90</w:t>
            </w:r>
          </w:p>
        </w:tc>
        <w:tc>
          <w:tcPr>
            <w:tcW w:w="1434" w:type="dxa"/>
            <w:tcBorders>
              <w:top w:val="nil"/>
              <w:left w:val="single" w:sz="4" w:space="0" w:color="auto"/>
              <w:bottom w:val="nil"/>
              <w:right w:val="single" w:sz="4" w:space="0" w:color="auto"/>
            </w:tcBorders>
            <w:shd w:val="clear" w:color="auto" w:fill="auto"/>
            <w:noWrap/>
            <w:vAlign w:val="bottom"/>
            <w:hideMark/>
          </w:tcPr>
          <w:p w14:paraId="7F0F4B2D" w14:textId="77777777" w:rsidR="00686EC7" w:rsidRPr="000C156A" w:rsidRDefault="00686EC7" w:rsidP="00141BAA">
            <w:pPr>
              <w:jc w:val="right"/>
              <w:rPr>
                <w:rFonts w:cs="Calibri"/>
                <w:sz w:val="22"/>
                <w:szCs w:val="22"/>
              </w:rPr>
            </w:pPr>
            <w:r w:rsidRPr="000C156A">
              <w:rPr>
                <w:rFonts w:cs="Calibri"/>
                <w:sz w:val="22"/>
                <w:szCs w:val="22"/>
              </w:rPr>
              <w:t>0.00</w:t>
            </w:r>
          </w:p>
        </w:tc>
        <w:tc>
          <w:tcPr>
            <w:tcW w:w="1492" w:type="dxa"/>
            <w:tcBorders>
              <w:top w:val="nil"/>
              <w:left w:val="single" w:sz="4" w:space="0" w:color="auto"/>
              <w:bottom w:val="nil"/>
              <w:right w:val="single" w:sz="4" w:space="0" w:color="auto"/>
            </w:tcBorders>
            <w:shd w:val="clear" w:color="auto" w:fill="auto"/>
            <w:noWrap/>
            <w:vAlign w:val="bottom"/>
            <w:hideMark/>
          </w:tcPr>
          <w:p w14:paraId="08C4093E" w14:textId="2A48D6B9" w:rsidR="00686EC7" w:rsidRPr="000C156A" w:rsidRDefault="00686EC7" w:rsidP="00141BAA">
            <w:pPr>
              <w:jc w:val="right"/>
              <w:rPr>
                <w:rFonts w:cs="Calibri"/>
                <w:sz w:val="22"/>
                <w:szCs w:val="22"/>
              </w:rPr>
            </w:pPr>
            <w:r w:rsidRPr="000C156A">
              <w:rPr>
                <w:rFonts w:cs="Calibri"/>
                <w:sz w:val="22"/>
                <w:szCs w:val="22"/>
              </w:rPr>
              <w:t>8</w:t>
            </w:r>
            <w:r w:rsidR="003F0401" w:rsidRPr="000C156A">
              <w:rPr>
                <w:rFonts w:cs="Calibri"/>
                <w:sz w:val="22"/>
                <w:szCs w:val="22"/>
              </w:rPr>
              <w:t xml:space="preserve"> </w:t>
            </w:r>
            <w:r w:rsidRPr="000C156A">
              <w:rPr>
                <w:rFonts w:cs="Calibri"/>
                <w:sz w:val="22"/>
                <w:szCs w:val="22"/>
              </w:rPr>
              <w:t>922.90</w:t>
            </w:r>
          </w:p>
        </w:tc>
      </w:tr>
      <w:tr w:rsidR="00686EC7" w:rsidRPr="000C156A" w14:paraId="21649D22" w14:textId="77777777" w:rsidTr="00141BAA">
        <w:trPr>
          <w:trHeight w:val="301"/>
          <w:jc w:val="center"/>
        </w:trPr>
        <w:tc>
          <w:tcPr>
            <w:tcW w:w="4149" w:type="dxa"/>
            <w:tcBorders>
              <w:top w:val="nil"/>
              <w:left w:val="single" w:sz="4" w:space="0" w:color="auto"/>
              <w:bottom w:val="nil"/>
              <w:right w:val="single" w:sz="4" w:space="0" w:color="auto"/>
            </w:tcBorders>
            <w:shd w:val="clear" w:color="auto" w:fill="auto"/>
            <w:vAlign w:val="bottom"/>
            <w:hideMark/>
          </w:tcPr>
          <w:p w14:paraId="0A062066" w14:textId="77777777" w:rsidR="00686EC7" w:rsidRPr="000C156A" w:rsidRDefault="00686EC7" w:rsidP="00141BAA">
            <w:pPr>
              <w:rPr>
                <w:rFonts w:cs="Calibri"/>
                <w:b/>
                <w:bCs/>
                <w:sz w:val="22"/>
                <w:szCs w:val="22"/>
              </w:rPr>
            </w:pPr>
            <w:r w:rsidRPr="000C156A">
              <w:rPr>
                <w:rFonts w:cs="Calibri" w:hint="eastAsia"/>
                <w:b/>
                <w:bCs/>
                <w:sz w:val="22"/>
                <w:szCs w:val="22"/>
                <w:lang w:eastAsia="zh-CN"/>
              </w:rPr>
              <w:t>澳大利亚</w:t>
            </w:r>
          </w:p>
        </w:tc>
        <w:tc>
          <w:tcPr>
            <w:tcW w:w="1577" w:type="dxa"/>
            <w:tcBorders>
              <w:top w:val="nil"/>
              <w:left w:val="single" w:sz="4" w:space="0" w:color="auto"/>
              <w:bottom w:val="nil"/>
              <w:right w:val="single" w:sz="4" w:space="0" w:color="auto"/>
            </w:tcBorders>
            <w:shd w:val="clear" w:color="auto" w:fill="auto"/>
            <w:noWrap/>
            <w:vAlign w:val="bottom"/>
            <w:hideMark/>
          </w:tcPr>
          <w:p w14:paraId="2815A0E1" w14:textId="77777777" w:rsidR="00686EC7" w:rsidRPr="000C156A" w:rsidRDefault="00686EC7" w:rsidP="00141BAA">
            <w:pPr>
              <w:rPr>
                <w:rFonts w:cs="Calibri"/>
                <w:b/>
                <w:bCs/>
                <w:sz w:val="22"/>
                <w:szCs w:val="22"/>
              </w:rPr>
            </w:pPr>
          </w:p>
        </w:tc>
        <w:tc>
          <w:tcPr>
            <w:tcW w:w="1582" w:type="dxa"/>
            <w:tcBorders>
              <w:top w:val="nil"/>
              <w:left w:val="single" w:sz="4" w:space="0" w:color="auto"/>
              <w:bottom w:val="nil"/>
              <w:right w:val="single" w:sz="4" w:space="0" w:color="auto"/>
            </w:tcBorders>
            <w:shd w:val="clear" w:color="auto" w:fill="auto"/>
            <w:noWrap/>
            <w:vAlign w:val="bottom"/>
            <w:hideMark/>
          </w:tcPr>
          <w:p w14:paraId="60C99793"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30C8D951" w14:textId="77777777" w:rsidR="00686EC7" w:rsidRPr="000C156A" w:rsidRDefault="00686EC7" w:rsidP="00141BAA">
            <w:pPr>
              <w:rPr>
                <w:rFonts w:ascii="Times New Roman" w:hAnsi="Times New Roman"/>
                <w:sz w:val="22"/>
                <w:szCs w:val="22"/>
              </w:rPr>
            </w:pPr>
          </w:p>
        </w:tc>
        <w:tc>
          <w:tcPr>
            <w:tcW w:w="1492" w:type="dxa"/>
            <w:tcBorders>
              <w:top w:val="nil"/>
              <w:left w:val="single" w:sz="4" w:space="0" w:color="auto"/>
              <w:bottom w:val="nil"/>
              <w:right w:val="single" w:sz="4" w:space="0" w:color="auto"/>
            </w:tcBorders>
            <w:shd w:val="clear" w:color="auto" w:fill="auto"/>
            <w:noWrap/>
            <w:vAlign w:val="bottom"/>
            <w:hideMark/>
          </w:tcPr>
          <w:p w14:paraId="2445B605" w14:textId="77777777" w:rsidR="00686EC7" w:rsidRPr="000C156A" w:rsidRDefault="00686EC7" w:rsidP="00141BAA">
            <w:pPr>
              <w:rPr>
                <w:rFonts w:ascii="Times New Roman" w:hAnsi="Times New Roman"/>
                <w:sz w:val="22"/>
                <w:szCs w:val="22"/>
              </w:rPr>
            </w:pPr>
          </w:p>
        </w:tc>
      </w:tr>
      <w:tr w:rsidR="00686EC7" w:rsidRPr="000C156A" w14:paraId="5B77C0F9" w14:textId="77777777" w:rsidTr="00141BAA">
        <w:trPr>
          <w:trHeight w:val="301"/>
          <w:jc w:val="center"/>
        </w:trPr>
        <w:tc>
          <w:tcPr>
            <w:tcW w:w="4149" w:type="dxa"/>
            <w:tcBorders>
              <w:top w:val="nil"/>
              <w:left w:val="single" w:sz="4" w:space="0" w:color="auto"/>
              <w:bottom w:val="nil"/>
              <w:right w:val="single" w:sz="4" w:space="0" w:color="auto"/>
            </w:tcBorders>
            <w:shd w:val="clear" w:color="auto" w:fill="auto"/>
            <w:vAlign w:val="bottom"/>
            <w:hideMark/>
          </w:tcPr>
          <w:p w14:paraId="2BECE77C" w14:textId="71148629"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NewSat</w:t>
            </w:r>
            <w:r w:rsidR="00686EC7" w:rsidRPr="000C156A">
              <w:rPr>
                <w:rFonts w:cs="Calibri" w:hint="eastAsia"/>
                <w:sz w:val="22"/>
                <w:szCs w:val="22"/>
                <w:lang w:val="fr-FR"/>
              </w:rPr>
              <w:t>有限公司，悉尼</w:t>
            </w:r>
          </w:p>
        </w:tc>
        <w:tc>
          <w:tcPr>
            <w:tcW w:w="1577" w:type="dxa"/>
            <w:tcBorders>
              <w:top w:val="nil"/>
              <w:left w:val="single" w:sz="4" w:space="0" w:color="auto"/>
              <w:bottom w:val="nil"/>
              <w:right w:val="single" w:sz="4" w:space="0" w:color="auto"/>
            </w:tcBorders>
            <w:shd w:val="clear" w:color="auto" w:fill="auto"/>
            <w:noWrap/>
            <w:vAlign w:val="bottom"/>
            <w:hideMark/>
          </w:tcPr>
          <w:p w14:paraId="3A795A7C" w14:textId="77777777" w:rsidR="00686EC7" w:rsidRPr="000C156A" w:rsidRDefault="00686EC7" w:rsidP="00141BAA">
            <w:pPr>
              <w:jc w:val="center"/>
              <w:rPr>
                <w:rFonts w:cs="Calibri"/>
                <w:sz w:val="22"/>
                <w:szCs w:val="22"/>
              </w:rPr>
            </w:pPr>
            <w:r w:rsidRPr="000C156A">
              <w:rPr>
                <w:rFonts w:cs="Calibri"/>
                <w:sz w:val="22"/>
                <w:szCs w:val="22"/>
              </w:rPr>
              <w:t>2015</w:t>
            </w:r>
          </w:p>
        </w:tc>
        <w:tc>
          <w:tcPr>
            <w:tcW w:w="1582" w:type="dxa"/>
            <w:tcBorders>
              <w:top w:val="nil"/>
              <w:left w:val="single" w:sz="4" w:space="0" w:color="auto"/>
              <w:bottom w:val="nil"/>
              <w:right w:val="single" w:sz="4" w:space="0" w:color="auto"/>
            </w:tcBorders>
            <w:shd w:val="clear" w:color="auto" w:fill="auto"/>
            <w:noWrap/>
            <w:vAlign w:val="bottom"/>
            <w:hideMark/>
          </w:tcPr>
          <w:p w14:paraId="5C912A1A" w14:textId="2557ECC8" w:rsidR="00686EC7" w:rsidRPr="000C156A" w:rsidRDefault="00686EC7" w:rsidP="00141BAA">
            <w:pPr>
              <w:jc w:val="right"/>
              <w:rPr>
                <w:rFonts w:cs="Calibri"/>
                <w:sz w:val="22"/>
                <w:szCs w:val="22"/>
              </w:rPr>
            </w:pPr>
            <w:r w:rsidRPr="000C156A">
              <w:rPr>
                <w:rFonts w:cs="Calibri"/>
                <w:sz w:val="22"/>
                <w:szCs w:val="22"/>
              </w:rPr>
              <w:t>5</w:t>
            </w:r>
            <w:r w:rsidR="003F0401" w:rsidRPr="000C156A">
              <w:rPr>
                <w:rFonts w:cs="Calibri"/>
                <w:sz w:val="22"/>
                <w:szCs w:val="22"/>
              </w:rPr>
              <w:t xml:space="preserve"> </w:t>
            </w:r>
            <w:r w:rsidRPr="000C156A">
              <w:rPr>
                <w:rFonts w:cs="Calibri"/>
                <w:sz w:val="22"/>
                <w:szCs w:val="22"/>
              </w:rPr>
              <w:t>300.10</w:t>
            </w:r>
          </w:p>
        </w:tc>
        <w:tc>
          <w:tcPr>
            <w:tcW w:w="1434" w:type="dxa"/>
            <w:tcBorders>
              <w:top w:val="nil"/>
              <w:left w:val="single" w:sz="4" w:space="0" w:color="auto"/>
              <w:bottom w:val="nil"/>
              <w:right w:val="single" w:sz="4" w:space="0" w:color="auto"/>
            </w:tcBorders>
            <w:shd w:val="clear" w:color="auto" w:fill="auto"/>
            <w:noWrap/>
            <w:vAlign w:val="bottom"/>
            <w:hideMark/>
          </w:tcPr>
          <w:p w14:paraId="4809063B" w14:textId="77777777" w:rsidR="00686EC7" w:rsidRPr="000C156A" w:rsidRDefault="00686EC7" w:rsidP="00141BAA">
            <w:pPr>
              <w:jc w:val="right"/>
              <w:rPr>
                <w:rFonts w:cs="Calibri"/>
                <w:sz w:val="22"/>
                <w:szCs w:val="22"/>
              </w:rPr>
            </w:pPr>
            <w:r w:rsidRPr="000C156A">
              <w:rPr>
                <w:rFonts w:cs="Calibri"/>
                <w:sz w:val="22"/>
                <w:szCs w:val="22"/>
              </w:rPr>
              <w:t>0.00</w:t>
            </w:r>
          </w:p>
        </w:tc>
        <w:tc>
          <w:tcPr>
            <w:tcW w:w="1492" w:type="dxa"/>
            <w:tcBorders>
              <w:top w:val="nil"/>
              <w:left w:val="single" w:sz="4" w:space="0" w:color="auto"/>
              <w:bottom w:val="nil"/>
              <w:right w:val="single" w:sz="4" w:space="0" w:color="auto"/>
            </w:tcBorders>
            <w:shd w:val="clear" w:color="auto" w:fill="auto"/>
            <w:noWrap/>
            <w:vAlign w:val="bottom"/>
            <w:hideMark/>
          </w:tcPr>
          <w:p w14:paraId="1D40D6A9" w14:textId="20CA04EE" w:rsidR="00686EC7" w:rsidRPr="000C156A" w:rsidRDefault="00686EC7" w:rsidP="00141BAA">
            <w:pPr>
              <w:jc w:val="right"/>
              <w:rPr>
                <w:rFonts w:cs="Calibri"/>
                <w:sz w:val="22"/>
                <w:szCs w:val="22"/>
              </w:rPr>
            </w:pPr>
            <w:r w:rsidRPr="000C156A">
              <w:rPr>
                <w:rFonts w:cs="Calibri"/>
                <w:sz w:val="22"/>
                <w:szCs w:val="22"/>
              </w:rPr>
              <w:t>5</w:t>
            </w:r>
            <w:r w:rsidR="003F0401" w:rsidRPr="000C156A">
              <w:rPr>
                <w:rFonts w:cs="Calibri"/>
                <w:sz w:val="22"/>
                <w:szCs w:val="22"/>
              </w:rPr>
              <w:t xml:space="preserve"> </w:t>
            </w:r>
            <w:r w:rsidRPr="000C156A">
              <w:rPr>
                <w:rFonts w:cs="Calibri"/>
                <w:sz w:val="22"/>
                <w:szCs w:val="22"/>
              </w:rPr>
              <w:t>300.10</w:t>
            </w:r>
          </w:p>
        </w:tc>
      </w:tr>
      <w:tr w:rsidR="00686EC7" w:rsidRPr="000C156A" w14:paraId="661E69FD" w14:textId="77777777" w:rsidTr="00141BAA">
        <w:trPr>
          <w:trHeight w:val="301"/>
          <w:jc w:val="center"/>
        </w:trPr>
        <w:tc>
          <w:tcPr>
            <w:tcW w:w="4149" w:type="dxa"/>
            <w:tcBorders>
              <w:top w:val="nil"/>
              <w:left w:val="single" w:sz="4" w:space="0" w:color="auto"/>
              <w:bottom w:val="nil"/>
              <w:right w:val="single" w:sz="4" w:space="0" w:color="auto"/>
            </w:tcBorders>
            <w:shd w:val="clear" w:color="auto" w:fill="auto"/>
            <w:vAlign w:val="bottom"/>
            <w:hideMark/>
          </w:tcPr>
          <w:p w14:paraId="1C32F769" w14:textId="77777777" w:rsidR="00686EC7" w:rsidRPr="000C156A" w:rsidRDefault="00686EC7" w:rsidP="00141BAA">
            <w:pPr>
              <w:rPr>
                <w:rFonts w:cs="Calibri"/>
                <w:b/>
                <w:bCs/>
                <w:sz w:val="22"/>
                <w:szCs w:val="22"/>
              </w:rPr>
            </w:pPr>
            <w:r w:rsidRPr="000C156A">
              <w:rPr>
                <w:rFonts w:cs="Calibri" w:hint="eastAsia"/>
                <w:b/>
                <w:bCs/>
                <w:sz w:val="22"/>
                <w:szCs w:val="22"/>
                <w:lang w:eastAsia="zh-CN"/>
              </w:rPr>
              <w:t>巴哈马</w:t>
            </w:r>
          </w:p>
        </w:tc>
        <w:tc>
          <w:tcPr>
            <w:tcW w:w="1577" w:type="dxa"/>
            <w:tcBorders>
              <w:top w:val="nil"/>
              <w:left w:val="single" w:sz="4" w:space="0" w:color="auto"/>
              <w:bottom w:val="nil"/>
              <w:right w:val="single" w:sz="4" w:space="0" w:color="auto"/>
            </w:tcBorders>
            <w:shd w:val="clear" w:color="auto" w:fill="auto"/>
            <w:noWrap/>
            <w:vAlign w:val="bottom"/>
            <w:hideMark/>
          </w:tcPr>
          <w:p w14:paraId="6A4A40A6" w14:textId="77777777" w:rsidR="00686EC7" w:rsidRPr="000C156A" w:rsidRDefault="00686EC7" w:rsidP="00141BAA">
            <w:pPr>
              <w:rPr>
                <w:rFonts w:cs="Calibri"/>
                <w:b/>
                <w:bCs/>
                <w:sz w:val="22"/>
                <w:szCs w:val="22"/>
              </w:rPr>
            </w:pPr>
          </w:p>
        </w:tc>
        <w:tc>
          <w:tcPr>
            <w:tcW w:w="1582" w:type="dxa"/>
            <w:tcBorders>
              <w:top w:val="nil"/>
              <w:left w:val="single" w:sz="4" w:space="0" w:color="auto"/>
              <w:bottom w:val="nil"/>
              <w:right w:val="single" w:sz="4" w:space="0" w:color="auto"/>
            </w:tcBorders>
            <w:shd w:val="clear" w:color="auto" w:fill="auto"/>
            <w:noWrap/>
            <w:vAlign w:val="bottom"/>
            <w:hideMark/>
          </w:tcPr>
          <w:p w14:paraId="3D9F016A"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18060292" w14:textId="77777777" w:rsidR="00686EC7" w:rsidRPr="000C156A" w:rsidRDefault="00686EC7" w:rsidP="00141BAA">
            <w:pPr>
              <w:rPr>
                <w:rFonts w:ascii="Times New Roman" w:hAnsi="Times New Roman"/>
                <w:sz w:val="22"/>
                <w:szCs w:val="22"/>
              </w:rPr>
            </w:pPr>
          </w:p>
        </w:tc>
        <w:tc>
          <w:tcPr>
            <w:tcW w:w="1492" w:type="dxa"/>
            <w:tcBorders>
              <w:top w:val="nil"/>
              <w:left w:val="single" w:sz="4" w:space="0" w:color="auto"/>
              <w:bottom w:val="nil"/>
              <w:right w:val="single" w:sz="4" w:space="0" w:color="auto"/>
            </w:tcBorders>
            <w:shd w:val="clear" w:color="auto" w:fill="auto"/>
            <w:noWrap/>
            <w:vAlign w:val="bottom"/>
            <w:hideMark/>
          </w:tcPr>
          <w:p w14:paraId="399D6452" w14:textId="77777777" w:rsidR="00686EC7" w:rsidRPr="000C156A" w:rsidRDefault="00686EC7" w:rsidP="00141BAA">
            <w:pPr>
              <w:rPr>
                <w:rFonts w:ascii="Times New Roman" w:hAnsi="Times New Roman"/>
                <w:sz w:val="22"/>
                <w:szCs w:val="22"/>
              </w:rPr>
            </w:pPr>
          </w:p>
        </w:tc>
      </w:tr>
      <w:tr w:rsidR="00686EC7" w:rsidRPr="000C156A" w14:paraId="5B566327" w14:textId="77777777" w:rsidTr="00921BF0">
        <w:trPr>
          <w:trHeight w:val="339"/>
          <w:jc w:val="center"/>
        </w:trPr>
        <w:tc>
          <w:tcPr>
            <w:tcW w:w="4149" w:type="dxa"/>
            <w:tcBorders>
              <w:top w:val="nil"/>
              <w:left w:val="single" w:sz="4" w:space="0" w:color="auto"/>
              <w:bottom w:val="nil"/>
              <w:right w:val="single" w:sz="4" w:space="0" w:color="auto"/>
            </w:tcBorders>
            <w:shd w:val="clear" w:color="auto" w:fill="auto"/>
            <w:vAlign w:val="bottom"/>
            <w:hideMark/>
          </w:tcPr>
          <w:p w14:paraId="37D504B3" w14:textId="0CF21100" w:rsidR="00686EC7" w:rsidRPr="000C156A" w:rsidRDefault="00D93F72" w:rsidP="00D93F72">
            <w:pPr>
              <w:tabs>
                <w:tab w:val="clear" w:pos="567"/>
              </w:tabs>
              <w:spacing w:before="0"/>
              <w:ind w:left="317" w:hanging="317"/>
              <w:rPr>
                <w:rFonts w:cs="Calibri"/>
                <w:sz w:val="22"/>
                <w:szCs w:val="22"/>
                <w:lang w:eastAsia="zh-CN"/>
              </w:rPr>
            </w:pPr>
            <w:r w:rsidRPr="000C156A">
              <w:rPr>
                <w:rFonts w:cs="Calibri"/>
                <w:sz w:val="22"/>
                <w:szCs w:val="22"/>
                <w:lang w:eastAsia="zh-CN"/>
              </w:rPr>
              <w:t>–</w:t>
            </w:r>
            <w:r w:rsidRPr="000C156A">
              <w:rPr>
                <w:rFonts w:cs="Calibri"/>
                <w:sz w:val="22"/>
                <w:szCs w:val="22"/>
                <w:lang w:eastAsia="zh-CN"/>
              </w:rPr>
              <w:tab/>
            </w:r>
            <w:r w:rsidR="00686EC7" w:rsidRPr="000C156A">
              <w:rPr>
                <w:rFonts w:cs="Calibri" w:hint="eastAsia"/>
                <w:sz w:val="22"/>
                <w:szCs w:val="22"/>
                <w:lang w:val="fr-FR" w:eastAsia="zh-CN"/>
              </w:rPr>
              <w:t>巴哈马电信公司</w:t>
            </w:r>
            <w:r w:rsidR="00686EC7" w:rsidRPr="000C156A">
              <w:rPr>
                <w:rFonts w:cs="Calibri" w:hint="eastAsia"/>
                <w:sz w:val="22"/>
                <w:szCs w:val="22"/>
                <w:lang w:eastAsia="zh-CN"/>
              </w:rPr>
              <w:t>，拿骚</w:t>
            </w:r>
          </w:p>
        </w:tc>
        <w:tc>
          <w:tcPr>
            <w:tcW w:w="1577" w:type="dxa"/>
            <w:tcBorders>
              <w:top w:val="nil"/>
              <w:left w:val="single" w:sz="4" w:space="0" w:color="auto"/>
              <w:bottom w:val="nil"/>
              <w:right w:val="single" w:sz="4" w:space="0" w:color="auto"/>
            </w:tcBorders>
            <w:shd w:val="clear" w:color="auto" w:fill="auto"/>
            <w:noWrap/>
            <w:vAlign w:val="bottom"/>
            <w:hideMark/>
          </w:tcPr>
          <w:p w14:paraId="02220F30" w14:textId="77777777" w:rsidR="00686EC7" w:rsidRPr="000C156A" w:rsidRDefault="00686EC7" w:rsidP="00141BAA">
            <w:pPr>
              <w:jc w:val="center"/>
              <w:rPr>
                <w:rFonts w:cs="Calibri"/>
                <w:sz w:val="22"/>
                <w:szCs w:val="22"/>
              </w:rPr>
            </w:pPr>
            <w:r w:rsidRPr="000C156A">
              <w:rPr>
                <w:rFonts w:cs="Calibri"/>
                <w:sz w:val="22"/>
                <w:szCs w:val="22"/>
              </w:rPr>
              <w:t>2018-2019</w:t>
            </w:r>
          </w:p>
        </w:tc>
        <w:tc>
          <w:tcPr>
            <w:tcW w:w="1582" w:type="dxa"/>
            <w:tcBorders>
              <w:top w:val="nil"/>
              <w:left w:val="single" w:sz="4" w:space="0" w:color="auto"/>
              <w:bottom w:val="nil"/>
              <w:right w:val="single" w:sz="4" w:space="0" w:color="auto"/>
            </w:tcBorders>
            <w:shd w:val="clear" w:color="auto" w:fill="auto"/>
            <w:noWrap/>
            <w:vAlign w:val="bottom"/>
            <w:hideMark/>
          </w:tcPr>
          <w:p w14:paraId="6FAD54D7" w14:textId="58AC5F3D" w:rsidR="00686EC7" w:rsidRPr="000C156A" w:rsidRDefault="00686EC7" w:rsidP="00141BAA">
            <w:pPr>
              <w:jc w:val="right"/>
              <w:rPr>
                <w:rFonts w:cs="Calibri"/>
                <w:sz w:val="22"/>
                <w:szCs w:val="22"/>
              </w:rPr>
            </w:pPr>
            <w:r w:rsidRPr="000C156A">
              <w:rPr>
                <w:rFonts w:cs="Calibri"/>
                <w:sz w:val="22"/>
                <w:szCs w:val="22"/>
              </w:rPr>
              <w:t>75</w:t>
            </w:r>
            <w:r w:rsidR="003F0401" w:rsidRPr="000C156A">
              <w:rPr>
                <w:rFonts w:cs="Calibri"/>
                <w:sz w:val="22"/>
                <w:szCs w:val="22"/>
              </w:rPr>
              <w:t xml:space="preserve"> </w:t>
            </w:r>
            <w:r w:rsidRPr="000C156A">
              <w:rPr>
                <w:rFonts w:cs="Calibri"/>
                <w:sz w:val="22"/>
                <w:szCs w:val="22"/>
              </w:rPr>
              <w:t>570.45</w:t>
            </w:r>
          </w:p>
        </w:tc>
        <w:tc>
          <w:tcPr>
            <w:tcW w:w="1434" w:type="dxa"/>
            <w:tcBorders>
              <w:top w:val="nil"/>
              <w:left w:val="single" w:sz="4" w:space="0" w:color="auto"/>
              <w:bottom w:val="nil"/>
              <w:right w:val="single" w:sz="4" w:space="0" w:color="auto"/>
            </w:tcBorders>
            <w:shd w:val="clear" w:color="auto" w:fill="auto"/>
            <w:noWrap/>
            <w:vAlign w:val="bottom"/>
            <w:hideMark/>
          </w:tcPr>
          <w:p w14:paraId="679CA2FB" w14:textId="77777777" w:rsidR="00686EC7" w:rsidRPr="000C156A" w:rsidRDefault="00686EC7" w:rsidP="00141BAA">
            <w:pPr>
              <w:jc w:val="right"/>
              <w:rPr>
                <w:rFonts w:cs="Calibri"/>
                <w:sz w:val="22"/>
                <w:szCs w:val="22"/>
              </w:rPr>
            </w:pPr>
            <w:r w:rsidRPr="000C156A">
              <w:rPr>
                <w:rFonts w:cs="Calibri"/>
                <w:sz w:val="22"/>
                <w:szCs w:val="22"/>
              </w:rPr>
              <w:t>0.00</w:t>
            </w:r>
          </w:p>
        </w:tc>
        <w:tc>
          <w:tcPr>
            <w:tcW w:w="1492" w:type="dxa"/>
            <w:tcBorders>
              <w:top w:val="nil"/>
              <w:left w:val="single" w:sz="4" w:space="0" w:color="auto"/>
              <w:bottom w:val="nil"/>
              <w:right w:val="single" w:sz="4" w:space="0" w:color="auto"/>
            </w:tcBorders>
            <w:shd w:val="clear" w:color="auto" w:fill="auto"/>
            <w:noWrap/>
            <w:vAlign w:val="bottom"/>
            <w:hideMark/>
          </w:tcPr>
          <w:p w14:paraId="7F257715" w14:textId="5FC1DA92" w:rsidR="00686EC7" w:rsidRPr="000C156A" w:rsidRDefault="00686EC7" w:rsidP="00141BAA">
            <w:pPr>
              <w:jc w:val="right"/>
              <w:rPr>
                <w:rFonts w:cs="Calibri"/>
                <w:sz w:val="22"/>
                <w:szCs w:val="22"/>
              </w:rPr>
            </w:pPr>
            <w:r w:rsidRPr="000C156A">
              <w:rPr>
                <w:rFonts w:cs="Calibri"/>
                <w:sz w:val="22"/>
                <w:szCs w:val="22"/>
              </w:rPr>
              <w:t>75</w:t>
            </w:r>
            <w:r w:rsidR="003F0401" w:rsidRPr="000C156A">
              <w:rPr>
                <w:rFonts w:cs="Calibri"/>
                <w:sz w:val="22"/>
                <w:szCs w:val="22"/>
              </w:rPr>
              <w:t xml:space="preserve"> </w:t>
            </w:r>
            <w:r w:rsidRPr="000C156A">
              <w:rPr>
                <w:rFonts w:cs="Calibri"/>
                <w:sz w:val="22"/>
                <w:szCs w:val="22"/>
              </w:rPr>
              <w:t>570.45</w:t>
            </w:r>
          </w:p>
        </w:tc>
      </w:tr>
      <w:tr w:rsidR="00686EC7" w:rsidRPr="000C156A" w14:paraId="48E857A6" w14:textId="77777777" w:rsidTr="00141BAA">
        <w:trPr>
          <w:trHeight w:val="301"/>
          <w:jc w:val="center"/>
        </w:trPr>
        <w:tc>
          <w:tcPr>
            <w:tcW w:w="4149" w:type="dxa"/>
            <w:tcBorders>
              <w:top w:val="nil"/>
              <w:left w:val="single" w:sz="4" w:space="0" w:color="auto"/>
              <w:bottom w:val="nil"/>
              <w:right w:val="single" w:sz="4" w:space="0" w:color="auto"/>
            </w:tcBorders>
            <w:shd w:val="clear" w:color="auto" w:fill="auto"/>
            <w:vAlign w:val="bottom"/>
            <w:hideMark/>
          </w:tcPr>
          <w:p w14:paraId="1C26B932" w14:textId="77777777" w:rsidR="00686EC7" w:rsidRPr="000C156A" w:rsidRDefault="00686EC7" w:rsidP="00141BAA">
            <w:pPr>
              <w:rPr>
                <w:rFonts w:cs="Calibri"/>
                <w:b/>
                <w:bCs/>
                <w:sz w:val="22"/>
                <w:szCs w:val="22"/>
              </w:rPr>
            </w:pPr>
            <w:r w:rsidRPr="000C156A">
              <w:rPr>
                <w:rFonts w:cs="Calibri" w:hint="eastAsia"/>
                <w:b/>
                <w:bCs/>
                <w:sz w:val="22"/>
                <w:szCs w:val="22"/>
                <w:lang w:eastAsia="zh-CN"/>
              </w:rPr>
              <w:t>巴林</w:t>
            </w:r>
          </w:p>
        </w:tc>
        <w:tc>
          <w:tcPr>
            <w:tcW w:w="1577" w:type="dxa"/>
            <w:tcBorders>
              <w:top w:val="nil"/>
              <w:left w:val="single" w:sz="4" w:space="0" w:color="auto"/>
              <w:bottom w:val="nil"/>
              <w:right w:val="single" w:sz="4" w:space="0" w:color="auto"/>
            </w:tcBorders>
            <w:shd w:val="clear" w:color="auto" w:fill="auto"/>
            <w:noWrap/>
            <w:vAlign w:val="bottom"/>
            <w:hideMark/>
          </w:tcPr>
          <w:p w14:paraId="149B6778" w14:textId="77777777" w:rsidR="00686EC7" w:rsidRPr="000C156A" w:rsidRDefault="00686EC7" w:rsidP="00141BAA">
            <w:pPr>
              <w:rPr>
                <w:rFonts w:cs="Calibri"/>
                <w:b/>
                <w:bCs/>
                <w:sz w:val="22"/>
                <w:szCs w:val="22"/>
              </w:rPr>
            </w:pPr>
          </w:p>
        </w:tc>
        <w:tc>
          <w:tcPr>
            <w:tcW w:w="1582" w:type="dxa"/>
            <w:tcBorders>
              <w:top w:val="nil"/>
              <w:left w:val="single" w:sz="4" w:space="0" w:color="auto"/>
              <w:bottom w:val="nil"/>
              <w:right w:val="single" w:sz="4" w:space="0" w:color="auto"/>
            </w:tcBorders>
            <w:shd w:val="clear" w:color="auto" w:fill="auto"/>
            <w:noWrap/>
            <w:vAlign w:val="bottom"/>
            <w:hideMark/>
          </w:tcPr>
          <w:p w14:paraId="28DD11D4"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4401C470" w14:textId="77777777" w:rsidR="00686EC7" w:rsidRPr="000C156A" w:rsidRDefault="00686EC7" w:rsidP="00141BAA">
            <w:pPr>
              <w:rPr>
                <w:rFonts w:ascii="Times New Roman" w:hAnsi="Times New Roman"/>
                <w:sz w:val="22"/>
                <w:szCs w:val="22"/>
              </w:rPr>
            </w:pPr>
          </w:p>
        </w:tc>
        <w:tc>
          <w:tcPr>
            <w:tcW w:w="1492" w:type="dxa"/>
            <w:tcBorders>
              <w:top w:val="nil"/>
              <w:left w:val="single" w:sz="4" w:space="0" w:color="auto"/>
              <w:bottom w:val="nil"/>
              <w:right w:val="single" w:sz="4" w:space="0" w:color="auto"/>
            </w:tcBorders>
            <w:shd w:val="clear" w:color="auto" w:fill="auto"/>
            <w:noWrap/>
            <w:vAlign w:val="bottom"/>
            <w:hideMark/>
          </w:tcPr>
          <w:p w14:paraId="12D9CF09" w14:textId="77777777" w:rsidR="00686EC7" w:rsidRPr="000C156A" w:rsidRDefault="00686EC7" w:rsidP="00141BAA">
            <w:pPr>
              <w:rPr>
                <w:rFonts w:ascii="Times New Roman" w:hAnsi="Times New Roman"/>
                <w:sz w:val="22"/>
                <w:szCs w:val="22"/>
              </w:rPr>
            </w:pPr>
          </w:p>
        </w:tc>
      </w:tr>
      <w:tr w:rsidR="00686EC7" w:rsidRPr="000C156A" w14:paraId="7FB1D38A" w14:textId="77777777" w:rsidTr="00141BAA">
        <w:trPr>
          <w:trHeight w:val="602"/>
          <w:jc w:val="center"/>
        </w:trPr>
        <w:tc>
          <w:tcPr>
            <w:tcW w:w="4149" w:type="dxa"/>
            <w:tcBorders>
              <w:top w:val="nil"/>
              <w:left w:val="single" w:sz="4" w:space="0" w:color="auto"/>
              <w:bottom w:val="nil"/>
              <w:right w:val="single" w:sz="4" w:space="0" w:color="auto"/>
            </w:tcBorders>
            <w:shd w:val="clear" w:color="auto" w:fill="auto"/>
            <w:vAlign w:val="bottom"/>
            <w:hideMark/>
          </w:tcPr>
          <w:p w14:paraId="3F7D8FF6" w14:textId="394E64CD" w:rsidR="00686EC7" w:rsidRPr="000C156A" w:rsidRDefault="00D93F72" w:rsidP="00D93F72">
            <w:pPr>
              <w:tabs>
                <w:tab w:val="clear" w:pos="567"/>
              </w:tabs>
              <w:spacing w:before="0"/>
              <w:ind w:left="317" w:hanging="317"/>
              <w:rPr>
                <w:rFonts w:cs="Calibri"/>
                <w:sz w:val="22"/>
                <w:szCs w:val="22"/>
                <w:lang w:eastAsia="zh-CN"/>
              </w:rPr>
            </w:pPr>
            <w:r w:rsidRPr="000C156A">
              <w:rPr>
                <w:rFonts w:cs="Calibri"/>
                <w:sz w:val="22"/>
                <w:szCs w:val="22"/>
                <w:lang w:eastAsia="zh-CN"/>
              </w:rPr>
              <w:t>–</w:t>
            </w:r>
            <w:r w:rsidRPr="000C156A">
              <w:rPr>
                <w:rFonts w:cs="Calibri"/>
                <w:sz w:val="22"/>
                <w:szCs w:val="22"/>
                <w:lang w:eastAsia="zh-CN"/>
              </w:rPr>
              <w:tab/>
            </w:r>
            <w:r w:rsidR="00686EC7" w:rsidRPr="000C156A">
              <w:rPr>
                <w:rFonts w:cs="Calibri" w:hint="eastAsia"/>
                <w:sz w:val="22"/>
                <w:szCs w:val="22"/>
                <w:lang w:val="fr-FR" w:eastAsia="zh-CN"/>
              </w:rPr>
              <w:t>阿拉伯区域</w:t>
            </w:r>
            <w:r w:rsidR="00686EC7" w:rsidRPr="000C156A">
              <w:rPr>
                <w:rFonts w:cs="Calibri"/>
                <w:sz w:val="22"/>
                <w:szCs w:val="22"/>
                <w:lang w:eastAsia="zh-CN"/>
              </w:rPr>
              <w:t>Isps</w:t>
            </w:r>
            <w:r w:rsidR="00686EC7" w:rsidRPr="000C156A">
              <w:rPr>
                <w:rFonts w:cs="Calibri" w:hint="eastAsia"/>
                <w:sz w:val="22"/>
                <w:szCs w:val="22"/>
                <w:lang w:eastAsia="zh-CN"/>
              </w:rPr>
              <w:t>协会</w:t>
            </w:r>
            <w:r w:rsidR="00686EC7" w:rsidRPr="000C156A">
              <w:rPr>
                <w:rFonts w:cs="Calibri"/>
                <w:sz w:val="22"/>
                <w:szCs w:val="22"/>
                <w:lang w:eastAsia="zh-CN"/>
              </w:rPr>
              <w:t>（</w:t>
            </w:r>
            <w:r w:rsidR="00686EC7" w:rsidRPr="000C156A">
              <w:rPr>
                <w:rFonts w:cs="Calibri"/>
                <w:sz w:val="22"/>
                <w:szCs w:val="22"/>
                <w:lang w:eastAsia="zh-CN"/>
              </w:rPr>
              <w:t>ARISPA</w:t>
            </w:r>
            <w:r w:rsidR="00686EC7" w:rsidRPr="000C156A">
              <w:rPr>
                <w:rFonts w:cs="Calibri"/>
                <w:sz w:val="22"/>
                <w:szCs w:val="22"/>
                <w:lang w:eastAsia="zh-CN"/>
              </w:rPr>
              <w:t>）</w:t>
            </w:r>
            <w:r w:rsidR="00686EC7" w:rsidRPr="000C156A">
              <w:rPr>
                <w:rFonts w:cs="Calibri" w:hint="eastAsia"/>
                <w:sz w:val="22"/>
                <w:szCs w:val="22"/>
                <w:lang w:eastAsia="zh-CN"/>
              </w:rPr>
              <w:t>，麦纳麦</w:t>
            </w:r>
          </w:p>
        </w:tc>
        <w:tc>
          <w:tcPr>
            <w:tcW w:w="1577" w:type="dxa"/>
            <w:tcBorders>
              <w:top w:val="nil"/>
              <w:left w:val="single" w:sz="4" w:space="0" w:color="auto"/>
              <w:bottom w:val="nil"/>
              <w:right w:val="single" w:sz="4" w:space="0" w:color="auto"/>
            </w:tcBorders>
            <w:shd w:val="clear" w:color="auto" w:fill="auto"/>
            <w:noWrap/>
            <w:vAlign w:val="bottom"/>
            <w:hideMark/>
          </w:tcPr>
          <w:p w14:paraId="4F08A303" w14:textId="77777777" w:rsidR="00686EC7" w:rsidRPr="000C156A" w:rsidRDefault="00686EC7" w:rsidP="00141BAA">
            <w:pPr>
              <w:jc w:val="center"/>
              <w:rPr>
                <w:rFonts w:cs="Calibri"/>
                <w:sz w:val="22"/>
                <w:szCs w:val="22"/>
              </w:rPr>
            </w:pPr>
            <w:r w:rsidRPr="000C156A">
              <w:rPr>
                <w:rFonts w:cs="Calibri"/>
                <w:sz w:val="22"/>
                <w:szCs w:val="22"/>
              </w:rPr>
              <w:t>2009</w:t>
            </w:r>
          </w:p>
        </w:tc>
        <w:tc>
          <w:tcPr>
            <w:tcW w:w="1582" w:type="dxa"/>
            <w:tcBorders>
              <w:top w:val="nil"/>
              <w:left w:val="single" w:sz="4" w:space="0" w:color="auto"/>
              <w:bottom w:val="nil"/>
              <w:right w:val="single" w:sz="4" w:space="0" w:color="auto"/>
            </w:tcBorders>
            <w:shd w:val="clear" w:color="auto" w:fill="auto"/>
            <w:noWrap/>
            <w:vAlign w:val="bottom"/>
            <w:hideMark/>
          </w:tcPr>
          <w:p w14:paraId="19629158" w14:textId="6197D22B" w:rsidR="00686EC7" w:rsidRPr="000C156A" w:rsidRDefault="00686EC7" w:rsidP="00141BAA">
            <w:pPr>
              <w:jc w:val="right"/>
              <w:rPr>
                <w:rFonts w:cs="Calibri"/>
                <w:sz w:val="22"/>
                <w:szCs w:val="22"/>
              </w:rPr>
            </w:pPr>
            <w:r w:rsidRPr="000C156A">
              <w:rPr>
                <w:rFonts w:cs="Calibri"/>
                <w:sz w:val="22"/>
                <w:szCs w:val="22"/>
              </w:rPr>
              <w:t>7</w:t>
            </w:r>
            <w:r w:rsidR="003F0401" w:rsidRPr="000C156A">
              <w:rPr>
                <w:rFonts w:cs="Calibri"/>
                <w:sz w:val="22"/>
                <w:szCs w:val="22"/>
              </w:rPr>
              <w:t xml:space="preserve"> </w:t>
            </w:r>
            <w:r w:rsidRPr="000C156A">
              <w:rPr>
                <w:rFonts w:cs="Calibri"/>
                <w:sz w:val="22"/>
                <w:szCs w:val="22"/>
              </w:rPr>
              <w:t>828.75</w:t>
            </w:r>
          </w:p>
        </w:tc>
        <w:tc>
          <w:tcPr>
            <w:tcW w:w="1434" w:type="dxa"/>
            <w:tcBorders>
              <w:top w:val="nil"/>
              <w:left w:val="single" w:sz="4" w:space="0" w:color="auto"/>
              <w:bottom w:val="nil"/>
              <w:right w:val="single" w:sz="4" w:space="0" w:color="auto"/>
            </w:tcBorders>
            <w:shd w:val="clear" w:color="auto" w:fill="auto"/>
            <w:noWrap/>
            <w:vAlign w:val="bottom"/>
            <w:hideMark/>
          </w:tcPr>
          <w:p w14:paraId="756E9BFB" w14:textId="77777777" w:rsidR="00686EC7" w:rsidRPr="000C156A" w:rsidRDefault="00686EC7" w:rsidP="00141BAA">
            <w:pPr>
              <w:jc w:val="right"/>
              <w:rPr>
                <w:rFonts w:cs="Calibri"/>
                <w:sz w:val="22"/>
                <w:szCs w:val="22"/>
              </w:rPr>
            </w:pPr>
            <w:r w:rsidRPr="000C156A">
              <w:rPr>
                <w:rFonts w:cs="Calibri"/>
                <w:sz w:val="22"/>
                <w:szCs w:val="22"/>
              </w:rPr>
              <w:t>0.00</w:t>
            </w:r>
          </w:p>
        </w:tc>
        <w:tc>
          <w:tcPr>
            <w:tcW w:w="1492" w:type="dxa"/>
            <w:tcBorders>
              <w:top w:val="nil"/>
              <w:left w:val="single" w:sz="4" w:space="0" w:color="auto"/>
              <w:bottom w:val="nil"/>
              <w:right w:val="single" w:sz="4" w:space="0" w:color="auto"/>
            </w:tcBorders>
            <w:shd w:val="clear" w:color="auto" w:fill="auto"/>
            <w:noWrap/>
            <w:vAlign w:val="bottom"/>
            <w:hideMark/>
          </w:tcPr>
          <w:p w14:paraId="2F62E32C" w14:textId="3441F68E" w:rsidR="00686EC7" w:rsidRPr="000C156A" w:rsidRDefault="00686EC7" w:rsidP="00141BAA">
            <w:pPr>
              <w:jc w:val="right"/>
              <w:rPr>
                <w:rFonts w:cs="Calibri"/>
                <w:sz w:val="22"/>
                <w:szCs w:val="22"/>
              </w:rPr>
            </w:pPr>
            <w:r w:rsidRPr="000C156A">
              <w:rPr>
                <w:rFonts w:cs="Calibri"/>
                <w:sz w:val="22"/>
                <w:szCs w:val="22"/>
              </w:rPr>
              <w:t>7</w:t>
            </w:r>
            <w:r w:rsidR="003F0401" w:rsidRPr="000C156A">
              <w:rPr>
                <w:rFonts w:cs="Calibri"/>
                <w:sz w:val="22"/>
                <w:szCs w:val="22"/>
              </w:rPr>
              <w:t xml:space="preserve"> </w:t>
            </w:r>
            <w:r w:rsidRPr="000C156A">
              <w:rPr>
                <w:rFonts w:cs="Calibri"/>
                <w:sz w:val="22"/>
                <w:szCs w:val="22"/>
              </w:rPr>
              <w:t>828.75</w:t>
            </w:r>
          </w:p>
        </w:tc>
      </w:tr>
      <w:tr w:rsidR="00686EC7" w:rsidRPr="000C156A" w14:paraId="29C96B60" w14:textId="77777777" w:rsidTr="00141BAA">
        <w:trPr>
          <w:trHeight w:val="301"/>
          <w:jc w:val="center"/>
        </w:trPr>
        <w:tc>
          <w:tcPr>
            <w:tcW w:w="4149" w:type="dxa"/>
            <w:tcBorders>
              <w:top w:val="nil"/>
              <w:left w:val="single" w:sz="4" w:space="0" w:color="auto"/>
              <w:bottom w:val="nil"/>
              <w:right w:val="single" w:sz="4" w:space="0" w:color="auto"/>
            </w:tcBorders>
            <w:shd w:val="clear" w:color="auto" w:fill="auto"/>
            <w:vAlign w:val="bottom"/>
            <w:hideMark/>
          </w:tcPr>
          <w:p w14:paraId="640D5D0D" w14:textId="2EAEA430" w:rsidR="00686EC7" w:rsidRPr="000C156A" w:rsidRDefault="00D93F72" w:rsidP="00D93F72">
            <w:pPr>
              <w:tabs>
                <w:tab w:val="clear" w:pos="567"/>
              </w:tabs>
              <w:spacing w:before="0"/>
              <w:ind w:left="317" w:hanging="317"/>
              <w:rPr>
                <w:rFonts w:cs="Calibri"/>
                <w:sz w:val="22"/>
                <w:szCs w:val="22"/>
                <w:lang w:eastAsia="zh-CN"/>
              </w:rPr>
            </w:pPr>
            <w:r w:rsidRPr="000C156A">
              <w:rPr>
                <w:rFonts w:cs="Calibri"/>
                <w:sz w:val="22"/>
                <w:szCs w:val="22"/>
                <w:lang w:eastAsia="zh-CN"/>
              </w:rPr>
              <w:t>–</w:t>
            </w:r>
            <w:r w:rsidRPr="000C156A">
              <w:rPr>
                <w:rFonts w:cs="Calibri"/>
                <w:sz w:val="22"/>
                <w:szCs w:val="22"/>
                <w:lang w:eastAsia="zh-CN"/>
              </w:rPr>
              <w:tab/>
            </w:r>
            <w:r w:rsidR="00686EC7" w:rsidRPr="000C156A">
              <w:rPr>
                <w:rFonts w:cs="Calibri"/>
                <w:sz w:val="22"/>
                <w:szCs w:val="22"/>
                <w:lang w:eastAsia="zh-CN"/>
              </w:rPr>
              <w:t>Gateway</w:t>
            </w:r>
            <w:r w:rsidR="00686EC7" w:rsidRPr="000C156A">
              <w:rPr>
                <w:rFonts w:cs="Calibri" w:hint="eastAsia"/>
                <w:sz w:val="22"/>
                <w:szCs w:val="22"/>
                <w:lang w:eastAsia="zh-CN"/>
              </w:rPr>
              <w:t>海湾公司，麦纳麦</w:t>
            </w:r>
          </w:p>
        </w:tc>
        <w:tc>
          <w:tcPr>
            <w:tcW w:w="1577" w:type="dxa"/>
            <w:tcBorders>
              <w:top w:val="nil"/>
              <w:left w:val="single" w:sz="4" w:space="0" w:color="auto"/>
              <w:bottom w:val="nil"/>
              <w:right w:val="single" w:sz="4" w:space="0" w:color="auto"/>
            </w:tcBorders>
            <w:shd w:val="clear" w:color="auto" w:fill="auto"/>
            <w:noWrap/>
            <w:vAlign w:val="bottom"/>
            <w:hideMark/>
          </w:tcPr>
          <w:p w14:paraId="6FB7A8BE" w14:textId="77777777" w:rsidR="00686EC7" w:rsidRPr="000C156A" w:rsidRDefault="00686EC7" w:rsidP="00141BAA">
            <w:pPr>
              <w:jc w:val="center"/>
              <w:rPr>
                <w:rFonts w:cs="Calibri"/>
                <w:sz w:val="22"/>
                <w:szCs w:val="22"/>
              </w:rPr>
            </w:pPr>
            <w:r w:rsidRPr="000C156A">
              <w:rPr>
                <w:rFonts w:cs="Calibri"/>
                <w:sz w:val="22"/>
                <w:szCs w:val="22"/>
              </w:rPr>
              <w:t>2010</w:t>
            </w:r>
          </w:p>
        </w:tc>
        <w:tc>
          <w:tcPr>
            <w:tcW w:w="1582" w:type="dxa"/>
            <w:tcBorders>
              <w:top w:val="nil"/>
              <w:left w:val="single" w:sz="4" w:space="0" w:color="auto"/>
              <w:bottom w:val="nil"/>
              <w:right w:val="single" w:sz="4" w:space="0" w:color="auto"/>
            </w:tcBorders>
            <w:shd w:val="clear" w:color="auto" w:fill="auto"/>
            <w:noWrap/>
            <w:vAlign w:val="bottom"/>
            <w:hideMark/>
          </w:tcPr>
          <w:p w14:paraId="73D165E0" w14:textId="364A1304" w:rsidR="00686EC7" w:rsidRPr="000C156A" w:rsidRDefault="00686EC7" w:rsidP="00141BAA">
            <w:pPr>
              <w:jc w:val="right"/>
              <w:rPr>
                <w:rFonts w:cs="Calibri"/>
                <w:sz w:val="22"/>
                <w:szCs w:val="22"/>
              </w:rPr>
            </w:pPr>
            <w:r w:rsidRPr="000C156A">
              <w:rPr>
                <w:rFonts w:cs="Calibri"/>
                <w:sz w:val="22"/>
                <w:szCs w:val="22"/>
              </w:rPr>
              <w:t>7</w:t>
            </w:r>
            <w:r w:rsidR="003F0401" w:rsidRPr="000C156A">
              <w:rPr>
                <w:rFonts w:cs="Calibri"/>
                <w:sz w:val="22"/>
                <w:szCs w:val="22"/>
              </w:rPr>
              <w:t xml:space="preserve"> </w:t>
            </w:r>
            <w:r w:rsidRPr="000C156A">
              <w:rPr>
                <w:rFonts w:cs="Calibri"/>
                <w:sz w:val="22"/>
                <w:szCs w:val="22"/>
              </w:rPr>
              <w:t>385.60</w:t>
            </w:r>
          </w:p>
        </w:tc>
        <w:tc>
          <w:tcPr>
            <w:tcW w:w="1434" w:type="dxa"/>
            <w:tcBorders>
              <w:top w:val="nil"/>
              <w:left w:val="single" w:sz="4" w:space="0" w:color="auto"/>
              <w:bottom w:val="nil"/>
              <w:right w:val="single" w:sz="4" w:space="0" w:color="auto"/>
            </w:tcBorders>
            <w:shd w:val="clear" w:color="auto" w:fill="auto"/>
            <w:noWrap/>
            <w:vAlign w:val="bottom"/>
            <w:hideMark/>
          </w:tcPr>
          <w:p w14:paraId="433E2F19" w14:textId="77777777" w:rsidR="00686EC7" w:rsidRPr="000C156A" w:rsidRDefault="00686EC7" w:rsidP="00141BAA">
            <w:pPr>
              <w:jc w:val="right"/>
              <w:rPr>
                <w:rFonts w:cs="Calibri"/>
                <w:sz w:val="22"/>
                <w:szCs w:val="22"/>
              </w:rPr>
            </w:pPr>
            <w:r w:rsidRPr="000C156A">
              <w:rPr>
                <w:rFonts w:cs="Calibri"/>
                <w:sz w:val="22"/>
                <w:szCs w:val="22"/>
              </w:rPr>
              <w:t>0.00</w:t>
            </w:r>
          </w:p>
        </w:tc>
        <w:tc>
          <w:tcPr>
            <w:tcW w:w="1492" w:type="dxa"/>
            <w:tcBorders>
              <w:top w:val="nil"/>
              <w:left w:val="single" w:sz="4" w:space="0" w:color="auto"/>
              <w:bottom w:val="nil"/>
              <w:right w:val="single" w:sz="4" w:space="0" w:color="auto"/>
            </w:tcBorders>
            <w:shd w:val="clear" w:color="auto" w:fill="auto"/>
            <w:noWrap/>
            <w:vAlign w:val="bottom"/>
            <w:hideMark/>
          </w:tcPr>
          <w:p w14:paraId="43A19B23" w14:textId="6E8A57D6" w:rsidR="00686EC7" w:rsidRPr="000C156A" w:rsidRDefault="00686EC7" w:rsidP="00141BAA">
            <w:pPr>
              <w:jc w:val="right"/>
              <w:rPr>
                <w:rFonts w:cs="Calibri"/>
                <w:sz w:val="22"/>
                <w:szCs w:val="22"/>
              </w:rPr>
            </w:pPr>
            <w:r w:rsidRPr="000C156A">
              <w:rPr>
                <w:rFonts w:cs="Calibri"/>
                <w:sz w:val="22"/>
                <w:szCs w:val="22"/>
              </w:rPr>
              <w:t>7</w:t>
            </w:r>
            <w:r w:rsidR="003F0401" w:rsidRPr="000C156A">
              <w:rPr>
                <w:rFonts w:cs="Calibri"/>
                <w:sz w:val="22"/>
                <w:szCs w:val="22"/>
              </w:rPr>
              <w:t xml:space="preserve"> </w:t>
            </w:r>
            <w:r w:rsidRPr="000C156A">
              <w:rPr>
                <w:rFonts w:cs="Calibri"/>
                <w:sz w:val="22"/>
                <w:szCs w:val="22"/>
              </w:rPr>
              <w:t>385.60</w:t>
            </w:r>
          </w:p>
        </w:tc>
      </w:tr>
      <w:tr w:rsidR="00686EC7" w:rsidRPr="000C156A" w14:paraId="5E89CCFD" w14:textId="77777777" w:rsidTr="00141BAA">
        <w:trPr>
          <w:trHeight w:val="301"/>
          <w:jc w:val="center"/>
        </w:trPr>
        <w:tc>
          <w:tcPr>
            <w:tcW w:w="4149" w:type="dxa"/>
            <w:tcBorders>
              <w:top w:val="nil"/>
              <w:left w:val="single" w:sz="4" w:space="0" w:color="auto"/>
              <w:bottom w:val="nil"/>
              <w:right w:val="single" w:sz="4" w:space="0" w:color="auto"/>
            </w:tcBorders>
            <w:shd w:val="clear" w:color="auto" w:fill="auto"/>
            <w:vAlign w:val="bottom"/>
            <w:hideMark/>
          </w:tcPr>
          <w:p w14:paraId="2F291DAA" w14:textId="77777777" w:rsidR="00686EC7" w:rsidRPr="000C156A" w:rsidRDefault="00686EC7" w:rsidP="00141BAA">
            <w:pPr>
              <w:rPr>
                <w:rFonts w:cs="Calibri"/>
                <w:b/>
                <w:bCs/>
                <w:sz w:val="22"/>
                <w:szCs w:val="22"/>
              </w:rPr>
            </w:pPr>
            <w:r w:rsidRPr="000C156A">
              <w:rPr>
                <w:rFonts w:cs="Calibri" w:hint="eastAsia"/>
                <w:b/>
                <w:bCs/>
                <w:sz w:val="22"/>
                <w:szCs w:val="22"/>
                <w:lang w:eastAsia="zh-CN"/>
              </w:rPr>
              <w:t>孟加拉</w:t>
            </w:r>
          </w:p>
        </w:tc>
        <w:tc>
          <w:tcPr>
            <w:tcW w:w="1577" w:type="dxa"/>
            <w:tcBorders>
              <w:top w:val="nil"/>
              <w:left w:val="single" w:sz="4" w:space="0" w:color="auto"/>
              <w:bottom w:val="nil"/>
              <w:right w:val="single" w:sz="4" w:space="0" w:color="auto"/>
            </w:tcBorders>
            <w:shd w:val="clear" w:color="auto" w:fill="auto"/>
            <w:noWrap/>
            <w:vAlign w:val="bottom"/>
            <w:hideMark/>
          </w:tcPr>
          <w:p w14:paraId="5763C9CA" w14:textId="77777777" w:rsidR="00686EC7" w:rsidRPr="000C156A" w:rsidRDefault="00686EC7" w:rsidP="00141BAA">
            <w:pPr>
              <w:rPr>
                <w:rFonts w:cs="Calibri"/>
                <w:b/>
                <w:bCs/>
                <w:sz w:val="22"/>
                <w:szCs w:val="22"/>
              </w:rPr>
            </w:pPr>
          </w:p>
        </w:tc>
        <w:tc>
          <w:tcPr>
            <w:tcW w:w="1582" w:type="dxa"/>
            <w:tcBorders>
              <w:top w:val="nil"/>
              <w:left w:val="single" w:sz="4" w:space="0" w:color="auto"/>
              <w:bottom w:val="nil"/>
              <w:right w:val="single" w:sz="4" w:space="0" w:color="auto"/>
            </w:tcBorders>
            <w:shd w:val="clear" w:color="auto" w:fill="auto"/>
            <w:noWrap/>
            <w:vAlign w:val="bottom"/>
            <w:hideMark/>
          </w:tcPr>
          <w:p w14:paraId="2A412BB7"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2136E373" w14:textId="77777777" w:rsidR="00686EC7" w:rsidRPr="000C156A" w:rsidRDefault="00686EC7" w:rsidP="00141BAA">
            <w:pPr>
              <w:rPr>
                <w:rFonts w:ascii="Times New Roman" w:hAnsi="Times New Roman"/>
                <w:sz w:val="22"/>
                <w:szCs w:val="22"/>
              </w:rPr>
            </w:pPr>
          </w:p>
        </w:tc>
        <w:tc>
          <w:tcPr>
            <w:tcW w:w="1492" w:type="dxa"/>
            <w:tcBorders>
              <w:top w:val="nil"/>
              <w:left w:val="single" w:sz="4" w:space="0" w:color="auto"/>
              <w:bottom w:val="nil"/>
              <w:right w:val="single" w:sz="4" w:space="0" w:color="auto"/>
            </w:tcBorders>
            <w:shd w:val="clear" w:color="auto" w:fill="auto"/>
            <w:noWrap/>
            <w:vAlign w:val="bottom"/>
            <w:hideMark/>
          </w:tcPr>
          <w:p w14:paraId="51C06FB1" w14:textId="77777777" w:rsidR="00686EC7" w:rsidRPr="000C156A" w:rsidRDefault="00686EC7" w:rsidP="00141BAA">
            <w:pPr>
              <w:rPr>
                <w:rFonts w:ascii="Times New Roman" w:hAnsi="Times New Roman"/>
                <w:sz w:val="22"/>
                <w:szCs w:val="22"/>
              </w:rPr>
            </w:pPr>
          </w:p>
        </w:tc>
      </w:tr>
      <w:tr w:rsidR="00686EC7" w:rsidRPr="000C156A" w14:paraId="697DBC1F" w14:textId="77777777" w:rsidTr="00141BAA">
        <w:trPr>
          <w:trHeight w:val="301"/>
          <w:jc w:val="center"/>
        </w:trPr>
        <w:tc>
          <w:tcPr>
            <w:tcW w:w="4149" w:type="dxa"/>
            <w:tcBorders>
              <w:top w:val="nil"/>
              <w:left w:val="single" w:sz="4" w:space="0" w:color="auto"/>
              <w:bottom w:val="nil"/>
              <w:right w:val="single" w:sz="4" w:space="0" w:color="auto"/>
            </w:tcBorders>
            <w:shd w:val="clear" w:color="auto" w:fill="auto"/>
            <w:vAlign w:val="bottom"/>
            <w:hideMark/>
          </w:tcPr>
          <w:p w14:paraId="6789F121" w14:textId="4A7AD44D" w:rsidR="00686EC7" w:rsidRPr="000C156A" w:rsidRDefault="00D93F72" w:rsidP="00D93F72">
            <w:pPr>
              <w:tabs>
                <w:tab w:val="clear" w:pos="567"/>
              </w:tabs>
              <w:spacing w:before="0"/>
              <w:ind w:left="317" w:hanging="317"/>
              <w:rPr>
                <w:rFonts w:cs="Calibri"/>
                <w:sz w:val="22"/>
                <w:szCs w:val="22"/>
                <w:lang w:eastAsia="zh-CN"/>
              </w:rPr>
            </w:pPr>
            <w:r w:rsidRPr="000C156A">
              <w:rPr>
                <w:rFonts w:cs="Calibri"/>
                <w:sz w:val="22"/>
                <w:szCs w:val="22"/>
                <w:lang w:eastAsia="zh-CN"/>
              </w:rPr>
              <w:t>–</w:t>
            </w:r>
            <w:r w:rsidRPr="000C156A">
              <w:rPr>
                <w:rFonts w:cs="Calibri"/>
                <w:sz w:val="22"/>
                <w:szCs w:val="22"/>
                <w:lang w:eastAsia="zh-CN"/>
              </w:rPr>
              <w:tab/>
            </w:r>
            <w:r w:rsidR="00686EC7" w:rsidRPr="000C156A">
              <w:rPr>
                <w:rFonts w:cs="Calibri"/>
                <w:sz w:val="22"/>
                <w:szCs w:val="22"/>
                <w:lang w:eastAsia="zh-CN"/>
              </w:rPr>
              <w:t>Daffodil</w:t>
            </w:r>
            <w:r w:rsidR="00686EC7" w:rsidRPr="000C156A">
              <w:rPr>
                <w:rFonts w:cs="Calibri" w:hint="eastAsia"/>
                <w:sz w:val="22"/>
                <w:szCs w:val="22"/>
                <w:lang w:eastAsia="zh-CN"/>
              </w:rPr>
              <w:t>国际大学，达卡</w:t>
            </w:r>
          </w:p>
        </w:tc>
        <w:tc>
          <w:tcPr>
            <w:tcW w:w="1577" w:type="dxa"/>
            <w:tcBorders>
              <w:top w:val="nil"/>
              <w:left w:val="single" w:sz="4" w:space="0" w:color="auto"/>
              <w:bottom w:val="nil"/>
              <w:right w:val="single" w:sz="4" w:space="0" w:color="auto"/>
            </w:tcBorders>
            <w:shd w:val="clear" w:color="auto" w:fill="auto"/>
            <w:noWrap/>
            <w:vAlign w:val="bottom"/>
            <w:hideMark/>
          </w:tcPr>
          <w:p w14:paraId="31F47C6B" w14:textId="77777777" w:rsidR="00686EC7" w:rsidRPr="000C156A" w:rsidRDefault="00686EC7" w:rsidP="00141BAA">
            <w:pPr>
              <w:jc w:val="center"/>
              <w:rPr>
                <w:rFonts w:cs="Calibri"/>
                <w:sz w:val="22"/>
                <w:szCs w:val="22"/>
              </w:rPr>
            </w:pPr>
            <w:r w:rsidRPr="000C156A">
              <w:rPr>
                <w:rFonts w:cs="Calibri"/>
                <w:sz w:val="22"/>
                <w:szCs w:val="22"/>
              </w:rPr>
              <w:t>2019</w:t>
            </w:r>
          </w:p>
        </w:tc>
        <w:tc>
          <w:tcPr>
            <w:tcW w:w="1582" w:type="dxa"/>
            <w:tcBorders>
              <w:top w:val="nil"/>
              <w:left w:val="single" w:sz="4" w:space="0" w:color="auto"/>
              <w:bottom w:val="nil"/>
              <w:right w:val="single" w:sz="4" w:space="0" w:color="auto"/>
            </w:tcBorders>
            <w:shd w:val="clear" w:color="auto" w:fill="auto"/>
            <w:noWrap/>
            <w:vAlign w:val="bottom"/>
            <w:hideMark/>
          </w:tcPr>
          <w:p w14:paraId="0B55F143" w14:textId="67951E4A"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185.75</w:t>
            </w:r>
          </w:p>
        </w:tc>
        <w:tc>
          <w:tcPr>
            <w:tcW w:w="1434" w:type="dxa"/>
            <w:tcBorders>
              <w:top w:val="nil"/>
              <w:left w:val="single" w:sz="4" w:space="0" w:color="auto"/>
              <w:bottom w:val="nil"/>
              <w:right w:val="single" w:sz="4" w:space="0" w:color="auto"/>
            </w:tcBorders>
            <w:shd w:val="clear" w:color="auto" w:fill="auto"/>
            <w:noWrap/>
            <w:vAlign w:val="bottom"/>
            <w:hideMark/>
          </w:tcPr>
          <w:p w14:paraId="7B154963" w14:textId="77777777" w:rsidR="00686EC7" w:rsidRPr="000C156A" w:rsidRDefault="00686EC7" w:rsidP="00141BAA">
            <w:pPr>
              <w:jc w:val="right"/>
              <w:rPr>
                <w:rFonts w:cs="Calibri"/>
                <w:sz w:val="22"/>
                <w:szCs w:val="22"/>
              </w:rPr>
            </w:pPr>
            <w:r w:rsidRPr="000C156A">
              <w:rPr>
                <w:rFonts w:cs="Calibri"/>
                <w:sz w:val="22"/>
                <w:szCs w:val="22"/>
              </w:rPr>
              <w:t>0.00</w:t>
            </w:r>
          </w:p>
        </w:tc>
        <w:tc>
          <w:tcPr>
            <w:tcW w:w="1492" w:type="dxa"/>
            <w:tcBorders>
              <w:top w:val="nil"/>
              <w:left w:val="single" w:sz="4" w:space="0" w:color="auto"/>
              <w:bottom w:val="nil"/>
              <w:right w:val="single" w:sz="4" w:space="0" w:color="auto"/>
            </w:tcBorders>
            <w:shd w:val="clear" w:color="auto" w:fill="auto"/>
            <w:noWrap/>
            <w:vAlign w:val="bottom"/>
            <w:hideMark/>
          </w:tcPr>
          <w:p w14:paraId="7AAD680D" w14:textId="1770167D"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185.75</w:t>
            </w:r>
          </w:p>
        </w:tc>
      </w:tr>
      <w:tr w:rsidR="00686EC7" w:rsidRPr="000C156A" w14:paraId="02176889" w14:textId="77777777" w:rsidTr="00141BAA">
        <w:trPr>
          <w:trHeight w:val="301"/>
          <w:jc w:val="center"/>
        </w:trPr>
        <w:tc>
          <w:tcPr>
            <w:tcW w:w="4149" w:type="dxa"/>
            <w:tcBorders>
              <w:top w:val="nil"/>
              <w:left w:val="single" w:sz="4" w:space="0" w:color="auto"/>
              <w:bottom w:val="nil"/>
              <w:right w:val="single" w:sz="4" w:space="0" w:color="auto"/>
            </w:tcBorders>
            <w:shd w:val="clear" w:color="auto" w:fill="auto"/>
            <w:vAlign w:val="bottom"/>
            <w:hideMark/>
          </w:tcPr>
          <w:p w14:paraId="17A6E5C7" w14:textId="77777777" w:rsidR="00686EC7" w:rsidRPr="000C156A" w:rsidRDefault="00686EC7" w:rsidP="00141BAA">
            <w:pPr>
              <w:rPr>
                <w:rFonts w:cs="Calibri"/>
                <w:b/>
                <w:bCs/>
                <w:sz w:val="22"/>
                <w:szCs w:val="22"/>
              </w:rPr>
            </w:pPr>
            <w:r w:rsidRPr="000C156A">
              <w:rPr>
                <w:rFonts w:cs="Calibri" w:hint="eastAsia"/>
                <w:b/>
                <w:bCs/>
                <w:sz w:val="22"/>
                <w:szCs w:val="22"/>
                <w:lang w:eastAsia="zh-CN"/>
              </w:rPr>
              <w:t>布隆迪</w:t>
            </w:r>
          </w:p>
        </w:tc>
        <w:tc>
          <w:tcPr>
            <w:tcW w:w="1577" w:type="dxa"/>
            <w:tcBorders>
              <w:top w:val="nil"/>
              <w:left w:val="single" w:sz="4" w:space="0" w:color="auto"/>
              <w:bottom w:val="nil"/>
              <w:right w:val="single" w:sz="4" w:space="0" w:color="auto"/>
            </w:tcBorders>
            <w:shd w:val="clear" w:color="auto" w:fill="auto"/>
            <w:noWrap/>
            <w:vAlign w:val="bottom"/>
            <w:hideMark/>
          </w:tcPr>
          <w:p w14:paraId="78C9C813" w14:textId="77777777" w:rsidR="00686EC7" w:rsidRPr="000C156A" w:rsidRDefault="00686EC7" w:rsidP="00141BAA">
            <w:pPr>
              <w:rPr>
                <w:rFonts w:cs="Calibri"/>
                <w:b/>
                <w:bCs/>
                <w:sz w:val="22"/>
                <w:szCs w:val="22"/>
              </w:rPr>
            </w:pPr>
          </w:p>
        </w:tc>
        <w:tc>
          <w:tcPr>
            <w:tcW w:w="1582" w:type="dxa"/>
            <w:tcBorders>
              <w:top w:val="nil"/>
              <w:left w:val="single" w:sz="4" w:space="0" w:color="auto"/>
              <w:bottom w:val="nil"/>
              <w:right w:val="single" w:sz="4" w:space="0" w:color="auto"/>
            </w:tcBorders>
            <w:shd w:val="clear" w:color="auto" w:fill="auto"/>
            <w:noWrap/>
            <w:vAlign w:val="bottom"/>
            <w:hideMark/>
          </w:tcPr>
          <w:p w14:paraId="700D775D"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4FA90B5E" w14:textId="77777777" w:rsidR="00686EC7" w:rsidRPr="000C156A" w:rsidRDefault="00686EC7" w:rsidP="00141BAA">
            <w:pPr>
              <w:rPr>
                <w:rFonts w:ascii="Times New Roman" w:hAnsi="Times New Roman"/>
                <w:sz w:val="22"/>
                <w:szCs w:val="22"/>
              </w:rPr>
            </w:pPr>
          </w:p>
        </w:tc>
        <w:tc>
          <w:tcPr>
            <w:tcW w:w="1492" w:type="dxa"/>
            <w:tcBorders>
              <w:top w:val="nil"/>
              <w:left w:val="single" w:sz="4" w:space="0" w:color="auto"/>
              <w:bottom w:val="nil"/>
              <w:right w:val="single" w:sz="4" w:space="0" w:color="auto"/>
            </w:tcBorders>
            <w:shd w:val="clear" w:color="auto" w:fill="auto"/>
            <w:noWrap/>
            <w:vAlign w:val="bottom"/>
            <w:hideMark/>
          </w:tcPr>
          <w:p w14:paraId="2325F43C" w14:textId="77777777" w:rsidR="00686EC7" w:rsidRPr="000C156A" w:rsidRDefault="00686EC7" w:rsidP="00141BAA">
            <w:pPr>
              <w:rPr>
                <w:rFonts w:ascii="Times New Roman" w:hAnsi="Times New Roman"/>
                <w:sz w:val="22"/>
                <w:szCs w:val="22"/>
              </w:rPr>
            </w:pPr>
          </w:p>
        </w:tc>
      </w:tr>
      <w:tr w:rsidR="00686EC7" w:rsidRPr="000C156A" w14:paraId="6F1D31E5" w14:textId="77777777" w:rsidTr="00141BAA">
        <w:trPr>
          <w:trHeight w:val="301"/>
          <w:jc w:val="center"/>
        </w:trPr>
        <w:tc>
          <w:tcPr>
            <w:tcW w:w="4149" w:type="dxa"/>
            <w:tcBorders>
              <w:top w:val="nil"/>
              <w:left w:val="single" w:sz="4" w:space="0" w:color="auto"/>
              <w:bottom w:val="nil"/>
              <w:right w:val="single" w:sz="4" w:space="0" w:color="auto"/>
            </w:tcBorders>
            <w:shd w:val="clear" w:color="auto" w:fill="auto"/>
            <w:vAlign w:val="bottom"/>
            <w:hideMark/>
          </w:tcPr>
          <w:p w14:paraId="5711EEDD" w14:textId="10ADE986"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Econet Leo SA</w:t>
            </w:r>
            <w:r w:rsidR="00686EC7" w:rsidRPr="000C156A">
              <w:rPr>
                <w:rFonts w:cs="Calibri" w:hint="eastAsia"/>
                <w:sz w:val="22"/>
                <w:szCs w:val="22"/>
                <w:lang w:val="fr-FR"/>
              </w:rPr>
              <w:t>，布琼布拉</w:t>
            </w:r>
          </w:p>
        </w:tc>
        <w:tc>
          <w:tcPr>
            <w:tcW w:w="1577" w:type="dxa"/>
            <w:tcBorders>
              <w:top w:val="nil"/>
              <w:left w:val="single" w:sz="4" w:space="0" w:color="auto"/>
              <w:bottom w:val="nil"/>
              <w:right w:val="single" w:sz="4" w:space="0" w:color="auto"/>
            </w:tcBorders>
            <w:shd w:val="clear" w:color="auto" w:fill="auto"/>
            <w:noWrap/>
            <w:vAlign w:val="bottom"/>
            <w:hideMark/>
          </w:tcPr>
          <w:p w14:paraId="66057CBC" w14:textId="77777777" w:rsidR="00686EC7" w:rsidRPr="000C156A" w:rsidRDefault="00686EC7" w:rsidP="00141BAA">
            <w:pPr>
              <w:jc w:val="center"/>
              <w:rPr>
                <w:rFonts w:cs="Calibri"/>
                <w:sz w:val="22"/>
                <w:szCs w:val="22"/>
              </w:rPr>
            </w:pPr>
            <w:r w:rsidRPr="000C156A">
              <w:rPr>
                <w:rFonts w:cs="Calibri"/>
                <w:sz w:val="22"/>
                <w:szCs w:val="22"/>
              </w:rPr>
              <w:t>2019</w:t>
            </w:r>
          </w:p>
        </w:tc>
        <w:tc>
          <w:tcPr>
            <w:tcW w:w="1582" w:type="dxa"/>
            <w:tcBorders>
              <w:top w:val="nil"/>
              <w:left w:val="single" w:sz="4" w:space="0" w:color="auto"/>
              <w:bottom w:val="nil"/>
              <w:right w:val="single" w:sz="4" w:space="0" w:color="auto"/>
            </w:tcBorders>
            <w:shd w:val="clear" w:color="auto" w:fill="auto"/>
            <w:noWrap/>
            <w:vAlign w:val="bottom"/>
            <w:hideMark/>
          </w:tcPr>
          <w:p w14:paraId="7B8F3114" w14:textId="1AF5561A" w:rsidR="00686EC7" w:rsidRPr="000C156A" w:rsidRDefault="00686EC7" w:rsidP="00141BAA">
            <w:pPr>
              <w:jc w:val="right"/>
              <w:rPr>
                <w:rFonts w:cs="Calibri"/>
                <w:sz w:val="22"/>
                <w:szCs w:val="22"/>
              </w:rPr>
            </w:pPr>
            <w:r w:rsidRPr="000C156A">
              <w:rPr>
                <w:rFonts w:cs="Calibri"/>
                <w:sz w:val="22"/>
                <w:szCs w:val="22"/>
              </w:rPr>
              <w:t>4</w:t>
            </w:r>
            <w:r w:rsidR="003F0401" w:rsidRPr="000C156A">
              <w:rPr>
                <w:rFonts w:cs="Calibri"/>
                <w:sz w:val="22"/>
                <w:szCs w:val="22"/>
              </w:rPr>
              <w:t xml:space="preserve"> </w:t>
            </w:r>
            <w:r w:rsidRPr="000C156A">
              <w:rPr>
                <w:rFonts w:cs="Calibri"/>
                <w:sz w:val="22"/>
                <w:szCs w:val="22"/>
              </w:rPr>
              <w:t>500.00</w:t>
            </w:r>
          </w:p>
        </w:tc>
        <w:tc>
          <w:tcPr>
            <w:tcW w:w="1434" w:type="dxa"/>
            <w:tcBorders>
              <w:top w:val="nil"/>
              <w:left w:val="single" w:sz="4" w:space="0" w:color="auto"/>
              <w:bottom w:val="nil"/>
              <w:right w:val="single" w:sz="4" w:space="0" w:color="auto"/>
            </w:tcBorders>
            <w:shd w:val="clear" w:color="auto" w:fill="auto"/>
            <w:noWrap/>
            <w:vAlign w:val="bottom"/>
            <w:hideMark/>
          </w:tcPr>
          <w:p w14:paraId="3F5AC4FA" w14:textId="77777777" w:rsidR="00686EC7" w:rsidRPr="000C156A" w:rsidRDefault="00686EC7" w:rsidP="00141BAA">
            <w:pPr>
              <w:jc w:val="right"/>
              <w:rPr>
                <w:rFonts w:cs="Calibri"/>
                <w:sz w:val="22"/>
                <w:szCs w:val="22"/>
              </w:rPr>
            </w:pPr>
            <w:r w:rsidRPr="000C156A">
              <w:rPr>
                <w:rFonts w:cs="Calibri"/>
                <w:sz w:val="22"/>
                <w:szCs w:val="22"/>
              </w:rPr>
              <w:t>0.00</w:t>
            </w:r>
          </w:p>
        </w:tc>
        <w:tc>
          <w:tcPr>
            <w:tcW w:w="1492" w:type="dxa"/>
            <w:tcBorders>
              <w:top w:val="nil"/>
              <w:left w:val="single" w:sz="4" w:space="0" w:color="auto"/>
              <w:bottom w:val="nil"/>
              <w:right w:val="single" w:sz="4" w:space="0" w:color="auto"/>
            </w:tcBorders>
            <w:shd w:val="clear" w:color="auto" w:fill="auto"/>
            <w:noWrap/>
            <w:vAlign w:val="bottom"/>
            <w:hideMark/>
          </w:tcPr>
          <w:p w14:paraId="18437647" w14:textId="4B93A41C" w:rsidR="00686EC7" w:rsidRPr="000C156A" w:rsidRDefault="00686EC7" w:rsidP="00141BAA">
            <w:pPr>
              <w:jc w:val="right"/>
              <w:rPr>
                <w:rFonts w:cs="Calibri"/>
                <w:sz w:val="22"/>
                <w:szCs w:val="22"/>
              </w:rPr>
            </w:pPr>
            <w:r w:rsidRPr="000C156A">
              <w:rPr>
                <w:rFonts w:cs="Calibri"/>
                <w:sz w:val="22"/>
                <w:szCs w:val="22"/>
              </w:rPr>
              <w:t>4</w:t>
            </w:r>
            <w:r w:rsidR="003F0401" w:rsidRPr="000C156A">
              <w:rPr>
                <w:rFonts w:cs="Calibri"/>
                <w:sz w:val="22"/>
                <w:szCs w:val="22"/>
              </w:rPr>
              <w:t xml:space="preserve"> </w:t>
            </w:r>
            <w:r w:rsidRPr="000C156A">
              <w:rPr>
                <w:rFonts w:cs="Calibri"/>
                <w:sz w:val="22"/>
                <w:szCs w:val="22"/>
              </w:rPr>
              <w:t>500.00</w:t>
            </w:r>
          </w:p>
        </w:tc>
      </w:tr>
      <w:tr w:rsidR="00686EC7" w:rsidRPr="000C156A" w14:paraId="4DC95C67" w14:textId="77777777" w:rsidTr="00141BAA">
        <w:trPr>
          <w:trHeight w:val="58"/>
          <w:jc w:val="center"/>
        </w:trPr>
        <w:tc>
          <w:tcPr>
            <w:tcW w:w="4149" w:type="dxa"/>
            <w:tcBorders>
              <w:top w:val="nil"/>
              <w:left w:val="single" w:sz="4" w:space="0" w:color="auto"/>
              <w:bottom w:val="nil"/>
              <w:right w:val="single" w:sz="4" w:space="0" w:color="auto"/>
            </w:tcBorders>
            <w:shd w:val="clear" w:color="auto" w:fill="auto"/>
            <w:vAlign w:val="bottom"/>
            <w:hideMark/>
          </w:tcPr>
          <w:p w14:paraId="4E100F8F" w14:textId="244ADEBF"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布隆迪国家电信局，布琼布拉</w:t>
            </w:r>
          </w:p>
        </w:tc>
        <w:tc>
          <w:tcPr>
            <w:tcW w:w="1577" w:type="dxa"/>
            <w:tcBorders>
              <w:top w:val="nil"/>
              <w:left w:val="single" w:sz="4" w:space="0" w:color="auto"/>
              <w:bottom w:val="nil"/>
              <w:right w:val="single" w:sz="4" w:space="0" w:color="auto"/>
            </w:tcBorders>
            <w:shd w:val="clear" w:color="auto" w:fill="auto"/>
            <w:noWrap/>
            <w:vAlign w:val="bottom"/>
            <w:hideMark/>
          </w:tcPr>
          <w:p w14:paraId="5931B40B" w14:textId="77777777" w:rsidR="00686EC7" w:rsidRPr="000C156A" w:rsidRDefault="00686EC7" w:rsidP="00141BAA">
            <w:pPr>
              <w:jc w:val="center"/>
              <w:rPr>
                <w:rFonts w:cs="Calibri"/>
                <w:sz w:val="22"/>
                <w:szCs w:val="22"/>
              </w:rPr>
            </w:pPr>
            <w:r w:rsidRPr="000C156A">
              <w:rPr>
                <w:rFonts w:cs="Calibri"/>
                <w:sz w:val="22"/>
                <w:szCs w:val="22"/>
              </w:rPr>
              <w:t>2015-2019</w:t>
            </w:r>
          </w:p>
        </w:tc>
        <w:tc>
          <w:tcPr>
            <w:tcW w:w="1582" w:type="dxa"/>
            <w:tcBorders>
              <w:top w:val="nil"/>
              <w:left w:val="single" w:sz="4" w:space="0" w:color="auto"/>
              <w:bottom w:val="nil"/>
              <w:right w:val="single" w:sz="4" w:space="0" w:color="auto"/>
            </w:tcBorders>
            <w:shd w:val="clear" w:color="auto" w:fill="auto"/>
            <w:noWrap/>
            <w:vAlign w:val="bottom"/>
            <w:hideMark/>
          </w:tcPr>
          <w:p w14:paraId="62D4F4B1" w14:textId="78FB5633" w:rsidR="00686EC7" w:rsidRPr="000C156A" w:rsidRDefault="00686EC7" w:rsidP="00141BAA">
            <w:pPr>
              <w:jc w:val="right"/>
              <w:rPr>
                <w:rFonts w:cs="Calibri"/>
                <w:sz w:val="22"/>
                <w:szCs w:val="22"/>
              </w:rPr>
            </w:pPr>
            <w:r w:rsidRPr="000C156A">
              <w:rPr>
                <w:rFonts w:cs="Calibri"/>
                <w:sz w:val="22"/>
                <w:szCs w:val="22"/>
              </w:rPr>
              <w:t>4</w:t>
            </w:r>
            <w:r w:rsidR="003F0401" w:rsidRPr="000C156A">
              <w:rPr>
                <w:rFonts w:cs="Calibri"/>
                <w:sz w:val="22"/>
                <w:szCs w:val="22"/>
              </w:rPr>
              <w:t xml:space="preserve"> </w:t>
            </w:r>
            <w:r w:rsidRPr="000C156A">
              <w:rPr>
                <w:rFonts w:cs="Calibri"/>
                <w:sz w:val="22"/>
                <w:szCs w:val="22"/>
              </w:rPr>
              <w:t>532.45</w:t>
            </w:r>
          </w:p>
        </w:tc>
        <w:tc>
          <w:tcPr>
            <w:tcW w:w="1434" w:type="dxa"/>
            <w:tcBorders>
              <w:top w:val="nil"/>
              <w:left w:val="single" w:sz="4" w:space="0" w:color="auto"/>
              <w:bottom w:val="nil"/>
              <w:right w:val="single" w:sz="4" w:space="0" w:color="auto"/>
            </w:tcBorders>
            <w:shd w:val="clear" w:color="auto" w:fill="auto"/>
            <w:noWrap/>
            <w:vAlign w:val="bottom"/>
            <w:hideMark/>
          </w:tcPr>
          <w:p w14:paraId="1EBC1D51" w14:textId="77777777" w:rsidR="00686EC7" w:rsidRPr="000C156A" w:rsidRDefault="00686EC7" w:rsidP="00141BAA">
            <w:pPr>
              <w:jc w:val="right"/>
              <w:rPr>
                <w:rFonts w:cs="Calibri"/>
                <w:sz w:val="22"/>
                <w:szCs w:val="22"/>
              </w:rPr>
            </w:pPr>
            <w:r w:rsidRPr="000C156A">
              <w:rPr>
                <w:rFonts w:cs="Calibri"/>
                <w:sz w:val="22"/>
                <w:szCs w:val="22"/>
              </w:rPr>
              <w:t>0.00</w:t>
            </w:r>
          </w:p>
        </w:tc>
        <w:tc>
          <w:tcPr>
            <w:tcW w:w="1492" w:type="dxa"/>
            <w:tcBorders>
              <w:top w:val="nil"/>
              <w:left w:val="single" w:sz="4" w:space="0" w:color="auto"/>
              <w:bottom w:val="nil"/>
              <w:right w:val="single" w:sz="4" w:space="0" w:color="auto"/>
            </w:tcBorders>
            <w:shd w:val="clear" w:color="auto" w:fill="auto"/>
            <w:noWrap/>
            <w:vAlign w:val="bottom"/>
            <w:hideMark/>
          </w:tcPr>
          <w:p w14:paraId="31BD7F4C" w14:textId="3606E56E" w:rsidR="00686EC7" w:rsidRPr="000C156A" w:rsidRDefault="00686EC7" w:rsidP="00141BAA">
            <w:pPr>
              <w:jc w:val="right"/>
              <w:rPr>
                <w:rFonts w:cs="Calibri"/>
                <w:sz w:val="22"/>
                <w:szCs w:val="22"/>
              </w:rPr>
            </w:pPr>
            <w:r w:rsidRPr="000C156A">
              <w:rPr>
                <w:rFonts w:cs="Calibri"/>
                <w:sz w:val="22"/>
                <w:szCs w:val="22"/>
              </w:rPr>
              <w:t>4</w:t>
            </w:r>
            <w:r w:rsidR="003F0401" w:rsidRPr="000C156A">
              <w:rPr>
                <w:rFonts w:cs="Calibri"/>
                <w:sz w:val="22"/>
                <w:szCs w:val="22"/>
              </w:rPr>
              <w:t xml:space="preserve"> </w:t>
            </w:r>
            <w:r w:rsidRPr="000C156A">
              <w:rPr>
                <w:rFonts w:cs="Calibri"/>
                <w:sz w:val="22"/>
                <w:szCs w:val="22"/>
              </w:rPr>
              <w:t>532.45</w:t>
            </w:r>
          </w:p>
        </w:tc>
      </w:tr>
      <w:tr w:rsidR="00686EC7" w:rsidRPr="000C156A" w14:paraId="2C395B23" w14:textId="77777777" w:rsidTr="00141BAA">
        <w:trPr>
          <w:trHeight w:val="301"/>
          <w:jc w:val="center"/>
        </w:trPr>
        <w:tc>
          <w:tcPr>
            <w:tcW w:w="4149" w:type="dxa"/>
            <w:tcBorders>
              <w:top w:val="nil"/>
              <w:left w:val="single" w:sz="4" w:space="0" w:color="auto"/>
              <w:bottom w:val="nil"/>
              <w:right w:val="single" w:sz="4" w:space="0" w:color="auto"/>
            </w:tcBorders>
            <w:shd w:val="clear" w:color="auto" w:fill="auto"/>
            <w:vAlign w:val="bottom"/>
            <w:hideMark/>
          </w:tcPr>
          <w:p w14:paraId="40EAB46F" w14:textId="77777777" w:rsidR="00686EC7" w:rsidRPr="000C156A" w:rsidRDefault="00686EC7" w:rsidP="00141BAA">
            <w:pPr>
              <w:rPr>
                <w:rFonts w:cs="Calibri"/>
                <w:b/>
                <w:bCs/>
                <w:sz w:val="22"/>
                <w:szCs w:val="22"/>
              </w:rPr>
            </w:pPr>
            <w:r w:rsidRPr="000C156A">
              <w:rPr>
                <w:rFonts w:cs="Calibri" w:hint="eastAsia"/>
                <w:b/>
                <w:bCs/>
                <w:sz w:val="22"/>
                <w:szCs w:val="22"/>
                <w:lang w:eastAsia="zh-CN"/>
              </w:rPr>
              <w:t>布基纳法索</w:t>
            </w:r>
          </w:p>
        </w:tc>
        <w:tc>
          <w:tcPr>
            <w:tcW w:w="1577" w:type="dxa"/>
            <w:tcBorders>
              <w:top w:val="nil"/>
              <w:left w:val="single" w:sz="4" w:space="0" w:color="auto"/>
              <w:bottom w:val="nil"/>
              <w:right w:val="single" w:sz="4" w:space="0" w:color="auto"/>
            </w:tcBorders>
            <w:shd w:val="clear" w:color="auto" w:fill="auto"/>
            <w:noWrap/>
            <w:vAlign w:val="bottom"/>
            <w:hideMark/>
          </w:tcPr>
          <w:p w14:paraId="0718D813" w14:textId="77777777" w:rsidR="00686EC7" w:rsidRPr="000C156A" w:rsidRDefault="00686EC7" w:rsidP="00141BAA">
            <w:pPr>
              <w:rPr>
                <w:rFonts w:cs="Calibri"/>
                <w:b/>
                <w:bCs/>
                <w:sz w:val="22"/>
                <w:szCs w:val="22"/>
              </w:rPr>
            </w:pPr>
          </w:p>
        </w:tc>
        <w:tc>
          <w:tcPr>
            <w:tcW w:w="1582" w:type="dxa"/>
            <w:tcBorders>
              <w:top w:val="nil"/>
              <w:left w:val="single" w:sz="4" w:space="0" w:color="auto"/>
              <w:bottom w:val="nil"/>
              <w:right w:val="single" w:sz="4" w:space="0" w:color="auto"/>
            </w:tcBorders>
            <w:shd w:val="clear" w:color="auto" w:fill="auto"/>
            <w:noWrap/>
            <w:vAlign w:val="bottom"/>
            <w:hideMark/>
          </w:tcPr>
          <w:p w14:paraId="5F260AE5"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517CE3A8" w14:textId="77777777" w:rsidR="00686EC7" w:rsidRPr="000C156A" w:rsidRDefault="00686EC7" w:rsidP="00141BAA">
            <w:pPr>
              <w:rPr>
                <w:rFonts w:ascii="Times New Roman" w:hAnsi="Times New Roman"/>
                <w:sz w:val="22"/>
                <w:szCs w:val="22"/>
              </w:rPr>
            </w:pPr>
          </w:p>
        </w:tc>
        <w:tc>
          <w:tcPr>
            <w:tcW w:w="1492" w:type="dxa"/>
            <w:tcBorders>
              <w:top w:val="nil"/>
              <w:left w:val="single" w:sz="4" w:space="0" w:color="auto"/>
              <w:bottom w:val="nil"/>
              <w:right w:val="single" w:sz="4" w:space="0" w:color="auto"/>
            </w:tcBorders>
            <w:shd w:val="clear" w:color="auto" w:fill="auto"/>
            <w:noWrap/>
            <w:vAlign w:val="bottom"/>
            <w:hideMark/>
          </w:tcPr>
          <w:p w14:paraId="3F369686" w14:textId="77777777" w:rsidR="00686EC7" w:rsidRPr="000C156A" w:rsidRDefault="00686EC7" w:rsidP="00141BAA">
            <w:pPr>
              <w:rPr>
                <w:rFonts w:ascii="Times New Roman" w:hAnsi="Times New Roman"/>
                <w:sz w:val="22"/>
                <w:szCs w:val="22"/>
              </w:rPr>
            </w:pPr>
          </w:p>
        </w:tc>
      </w:tr>
      <w:tr w:rsidR="00686EC7" w:rsidRPr="000C156A" w14:paraId="77E58D66" w14:textId="77777777" w:rsidTr="00141BAA">
        <w:trPr>
          <w:trHeight w:val="301"/>
          <w:jc w:val="center"/>
        </w:trPr>
        <w:tc>
          <w:tcPr>
            <w:tcW w:w="4149" w:type="dxa"/>
            <w:tcBorders>
              <w:top w:val="nil"/>
              <w:left w:val="single" w:sz="4" w:space="0" w:color="auto"/>
              <w:bottom w:val="nil"/>
              <w:right w:val="single" w:sz="4" w:space="0" w:color="auto"/>
            </w:tcBorders>
            <w:shd w:val="clear" w:color="auto" w:fill="auto"/>
            <w:vAlign w:val="bottom"/>
            <w:hideMark/>
          </w:tcPr>
          <w:p w14:paraId="2F6A19FE" w14:textId="51A666E2" w:rsidR="00686EC7" w:rsidRPr="000C156A" w:rsidRDefault="00D93F72" w:rsidP="00D93F72">
            <w:pPr>
              <w:tabs>
                <w:tab w:val="clear" w:pos="567"/>
              </w:tabs>
              <w:spacing w:before="0"/>
              <w:ind w:left="317" w:hanging="317"/>
              <w:rPr>
                <w:rFonts w:cs="Calibri"/>
                <w:sz w:val="22"/>
                <w:szCs w:val="22"/>
              </w:rPr>
            </w:pPr>
            <w:r w:rsidRPr="000C156A">
              <w:rPr>
                <w:rFonts w:cs="Calibri"/>
                <w:sz w:val="22"/>
                <w:szCs w:val="22"/>
              </w:rPr>
              <w:t>–</w:t>
            </w:r>
            <w:r w:rsidRPr="000C156A">
              <w:rPr>
                <w:rFonts w:cs="Calibri"/>
                <w:sz w:val="22"/>
                <w:szCs w:val="22"/>
              </w:rPr>
              <w:tab/>
            </w:r>
            <w:r w:rsidR="00686EC7" w:rsidRPr="000C156A">
              <w:rPr>
                <w:rFonts w:cs="Calibri" w:hint="eastAsia"/>
                <w:sz w:val="22"/>
                <w:szCs w:val="22"/>
              </w:rPr>
              <w:t>ONATEL</w:t>
            </w:r>
            <w:r w:rsidR="00686EC7" w:rsidRPr="000C156A">
              <w:rPr>
                <w:rFonts w:cs="Calibri" w:hint="eastAsia"/>
                <w:sz w:val="22"/>
                <w:szCs w:val="22"/>
                <w:lang w:eastAsia="zh-CN"/>
              </w:rPr>
              <w:t>，</w:t>
            </w:r>
            <w:r w:rsidR="00686EC7" w:rsidRPr="000C156A">
              <w:rPr>
                <w:rFonts w:cs="Calibri" w:hint="eastAsia"/>
                <w:sz w:val="22"/>
                <w:szCs w:val="22"/>
              </w:rPr>
              <w:t>瓦加杜古</w:t>
            </w:r>
          </w:p>
        </w:tc>
        <w:tc>
          <w:tcPr>
            <w:tcW w:w="1577" w:type="dxa"/>
            <w:tcBorders>
              <w:top w:val="nil"/>
              <w:left w:val="single" w:sz="4" w:space="0" w:color="auto"/>
              <w:bottom w:val="nil"/>
              <w:right w:val="single" w:sz="4" w:space="0" w:color="auto"/>
            </w:tcBorders>
            <w:shd w:val="clear" w:color="auto" w:fill="auto"/>
            <w:noWrap/>
            <w:vAlign w:val="bottom"/>
            <w:hideMark/>
          </w:tcPr>
          <w:p w14:paraId="1473FBAB" w14:textId="77777777" w:rsidR="00686EC7" w:rsidRPr="000C156A" w:rsidRDefault="00686EC7" w:rsidP="00141BAA">
            <w:pPr>
              <w:jc w:val="center"/>
              <w:rPr>
                <w:rFonts w:cs="Calibri"/>
                <w:sz w:val="22"/>
                <w:szCs w:val="22"/>
              </w:rPr>
            </w:pPr>
            <w:r w:rsidRPr="000C156A">
              <w:rPr>
                <w:rFonts w:cs="Calibri"/>
                <w:sz w:val="22"/>
                <w:szCs w:val="22"/>
              </w:rPr>
              <w:t>2019</w:t>
            </w:r>
          </w:p>
        </w:tc>
        <w:tc>
          <w:tcPr>
            <w:tcW w:w="1582" w:type="dxa"/>
            <w:tcBorders>
              <w:top w:val="nil"/>
              <w:left w:val="single" w:sz="4" w:space="0" w:color="auto"/>
              <w:bottom w:val="nil"/>
              <w:right w:val="single" w:sz="4" w:space="0" w:color="auto"/>
            </w:tcBorders>
            <w:shd w:val="clear" w:color="auto" w:fill="auto"/>
            <w:noWrap/>
            <w:vAlign w:val="bottom"/>
            <w:hideMark/>
          </w:tcPr>
          <w:p w14:paraId="408A9328" w14:textId="40499834" w:rsidR="00686EC7" w:rsidRPr="000C156A" w:rsidRDefault="00686EC7" w:rsidP="00141BAA">
            <w:pPr>
              <w:jc w:val="right"/>
              <w:rPr>
                <w:rFonts w:cs="Calibri"/>
                <w:sz w:val="22"/>
                <w:szCs w:val="22"/>
              </w:rPr>
            </w:pPr>
            <w:r w:rsidRPr="000C156A">
              <w:rPr>
                <w:rFonts w:cs="Calibri"/>
                <w:sz w:val="22"/>
                <w:szCs w:val="22"/>
              </w:rPr>
              <w:t>4</w:t>
            </w:r>
            <w:r w:rsidR="003F0401" w:rsidRPr="000C156A">
              <w:rPr>
                <w:rFonts w:cs="Calibri"/>
                <w:sz w:val="22"/>
                <w:szCs w:val="22"/>
              </w:rPr>
              <w:t xml:space="preserve"> </w:t>
            </w:r>
            <w:r w:rsidRPr="000C156A">
              <w:rPr>
                <w:rFonts w:cs="Calibri"/>
                <w:sz w:val="22"/>
                <w:szCs w:val="22"/>
              </w:rPr>
              <w:t>371.50</w:t>
            </w:r>
          </w:p>
        </w:tc>
        <w:tc>
          <w:tcPr>
            <w:tcW w:w="1434" w:type="dxa"/>
            <w:tcBorders>
              <w:top w:val="nil"/>
              <w:left w:val="single" w:sz="4" w:space="0" w:color="auto"/>
              <w:bottom w:val="nil"/>
              <w:right w:val="single" w:sz="4" w:space="0" w:color="auto"/>
            </w:tcBorders>
            <w:shd w:val="clear" w:color="auto" w:fill="auto"/>
            <w:noWrap/>
            <w:vAlign w:val="bottom"/>
            <w:hideMark/>
          </w:tcPr>
          <w:p w14:paraId="1F3C3CAD" w14:textId="77777777" w:rsidR="00686EC7" w:rsidRPr="000C156A" w:rsidRDefault="00686EC7" w:rsidP="00141BAA">
            <w:pPr>
              <w:jc w:val="right"/>
              <w:rPr>
                <w:rFonts w:cs="Calibri"/>
                <w:sz w:val="22"/>
                <w:szCs w:val="22"/>
              </w:rPr>
            </w:pPr>
            <w:r w:rsidRPr="000C156A">
              <w:rPr>
                <w:rFonts w:cs="Calibri"/>
                <w:sz w:val="22"/>
                <w:szCs w:val="22"/>
              </w:rPr>
              <w:t>0.00</w:t>
            </w:r>
          </w:p>
        </w:tc>
        <w:tc>
          <w:tcPr>
            <w:tcW w:w="1492" w:type="dxa"/>
            <w:tcBorders>
              <w:top w:val="nil"/>
              <w:left w:val="single" w:sz="4" w:space="0" w:color="auto"/>
              <w:bottom w:val="nil"/>
              <w:right w:val="single" w:sz="4" w:space="0" w:color="auto"/>
            </w:tcBorders>
            <w:shd w:val="clear" w:color="auto" w:fill="auto"/>
            <w:noWrap/>
            <w:vAlign w:val="bottom"/>
            <w:hideMark/>
          </w:tcPr>
          <w:p w14:paraId="64F075D6" w14:textId="40FF8D5F" w:rsidR="00686EC7" w:rsidRPr="000C156A" w:rsidRDefault="00686EC7" w:rsidP="00141BAA">
            <w:pPr>
              <w:jc w:val="right"/>
              <w:rPr>
                <w:rFonts w:cs="Calibri"/>
                <w:sz w:val="22"/>
                <w:szCs w:val="22"/>
              </w:rPr>
            </w:pPr>
            <w:r w:rsidRPr="000C156A">
              <w:rPr>
                <w:rFonts w:cs="Calibri"/>
                <w:sz w:val="22"/>
                <w:szCs w:val="22"/>
              </w:rPr>
              <w:t>4</w:t>
            </w:r>
            <w:r w:rsidR="003F0401" w:rsidRPr="000C156A">
              <w:rPr>
                <w:rFonts w:cs="Calibri"/>
                <w:sz w:val="22"/>
                <w:szCs w:val="22"/>
              </w:rPr>
              <w:t xml:space="preserve"> </w:t>
            </w:r>
            <w:r w:rsidRPr="000C156A">
              <w:rPr>
                <w:rFonts w:cs="Calibri"/>
                <w:sz w:val="22"/>
                <w:szCs w:val="22"/>
              </w:rPr>
              <w:t>371.50</w:t>
            </w:r>
          </w:p>
        </w:tc>
      </w:tr>
      <w:tr w:rsidR="00686EC7" w:rsidRPr="000C156A" w14:paraId="60EA4A61" w14:textId="77777777" w:rsidTr="00141BAA">
        <w:trPr>
          <w:trHeight w:val="301"/>
          <w:jc w:val="center"/>
        </w:trPr>
        <w:tc>
          <w:tcPr>
            <w:tcW w:w="4149" w:type="dxa"/>
            <w:tcBorders>
              <w:top w:val="nil"/>
              <w:left w:val="single" w:sz="4" w:space="0" w:color="auto"/>
              <w:bottom w:val="nil"/>
              <w:right w:val="single" w:sz="4" w:space="0" w:color="auto"/>
            </w:tcBorders>
            <w:shd w:val="clear" w:color="auto" w:fill="auto"/>
            <w:vAlign w:val="bottom"/>
            <w:hideMark/>
          </w:tcPr>
          <w:p w14:paraId="3C6E6928" w14:textId="77777777" w:rsidR="00686EC7" w:rsidRPr="000C156A" w:rsidRDefault="00686EC7" w:rsidP="00141BAA">
            <w:pPr>
              <w:rPr>
                <w:rFonts w:cs="Calibri"/>
                <w:b/>
                <w:bCs/>
                <w:sz w:val="22"/>
                <w:szCs w:val="22"/>
              </w:rPr>
            </w:pPr>
            <w:r w:rsidRPr="000C156A">
              <w:rPr>
                <w:rFonts w:cs="Calibri" w:hint="eastAsia"/>
                <w:b/>
                <w:bCs/>
                <w:sz w:val="22"/>
                <w:szCs w:val="22"/>
                <w:lang w:eastAsia="zh-CN"/>
              </w:rPr>
              <w:t>中华人民共和国</w:t>
            </w:r>
          </w:p>
        </w:tc>
        <w:tc>
          <w:tcPr>
            <w:tcW w:w="1577" w:type="dxa"/>
            <w:tcBorders>
              <w:top w:val="nil"/>
              <w:left w:val="single" w:sz="4" w:space="0" w:color="auto"/>
              <w:bottom w:val="nil"/>
              <w:right w:val="single" w:sz="4" w:space="0" w:color="auto"/>
            </w:tcBorders>
            <w:shd w:val="clear" w:color="auto" w:fill="auto"/>
            <w:noWrap/>
            <w:vAlign w:val="bottom"/>
            <w:hideMark/>
          </w:tcPr>
          <w:p w14:paraId="72C4FAF8" w14:textId="77777777" w:rsidR="00686EC7" w:rsidRPr="000C156A" w:rsidRDefault="00686EC7" w:rsidP="00141BAA">
            <w:pPr>
              <w:rPr>
                <w:rFonts w:cs="Calibri"/>
                <w:b/>
                <w:bCs/>
                <w:sz w:val="22"/>
                <w:szCs w:val="22"/>
              </w:rPr>
            </w:pPr>
          </w:p>
        </w:tc>
        <w:tc>
          <w:tcPr>
            <w:tcW w:w="1582" w:type="dxa"/>
            <w:tcBorders>
              <w:top w:val="nil"/>
              <w:left w:val="single" w:sz="4" w:space="0" w:color="auto"/>
              <w:bottom w:val="nil"/>
              <w:right w:val="single" w:sz="4" w:space="0" w:color="auto"/>
            </w:tcBorders>
            <w:shd w:val="clear" w:color="auto" w:fill="auto"/>
            <w:noWrap/>
            <w:vAlign w:val="bottom"/>
            <w:hideMark/>
          </w:tcPr>
          <w:p w14:paraId="09DCFB53"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7DA2631C" w14:textId="77777777" w:rsidR="00686EC7" w:rsidRPr="000C156A" w:rsidRDefault="00686EC7" w:rsidP="00141BAA">
            <w:pPr>
              <w:rPr>
                <w:rFonts w:ascii="Times New Roman" w:hAnsi="Times New Roman"/>
                <w:sz w:val="22"/>
                <w:szCs w:val="22"/>
              </w:rPr>
            </w:pPr>
          </w:p>
        </w:tc>
        <w:tc>
          <w:tcPr>
            <w:tcW w:w="1492" w:type="dxa"/>
            <w:tcBorders>
              <w:top w:val="nil"/>
              <w:left w:val="single" w:sz="4" w:space="0" w:color="auto"/>
              <w:bottom w:val="nil"/>
              <w:right w:val="single" w:sz="4" w:space="0" w:color="auto"/>
            </w:tcBorders>
            <w:shd w:val="clear" w:color="auto" w:fill="auto"/>
            <w:noWrap/>
            <w:vAlign w:val="bottom"/>
            <w:hideMark/>
          </w:tcPr>
          <w:p w14:paraId="59C11FB5" w14:textId="77777777" w:rsidR="00686EC7" w:rsidRPr="000C156A" w:rsidRDefault="00686EC7" w:rsidP="00141BAA">
            <w:pPr>
              <w:rPr>
                <w:rFonts w:ascii="Times New Roman" w:hAnsi="Times New Roman"/>
                <w:sz w:val="22"/>
                <w:szCs w:val="22"/>
              </w:rPr>
            </w:pPr>
          </w:p>
        </w:tc>
      </w:tr>
      <w:tr w:rsidR="00686EC7" w:rsidRPr="000C156A" w14:paraId="05D08F83" w14:textId="77777777" w:rsidTr="00141BAA">
        <w:trPr>
          <w:trHeight w:val="301"/>
          <w:jc w:val="center"/>
        </w:trPr>
        <w:tc>
          <w:tcPr>
            <w:tcW w:w="4149" w:type="dxa"/>
            <w:tcBorders>
              <w:top w:val="nil"/>
              <w:left w:val="single" w:sz="4" w:space="0" w:color="auto"/>
              <w:bottom w:val="nil"/>
              <w:right w:val="single" w:sz="4" w:space="0" w:color="auto"/>
            </w:tcBorders>
            <w:shd w:val="clear" w:color="auto" w:fill="auto"/>
            <w:vAlign w:val="bottom"/>
            <w:hideMark/>
          </w:tcPr>
          <w:p w14:paraId="17344D19" w14:textId="743A35B1" w:rsidR="00686EC7" w:rsidRPr="000C156A" w:rsidRDefault="00D93F72" w:rsidP="00D93F72">
            <w:pPr>
              <w:tabs>
                <w:tab w:val="clear" w:pos="567"/>
              </w:tabs>
              <w:spacing w:before="0"/>
              <w:ind w:left="317" w:hanging="317"/>
              <w:rPr>
                <w:sz w:val="22"/>
                <w:szCs w:val="22"/>
                <w:lang w:eastAsia="zh-CN"/>
              </w:rPr>
            </w:pPr>
            <w:r w:rsidRPr="000C156A">
              <w:rPr>
                <w:sz w:val="22"/>
                <w:szCs w:val="22"/>
                <w:lang w:eastAsia="zh-CN"/>
              </w:rPr>
              <w:t>–</w:t>
            </w:r>
            <w:r w:rsidRPr="000C156A">
              <w:rPr>
                <w:sz w:val="22"/>
                <w:szCs w:val="22"/>
                <w:lang w:eastAsia="zh-CN"/>
              </w:rPr>
              <w:tab/>
            </w:r>
            <w:r w:rsidR="00686EC7" w:rsidRPr="000C156A">
              <w:rPr>
                <w:rFonts w:cs="Calibri" w:hint="eastAsia"/>
                <w:sz w:val="22"/>
                <w:szCs w:val="22"/>
                <w:lang w:val="fr-FR" w:eastAsia="zh-CN"/>
              </w:rPr>
              <w:t>电讯盈科有限公司</w:t>
            </w:r>
            <w:r w:rsidR="00686EC7" w:rsidRPr="000C156A">
              <w:rPr>
                <w:rFonts w:hint="eastAsia"/>
                <w:sz w:val="22"/>
                <w:szCs w:val="22"/>
                <w:lang w:eastAsia="zh-CN"/>
              </w:rPr>
              <w:t>，香港</w:t>
            </w:r>
          </w:p>
        </w:tc>
        <w:tc>
          <w:tcPr>
            <w:tcW w:w="1577" w:type="dxa"/>
            <w:tcBorders>
              <w:top w:val="nil"/>
              <w:left w:val="single" w:sz="4" w:space="0" w:color="auto"/>
              <w:bottom w:val="nil"/>
              <w:right w:val="single" w:sz="4" w:space="0" w:color="auto"/>
            </w:tcBorders>
            <w:shd w:val="clear" w:color="auto" w:fill="auto"/>
            <w:noWrap/>
            <w:vAlign w:val="bottom"/>
            <w:hideMark/>
          </w:tcPr>
          <w:p w14:paraId="4C7E7419" w14:textId="77777777" w:rsidR="00686EC7" w:rsidRPr="000C156A" w:rsidRDefault="00686EC7" w:rsidP="00141BAA">
            <w:pPr>
              <w:jc w:val="center"/>
              <w:rPr>
                <w:rFonts w:cs="Calibri"/>
                <w:sz w:val="22"/>
                <w:szCs w:val="22"/>
              </w:rPr>
            </w:pPr>
            <w:r w:rsidRPr="000C156A">
              <w:rPr>
                <w:rFonts w:cs="Calibri"/>
                <w:sz w:val="22"/>
                <w:szCs w:val="22"/>
              </w:rPr>
              <w:t>2002-2006</w:t>
            </w:r>
          </w:p>
        </w:tc>
        <w:tc>
          <w:tcPr>
            <w:tcW w:w="1582" w:type="dxa"/>
            <w:tcBorders>
              <w:top w:val="nil"/>
              <w:left w:val="single" w:sz="4" w:space="0" w:color="auto"/>
              <w:bottom w:val="nil"/>
              <w:right w:val="single" w:sz="4" w:space="0" w:color="auto"/>
            </w:tcBorders>
            <w:shd w:val="clear" w:color="auto" w:fill="auto"/>
            <w:noWrap/>
            <w:vAlign w:val="bottom"/>
            <w:hideMark/>
          </w:tcPr>
          <w:p w14:paraId="2A38CFE1" w14:textId="1C0D221A" w:rsidR="00686EC7" w:rsidRPr="000C156A" w:rsidRDefault="00686EC7" w:rsidP="00141BAA">
            <w:pPr>
              <w:jc w:val="right"/>
              <w:rPr>
                <w:rFonts w:cs="Calibri"/>
                <w:sz w:val="22"/>
                <w:szCs w:val="22"/>
              </w:rPr>
            </w:pPr>
            <w:r w:rsidRPr="000C156A">
              <w:rPr>
                <w:rFonts w:cs="Calibri"/>
                <w:sz w:val="22"/>
                <w:szCs w:val="22"/>
              </w:rPr>
              <w:t>1</w:t>
            </w:r>
            <w:r w:rsidR="003F0401" w:rsidRPr="000C156A">
              <w:rPr>
                <w:rFonts w:cs="Calibri"/>
                <w:sz w:val="22"/>
                <w:szCs w:val="22"/>
              </w:rPr>
              <w:t xml:space="preserve"> </w:t>
            </w:r>
            <w:r w:rsidRPr="000C156A">
              <w:rPr>
                <w:rFonts w:cs="Calibri"/>
                <w:sz w:val="22"/>
                <w:szCs w:val="22"/>
              </w:rPr>
              <w:t>139</w:t>
            </w:r>
            <w:r w:rsidR="003F0401" w:rsidRPr="000C156A">
              <w:rPr>
                <w:rFonts w:cs="Calibri"/>
                <w:sz w:val="22"/>
                <w:szCs w:val="22"/>
              </w:rPr>
              <w:t xml:space="preserve"> </w:t>
            </w:r>
            <w:r w:rsidRPr="000C156A">
              <w:rPr>
                <w:rFonts w:cs="Calibri"/>
                <w:sz w:val="22"/>
                <w:szCs w:val="22"/>
              </w:rPr>
              <w:t>320.20</w:t>
            </w:r>
          </w:p>
        </w:tc>
        <w:tc>
          <w:tcPr>
            <w:tcW w:w="1434" w:type="dxa"/>
            <w:tcBorders>
              <w:top w:val="nil"/>
              <w:left w:val="single" w:sz="4" w:space="0" w:color="auto"/>
              <w:bottom w:val="nil"/>
              <w:right w:val="single" w:sz="4" w:space="0" w:color="auto"/>
            </w:tcBorders>
            <w:shd w:val="clear" w:color="auto" w:fill="auto"/>
            <w:noWrap/>
            <w:vAlign w:val="bottom"/>
            <w:hideMark/>
          </w:tcPr>
          <w:p w14:paraId="608BBAAF" w14:textId="77777777" w:rsidR="00686EC7" w:rsidRPr="000C156A" w:rsidRDefault="00686EC7" w:rsidP="00141BAA">
            <w:pPr>
              <w:jc w:val="right"/>
              <w:rPr>
                <w:rFonts w:cs="Calibri"/>
                <w:sz w:val="22"/>
                <w:szCs w:val="22"/>
              </w:rPr>
            </w:pPr>
            <w:r w:rsidRPr="000C156A">
              <w:rPr>
                <w:rFonts w:cs="Calibri"/>
                <w:sz w:val="22"/>
                <w:szCs w:val="22"/>
              </w:rPr>
              <w:t>0.00</w:t>
            </w:r>
          </w:p>
        </w:tc>
        <w:tc>
          <w:tcPr>
            <w:tcW w:w="1492" w:type="dxa"/>
            <w:tcBorders>
              <w:top w:val="nil"/>
              <w:left w:val="single" w:sz="4" w:space="0" w:color="auto"/>
              <w:bottom w:val="nil"/>
              <w:right w:val="single" w:sz="4" w:space="0" w:color="auto"/>
            </w:tcBorders>
            <w:shd w:val="clear" w:color="auto" w:fill="auto"/>
            <w:noWrap/>
            <w:vAlign w:val="bottom"/>
            <w:hideMark/>
          </w:tcPr>
          <w:p w14:paraId="6B85C482" w14:textId="66F4E334" w:rsidR="00686EC7" w:rsidRPr="000C156A" w:rsidRDefault="00686EC7" w:rsidP="00141BAA">
            <w:pPr>
              <w:jc w:val="right"/>
              <w:rPr>
                <w:rFonts w:cs="Calibri"/>
                <w:sz w:val="22"/>
                <w:szCs w:val="22"/>
              </w:rPr>
            </w:pPr>
            <w:r w:rsidRPr="000C156A">
              <w:rPr>
                <w:rFonts w:cs="Calibri"/>
                <w:sz w:val="22"/>
                <w:szCs w:val="22"/>
              </w:rPr>
              <w:t>1</w:t>
            </w:r>
            <w:r w:rsidR="003F0401" w:rsidRPr="000C156A">
              <w:rPr>
                <w:rFonts w:cs="Calibri"/>
                <w:sz w:val="22"/>
                <w:szCs w:val="22"/>
              </w:rPr>
              <w:t xml:space="preserve"> </w:t>
            </w:r>
            <w:r w:rsidRPr="000C156A">
              <w:rPr>
                <w:rFonts w:cs="Calibri"/>
                <w:sz w:val="22"/>
                <w:szCs w:val="22"/>
              </w:rPr>
              <w:t>139</w:t>
            </w:r>
            <w:r w:rsidR="003F0401" w:rsidRPr="000C156A">
              <w:rPr>
                <w:rFonts w:cs="Calibri"/>
                <w:sz w:val="22"/>
                <w:szCs w:val="22"/>
              </w:rPr>
              <w:t xml:space="preserve"> </w:t>
            </w:r>
            <w:r w:rsidRPr="000C156A">
              <w:rPr>
                <w:rFonts w:cs="Calibri"/>
                <w:sz w:val="22"/>
                <w:szCs w:val="22"/>
              </w:rPr>
              <w:t>320.20</w:t>
            </w:r>
          </w:p>
        </w:tc>
      </w:tr>
      <w:tr w:rsidR="00686EC7" w:rsidRPr="000C156A" w14:paraId="11E9F245" w14:textId="77777777" w:rsidTr="00141BAA">
        <w:trPr>
          <w:trHeight w:val="301"/>
          <w:jc w:val="center"/>
        </w:trPr>
        <w:tc>
          <w:tcPr>
            <w:tcW w:w="4149" w:type="dxa"/>
            <w:tcBorders>
              <w:top w:val="nil"/>
              <w:left w:val="single" w:sz="4" w:space="0" w:color="auto"/>
              <w:bottom w:val="nil"/>
              <w:right w:val="single" w:sz="4" w:space="0" w:color="auto"/>
            </w:tcBorders>
            <w:shd w:val="clear" w:color="auto" w:fill="auto"/>
            <w:vAlign w:val="bottom"/>
            <w:hideMark/>
          </w:tcPr>
          <w:p w14:paraId="2D1E57CD" w14:textId="77777777" w:rsidR="00686EC7" w:rsidRPr="000C156A" w:rsidRDefault="00686EC7" w:rsidP="00141BAA">
            <w:pPr>
              <w:rPr>
                <w:rFonts w:cs="Calibri"/>
                <w:b/>
                <w:bCs/>
                <w:sz w:val="22"/>
                <w:szCs w:val="22"/>
              </w:rPr>
            </w:pPr>
            <w:r w:rsidRPr="000C156A">
              <w:rPr>
                <w:rFonts w:cs="Calibri" w:hint="eastAsia"/>
                <w:b/>
                <w:bCs/>
                <w:sz w:val="22"/>
                <w:szCs w:val="22"/>
                <w:lang w:eastAsia="zh-CN"/>
              </w:rPr>
              <w:t>哥伦比亚</w:t>
            </w:r>
          </w:p>
        </w:tc>
        <w:tc>
          <w:tcPr>
            <w:tcW w:w="1577" w:type="dxa"/>
            <w:tcBorders>
              <w:top w:val="nil"/>
              <w:left w:val="single" w:sz="4" w:space="0" w:color="auto"/>
              <w:bottom w:val="nil"/>
              <w:right w:val="single" w:sz="4" w:space="0" w:color="auto"/>
            </w:tcBorders>
            <w:shd w:val="clear" w:color="auto" w:fill="auto"/>
            <w:noWrap/>
            <w:vAlign w:val="bottom"/>
            <w:hideMark/>
          </w:tcPr>
          <w:p w14:paraId="001B2AB2" w14:textId="77777777" w:rsidR="00686EC7" w:rsidRPr="000C156A" w:rsidRDefault="00686EC7" w:rsidP="00141BAA">
            <w:pPr>
              <w:rPr>
                <w:rFonts w:cs="Calibri"/>
                <w:b/>
                <w:bCs/>
                <w:sz w:val="22"/>
                <w:szCs w:val="22"/>
              </w:rPr>
            </w:pPr>
          </w:p>
        </w:tc>
        <w:tc>
          <w:tcPr>
            <w:tcW w:w="1582" w:type="dxa"/>
            <w:tcBorders>
              <w:top w:val="nil"/>
              <w:left w:val="single" w:sz="4" w:space="0" w:color="auto"/>
              <w:bottom w:val="nil"/>
              <w:right w:val="single" w:sz="4" w:space="0" w:color="auto"/>
            </w:tcBorders>
            <w:shd w:val="clear" w:color="auto" w:fill="auto"/>
            <w:noWrap/>
            <w:vAlign w:val="bottom"/>
            <w:hideMark/>
          </w:tcPr>
          <w:p w14:paraId="2D418C43"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46AEB684" w14:textId="77777777" w:rsidR="00686EC7" w:rsidRPr="000C156A" w:rsidRDefault="00686EC7" w:rsidP="00141BAA">
            <w:pPr>
              <w:rPr>
                <w:rFonts w:ascii="Times New Roman" w:hAnsi="Times New Roman"/>
                <w:sz w:val="22"/>
                <w:szCs w:val="22"/>
              </w:rPr>
            </w:pPr>
          </w:p>
        </w:tc>
        <w:tc>
          <w:tcPr>
            <w:tcW w:w="1492" w:type="dxa"/>
            <w:tcBorders>
              <w:top w:val="nil"/>
              <w:left w:val="single" w:sz="4" w:space="0" w:color="auto"/>
              <w:bottom w:val="nil"/>
              <w:right w:val="single" w:sz="4" w:space="0" w:color="auto"/>
            </w:tcBorders>
            <w:shd w:val="clear" w:color="auto" w:fill="auto"/>
            <w:noWrap/>
            <w:vAlign w:val="bottom"/>
            <w:hideMark/>
          </w:tcPr>
          <w:p w14:paraId="379CB574" w14:textId="77777777" w:rsidR="00686EC7" w:rsidRPr="000C156A" w:rsidRDefault="00686EC7" w:rsidP="00141BAA">
            <w:pPr>
              <w:rPr>
                <w:rFonts w:ascii="Times New Roman" w:hAnsi="Times New Roman"/>
                <w:sz w:val="22"/>
                <w:szCs w:val="22"/>
              </w:rPr>
            </w:pPr>
          </w:p>
        </w:tc>
      </w:tr>
      <w:tr w:rsidR="00686EC7" w:rsidRPr="000C156A" w14:paraId="3B0856AC" w14:textId="77777777" w:rsidTr="00141BAA">
        <w:trPr>
          <w:trHeight w:val="301"/>
          <w:jc w:val="center"/>
        </w:trPr>
        <w:tc>
          <w:tcPr>
            <w:tcW w:w="4149" w:type="dxa"/>
            <w:tcBorders>
              <w:top w:val="nil"/>
              <w:left w:val="single" w:sz="4" w:space="0" w:color="auto"/>
              <w:bottom w:val="nil"/>
              <w:right w:val="single" w:sz="4" w:space="0" w:color="auto"/>
            </w:tcBorders>
            <w:shd w:val="clear" w:color="auto" w:fill="auto"/>
            <w:vAlign w:val="bottom"/>
            <w:hideMark/>
          </w:tcPr>
          <w:p w14:paraId="56FFED59" w14:textId="4FBB9A5B" w:rsidR="00686EC7" w:rsidRPr="000C156A" w:rsidRDefault="00D93F72" w:rsidP="00D93F72">
            <w:pPr>
              <w:tabs>
                <w:tab w:val="clear" w:pos="567"/>
              </w:tabs>
              <w:spacing w:before="0"/>
              <w:ind w:left="317" w:hanging="317"/>
              <w:rPr>
                <w:rFonts w:cs="Calibri"/>
                <w:sz w:val="22"/>
                <w:szCs w:val="22"/>
              </w:rPr>
            </w:pPr>
            <w:r w:rsidRPr="000C156A">
              <w:rPr>
                <w:rFonts w:cs="Calibri"/>
                <w:sz w:val="22"/>
                <w:szCs w:val="22"/>
              </w:rPr>
              <w:t>–</w:t>
            </w:r>
            <w:r w:rsidRPr="000C156A">
              <w:rPr>
                <w:rFonts w:cs="Calibri"/>
                <w:sz w:val="22"/>
                <w:szCs w:val="22"/>
              </w:rPr>
              <w:tab/>
            </w:r>
            <w:r w:rsidR="00686EC7" w:rsidRPr="000C156A">
              <w:rPr>
                <w:rFonts w:cs="Calibri" w:hint="eastAsia"/>
                <w:sz w:val="22"/>
                <w:szCs w:val="22"/>
              </w:rPr>
              <w:t>ICESI</w:t>
            </w:r>
            <w:r w:rsidR="00686EC7" w:rsidRPr="000C156A">
              <w:rPr>
                <w:rFonts w:cs="Calibri" w:hint="eastAsia"/>
                <w:sz w:val="22"/>
                <w:szCs w:val="22"/>
                <w:lang w:val="fr-FR"/>
              </w:rPr>
              <w:t>大学</w:t>
            </w:r>
            <w:r w:rsidR="00686EC7" w:rsidRPr="000C156A">
              <w:rPr>
                <w:rFonts w:cs="Calibri" w:hint="eastAsia"/>
                <w:sz w:val="22"/>
                <w:szCs w:val="22"/>
              </w:rPr>
              <w:t>，卡利</w:t>
            </w:r>
          </w:p>
        </w:tc>
        <w:tc>
          <w:tcPr>
            <w:tcW w:w="1577" w:type="dxa"/>
            <w:tcBorders>
              <w:top w:val="nil"/>
              <w:left w:val="single" w:sz="4" w:space="0" w:color="auto"/>
              <w:bottom w:val="nil"/>
              <w:right w:val="single" w:sz="4" w:space="0" w:color="auto"/>
            </w:tcBorders>
            <w:shd w:val="clear" w:color="auto" w:fill="auto"/>
            <w:noWrap/>
            <w:vAlign w:val="bottom"/>
            <w:hideMark/>
          </w:tcPr>
          <w:p w14:paraId="33415696" w14:textId="77777777" w:rsidR="00686EC7" w:rsidRPr="000C156A" w:rsidRDefault="00686EC7" w:rsidP="00141BAA">
            <w:pPr>
              <w:jc w:val="center"/>
              <w:rPr>
                <w:rFonts w:cs="Calibri"/>
                <w:sz w:val="22"/>
                <w:szCs w:val="22"/>
              </w:rPr>
            </w:pPr>
            <w:r w:rsidRPr="000C156A">
              <w:rPr>
                <w:rFonts w:cs="Calibri"/>
                <w:sz w:val="22"/>
                <w:szCs w:val="22"/>
              </w:rPr>
              <w:t>2019</w:t>
            </w:r>
          </w:p>
        </w:tc>
        <w:tc>
          <w:tcPr>
            <w:tcW w:w="1582" w:type="dxa"/>
            <w:tcBorders>
              <w:top w:val="nil"/>
              <w:left w:val="single" w:sz="4" w:space="0" w:color="auto"/>
              <w:bottom w:val="nil"/>
              <w:right w:val="single" w:sz="4" w:space="0" w:color="auto"/>
            </w:tcBorders>
            <w:shd w:val="clear" w:color="auto" w:fill="auto"/>
            <w:noWrap/>
            <w:vAlign w:val="bottom"/>
            <w:hideMark/>
          </w:tcPr>
          <w:p w14:paraId="6CA37781" w14:textId="4920E2D6"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185.75</w:t>
            </w:r>
          </w:p>
        </w:tc>
        <w:tc>
          <w:tcPr>
            <w:tcW w:w="1434" w:type="dxa"/>
            <w:tcBorders>
              <w:top w:val="nil"/>
              <w:left w:val="single" w:sz="4" w:space="0" w:color="auto"/>
              <w:bottom w:val="nil"/>
              <w:right w:val="single" w:sz="4" w:space="0" w:color="auto"/>
            </w:tcBorders>
            <w:shd w:val="clear" w:color="auto" w:fill="auto"/>
            <w:noWrap/>
            <w:vAlign w:val="bottom"/>
            <w:hideMark/>
          </w:tcPr>
          <w:p w14:paraId="562C86D9" w14:textId="77777777" w:rsidR="00686EC7" w:rsidRPr="000C156A" w:rsidRDefault="00686EC7" w:rsidP="00141BAA">
            <w:pPr>
              <w:jc w:val="right"/>
              <w:rPr>
                <w:rFonts w:cs="Calibri"/>
                <w:sz w:val="22"/>
                <w:szCs w:val="22"/>
              </w:rPr>
            </w:pPr>
            <w:r w:rsidRPr="000C156A">
              <w:rPr>
                <w:rFonts w:cs="Calibri"/>
                <w:sz w:val="22"/>
                <w:szCs w:val="22"/>
              </w:rPr>
              <w:t>0.00</w:t>
            </w:r>
          </w:p>
        </w:tc>
        <w:tc>
          <w:tcPr>
            <w:tcW w:w="1492" w:type="dxa"/>
            <w:tcBorders>
              <w:top w:val="nil"/>
              <w:left w:val="single" w:sz="4" w:space="0" w:color="auto"/>
              <w:bottom w:val="nil"/>
              <w:right w:val="single" w:sz="4" w:space="0" w:color="auto"/>
            </w:tcBorders>
            <w:shd w:val="clear" w:color="auto" w:fill="auto"/>
            <w:noWrap/>
            <w:vAlign w:val="bottom"/>
            <w:hideMark/>
          </w:tcPr>
          <w:p w14:paraId="053E1DC2" w14:textId="29088544"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185.75</w:t>
            </w:r>
          </w:p>
        </w:tc>
      </w:tr>
      <w:tr w:rsidR="00686EC7" w:rsidRPr="000C156A" w14:paraId="29E64DFC" w14:textId="77777777" w:rsidTr="00141BAA">
        <w:trPr>
          <w:trHeight w:val="301"/>
          <w:jc w:val="center"/>
        </w:trPr>
        <w:tc>
          <w:tcPr>
            <w:tcW w:w="4149" w:type="dxa"/>
            <w:tcBorders>
              <w:top w:val="nil"/>
              <w:left w:val="single" w:sz="4" w:space="0" w:color="auto"/>
              <w:bottom w:val="nil"/>
              <w:right w:val="single" w:sz="4" w:space="0" w:color="auto"/>
            </w:tcBorders>
            <w:shd w:val="clear" w:color="auto" w:fill="auto"/>
            <w:vAlign w:val="bottom"/>
            <w:hideMark/>
          </w:tcPr>
          <w:p w14:paraId="49F1CAFE" w14:textId="77777777" w:rsidR="00686EC7" w:rsidRPr="000C156A" w:rsidRDefault="00686EC7" w:rsidP="00141BAA">
            <w:pPr>
              <w:rPr>
                <w:rFonts w:cs="Calibri"/>
                <w:b/>
                <w:bCs/>
                <w:sz w:val="22"/>
                <w:szCs w:val="22"/>
              </w:rPr>
            </w:pPr>
            <w:r w:rsidRPr="000C156A">
              <w:rPr>
                <w:rFonts w:cs="Calibri"/>
                <w:b/>
                <w:bCs/>
                <w:sz w:val="22"/>
                <w:szCs w:val="22"/>
              </w:rPr>
              <w:t>哥斯达黎加</w:t>
            </w:r>
          </w:p>
        </w:tc>
        <w:tc>
          <w:tcPr>
            <w:tcW w:w="1577" w:type="dxa"/>
            <w:tcBorders>
              <w:top w:val="nil"/>
              <w:left w:val="single" w:sz="4" w:space="0" w:color="auto"/>
              <w:bottom w:val="nil"/>
              <w:right w:val="single" w:sz="4" w:space="0" w:color="auto"/>
            </w:tcBorders>
            <w:shd w:val="clear" w:color="auto" w:fill="auto"/>
            <w:noWrap/>
            <w:vAlign w:val="bottom"/>
            <w:hideMark/>
          </w:tcPr>
          <w:p w14:paraId="5C054930" w14:textId="77777777" w:rsidR="00686EC7" w:rsidRPr="000C156A" w:rsidRDefault="00686EC7" w:rsidP="00141BAA">
            <w:pPr>
              <w:rPr>
                <w:rFonts w:cs="Calibri"/>
                <w:b/>
                <w:bCs/>
                <w:sz w:val="22"/>
                <w:szCs w:val="22"/>
              </w:rPr>
            </w:pPr>
          </w:p>
        </w:tc>
        <w:tc>
          <w:tcPr>
            <w:tcW w:w="1582" w:type="dxa"/>
            <w:tcBorders>
              <w:top w:val="nil"/>
              <w:left w:val="single" w:sz="4" w:space="0" w:color="auto"/>
              <w:bottom w:val="nil"/>
              <w:right w:val="single" w:sz="4" w:space="0" w:color="auto"/>
            </w:tcBorders>
            <w:shd w:val="clear" w:color="auto" w:fill="auto"/>
            <w:noWrap/>
            <w:vAlign w:val="bottom"/>
            <w:hideMark/>
          </w:tcPr>
          <w:p w14:paraId="51D5AB40"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0D1796E9" w14:textId="77777777" w:rsidR="00686EC7" w:rsidRPr="000C156A" w:rsidRDefault="00686EC7" w:rsidP="00141BAA">
            <w:pPr>
              <w:rPr>
                <w:rFonts w:ascii="Times New Roman" w:hAnsi="Times New Roman"/>
                <w:sz w:val="22"/>
                <w:szCs w:val="22"/>
              </w:rPr>
            </w:pPr>
          </w:p>
        </w:tc>
        <w:tc>
          <w:tcPr>
            <w:tcW w:w="1492" w:type="dxa"/>
            <w:tcBorders>
              <w:top w:val="nil"/>
              <w:left w:val="single" w:sz="4" w:space="0" w:color="auto"/>
              <w:bottom w:val="nil"/>
              <w:right w:val="single" w:sz="4" w:space="0" w:color="auto"/>
            </w:tcBorders>
            <w:shd w:val="clear" w:color="auto" w:fill="auto"/>
            <w:noWrap/>
            <w:vAlign w:val="bottom"/>
            <w:hideMark/>
          </w:tcPr>
          <w:p w14:paraId="5D052842" w14:textId="77777777" w:rsidR="00686EC7" w:rsidRPr="000C156A" w:rsidRDefault="00686EC7" w:rsidP="00141BAA">
            <w:pPr>
              <w:rPr>
                <w:rFonts w:ascii="Times New Roman" w:hAnsi="Times New Roman"/>
                <w:sz w:val="22"/>
                <w:szCs w:val="22"/>
              </w:rPr>
            </w:pPr>
          </w:p>
        </w:tc>
      </w:tr>
      <w:tr w:rsidR="00686EC7" w:rsidRPr="000C156A" w14:paraId="53E576ED" w14:textId="77777777" w:rsidTr="00141BAA">
        <w:trPr>
          <w:trHeight w:val="301"/>
          <w:jc w:val="center"/>
        </w:trPr>
        <w:tc>
          <w:tcPr>
            <w:tcW w:w="4149" w:type="dxa"/>
            <w:tcBorders>
              <w:top w:val="nil"/>
              <w:left w:val="single" w:sz="4" w:space="0" w:color="auto"/>
              <w:bottom w:val="single" w:sz="4" w:space="0" w:color="auto"/>
              <w:right w:val="single" w:sz="4" w:space="0" w:color="auto"/>
            </w:tcBorders>
            <w:shd w:val="clear" w:color="auto" w:fill="auto"/>
            <w:vAlign w:val="bottom"/>
            <w:hideMark/>
          </w:tcPr>
          <w:p w14:paraId="034A8681" w14:textId="3CCBBF33" w:rsidR="00686EC7" w:rsidRPr="000C156A" w:rsidRDefault="00D93F72" w:rsidP="00D93F72">
            <w:pPr>
              <w:tabs>
                <w:tab w:val="clear" w:pos="567"/>
              </w:tabs>
              <w:spacing w:before="0"/>
              <w:ind w:left="317" w:hanging="317"/>
              <w:rPr>
                <w:rFonts w:cs="Calibri"/>
                <w:sz w:val="22"/>
                <w:szCs w:val="22"/>
                <w:lang w:val="es-ES" w:eastAsia="zh-CN"/>
              </w:rPr>
            </w:pPr>
            <w:r w:rsidRPr="000C156A">
              <w:rPr>
                <w:rFonts w:cs="Calibri"/>
                <w:sz w:val="22"/>
                <w:szCs w:val="22"/>
                <w:lang w:val="es-ES" w:eastAsia="zh-CN"/>
              </w:rPr>
              <w:t>–</w:t>
            </w:r>
            <w:r w:rsidRPr="000C156A">
              <w:rPr>
                <w:rFonts w:cs="Calibri"/>
                <w:sz w:val="22"/>
                <w:szCs w:val="22"/>
                <w:lang w:val="es-ES" w:eastAsia="zh-CN"/>
              </w:rPr>
              <w:tab/>
            </w:r>
            <w:r w:rsidR="00686EC7" w:rsidRPr="000C156A">
              <w:rPr>
                <w:rFonts w:cs="Calibri"/>
                <w:sz w:val="22"/>
                <w:szCs w:val="22"/>
                <w:lang w:val="fr-FR" w:eastAsia="zh-CN"/>
              </w:rPr>
              <w:t>哥斯达黎加</w:t>
            </w:r>
            <w:r w:rsidR="00686EC7" w:rsidRPr="000C156A">
              <w:rPr>
                <w:rFonts w:cs="Calibri" w:hint="eastAsia"/>
                <w:sz w:val="22"/>
                <w:szCs w:val="22"/>
                <w:lang w:val="fr-FR" w:eastAsia="zh-CN"/>
              </w:rPr>
              <w:t>大学</w:t>
            </w:r>
            <w:r w:rsidR="00686EC7" w:rsidRPr="000C156A">
              <w:rPr>
                <w:rFonts w:cs="Calibri" w:hint="eastAsia"/>
                <w:sz w:val="22"/>
                <w:szCs w:val="22"/>
                <w:lang w:val="es-ES" w:eastAsia="zh-CN"/>
              </w:rPr>
              <w:t>，圣何塞</w:t>
            </w:r>
          </w:p>
        </w:tc>
        <w:tc>
          <w:tcPr>
            <w:tcW w:w="1577" w:type="dxa"/>
            <w:tcBorders>
              <w:top w:val="nil"/>
              <w:left w:val="single" w:sz="4" w:space="0" w:color="auto"/>
              <w:bottom w:val="single" w:sz="4" w:space="0" w:color="auto"/>
              <w:right w:val="single" w:sz="4" w:space="0" w:color="auto"/>
            </w:tcBorders>
            <w:shd w:val="clear" w:color="auto" w:fill="auto"/>
            <w:noWrap/>
            <w:vAlign w:val="bottom"/>
            <w:hideMark/>
          </w:tcPr>
          <w:p w14:paraId="5D16C10D" w14:textId="77777777" w:rsidR="00686EC7" w:rsidRPr="000C156A" w:rsidRDefault="00686EC7" w:rsidP="00141BAA">
            <w:pPr>
              <w:jc w:val="center"/>
              <w:rPr>
                <w:rFonts w:cs="Calibri"/>
                <w:sz w:val="22"/>
                <w:szCs w:val="22"/>
              </w:rPr>
            </w:pPr>
            <w:r w:rsidRPr="000C156A">
              <w:rPr>
                <w:rFonts w:cs="Calibri"/>
                <w:sz w:val="22"/>
                <w:szCs w:val="22"/>
              </w:rPr>
              <w:t>2017</w:t>
            </w:r>
          </w:p>
        </w:tc>
        <w:tc>
          <w:tcPr>
            <w:tcW w:w="1582" w:type="dxa"/>
            <w:tcBorders>
              <w:top w:val="nil"/>
              <w:left w:val="single" w:sz="4" w:space="0" w:color="auto"/>
              <w:bottom w:val="single" w:sz="4" w:space="0" w:color="auto"/>
              <w:right w:val="single" w:sz="4" w:space="0" w:color="auto"/>
            </w:tcBorders>
            <w:shd w:val="clear" w:color="auto" w:fill="auto"/>
            <w:noWrap/>
            <w:vAlign w:val="bottom"/>
            <w:hideMark/>
          </w:tcPr>
          <w:p w14:paraId="4CF906C9" w14:textId="26D4AF0D"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455.90</w:t>
            </w:r>
          </w:p>
        </w:tc>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08862F8E" w14:textId="77777777" w:rsidR="00686EC7" w:rsidRPr="000C156A" w:rsidRDefault="00686EC7" w:rsidP="00141BAA">
            <w:pPr>
              <w:jc w:val="right"/>
              <w:rPr>
                <w:rFonts w:cs="Calibri"/>
                <w:sz w:val="22"/>
                <w:szCs w:val="22"/>
              </w:rPr>
            </w:pPr>
            <w:r w:rsidRPr="000C156A">
              <w:rPr>
                <w:rFonts w:cs="Calibri"/>
                <w:sz w:val="22"/>
                <w:szCs w:val="22"/>
              </w:rPr>
              <w:t>0.00</w:t>
            </w:r>
          </w:p>
        </w:tc>
        <w:tc>
          <w:tcPr>
            <w:tcW w:w="1492" w:type="dxa"/>
            <w:tcBorders>
              <w:top w:val="nil"/>
              <w:left w:val="single" w:sz="4" w:space="0" w:color="auto"/>
              <w:bottom w:val="single" w:sz="4" w:space="0" w:color="auto"/>
              <w:right w:val="single" w:sz="4" w:space="0" w:color="auto"/>
            </w:tcBorders>
            <w:shd w:val="clear" w:color="auto" w:fill="auto"/>
            <w:noWrap/>
            <w:vAlign w:val="bottom"/>
            <w:hideMark/>
          </w:tcPr>
          <w:p w14:paraId="1EDB0898" w14:textId="7A55437F"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455.90</w:t>
            </w:r>
          </w:p>
        </w:tc>
      </w:tr>
    </w:tbl>
    <w:p w14:paraId="2510356B" w14:textId="77777777" w:rsidR="00686EC7" w:rsidRPr="000C156A" w:rsidRDefault="00686EC7" w:rsidP="00686EC7">
      <w:pPr>
        <w:rPr>
          <w:sz w:val="22"/>
          <w:szCs w:val="22"/>
        </w:rPr>
      </w:pPr>
      <w:r w:rsidRPr="000C156A">
        <w:rPr>
          <w:sz w:val="22"/>
          <w:szCs w:val="22"/>
        </w:rPr>
        <w:br w:type="page"/>
      </w:r>
    </w:p>
    <w:tbl>
      <w:tblPr>
        <w:tblW w:w="10314" w:type="dxa"/>
        <w:jc w:val="center"/>
        <w:tblLook w:val="04A0" w:firstRow="1" w:lastRow="0" w:firstColumn="1" w:lastColumn="0" w:noHBand="0" w:noVBand="1"/>
      </w:tblPr>
      <w:tblGrid>
        <w:gridCol w:w="4106"/>
        <w:gridCol w:w="1548"/>
        <w:gridCol w:w="1613"/>
        <w:gridCol w:w="1434"/>
        <w:gridCol w:w="1613"/>
      </w:tblGrid>
      <w:tr w:rsidR="00686EC7" w:rsidRPr="000C156A" w14:paraId="115735A7" w14:textId="77777777" w:rsidTr="00141BAA">
        <w:trPr>
          <w:trHeight w:val="300"/>
          <w:jc w:val="center"/>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tcPr>
          <w:p w14:paraId="79DE231C" w14:textId="77777777" w:rsidR="00686EC7" w:rsidRPr="000C156A" w:rsidRDefault="00686EC7" w:rsidP="00141BAA">
            <w:pPr>
              <w:pStyle w:val="Tablehead"/>
              <w:jc w:val="left"/>
              <w:rPr>
                <w:szCs w:val="22"/>
                <w:lang w:eastAsia="zh-CN"/>
              </w:rPr>
            </w:pPr>
            <w:r w:rsidRPr="000C156A">
              <w:rPr>
                <w:szCs w:val="22"/>
                <w:lang w:eastAsia="zh-CN"/>
              </w:rPr>
              <w:lastRenderedPageBreak/>
              <w:t>B.</w:t>
            </w:r>
            <w:r w:rsidRPr="000C156A">
              <w:rPr>
                <w:rFonts w:hint="eastAsia"/>
                <w:szCs w:val="22"/>
                <w:lang w:eastAsia="zh-CN"/>
              </w:rPr>
              <w:t>部门成员及其他实体</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5CFD3" w14:textId="77777777" w:rsidR="00686EC7" w:rsidRPr="000C156A" w:rsidRDefault="00686EC7" w:rsidP="00141BAA">
            <w:pPr>
              <w:pStyle w:val="Tablehead"/>
              <w:rPr>
                <w:szCs w:val="22"/>
                <w:lang w:eastAsia="zh-CN"/>
              </w:rPr>
            </w:pPr>
            <w:r w:rsidRPr="000C156A">
              <w:rPr>
                <w:rFonts w:hint="eastAsia"/>
                <w:szCs w:val="22"/>
              </w:rPr>
              <w:t>年份</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2A5CC" w14:textId="77777777" w:rsidR="00686EC7" w:rsidRPr="000C156A" w:rsidRDefault="00686EC7" w:rsidP="00141BAA">
            <w:pPr>
              <w:pStyle w:val="Tablehead"/>
              <w:rPr>
                <w:szCs w:val="22"/>
                <w:lang w:eastAsia="zh-CN"/>
              </w:rPr>
            </w:pPr>
            <w:r w:rsidRPr="000C156A">
              <w:rPr>
                <w:rFonts w:hint="eastAsia"/>
                <w:szCs w:val="22"/>
              </w:rPr>
              <w:t>会费</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F5C47" w14:textId="77777777" w:rsidR="00686EC7" w:rsidRPr="000C156A" w:rsidRDefault="00686EC7" w:rsidP="00141BAA">
            <w:pPr>
              <w:pStyle w:val="Tablehead"/>
              <w:rPr>
                <w:szCs w:val="22"/>
                <w:lang w:eastAsia="zh-CN"/>
              </w:rPr>
            </w:pPr>
            <w:r w:rsidRPr="000C156A">
              <w:rPr>
                <w:rFonts w:hint="eastAsia"/>
                <w:szCs w:val="22"/>
              </w:rPr>
              <w:t>出版物</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3C91E" w14:textId="77777777" w:rsidR="00686EC7" w:rsidRPr="000C156A" w:rsidRDefault="00686EC7" w:rsidP="00141BAA">
            <w:pPr>
              <w:pStyle w:val="Tablehead"/>
              <w:rPr>
                <w:szCs w:val="22"/>
                <w:lang w:eastAsia="zh-CN"/>
              </w:rPr>
            </w:pPr>
            <w:r w:rsidRPr="000C156A">
              <w:rPr>
                <w:rFonts w:hint="eastAsia"/>
                <w:szCs w:val="22"/>
              </w:rPr>
              <w:t>合计</w:t>
            </w:r>
          </w:p>
        </w:tc>
      </w:tr>
      <w:tr w:rsidR="00686EC7" w:rsidRPr="000C156A" w14:paraId="70582D11" w14:textId="77777777" w:rsidTr="00141BAA">
        <w:trPr>
          <w:trHeight w:val="300"/>
          <w:jc w:val="center"/>
        </w:trPr>
        <w:tc>
          <w:tcPr>
            <w:tcW w:w="4106" w:type="dxa"/>
            <w:tcBorders>
              <w:top w:val="single" w:sz="4" w:space="0" w:color="auto"/>
              <w:left w:val="single" w:sz="4" w:space="0" w:color="auto"/>
              <w:bottom w:val="nil"/>
              <w:right w:val="single" w:sz="4" w:space="0" w:color="auto"/>
            </w:tcBorders>
            <w:shd w:val="clear" w:color="auto" w:fill="auto"/>
            <w:vAlign w:val="bottom"/>
            <w:hideMark/>
          </w:tcPr>
          <w:p w14:paraId="59B21285" w14:textId="77777777" w:rsidR="00686EC7" w:rsidRPr="000C156A" w:rsidRDefault="00686EC7" w:rsidP="00141BAA">
            <w:pPr>
              <w:rPr>
                <w:rFonts w:cs="Calibri"/>
                <w:b/>
                <w:bCs/>
                <w:sz w:val="22"/>
                <w:szCs w:val="22"/>
              </w:rPr>
            </w:pPr>
            <w:r w:rsidRPr="000C156A">
              <w:rPr>
                <w:rFonts w:cs="Calibri"/>
                <w:b/>
                <w:bCs/>
                <w:sz w:val="22"/>
                <w:szCs w:val="22"/>
              </w:rPr>
              <w:t>科特迪瓦</w:t>
            </w:r>
          </w:p>
        </w:tc>
        <w:tc>
          <w:tcPr>
            <w:tcW w:w="1548" w:type="dxa"/>
            <w:tcBorders>
              <w:top w:val="single" w:sz="4" w:space="0" w:color="auto"/>
              <w:left w:val="single" w:sz="4" w:space="0" w:color="auto"/>
              <w:bottom w:val="nil"/>
              <w:right w:val="single" w:sz="4" w:space="0" w:color="auto"/>
            </w:tcBorders>
            <w:shd w:val="clear" w:color="auto" w:fill="auto"/>
            <w:noWrap/>
            <w:vAlign w:val="bottom"/>
            <w:hideMark/>
          </w:tcPr>
          <w:p w14:paraId="1F7D63C4" w14:textId="77777777" w:rsidR="00686EC7" w:rsidRPr="000C156A" w:rsidRDefault="00686EC7" w:rsidP="00141BAA">
            <w:pPr>
              <w:rPr>
                <w:rFonts w:cs="Calibri"/>
                <w:b/>
                <w:bCs/>
                <w:sz w:val="22"/>
                <w:szCs w:val="22"/>
              </w:rPr>
            </w:pPr>
          </w:p>
        </w:tc>
        <w:tc>
          <w:tcPr>
            <w:tcW w:w="1613" w:type="dxa"/>
            <w:tcBorders>
              <w:top w:val="single" w:sz="4" w:space="0" w:color="auto"/>
              <w:left w:val="single" w:sz="4" w:space="0" w:color="auto"/>
              <w:bottom w:val="nil"/>
              <w:right w:val="single" w:sz="4" w:space="0" w:color="auto"/>
            </w:tcBorders>
            <w:shd w:val="clear" w:color="auto" w:fill="auto"/>
            <w:noWrap/>
            <w:vAlign w:val="bottom"/>
            <w:hideMark/>
          </w:tcPr>
          <w:p w14:paraId="28691BD0" w14:textId="77777777" w:rsidR="00686EC7" w:rsidRPr="000C156A" w:rsidRDefault="00686EC7" w:rsidP="00141BAA">
            <w:pPr>
              <w:jc w:val="center"/>
              <w:rPr>
                <w:rFonts w:ascii="Times New Roman" w:hAnsi="Times New Roman"/>
                <w:sz w:val="22"/>
                <w:szCs w:val="22"/>
              </w:rPr>
            </w:pPr>
          </w:p>
        </w:tc>
        <w:tc>
          <w:tcPr>
            <w:tcW w:w="1434" w:type="dxa"/>
            <w:tcBorders>
              <w:top w:val="single" w:sz="4" w:space="0" w:color="auto"/>
              <w:left w:val="single" w:sz="4" w:space="0" w:color="auto"/>
              <w:bottom w:val="nil"/>
              <w:right w:val="single" w:sz="4" w:space="0" w:color="auto"/>
            </w:tcBorders>
            <w:shd w:val="clear" w:color="auto" w:fill="auto"/>
            <w:noWrap/>
            <w:vAlign w:val="bottom"/>
            <w:hideMark/>
          </w:tcPr>
          <w:p w14:paraId="635CCA96" w14:textId="77777777" w:rsidR="00686EC7" w:rsidRPr="000C156A" w:rsidRDefault="00686EC7" w:rsidP="00141BAA">
            <w:pPr>
              <w:rPr>
                <w:rFonts w:ascii="Times New Roman" w:hAnsi="Times New Roman"/>
                <w:sz w:val="22"/>
                <w:szCs w:val="22"/>
              </w:rPr>
            </w:pPr>
          </w:p>
        </w:tc>
        <w:tc>
          <w:tcPr>
            <w:tcW w:w="1613" w:type="dxa"/>
            <w:tcBorders>
              <w:top w:val="single" w:sz="4" w:space="0" w:color="auto"/>
              <w:left w:val="single" w:sz="4" w:space="0" w:color="auto"/>
              <w:bottom w:val="nil"/>
              <w:right w:val="single" w:sz="4" w:space="0" w:color="auto"/>
            </w:tcBorders>
            <w:shd w:val="clear" w:color="auto" w:fill="auto"/>
            <w:noWrap/>
            <w:vAlign w:val="bottom"/>
            <w:hideMark/>
          </w:tcPr>
          <w:p w14:paraId="79D4B607" w14:textId="77777777" w:rsidR="00686EC7" w:rsidRPr="000C156A" w:rsidRDefault="00686EC7" w:rsidP="00141BAA">
            <w:pPr>
              <w:rPr>
                <w:rFonts w:ascii="Times New Roman" w:hAnsi="Times New Roman"/>
                <w:sz w:val="22"/>
                <w:szCs w:val="22"/>
              </w:rPr>
            </w:pPr>
          </w:p>
        </w:tc>
      </w:tr>
      <w:tr w:rsidR="00686EC7" w:rsidRPr="000C156A" w14:paraId="6DC7034D" w14:textId="77777777" w:rsidTr="007B798E">
        <w:trPr>
          <w:trHeight w:val="320"/>
          <w:jc w:val="center"/>
        </w:trPr>
        <w:tc>
          <w:tcPr>
            <w:tcW w:w="4106" w:type="dxa"/>
            <w:tcBorders>
              <w:top w:val="nil"/>
              <w:left w:val="single" w:sz="4" w:space="0" w:color="auto"/>
              <w:bottom w:val="nil"/>
              <w:right w:val="single" w:sz="4" w:space="0" w:color="auto"/>
            </w:tcBorders>
            <w:shd w:val="clear" w:color="auto" w:fill="auto"/>
            <w:vAlign w:val="bottom"/>
            <w:hideMark/>
          </w:tcPr>
          <w:p w14:paraId="01C5CF34" w14:textId="6B407648"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电信消费者协会，阿比让</w:t>
            </w:r>
          </w:p>
        </w:tc>
        <w:tc>
          <w:tcPr>
            <w:tcW w:w="1548" w:type="dxa"/>
            <w:tcBorders>
              <w:top w:val="nil"/>
              <w:left w:val="single" w:sz="4" w:space="0" w:color="auto"/>
              <w:bottom w:val="nil"/>
              <w:right w:val="single" w:sz="4" w:space="0" w:color="auto"/>
            </w:tcBorders>
            <w:shd w:val="clear" w:color="auto" w:fill="auto"/>
            <w:noWrap/>
            <w:vAlign w:val="bottom"/>
            <w:hideMark/>
          </w:tcPr>
          <w:p w14:paraId="1CAAB245" w14:textId="77777777" w:rsidR="00686EC7" w:rsidRPr="000C156A" w:rsidRDefault="00686EC7" w:rsidP="00141BAA">
            <w:pPr>
              <w:jc w:val="center"/>
              <w:rPr>
                <w:rFonts w:cs="Calibri"/>
                <w:sz w:val="22"/>
                <w:szCs w:val="22"/>
              </w:rPr>
            </w:pPr>
            <w:r w:rsidRPr="000C156A">
              <w:rPr>
                <w:rFonts w:cs="Calibri"/>
                <w:sz w:val="22"/>
                <w:szCs w:val="22"/>
              </w:rPr>
              <w:t>2007-2008</w:t>
            </w:r>
          </w:p>
        </w:tc>
        <w:tc>
          <w:tcPr>
            <w:tcW w:w="1613" w:type="dxa"/>
            <w:tcBorders>
              <w:top w:val="nil"/>
              <w:left w:val="single" w:sz="4" w:space="0" w:color="auto"/>
              <w:bottom w:val="nil"/>
              <w:right w:val="single" w:sz="4" w:space="0" w:color="auto"/>
            </w:tcBorders>
            <w:shd w:val="clear" w:color="auto" w:fill="auto"/>
            <w:noWrap/>
            <w:vAlign w:val="bottom"/>
            <w:hideMark/>
          </w:tcPr>
          <w:p w14:paraId="5B85B345" w14:textId="033BE34C" w:rsidR="00686EC7" w:rsidRPr="000C156A" w:rsidRDefault="00686EC7" w:rsidP="00141BAA">
            <w:pPr>
              <w:jc w:val="right"/>
              <w:rPr>
                <w:rFonts w:cs="Calibri"/>
                <w:sz w:val="22"/>
                <w:szCs w:val="22"/>
              </w:rPr>
            </w:pPr>
            <w:r w:rsidRPr="000C156A">
              <w:rPr>
                <w:rFonts w:cs="Calibri"/>
                <w:sz w:val="22"/>
                <w:szCs w:val="22"/>
              </w:rPr>
              <w:t>9</w:t>
            </w:r>
            <w:r w:rsidR="003F0401" w:rsidRPr="000C156A">
              <w:rPr>
                <w:rFonts w:cs="Calibri"/>
                <w:sz w:val="22"/>
                <w:szCs w:val="22"/>
              </w:rPr>
              <w:t xml:space="preserve"> </w:t>
            </w:r>
            <w:r w:rsidRPr="000C156A">
              <w:rPr>
                <w:rFonts w:cs="Calibri"/>
                <w:sz w:val="22"/>
                <w:szCs w:val="22"/>
              </w:rPr>
              <w:t>223.95</w:t>
            </w:r>
          </w:p>
        </w:tc>
        <w:tc>
          <w:tcPr>
            <w:tcW w:w="1434" w:type="dxa"/>
            <w:tcBorders>
              <w:top w:val="nil"/>
              <w:left w:val="single" w:sz="4" w:space="0" w:color="auto"/>
              <w:bottom w:val="nil"/>
              <w:right w:val="single" w:sz="4" w:space="0" w:color="auto"/>
            </w:tcBorders>
            <w:shd w:val="clear" w:color="auto" w:fill="auto"/>
            <w:noWrap/>
            <w:vAlign w:val="bottom"/>
            <w:hideMark/>
          </w:tcPr>
          <w:p w14:paraId="333B435F"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03945D2C" w14:textId="717B1AF8" w:rsidR="00686EC7" w:rsidRPr="000C156A" w:rsidRDefault="00686EC7" w:rsidP="00141BAA">
            <w:pPr>
              <w:jc w:val="right"/>
              <w:rPr>
                <w:rFonts w:cs="Calibri"/>
                <w:sz w:val="22"/>
                <w:szCs w:val="22"/>
              </w:rPr>
            </w:pPr>
            <w:r w:rsidRPr="000C156A">
              <w:rPr>
                <w:rFonts w:cs="Calibri"/>
                <w:sz w:val="22"/>
                <w:szCs w:val="22"/>
              </w:rPr>
              <w:t>9</w:t>
            </w:r>
            <w:r w:rsidR="003F0401" w:rsidRPr="000C156A">
              <w:rPr>
                <w:rFonts w:cs="Calibri"/>
                <w:sz w:val="22"/>
                <w:szCs w:val="22"/>
              </w:rPr>
              <w:t xml:space="preserve"> </w:t>
            </w:r>
            <w:r w:rsidRPr="000C156A">
              <w:rPr>
                <w:rFonts w:cs="Calibri"/>
                <w:sz w:val="22"/>
                <w:szCs w:val="22"/>
              </w:rPr>
              <w:t>223.95</w:t>
            </w:r>
          </w:p>
        </w:tc>
      </w:tr>
      <w:tr w:rsidR="00686EC7" w:rsidRPr="000C156A" w14:paraId="3B45BBA3"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06D68229" w14:textId="04E1D873"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sz w:val="22"/>
                <w:szCs w:val="22"/>
                <w:lang w:val="fr-FR" w:eastAsia="zh-CN"/>
              </w:rPr>
              <w:t>科特迪瓦</w:t>
            </w:r>
            <w:r w:rsidR="00686EC7" w:rsidRPr="000C156A">
              <w:rPr>
                <w:rFonts w:cs="Calibri" w:hint="eastAsia"/>
                <w:sz w:val="22"/>
                <w:szCs w:val="22"/>
                <w:lang w:val="fr-FR" w:eastAsia="zh-CN"/>
              </w:rPr>
              <w:t>电信，阿比让</w:t>
            </w:r>
          </w:p>
        </w:tc>
        <w:tc>
          <w:tcPr>
            <w:tcW w:w="1548" w:type="dxa"/>
            <w:tcBorders>
              <w:top w:val="nil"/>
              <w:left w:val="single" w:sz="4" w:space="0" w:color="auto"/>
              <w:bottom w:val="nil"/>
              <w:right w:val="single" w:sz="4" w:space="0" w:color="auto"/>
            </w:tcBorders>
            <w:shd w:val="clear" w:color="auto" w:fill="auto"/>
            <w:noWrap/>
            <w:vAlign w:val="bottom"/>
            <w:hideMark/>
          </w:tcPr>
          <w:p w14:paraId="6E4C02A2" w14:textId="77777777" w:rsidR="00686EC7" w:rsidRPr="000C156A" w:rsidRDefault="00686EC7" w:rsidP="00141BAA">
            <w:pPr>
              <w:jc w:val="center"/>
              <w:rPr>
                <w:rFonts w:cs="Calibri"/>
                <w:sz w:val="22"/>
                <w:szCs w:val="22"/>
              </w:rPr>
            </w:pPr>
            <w:r w:rsidRPr="000C156A">
              <w:rPr>
                <w:rFonts w:cs="Calibri"/>
                <w:sz w:val="22"/>
                <w:szCs w:val="22"/>
              </w:rPr>
              <w:t>2002-2006</w:t>
            </w:r>
          </w:p>
        </w:tc>
        <w:tc>
          <w:tcPr>
            <w:tcW w:w="1613" w:type="dxa"/>
            <w:tcBorders>
              <w:top w:val="nil"/>
              <w:left w:val="single" w:sz="4" w:space="0" w:color="auto"/>
              <w:bottom w:val="nil"/>
              <w:right w:val="single" w:sz="4" w:space="0" w:color="auto"/>
            </w:tcBorders>
            <w:shd w:val="clear" w:color="auto" w:fill="auto"/>
            <w:noWrap/>
            <w:vAlign w:val="bottom"/>
            <w:hideMark/>
          </w:tcPr>
          <w:p w14:paraId="750DF357" w14:textId="04000601" w:rsidR="00686EC7" w:rsidRPr="000C156A" w:rsidRDefault="00686EC7" w:rsidP="00141BAA">
            <w:pPr>
              <w:jc w:val="right"/>
              <w:rPr>
                <w:rFonts w:cs="Calibri"/>
                <w:sz w:val="22"/>
                <w:szCs w:val="22"/>
              </w:rPr>
            </w:pPr>
            <w:r w:rsidRPr="000C156A">
              <w:rPr>
                <w:rFonts w:cs="Calibri"/>
                <w:sz w:val="22"/>
                <w:szCs w:val="22"/>
              </w:rPr>
              <w:t>875</w:t>
            </w:r>
            <w:r w:rsidR="003F0401" w:rsidRPr="000C156A">
              <w:rPr>
                <w:rFonts w:cs="Calibri"/>
                <w:sz w:val="22"/>
                <w:szCs w:val="22"/>
              </w:rPr>
              <w:t xml:space="preserve"> </w:t>
            </w:r>
            <w:r w:rsidRPr="000C156A">
              <w:rPr>
                <w:rFonts w:cs="Calibri"/>
                <w:sz w:val="22"/>
                <w:szCs w:val="22"/>
              </w:rPr>
              <w:t>870.00</w:t>
            </w:r>
          </w:p>
        </w:tc>
        <w:tc>
          <w:tcPr>
            <w:tcW w:w="1434" w:type="dxa"/>
            <w:tcBorders>
              <w:top w:val="nil"/>
              <w:left w:val="single" w:sz="4" w:space="0" w:color="auto"/>
              <w:bottom w:val="nil"/>
              <w:right w:val="single" w:sz="4" w:space="0" w:color="auto"/>
            </w:tcBorders>
            <w:shd w:val="clear" w:color="auto" w:fill="auto"/>
            <w:noWrap/>
            <w:vAlign w:val="bottom"/>
            <w:hideMark/>
          </w:tcPr>
          <w:p w14:paraId="333D3F6D"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4FB704F3" w14:textId="5F9FF8DD" w:rsidR="00686EC7" w:rsidRPr="000C156A" w:rsidRDefault="00686EC7" w:rsidP="00141BAA">
            <w:pPr>
              <w:jc w:val="right"/>
              <w:rPr>
                <w:rFonts w:cs="Calibri"/>
                <w:sz w:val="22"/>
                <w:szCs w:val="22"/>
              </w:rPr>
            </w:pPr>
            <w:r w:rsidRPr="000C156A">
              <w:rPr>
                <w:rFonts w:cs="Calibri"/>
                <w:sz w:val="22"/>
                <w:szCs w:val="22"/>
              </w:rPr>
              <w:t>875</w:t>
            </w:r>
            <w:r w:rsidR="003F0401" w:rsidRPr="000C156A">
              <w:rPr>
                <w:rFonts w:cs="Calibri"/>
                <w:sz w:val="22"/>
                <w:szCs w:val="22"/>
              </w:rPr>
              <w:t xml:space="preserve"> </w:t>
            </w:r>
            <w:r w:rsidRPr="000C156A">
              <w:rPr>
                <w:rFonts w:cs="Calibri"/>
                <w:sz w:val="22"/>
                <w:szCs w:val="22"/>
              </w:rPr>
              <w:t>870.00</w:t>
            </w:r>
          </w:p>
        </w:tc>
      </w:tr>
      <w:tr w:rsidR="00686EC7" w:rsidRPr="000C156A" w14:paraId="439FAA6F"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7D3C427D" w14:textId="6D7F21BF"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VALSCH</w:t>
            </w:r>
            <w:r w:rsidR="00686EC7" w:rsidRPr="000C156A">
              <w:rPr>
                <w:rFonts w:cs="Calibri" w:hint="eastAsia"/>
                <w:sz w:val="22"/>
                <w:szCs w:val="22"/>
                <w:lang w:val="fr-FR"/>
              </w:rPr>
              <w:t>咨询公司，阿比让</w:t>
            </w:r>
          </w:p>
        </w:tc>
        <w:tc>
          <w:tcPr>
            <w:tcW w:w="1548" w:type="dxa"/>
            <w:tcBorders>
              <w:top w:val="nil"/>
              <w:left w:val="single" w:sz="4" w:space="0" w:color="auto"/>
              <w:bottom w:val="nil"/>
              <w:right w:val="single" w:sz="4" w:space="0" w:color="auto"/>
            </w:tcBorders>
            <w:shd w:val="clear" w:color="auto" w:fill="auto"/>
            <w:noWrap/>
            <w:vAlign w:val="bottom"/>
            <w:hideMark/>
          </w:tcPr>
          <w:p w14:paraId="0BCFB34B" w14:textId="77777777" w:rsidR="00686EC7" w:rsidRPr="000C156A" w:rsidRDefault="00686EC7" w:rsidP="00141BAA">
            <w:pPr>
              <w:jc w:val="center"/>
              <w:rPr>
                <w:rFonts w:cs="Calibri"/>
                <w:sz w:val="22"/>
                <w:szCs w:val="22"/>
              </w:rPr>
            </w:pPr>
            <w:r w:rsidRPr="000C156A">
              <w:rPr>
                <w:rFonts w:cs="Calibri"/>
                <w:sz w:val="22"/>
                <w:szCs w:val="22"/>
              </w:rPr>
              <w:t>2019</w:t>
            </w:r>
          </w:p>
        </w:tc>
        <w:tc>
          <w:tcPr>
            <w:tcW w:w="1613" w:type="dxa"/>
            <w:tcBorders>
              <w:top w:val="nil"/>
              <w:left w:val="single" w:sz="4" w:space="0" w:color="auto"/>
              <w:bottom w:val="nil"/>
              <w:right w:val="single" w:sz="4" w:space="0" w:color="auto"/>
            </w:tcBorders>
            <w:shd w:val="clear" w:color="auto" w:fill="auto"/>
            <w:noWrap/>
            <w:vAlign w:val="bottom"/>
            <w:hideMark/>
          </w:tcPr>
          <w:p w14:paraId="3A1DFDB7" w14:textId="273951FB" w:rsidR="00686EC7" w:rsidRPr="000C156A" w:rsidRDefault="00686EC7" w:rsidP="00141BAA">
            <w:pPr>
              <w:jc w:val="right"/>
              <w:rPr>
                <w:rFonts w:cs="Calibri"/>
                <w:sz w:val="22"/>
                <w:szCs w:val="22"/>
              </w:rPr>
            </w:pPr>
            <w:r w:rsidRPr="000C156A">
              <w:rPr>
                <w:rFonts w:cs="Calibri"/>
                <w:sz w:val="22"/>
                <w:szCs w:val="22"/>
              </w:rPr>
              <w:t>4</w:t>
            </w:r>
            <w:r w:rsidR="003F0401" w:rsidRPr="000C156A">
              <w:rPr>
                <w:rFonts w:cs="Calibri"/>
                <w:sz w:val="22"/>
                <w:szCs w:val="22"/>
              </w:rPr>
              <w:t xml:space="preserve"> </w:t>
            </w:r>
            <w:r w:rsidRPr="000C156A">
              <w:rPr>
                <w:rFonts w:cs="Calibri"/>
                <w:sz w:val="22"/>
                <w:szCs w:val="22"/>
              </w:rPr>
              <w:t>762.00</w:t>
            </w:r>
          </w:p>
        </w:tc>
        <w:tc>
          <w:tcPr>
            <w:tcW w:w="1434" w:type="dxa"/>
            <w:tcBorders>
              <w:top w:val="nil"/>
              <w:left w:val="single" w:sz="4" w:space="0" w:color="auto"/>
              <w:bottom w:val="nil"/>
              <w:right w:val="single" w:sz="4" w:space="0" w:color="auto"/>
            </w:tcBorders>
            <w:shd w:val="clear" w:color="auto" w:fill="auto"/>
            <w:noWrap/>
            <w:vAlign w:val="bottom"/>
            <w:hideMark/>
          </w:tcPr>
          <w:p w14:paraId="2B9B3B89"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7D47B961" w14:textId="2632BD95" w:rsidR="00686EC7" w:rsidRPr="000C156A" w:rsidRDefault="00686EC7" w:rsidP="00141BAA">
            <w:pPr>
              <w:jc w:val="right"/>
              <w:rPr>
                <w:rFonts w:cs="Calibri"/>
                <w:sz w:val="22"/>
                <w:szCs w:val="22"/>
              </w:rPr>
            </w:pPr>
            <w:r w:rsidRPr="000C156A">
              <w:rPr>
                <w:rFonts w:cs="Calibri"/>
                <w:sz w:val="22"/>
                <w:szCs w:val="22"/>
              </w:rPr>
              <w:t>4</w:t>
            </w:r>
            <w:r w:rsidR="003F0401" w:rsidRPr="000C156A">
              <w:rPr>
                <w:rFonts w:cs="Calibri"/>
                <w:sz w:val="22"/>
                <w:szCs w:val="22"/>
              </w:rPr>
              <w:t xml:space="preserve"> </w:t>
            </w:r>
            <w:r w:rsidRPr="000C156A">
              <w:rPr>
                <w:rFonts w:cs="Calibri"/>
                <w:sz w:val="22"/>
                <w:szCs w:val="22"/>
              </w:rPr>
              <w:t>762.00</w:t>
            </w:r>
          </w:p>
        </w:tc>
      </w:tr>
      <w:tr w:rsidR="00686EC7" w:rsidRPr="000C156A" w14:paraId="2F39080B"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5F5A4940" w14:textId="77777777" w:rsidR="00686EC7" w:rsidRPr="000C156A" w:rsidRDefault="00686EC7" w:rsidP="00141BAA">
            <w:pPr>
              <w:rPr>
                <w:rFonts w:cs="Calibri"/>
                <w:b/>
                <w:bCs/>
                <w:sz w:val="22"/>
                <w:szCs w:val="22"/>
              </w:rPr>
            </w:pPr>
            <w:r w:rsidRPr="000C156A">
              <w:rPr>
                <w:rFonts w:cs="Calibri"/>
                <w:b/>
                <w:bCs/>
                <w:sz w:val="22"/>
                <w:szCs w:val="22"/>
              </w:rPr>
              <w:t>埃及</w:t>
            </w:r>
          </w:p>
        </w:tc>
        <w:tc>
          <w:tcPr>
            <w:tcW w:w="1548" w:type="dxa"/>
            <w:tcBorders>
              <w:top w:val="nil"/>
              <w:left w:val="single" w:sz="4" w:space="0" w:color="auto"/>
              <w:bottom w:val="nil"/>
              <w:right w:val="single" w:sz="4" w:space="0" w:color="auto"/>
            </w:tcBorders>
            <w:shd w:val="clear" w:color="auto" w:fill="auto"/>
            <w:noWrap/>
            <w:vAlign w:val="bottom"/>
            <w:hideMark/>
          </w:tcPr>
          <w:p w14:paraId="25B90FCB"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479F95AB"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503DA06E"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67407799" w14:textId="77777777" w:rsidR="00686EC7" w:rsidRPr="000C156A" w:rsidRDefault="00686EC7" w:rsidP="00141BAA">
            <w:pPr>
              <w:rPr>
                <w:rFonts w:ascii="Times New Roman" w:hAnsi="Times New Roman"/>
                <w:sz w:val="22"/>
                <w:szCs w:val="22"/>
              </w:rPr>
            </w:pPr>
          </w:p>
        </w:tc>
      </w:tr>
      <w:tr w:rsidR="00686EC7" w:rsidRPr="000C156A" w14:paraId="7B8C5060"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39F65135" w14:textId="60C62115"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Barkotel</w:t>
            </w:r>
            <w:r w:rsidR="00686EC7" w:rsidRPr="000C156A">
              <w:rPr>
                <w:rFonts w:cs="Calibri" w:hint="eastAsia"/>
                <w:sz w:val="22"/>
                <w:szCs w:val="22"/>
                <w:lang w:val="fr-FR"/>
              </w:rPr>
              <w:t>通信公司，开罗</w:t>
            </w:r>
          </w:p>
        </w:tc>
        <w:tc>
          <w:tcPr>
            <w:tcW w:w="1548" w:type="dxa"/>
            <w:tcBorders>
              <w:top w:val="nil"/>
              <w:left w:val="single" w:sz="4" w:space="0" w:color="auto"/>
              <w:bottom w:val="nil"/>
              <w:right w:val="single" w:sz="4" w:space="0" w:color="auto"/>
            </w:tcBorders>
            <w:shd w:val="clear" w:color="auto" w:fill="auto"/>
            <w:noWrap/>
            <w:vAlign w:val="bottom"/>
            <w:hideMark/>
          </w:tcPr>
          <w:p w14:paraId="39963579" w14:textId="77777777" w:rsidR="00686EC7" w:rsidRPr="000C156A" w:rsidRDefault="00686EC7" w:rsidP="00141BAA">
            <w:pPr>
              <w:jc w:val="center"/>
              <w:rPr>
                <w:rFonts w:cs="Calibri"/>
                <w:sz w:val="22"/>
                <w:szCs w:val="22"/>
              </w:rPr>
            </w:pPr>
            <w:r w:rsidRPr="000C156A">
              <w:rPr>
                <w:rFonts w:cs="Calibri"/>
                <w:sz w:val="22"/>
                <w:szCs w:val="22"/>
              </w:rPr>
              <w:t>2002-2006</w:t>
            </w:r>
          </w:p>
        </w:tc>
        <w:tc>
          <w:tcPr>
            <w:tcW w:w="1613" w:type="dxa"/>
            <w:tcBorders>
              <w:top w:val="nil"/>
              <w:left w:val="single" w:sz="4" w:space="0" w:color="auto"/>
              <w:bottom w:val="nil"/>
              <w:right w:val="single" w:sz="4" w:space="0" w:color="auto"/>
            </w:tcBorders>
            <w:shd w:val="clear" w:color="auto" w:fill="auto"/>
            <w:noWrap/>
            <w:vAlign w:val="bottom"/>
            <w:hideMark/>
          </w:tcPr>
          <w:p w14:paraId="528E26EB" w14:textId="21D1E43E" w:rsidR="00686EC7" w:rsidRPr="000C156A" w:rsidRDefault="00686EC7" w:rsidP="00141BAA">
            <w:pPr>
              <w:jc w:val="right"/>
              <w:rPr>
                <w:rFonts w:cs="Calibri"/>
                <w:sz w:val="22"/>
                <w:szCs w:val="22"/>
              </w:rPr>
            </w:pPr>
            <w:r w:rsidRPr="000C156A">
              <w:rPr>
                <w:rFonts w:cs="Calibri"/>
                <w:sz w:val="22"/>
                <w:szCs w:val="22"/>
              </w:rPr>
              <w:t>49</w:t>
            </w:r>
            <w:r w:rsidR="003F0401" w:rsidRPr="000C156A">
              <w:rPr>
                <w:rFonts w:cs="Calibri"/>
                <w:sz w:val="22"/>
                <w:szCs w:val="22"/>
              </w:rPr>
              <w:t xml:space="preserve"> </w:t>
            </w:r>
            <w:r w:rsidRPr="000C156A">
              <w:rPr>
                <w:rFonts w:cs="Calibri"/>
                <w:sz w:val="22"/>
                <w:szCs w:val="22"/>
              </w:rPr>
              <w:t>893.10</w:t>
            </w:r>
          </w:p>
        </w:tc>
        <w:tc>
          <w:tcPr>
            <w:tcW w:w="1434" w:type="dxa"/>
            <w:tcBorders>
              <w:top w:val="nil"/>
              <w:left w:val="single" w:sz="4" w:space="0" w:color="auto"/>
              <w:bottom w:val="nil"/>
              <w:right w:val="single" w:sz="4" w:space="0" w:color="auto"/>
            </w:tcBorders>
            <w:shd w:val="clear" w:color="auto" w:fill="auto"/>
            <w:noWrap/>
            <w:vAlign w:val="bottom"/>
            <w:hideMark/>
          </w:tcPr>
          <w:p w14:paraId="3277D58C"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3A481CF9" w14:textId="703F2441" w:rsidR="00686EC7" w:rsidRPr="000C156A" w:rsidRDefault="00686EC7" w:rsidP="00141BAA">
            <w:pPr>
              <w:jc w:val="right"/>
              <w:rPr>
                <w:rFonts w:cs="Calibri"/>
                <w:sz w:val="22"/>
                <w:szCs w:val="22"/>
              </w:rPr>
            </w:pPr>
            <w:r w:rsidRPr="000C156A">
              <w:rPr>
                <w:rFonts w:cs="Calibri"/>
                <w:sz w:val="22"/>
                <w:szCs w:val="22"/>
              </w:rPr>
              <w:t>49</w:t>
            </w:r>
            <w:r w:rsidR="003F0401" w:rsidRPr="000C156A">
              <w:rPr>
                <w:rFonts w:cs="Calibri"/>
                <w:sz w:val="22"/>
                <w:szCs w:val="22"/>
              </w:rPr>
              <w:t xml:space="preserve"> </w:t>
            </w:r>
            <w:r w:rsidRPr="000C156A">
              <w:rPr>
                <w:rFonts w:cs="Calibri"/>
                <w:sz w:val="22"/>
                <w:szCs w:val="22"/>
              </w:rPr>
              <w:t>893.10</w:t>
            </w:r>
          </w:p>
        </w:tc>
      </w:tr>
      <w:tr w:rsidR="00686EC7" w:rsidRPr="000C156A" w14:paraId="335AC0D6" w14:textId="77777777" w:rsidTr="007B798E">
        <w:trPr>
          <w:trHeight w:val="277"/>
          <w:jc w:val="center"/>
        </w:trPr>
        <w:tc>
          <w:tcPr>
            <w:tcW w:w="4106" w:type="dxa"/>
            <w:tcBorders>
              <w:top w:val="nil"/>
              <w:left w:val="single" w:sz="4" w:space="0" w:color="auto"/>
              <w:bottom w:val="nil"/>
              <w:right w:val="single" w:sz="4" w:space="0" w:color="auto"/>
            </w:tcBorders>
            <w:shd w:val="clear" w:color="auto" w:fill="auto"/>
            <w:vAlign w:val="bottom"/>
            <w:hideMark/>
          </w:tcPr>
          <w:p w14:paraId="50F45D7F" w14:textId="13D8DB76"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埃及</w:t>
            </w:r>
            <w:r w:rsidR="00686EC7" w:rsidRPr="000C156A">
              <w:rPr>
                <w:rFonts w:cs="Calibri" w:hint="eastAsia"/>
                <w:sz w:val="22"/>
                <w:szCs w:val="22"/>
                <w:lang w:val="fr-FR" w:eastAsia="zh-CN"/>
              </w:rPr>
              <w:t>-</w:t>
            </w:r>
            <w:r w:rsidR="00686EC7" w:rsidRPr="000C156A">
              <w:rPr>
                <w:rFonts w:cs="Calibri" w:hint="eastAsia"/>
                <w:sz w:val="22"/>
                <w:szCs w:val="22"/>
                <w:lang w:val="fr-FR" w:eastAsia="zh-CN"/>
              </w:rPr>
              <w:t>日本科学和技术大学，亚历山大</w:t>
            </w:r>
          </w:p>
        </w:tc>
        <w:tc>
          <w:tcPr>
            <w:tcW w:w="1548" w:type="dxa"/>
            <w:tcBorders>
              <w:top w:val="nil"/>
              <w:left w:val="single" w:sz="4" w:space="0" w:color="auto"/>
              <w:bottom w:val="nil"/>
              <w:right w:val="single" w:sz="4" w:space="0" w:color="auto"/>
            </w:tcBorders>
            <w:shd w:val="clear" w:color="auto" w:fill="auto"/>
            <w:noWrap/>
            <w:vAlign w:val="bottom"/>
            <w:hideMark/>
          </w:tcPr>
          <w:p w14:paraId="49B3BD42" w14:textId="77777777" w:rsidR="00686EC7" w:rsidRPr="000C156A" w:rsidRDefault="00686EC7" w:rsidP="00141BAA">
            <w:pPr>
              <w:jc w:val="center"/>
              <w:rPr>
                <w:rFonts w:cs="Calibri"/>
                <w:sz w:val="22"/>
                <w:szCs w:val="22"/>
              </w:rPr>
            </w:pPr>
            <w:r w:rsidRPr="000C156A">
              <w:rPr>
                <w:rFonts w:cs="Calibri"/>
                <w:sz w:val="22"/>
                <w:szCs w:val="22"/>
              </w:rPr>
              <w:t>2019</w:t>
            </w:r>
          </w:p>
        </w:tc>
        <w:tc>
          <w:tcPr>
            <w:tcW w:w="1613" w:type="dxa"/>
            <w:tcBorders>
              <w:top w:val="nil"/>
              <w:left w:val="single" w:sz="4" w:space="0" w:color="auto"/>
              <w:bottom w:val="nil"/>
              <w:right w:val="single" w:sz="4" w:space="0" w:color="auto"/>
            </w:tcBorders>
            <w:shd w:val="clear" w:color="auto" w:fill="auto"/>
            <w:noWrap/>
            <w:vAlign w:val="bottom"/>
            <w:hideMark/>
          </w:tcPr>
          <w:p w14:paraId="0F706AF1" w14:textId="442386F8"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185.75</w:t>
            </w:r>
          </w:p>
        </w:tc>
        <w:tc>
          <w:tcPr>
            <w:tcW w:w="1434" w:type="dxa"/>
            <w:tcBorders>
              <w:top w:val="nil"/>
              <w:left w:val="single" w:sz="4" w:space="0" w:color="auto"/>
              <w:bottom w:val="nil"/>
              <w:right w:val="single" w:sz="4" w:space="0" w:color="auto"/>
            </w:tcBorders>
            <w:shd w:val="clear" w:color="auto" w:fill="auto"/>
            <w:noWrap/>
            <w:vAlign w:val="bottom"/>
            <w:hideMark/>
          </w:tcPr>
          <w:p w14:paraId="66C34A7C"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6D0D53F5" w14:textId="7BF7C3F5"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185.75</w:t>
            </w:r>
          </w:p>
        </w:tc>
      </w:tr>
      <w:tr w:rsidR="00686EC7" w:rsidRPr="000C156A" w14:paraId="0266D1C9"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3BA49BB2" w14:textId="562681D6"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LINKdoNET</w:t>
            </w:r>
            <w:r w:rsidR="00686EC7" w:rsidRPr="000C156A">
              <w:rPr>
                <w:rFonts w:cs="Calibri" w:hint="eastAsia"/>
                <w:sz w:val="22"/>
                <w:szCs w:val="22"/>
                <w:lang w:val="fr-FR"/>
              </w:rPr>
              <w:t>，开罗</w:t>
            </w:r>
          </w:p>
        </w:tc>
        <w:tc>
          <w:tcPr>
            <w:tcW w:w="1548" w:type="dxa"/>
            <w:tcBorders>
              <w:top w:val="nil"/>
              <w:left w:val="single" w:sz="4" w:space="0" w:color="auto"/>
              <w:bottom w:val="nil"/>
              <w:right w:val="single" w:sz="4" w:space="0" w:color="auto"/>
            </w:tcBorders>
            <w:shd w:val="clear" w:color="auto" w:fill="auto"/>
            <w:noWrap/>
            <w:vAlign w:val="bottom"/>
            <w:hideMark/>
          </w:tcPr>
          <w:p w14:paraId="34F5E038" w14:textId="77777777" w:rsidR="00686EC7" w:rsidRPr="000C156A" w:rsidRDefault="00686EC7" w:rsidP="00141BAA">
            <w:pPr>
              <w:jc w:val="center"/>
              <w:rPr>
                <w:rFonts w:cs="Calibri"/>
                <w:sz w:val="22"/>
                <w:szCs w:val="22"/>
              </w:rPr>
            </w:pPr>
            <w:r w:rsidRPr="000C156A">
              <w:rPr>
                <w:rFonts w:cs="Calibri"/>
                <w:sz w:val="22"/>
                <w:szCs w:val="22"/>
              </w:rPr>
              <w:t>2008-2009</w:t>
            </w:r>
          </w:p>
        </w:tc>
        <w:tc>
          <w:tcPr>
            <w:tcW w:w="1613" w:type="dxa"/>
            <w:tcBorders>
              <w:top w:val="nil"/>
              <w:left w:val="single" w:sz="4" w:space="0" w:color="auto"/>
              <w:bottom w:val="nil"/>
              <w:right w:val="single" w:sz="4" w:space="0" w:color="auto"/>
            </w:tcBorders>
            <w:shd w:val="clear" w:color="auto" w:fill="auto"/>
            <w:noWrap/>
            <w:vAlign w:val="bottom"/>
            <w:hideMark/>
          </w:tcPr>
          <w:p w14:paraId="57A7950A" w14:textId="4AC36B70" w:rsidR="00686EC7" w:rsidRPr="000C156A" w:rsidRDefault="00686EC7" w:rsidP="00141BAA">
            <w:pPr>
              <w:jc w:val="right"/>
              <w:rPr>
                <w:rFonts w:cs="Calibri"/>
                <w:sz w:val="22"/>
                <w:szCs w:val="22"/>
              </w:rPr>
            </w:pPr>
            <w:r w:rsidRPr="000C156A">
              <w:rPr>
                <w:rFonts w:cs="Calibri"/>
                <w:sz w:val="22"/>
                <w:szCs w:val="22"/>
              </w:rPr>
              <w:t>7</w:t>
            </w:r>
            <w:r w:rsidR="003F0401" w:rsidRPr="000C156A">
              <w:rPr>
                <w:rFonts w:cs="Calibri"/>
                <w:sz w:val="22"/>
                <w:szCs w:val="22"/>
              </w:rPr>
              <w:t xml:space="preserve"> </w:t>
            </w:r>
            <w:r w:rsidRPr="000C156A">
              <w:rPr>
                <w:rFonts w:cs="Calibri"/>
                <w:sz w:val="22"/>
                <w:szCs w:val="22"/>
              </w:rPr>
              <w:t>950.65</w:t>
            </w:r>
          </w:p>
        </w:tc>
        <w:tc>
          <w:tcPr>
            <w:tcW w:w="1434" w:type="dxa"/>
            <w:tcBorders>
              <w:top w:val="nil"/>
              <w:left w:val="single" w:sz="4" w:space="0" w:color="auto"/>
              <w:bottom w:val="nil"/>
              <w:right w:val="single" w:sz="4" w:space="0" w:color="auto"/>
            </w:tcBorders>
            <w:shd w:val="clear" w:color="auto" w:fill="auto"/>
            <w:noWrap/>
            <w:vAlign w:val="bottom"/>
            <w:hideMark/>
          </w:tcPr>
          <w:p w14:paraId="530D9286"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4ABAFC1D" w14:textId="5B83C359" w:rsidR="00686EC7" w:rsidRPr="000C156A" w:rsidRDefault="00686EC7" w:rsidP="00141BAA">
            <w:pPr>
              <w:jc w:val="right"/>
              <w:rPr>
                <w:rFonts w:cs="Calibri"/>
                <w:sz w:val="22"/>
                <w:szCs w:val="22"/>
              </w:rPr>
            </w:pPr>
            <w:r w:rsidRPr="000C156A">
              <w:rPr>
                <w:rFonts w:cs="Calibri"/>
                <w:sz w:val="22"/>
                <w:szCs w:val="22"/>
              </w:rPr>
              <w:t>7</w:t>
            </w:r>
            <w:r w:rsidR="003F0401" w:rsidRPr="000C156A">
              <w:rPr>
                <w:rFonts w:cs="Calibri"/>
                <w:sz w:val="22"/>
                <w:szCs w:val="22"/>
              </w:rPr>
              <w:t xml:space="preserve"> </w:t>
            </w:r>
            <w:r w:rsidRPr="000C156A">
              <w:rPr>
                <w:rFonts w:cs="Calibri"/>
                <w:sz w:val="22"/>
                <w:szCs w:val="22"/>
              </w:rPr>
              <w:t>950.65</w:t>
            </w:r>
          </w:p>
        </w:tc>
      </w:tr>
      <w:tr w:rsidR="00686EC7" w:rsidRPr="000C156A" w14:paraId="44EC35E0"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3D8AB90D" w14:textId="09124267"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埃及</w:t>
            </w:r>
            <w:r w:rsidR="00686EC7" w:rsidRPr="000C156A">
              <w:rPr>
                <w:rFonts w:cs="Calibri"/>
                <w:sz w:val="22"/>
                <w:szCs w:val="22"/>
                <w:lang w:val="fr-FR"/>
              </w:rPr>
              <w:t>Orange</w:t>
            </w:r>
            <w:r w:rsidR="00686EC7" w:rsidRPr="000C156A">
              <w:rPr>
                <w:rFonts w:cs="Calibri" w:hint="eastAsia"/>
                <w:sz w:val="22"/>
                <w:szCs w:val="22"/>
                <w:lang w:val="fr-FR"/>
              </w:rPr>
              <w:t>公司，开罗</w:t>
            </w:r>
          </w:p>
        </w:tc>
        <w:tc>
          <w:tcPr>
            <w:tcW w:w="1548" w:type="dxa"/>
            <w:tcBorders>
              <w:top w:val="nil"/>
              <w:left w:val="single" w:sz="4" w:space="0" w:color="auto"/>
              <w:bottom w:val="nil"/>
              <w:right w:val="single" w:sz="4" w:space="0" w:color="auto"/>
            </w:tcBorders>
            <w:shd w:val="clear" w:color="auto" w:fill="auto"/>
            <w:noWrap/>
            <w:vAlign w:val="bottom"/>
            <w:hideMark/>
          </w:tcPr>
          <w:p w14:paraId="0DEA07F0" w14:textId="77777777" w:rsidR="00686EC7" w:rsidRPr="000C156A" w:rsidRDefault="00686EC7" w:rsidP="00141BAA">
            <w:pPr>
              <w:jc w:val="center"/>
              <w:rPr>
                <w:rFonts w:cs="Calibri"/>
                <w:sz w:val="22"/>
                <w:szCs w:val="22"/>
              </w:rPr>
            </w:pPr>
            <w:r w:rsidRPr="000C156A">
              <w:rPr>
                <w:rFonts w:cs="Calibri"/>
                <w:sz w:val="22"/>
                <w:szCs w:val="22"/>
              </w:rPr>
              <w:t>2018-2019</w:t>
            </w:r>
          </w:p>
        </w:tc>
        <w:tc>
          <w:tcPr>
            <w:tcW w:w="1613" w:type="dxa"/>
            <w:tcBorders>
              <w:top w:val="nil"/>
              <w:left w:val="single" w:sz="4" w:space="0" w:color="auto"/>
              <w:bottom w:val="nil"/>
              <w:right w:val="single" w:sz="4" w:space="0" w:color="auto"/>
            </w:tcBorders>
            <w:shd w:val="clear" w:color="auto" w:fill="auto"/>
            <w:noWrap/>
            <w:vAlign w:val="bottom"/>
            <w:hideMark/>
          </w:tcPr>
          <w:p w14:paraId="663F2EFE" w14:textId="6FA77B7A"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259.60</w:t>
            </w:r>
          </w:p>
        </w:tc>
        <w:tc>
          <w:tcPr>
            <w:tcW w:w="1434" w:type="dxa"/>
            <w:tcBorders>
              <w:top w:val="nil"/>
              <w:left w:val="single" w:sz="4" w:space="0" w:color="auto"/>
              <w:bottom w:val="nil"/>
              <w:right w:val="single" w:sz="4" w:space="0" w:color="auto"/>
            </w:tcBorders>
            <w:shd w:val="clear" w:color="auto" w:fill="auto"/>
            <w:noWrap/>
            <w:vAlign w:val="bottom"/>
            <w:hideMark/>
          </w:tcPr>
          <w:p w14:paraId="20FAB7F1"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4D6F6115" w14:textId="78C0ACEB"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259.60</w:t>
            </w:r>
          </w:p>
        </w:tc>
      </w:tr>
      <w:tr w:rsidR="00686EC7" w:rsidRPr="000C156A" w14:paraId="133C6260"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34DBA4A6" w14:textId="1AF368DA"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hint="eastAsia"/>
                <w:sz w:val="22"/>
                <w:szCs w:val="22"/>
                <w:lang w:val="fr-FR"/>
              </w:rPr>
              <w:t>电信咨询公司，开罗</w:t>
            </w:r>
          </w:p>
        </w:tc>
        <w:tc>
          <w:tcPr>
            <w:tcW w:w="1548" w:type="dxa"/>
            <w:tcBorders>
              <w:top w:val="nil"/>
              <w:left w:val="single" w:sz="4" w:space="0" w:color="auto"/>
              <w:bottom w:val="nil"/>
              <w:right w:val="single" w:sz="4" w:space="0" w:color="auto"/>
            </w:tcBorders>
            <w:shd w:val="clear" w:color="auto" w:fill="auto"/>
            <w:noWrap/>
            <w:vAlign w:val="bottom"/>
            <w:hideMark/>
          </w:tcPr>
          <w:p w14:paraId="694838B6" w14:textId="77777777" w:rsidR="00686EC7" w:rsidRPr="000C156A" w:rsidRDefault="00686EC7" w:rsidP="00141BAA">
            <w:pPr>
              <w:jc w:val="center"/>
              <w:rPr>
                <w:rFonts w:cs="Calibri"/>
                <w:sz w:val="22"/>
                <w:szCs w:val="22"/>
              </w:rPr>
            </w:pPr>
            <w:r w:rsidRPr="000C156A">
              <w:rPr>
                <w:rFonts w:cs="Calibri"/>
                <w:sz w:val="22"/>
                <w:szCs w:val="22"/>
              </w:rPr>
              <w:t>2002-2006</w:t>
            </w:r>
          </w:p>
        </w:tc>
        <w:tc>
          <w:tcPr>
            <w:tcW w:w="1613" w:type="dxa"/>
            <w:tcBorders>
              <w:top w:val="nil"/>
              <w:left w:val="single" w:sz="4" w:space="0" w:color="auto"/>
              <w:bottom w:val="nil"/>
              <w:right w:val="single" w:sz="4" w:space="0" w:color="auto"/>
            </w:tcBorders>
            <w:shd w:val="clear" w:color="auto" w:fill="auto"/>
            <w:noWrap/>
            <w:vAlign w:val="bottom"/>
            <w:hideMark/>
          </w:tcPr>
          <w:p w14:paraId="12B4981B" w14:textId="4308EC2A" w:rsidR="00686EC7" w:rsidRPr="000C156A" w:rsidRDefault="00686EC7" w:rsidP="00141BAA">
            <w:pPr>
              <w:jc w:val="right"/>
              <w:rPr>
                <w:rFonts w:cs="Calibri"/>
                <w:sz w:val="22"/>
                <w:szCs w:val="22"/>
              </w:rPr>
            </w:pPr>
            <w:r w:rsidRPr="000C156A">
              <w:rPr>
                <w:rFonts w:cs="Calibri"/>
                <w:sz w:val="22"/>
                <w:szCs w:val="22"/>
              </w:rPr>
              <w:t>52</w:t>
            </w:r>
            <w:r w:rsidR="003F0401" w:rsidRPr="000C156A">
              <w:rPr>
                <w:rFonts w:cs="Calibri"/>
                <w:sz w:val="22"/>
                <w:szCs w:val="22"/>
              </w:rPr>
              <w:t xml:space="preserve"> </w:t>
            </w:r>
            <w:r w:rsidRPr="000C156A">
              <w:rPr>
                <w:rFonts w:cs="Calibri"/>
                <w:sz w:val="22"/>
                <w:szCs w:val="22"/>
              </w:rPr>
              <w:t>108.95</w:t>
            </w:r>
          </w:p>
        </w:tc>
        <w:tc>
          <w:tcPr>
            <w:tcW w:w="1434" w:type="dxa"/>
            <w:tcBorders>
              <w:top w:val="nil"/>
              <w:left w:val="single" w:sz="4" w:space="0" w:color="auto"/>
              <w:bottom w:val="nil"/>
              <w:right w:val="single" w:sz="4" w:space="0" w:color="auto"/>
            </w:tcBorders>
            <w:shd w:val="clear" w:color="auto" w:fill="auto"/>
            <w:noWrap/>
            <w:vAlign w:val="bottom"/>
            <w:hideMark/>
          </w:tcPr>
          <w:p w14:paraId="353BEC32"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56E11055" w14:textId="4928E021" w:rsidR="00686EC7" w:rsidRPr="000C156A" w:rsidRDefault="00686EC7" w:rsidP="00141BAA">
            <w:pPr>
              <w:jc w:val="right"/>
              <w:rPr>
                <w:rFonts w:cs="Calibri"/>
                <w:sz w:val="22"/>
                <w:szCs w:val="22"/>
              </w:rPr>
            </w:pPr>
            <w:r w:rsidRPr="000C156A">
              <w:rPr>
                <w:rFonts w:cs="Calibri"/>
                <w:sz w:val="22"/>
                <w:szCs w:val="22"/>
              </w:rPr>
              <w:t>52</w:t>
            </w:r>
            <w:r w:rsidR="003F0401" w:rsidRPr="000C156A">
              <w:rPr>
                <w:rFonts w:cs="Calibri"/>
                <w:sz w:val="22"/>
                <w:szCs w:val="22"/>
              </w:rPr>
              <w:t xml:space="preserve"> </w:t>
            </w:r>
            <w:r w:rsidRPr="000C156A">
              <w:rPr>
                <w:rFonts w:cs="Calibri"/>
                <w:sz w:val="22"/>
                <w:szCs w:val="22"/>
              </w:rPr>
              <w:t>108.95</w:t>
            </w:r>
          </w:p>
        </w:tc>
      </w:tr>
      <w:tr w:rsidR="00686EC7" w:rsidRPr="000C156A" w14:paraId="3B15E721"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0E96BA05" w14:textId="67ACB54F"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国际贸易展览会，开罗</w:t>
            </w:r>
          </w:p>
        </w:tc>
        <w:tc>
          <w:tcPr>
            <w:tcW w:w="1548" w:type="dxa"/>
            <w:tcBorders>
              <w:top w:val="nil"/>
              <w:left w:val="single" w:sz="4" w:space="0" w:color="auto"/>
              <w:bottom w:val="nil"/>
              <w:right w:val="single" w:sz="4" w:space="0" w:color="auto"/>
            </w:tcBorders>
            <w:shd w:val="clear" w:color="auto" w:fill="auto"/>
            <w:noWrap/>
            <w:vAlign w:val="bottom"/>
            <w:hideMark/>
          </w:tcPr>
          <w:p w14:paraId="476B0DAF" w14:textId="77777777" w:rsidR="00686EC7" w:rsidRPr="000C156A" w:rsidRDefault="00686EC7" w:rsidP="00141BAA">
            <w:pPr>
              <w:jc w:val="center"/>
              <w:rPr>
                <w:rFonts w:cs="Calibri"/>
                <w:sz w:val="22"/>
                <w:szCs w:val="22"/>
              </w:rPr>
            </w:pPr>
            <w:r w:rsidRPr="000C156A">
              <w:rPr>
                <w:rFonts w:cs="Calibri"/>
                <w:sz w:val="22"/>
                <w:szCs w:val="22"/>
              </w:rPr>
              <w:t>2000-2006</w:t>
            </w:r>
          </w:p>
        </w:tc>
        <w:tc>
          <w:tcPr>
            <w:tcW w:w="1613" w:type="dxa"/>
            <w:tcBorders>
              <w:top w:val="nil"/>
              <w:left w:val="single" w:sz="4" w:space="0" w:color="auto"/>
              <w:bottom w:val="nil"/>
              <w:right w:val="single" w:sz="4" w:space="0" w:color="auto"/>
            </w:tcBorders>
            <w:shd w:val="clear" w:color="auto" w:fill="auto"/>
            <w:noWrap/>
            <w:vAlign w:val="bottom"/>
            <w:hideMark/>
          </w:tcPr>
          <w:p w14:paraId="70F8D16E" w14:textId="09D2E8FE" w:rsidR="00686EC7" w:rsidRPr="000C156A" w:rsidRDefault="00686EC7" w:rsidP="00141BAA">
            <w:pPr>
              <w:jc w:val="right"/>
              <w:rPr>
                <w:rFonts w:cs="Calibri"/>
                <w:sz w:val="22"/>
                <w:szCs w:val="22"/>
              </w:rPr>
            </w:pPr>
            <w:r w:rsidRPr="000C156A">
              <w:rPr>
                <w:rFonts w:cs="Calibri"/>
                <w:sz w:val="22"/>
                <w:szCs w:val="22"/>
              </w:rPr>
              <w:t>68</w:t>
            </w:r>
            <w:r w:rsidR="003F0401" w:rsidRPr="000C156A">
              <w:rPr>
                <w:rFonts w:cs="Calibri"/>
                <w:sz w:val="22"/>
                <w:szCs w:val="22"/>
              </w:rPr>
              <w:t xml:space="preserve"> </w:t>
            </w:r>
            <w:r w:rsidRPr="000C156A">
              <w:rPr>
                <w:rFonts w:cs="Calibri"/>
                <w:sz w:val="22"/>
                <w:szCs w:val="22"/>
              </w:rPr>
              <w:t>599.90</w:t>
            </w:r>
          </w:p>
        </w:tc>
        <w:tc>
          <w:tcPr>
            <w:tcW w:w="1434" w:type="dxa"/>
            <w:tcBorders>
              <w:top w:val="nil"/>
              <w:left w:val="single" w:sz="4" w:space="0" w:color="auto"/>
              <w:bottom w:val="nil"/>
              <w:right w:val="single" w:sz="4" w:space="0" w:color="auto"/>
            </w:tcBorders>
            <w:shd w:val="clear" w:color="auto" w:fill="auto"/>
            <w:noWrap/>
            <w:vAlign w:val="bottom"/>
            <w:hideMark/>
          </w:tcPr>
          <w:p w14:paraId="14876785"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299B04DA" w14:textId="3183FCE1" w:rsidR="00686EC7" w:rsidRPr="000C156A" w:rsidRDefault="00686EC7" w:rsidP="00141BAA">
            <w:pPr>
              <w:jc w:val="right"/>
              <w:rPr>
                <w:rFonts w:cs="Calibri"/>
                <w:sz w:val="22"/>
                <w:szCs w:val="22"/>
              </w:rPr>
            </w:pPr>
            <w:r w:rsidRPr="000C156A">
              <w:rPr>
                <w:rFonts w:cs="Calibri"/>
                <w:sz w:val="22"/>
                <w:szCs w:val="22"/>
              </w:rPr>
              <w:t>68</w:t>
            </w:r>
            <w:r w:rsidR="003F0401" w:rsidRPr="000C156A">
              <w:rPr>
                <w:rFonts w:cs="Calibri"/>
                <w:sz w:val="22"/>
                <w:szCs w:val="22"/>
              </w:rPr>
              <w:t xml:space="preserve"> </w:t>
            </w:r>
            <w:r w:rsidRPr="000C156A">
              <w:rPr>
                <w:rFonts w:cs="Calibri"/>
                <w:sz w:val="22"/>
                <w:szCs w:val="22"/>
              </w:rPr>
              <w:t>599.90</w:t>
            </w:r>
          </w:p>
        </w:tc>
      </w:tr>
      <w:tr w:rsidR="00686EC7" w:rsidRPr="000C156A" w14:paraId="5EE3AF1A"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52509ED9" w14:textId="77777777" w:rsidR="00686EC7" w:rsidRPr="000C156A" w:rsidRDefault="00686EC7" w:rsidP="00141BAA">
            <w:pPr>
              <w:rPr>
                <w:rFonts w:cs="Calibri"/>
                <w:b/>
                <w:bCs/>
                <w:sz w:val="22"/>
                <w:szCs w:val="22"/>
              </w:rPr>
            </w:pPr>
            <w:r w:rsidRPr="000C156A">
              <w:rPr>
                <w:rFonts w:cs="Calibri"/>
                <w:b/>
                <w:bCs/>
                <w:sz w:val="22"/>
                <w:szCs w:val="22"/>
              </w:rPr>
              <w:t>赤道几内亚</w:t>
            </w:r>
          </w:p>
        </w:tc>
        <w:tc>
          <w:tcPr>
            <w:tcW w:w="1548" w:type="dxa"/>
            <w:tcBorders>
              <w:top w:val="nil"/>
              <w:left w:val="single" w:sz="4" w:space="0" w:color="auto"/>
              <w:bottom w:val="nil"/>
              <w:right w:val="single" w:sz="4" w:space="0" w:color="auto"/>
            </w:tcBorders>
            <w:shd w:val="clear" w:color="auto" w:fill="auto"/>
            <w:noWrap/>
            <w:vAlign w:val="bottom"/>
            <w:hideMark/>
          </w:tcPr>
          <w:p w14:paraId="79EADE12"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42564051"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01EE2CEF"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293E8792" w14:textId="77777777" w:rsidR="00686EC7" w:rsidRPr="000C156A" w:rsidRDefault="00686EC7" w:rsidP="00141BAA">
            <w:pPr>
              <w:rPr>
                <w:rFonts w:ascii="Times New Roman" w:hAnsi="Times New Roman"/>
                <w:sz w:val="22"/>
                <w:szCs w:val="22"/>
              </w:rPr>
            </w:pPr>
          </w:p>
        </w:tc>
      </w:tr>
      <w:tr w:rsidR="00686EC7" w:rsidRPr="000C156A" w14:paraId="44BB388A"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5FC158BA" w14:textId="4AE3D936" w:rsidR="00686EC7" w:rsidRPr="000C156A" w:rsidRDefault="00D93F72" w:rsidP="00D93F72">
            <w:pPr>
              <w:tabs>
                <w:tab w:val="clear" w:pos="567"/>
              </w:tabs>
              <w:spacing w:before="0"/>
              <w:ind w:left="317" w:hanging="317"/>
              <w:rPr>
                <w:rFonts w:cs="Calibri"/>
                <w:sz w:val="22"/>
                <w:szCs w:val="22"/>
              </w:rPr>
            </w:pPr>
            <w:r w:rsidRPr="000C156A">
              <w:rPr>
                <w:rFonts w:cs="Calibri"/>
                <w:sz w:val="22"/>
                <w:szCs w:val="22"/>
              </w:rPr>
              <w:t>–</w:t>
            </w:r>
            <w:r w:rsidRPr="000C156A">
              <w:rPr>
                <w:rFonts w:cs="Calibri"/>
                <w:sz w:val="22"/>
                <w:szCs w:val="22"/>
              </w:rPr>
              <w:tab/>
            </w:r>
            <w:r w:rsidR="00686EC7" w:rsidRPr="000C156A">
              <w:rPr>
                <w:rFonts w:cs="Calibri" w:hint="eastAsia"/>
                <w:sz w:val="22"/>
                <w:szCs w:val="22"/>
                <w:lang w:val="fr-FR"/>
              </w:rPr>
              <w:t>GETESA</w:t>
            </w:r>
            <w:r w:rsidR="00686EC7" w:rsidRPr="000C156A">
              <w:rPr>
                <w:rFonts w:cs="Calibri" w:hint="eastAsia"/>
                <w:sz w:val="22"/>
                <w:szCs w:val="22"/>
              </w:rPr>
              <w:t>，马拉博</w:t>
            </w:r>
          </w:p>
        </w:tc>
        <w:tc>
          <w:tcPr>
            <w:tcW w:w="1548" w:type="dxa"/>
            <w:tcBorders>
              <w:top w:val="nil"/>
              <w:left w:val="single" w:sz="4" w:space="0" w:color="auto"/>
              <w:bottom w:val="nil"/>
              <w:right w:val="single" w:sz="4" w:space="0" w:color="auto"/>
            </w:tcBorders>
            <w:shd w:val="clear" w:color="auto" w:fill="auto"/>
            <w:noWrap/>
            <w:vAlign w:val="bottom"/>
            <w:hideMark/>
          </w:tcPr>
          <w:p w14:paraId="1775C112" w14:textId="77777777" w:rsidR="00686EC7" w:rsidRPr="000C156A" w:rsidRDefault="00686EC7" w:rsidP="00141BAA">
            <w:pPr>
              <w:jc w:val="center"/>
              <w:rPr>
                <w:rFonts w:cs="Calibri"/>
                <w:sz w:val="22"/>
                <w:szCs w:val="22"/>
              </w:rPr>
            </w:pPr>
            <w:r w:rsidRPr="000C156A">
              <w:rPr>
                <w:rFonts w:cs="Calibri"/>
                <w:sz w:val="22"/>
                <w:szCs w:val="22"/>
              </w:rPr>
              <w:t>2016-2018</w:t>
            </w:r>
          </w:p>
        </w:tc>
        <w:tc>
          <w:tcPr>
            <w:tcW w:w="1613" w:type="dxa"/>
            <w:tcBorders>
              <w:top w:val="nil"/>
              <w:left w:val="single" w:sz="4" w:space="0" w:color="auto"/>
              <w:bottom w:val="nil"/>
              <w:right w:val="single" w:sz="4" w:space="0" w:color="auto"/>
            </w:tcBorders>
            <w:shd w:val="clear" w:color="auto" w:fill="auto"/>
            <w:noWrap/>
            <w:vAlign w:val="bottom"/>
            <w:hideMark/>
          </w:tcPr>
          <w:p w14:paraId="1B7C9FCA" w14:textId="65215BF3"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138.72</w:t>
            </w:r>
          </w:p>
        </w:tc>
        <w:tc>
          <w:tcPr>
            <w:tcW w:w="1434" w:type="dxa"/>
            <w:tcBorders>
              <w:top w:val="nil"/>
              <w:left w:val="single" w:sz="4" w:space="0" w:color="auto"/>
              <w:bottom w:val="nil"/>
              <w:right w:val="single" w:sz="4" w:space="0" w:color="auto"/>
            </w:tcBorders>
            <w:shd w:val="clear" w:color="auto" w:fill="auto"/>
            <w:noWrap/>
            <w:vAlign w:val="bottom"/>
            <w:hideMark/>
          </w:tcPr>
          <w:p w14:paraId="170AD077"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14EC3508" w14:textId="4115FA3A"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138.72</w:t>
            </w:r>
          </w:p>
        </w:tc>
      </w:tr>
      <w:tr w:rsidR="00686EC7" w:rsidRPr="000C156A" w14:paraId="19936430"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5D74EEA8" w14:textId="77777777" w:rsidR="00686EC7" w:rsidRPr="000C156A" w:rsidRDefault="00686EC7" w:rsidP="00141BAA">
            <w:pPr>
              <w:overflowPunct/>
              <w:autoSpaceDE/>
              <w:autoSpaceDN/>
              <w:adjustRightInd/>
              <w:spacing w:before="0"/>
              <w:textAlignment w:val="auto"/>
              <w:rPr>
                <w:rFonts w:cs="Calibri"/>
                <w:b/>
                <w:bCs/>
                <w:sz w:val="22"/>
                <w:szCs w:val="22"/>
                <w:lang w:val="en-US" w:eastAsia="zh-CN"/>
              </w:rPr>
            </w:pPr>
            <w:r w:rsidRPr="000C156A">
              <w:rPr>
                <w:rFonts w:cs="Calibri" w:hint="eastAsia"/>
                <w:b/>
                <w:bCs/>
                <w:sz w:val="22"/>
                <w:szCs w:val="22"/>
                <w:lang w:val="en-US" w:eastAsia="zh-CN"/>
              </w:rPr>
              <w:t>斐济</w:t>
            </w:r>
          </w:p>
        </w:tc>
        <w:tc>
          <w:tcPr>
            <w:tcW w:w="1548" w:type="dxa"/>
            <w:tcBorders>
              <w:top w:val="nil"/>
              <w:left w:val="single" w:sz="4" w:space="0" w:color="auto"/>
              <w:bottom w:val="nil"/>
              <w:right w:val="single" w:sz="4" w:space="0" w:color="auto"/>
            </w:tcBorders>
            <w:shd w:val="clear" w:color="auto" w:fill="auto"/>
            <w:noWrap/>
            <w:vAlign w:val="bottom"/>
            <w:hideMark/>
          </w:tcPr>
          <w:p w14:paraId="69F48BC7"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65A34EF2" w14:textId="77777777" w:rsidR="00686EC7" w:rsidRPr="000C156A" w:rsidRDefault="00686EC7" w:rsidP="00141BAA">
            <w:pP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45188B35"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59A13C4E" w14:textId="77777777" w:rsidR="00686EC7" w:rsidRPr="000C156A" w:rsidRDefault="00686EC7" w:rsidP="00141BAA">
            <w:pPr>
              <w:rPr>
                <w:rFonts w:ascii="Times New Roman" w:hAnsi="Times New Roman"/>
                <w:sz w:val="22"/>
                <w:szCs w:val="22"/>
              </w:rPr>
            </w:pPr>
          </w:p>
        </w:tc>
      </w:tr>
      <w:tr w:rsidR="00686EC7" w:rsidRPr="000C156A" w14:paraId="590DA949"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467755D6" w14:textId="4186B4A0" w:rsidR="00686EC7" w:rsidRPr="000C156A" w:rsidRDefault="00D93F72" w:rsidP="00D93F72">
            <w:pPr>
              <w:tabs>
                <w:tab w:val="clear" w:pos="567"/>
              </w:tabs>
              <w:spacing w:before="0"/>
              <w:ind w:left="317" w:hanging="317"/>
              <w:rPr>
                <w:rFonts w:cs="Calibri"/>
                <w:sz w:val="22"/>
                <w:szCs w:val="22"/>
                <w:lang w:val="en-US" w:eastAsia="zh-CN"/>
              </w:rPr>
            </w:pPr>
            <w:r w:rsidRPr="000C156A">
              <w:rPr>
                <w:rFonts w:cs="Calibri"/>
                <w:sz w:val="22"/>
                <w:szCs w:val="22"/>
                <w:lang w:val="en-US" w:eastAsia="zh-CN"/>
              </w:rPr>
              <w:t>–</w:t>
            </w:r>
            <w:r w:rsidRPr="000C156A">
              <w:rPr>
                <w:rFonts w:cs="Calibri"/>
                <w:sz w:val="22"/>
                <w:szCs w:val="22"/>
                <w:lang w:val="en-US" w:eastAsia="zh-CN"/>
              </w:rPr>
              <w:tab/>
            </w:r>
            <w:r w:rsidR="00686EC7" w:rsidRPr="000C156A">
              <w:rPr>
                <w:rFonts w:hint="eastAsia"/>
                <w:sz w:val="22"/>
                <w:szCs w:val="22"/>
                <w:lang w:eastAsia="zh-CN"/>
              </w:rPr>
              <w:t>南太平洋委员会，苏瓦</w:t>
            </w:r>
          </w:p>
        </w:tc>
        <w:tc>
          <w:tcPr>
            <w:tcW w:w="1548" w:type="dxa"/>
            <w:tcBorders>
              <w:top w:val="nil"/>
              <w:left w:val="single" w:sz="4" w:space="0" w:color="auto"/>
              <w:bottom w:val="nil"/>
              <w:right w:val="single" w:sz="4" w:space="0" w:color="auto"/>
            </w:tcBorders>
            <w:shd w:val="clear" w:color="auto" w:fill="auto"/>
            <w:noWrap/>
            <w:vAlign w:val="bottom"/>
            <w:hideMark/>
          </w:tcPr>
          <w:p w14:paraId="6B24C8C2" w14:textId="77777777" w:rsidR="00686EC7" w:rsidRPr="000C156A" w:rsidRDefault="00686EC7" w:rsidP="00141BAA">
            <w:pPr>
              <w:jc w:val="center"/>
              <w:rPr>
                <w:rFonts w:cs="Calibri"/>
                <w:sz w:val="22"/>
                <w:szCs w:val="22"/>
              </w:rPr>
            </w:pPr>
            <w:r w:rsidRPr="000C156A">
              <w:rPr>
                <w:rFonts w:cs="Calibri"/>
                <w:sz w:val="22"/>
                <w:szCs w:val="22"/>
              </w:rPr>
              <w:t>2012-2013</w:t>
            </w:r>
          </w:p>
        </w:tc>
        <w:tc>
          <w:tcPr>
            <w:tcW w:w="1613" w:type="dxa"/>
            <w:tcBorders>
              <w:top w:val="nil"/>
              <w:left w:val="single" w:sz="4" w:space="0" w:color="auto"/>
              <w:bottom w:val="nil"/>
              <w:right w:val="single" w:sz="4" w:space="0" w:color="auto"/>
            </w:tcBorders>
            <w:shd w:val="clear" w:color="auto" w:fill="auto"/>
            <w:noWrap/>
            <w:vAlign w:val="bottom"/>
            <w:hideMark/>
          </w:tcPr>
          <w:p w14:paraId="7D36A865" w14:textId="0DF70E07" w:rsidR="00686EC7" w:rsidRPr="000C156A" w:rsidRDefault="00686EC7" w:rsidP="00141BAA">
            <w:pPr>
              <w:jc w:val="right"/>
              <w:rPr>
                <w:rFonts w:cs="Calibri"/>
                <w:sz w:val="22"/>
                <w:szCs w:val="22"/>
              </w:rPr>
            </w:pPr>
            <w:r w:rsidRPr="000C156A">
              <w:rPr>
                <w:rFonts w:cs="Calibri"/>
                <w:sz w:val="22"/>
                <w:szCs w:val="22"/>
              </w:rPr>
              <w:t>6</w:t>
            </w:r>
            <w:r w:rsidR="003F0401" w:rsidRPr="000C156A">
              <w:rPr>
                <w:rFonts w:cs="Calibri"/>
                <w:sz w:val="22"/>
                <w:szCs w:val="22"/>
              </w:rPr>
              <w:t xml:space="preserve"> </w:t>
            </w:r>
            <w:r w:rsidRPr="000C156A">
              <w:rPr>
                <w:rFonts w:cs="Calibri"/>
                <w:sz w:val="22"/>
                <w:szCs w:val="22"/>
              </w:rPr>
              <w:t>233.55</w:t>
            </w:r>
          </w:p>
        </w:tc>
        <w:tc>
          <w:tcPr>
            <w:tcW w:w="1434" w:type="dxa"/>
            <w:tcBorders>
              <w:top w:val="nil"/>
              <w:left w:val="single" w:sz="4" w:space="0" w:color="auto"/>
              <w:bottom w:val="nil"/>
              <w:right w:val="single" w:sz="4" w:space="0" w:color="auto"/>
            </w:tcBorders>
            <w:shd w:val="clear" w:color="auto" w:fill="auto"/>
            <w:noWrap/>
            <w:vAlign w:val="bottom"/>
            <w:hideMark/>
          </w:tcPr>
          <w:p w14:paraId="34E71684"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2057881E" w14:textId="5EEEC4C2" w:rsidR="00686EC7" w:rsidRPr="000C156A" w:rsidRDefault="00686EC7" w:rsidP="00141BAA">
            <w:pPr>
              <w:jc w:val="right"/>
              <w:rPr>
                <w:rFonts w:cs="Calibri"/>
                <w:sz w:val="22"/>
                <w:szCs w:val="22"/>
              </w:rPr>
            </w:pPr>
            <w:r w:rsidRPr="000C156A">
              <w:rPr>
                <w:rFonts w:cs="Calibri"/>
                <w:sz w:val="22"/>
                <w:szCs w:val="22"/>
              </w:rPr>
              <w:t>6</w:t>
            </w:r>
            <w:r w:rsidR="003F0401" w:rsidRPr="000C156A">
              <w:rPr>
                <w:rFonts w:cs="Calibri"/>
                <w:sz w:val="22"/>
                <w:szCs w:val="22"/>
              </w:rPr>
              <w:t xml:space="preserve"> </w:t>
            </w:r>
            <w:r w:rsidRPr="000C156A">
              <w:rPr>
                <w:rFonts w:cs="Calibri"/>
                <w:sz w:val="22"/>
                <w:szCs w:val="22"/>
              </w:rPr>
              <w:t>233.55</w:t>
            </w:r>
          </w:p>
        </w:tc>
      </w:tr>
      <w:tr w:rsidR="00686EC7" w:rsidRPr="000C156A" w14:paraId="4C9685F9"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7C242CCF" w14:textId="77777777" w:rsidR="00686EC7" w:rsidRPr="000C156A" w:rsidRDefault="00686EC7" w:rsidP="00141BAA">
            <w:pPr>
              <w:overflowPunct/>
              <w:autoSpaceDE/>
              <w:autoSpaceDN/>
              <w:adjustRightInd/>
              <w:spacing w:before="0"/>
              <w:textAlignment w:val="auto"/>
              <w:rPr>
                <w:rFonts w:cs="Calibri"/>
                <w:b/>
                <w:bCs/>
                <w:sz w:val="22"/>
                <w:szCs w:val="22"/>
                <w:lang w:val="en-US" w:eastAsia="zh-CN"/>
              </w:rPr>
            </w:pPr>
            <w:r w:rsidRPr="000C156A">
              <w:rPr>
                <w:rFonts w:cs="Calibri" w:hint="eastAsia"/>
                <w:b/>
                <w:bCs/>
                <w:sz w:val="22"/>
                <w:szCs w:val="22"/>
                <w:lang w:val="en-US" w:eastAsia="zh-CN"/>
              </w:rPr>
              <w:t>芬兰</w:t>
            </w:r>
          </w:p>
        </w:tc>
        <w:tc>
          <w:tcPr>
            <w:tcW w:w="1548" w:type="dxa"/>
            <w:tcBorders>
              <w:top w:val="nil"/>
              <w:left w:val="single" w:sz="4" w:space="0" w:color="auto"/>
              <w:bottom w:val="nil"/>
              <w:right w:val="single" w:sz="4" w:space="0" w:color="auto"/>
            </w:tcBorders>
            <w:shd w:val="clear" w:color="auto" w:fill="auto"/>
            <w:noWrap/>
            <w:vAlign w:val="bottom"/>
            <w:hideMark/>
          </w:tcPr>
          <w:p w14:paraId="12D7F27E"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017E97D4"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70936180"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61106243" w14:textId="77777777" w:rsidR="00686EC7" w:rsidRPr="000C156A" w:rsidRDefault="00686EC7" w:rsidP="00141BAA">
            <w:pPr>
              <w:rPr>
                <w:rFonts w:ascii="Times New Roman" w:hAnsi="Times New Roman"/>
                <w:sz w:val="22"/>
                <w:szCs w:val="22"/>
              </w:rPr>
            </w:pPr>
          </w:p>
        </w:tc>
      </w:tr>
      <w:tr w:rsidR="00686EC7" w:rsidRPr="000C156A" w14:paraId="235ECACE" w14:textId="77777777" w:rsidTr="00141BAA">
        <w:trPr>
          <w:trHeight w:val="600"/>
          <w:jc w:val="center"/>
        </w:trPr>
        <w:tc>
          <w:tcPr>
            <w:tcW w:w="4106" w:type="dxa"/>
            <w:tcBorders>
              <w:top w:val="nil"/>
              <w:left w:val="single" w:sz="4" w:space="0" w:color="auto"/>
              <w:bottom w:val="nil"/>
              <w:right w:val="single" w:sz="4" w:space="0" w:color="auto"/>
            </w:tcBorders>
            <w:shd w:val="clear" w:color="auto" w:fill="auto"/>
            <w:vAlign w:val="bottom"/>
            <w:hideMark/>
          </w:tcPr>
          <w:p w14:paraId="459E6EEF" w14:textId="2F6184EB" w:rsidR="00686EC7" w:rsidRPr="000C156A" w:rsidRDefault="00D93F72" w:rsidP="00D93F72">
            <w:pPr>
              <w:tabs>
                <w:tab w:val="clear" w:pos="567"/>
              </w:tabs>
              <w:spacing w:before="0"/>
              <w:ind w:left="317" w:hanging="317"/>
              <w:rPr>
                <w:sz w:val="22"/>
                <w:szCs w:val="22"/>
              </w:rPr>
            </w:pPr>
            <w:r w:rsidRPr="000C156A">
              <w:rPr>
                <w:sz w:val="22"/>
                <w:szCs w:val="22"/>
              </w:rPr>
              <w:t>–</w:t>
            </w:r>
            <w:r w:rsidRPr="000C156A">
              <w:rPr>
                <w:sz w:val="22"/>
                <w:szCs w:val="22"/>
              </w:rPr>
              <w:tab/>
            </w:r>
            <w:r w:rsidR="00686EC7" w:rsidRPr="000C156A">
              <w:rPr>
                <w:sz w:val="22"/>
                <w:szCs w:val="22"/>
              </w:rPr>
              <w:t>Octagon</w:t>
            </w:r>
            <w:r w:rsidR="00686EC7" w:rsidRPr="000C156A">
              <w:rPr>
                <w:rFonts w:hint="eastAsia"/>
                <w:sz w:val="22"/>
                <w:szCs w:val="22"/>
                <w:lang w:eastAsia="zh-CN"/>
              </w:rPr>
              <w:t>通信公司（原</w:t>
            </w:r>
            <w:r w:rsidR="00686EC7" w:rsidRPr="000C156A">
              <w:rPr>
                <w:sz w:val="22"/>
                <w:szCs w:val="22"/>
              </w:rPr>
              <w:t>Oy Cubio</w:t>
            </w:r>
            <w:r w:rsidR="00686EC7" w:rsidRPr="000C156A">
              <w:rPr>
                <w:rFonts w:hint="eastAsia"/>
                <w:sz w:val="22"/>
                <w:szCs w:val="22"/>
                <w:lang w:eastAsia="zh-CN"/>
              </w:rPr>
              <w:t>通信公司），赫尔辛基</w:t>
            </w:r>
          </w:p>
        </w:tc>
        <w:tc>
          <w:tcPr>
            <w:tcW w:w="1548" w:type="dxa"/>
            <w:tcBorders>
              <w:top w:val="nil"/>
              <w:left w:val="single" w:sz="4" w:space="0" w:color="auto"/>
              <w:bottom w:val="nil"/>
              <w:right w:val="single" w:sz="4" w:space="0" w:color="auto"/>
            </w:tcBorders>
            <w:shd w:val="clear" w:color="auto" w:fill="auto"/>
            <w:noWrap/>
            <w:vAlign w:val="bottom"/>
            <w:hideMark/>
          </w:tcPr>
          <w:p w14:paraId="6A12999E" w14:textId="77777777" w:rsidR="00686EC7" w:rsidRPr="000C156A" w:rsidRDefault="00686EC7" w:rsidP="00141BAA">
            <w:pPr>
              <w:jc w:val="center"/>
              <w:rPr>
                <w:rFonts w:cs="Calibri"/>
                <w:sz w:val="22"/>
                <w:szCs w:val="22"/>
              </w:rPr>
            </w:pPr>
            <w:r w:rsidRPr="000C156A">
              <w:rPr>
                <w:rFonts w:cs="Calibri"/>
                <w:sz w:val="22"/>
                <w:szCs w:val="22"/>
              </w:rPr>
              <w:t>2012-2013</w:t>
            </w:r>
          </w:p>
        </w:tc>
        <w:tc>
          <w:tcPr>
            <w:tcW w:w="1613" w:type="dxa"/>
            <w:tcBorders>
              <w:top w:val="nil"/>
              <w:left w:val="single" w:sz="4" w:space="0" w:color="auto"/>
              <w:bottom w:val="nil"/>
              <w:right w:val="single" w:sz="4" w:space="0" w:color="auto"/>
            </w:tcBorders>
            <w:shd w:val="clear" w:color="auto" w:fill="auto"/>
            <w:noWrap/>
            <w:vAlign w:val="bottom"/>
            <w:hideMark/>
          </w:tcPr>
          <w:p w14:paraId="669C3796" w14:textId="49C3C596" w:rsidR="00686EC7" w:rsidRPr="000C156A" w:rsidRDefault="00686EC7" w:rsidP="00141BAA">
            <w:pPr>
              <w:jc w:val="right"/>
              <w:rPr>
                <w:rFonts w:cs="Calibri"/>
                <w:sz w:val="22"/>
                <w:szCs w:val="22"/>
              </w:rPr>
            </w:pPr>
            <w:r w:rsidRPr="000C156A">
              <w:rPr>
                <w:rFonts w:cs="Calibri"/>
                <w:sz w:val="22"/>
                <w:szCs w:val="22"/>
              </w:rPr>
              <w:t>14</w:t>
            </w:r>
            <w:r w:rsidR="003F0401" w:rsidRPr="000C156A">
              <w:rPr>
                <w:rFonts w:cs="Calibri"/>
                <w:sz w:val="22"/>
                <w:szCs w:val="22"/>
              </w:rPr>
              <w:t xml:space="preserve"> </w:t>
            </w:r>
            <w:r w:rsidRPr="000C156A">
              <w:rPr>
                <w:rFonts w:cs="Calibri"/>
                <w:sz w:val="22"/>
                <w:szCs w:val="22"/>
              </w:rPr>
              <w:t>406.65</w:t>
            </w:r>
          </w:p>
        </w:tc>
        <w:tc>
          <w:tcPr>
            <w:tcW w:w="1434" w:type="dxa"/>
            <w:tcBorders>
              <w:top w:val="nil"/>
              <w:left w:val="single" w:sz="4" w:space="0" w:color="auto"/>
              <w:bottom w:val="nil"/>
              <w:right w:val="single" w:sz="4" w:space="0" w:color="auto"/>
            </w:tcBorders>
            <w:shd w:val="clear" w:color="auto" w:fill="auto"/>
            <w:noWrap/>
            <w:vAlign w:val="bottom"/>
            <w:hideMark/>
          </w:tcPr>
          <w:p w14:paraId="120D52A2"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2427BBDD" w14:textId="09762CE6" w:rsidR="00686EC7" w:rsidRPr="000C156A" w:rsidRDefault="00686EC7" w:rsidP="00141BAA">
            <w:pPr>
              <w:jc w:val="right"/>
              <w:rPr>
                <w:rFonts w:cs="Calibri"/>
                <w:sz w:val="22"/>
                <w:szCs w:val="22"/>
              </w:rPr>
            </w:pPr>
            <w:r w:rsidRPr="000C156A">
              <w:rPr>
                <w:rFonts w:cs="Calibri"/>
                <w:sz w:val="22"/>
                <w:szCs w:val="22"/>
              </w:rPr>
              <w:t>14</w:t>
            </w:r>
            <w:r w:rsidR="003F0401" w:rsidRPr="000C156A">
              <w:rPr>
                <w:rFonts w:cs="Calibri"/>
                <w:sz w:val="22"/>
                <w:szCs w:val="22"/>
              </w:rPr>
              <w:t xml:space="preserve"> </w:t>
            </w:r>
            <w:r w:rsidRPr="000C156A">
              <w:rPr>
                <w:rFonts w:cs="Calibri"/>
                <w:sz w:val="22"/>
                <w:szCs w:val="22"/>
              </w:rPr>
              <w:t>406.65</w:t>
            </w:r>
          </w:p>
        </w:tc>
      </w:tr>
      <w:tr w:rsidR="00686EC7" w:rsidRPr="000C156A" w14:paraId="12DDDFFD"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0696F930" w14:textId="77777777" w:rsidR="00686EC7" w:rsidRPr="000C156A" w:rsidRDefault="00686EC7" w:rsidP="00141BAA">
            <w:pPr>
              <w:spacing w:before="0"/>
              <w:rPr>
                <w:b/>
                <w:bCs/>
                <w:sz w:val="22"/>
                <w:szCs w:val="22"/>
              </w:rPr>
            </w:pPr>
            <w:r w:rsidRPr="000C156A">
              <w:rPr>
                <w:rFonts w:hint="eastAsia"/>
                <w:b/>
                <w:bCs/>
                <w:sz w:val="22"/>
                <w:szCs w:val="22"/>
              </w:rPr>
              <w:t>法国</w:t>
            </w:r>
          </w:p>
        </w:tc>
        <w:tc>
          <w:tcPr>
            <w:tcW w:w="1548" w:type="dxa"/>
            <w:tcBorders>
              <w:top w:val="nil"/>
              <w:left w:val="single" w:sz="4" w:space="0" w:color="auto"/>
              <w:bottom w:val="nil"/>
              <w:right w:val="single" w:sz="4" w:space="0" w:color="auto"/>
            </w:tcBorders>
            <w:shd w:val="clear" w:color="auto" w:fill="auto"/>
            <w:noWrap/>
            <w:vAlign w:val="bottom"/>
            <w:hideMark/>
          </w:tcPr>
          <w:p w14:paraId="68E24A53"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4C4A5294"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5A4EDE57"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1EB4A2FF" w14:textId="77777777" w:rsidR="00686EC7" w:rsidRPr="000C156A" w:rsidRDefault="00686EC7" w:rsidP="00141BAA">
            <w:pPr>
              <w:rPr>
                <w:rFonts w:ascii="Times New Roman" w:hAnsi="Times New Roman"/>
                <w:sz w:val="22"/>
                <w:szCs w:val="22"/>
              </w:rPr>
            </w:pPr>
          </w:p>
        </w:tc>
      </w:tr>
      <w:tr w:rsidR="00686EC7" w:rsidRPr="000C156A" w14:paraId="0DC2C4C1"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64E6AE19" w14:textId="61AA0334"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LegalBox</w:t>
            </w:r>
            <w:r w:rsidR="00686EC7" w:rsidRPr="000C156A">
              <w:rPr>
                <w:rFonts w:cs="Calibri" w:hint="eastAsia"/>
                <w:sz w:val="22"/>
                <w:szCs w:val="22"/>
                <w:lang w:val="fr-FR"/>
              </w:rPr>
              <w:t>，巴黎</w:t>
            </w:r>
          </w:p>
        </w:tc>
        <w:tc>
          <w:tcPr>
            <w:tcW w:w="1548" w:type="dxa"/>
            <w:tcBorders>
              <w:top w:val="nil"/>
              <w:left w:val="single" w:sz="4" w:space="0" w:color="auto"/>
              <w:bottom w:val="nil"/>
              <w:right w:val="single" w:sz="4" w:space="0" w:color="auto"/>
            </w:tcBorders>
            <w:shd w:val="clear" w:color="auto" w:fill="auto"/>
            <w:noWrap/>
            <w:vAlign w:val="bottom"/>
            <w:hideMark/>
          </w:tcPr>
          <w:p w14:paraId="00B1CFF9" w14:textId="77777777" w:rsidR="00686EC7" w:rsidRPr="000C156A" w:rsidRDefault="00686EC7" w:rsidP="00141BAA">
            <w:pPr>
              <w:jc w:val="center"/>
              <w:rPr>
                <w:rFonts w:cs="Calibri"/>
                <w:sz w:val="22"/>
                <w:szCs w:val="22"/>
              </w:rPr>
            </w:pPr>
            <w:r w:rsidRPr="000C156A">
              <w:rPr>
                <w:rFonts w:cs="Calibri"/>
                <w:sz w:val="22"/>
                <w:szCs w:val="22"/>
              </w:rPr>
              <w:t>2016-2017</w:t>
            </w:r>
          </w:p>
        </w:tc>
        <w:tc>
          <w:tcPr>
            <w:tcW w:w="1613" w:type="dxa"/>
            <w:tcBorders>
              <w:top w:val="nil"/>
              <w:left w:val="single" w:sz="4" w:space="0" w:color="auto"/>
              <w:bottom w:val="nil"/>
              <w:right w:val="single" w:sz="4" w:space="0" w:color="auto"/>
            </w:tcBorders>
            <w:shd w:val="clear" w:color="auto" w:fill="auto"/>
            <w:noWrap/>
            <w:vAlign w:val="bottom"/>
            <w:hideMark/>
          </w:tcPr>
          <w:p w14:paraId="40844399" w14:textId="41C894C4" w:rsidR="00686EC7" w:rsidRPr="000C156A" w:rsidRDefault="00686EC7" w:rsidP="00141BAA">
            <w:pPr>
              <w:jc w:val="right"/>
              <w:rPr>
                <w:rFonts w:cs="Calibri"/>
                <w:sz w:val="22"/>
                <w:szCs w:val="22"/>
              </w:rPr>
            </w:pPr>
            <w:r w:rsidRPr="000C156A">
              <w:rPr>
                <w:rFonts w:cs="Calibri"/>
                <w:sz w:val="22"/>
                <w:szCs w:val="22"/>
              </w:rPr>
              <w:t>17</w:t>
            </w:r>
            <w:r w:rsidR="003F0401" w:rsidRPr="000C156A">
              <w:rPr>
                <w:rFonts w:cs="Calibri"/>
                <w:sz w:val="22"/>
                <w:szCs w:val="22"/>
              </w:rPr>
              <w:t xml:space="preserve"> </w:t>
            </w:r>
            <w:r w:rsidRPr="000C156A">
              <w:rPr>
                <w:rFonts w:cs="Calibri"/>
                <w:sz w:val="22"/>
                <w:szCs w:val="22"/>
              </w:rPr>
              <w:t>217.13</w:t>
            </w:r>
          </w:p>
        </w:tc>
        <w:tc>
          <w:tcPr>
            <w:tcW w:w="1434" w:type="dxa"/>
            <w:tcBorders>
              <w:top w:val="nil"/>
              <w:left w:val="single" w:sz="4" w:space="0" w:color="auto"/>
              <w:bottom w:val="nil"/>
              <w:right w:val="single" w:sz="4" w:space="0" w:color="auto"/>
            </w:tcBorders>
            <w:shd w:val="clear" w:color="auto" w:fill="auto"/>
            <w:noWrap/>
            <w:vAlign w:val="bottom"/>
            <w:hideMark/>
          </w:tcPr>
          <w:p w14:paraId="2D220AA5"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0DFF1484" w14:textId="68725DF9" w:rsidR="00686EC7" w:rsidRPr="000C156A" w:rsidRDefault="00686EC7" w:rsidP="00141BAA">
            <w:pPr>
              <w:jc w:val="right"/>
              <w:rPr>
                <w:rFonts w:cs="Calibri"/>
                <w:sz w:val="22"/>
                <w:szCs w:val="22"/>
              </w:rPr>
            </w:pPr>
            <w:r w:rsidRPr="000C156A">
              <w:rPr>
                <w:rFonts w:cs="Calibri"/>
                <w:sz w:val="22"/>
                <w:szCs w:val="22"/>
              </w:rPr>
              <w:t>17</w:t>
            </w:r>
            <w:r w:rsidR="003F0401" w:rsidRPr="000C156A">
              <w:rPr>
                <w:rFonts w:cs="Calibri"/>
                <w:sz w:val="22"/>
                <w:szCs w:val="22"/>
              </w:rPr>
              <w:t xml:space="preserve"> </w:t>
            </w:r>
            <w:r w:rsidRPr="000C156A">
              <w:rPr>
                <w:rFonts w:cs="Calibri"/>
                <w:sz w:val="22"/>
                <w:szCs w:val="22"/>
              </w:rPr>
              <w:t>217.13</w:t>
            </w:r>
          </w:p>
        </w:tc>
      </w:tr>
      <w:tr w:rsidR="00686EC7" w:rsidRPr="000C156A" w14:paraId="6C8ECED8"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0402C774" w14:textId="7452CCFB"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PMI Conseil</w:t>
            </w:r>
            <w:r w:rsidR="00686EC7" w:rsidRPr="000C156A">
              <w:rPr>
                <w:rFonts w:cs="Calibri" w:hint="eastAsia"/>
                <w:sz w:val="22"/>
                <w:szCs w:val="22"/>
                <w:lang w:val="fr-FR"/>
              </w:rPr>
              <w:t>，</w:t>
            </w:r>
            <w:r w:rsidR="00686EC7" w:rsidRPr="000C156A">
              <w:rPr>
                <w:rFonts w:cs="Calibri"/>
                <w:sz w:val="22"/>
                <w:szCs w:val="22"/>
                <w:lang w:val="fr-FR"/>
              </w:rPr>
              <w:t>Luynes</w:t>
            </w:r>
          </w:p>
        </w:tc>
        <w:tc>
          <w:tcPr>
            <w:tcW w:w="1548" w:type="dxa"/>
            <w:tcBorders>
              <w:top w:val="nil"/>
              <w:left w:val="single" w:sz="4" w:space="0" w:color="auto"/>
              <w:bottom w:val="nil"/>
              <w:right w:val="single" w:sz="4" w:space="0" w:color="auto"/>
            </w:tcBorders>
            <w:shd w:val="clear" w:color="auto" w:fill="auto"/>
            <w:noWrap/>
            <w:vAlign w:val="bottom"/>
            <w:hideMark/>
          </w:tcPr>
          <w:p w14:paraId="79AA6E7A" w14:textId="77777777" w:rsidR="00686EC7" w:rsidRPr="000C156A" w:rsidRDefault="00686EC7" w:rsidP="00141BAA">
            <w:pPr>
              <w:jc w:val="center"/>
              <w:rPr>
                <w:rFonts w:cs="Calibri"/>
                <w:sz w:val="22"/>
                <w:szCs w:val="22"/>
              </w:rPr>
            </w:pPr>
            <w:r w:rsidRPr="000C156A">
              <w:rPr>
                <w:rFonts w:cs="Calibri"/>
                <w:sz w:val="22"/>
                <w:szCs w:val="22"/>
              </w:rPr>
              <w:t>2018</w:t>
            </w:r>
          </w:p>
        </w:tc>
        <w:tc>
          <w:tcPr>
            <w:tcW w:w="1613" w:type="dxa"/>
            <w:tcBorders>
              <w:top w:val="nil"/>
              <w:left w:val="single" w:sz="4" w:space="0" w:color="auto"/>
              <w:bottom w:val="nil"/>
              <w:right w:val="single" w:sz="4" w:space="0" w:color="auto"/>
            </w:tcBorders>
            <w:shd w:val="clear" w:color="auto" w:fill="auto"/>
            <w:noWrap/>
            <w:vAlign w:val="bottom"/>
            <w:hideMark/>
          </w:tcPr>
          <w:p w14:paraId="1A5D2726" w14:textId="79F473B2" w:rsidR="00686EC7" w:rsidRPr="000C156A" w:rsidRDefault="00686EC7" w:rsidP="00141BAA">
            <w:pPr>
              <w:jc w:val="right"/>
              <w:rPr>
                <w:rFonts w:cs="Calibri"/>
                <w:sz w:val="22"/>
                <w:szCs w:val="22"/>
              </w:rPr>
            </w:pPr>
            <w:r w:rsidRPr="000C156A">
              <w:rPr>
                <w:rFonts w:cs="Calibri"/>
                <w:sz w:val="22"/>
                <w:szCs w:val="22"/>
              </w:rPr>
              <w:t>9</w:t>
            </w:r>
            <w:r w:rsidR="003F0401" w:rsidRPr="000C156A">
              <w:rPr>
                <w:rFonts w:cs="Calibri"/>
                <w:sz w:val="22"/>
                <w:szCs w:val="22"/>
              </w:rPr>
              <w:t xml:space="preserve"> </w:t>
            </w:r>
            <w:r w:rsidRPr="000C156A">
              <w:rPr>
                <w:rFonts w:cs="Calibri"/>
                <w:sz w:val="22"/>
                <w:szCs w:val="22"/>
              </w:rPr>
              <w:t>267.65</w:t>
            </w:r>
          </w:p>
        </w:tc>
        <w:tc>
          <w:tcPr>
            <w:tcW w:w="1434" w:type="dxa"/>
            <w:tcBorders>
              <w:top w:val="nil"/>
              <w:left w:val="single" w:sz="4" w:space="0" w:color="auto"/>
              <w:bottom w:val="nil"/>
              <w:right w:val="single" w:sz="4" w:space="0" w:color="auto"/>
            </w:tcBorders>
            <w:shd w:val="clear" w:color="auto" w:fill="auto"/>
            <w:noWrap/>
            <w:vAlign w:val="bottom"/>
            <w:hideMark/>
          </w:tcPr>
          <w:p w14:paraId="02B394C8"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3E5F6412" w14:textId="2B5C7C71" w:rsidR="00686EC7" w:rsidRPr="000C156A" w:rsidRDefault="00686EC7" w:rsidP="00141BAA">
            <w:pPr>
              <w:jc w:val="right"/>
              <w:rPr>
                <w:rFonts w:cs="Calibri"/>
                <w:sz w:val="22"/>
                <w:szCs w:val="22"/>
              </w:rPr>
            </w:pPr>
            <w:r w:rsidRPr="000C156A">
              <w:rPr>
                <w:rFonts w:cs="Calibri"/>
                <w:sz w:val="22"/>
                <w:szCs w:val="22"/>
              </w:rPr>
              <w:t>9</w:t>
            </w:r>
            <w:r w:rsidR="003F0401" w:rsidRPr="000C156A">
              <w:rPr>
                <w:rFonts w:cs="Calibri"/>
                <w:sz w:val="22"/>
                <w:szCs w:val="22"/>
              </w:rPr>
              <w:t xml:space="preserve"> </w:t>
            </w:r>
            <w:r w:rsidRPr="000C156A">
              <w:rPr>
                <w:rFonts w:cs="Calibri"/>
                <w:sz w:val="22"/>
                <w:szCs w:val="22"/>
              </w:rPr>
              <w:t>267.65</w:t>
            </w:r>
          </w:p>
        </w:tc>
      </w:tr>
      <w:tr w:rsidR="00686EC7" w:rsidRPr="000C156A" w14:paraId="12C6313A"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3DA2302D" w14:textId="77777777" w:rsidR="00686EC7" w:rsidRPr="000C156A" w:rsidRDefault="00686EC7" w:rsidP="00141BAA">
            <w:pPr>
              <w:overflowPunct/>
              <w:autoSpaceDE/>
              <w:autoSpaceDN/>
              <w:adjustRightInd/>
              <w:spacing w:before="0"/>
              <w:textAlignment w:val="auto"/>
              <w:rPr>
                <w:rFonts w:cs="Calibri"/>
                <w:b/>
                <w:bCs/>
                <w:sz w:val="22"/>
                <w:szCs w:val="22"/>
                <w:lang w:val="en-US" w:eastAsia="zh-CN"/>
              </w:rPr>
            </w:pPr>
            <w:r w:rsidRPr="000C156A">
              <w:rPr>
                <w:rFonts w:cs="Calibri" w:hint="eastAsia"/>
                <w:b/>
                <w:bCs/>
                <w:sz w:val="22"/>
                <w:szCs w:val="22"/>
                <w:lang w:val="en-US" w:eastAsia="zh-CN"/>
              </w:rPr>
              <w:t>加纳</w:t>
            </w:r>
          </w:p>
        </w:tc>
        <w:tc>
          <w:tcPr>
            <w:tcW w:w="1548" w:type="dxa"/>
            <w:tcBorders>
              <w:top w:val="nil"/>
              <w:left w:val="single" w:sz="4" w:space="0" w:color="auto"/>
              <w:bottom w:val="nil"/>
              <w:right w:val="single" w:sz="4" w:space="0" w:color="auto"/>
            </w:tcBorders>
            <w:shd w:val="clear" w:color="auto" w:fill="auto"/>
            <w:noWrap/>
            <w:vAlign w:val="bottom"/>
            <w:hideMark/>
          </w:tcPr>
          <w:p w14:paraId="121F03FE"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4AE8F25A"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65A640AF"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360C592F" w14:textId="77777777" w:rsidR="00686EC7" w:rsidRPr="000C156A" w:rsidRDefault="00686EC7" w:rsidP="00141BAA">
            <w:pPr>
              <w:rPr>
                <w:rFonts w:ascii="Times New Roman" w:hAnsi="Times New Roman"/>
                <w:sz w:val="22"/>
                <w:szCs w:val="22"/>
              </w:rPr>
            </w:pPr>
          </w:p>
        </w:tc>
      </w:tr>
      <w:tr w:rsidR="00686EC7" w:rsidRPr="000C156A" w14:paraId="5967BE2E"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585B26AE" w14:textId="07CC10CF" w:rsidR="00686EC7" w:rsidRPr="000C156A" w:rsidRDefault="00D93F72" w:rsidP="00D93F72">
            <w:pPr>
              <w:tabs>
                <w:tab w:val="clear" w:pos="567"/>
              </w:tabs>
              <w:spacing w:before="0"/>
              <w:ind w:left="317" w:hanging="317"/>
              <w:rPr>
                <w:rFonts w:cs="Calibri"/>
                <w:sz w:val="22"/>
                <w:szCs w:val="22"/>
                <w:lang w:val="en-US" w:eastAsia="zh-CN"/>
              </w:rPr>
            </w:pPr>
            <w:r w:rsidRPr="000C156A">
              <w:rPr>
                <w:sz w:val="22"/>
                <w:szCs w:val="22"/>
                <w:lang w:eastAsia="zh-CN"/>
              </w:rPr>
              <w:t>–</w:t>
            </w:r>
            <w:r w:rsidRPr="000C156A">
              <w:rPr>
                <w:sz w:val="22"/>
                <w:szCs w:val="22"/>
                <w:lang w:eastAsia="zh-CN"/>
              </w:rPr>
              <w:tab/>
            </w:r>
            <w:r w:rsidR="00686EC7" w:rsidRPr="000C156A">
              <w:rPr>
                <w:rFonts w:hint="eastAsia"/>
                <w:sz w:val="22"/>
                <w:szCs w:val="22"/>
                <w:lang w:eastAsia="zh-CN"/>
              </w:rPr>
              <w:t>区域海事大学，阿克拉</w:t>
            </w:r>
          </w:p>
        </w:tc>
        <w:tc>
          <w:tcPr>
            <w:tcW w:w="1548" w:type="dxa"/>
            <w:tcBorders>
              <w:top w:val="nil"/>
              <w:left w:val="single" w:sz="4" w:space="0" w:color="auto"/>
              <w:bottom w:val="nil"/>
              <w:right w:val="single" w:sz="4" w:space="0" w:color="auto"/>
            </w:tcBorders>
            <w:shd w:val="clear" w:color="auto" w:fill="auto"/>
            <w:noWrap/>
            <w:vAlign w:val="bottom"/>
            <w:hideMark/>
          </w:tcPr>
          <w:p w14:paraId="3BE7CC49" w14:textId="77777777" w:rsidR="00686EC7" w:rsidRPr="000C156A" w:rsidRDefault="00686EC7" w:rsidP="00141BAA">
            <w:pPr>
              <w:jc w:val="center"/>
              <w:rPr>
                <w:rFonts w:cs="Calibri"/>
                <w:sz w:val="22"/>
                <w:szCs w:val="22"/>
              </w:rPr>
            </w:pPr>
            <w:r w:rsidRPr="000C156A">
              <w:rPr>
                <w:rFonts w:cs="Calibri"/>
                <w:sz w:val="22"/>
                <w:szCs w:val="22"/>
              </w:rPr>
              <w:t>2012</w:t>
            </w:r>
          </w:p>
        </w:tc>
        <w:tc>
          <w:tcPr>
            <w:tcW w:w="1613" w:type="dxa"/>
            <w:tcBorders>
              <w:top w:val="nil"/>
              <w:left w:val="single" w:sz="4" w:space="0" w:color="auto"/>
              <w:bottom w:val="nil"/>
              <w:right w:val="single" w:sz="4" w:space="0" w:color="auto"/>
            </w:tcBorders>
            <w:shd w:val="clear" w:color="auto" w:fill="auto"/>
            <w:noWrap/>
            <w:vAlign w:val="bottom"/>
            <w:hideMark/>
          </w:tcPr>
          <w:p w14:paraId="4694D5A6" w14:textId="53C0CB50"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495.16</w:t>
            </w:r>
          </w:p>
        </w:tc>
        <w:tc>
          <w:tcPr>
            <w:tcW w:w="1434" w:type="dxa"/>
            <w:tcBorders>
              <w:top w:val="nil"/>
              <w:left w:val="single" w:sz="4" w:space="0" w:color="auto"/>
              <w:bottom w:val="nil"/>
              <w:right w:val="single" w:sz="4" w:space="0" w:color="auto"/>
            </w:tcBorders>
            <w:shd w:val="clear" w:color="auto" w:fill="auto"/>
            <w:noWrap/>
            <w:vAlign w:val="bottom"/>
            <w:hideMark/>
          </w:tcPr>
          <w:p w14:paraId="56D525EF"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4A1D197D" w14:textId="78CC3F21"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495.16</w:t>
            </w:r>
          </w:p>
        </w:tc>
      </w:tr>
      <w:tr w:rsidR="00686EC7" w:rsidRPr="000C156A" w14:paraId="69A90BAC"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7BF7C885" w14:textId="77777777" w:rsidR="00686EC7" w:rsidRPr="000C156A" w:rsidRDefault="00686EC7" w:rsidP="00141BAA">
            <w:pPr>
              <w:overflowPunct/>
              <w:autoSpaceDE/>
              <w:autoSpaceDN/>
              <w:adjustRightInd/>
              <w:spacing w:before="0"/>
              <w:textAlignment w:val="auto"/>
              <w:rPr>
                <w:rFonts w:cs="Calibri"/>
                <w:b/>
                <w:bCs/>
                <w:sz w:val="22"/>
                <w:szCs w:val="22"/>
                <w:lang w:val="en-US" w:eastAsia="zh-CN"/>
              </w:rPr>
            </w:pPr>
            <w:r w:rsidRPr="000C156A">
              <w:rPr>
                <w:rFonts w:cs="Calibri" w:hint="eastAsia"/>
                <w:b/>
                <w:bCs/>
                <w:sz w:val="22"/>
                <w:szCs w:val="22"/>
                <w:lang w:val="en-US" w:eastAsia="zh-CN"/>
              </w:rPr>
              <w:t>洪都拉斯</w:t>
            </w:r>
          </w:p>
        </w:tc>
        <w:tc>
          <w:tcPr>
            <w:tcW w:w="1548" w:type="dxa"/>
            <w:tcBorders>
              <w:top w:val="nil"/>
              <w:left w:val="single" w:sz="4" w:space="0" w:color="auto"/>
              <w:bottom w:val="nil"/>
              <w:right w:val="single" w:sz="4" w:space="0" w:color="auto"/>
            </w:tcBorders>
            <w:shd w:val="clear" w:color="auto" w:fill="auto"/>
            <w:noWrap/>
            <w:vAlign w:val="bottom"/>
            <w:hideMark/>
          </w:tcPr>
          <w:p w14:paraId="6BD4800A"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5240E4DC"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1E98B50C"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63666121" w14:textId="77777777" w:rsidR="00686EC7" w:rsidRPr="000C156A" w:rsidRDefault="00686EC7" w:rsidP="00141BAA">
            <w:pPr>
              <w:rPr>
                <w:rFonts w:ascii="Times New Roman" w:hAnsi="Times New Roman"/>
                <w:sz w:val="22"/>
                <w:szCs w:val="22"/>
              </w:rPr>
            </w:pPr>
          </w:p>
        </w:tc>
      </w:tr>
      <w:tr w:rsidR="00686EC7" w:rsidRPr="000C156A" w14:paraId="1FB9AAD2"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1531B9C7" w14:textId="1045A9AA" w:rsidR="00686EC7" w:rsidRPr="000C156A" w:rsidRDefault="00D93F72" w:rsidP="00D93F72">
            <w:pPr>
              <w:tabs>
                <w:tab w:val="clear" w:pos="567"/>
              </w:tabs>
              <w:spacing w:before="0"/>
              <w:ind w:left="317" w:hanging="317"/>
              <w:rPr>
                <w:rFonts w:cs="Calibri"/>
                <w:sz w:val="22"/>
                <w:szCs w:val="22"/>
                <w:lang w:val="en-US" w:eastAsia="zh-CN"/>
              </w:rPr>
            </w:pPr>
            <w:r w:rsidRPr="000C156A">
              <w:rPr>
                <w:sz w:val="22"/>
                <w:szCs w:val="22"/>
              </w:rPr>
              <w:t>–</w:t>
            </w:r>
            <w:r w:rsidRPr="000C156A">
              <w:rPr>
                <w:sz w:val="22"/>
                <w:szCs w:val="22"/>
              </w:rPr>
              <w:tab/>
            </w:r>
            <w:r w:rsidR="00686EC7" w:rsidRPr="000C156A">
              <w:rPr>
                <w:sz w:val="22"/>
                <w:szCs w:val="22"/>
              </w:rPr>
              <w:t>UNITEC</w:t>
            </w:r>
            <w:r w:rsidR="00686EC7" w:rsidRPr="000C156A">
              <w:rPr>
                <w:rFonts w:hint="eastAsia"/>
                <w:sz w:val="22"/>
                <w:szCs w:val="22"/>
                <w:lang w:eastAsia="zh-CN"/>
              </w:rPr>
              <w:t>，</w:t>
            </w:r>
            <w:r w:rsidR="00686EC7" w:rsidRPr="000C156A">
              <w:rPr>
                <w:rFonts w:hint="eastAsia"/>
                <w:sz w:val="22"/>
                <w:szCs w:val="22"/>
              </w:rPr>
              <w:t>特古西加尔巴</w:t>
            </w:r>
          </w:p>
        </w:tc>
        <w:tc>
          <w:tcPr>
            <w:tcW w:w="1548" w:type="dxa"/>
            <w:tcBorders>
              <w:top w:val="nil"/>
              <w:left w:val="single" w:sz="4" w:space="0" w:color="auto"/>
              <w:bottom w:val="nil"/>
              <w:right w:val="single" w:sz="4" w:space="0" w:color="auto"/>
            </w:tcBorders>
            <w:shd w:val="clear" w:color="auto" w:fill="auto"/>
            <w:noWrap/>
            <w:vAlign w:val="bottom"/>
            <w:hideMark/>
          </w:tcPr>
          <w:p w14:paraId="2FB0B72C" w14:textId="77777777" w:rsidR="00686EC7" w:rsidRPr="000C156A" w:rsidRDefault="00686EC7" w:rsidP="00141BAA">
            <w:pPr>
              <w:jc w:val="center"/>
              <w:rPr>
                <w:rFonts w:cs="Calibri"/>
                <w:sz w:val="22"/>
                <w:szCs w:val="22"/>
              </w:rPr>
            </w:pPr>
            <w:r w:rsidRPr="000C156A">
              <w:rPr>
                <w:rFonts w:cs="Calibri"/>
                <w:sz w:val="22"/>
                <w:szCs w:val="22"/>
              </w:rPr>
              <w:t>2012</w:t>
            </w:r>
          </w:p>
        </w:tc>
        <w:tc>
          <w:tcPr>
            <w:tcW w:w="1613" w:type="dxa"/>
            <w:tcBorders>
              <w:top w:val="nil"/>
              <w:left w:val="single" w:sz="4" w:space="0" w:color="auto"/>
              <w:bottom w:val="nil"/>
              <w:right w:val="single" w:sz="4" w:space="0" w:color="auto"/>
            </w:tcBorders>
            <w:shd w:val="clear" w:color="auto" w:fill="auto"/>
            <w:noWrap/>
            <w:vAlign w:val="bottom"/>
            <w:hideMark/>
          </w:tcPr>
          <w:p w14:paraId="296FEF73" w14:textId="2ACE6743" w:rsidR="00686EC7" w:rsidRPr="000C156A" w:rsidRDefault="00686EC7" w:rsidP="00141BAA">
            <w:pPr>
              <w:jc w:val="right"/>
              <w:rPr>
                <w:rFonts w:cs="Calibri"/>
                <w:sz w:val="22"/>
                <w:szCs w:val="22"/>
              </w:rPr>
            </w:pPr>
            <w:r w:rsidRPr="000C156A">
              <w:rPr>
                <w:rFonts w:cs="Calibri"/>
                <w:sz w:val="22"/>
                <w:szCs w:val="22"/>
              </w:rPr>
              <w:t>3</w:t>
            </w:r>
            <w:r w:rsidR="003F0401" w:rsidRPr="000C156A">
              <w:rPr>
                <w:rFonts w:cs="Calibri"/>
                <w:sz w:val="22"/>
                <w:szCs w:val="22"/>
              </w:rPr>
              <w:t xml:space="preserve"> </w:t>
            </w:r>
            <w:r w:rsidRPr="000C156A">
              <w:rPr>
                <w:rFonts w:cs="Calibri"/>
                <w:sz w:val="22"/>
                <w:szCs w:val="22"/>
              </w:rPr>
              <w:t>286.55</w:t>
            </w:r>
          </w:p>
        </w:tc>
        <w:tc>
          <w:tcPr>
            <w:tcW w:w="1434" w:type="dxa"/>
            <w:tcBorders>
              <w:top w:val="nil"/>
              <w:left w:val="single" w:sz="4" w:space="0" w:color="auto"/>
              <w:bottom w:val="nil"/>
              <w:right w:val="single" w:sz="4" w:space="0" w:color="auto"/>
            </w:tcBorders>
            <w:shd w:val="clear" w:color="auto" w:fill="auto"/>
            <w:noWrap/>
            <w:vAlign w:val="bottom"/>
            <w:hideMark/>
          </w:tcPr>
          <w:p w14:paraId="4641C7CC"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649ABFB7" w14:textId="173C6D87" w:rsidR="00686EC7" w:rsidRPr="000C156A" w:rsidRDefault="00686EC7" w:rsidP="00141BAA">
            <w:pPr>
              <w:jc w:val="right"/>
              <w:rPr>
                <w:rFonts w:cs="Calibri"/>
                <w:sz w:val="22"/>
                <w:szCs w:val="22"/>
              </w:rPr>
            </w:pPr>
            <w:r w:rsidRPr="000C156A">
              <w:rPr>
                <w:rFonts w:cs="Calibri"/>
                <w:sz w:val="22"/>
                <w:szCs w:val="22"/>
              </w:rPr>
              <w:t>3</w:t>
            </w:r>
            <w:r w:rsidR="003F0401" w:rsidRPr="000C156A">
              <w:rPr>
                <w:rFonts w:cs="Calibri"/>
                <w:sz w:val="22"/>
                <w:szCs w:val="22"/>
              </w:rPr>
              <w:t xml:space="preserve"> </w:t>
            </w:r>
            <w:r w:rsidRPr="000C156A">
              <w:rPr>
                <w:rFonts w:cs="Calibri"/>
                <w:sz w:val="22"/>
                <w:szCs w:val="22"/>
              </w:rPr>
              <w:t>286.55</w:t>
            </w:r>
          </w:p>
        </w:tc>
      </w:tr>
      <w:tr w:rsidR="00686EC7" w:rsidRPr="000C156A" w14:paraId="0BC03459"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30DAFDE0" w14:textId="77777777" w:rsidR="00686EC7" w:rsidRPr="000C156A" w:rsidRDefault="00686EC7" w:rsidP="00141BAA">
            <w:pPr>
              <w:overflowPunct/>
              <w:autoSpaceDE/>
              <w:autoSpaceDN/>
              <w:adjustRightInd/>
              <w:spacing w:before="0"/>
              <w:textAlignment w:val="auto"/>
              <w:rPr>
                <w:rFonts w:cs="Calibri"/>
                <w:b/>
                <w:bCs/>
                <w:sz w:val="22"/>
                <w:szCs w:val="22"/>
                <w:lang w:val="en-US" w:eastAsia="zh-CN"/>
              </w:rPr>
            </w:pPr>
            <w:r w:rsidRPr="000C156A">
              <w:rPr>
                <w:rFonts w:cs="Calibri" w:hint="eastAsia"/>
                <w:b/>
                <w:bCs/>
                <w:sz w:val="22"/>
                <w:szCs w:val="22"/>
                <w:lang w:val="en-US" w:eastAsia="zh-CN"/>
              </w:rPr>
              <w:t>匈牙利</w:t>
            </w:r>
          </w:p>
        </w:tc>
        <w:tc>
          <w:tcPr>
            <w:tcW w:w="1548" w:type="dxa"/>
            <w:tcBorders>
              <w:top w:val="nil"/>
              <w:left w:val="single" w:sz="4" w:space="0" w:color="auto"/>
              <w:bottom w:val="nil"/>
              <w:right w:val="single" w:sz="4" w:space="0" w:color="auto"/>
            </w:tcBorders>
            <w:shd w:val="clear" w:color="auto" w:fill="auto"/>
            <w:noWrap/>
            <w:vAlign w:val="bottom"/>
            <w:hideMark/>
          </w:tcPr>
          <w:p w14:paraId="5C4A4E12"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29A1DE42"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41D85C06"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244F280D" w14:textId="77777777" w:rsidR="00686EC7" w:rsidRPr="000C156A" w:rsidRDefault="00686EC7" w:rsidP="00141BAA">
            <w:pPr>
              <w:rPr>
                <w:rFonts w:ascii="Times New Roman" w:hAnsi="Times New Roman"/>
                <w:sz w:val="22"/>
                <w:szCs w:val="22"/>
              </w:rPr>
            </w:pPr>
          </w:p>
        </w:tc>
      </w:tr>
      <w:tr w:rsidR="00686EC7" w:rsidRPr="000C156A" w14:paraId="084587E5" w14:textId="77777777" w:rsidTr="00141BAA">
        <w:trPr>
          <w:trHeight w:val="58"/>
          <w:jc w:val="center"/>
        </w:trPr>
        <w:tc>
          <w:tcPr>
            <w:tcW w:w="4106" w:type="dxa"/>
            <w:tcBorders>
              <w:top w:val="nil"/>
              <w:left w:val="single" w:sz="4" w:space="0" w:color="auto"/>
              <w:bottom w:val="nil"/>
              <w:right w:val="single" w:sz="4" w:space="0" w:color="auto"/>
            </w:tcBorders>
            <w:shd w:val="clear" w:color="auto" w:fill="auto"/>
            <w:vAlign w:val="bottom"/>
            <w:hideMark/>
          </w:tcPr>
          <w:p w14:paraId="67A4E198" w14:textId="239D54E6" w:rsidR="00686EC7" w:rsidRPr="000C156A" w:rsidRDefault="00D93F72" w:rsidP="00D93F72">
            <w:pPr>
              <w:tabs>
                <w:tab w:val="clear" w:pos="567"/>
              </w:tabs>
              <w:spacing w:before="0"/>
              <w:ind w:left="317" w:hanging="317"/>
              <w:rPr>
                <w:rFonts w:cs="Calibri"/>
                <w:sz w:val="22"/>
                <w:szCs w:val="22"/>
                <w:lang w:eastAsia="zh-CN"/>
              </w:rPr>
            </w:pPr>
            <w:r w:rsidRPr="000C156A">
              <w:rPr>
                <w:rFonts w:cs="Calibri"/>
                <w:sz w:val="22"/>
                <w:szCs w:val="22"/>
                <w:lang w:eastAsia="zh-CN"/>
              </w:rPr>
              <w:t>–</w:t>
            </w:r>
            <w:r w:rsidRPr="000C156A">
              <w:rPr>
                <w:rFonts w:cs="Calibri"/>
                <w:sz w:val="22"/>
                <w:szCs w:val="22"/>
                <w:lang w:eastAsia="zh-CN"/>
              </w:rPr>
              <w:tab/>
            </w:r>
            <w:r w:rsidR="00686EC7" w:rsidRPr="000C156A">
              <w:rPr>
                <w:rFonts w:cs="Calibri" w:hint="eastAsia"/>
                <w:sz w:val="22"/>
                <w:szCs w:val="22"/>
                <w:lang w:val="fr-FR" w:eastAsia="zh-CN"/>
              </w:rPr>
              <w:t>布达佩斯技术经济大学</w:t>
            </w:r>
            <w:r w:rsidR="00686EC7" w:rsidRPr="000C156A">
              <w:rPr>
                <w:rFonts w:cs="Calibri" w:hint="eastAsia"/>
                <w:sz w:val="22"/>
                <w:szCs w:val="22"/>
                <w:lang w:eastAsia="zh-CN"/>
              </w:rPr>
              <w:t>，布达佩斯</w:t>
            </w:r>
          </w:p>
        </w:tc>
        <w:tc>
          <w:tcPr>
            <w:tcW w:w="1548" w:type="dxa"/>
            <w:tcBorders>
              <w:top w:val="nil"/>
              <w:left w:val="single" w:sz="4" w:space="0" w:color="auto"/>
              <w:bottom w:val="nil"/>
              <w:right w:val="single" w:sz="4" w:space="0" w:color="auto"/>
            </w:tcBorders>
            <w:shd w:val="clear" w:color="auto" w:fill="auto"/>
            <w:noWrap/>
            <w:vAlign w:val="bottom"/>
            <w:hideMark/>
          </w:tcPr>
          <w:p w14:paraId="3B6F64F4" w14:textId="77777777" w:rsidR="00686EC7" w:rsidRPr="000C156A" w:rsidRDefault="00686EC7" w:rsidP="00141BAA">
            <w:pPr>
              <w:jc w:val="center"/>
              <w:rPr>
                <w:rFonts w:cs="Calibri"/>
                <w:sz w:val="22"/>
                <w:szCs w:val="22"/>
              </w:rPr>
            </w:pPr>
            <w:r w:rsidRPr="000C156A">
              <w:rPr>
                <w:rFonts w:cs="Calibri"/>
                <w:sz w:val="22"/>
                <w:szCs w:val="22"/>
              </w:rPr>
              <w:t>2017-2019</w:t>
            </w:r>
          </w:p>
        </w:tc>
        <w:tc>
          <w:tcPr>
            <w:tcW w:w="1613" w:type="dxa"/>
            <w:tcBorders>
              <w:top w:val="nil"/>
              <w:left w:val="single" w:sz="4" w:space="0" w:color="auto"/>
              <w:bottom w:val="nil"/>
              <w:right w:val="single" w:sz="4" w:space="0" w:color="auto"/>
            </w:tcBorders>
            <w:shd w:val="clear" w:color="auto" w:fill="auto"/>
            <w:noWrap/>
            <w:vAlign w:val="bottom"/>
            <w:hideMark/>
          </w:tcPr>
          <w:p w14:paraId="3B80AB39" w14:textId="3A1421D4" w:rsidR="00686EC7" w:rsidRPr="000C156A" w:rsidRDefault="00686EC7" w:rsidP="00141BAA">
            <w:pPr>
              <w:jc w:val="right"/>
              <w:rPr>
                <w:rFonts w:cs="Calibri"/>
                <w:sz w:val="22"/>
                <w:szCs w:val="22"/>
              </w:rPr>
            </w:pPr>
            <w:r w:rsidRPr="000C156A">
              <w:rPr>
                <w:rFonts w:cs="Calibri"/>
                <w:sz w:val="22"/>
                <w:szCs w:val="22"/>
              </w:rPr>
              <w:t>4</w:t>
            </w:r>
            <w:r w:rsidR="003F0401" w:rsidRPr="000C156A">
              <w:rPr>
                <w:rFonts w:cs="Calibri"/>
                <w:sz w:val="22"/>
                <w:szCs w:val="22"/>
              </w:rPr>
              <w:t xml:space="preserve"> </w:t>
            </w:r>
            <w:r w:rsidRPr="000C156A">
              <w:rPr>
                <w:rFonts w:cs="Calibri"/>
                <w:sz w:val="22"/>
                <w:szCs w:val="22"/>
              </w:rPr>
              <w:t>605.35</w:t>
            </w:r>
          </w:p>
        </w:tc>
        <w:tc>
          <w:tcPr>
            <w:tcW w:w="1434" w:type="dxa"/>
            <w:tcBorders>
              <w:top w:val="nil"/>
              <w:left w:val="single" w:sz="4" w:space="0" w:color="auto"/>
              <w:bottom w:val="nil"/>
              <w:right w:val="single" w:sz="4" w:space="0" w:color="auto"/>
            </w:tcBorders>
            <w:shd w:val="clear" w:color="auto" w:fill="auto"/>
            <w:noWrap/>
            <w:vAlign w:val="bottom"/>
            <w:hideMark/>
          </w:tcPr>
          <w:p w14:paraId="52358797"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6A9F9C8C" w14:textId="41470D85" w:rsidR="00686EC7" w:rsidRPr="000C156A" w:rsidRDefault="00686EC7" w:rsidP="00141BAA">
            <w:pPr>
              <w:jc w:val="right"/>
              <w:rPr>
                <w:rFonts w:cs="Calibri"/>
                <w:sz w:val="22"/>
                <w:szCs w:val="22"/>
              </w:rPr>
            </w:pPr>
            <w:r w:rsidRPr="000C156A">
              <w:rPr>
                <w:rFonts w:cs="Calibri"/>
                <w:sz w:val="22"/>
                <w:szCs w:val="22"/>
              </w:rPr>
              <w:t>4</w:t>
            </w:r>
            <w:r w:rsidR="003F0401" w:rsidRPr="000C156A">
              <w:rPr>
                <w:rFonts w:cs="Calibri"/>
                <w:sz w:val="22"/>
                <w:szCs w:val="22"/>
              </w:rPr>
              <w:t xml:space="preserve"> </w:t>
            </w:r>
            <w:r w:rsidRPr="000C156A">
              <w:rPr>
                <w:rFonts w:cs="Calibri"/>
                <w:sz w:val="22"/>
                <w:szCs w:val="22"/>
              </w:rPr>
              <w:t>605.35</w:t>
            </w:r>
          </w:p>
        </w:tc>
      </w:tr>
      <w:tr w:rsidR="00686EC7" w:rsidRPr="000C156A" w14:paraId="1F417723" w14:textId="77777777" w:rsidTr="00141BAA">
        <w:trPr>
          <w:trHeight w:val="300"/>
          <w:jc w:val="center"/>
        </w:trPr>
        <w:tc>
          <w:tcPr>
            <w:tcW w:w="4106" w:type="dxa"/>
            <w:tcBorders>
              <w:top w:val="nil"/>
              <w:left w:val="single" w:sz="4" w:space="0" w:color="auto"/>
              <w:right w:val="single" w:sz="4" w:space="0" w:color="auto"/>
            </w:tcBorders>
            <w:shd w:val="clear" w:color="auto" w:fill="auto"/>
            <w:vAlign w:val="bottom"/>
            <w:hideMark/>
          </w:tcPr>
          <w:p w14:paraId="6E7B1848" w14:textId="065EAA84" w:rsidR="00686EC7" w:rsidRPr="000C156A" w:rsidRDefault="00D93F72" w:rsidP="00D93F72">
            <w:pPr>
              <w:tabs>
                <w:tab w:val="clear" w:pos="567"/>
              </w:tabs>
              <w:spacing w:before="0"/>
              <w:ind w:left="317" w:hanging="317"/>
              <w:rPr>
                <w:rFonts w:cs="Calibri"/>
                <w:sz w:val="22"/>
                <w:szCs w:val="22"/>
                <w:lang w:val="en-US" w:eastAsia="zh-CN"/>
              </w:rPr>
            </w:pPr>
            <w:r w:rsidRPr="000C156A">
              <w:rPr>
                <w:rFonts w:cs="Calibri"/>
                <w:sz w:val="22"/>
                <w:szCs w:val="22"/>
                <w:lang w:val="en-US" w:eastAsia="zh-CN"/>
              </w:rPr>
              <w:t>–</w:t>
            </w:r>
            <w:r w:rsidRPr="000C156A">
              <w:rPr>
                <w:rFonts w:cs="Calibri"/>
                <w:sz w:val="22"/>
                <w:szCs w:val="22"/>
                <w:lang w:val="en-US" w:eastAsia="zh-CN"/>
              </w:rPr>
              <w:tab/>
            </w:r>
            <w:r w:rsidR="00686EC7" w:rsidRPr="000C156A">
              <w:rPr>
                <w:rFonts w:cs="Calibri"/>
                <w:sz w:val="22"/>
                <w:szCs w:val="22"/>
                <w:lang w:val="fr-FR"/>
              </w:rPr>
              <w:t>MCNTelecom</w:t>
            </w:r>
            <w:r w:rsidR="00686EC7" w:rsidRPr="000C156A">
              <w:rPr>
                <w:rFonts w:cs="Calibri"/>
                <w:sz w:val="22"/>
                <w:szCs w:val="22"/>
                <w:lang w:val="en-US" w:eastAsia="zh-CN"/>
              </w:rPr>
              <w:t>，</w:t>
            </w:r>
            <w:r w:rsidR="00686EC7" w:rsidRPr="000C156A">
              <w:rPr>
                <w:rFonts w:cs="Calibri" w:hint="eastAsia"/>
                <w:sz w:val="22"/>
                <w:szCs w:val="22"/>
                <w:lang w:val="en-US" w:eastAsia="zh-CN"/>
              </w:rPr>
              <w:t>布达佩斯</w:t>
            </w:r>
            <w:r w:rsidR="00686EC7" w:rsidRPr="000C156A">
              <w:rPr>
                <w:rFonts w:cs="Calibri" w:hint="eastAsia"/>
                <w:sz w:val="22"/>
                <w:szCs w:val="22"/>
                <w:lang w:eastAsia="zh-CN"/>
              </w:rPr>
              <w:t>（原</w:t>
            </w:r>
            <w:r w:rsidR="00686EC7" w:rsidRPr="000C156A">
              <w:rPr>
                <w:rFonts w:cs="Calibri"/>
                <w:sz w:val="22"/>
                <w:szCs w:val="22"/>
                <w:lang w:eastAsia="zh-CN"/>
              </w:rPr>
              <w:t>Tel2tel Kft.</w:t>
            </w:r>
            <w:r w:rsidR="00686EC7" w:rsidRPr="000C156A">
              <w:rPr>
                <w:rFonts w:cs="Calibri" w:hint="eastAsia"/>
                <w:sz w:val="22"/>
                <w:szCs w:val="22"/>
                <w:lang w:eastAsia="zh-CN"/>
              </w:rPr>
              <w:t>）</w:t>
            </w:r>
          </w:p>
        </w:tc>
        <w:tc>
          <w:tcPr>
            <w:tcW w:w="1548" w:type="dxa"/>
            <w:tcBorders>
              <w:top w:val="nil"/>
              <w:left w:val="single" w:sz="4" w:space="0" w:color="auto"/>
              <w:right w:val="single" w:sz="4" w:space="0" w:color="auto"/>
            </w:tcBorders>
            <w:shd w:val="clear" w:color="auto" w:fill="auto"/>
            <w:noWrap/>
            <w:vAlign w:val="bottom"/>
            <w:hideMark/>
          </w:tcPr>
          <w:p w14:paraId="035F75ED" w14:textId="77777777" w:rsidR="00686EC7" w:rsidRPr="000C156A" w:rsidRDefault="00686EC7" w:rsidP="00141BAA">
            <w:pPr>
              <w:jc w:val="center"/>
              <w:rPr>
                <w:rFonts w:cs="Calibri"/>
                <w:sz w:val="22"/>
                <w:szCs w:val="22"/>
              </w:rPr>
            </w:pPr>
            <w:r w:rsidRPr="000C156A">
              <w:rPr>
                <w:rFonts w:cs="Calibri"/>
                <w:sz w:val="22"/>
                <w:szCs w:val="22"/>
              </w:rPr>
              <w:t>2017</w:t>
            </w:r>
          </w:p>
        </w:tc>
        <w:tc>
          <w:tcPr>
            <w:tcW w:w="1613" w:type="dxa"/>
            <w:tcBorders>
              <w:top w:val="nil"/>
              <w:left w:val="single" w:sz="4" w:space="0" w:color="auto"/>
              <w:right w:val="single" w:sz="4" w:space="0" w:color="auto"/>
            </w:tcBorders>
            <w:shd w:val="clear" w:color="auto" w:fill="auto"/>
            <w:noWrap/>
            <w:vAlign w:val="bottom"/>
            <w:hideMark/>
          </w:tcPr>
          <w:p w14:paraId="003BAAA4" w14:textId="62B0E691" w:rsidR="00686EC7" w:rsidRPr="000C156A" w:rsidRDefault="00686EC7" w:rsidP="00141BAA">
            <w:pPr>
              <w:jc w:val="right"/>
              <w:rPr>
                <w:rFonts w:cs="Calibri"/>
                <w:sz w:val="22"/>
                <w:szCs w:val="22"/>
              </w:rPr>
            </w:pPr>
            <w:r w:rsidRPr="000C156A">
              <w:rPr>
                <w:rFonts w:cs="Calibri"/>
                <w:sz w:val="22"/>
                <w:szCs w:val="22"/>
              </w:rPr>
              <w:t>13</w:t>
            </w:r>
            <w:r w:rsidR="003F0401" w:rsidRPr="000C156A">
              <w:rPr>
                <w:rFonts w:cs="Calibri"/>
                <w:sz w:val="22"/>
                <w:szCs w:val="22"/>
              </w:rPr>
              <w:t xml:space="preserve"> </w:t>
            </w:r>
            <w:r w:rsidRPr="000C156A">
              <w:rPr>
                <w:rFonts w:cs="Calibri"/>
                <w:sz w:val="22"/>
                <w:szCs w:val="22"/>
              </w:rPr>
              <w:t>098.20</w:t>
            </w:r>
          </w:p>
        </w:tc>
        <w:tc>
          <w:tcPr>
            <w:tcW w:w="1434" w:type="dxa"/>
            <w:tcBorders>
              <w:top w:val="nil"/>
              <w:left w:val="single" w:sz="4" w:space="0" w:color="auto"/>
              <w:right w:val="single" w:sz="4" w:space="0" w:color="auto"/>
            </w:tcBorders>
            <w:shd w:val="clear" w:color="auto" w:fill="auto"/>
            <w:noWrap/>
            <w:vAlign w:val="bottom"/>
            <w:hideMark/>
          </w:tcPr>
          <w:p w14:paraId="0C0E0922"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right w:val="single" w:sz="4" w:space="0" w:color="auto"/>
            </w:tcBorders>
            <w:shd w:val="clear" w:color="auto" w:fill="auto"/>
            <w:noWrap/>
            <w:vAlign w:val="bottom"/>
            <w:hideMark/>
          </w:tcPr>
          <w:p w14:paraId="11810FA2" w14:textId="424ADDF9" w:rsidR="00686EC7" w:rsidRPr="000C156A" w:rsidRDefault="00686EC7" w:rsidP="00141BAA">
            <w:pPr>
              <w:jc w:val="right"/>
              <w:rPr>
                <w:rFonts w:cs="Calibri"/>
                <w:sz w:val="22"/>
                <w:szCs w:val="22"/>
              </w:rPr>
            </w:pPr>
            <w:r w:rsidRPr="000C156A">
              <w:rPr>
                <w:rFonts w:cs="Calibri"/>
                <w:sz w:val="22"/>
                <w:szCs w:val="22"/>
              </w:rPr>
              <w:t>13</w:t>
            </w:r>
            <w:r w:rsidR="003F0401" w:rsidRPr="000C156A">
              <w:rPr>
                <w:rFonts w:cs="Calibri"/>
                <w:sz w:val="22"/>
                <w:szCs w:val="22"/>
              </w:rPr>
              <w:t xml:space="preserve"> </w:t>
            </w:r>
            <w:r w:rsidRPr="000C156A">
              <w:rPr>
                <w:rFonts w:cs="Calibri"/>
                <w:sz w:val="22"/>
                <w:szCs w:val="22"/>
              </w:rPr>
              <w:t>098.20</w:t>
            </w:r>
          </w:p>
        </w:tc>
      </w:tr>
      <w:tr w:rsidR="00686EC7" w:rsidRPr="000C156A" w14:paraId="3CD44515" w14:textId="77777777" w:rsidTr="00141BAA">
        <w:trPr>
          <w:trHeight w:val="300"/>
          <w:jc w:val="center"/>
        </w:trPr>
        <w:tc>
          <w:tcPr>
            <w:tcW w:w="4106" w:type="dxa"/>
            <w:tcBorders>
              <w:left w:val="single" w:sz="4" w:space="0" w:color="auto"/>
              <w:bottom w:val="single" w:sz="4" w:space="0" w:color="auto"/>
              <w:right w:val="nil"/>
            </w:tcBorders>
            <w:shd w:val="clear" w:color="auto" w:fill="auto"/>
            <w:vAlign w:val="bottom"/>
          </w:tcPr>
          <w:p w14:paraId="2D843446" w14:textId="77777777" w:rsidR="00686EC7" w:rsidRPr="000C156A" w:rsidRDefault="00686EC7" w:rsidP="00141BAA">
            <w:pPr>
              <w:spacing w:before="0"/>
              <w:rPr>
                <w:rFonts w:cs="Calibri"/>
                <w:b/>
                <w:bCs/>
                <w:sz w:val="22"/>
                <w:szCs w:val="22"/>
              </w:rPr>
            </w:pPr>
          </w:p>
        </w:tc>
        <w:tc>
          <w:tcPr>
            <w:tcW w:w="1548" w:type="dxa"/>
            <w:tcBorders>
              <w:left w:val="nil"/>
              <w:bottom w:val="single" w:sz="4" w:space="0" w:color="auto"/>
              <w:right w:val="nil"/>
            </w:tcBorders>
            <w:shd w:val="clear" w:color="auto" w:fill="auto"/>
            <w:noWrap/>
            <w:vAlign w:val="bottom"/>
          </w:tcPr>
          <w:p w14:paraId="43D62640" w14:textId="77777777" w:rsidR="00686EC7" w:rsidRPr="000C156A" w:rsidRDefault="00686EC7" w:rsidP="00141BAA">
            <w:pPr>
              <w:spacing w:before="0"/>
              <w:rPr>
                <w:rFonts w:cs="Calibri"/>
                <w:b/>
                <w:bCs/>
                <w:sz w:val="22"/>
                <w:szCs w:val="22"/>
              </w:rPr>
            </w:pPr>
          </w:p>
        </w:tc>
        <w:tc>
          <w:tcPr>
            <w:tcW w:w="1613" w:type="dxa"/>
            <w:tcBorders>
              <w:left w:val="nil"/>
              <w:bottom w:val="single" w:sz="4" w:space="0" w:color="auto"/>
              <w:right w:val="nil"/>
            </w:tcBorders>
            <w:shd w:val="clear" w:color="auto" w:fill="auto"/>
            <w:noWrap/>
            <w:vAlign w:val="bottom"/>
          </w:tcPr>
          <w:p w14:paraId="09864C05" w14:textId="77777777" w:rsidR="00686EC7" w:rsidRPr="000C156A" w:rsidRDefault="00686EC7" w:rsidP="00141BAA">
            <w:pPr>
              <w:spacing w:before="0"/>
              <w:jc w:val="center"/>
              <w:rPr>
                <w:rFonts w:ascii="Times New Roman" w:hAnsi="Times New Roman"/>
                <w:sz w:val="22"/>
                <w:szCs w:val="22"/>
              </w:rPr>
            </w:pPr>
          </w:p>
        </w:tc>
        <w:tc>
          <w:tcPr>
            <w:tcW w:w="1434" w:type="dxa"/>
            <w:tcBorders>
              <w:left w:val="nil"/>
              <w:bottom w:val="single" w:sz="4" w:space="0" w:color="auto"/>
              <w:right w:val="nil"/>
            </w:tcBorders>
            <w:shd w:val="clear" w:color="auto" w:fill="auto"/>
            <w:noWrap/>
            <w:vAlign w:val="bottom"/>
          </w:tcPr>
          <w:p w14:paraId="001F00AF" w14:textId="77777777" w:rsidR="00686EC7" w:rsidRPr="000C156A" w:rsidRDefault="00686EC7" w:rsidP="00141BAA">
            <w:pPr>
              <w:spacing w:before="0"/>
              <w:rPr>
                <w:rFonts w:ascii="Times New Roman" w:hAnsi="Times New Roman"/>
                <w:sz w:val="22"/>
                <w:szCs w:val="22"/>
              </w:rPr>
            </w:pPr>
          </w:p>
        </w:tc>
        <w:tc>
          <w:tcPr>
            <w:tcW w:w="1613" w:type="dxa"/>
            <w:tcBorders>
              <w:left w:val="nil"/>
              <w:bottom w:val="single" w:sz="4" w:space="0" w:color="auto"/>
              <w:right w:val="single" w:sz="4" w:space="0" w:color="auto"/>
            </w:tcBorders>
            <w:shd w:val="clear" w:color="auto" w:fill="auto"/>
            <w:noWrap/>
            <w:vAlign w:val="bottom"/>
          </w:tcPr>
          <w:p w14:paraId="4069FB23" w14:textId="77777777" w:rsidR="00686EC7" w:rsidRPr="000C156A" w:rsidRDefault="00686EC7" w:rsidP="00141BAA">
            <w:pPr>
              <w:spacing w:before="0"/>
              <w:rPr>
                <w:rFonts w:ascii="Times New Roman" w:hAnsi="Times New Roman"/>
                <w:sz w:val="22"/>
                <w:szCs w:val="22"/>
              </w:rPr>
            </w:pPr>
          </w:p>
        </w:tc>
      </w:tr>
    </w:tbl>
    <w:p w14:paraId="366B16EA" w14:textId="77777777" w:rsidR="00686EC7" w:rsidRPr="000C156A" w:rsidRDefault="00686EC7" w:rsidP="00686EC7">
      <w:pPr>
        <w:rPr>
          <w:sz w:val="22"/>
          <w:szCs w:val="22"/>
        </w:rPr>
      </w:pPr>
      <w:r w:rsidRPr="000C156A">
        <w:rPr>
          <w:sz w:val="22"/>
          <w:szCs w:val="22"/>
        </w:rPr>
        <w:br w:type="page"/>
      </w:r>
    </w:p>
    <w:tbl>
      <w:tblPr>
        <w:tblW w:w="10314" w:type="dxa"/>
        <w:jc w:val="center"/>
        <w:tblLook w:val="04A0" w:firstRow="1" w:lastRow="0" w:firstColumn="1" w:lastColumn="0" w:noHBand="0" w:noVBand="1"/>
      </w:tblPr>
      <w:tblGrid>
        <w:gridCol w:w="4390"/>
        <w:gridCol w:w="1264"/>
        <w:gridCol w:w="1613"/>
        <w:gridCol w:w="1434"/>
        <w:gridCol w:w="1613"/>
      </w:tblGrid>
      <w:tr w:rsidR="00686EC7" w:rsidRPr="000C156A" w14:paraId="00F9B140" w14:textId="77777777" w:rsidTr="00141BAA">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455AD225" w14:textId="77777777" w:rsidR="00686EC7" w:rsidRPr="000C156A" w:rsidRDefault="00686EC7" w:rsidP="00141BAA">
            <w:pPr>
              <w:pStyle w:val="Tablehead"/>
              <w:jc w:val="left"/>
              <w:rPr>
                <w:szCs w:val="22"/>
                <w:lang w:eastAsia="zh-CN"/>
              </w:rPr>
            </w:pPr>
            <w:r w:rsidRPr="000C156A">
              <w:rPr>
                <w:szCs w:val="22"/>
                <w:lang w:eastAsia="zh-CN"/>
              </w:rPr>
              <w:lastRenderedPageBreak/>
              <w:t>B.</w:t>
            </w:r>
            <w:r w:rsidRPr="000C156A">
              <w:rPr>
                <w:rFonts w:hint="eastAsia"/>
                <w:szCs w:val="22"/>
                <w:lang w:eastAsia="zh-CN"/>
              </w:rPr>
              <w:t>部门成员及其他实体</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CA5B0" w14:textId="77777777" w:rsidR="00686EC7" w:rsidRPr="000C156A" w:rsidRDefault="00686EC7" w:rsidP="00141BAA">
            <w:pPr>
              <w:pStyle w:val="Tablehead"/>
              <w:rPr>
                <w:szCs w:val="22"/>
                <w:lang w:eastAsia="zh-CN"/>
              </w:rPr>
            </w:pPr>
            <w:r w:rsidRPr="000C156A">
              <w:rPr>
                <w:rFonts w:hint="eastAsia"/>
                <w:szCs w:val="22"/>
              </w:rPr>
              <w:t>年份</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D3F61" w14:textId="77777777" w:rsidR="00686EC7" w:rsidRPr="000C156A" w:rsidRDefault="00686EC7" w:rsidP="00141BAA">
            <w:pPr>
              <w:pStyle w:val="Tablehead"/>
              <w:rPr>
                <w:szCs w:val="22"/>
                <w:lang w:eastAsia="zh-CN"/>
              </w:rPr>
            </w:pPr>
            <w:r w:rsidRPr="000C156A">
              <w:rPr>
                <w:rFonts w:hint="eastAsia"/>
                <w:szCs w:val="22"/>
              </w:rPr>
              <w:t>会费</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56266" w14:textId="77777777" w:rsidR="00686EC7" w:rsidRPr="000C156A" w:rsidRDefault="00686EC7" w:rsidP="00141BAA">
            <w:pPr>
              <w:pStyle w:val="Tablehead"/>
              <w:rPr>
                <w:szCs w:val="22"/>
                <w:lang w:eastAsia="zh-CN"/>
              </w:rPr>
            </w:pPr>
            <w:r w:rsidRPr="000C156A">
              <w:rPr>
                <w:rFonts w:hint="eastAsia"/>
                <w:szCs w:val="22"/>
              </w:rPr>
              <w:t>出版物</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CCE0D" w14:textId="77777777" w:rsidR="00686EC7" w:rsidRPr="000C156A" w:rsidRDefault="00686EC7" w:rsidP="00141BAA">
            <w:pPr>
              <w:pStyle w:val="Tablehead"/>
              <w:rPr>
                <w:szCs w:val="22"/>
                <w:lang w:eastAsia="zh-CN"/>
              </w:rPr>
            </w:pPr>
            <w:r w:rsidRPr="000C156A">
              <w:rPr>
                <w:rFonts w:hint="eastAsia"/>
                <w:szCs w:val="22"/>
              </w:rPr>
              <w:t>合计</w:t>
            </w:r>
          </w:p>
        </w:tc>
      </w:tr>
      <w:tr w:rsidR="00686EC7" w:rsidRPr="000C156A" w14:paraId="7D7F59C8" w14:textId="77777777" w:rsidTr="00141BAA">
        <w:trPr>
          <w:trHeight w:val="300"/>
          <w:jc w:val="center"/>
        </w:trPr>
        <w:tc>
          <w:tcPr>
            <w:tcW w:w="4390" w:type="dxa"/>
            <w:tcBorders>
              <w:top w:val="single" w:sz="4" w:space="0" w:color="auto"/>
              <w:left w:val="single" w:sz="4" w:space="0" w:color="auto"/>
              <w:bottom w:val="nil"/>
              <w:right w:val="single" w:sz="4" w:space="0" w:color="auto"/>
            </w:tcBorders>
            <w:shd w:val="clear" w:color="auto" w:fill="auto"/>
            <w:vAlign w:val="bottom"/>
            <w:hideMark/>
          </w:tcPr>
          <w:p w14:paraId="0611A6A4" w14:textId="77777777" w:rsidR="00686EC7" w:rsidRPr="000C156A" w:rsidRDefault="00686EC7" w:rsidP="00141BAA">
            <w:pPr>
              <w:rPr>
                <w:rFonts w:cs="Calibri"/>
                <w:b/>
                <w:bCs/>
                <w:sz w:val="22"/>
                <w:szCs w:val="22"/>
              </w:rPr>
            </w:pPr>
            <w:r w:rsidRPr="000C156A">
              <w:rPr>
                <w:rFonts w:cs="Calibri"/>
                <w:b/>
                <w:bCs/>
                <w:sz w:val="22"/>
                <w:szCs w:val="22"/>
              </w:rPr>
              <w:t>印度</w:t>
            </w:r>
          </w:p>
        </w:tc>
        <w:tc>
          <w:tcPr>
            <w:tcW w:w="1264" w:type="dxa"/>
            <w:tcBorders>
              <w:top w:val="single" w:sz="4" w:space="0" w:color="auto"/>
              <w:left w:val="single" w:sz="4" w:space="0" w:color="auto"/>
              <w:bottom w:val="nil"/>
              <w:right w:val="single" w:sz="4" w:space="0" w:color="auto"/>
            </w:tcBorders>
            <w:shd w:val="clear" w:color="auto" w:fill="auto"/>
            <w:noWrap/>
            <w:vAlign w:val="bottom"/>
            <w:hideMark/>
          </w:tcPr>
          <w:p w14:paraId="6E329281" w14:textId="77777777" w:rsidR="00686EC7" w:rsidRPr="000C156A" w:rsidRDefault="00686EC7" w:rsidP="00141BAA">
            <w:pPr>
              <w:rPr>
                <w:rFonts w:cs="Calibri"/>
                <w:b/>
                <w:bCs/>
                <w:sz w:val="22"/>
                <w:szCs w:val="22"/>
              </w:rPr>
            </w:pPr>
          </w:p>
        </w:tc>
        <w:tc>
          <w:tcPr>
            <w:tcW w:w="1613" w:type="dxa"/>
            <w:tcBorders>
              <w:top w:val="single" w:sz="4" w:space="0" w:color="auto"/>
              <w:left w:val="single" w:sz="4" w:space="0" w:color="auto"/>
              <w:bottom w:val="nil"/>
              <w:right w:val="single" w:sz="4" w:space="0" w:color="auto"/>
            </w:tcBorders>
            <w:shd w:val="clear" w:color="auto" w:fill="auto"/>
            <w:noWrap/>
            <w:vAlign w:val="bottom"/>
            <w:hideMark/>
          </w:tcPr>
          <w:p w14:paraId="252B5BA7" w14:textId="77777777" w:rsidR="00686EC7" w:rsidRPr="000C156A" w:rsidRDefault="00686EC7" w:rsidP="00141BAA">
            <w:pPr>
              <w:jc w:val="center"/>
              <w:rPr>
                <w:rFonts w:ascii="Times New Roman" w:hAnsi="Times New Roman"/>
                <w:sz w:val="22"/>
                <w:szCs w:val="22"/>
              </w:rPr>
            </w:pPr>
          </w:p>
        </w:tc>
        <w:tc>
          <w:tcPr>
            <w:tcW w:w="1434" w:type="dxa"/>
            <w:tcBorders>
              <w:top w:val="single" w:sz="4" w:space="0" w:color="auto"/>
              <w:left w:val="single" w:sz="4" w:space="0" w:color="auto"/>
              <w:bottom w:val="nil"/>
              <w:right w:val="single" w:sz="4" w:space="0" w:color="auto"/>
            </w:tcBorders>
            <w:shd w:val="clear" w:color="auto" w:fill="auto"/>
            <w:noWrap/>
            <w:vAlign w:val="bottom"/>
            <w:hideMark/>
          </w:tcPr>
          <w:p w14:paraId="0B67E8C4" w14:textId="77777777" w:rsidR="00686EC7" w:rsidRPr="000C156A" w:rsidRDefault="00686EC7" w:rsidP="00141BAA">
            <w:pPr>
              <w:rPr>
                <w:rFonts w:ascii="Times New Roman" w:hAnsi="Times New Roman"/>
                <w:sz w:val="22"/>
                <w:szCs w:val="22"/>
              </w:rPr>
            </w:pPr>
          </w:p>
        </w:tc>
        <w:tc>
          <w:tcPr>
            <w:tcW w:w="1613" w:type="dxa"/>
            <w:tcBorders>
              <w:top w:val="single" w:sz="4" w:space="0" w:color="auto"/>
              <w:left w:val="single" w:sz="4" w:space="0" w:color="auto"/>
              <w:bottom w:val="nil"/>
              <w:right w:val="single" w:sz="4" w:space="0" w:color="auto"/>
            </w:tcBorders>
            <w:shd w:val="clear" w:color="auto" w:fill="auto"/>
            <w:noWrap/>
            <w:vAlign w:val="bottom"/>
            <w:hideMark/>
          </w:tcPr>
          <w:p w14:paraId="2C596B8A" w14:textId="77777777" w:rsidR="00686EC7" w:rsidRPr="000C156A" w:rsidRDefault="00686EC7" w:rsidP="00141BAA">
            <w:pPr>
              <w:rPr>
                <w:rFonts w:ascii="Times New Roman" w:hAnsi="Times New Roman"/>
                <w:sz w:val="22"/>
                <w:szCs w:val="22"/>
              </w:rPr>
            </w:pPr>
          </w:p>
        </w:tc>
      </w:tr>
      <w:tr w:rsidR="00686EC7" w:rsidRPr="000C156A" w14:paraId="4B48FA1D"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19A446E5" w14:textId="787313A5"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sz w:val="22"/>
                <w:szCs w:val="22"/>
                <w:lang w:val="fr-FR" w:eastAsia="zh-CN"/>
              </w:rPr>
              <w:t>Amity</w:t>
            </w:r>
            <w:r w:rsidR="00686EC7" w:rsidRPr="000C156A">
              <w:rPr>
                <w:rFonts w:cs="Calibri" w:hint="eastAsia"/>
                <w:sz w:val="22"/>
                <w:szCs w:val="22"/>
                <w:lang w:val="fr-FR" w:eastAsia="zh-CN"/>
              </w:rPr>
              <w:t>电信工程学院，诺伊达</w:t>
            </w:r>
          </w:p>
        </w:tc>
        <w:tc>
          <w:tcPr>
            <w:tcW w:w="1264" w:type="dxa"/>
            <w:tcBorders>
              <w:top w:val="nil"/>
              <w:left w:val="single" w:sz="4" w:space="0" w:color="auto"/>
              <w:bottom w:val="nil"/>
              <w:right w:val="single" w:sz="4" w:space="0" w:color="auto"/>
            </w:tcBorders>
            <w:shd w:val="clear" w:color="auto" w:fill="auto"/>
            <w:noWrap/>
            <w:vAlign w:val="bottom"/>
            <w:hideMark/>
          </w:tcPr>
          <w:p w14:paraId="4E406EC5" w14:textId="77777777" w:rsidR="00686EC7" w:rsidRPr="000C156A" w:rsidRDefault="00686EC7" w:rsidP="00141BAA">
            <w:pPr>
              <w:jc w:val="center"/>
              <w:rPr>
                <w:rFonts w:cs="Calibri"/>
                <w:sz w:val="22"/>
                <w:szCs w:val="22"/>
              </w:rPr>
            </w:pPr>
            <w:r w:rsidRPr="000C156A">
              <w:rPr>
                <w:rFonts w:cs="Calibri"/>
                <w:sz w:val="22"/>
                <w:szCs w:val="22"/>
              </w:rPr>
              <w:t>2017</w:t>
            </w:r>
          </w:p>
        </w:tc>
        <w:tc>
          <w:tcPr>
            <w:tcW w:w="1613" w:type="dxa"/>
            <w:tcBorders>
              <w:top w:val="nil"/>
              <w:left w:val="single" w:sz="4" w:space="0" w:color="auto"/>
              <w:bottom w:val="nil"/>
              <w:right w:val="single" w:sz="4" w:space="0" w:color="auto"/>
            </w:tcBorders>
            <w:shd w:val="clear" w:color="auto" w:fill="auto"/>
            <w:noWrap/>
            <w:vAlign w:val="bottom"/>
            <w:hideMark/>
          </w:tcPr>
          <w:p w14:paraId="18E66285" w14:textId="1AA7B1B7"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455.90</w:t>
            </w:r>
          </w:p>
        </w:tc>
        <w:tc>
          <w:tcPr>
            <w:tcW w:w="1434" w:type="dxa"/>
            <w:tcBorders>
              <w:top w:val="nil"/>
              <w:left w:val="single" w:sz="4" w:space="0" w:color="auto"/>
              <w:bottom w:val="nil"/>
              <w:right w:val="single" w:sz="4" w:space="0" w:color="auto"/>
            </w:tcBorders>
            <w:shd w:val="clear" w:color="auto" w:fill="auto"/>
            <w:noWrap/>
            <w:vAlign w:val="bottom"/>
            <w:hideMark/>
          </w:tcPr>
          <w:p w14:paraId="595E51D2"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1275C666" w14:textId="18541F27"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455.90</w:t>
            </w:r>
          </w:p>
        </w:tc>
      </w:tr>
      <w:tr w:rsidR="00686EC7" w:rsidRPr="000C156A" w14:paraId="7E048FA7"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49B01A2E" w14:textId="3EC47614" w:rsidR="00686EC7" w:rsidRPr="008A1B23" w:rsidRDefault="00D93F72" w:rsidP="00D93F72">
            <w:pPr>
              <w:tabs>
                <w:tab w:val="clear" w:pos="567"/>
              </w:tabs>
              <w:spacing w:before="0"/>
              <w:ind w:left="317" w:hanging="317"/>
              <w:rPr>
                <w:rFonts w:cs="Calibri"/>
                <w:sz w:val="22"/>
                <w:szCs w:val="22"/>
              </w:rPr>
            </w:pPr>
            <w:r w:rsidRPr="008A1B23">
              <w:rPr>
                <w:rFonts w:cs="Calibri"/>
                <w:sz w:val="22"/>
                <w:szCs w:val="22"/>
              </w:rPr>
              <w:t>–</w:t>
            </w:r>
            <w:r w:rsidRPr="008A1B23">
              <w:rPr>
                <w:rFonts w:cs="Calibri"/>
                <w:sz w:val="22"/>
                <w:szCs w:val="22"/>
              </w:rPr>
              <w:tab/>
            </w:r>
            <w:r w:rsidR="00686EC7" w:rsidRPr="008A1B23">
              <w:rPr>
                <w:rFonts w:cs="Calibri"/>
                <w:sz w:val="22"/>
                <w:szCs w:val="22"/>
              </w:rPr>
              <w:t>Bharat Sanchar Nigam Ltd. (BSNL)</w:t>
            </w:r>
            <w:r w:rsidR="00686EC7" w:rsidRPr="008A1B23">
              <w:rPr>
                <w:rFonts w:cs="Calibri" w:hint="eastAsia"/>
                <w:sz w:val="22"/>
                <w:szCs w:val="22"/>
              </w:rPr>
              <w:t>，</w:t>
            </w:r>
            <w:r w:rsidR="00686EC7" w:rsidRPr="000C156A">
              <w:rPr>
                <w:rFonts w:cs="Calibri" w:hint="eastAsia"/>
                <w:sz w:val="22"/>
                <w:szCs w:val="22"/>
                <w:lang w:val="fr-FR"/>
              </w:rPr>
              <w:t>新德里</w:t>
            </w:r>
          </w:p>
        </w:tc>
        <w:tc>
          <w:tcPr>
            <w:tcW w:w="1264" w:type="dxa"/>
            <w:tcBorders>
              <w:top w:val="nil"/>
              <w:left w:val="single" w:sz="4" w:space="0" w:color="auto"/>
              <w:bottom w:val="nil"/>
              <w:right w:val="single" w:sz="4" w:space="0" w:color="auto"/>
            </w:tcBorders>
            <w:shd w:val="clear" w:color="auto" w:fill="auto"/>
            <w:noWrap/>
            <w:vAlign w:val="bottom"/>
            <w:hideMark/>
          </w:tcPr>
          <w:p w14:paraId="03E922EB" w14:textId="77777777" w:rsidR="00686EC7" w:rsidRPr="000C156A" w:rsidRDefault="00686EC7" w:rsidP="00141BAA">
            <w:pPr>
              <w:jc w:val="center"/>
              <w:rPr>
                <w:rFonts w:cs="Calibri"/>
                <w:sz w:val="22"/>
                <w:szCs w:val="22"/>
              </w:rPr>
            </w:pPr>
            <w:r w:rsidRPr="000C156A">
              <w:rPr>
                <w:rFonts w:cs="Calibri"/>
                <w:sz w:val="22"/>
                <w:szCs w:val="22"/>
              </w:rPr>
              <w:t>2017-2019</w:t>
            </w:r>
          </w:p>
        </w:tc>
        <w:tc>
          <w:tcPr>
            <w:tcW w:w="1613" w:type="dxa"/>
            <w:tcBorders>
              <w:top w:val="nil"/>
              <w:left w:val="single" w:sz="4" w:space="0" w:color="auto"/>
              <w:bottom w:val="nil"/>
              <w:right w:val="single" w:sz="4" w:space="0" w:color="auto"/>
            </w:tcBorders>
            <w:shd w:val="clear" w:color="auto" w:fill="auto"/>
            <w:noWrap/>
            <w:vAlign w:val="bottom"/>
            <w:hideMark/>
          </w:tcPr>
          <w:p w14:paraId="21ED3A6F" w14:textId="2B80A219" w:rsidR="00686EC7" w:rsidRPr="000C156A" w:rsidRDefault="00686EC7" w:rsidP="00141BAA">
            <w:pPr>
              <w:jc w:val="right"/>
              <w:rPr>
                <w:rFonts w:cs="Calibri"/>
                <w:sz w:val="22"/>
                <w:szCs w:val="22"/>
              </w:rPr>
            </w:pPr>
            <w:r w:rsidRPr="000C156A">
              <w:rPr>
                <w:rFonts w:cs="Calibri"/>
                <w:sz w:val="22"/>
                <w:szCs w:val="22"/>
              </w:rPr>
              <w:t>74</w:t>
            </w:r>
            <w:r w:rsidR="003F0401" w:rsidRPr="000C156A">
              <w:rPr>
                <w:rFonts w:cs="Calibri"/>
                <w:sz w:val="22"/>
                <w:szCs w:val="22"/>
              </w:rPr>
              <w:t xml:space="preserve"> </w:t>
            </w:r>
            <w:r w:rsidRPr="000C156A">
              <w:rPr>
                <w:rFonts w:cs="Calibri"/>
                <w:sz w:val="22"/>
                <w:szCs w:val="22"/>
              </w:rPr>
              <w:t>416.30</w:t>
            </w:r>
          </w:p>
        </w:tc>
        <w:tc>
          <w:tcPr>
            <w:tcW w:w="1434" w:type="dxa"/>
            <w:tcBorders>
              <w:top w:val="nil"/>
              <w:left w:val="single" w:sz="4" w:space="0" w:color="auto"/>
              <w:bottom w:val="nil"/>
              <w:right w:val="single" w:sz="4" w:space="0" w:color="auto"/>
            </w:tcBorders>
            <w:shd w:val="clear" w:color="auto" w:fill="auto"/>
            <w:noWrap/>
            <w:vAlign w:val="bottom"/>
            <w:hideMark/>
          </w:tcPr>
          <w:p w14:paraId="24E77C7B"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5F9F5173" w14:textId="1213F0EC" w:rsidR="00686EC7" w:rsidRPr="000C156A" w:rsidRDefault="00686EC7" w:rsidP="00141BAA">
            <w:pPr>
              <w:jc w:val="right"/>
              <w:rPr>
                <w:rFonts w:cs="Calibri"/>
                <w:sz w:val="22"/>
                <w:szCs w:val="22"/>
              </w:rPr>
            </w:pPr>
            <w:r w:rsidRPr="000C156A">
              <w:rPr>
                <w:rFonts w:cs="Calibri"/>
                <w:sz w:val="22"/>
                <w:szCs w:val="22"/>
              </w:rPr>
              <w:t>74</w:t>
            </w:r>
            <w:r w:rsidR="003F0401" w:rsidRPr="000C156A">
              <w:rPr>
                <w:rFonts w:cs="Calibri"/>
                <w:sz w:val="22"/>
                <w:szCs w:val="22"/>
              </w:rPr>
              <w:t xml:space="preserve"> </w:t>
            </w:r>
            <w:r w:rsidRPr="000C156A">
              <w:rPr>
                <w:rFonts w:cs="Calibri"/>
                <w:sz w:val="22"/>
                <w:szCs w:val="22"/>
              </w:rPr>
              <w:t>416.30</w:t>
            </w:r>
          </w:p>
        </w:tc>
      </w:tr>
      <w:tr w:rsidR="00686EC7" w:rsidRPr="000C156A" w14:paraId="1094C48E"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1007E292" w14:textId="6D1B1E34"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互联网社会中心，班加罗尔</w:t>
            </w:r>
          </w:p>
        </w:tc>
        <w:tc>
          <w:tcPr>
            <w:tcW w:w="1264" w:type="dxa"/>
            <w:tcBorders>
              <w:top w:val="nil"/>
              <w:left w:val="single" w:sz="4" w:space="0" w:color="auto"/>
              <w:bottom w:val="nil"/>
              <w:right w:val="single" w:sz="4" w:space="0" w:color="auto"/>
            </w:tcBorders>
            <w:shd w:val="clear" w:color="auto" w:fill="auto"/>
            <w:noWrap/>
            <w:vAlign w:val="bottom"/>
            <w:hideMark/>
          </w:tcPr>
          <w:p w14:paraId="198BB9E8" w14:textId="77777777" w:rsidR="00686EC7" w:rsidRPr="000C156A" w:rsidRDefault="00686EC7" w:rsidP="00141BAA">
            <w:pPr>
              <w:jc w:val="center"/>
              <w:rPr>
                <w:rFonts w:cs="Calibri"/>
                <w:sz w:val="22"/>
                <w:szCs w:val="22"/>
              </w:rPr>
            </w:pPr>
            <w:r w:rsidRPr="000C156A">
              <w:rPr>
                <w:rFonts w:cs="Calibri"/>
                <w:sz w:val="22"/>
                <w:szCs w:val="22"/>
              </w:rPr>
              <w:t>2014-2015</w:t>
            </w:r>
          </w:p>
        </w:tc>
        <w:tc>
          <w:tcPr>
            <w:tcW w:w="1613" w:type="dxa"/>
            <w:tcBorders>
              <w:top w:val="nil"/>
              <w:left w:val="single" w:sz="4" w:space="0" w:color="auto"/>
              <w:bottom w:val="nil"/>
              <w:right w:val="single" w:sz="4" w:space="0" w:color="auto"/>
            </w:tcBorders>
            <w:shd w:val="clear" w:color="auto" w:fill="auto"/>
            <w:noWrap/>
            <w:vAlign w:val="bottom"/>
            <w:hideMark/>
          </w:tcPr>
          <w:p w14:paraId="2067BBF8" w14:textId="109BCC5E" w:rsidR="00686EC7" w:rsidRPr="000C156A" w:rsidRDefault="00686EC7" w:rsidP="00141BAA">
            <w:pPr>
              <w:jc w:val="right"/>
              <w:rPr>
                <w:rFonts w:cs="Calibri"/>
                <w:sz w:val="22"/>
                <w:szCs w:val="22"/>
              </w:rPr>
            </w:pPr>
            <w:r w:rsidRPr="000C156A">
              <w:rPr>
                <w:rFonts w:cs="Calibri"/>
                <w:sz w:val="22"/>
                <w:szCs w:val="22"/>
              </w:rPr>
              <w:t>5</w:t>
            </w:r>
            <w:r w:rsidR="003F0401" w:rsidRPr="000C156A">
              <w:rPr>
                <w:rFonts w:cs="Calibri"/>
                <w:sz w:val="22"/>
                <w:szCs w:val="22"/>
              </w:rPr>
              <w:t xml:space="preserve"> </w:t>
            </w:r>
            <w:r w:rsidRPr="000C156A">
              <w:rPr>
                <w:rFonts w:cs="Calibri"/>
                <w:sz w:val="22"/>
                <w:szCs w:val="22"/>
              </w:rPr>
              <w:t>542.45</w:t>
            </w:r>
          </w:p>
        </w:tc>
        <w:tc>
          <w:tcPr>
            <w:tcW w:w="1434" w:type="dxa"/>
            <w:tcBorders>
              <w:top w:val="nil"/>
              <w:left w:val="single" w:sz="4" w:space="0" w:color="auto"/>
              <w:bottom w:val="nil"/>
              <w:right w:val="single" w:sz="4" w:space="0" w:color="auto"/>
            </w:tcBorders>
            <w:shd w:val="clear" w:color="auto" w:fill="auto"/>
            <w:noWrap/>
            <w:vAlign w:val="bottom"/>
            <w:hideMark/>
          </w:tcPr>
          <w:p w14:paraId="46A2E5E5"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725A62FF" w14:textId="02CD43EA" w:rsidR="00686EC7" w:rsidRPr="000C156A" w:rsidRDefault="00686EC7" w:rsidP="00141BAA">
            <w:pPr>
              <w:jc w:val="right"/>
              <w:rPr>
                <w:rFonts w:cs="Calibri"/>
                <w:sz w:val="22"/>
                <w:szCs w:val="22"/>
              </w:rPr>
            </w:pPr>
            <w:r w:rsidRPr="000C156A">
              <w:rPr>
                <w:rFonts w:cs="Calibri"/>
                <w:sz w:val="22"/>
                <w:szCs w:val="22"/>
              </w:rPr>
              <w:t>5</w:t>
            </w:r>
            <w:r w:rsidR="003F0401" w:rsidRPr="000C156A">
              <w:rPr>
                <w:rFonts w:cs="Calibri"/>
                <w:sz w:val="22"/>
                <w:szCs w:val="22"/>
              </w:rPr>
              <w:t xml:space="preserve"> </w:t>
            </w:r>
            <w:r w:rsidRPr="000C156A">
              <w:rPr>
                <w:rFonts w:cs="Calibri"/>
                <w:sz w:val="22"/>
                <w:szCs w:val="22"/>
              </w:rPr>
              <w:t>542.45</w:t>
            </w:r>
          </w:p>
        </w:tc>
      </w:tr>
      <w:tr w:rsidR="00686EC7" w:rsidRPr="000C156A" w14:paraId="76D846E4"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36452F10" w14:textId="216F38E6"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HRM</w:t>
            </w:r>
            <w:r w:rsidR="00686EC7" w:rsidRPr="000C156A">
              <w:rPr>
                <w:rFonts w:cs="Calibri" w:hint="eastAsia"/>
                <w:sz w:val="22"/>
                <w:szCs w:val="22"/>
                <w:lang w:val="fr-FR" w:eastAsia="zh-CN"/>
              </w:rPr>
              <w:t>技术与管理学院，新德里</w:t>
            </w:r>
          </w:p>
        </w:tc>
        <w:tc>
          <w:tcPr>
            <w:tcW w:w="1264" w:type="dxa"/>
            <w:tcBorders>
              <w:top w:val="nil"/>
              <w:left w:val="single" w:sz="4" w:space="0" w:color="auto"/>
              <w:bottom w:val="nil"/>
              <w:right w:val="single" w:sz="4" w:space="0" w:color="auto"/>
            </w:tcBorders>
            <w:shd w:val="clear" w:color="auto" w:fill="auto"/>
            <w:noWrap/>
            <w:vAlign w:val="bottom"/>
            <w:hideMark/>
          </w:tcPr>
          <w:p w14:paraId="172B4A7D" w14:textId="77777777" w:rsidR="00686EC7" w:rsidRPr="000C156A" w:rsidRDefault="00686EC7" w:rsidP="00141BAA">
            <w:pPr>
              <w:jc w:val="center"/>
              <w:rPr>
                <w:rFonts w:cs="Calibri"/>
                <w:sz w:val="22"/>
                <w:szCs w:val="22"/>
              </w:rPr>
            </w:pPr>
            <w:r w:rsidRPr="000C156A">
              <w:rPr>
                <w:rFonts w:cs="Calibri"/>
                <w:sz w:val="22"/>
                <w:szCs w:val="22"/>
              </w:rPr>
              <w:t>2016-2018</w:t>
            </w:r>
          </w:p>
        </w:tc>
        <w:tc>
          <w:tcPr>
            <w:tcW w:w="1613" w:type="dxa"/>
            <w:tcBorders>
              <w:top w:val="nil"/>
              <w:left w:val="single" w:sz="4" w:space="0" w:color="auto"/>
              <w:bottom w:val="nil"/>
              <w:right w:val="single" w:sz="4" w:space="0" w:color="auto"/>
            </w:tcBorders>
            <w:shd w:val="clear" w:color="auto" w:fill="auto"/>
            <w:noWrap/>
            <w:vAlign w:val="bottom"/>
            <w:hideMark/>
          </w:tcPr>
          <w:p w14:paraId="72D5506F" w14:textId="12860BA2"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391.45</w:t>
            </w:r>
          </w:p>
        </w:tc>
        <w:tc>
          <w:tcPr>
            <w:tcW w:w="1434" w:type="dxa"/>
            <w:tcBorders>
              <w:top w:val="nil"/>
              <w:left w:val="single" w:sz="4" w:space="0" w:color="auto"/>
              <w:bottom w:val="nil"/>
              <w:right w:val="single" w:sz="4" w:space="0" w:color="auto"/>
            </w:tcBorders>
            <w:shd w:val="clear" w:color="auto" w:fill="auto"/>
            <w:noWrap/>
            <w:vAlign w:val="bottom"/>
            <w:hideMark/>
          </w:tcPr>
          <w:p w14:paraId="7C7BA6E9"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2EBF2AC3" w14:textId="21311C54"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391.45</w:t>
            </w:r>
          </w:p>
        </w:tc>
      </w:tr>
      <w:tr w:rsidR="00686EC7" w:rsidRPr="000C156A" w14:paraId="487E3F8E"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622480AD" w14:textId="077A6174"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sz w:val="22"/>
                <w:szCs w:val="22"/>
                <w:lang w:val="fr-FR" w:eastAsia="zh-CN"/>
              </w:rPr>
              <w:t>Luna</w:t>
            </w:r>
            <w:r w:rsidR="00686EC7" w:rsidRPr="000C156A">
              <w:rPr>
                <w:rFonts w:cs="Calibri" w:hint="eastAsia"/>
                <w:sz w:val="22"/>
                <w:szCs w:val="22"/>
                <w:lang w:val="fr-FR" w:eastAsia="zh-CN"/>
              </w:rPr>
              <w:t>人体工程学有限公司，诺伊达</w:t>
            </w:r>
          </w:p>
        </w:tc>
        <w:tc>
          <w:tcPr>
            <w:tcW w:w="1264" w:type="dxa"/>
            <w:tcBorders>
              <w:top w:val="nil"/>
              <w:left w:val="single" w:sz="4" w:space="0" w:color="auto"/>
              <w:bottom w:val="nil"/>
              <w:right w:val="single" w:sz="4" w:space="0" w:color="auto"/>
            </w:tcBorders>
            <w:shd w:val="clear" w:color="auto" w:fill="auto"/>
            <w:noWrap/>
            <w:vAlign w:val="bottom"/>
            <w:hideMark/>
          </w:tcPr>
          <w:p w14:paraId="2D6963C3" w14:textId="77777777" w:rsidR="00686EC7" w:rsidRPr="000C156A" w:rsidRDefault="00686EC7" w:rsidP="00141BAA">
            <w:pPr>
              <w:jc w:val="center"/>
              <w:rPr>
                <w:rFonts w:cs="Calibri"/>
                <w:sz w:val="22"/>
                <w:szCs w:val="22"/>
              </w:rPr>
            </w:pPr>
            <w:r w:rsidRPr="000C156A">
              <w:rPr>
                <w:rFonts w:cs="Calibri"/>
                <w:sz w:val="22"/>
                <w:szCs w:val="22"/>
              </w:rPr>
              <w:t>2011</w:t>
            </w:r>
          </w:p>
        </w:tc>
        <w:tc>
          <w:tcPr>
            <w:tcW w:w="1613" w:type="dxa"/>
            <w:tcBorders>
              <w:top w:val="nil"/>
              <w:left w:val="single" w:sz="4" w:space="0" w:color="auto"/>
              <w:bottom w:val="nil"/>
              <w:right w:val="single" w:sz="4" w:space="0" w:color="auto"/>
            </w:tcBorders>
            <w:shd w:val="clear" w:color="auto" w:fill="auto"/>
            <w:noWrap/>
            <w:vAlign w:val="bottom"/>
            <w:hideMark/>
          </w:tcPr>
          <w:p w14:paraId="3F24ED6E" w14:textId="19F0452D" w:rsidR="00686EC7" w:rsidRPr="000C156A" w:rsidRDefault="00686EC7" w:rsidP="00141BAA">
            <w:pPr>
              <w:jc w:val="right"/>
              <w:rPr>
                <w:rFonts w:cs="Calibri"/>
                <w:sz w:val="22"/>
                <w:szCs w:val="22"/>
              </w:rPr>
            </w:pPr>
            <w:r w:rsidRPr="000C156A">
              <w:rPr>
                <w:rFonts w:cs="Calibri"/>
                <w:sz w:val="22"/>
                <w:szCs w:val="22"/>
              </w:rPr>
              <w:t>6</w:t>
            </w:r>
            <w:r w:rsidR="003F0401" w:rsidRPr="000C156A">
              <w:rPr>
                <w:rFonts w:cs="Calibri"/>
                <w:sz w:val="22"/>
                <w:szCs w:val="22"/>
              </w:rPr>
              <w:t xml:space="preserve"> </w:t>
            </w:r>
            <w:r w:rsidRPr="000C156A">
              <w:rPr>
                <w:rFonts w:cs="Calibri"/>
                <w:sz w:val="22"/>
                <w:szCs w:val="22"/>
              </w:rPr>
              <w:t>967.55</w:t>
            </w:r>
          </w:p>
        </w:tc>
        <w:tc>
          <w:tcPr>
            <w:tcW w:w="1434" w:type="dxa"/>
            <w:tcBorders>
              <w:top w:val="nil"/>
              <w:left w:val="single" w:sz="4" w:space="0" w:color="auto"/>
              <w:bottom w:val="nil"/>
              <w:right w:val="single" w:sz="4" w:space="0" w:color="auto"/>
            </w:tcBorders>
            <w:shd w:val="clear" w:color="auto" w:fill="auto"/>
            <w:noWrap/>
            <w:vAlign w:val="bottom"/>
            <w:hideMark/>
          </w:tcPr>
          <w:p w14:paraId="06B57AA4"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7B2EABB5" w14:textId="397850C4" w:rsidR="00686EC7" w:rsidRPr="000C156A" w:rsidRDefault="00686EC7" w:rsidP="00141BAA">
            <w:pPr>
              <w:jc w:val="right"/>
              <w:rPr>
                <w:rFonts w:cs="Calibri"/>
                <w:sz w:val="22"/>
                <w:szCs w:val="22"/>
              </w:rPr>
            </w:pPr>
            <w:r w:rsidRPr="000C156A">
              <w:rPr>
                <w:rFonts w:cs="Calibri"/>
                <w:sz w:val="22"/>
                <w:szCs w:val="22"/>
              </w:rPr>
              <w:t>6</w:t>
            </w:r>
            <w:r w:rsidR="003F0401" w:rsidRPr="000C156A">
              <w:rPr>
                <w:rFonts w:cs="Calibri"/>
                <w:sz w:val="22"/>
                <w:szCs w:val="22"/>
              </w:rPr>
              <w:t xml:space="preserve"> </w:t>
            </w:r>
            <w:r w:rsidRPr="000C156A">
              <w:rPr>
                <w:rFonts w:cs="Calibri"/>
                <w:sz w:val="22"/>
                <w:szCs w:val="22"/>
              </w:rPr>
              <w:t>967.55</w:t>
            </w:r>
          </w:p>
        </w:tc>
      </w:tr>
      <w:tr w:rsidR="00686EC7" w:rsidRPr="000C156A" w14:paraId="65A38250"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2E590DB8" w14:textId="72508F65" w:rsidR="00686EC7" w:rsidRPr="008A1B23" w:rsidRDefault="00D93F72" w:rsidP="00D93F72">
            <w:pPr>
              <w:tabs>
                <w:tab w:val="clear" w:pos="567"/>
              </w:tabs>
              <w:spacing w:before="0"/>
              <w:ind w:left="317" w:hanging="317"/>
              <w:rPr>
                <w:rFonts w:cs="Calibri"/>
                <w:sz w:val="22"/>
                <w:szCs w:val="22"/>
              </w:rPr>
            </w:pPr>
            <w:r w:rsidRPr="008A1B23">
              <w:rPr>
                <w:rFonts w:cs="Calibri"/>
                <w:sz w:val="22"/>
                <w:szCs w:val="22"/>
              </w:rPr>
              <w:t>–</w:t>
            </w:r>
            <w:r w:rsidRPr="008A1B23">
              <w:rPr>
                <w:rFonts w:cs="Calibri"/>
                <w:sz w:val="22"/>
                <w:szCs w:val="22"/>
              </w:rPr>
              <w:tab/>
            </w:r>
            <w:r w:rsidR="00686EC7" w:rsidRPr="000C156A">
              <w:rPr>
                <w:rFonts w:cs="Calibri"/>
                <w:sz w:val="22"/>
                <w:szCs w:val="22"/>
                <w:lang w:val="fr-FR"/>
              </w:rPr>
              <w:t>印度</w:t>
            </w:r>
            <w:r w:rsidR="00686EC7" w:rsidRPr="008A1B23">
              <w:rPr>
                <w:rFonts w:cs="Calibri"/>
                <w:sz w:val="22"/>
                <w:szCs w:val="22"/>
              </w:rPr>
              <w:t>Raitel</w:t>
            </w:r>
            <w:r w:rsidR="00686EC7" w:rsidRPr="000C156A">
              <w:rPr>
                <w:rFonts w:cs="Calibri" w:hint="eastAsia"/>
                <w:sz w:val="22"/>
                <w:szCs w:val="22"/>
                <w:lang w:val="fr-FR"/>
              </w:rPr>
              <w:t>公司</w:t>
            </w:r>
            <w:r w:rsidR="00686EC7" w:rsidRPr="008A1B23">
              <w:rPr>
                <w:rFonts w:cs="Calibri" w:hint="eastAsia"/>
                <w:sz w:val="22"/>
                <w:szCs w:val="22"/>
              </w:rPr>
              <w:t>，</w:t>
            </w:r>
            <w:r w:rsidR="00686EC7" w:rsidRPr="000C156A">
              <w:rPr>
                <w:rFonts w:cs="Calibri" w:hint="eastAsia"/>
                <w:sz w:val="22"/>
                <w:szCs w:val="22"/>
                <w:lang w:val="fr-FR"/>
              </w:rPr>
              <w:t>新德里</w:t>
            </w:r>
          </w:p>
        </w:tc>
        <w:tc>
          <w:tcPr>
            <w:tcW w:w="1264" w:type="dxa"/>
            <w:tcBorders>
              <w:top w:val="nil"/>
              <w:left w:val="single" w:sz="4" w:space="0" w:color="auto"/>
              <w:bottom w:val="nil"/>
              <w:right w:val="single" w:sz="4" w:space="0" w:color="auto"/>
            </w:tcBorders>
            <w:shd w:val="clear" w:color="auto" w:fill="auto"/>
            <w:noWrap/>
            <w:vAlign w:val="bottom"/>
            <w:hideMark/>
          </w:tcPr>
          <w:p w14:paraId="29700B3C" w14:textId="77777777" w:rsidR="00686EC7" w:rsidRPr="000C156A" w:rsidRDefault="00686EC7" w:rsidP="00141BAA">
            <w:pPr>
              <w:jc w:val="center"/>
              <w:rPr>
                <w:rFonts w:cs="Calibri"/>
                <w:sz w:val="22"/>
                <w:szCs w:val="22"/>
              </w:rPr>
            </w:pPr>
            <w:r w:rsidRPr="000C156A">
              <w:rPr>
                <w:rFonts w:cs="Calibri"/>
                <w:sz w:val="22"/>
                <w:szCs w:val="22"/>
              </w:rPr>
              <w:t>2013</w:t>
            </w:r>
          </w:p>
        </w:tc>
        <w:tc>
          <w:tcPr>
            <w:tcW w:w="1613" w:type="dxa"/>
            <w:tcBorders>
              <w:top w:val="nil"/>
              <w:left w:val="single" w:sz="4" w:space="0" w:color="auto"/>
              <w:bottom w:val="nil"/>
              <w:right w:val="single" w:sz="4" w:space="0" w:color="auto"/>
            </w:tcBorders>
            <w:shd w:val="clear" w:color="auto" w:fill="auto"/>
            <w:noWrap/>
            <w:vAlign w:val="bottom"/>
            <w:hideMark/>
          </w:tcPr>
          <w:p w14:paraId="4A6BC9E6" w14:textId="54B0BBE0" w:rsidR="00686EC7" w:rsidRPr="000C156A" w:rsidRDefault="00686EC7" w:rsidP="00141BAA">
            <w:pPr>
              <w:jc w:val="right"/>
              <w:rPr>
                <w:rFonts w:cs="Calibri"/>
                <w:sz w:val="22"/>
                <w:szCs w:val="22"/>
              </w:rPr>
            </w:pPr>
            <w:r w:rsidRPr="000C156A">
              <w:rPr>
                <w:rFonts w:cs="Calibri"/>
                <w:sz w:val="22"/>
                <w:szCs w:val="22"/>
              </w:rPr>
              <w:t>6</w:t>
            </w:r>
            <w:r w:rsidR="003F0401" w:rsidRPr="000C156A">
              <w:rPr>
                <w:rFonts w:cs="Calibri"/>
                <w:sz w:val="22"/>
                <w:szCs w:val="22"/>
              </w:rPr>
              <w:t xml:space="preserve"> </w:t>
            </w:r>
            <w:r w:rsidRPr="000C156A">
              <w:rPr>
                <w:rFonts w:cs="Calibri"/>
                <w:sz w:val="22"/>
                <w:szCs w:val="22"/>
              </w:rPr>
              <w:t>201.10</w:t>
            </w:r>
          </w:p>
        </w:tc>
        <w:tc>
          <w:tcPr>
            <w:tcW w:w="1434" w:type="dxa"/>
            <w:tcBorders>
              <w:top w:val="nil"/>
              <w:left w:val="single" w:sz="4" w:space="0" w:color="auto"/>
              <w:bottom w:val="nil"/>
              <w:right w:val="single" w:sz="4" w:space="0" w:color="auto"/>
            </w:tcBorders>
            <w:shd w:val="clear" w:color="auto" w:fill="auto"/>
            <w:noWrap/>
            <w:vAlign w:val="bottom"/>
            <w:hideMark/>
          </w:tcPr>
          <w:p w14:paraId="242D52E0"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79D11870" w14:textId="2BD9E674" w:rsidR="00686EC7" w:rsidRPr="000C156A" w:rsidRDefault="00686EC7" w:rsidP="00141BAA">
            <w:pPr>
              <w:jc w:val="right"/>
              <w:rPr>
                <w:rFonts w:cs="Calibri"/>
                <w:sz w:val="22"/>
                <w:szCs w:val="22"/>
              </w:rPr>
            </w:pPr>
            <w:r w:rsidRPr="000C156A">
              <w:rPr>
                <w:rFonts w:cs="Calibri"/>
                <w:sz w:val="22"/>
                <w:szCs w:val="22"/>
              </w:rPr>
              <w:t>6</w:t>
            </w:r>
            <w:r w:rsidR="003F0401" w:rsidRPr="000C156A">
              <w:rPr>
                <w:rFonts w:cs="Calibri"/>
                <w:sz w:val="22"/>
                <w:szCs w:val="22"/>
              </w:rPr>
              <w:t xml:space="preserve"> </w:t>
            </w:r>
            <w:r w:rsidRPr="000C156A">
              <w:rPr>
                <w:rFonts w:cs="Calibri"/>
                <w:sz w:val="22"/>
                <w:szCs w:val="22"/>
              </w:rPr>
              <w:t>201.10</w:t>
            </w:r>
          </w:p>
        </w:tc>
      </w:tr>
      <w:tr w:rsidR="00686EC7" w:rsidRPr="000C156A" w14:paraId="4B4EA742"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4CCB1A31" w14:textId="40039CB0"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Sinhgad</w:t>
            </w:r>
            <w:r w:rsidR="00686EC7" w:rsidRPr="000C156A">
              <w:rPr>
                <w:rFonts w:cs="Calibri" w:hint="eastAsia"/>
                <w:sz w:val="22"/>
                <w:szCs w:val="22"/>
                <w:lang w:val="fr-FR" w:eastAsia="zh-CN"/>
              </w:rPr>
              <w:t>技术教育协会，浦那</w:t>
            </w:r>
          </w:p>
        </w:tc>
        <w:tc>
          <w:tcPr>
            <w:tcW w:w="1264" w:type="dxa"/>
            <w:tcBorders>
              <w:top w:val="nil"/>
              <w:left w:val="single" w:sz="4" w:space="0" w:color="auto"/>
              <w:bottom w:val="nil"/>
              <w:right w:val="single" w:sz="4" w:space="0" w:color="auto"/>
            </w:tcBorders>
            <w:shd w:val="clear" w:color="auto" w:fill="auto"/>
            <w:noWrap/>
            <w:vAlign w:val="bottom"/>
            <w:hideMark/>
          </w:tcPr>
          <w:p w14:paraId="26B8AF8E" w14:textId="77777777" w:rsidR="00686EC7" w:rsidRPr="000C156A" w:rsidRDefault="00686EC7" w:rsidP="00141BAA">
            <w:pPr>
              <w:jc w:val="center"/>
              <w:rPr>
                <w:rFonts w:cs="Calibri"/>
                <w:sz w:val="22"/>
                <w:szCs w:val="22"/>
              </w:rPr>
            </w:pPr>
            <w:r w:rsidRPr="000C156A">
              <w:rPr>
                <w:rFonts w:cs="Calibri"/>
                <w:sz w:val="22"/>
                <w:szCs w:val="22"/>
              </w:rPr>
              <w:t>2011-2012</w:t>
            </w:r>
          </w:p>
        </w:tc>
        <w:tc>
          <w:tcPr>
            <w:tcW w:w="1613" w:type="dxa"/>
            <w:tcBorders>
              <w:top w:val="nil"/>
              <w:left w:val="single" w:sz="4" w:space="0" w:color="auto"/>
              <w:bottom w:val="nil"/>
              <w:right w:val="single" w:sz="4" w:space="0" w:color="auto"/>
            </w:tcBorders>
            <w:shd w:val="clear" w:color="auto" w:fill="auto"/>
            <w:noWrap/>
            <w:vAlign w:val="bottom"/>
            <w:hideMark/>
          </w:tcPr>
          <w:p w14:paraId="1633A7B1" w14:textId="415C8312" w:rsidR="00686EC7" w:rsidRPr="000C156A" w:rsidRDefault="00686EC7" w:rsidP="00141BAA">
            <w:pPr>
              <w:jc w:val="right"/>
              <w:rPr>
                <w:rFonts w:cs="Calibri"/>
                <w:sz w:val="22"/>
                <w:szCs w:val="22"/>
              </w:rPr>
            </w:pPr>
            <w:r w:rsidRPr="000C156A">
              <w:rPr>
                <w:rFonts w:cs="Calibri"/>
                <w:sz w:val="22"/>
                <w:szCs w:val="22"/>
              </w:rPr>
              <w:t>4</w:t>
            </w:r>
            <w:r w:rsidR="003F0401" w:rsidRPr="000C156A">
              <w:rPr>
                <w:rFonts w:cs="Calibri"/>
                <w:sz w:val="22"/>
                <w:szCs w:val="22"/>
              </w:rPr>
              <w:t xml:space="preserve"> </w:t>
            </w:r>
            <w:r w:rsidRPr="000C156A">
              <w:rPr>
                <w:rFonts w:cs="Calibri"/>
                <w:sz w:val="22"/>
                <w:szCs w:val="22"/>
              </w:rPr>
              <w:t>685.70</w:t>
            </w:r>
          </w:p>
        </w:tc>
        <w:tc>
          <w:tcPr>
            <w:tcW w:w="1434" w:type="dxa"/>
            <w:tcBorders>
              <w:top w:val="nil"/>
              <w:left w:val="single" w:sz="4" w:space="0" w:color="auto"/>
              <w:bottom w:val="nil"/>
              <w:right w:val="single" w:sz="4" w:space="0" w:color="auto"/>
            </w:tcBorders>
            <w:shd w:val="clear" w:color="auto" w:fill="auto"/>
            <w:noWrap/>
            <w:vAlign w:val="bottom"/>
            <w:hideMark/>
          </w:tcPr>
          <w:p w14:paraId="56B4E141"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74325E0A" w14:textId="77CB18EA" w:rsidR="00686EC7" w:rsidRPr="000C156A" w:rsidRDefault="00686EC7" w:rsidP="00141BAA">
            <w:pPr>
              <w:jc w:val="right"/>
              <w:rPr>
                <w:rFonts w:cs="Calibri"/>
                <w:sz w:val="22"/>
                <w:szCs w:val="22"/>
              </w:rPr>
            </w:pPr>
            <w:r w:rsidRPr="000C156A">
              <w:rPr>
                <w:rFonts w:cs="Calibri"/>
                <w:sz w:val="22"/>
                <w:szCs w:val="22"/>
              </w:rPr>
              <w:t>4</w:t>
            </w:r>
            <w:r w:rsidR="003F0401" w:rsidRPr="000C156A">
              <w:rPr>
                <w:rFonts w:cs="Calibri"/>
                <w:sz w:val="22"/>
                <w:szCs w:val="22"/>
              </w:rPr>
              <w:t xml:space="preserve"> </w:t>
            </w:r>
            <w:r w:rsidRPr="000C156A">
              <w:rPr>
                <w:rFonts w:cs="Calibri"/>
                <w:sz w:val="22"/>
                <w:szCs w:val="22"/>
              </w:rPr>
              <w:t>685.70</w:t>
            </w:r>
          </w:p>
        </w:tc>
      </w:tr>
      <w:tr w:rsidR="00686EC7" w:rsidRPr="000C156A" w14:paraId="50C3E2F7"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2373721C" w14:textId="340908CD"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hint="eastAsia"/>
                <w:sz w:val="22"/>
                <w:szCs w:val="22"/>
                <w:lang w:val="fr-FR"/>
              </w:rPr>
              <w:t>塔塔通信公司，新德里</w:t>
            </w:r>
          </w:p>
        </w:tc>
        <w:tc>
          <w:tcPr>
            <w:tcW w:w="1264" w:type="dxa"/>
            <w:tcBorders>
              <w:top w:val="nil"/>
              <w:left w:val="single" w:sz="4" w:space="0" w:color="auto"/>
              <w:bottom w:val="nil"/>
              <w:right w:val="single" w:sz="4" w:space="0" w:color="auto"/>
            </w:tcBorders>
            <w:shd w:val="clear" w:color="auto" w:fill="auto"/>
            <w:noWrap/>
            <w:vAlign w:val="bottom"/>
            <w:hideMark/>
          </w:tcPr>
          <w:p w14:paraId="1EED5B90" w14:textId="77777777" w:rsidR="00686EC7" w:rsidRPr="000C156A" w:rsidRDefault="00686EC7" w:rsidP="00141BAA">
            <w:pPr>
              <w:jc w:val="center"/>
              <w:rPr>
                <w:rFonts w:cs="Calibri"/>
                <w:sz w:val="22"/>
                <w:szCs w:val="22"/>
              </w:rPr>
            </w:pPr>
            <w:r w:rsidRPr="000C156A">
              <w:rPr>
                <w:rFonts w:cs="Calibri"/>
                <w:sz w:val="22"/>
                <w:szCs w:val="22"/>
              </w:rPr>
              <w:t>2013</w:t>
            </w:r>
          </w:p>
        </w:tc>
        <w:tc>
          <w:tcPr>
            <w:tcW w:w="1613" w:type="dxa"/>
            <w:tcBorders>
              <w:top w:val="nil"/>
              <w:left w:val="single" w:sz="4" w:space="0" w:color="auto"/>
              <w:bottom w:val="nil"/>
              <w:right w:val="single" w:sz="4" w:space="0" w:color="auto"/>
            </w:tcBorders>
            <w:shd w:val="clear" w:color="auto" w:fill="auto"/>
            <w:noWrap/>
            <w:vAlign w:val="bottom"/>
            <w:hideMark/>
          </w:tcPr>
          <w:p w14:paraId="12DE706B" w14:textId="5AB18FB6" w:rsidR="00686EC7" w:rsidRPr="000C156A" w:rsidRDefault="00686EC7" w:rsidP="00141BAA">
            <w:pPr>
              <w:jc w:val="right"/>
              <w:rPr>
                <w:rFonts w:cs="Calibri"/>
                <w:sz w:val="22"/>
                <w:szCs w:val="22"/>
              </w:rPr>
            </w:pPr>
            <w:r w:rsidRPr="000C156A">
              <w:rPr>
                <w:rFonts w:cs="Calibri"/>
                <w:sz w:val="22"/>
                <w:szCs w:val="22"/>
              </w:rPr>
              <w:t>6</w:t>
            </w:r>
            <w:r w:rsidR="003F0401" w:rsidRPr="000C156A">
              <w:rPr>
                <w:rFonts w:cs="Calibri"/>
                <w:sz w:val="22"/>
                <w:szCs w:val="22"/>
              </w:rPr>
              <w:t xml:space="preserve"> </w:t>
            </w:r>
            <w:r w:rsidRPr="000C156A">
              <w:rPr>
                <w:rFonts w:cs="Calibri"/>
                <w:sz w:val="22"/>
                <w:szCs w:val="22"/>
              </w:rPr>
              <w:t>201.10</w:t>
            </w:r>
          </w:p>
        </w:tc>
        <w:tc>
          <w:tcPr>
            <w:tcW w:w="1434" w:type="dxa"/>
            <w:tcBorders>
              <w:top w:val="nil"/>
              <w:left w:val="single" w:sz="4" w:space="0" w:color="auto"/>
              <w:bottom w:val="nil"/>
              <w:right w:val="single" w:sz="4" w:space="0" w:color="auto"/>
            </w:tcBorders>
            <w:shd w:val="clear" w:color="auto" w:fill="auto"/>
            <w:noWrap/>
            <w:vAlign w:val="bottom"/>
            <w:hideMark/>
          </w:tcPr>
          <w:p w14:paraId="7A8B68D2"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51414A15" w14:textId="48ECA087" w:rsidR="00686EC7" w:rsidRPr="000C156A" w:rsidRDefault="00686EC7" w:rsidP="00141BAA">
            <w:pPr>
              <w:jc w:val="right"/>
              <w:rPr>
                <w:rFonts w:cs="Calibri"/>
                <w:sz w:val="22"/>
                <w:szCs w:val="22"/>
              </w:rPr>
            </w:pPr>
            <w:r w:rsidRPr="000C156A">
              <w:rPr>
                <w:rFonts w:cs="Calibri"/>
                <w:sz w:val="22"/>
                <w:szCs w:val="22"/>
              </w:rPr>
              <w:t>6</w:t>
            </w:r>
            <w:r w:rsidR="003F0401" w:rsidRPr="000C156A">
              <w:rPr>
                <w:rFonts w:cs="Calibri"/>
                <w:sz w:val="22"/>
                <w:szCs w:val="22"/>
              </w:rPr>
              <w:t xml:space="preserve"> </w:t>
            </w:r>
            <w:r w:rsidRPr="000C156A">
              <w:rPr>
                <w:rFonts w:cs="Calibri"/>
                <w:sz w:val="22"/>
                <w:szCs w:val="22"/>
              </w:rPr>
              <w:t>201.10</w:t>
            </w:r>
          </w:p>
        </w:tc>
      </w:tr>
      <w:tr w:rsidR="00686EC7" w:rsidRPr="000C156A" w14:paraId="171C900E"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05E707AF" w14:textId="043071DC"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电信咨询公司，新德里</w:t>
            </w:r>
          </w:p>
        </w:tc>
        <w:tc>
          <w:tcPr>
            <w:tcW w:w="1264" w:type="dxa"/>
            <w:tcBorders>
              <w:top w:val="nil"/>
              <w:left w:val="single" w:sz="4" w:space="0" w:color="auto"/>
              <w:bottom w:val="nil"/>
              <w:right w:val="single" w:sz="4" w:space="0" w:color="auto"/>
            </w:tcBorders>
            <w:shd w:val="clear" w:color="auto" w:fill="auto"/>
            <w:noWrap/>
            <w:vAlign w:val="bottom"/>
            <w:hideMark/>
          </w:tcPr>
          <w:p w14:paraId="0B1E71E9" w14:textId="77777777" w:rsidR="00686EC7" w:rsidRPr="000C156A" w:rsidRDefault="00686EC7" w:rsidP="00141BAA">
            <w:pPr>
              <w:jc w:val="center"/>
              <w:rPr>
                <w:rFonts w:cs="Calibri"/>
                <w:sz w:val="22"/>
                <w:szCs w:val="22"/>
              </w:rPr>
            </w:pPr>
            <w:r w:rsidRPr="000C156A">
              <w:rPr>
                <w:rFonts w:cs="Calibri"/>
                <w:sz w:val="22"/>
                <w:szCs w:val="22"/>
              </w:rPr>
              <w:t>2006-2007</w:t>
            </w:r>
          </w:p>
        </w:tc>
        <w:tc>
          <w:tcPr>
            <w:tcW w:w="1613" w:type="dxa"/>
            <w:tcBorders>
              <w:top w:val="nil"/>
              <w:left w:val="single" w:sz="4" w:space="0" w:color="auto"/>
              <w:bottom w:val="nil"/>
              <w:right w:val="single" w:sz="4" w:space="0" w:color="auto"/>
            </w:tcBorders>
            <w:shd w:val="clear" w:color="auto" w:fill="auto"/>
            <w:noWrap/>
            <w:vAlign w:val="bottom"/>
            <w:hideMark/>
          </w:tcPr>
          <w:p w14:paraId="2A04A700" w14:textId="0AB1F124" w:rsidR="00686EC7" w:rsidRPr="000C156A" w:rsidRDefault="00686EC7" w:rsidP="00141BAA">
            <w:pPr>
              <w:jc w:val="right"/>
              <w:rPr>
                <w:rFonts w:cs="Calibri"/>
                <w:sz w:val="22"/>
                <w:szCs w:val="22"/>
              </w:rPr>
            </w:pPr>
            <w:r w:rsidRPr="000C156A">
              <w:rPr>
                <w:rFonts w:cs="Calibri"/>
                <w:sz w:val="22"/>
                <w:szCs w:val="22"/>
              </w:rPr>
              <w:t>144</w:t>
            </w:r>
            <w:r w:rsidR="003F0401" w:rsidRPr="000C156A">
              <w:rPr>
                <w:rFonts w:cs="Calibri"/>
                <w:sz w:val="22"/>
                <w:szCs w:val="22"/>
              </w:rPr>
              <w:t xml:space="preserve"> </w:t>
            </w:r>
            <w:r w:rsidRPr="000C156A">
              <w:rPr>
                <w:rFonts w:cs="Calibri"/>
                <w:sz w:val="22"/>
                <w:szCs w:val="22"/>
              </w:rPr>
              <w:t>963.35</w:t>
            </w:r>
          </w:p>
        </w:tc>
        <w:tc>
          <w:tcPr>
            <w:tcW w:w="1434" w:type="dxa"/>
            <w:tcBorders>
              <w:top w:val="nil"/>
              <w:left w:val="single" w:sz="4" w:space="0" w:color="auto"/>
              <w:bottom w:val="nil"/>
              <w:right w:val="single" w:sz="4" w:space="0" w:color="auto"/>
            </w:tcBorders>
            <w:shd w:val="clear" w:color="auto" w:fill="auto"/>
            <w:noWrap/>
            <w:vAlign w:val="bottom"/>
            <w:hideMark/>
          </w:tcPr>
          <w:p w14:paraId="0F877D0D"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5BD50B3A" w14:textId="2161132C" w:rsidR="00686EC7" w:rsidRPr="000C156A" w:rsidRDefault="00686EC7" w:rsidP="00141BAA">
            <w:pPr>
              <w:jc w:val="right"/>
              <w:rPr>
                <w:rFonts w:cs="Calibri"/>
                <w:sz w:val="22"/>
                <w:szCs w:val="22"/>
              </w:rPr>
            </w:pPr>
            <w:r w:rsidRPr="000C156A">
              <w:rPr>
                <w:rFonts w:cs="Calibri"/>
                <w:sz w:val="22"/>
                <w:szCs w:val="22"/>
              </w:rPr>
              <w:t>144</w:t>
            </w:r>
            <w:r w:rsidR="003F0401" w:rsidRPr="000C156A">
              <w:rPr>
                <w:rFonts w:cs="Calibri"/>
                <w:sz w:val="22"/>
                <w:szCs w:val="22"/>
              </w:rPr>
              <w:t xml:space="preserve"> </w:t>
            </w:r>
            <w:r w:rsidRPr="000C156A">
              <w:rPr>
                <w:rFonts w:cs="Calibri"/>
                <w:sz w:val="22"/>
                <w:szCs w:val="22"/>
              </w:rPr>
              <w:t>963.35</w:t>
            </w:r>
          </w:p>
        </w:tc>
      </w:tr>
      <w:tr w:rsidR="00686EC7" w:rsidRPr="000C156A" w14:paraId="5C5C5CAA"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3DCF36B6" w14:textId="4BAE286A"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sz w:val="22"/>
                <w:szCs w:val="22"/>
                <w:lang w:val="fr-FR" w:eastAsia="zh-CN"/>
              </w:rPr>
              <w:t>Vihaan</w:t>
            </w:r>
            <w:r w:rsidR="00686EC7" w:rsidRPr="000C156A">
              <w:rPr>
                <w:rFonts w:cs="Calibri" w:hint="eastAsia"/>
                <w:sz w:val="22"/>
                <w:szCs w:val="22"/>
                <w:lang w:val="fr-FR" w:eastAsia="zh-CN"/>
              </w:rPr>
              <w:t>网络公司，古尔冈</w:t>
            </w:r>
          </w:p>
        </w:tc>
        <w:tc>
          <w:tcPr>
            <w:tcW w:w="1264" w:type="dxa"/>
            <w:tcBorders>
              <w:top w:val="nil"/>
              <w:left w:val="single" w:sz="4" w:space="0" w:color="auto"/>
              <w:bottom w:val="nil"/>
              <w:right w:val="single" w:sz="4" w:space="0" w:color="auto"/>
            </w:tcBorders>
            <w:shd w:val="clear" w:color="auto" w:fill="auto"/>
            <w:noWrap/>
            <w:vAlign w:val="bottom"/>
            <w:hideMark/>
          </w:tcPr>
          <w:p w14:paraId="5172C4D9" w14:textId="77777777" w:rsidR="00686EC7" w:rsidRPr="000C156A" w:rsidRDefault="00686EC7" w:rsidP="00141BAA">
            <w:pPr>
              <w:jc w:val="center"/>
              <w:rPr>
                <w:rFonts w:cs="Calibri"/>
                <w:sz w:val="22"/>
                <w:szCs w:val="22"/>
              </w:rPr>
            </w:pPr>
            <w:r w:rsidRPr="000C156A">
              <w:rPr>
                <w:rFonts w:cs="Calibri"/>
                <w:sz w:val="22"/>
                <w:szCs w:val="22"/>
              </w:rPr>
              <w:t>2013</w:t>
            </w:r>
          </w:p>
        </w:tc>
        <w:tc>
          <w:tcPr>
            <w:tcW w:w="1613" w:type="dxa"/>
            <w:tcBorders>
              <w:top w:val="nil"/>
              <w:left w:val="single" w:sz="4" w:space="0" w:color="auto"/>
              <w:bottom w:val="nil"/>
              <w:right w:val="single" w:sz="4" w:space="0" w:color="auto"/>
            </w:tcBorders>
            <w:shd w:val="clear" w:color="auto" w:fill="auto"/>
            <w:noWrap/>
            <w:vAlign w:val="bottom"/>
            <w:hideMark/>
          </w:tcPr>
          <w:p w14:paraId="3AF6A5C7" w14:textId="287A7B72" w:rsidR="00686EC7" w:rsidRPr="000C156A" w:rsidRDefault="00686EC7" w:rsidP="00141BAA">
            <w:pPr>
              <w:jc w:val="right"/>
              <w:rPr>
                <w:rFonts w:cs="Calibri"/>
                <w:sz w:val="22"/>
                <w:szCs w:val="22"/>
              </w:rPr>
            </w:pPr>
            <w:r w:rsidRPr="000C156A">
              <w:rPr>
                <w:rFonts w:cs="Calibri"/>
                <w:sz w:val="22"/>
                <w:szCs w:val="22"/>
              </w:rPr>
              <w:t>55</w:t>
            </w:r>
            <w:r w:rsidR="003F0401" w:rsidRPr="000C156A">
              <w:rPr>
                <w:rFonts w:cs="Calibri"/>
                <w:sz w:val="22"/>
                <w:szCs w:val="22"/>
              </w:rPr>
              <w:t xml:space="preserve"> </w:t>
            </w:r>
            <w:r w:rsidRPr="000C156A">
              <w:rPr>
                <w:rFonts w:cs="Calibri"/>
                <w:sz w:val="22"/>
                <w:szCs w:val="22"/>
              </w:rPr>
              <w:t>809.60</w:t>
            </w:r>
          </w:p>
        </w:tc>
        <w:tc>
          <w:tcPr>
            <w:tcW w:w="1434" w:type="dxa"/>
            <w:tcBorders>
              <w:top w:val="nil"/>
              <w:left w:val="single" w:sz="4" w:space="0" w:color="auto"/>
              <w:bottom w:val="nil"/>
              <w:right w:val="single" w:sz="4" w:space="0" w:color="auto"/>
            </w:tcBorders>
            <w:shd w:val="clear" w:color="auto" w:fill="auto"/>
            <w:noWrap/>
            <w:vAlign w:val="bottom"/>
            <w:hideMark/>
          </w:tcPr>
          <w:p w14:paraId="2342A12E"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4E2E2C0A" w14:textId="7623C724" w:rsidR="00686EC7" w:rsidRPr="000C156A" w:rsidRDefault="00686EC7" w:rsidP="00141BAA">
            <w:pPr>
              <w:jc w:val="right"/>
              <w:rPr>
                <w:rFonts w:cs="Calibri"/>
                <w:sz w:val="22"/>
                <w:szCs w:val="22"/>
              </w:rPr>
            </w:pPr>
            <w:r w:rsidRPr="000C156A">
              <w:rPr>
                <w:rFonts w:cs="Calibri"/>
                <w:sz w:val="22"/>
                <w:szCs w:val="22"/>
              </w:rPr>
              <w:t>55</w:t>
            </w:r>
            <w:r w:rsidR="003F0401" w:rsidRPr="000C156A">
              <w:rPr>
                <w:rFonts w:cs="Calibri"/>
                <w:sz w:val="22"/>
                <w:szCs w:val="22"/>
              </w:rPr>
              <w:t xml:space="preserve"> </w:t>
            </w:r>
            <w:r w:rsidRPr="000C156A">
              <w:rPr>
                <w:rFonts w:cs="Calibri"/>
                <w:sz w:val="22"/>
                <w:szCs w:val="22"/>
              </w:rPr>
              <w:t>809.60</w:t>
            </w:r>
          </w:p>
        </w:tc>
      </w:tr>
      <w:tr w:rsidR="00686EC7" w:rsidRPr="000C156A" w14:paraId="35613843"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5E5BC836" w14:textId="77777777" w:rsidR="00686EC7" w:rsidRPr="000C156A" w:rsidRDefault="00686EC7" w:rsidP="00141BAA">
            <w:pPr>
              <w:rPr>
                <w:rFonts w:cs="Calibri"/>
                <w:b/>
                <w:bCs/>
                <w:sz w:val="22"/>
                <w:szCs w:val="22"/>
              </w:rPr>
            </w:pPr>
            <w:r w:rsidRPr="000C156A">
              <w:rPr>
                <w:rFonts w:cs="Calibri" w:hint="eastAsia"/>
                <w:b/>
                <w:bCs/>
                <w:sz w:val="22"/>
                <w:szCs w:val="22"/>
                <w:lang w:eastAsia="zh-CN"/>
              </w:rPr>
              <w:t>伊朗</w:t>
            </w:r>
          </w:p>
        </w:tc>
        <w:tc>
          <w:tcPr>
            <w:tcW w:w="1264" w:type="dxa"/>
            <w:tcBorders>
              <w:top w:val="nil"/>
              <w:left w:val="single" w:sz="4" w:space="0" w:color="auto"/>
              <w:bottom w:val="nil"/>
              <w:right w:val="single" w:sz="4" w:space="0" w:color="auto"/>
            </w:tcBorders>
            <w:shd w:val="clear" w:color="auto" w:fill="auto"/>
            <w:noWrap/>
            <w:vAlign w:val="bottom"/>
            <w:hideMark/>
          </w:tcPr>
          <w:p w14:paraId="021CB363"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221A826E"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6E0A88E8"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2533200C" w14:textId="77777777" w:rsidR="00686EC7" w:rsidRPr="000C156A" w:rsidRDefault="00686EC7" w:rsidP="00141BAA">
            <w:pPr>
              <w:rPr>
                <w:rFonts w:ascii="Times New Roman" w:hAnsi="Times New Roman"/>
                <w:sz w:val="22"/>
                <w:szCs w:val="22"/>
              </w:rPr>
            </w:pPr>
          </w:p>
        </w:tc>
      </w:tr>
      <w:tr w:rsidR="00686EC7" w:rsidRPr="000C156A" w14:paraId="1E1406B4" w14:textId="77777777" w:rsidTr="00054ED6">
        <w:trPr>
          <w:trHeight w:val="241"/>
          <w:jc w:val="center"/>
        </w:trPr>
        <w:tc>
          <w:tcPr>
            <w:tcW w:w="4390" w:type="dxa"/>
            <w:tcBorders>
              <w:top w:val="nil"/>
              <w:left w:val="single" w:sz="4" w:space="0" w:color="auto"/>
              <w:bottom w:val="nil"/>
              <w:right w:val="single" w:sz="4" w:space="0" w:color="auto"/>
            </w:tcBorders>
            <w:shd w:val="clear" w:color="auto" w:fill="auto"/>
            <w:vAlign w:val="bottom"/>
            <w:hideMark/>
          </w:tcPr>
          <w:p w14:paraId="6DB83C40" w14:textId="716ABFA4" w:rsidR="00686EC7" w:rsidRPr="000C156A" w:rsidRDefault="00D93F72" w:rsidP="00D93F72">
            <w:pPr>
              <w:tabs>
                <w:tab w:val="clear" w:pos="567"/>
              </w:tabs>
              <w:spacing w:before="0"/>
              <w:ind w:left="317" w:hanging="317"/>
              <w:rPr>
                <w:rFonts w:cs="Calibri"/>
                <w:sz w:val="22"/>
                <w:szCs w:val="22"/>
                <w:lang w:eastAsia="zh-CN"/>
              </w:rPr>
            </w:pPr>
            <w:r w:rsidRPr="000C156A">
              <w:rPr>
                <w:rFonts w:cs="Calibri"/>
                <w:sz w:val="22"/>
                <w:szCs w:val="22"/>
                <w:lang w:eastAsia="zh-CN"/>
              </w:rPr>
              <w:t>–</w:t>
            </w:r>
            <w:r w:rsidRPr="000C156A">
              <w:rPr>
                <w:rFonts w:cs="Calibri"/>
                <w:sz w:val="22"/>
                <w:szCs w:val="22"/>
                <w:lang w:eastAsia="zh-CN"/>
              </w:rPr>
              <w:tab/>
            </w:r>
            <w:r w:rsidR="00686EC7" w:rsidRPr="000C156A">
              <w:rPr>
                <w:rFonts w:cs="Calibri" w:hint="eastAsia"/>
                <w:sz w:val="22"/>
                <w:szCs w:val="22"/>
                <w:lang w:eastAsia="zh-CN"/>
              </w:rPr>
              <w:t>伊朗网络通信和电子服务公司，德黑兰</w:t>
            </w:r>
          </w:p>
        </w:tc>
        <w:tc>
          <w:tcPr>
            <w:tcW w:w="1264" w:type="dxa"/>
            <w:tcBorders>
              <w:top w:val="nil"/>
              <w:left w:val="single" w:sz="4" w:space="0" w:color="auto"/>
              <w:bottom w:val="nil"/>
              <w:right w:val="single" w:sz="4" w:space="0" w:color="auto"/>
            </w:tcBorders>
            <w:shd w:val="clear" w:color="auto" w:fill="auto"/>
            <w:noWrap/>
            <w:vAlign w:val="bottom"/>
            <w:hideMark/>
          </w:tcPr>
          <w:p w14:paraId="4FEC6241" w14:textId="77777777" w:rsidR="00686EC7" w:rsidRPr="000C156A" w:rsidRDefault="00686EC7" w:rsidP="00141BAA">
            <w:pPr>
              <w:jc w:val="center"/>
              <w:rPr>
                <w:rFonts w:cs="Calibri"/>
                <w:sz w:val="22"/>
                <w:szCs w:val="22"/>
              </w:rPr>
            </w:pPr>
            <w:r w:rsidRPr="000C156A">
              <w:rPr>
                <w:rFonts w:cs="Calibri"/>
                <w:sz w:val="22"/>
                <w:szCs w:val="22"/>
              </w:rPr>
              <w:t>2019</w:t>
            </w:r>
          </w:p>
        </w:tc>
        <w:tc>
          <w:tcPr>
            <w:tcW w:w="1613" w:type="dxa"/>
            <w:tcBorders>
              <w:top w:val="nil"/>
              <w:left w:val="single" w:sz="4" w:space="0" w:color="auto"/>
              <w:bottom w:val="nil"/>
              <w:right w:val="single" w:sz="4" w:space="0" w:color="auto"/>
            </w:tcBorders>
            <w:shd w:val="clear" w:color="auto" w:fill="auto"/>
            <w:noWrap/>
            <w:vAlign w:val="bottom"/>
            <w:hideMark/>
          </w:tcPr>
          <w:p w14:paraId="3A822CF5" w14:textId="191701FD"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185.75</w:t>
            </w:r>
          </w:p>
        </w:tc>
        <w:tc>
          <w:tcPr>
            <w:tcW w:w="1434" w:type="dxa"/>
            <w:tcBorders>
              <w:top w:val="nil"/>
              <w:left w:val="single" w:sz="4" w:space="0" w:color="auto"/>
              <w:bottom w:val="nil"/>
              <w:right w:val="single" w:sz="4" w:space="0" w:color="auto"/>
            </w:tcBorders>
            <w:shd w:val="clear" w:color="auto" w:fill="auto"/>
            <w:noWrap/>
            <w:vAlign w:val="bottom"/>
            <w:hideMark/>
          </w:tcPr>
          <w:p w14:paraId="2F038893"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359B3383" w14:textId="35E5E854"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185.75</w:t>
            </w:r>
          </w:p>
        </w:tc>
      </w:tr>
      <w:tr w:rsidR="00686EC7" w:rsidRPr="000C156A" w14:paraId="189D96F0"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0151E044" w14:textId="77777777" w:rsidR="00686EC7" w:rsidRPr="000C156A" w:rsidRDefault="00686EC7" w:rsidP="00141BAA">
            <w:pPr>
              <w:rPr>
                <w:rFonts w:cs="Calibri"/>
                <w:b/>
                <w:bCs/>
                <w:sz w:val="22"/>
                <w:szCs w:val="22"/>
              </w:rPr>
            </w:pPr>
            <w:r w:rsidRPr="000C156A">
              <w:rPr>
                <w:rFonts w:cs="Calibri"/>
                <w:b/>
                <w:bCs/>
                <w:sz w:val="22"/>
                <w:szCs w:val="22"/>
              </w:rPr>
              <w:t>以色列</w:t>
            </w:r>
          </w:p>
        </w:tc>
        <w:tc>
          <w:tcPr>
            <w:tcW w:w="1264" w:type="dxa"/>
            <w:tcBorders>
              <w:top w:val="nil"/>
              <w:left w:val="single" w:sz="4" w:space="0" w:color="auto"/>
              <w:bottom w:val="nil"/>
              <w:right w:val="single" w:sz="4" w:space="0" w:color="auto"/>
            </w:tcBorders>
            <w:shd w:val="clear" w:color="auto" w:fill="auto"/>
            <w:noWrap/>
            <w:vAlign w:val="bottom"/>
            <w:hideMark/>
          </w:tcPr>
          <w:p w14:paraId="3D153F02"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731F134E"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0A348C01"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1CEBAECC" w14:textId="77777777" w:rsidR="00686EC7" w:rsidRPr="000C156A" w:rsidRDefault="00686EC7" w:rsidP="00141BAA">
            <w:pPr>
              <w:rPr>
                <w:rFonts w:ascii="Times New Roman" w:hAnsi="Times New Roman"/>
                <w:sz w:val="22"/>
                <w:szCs w:val="22"/>
              </w:rPr>
            </w:pPr>
          </w:p>
        </w:tc>
      </w:tr>
      <w:tr w:rsidR="00686EC7" w:rsidRPr="000C156A" w14:paraId="47C0526B"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70B42BF5" w14:textId="6C517344" w:rsidR="00686EC7" w:rsidRPr="008A1B23" w:rsidRDefault="00D93F72" w:rsidP="00D93F72">
            <w:pPr>
              <w:tabs>
                <w:tab w:val="clear" w:pos="567"/>
              </w:tabs>
              <w:spacing w:before="0"/>
              <w:ind w:left="317" w:hanging="317"/>
              <w:rPr>
                <w:rFonts w:cs="Calibri"/>
                <w:sz w:val="22"/>
                <w:szCs w:val="22"/>
              </w:rPr>
            </w:pPr>
            <w:r w:rsidRPr="008A1B23">
              <w:rPr>
                <w:rFonts w:cs="Calibri"/>
                <w:sz w:val="22"/>
                <w:szCs w:val="22"/>
              </w:rPr>
              <w:t>–</w:t>
            </w:r>
            <w:r w:rsidRPr="008A1B23">
              <w:rPr>
                <w:rFonts w:cs="Calibri"/>
                <w:sz w:val="22"/>
                <w:szCs w:val="22"/>
              </w:rPr>
              <w:tab/>
            </w:r>
            <w:r w:rsidR="00686EC7" w:rsidRPr="008A1B23">
              <w:rPr>
                <w:rFonts w:cs="Calibri"/>
                <w:sz w:val="22"/>
                <w:szCs w:val="22"/>
              </w:rPr>
              <w:t>IP Light</w:t>
            </w:r>
            <w:r w:rsidR="00686EC7" w:rsidRPr="008A1B23">
              <w:rPr>
                <w:rFonts w:cs="Calibri" w:hint="eastAsia"/>
                <w:sz w:val="22"/>
                <w:szCs w:val="22"/>
              </w:rPr>
              <w:t>，</w:t>
            </w:r>
            <w:r w:rsidR="00686EC7" w:rsidRPr="000C156A">
              <w:rPr>
                <w:rFonts w:cs="Calibri" w:hint="eastAsia"/>
                <w:sz w:val="22"/>
                <w:szCs w:val="22"/>
                <w:lang w:val="fr-FR"/>
              </w:rPr>
              <w:t>佩塔赫</w:t>
            </w:r>
            <w:r w:rsidR="00686EC7" w:rsidRPr="008A1B23">
              <w:rPr>
                <w:rFonts w:cs="Calibri" w:hint="eastAsia"/>
                <w:sz w:val="22"/>
                <w:szCs w:val="22"/>
              </w:rPr>
              <w:t>-</w:t>
            </w:r>
            <w:r w:rsidR="00686EC7" w:rsidRPr="000C156A">
              <w:rPr>
                <w:rFonts w:cs="Calibri" w:hint="eastAsia"/>
                <w:sz w:val="22"/>
                <w:szCs w:val="22"/>
                <w:lang w:val="fr-FR"/>
              </w:rPr>
              <w:t>蒂克瓦</w:t>
            </w:r>
          </w:p>
        </w:tc>
        <w:tc>
          <w:tcPr>
            <w:tcW w:w="1264" w:type="dxa"/>
            <w:tcBorders>
              <w:top w:val="nil"/>
              <w:left w:val="single" w:sz="4" w:space="0" w:color="auto"/>
              <w:bottom w:val="nil"/>
              <w:right w:val="single" w:sz="4" w:space="0" w:color="auto"/>
            </w:tcBorders>
            <w:shd w:val="clear" w:color="auto" w:fill="auto"/>
            <w:noWrap/>
            <w:vAlign w:val="bottom"/>
            <w:hideMark/>
          </w:tcPr>
          <w:p w14:paraId="4B074DBD" w14:textId="77777777" w:rsidR="00686EC7" w:rsidRPr="000C156A" w:rsidRDefault="00686EC7" w:rsidP="00141BAA">
            <w:pPr>
              <w:jc w:val="center"/>
              <w:rPr>
                <w:rFonts w:cs="Calibri"/>
                <w:sz w:val="22"/>
                <w:szCs w:val="22"/>
              </w:rPr>
            </w:pPr>
            <w:r w:rsidRPr="000C156A">
              <w:rPr>
                <w:rFonts w:cs="Calibri"/>
                <w:sz w:val="22"/>
                <w:szCs w:val="22"/>
              </w:rPr>
              <w:t>2017</w:t>
            </w:r>
          </w:p>
        </w:tc>
        <w:tc>
          <w:tcPr>
            <w:tcW w:w="1613" w:type="dxa"/>
            <w:tcBorders>
              <w:top w:val="nil"/>
              <w:left w:val="single" w:sz="4" w:space="0" w:color="auto"/>
              <w:bottom w:val="nil"/>
              <w:right w:val="single" w:sz="4" w:space="0" w:color="auto"/>
            </w:tcBorders>
            <w:shd w:val="clear" w:color="auto" w:fill="auto"/>
            <w:noWrap/>
            <w:vAlign w:val="bottom"/>
            <w:hideMark/>
          </w:tcPr>
          <w:p w14:paraId="723E2FB0" w14:textId="0B95B3E3" w:rsidR="00686EC7" w:rsidRPr="000C156A" w:rsidRDefault="00686EC7" w:rsidP="00141BAA">
            <w:pPr>
              <w:jc w:val="right"/>
              <w:rPr>
                <w:rFonts w:cs="Calibri"/>
                <w:sz w:val="22"/>
                <w:szCs w:val="22"/>
              </w:rPr>
            </w:pPr>
            <w:r w:rsidRPr="000C156A">
              <w:rPr>
                <w:rFonts w:cs="Calibri"/>
                <w:sz w:val="22"/>
                <w:szCs w:val="22"/>
              </w:rPr>
              <w:t>13</w:t>
            </w:r>
            <w:r w:rsidR="003F0401" w:rsidRPr="000C156A">
              <w:rPr>
                <w:rFonts w:cs="Calibri"/>
                <w:sz w:val="22"/>
                <w:szCs w:val="22"/>
              </w:rPr>
              <w:t xml:space="preserve"> </w:t>
            </w:r>
            <w:r w:rsidRPr="000C156A">
              <w:rPr>
                <w:rFonts w:cs="Calibri"/>
                <w:sz w:val="22"/>
                <w:szCs w:val="22"/>
              </w:rPr>
              <w:t>098.20</w:t>
            </w:r>
          </w:p>
        </w:tc>
        <w:tc>
          <w:tcPr>
            <w:tcW w:w="1434" w:type="dxa"/>
            <w:tcBorders>
              <w:top w:val="nil"/>
              <w:left w:val="single" w:sz="4" w:space="0" w:color="auto"/>
              <w:bottom w:val="nil"/>
              <w:right w:val="single" w:sz="4" w:space="0" w:color="auto"/>
            </w:tcBorders>
            <w:shd w:val="clear" w:color="auto" w:fill="auto"/>
            <w:noWrap/>
            <w:vAlign w:val="bottom"/>
            <w:hideMark/>
          </w:tcPr>
          <w:p w14:paraId="56B85F95"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7A37BFA7" w14:textId="42555C56" w:rsidR="00686EC7" w:rsidRPr="000C156A" w:rsidRDefault="00686EC7" w:rsidP="00141BAA">
            <w:pPr>
              <w:jc w:val="right"/>
              <w:rPr>
                <w:rFonts w:cs="Calibri"/>
                <w:sz w:val="22"/>
                <w:szCs w:val="22"/>
              </w:rPr>
            </w:pPr>
            <w:r w:rsidRPr="000C156A">
              <w:rPr>
                <w:rFonts w:cs="Calibri"/>
                <w:sz w:val="22"/>
                <w:szCs w:val="22"/>
              </w:rPr>
              <w:t>13</w:t>
            </w:r>
            <w:r w:rsidR="003F0401" w:rsidRPr="000C156A">
              <w:rPr>
                <w:rFonts w:cs="Calibri"/>
                <w:sz w:val="22"/>
                <w:szCs w:val="22"/>
              </w:rPr>
              <w:t xml:space="preserve"> </w:t>
            </w:r>
            <w:r w:rsidRPr="000C156A">
              <w:rPr>
                <w:rFonts w:cs="Calibri"/>
                <w:sz w:val="22"/>
                <w:szCs w:val="22"/>
              </w:rPr>
              <w:t>098.20</w:t>
            </w:r>
          </w:p>
        </w:tc>
      </w:tr>
      <w:tr w:rsidR="00686EC7" w:rsidRPr="000C156A" w14:paraId="4CEB247E"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3826AA50" w14:textId="5B6BEDCD" w:rsidR="00686EC7" w:rsidRPr="008A1B23" w:rsidRDefault="00D93F72" w:rsidP="00D93F72">
            <w:pPr>
              <w:tabs>
                <w:tab w:val="clear" w:pos="567"/>
              </w:tabs>
              <w:spacing w:before="0"/>
              <w:ind w:left="317" w:hanging="317"/>
              <w:rPr>
                <w:rFonts w:cs="Calibri"/>
                <w:sz w:val="22"/>
                <w:szCs w:val="22"/>
              </w:rPr>
            </w:pPr>
            <w:r w:rsidRPr="008A1B23">
              <w:rPr>
                <w:rFonts w:cs="Calibri"/>
                <w:sz w:val="22"/>
                <w:szCs w:val="22"/>
              </w:rPr>
              <w:t>–</w:t>
            </w:r>
            <w:r w:rsidRPr="008A1B23">
              <w:rPr>
                <w:rFonts w:cs="Calibri"/>
                <w:sz w:val="22"/>
                <w:szCs w:val="22"/>
              </w:rPr>
              <w:tab/>
            </w:r>
            <w:r w:rsidR="00686EC7" w:rsidRPr="008A1B23">
              <w:rPr>
                <w:rFonts w:cs="Calibri"/>
                <w:sz w:val="22"/>
                <w:szCs w:val="22"/>
              </w:rPr>
              <w:t>JpU</w:t>
            </w:r>
            <w:r w:rsidR="00686EC7" w:rsidRPr="000C156A">
              <w:rPr>
                <w:rFonts w:cs="Calibri" w:hint="eastAsia"/>
                <w:sz w:val="22"/>
                <w:szCs w:val="22"/>
                <w:lang w:val="fr-FR"/>
              </w:rPr>
              <w:t>公司</w:t>
            </w:r>
            <w:r w:rsidR="00686EC7" w:rsidRPr="008A1B23">
              <w:rPr>
                <w:rFonts w:cs="Calibri" w:hint="eastAsia"/>
                <w:sz w:val="22"/>
                <w:szCs w:val="22"/>
              </w:rPr>
              <w:t>，</w:t>
            </w:r>
            <w:r w:rsidR="00686EC7" w:rsidRPr="000C156A">
              <w:rPr>
                <w:rFonts w:cs="Calibri" w:hint="eastAsia"/>
                <w:sz w:val="22"/>
                <w:szCs w:val="22"/>
                <w:lang w:val="fr-FR"/>
              </w:rPr>
              <w:t>佩塔赫</w:t>
            </w:r>
            <w:r w:rsidR="00686EC7" w:rsidRPr="008A1B23">
              <w:rPr>
                <w:rFonts w:cs="Calibri" w:hint="eastAsia"/>
                <w:sz w:val="22"/>
                <w:szCs w:val="22"/>
              </w:rPr>
              <w:t>-</w:t>
            </w:r>
            <w:r w:rsidR="00686EC7" w:rsidRPr="000C156A">
              <w:rPr>
                <w:rFonts w:cs="Calibri" w:hint="eastAsia"/>
                <w:sz w:val="22"/>
                <w:szCs w:val="22"/>
                <w:lang w:val="fr-FR"/>
              </w:rPr>
              <w:t>蒂克瓦</w:t>
            </w:r>
          </w:p>
        </w:tc>
        <w:tc>
          <w:tcPr>
            <w:tcW w:w="1264" w:type="dxa"/>
            <w:tcBorders>
              <w:top w:val="nil"/>
              <w:left w:val="single" w:sz="4" w:space="0" w:color="auto"/>
              <w:bottom w:val="nil"/>
              <w:right w:val="single" w:sz="4" w:space="0" w:color="auto"/>
            </w:tcBorders>
            <w:shd w:val="clear" w:color="auto" w:fill="auto"/>
            <w:noWrap/>
            <w:vAlign w:val="bottom"/>
            <w:hideMark/>
          </w:tcPr>
          <w:p w14:paraId="3E6097EE" w14:textId="77777777" w:rsidR="00686EC7" w:rsidRPr="000C156A" w:rsidRDefault="00686EC7" w:rsidP="00141BAA">
            <w:pPr>
              <w:jc w:val="center"/>
              <w:rPr>
                <w:rFonts w:cs="Calibri"/>
                <w:sz w:val="22"/>
                <w:szCs w:val="22"/>
              </w:rPr>
            </w:pPr>
            <w:r w:rsidRPr="000C156A">
              <w:rPr>
                <w:rFonts w:cs="Calibri"/>
                <w:sz w:val="22"/>
                <w:szCs w:val="22"/>
              </w:rPr>
              <w:t>2019</w:t>
            </w:r>
          </w:p>
        </w:tc>
        <w:tc>
          <w:tcPr>
            <w:tcW w:w="1613" w:type="dxa"/>
            <w:tcBorders>
              <w:top w:val="nil"/>
              <w:left w:val="single" w:sz="4" w:space="0" w:color="auto"/>
              <w:bottom w:val="nil"/>
              <w:right w:val="single" w:sz="4" w:space="0" w:color="auto"/>
            </w:tcBorders>
            <w:shd w:val="clear" w:color="auto" w:fill="auto"/>
            <w:noWrap/>
            <w:vAlign w:val="bottom"/>
            <w:hideMark/>
          </w:tcPr>
          <w:p w14:paraId="1AB14946" w14:textId="731C8BB8" w:rsidR="00686EC7" w:rsidRPr="000C156A" w:rsidRDefault="00686EC7" w:rsidP="00141BAA">
            <w:pPr>
              <w:jc w:val="right"/>
              <w:rPr>
                <w:rFonts w:cs="Calibri"/>
                <w:sz w:val="22"/>
                <w:szCs w:val="22"/>
              </w:rPr>
            </w:pPr>
            <w:r w:rsidRPr="000C156A">
              <w:rPr>
                <w:rFonts w:cs="Calibri"/>
                <w:sz w:val="22"/>
                <w:szCs w:val="22"/>
              </w:rPr>
              <w:t>3</w:t>
            </w:r>
            <w:r w:rsidR="003F0401" w:rsidRPr="000C156A">
              <w:rPr>
                <w:rFonts w:cs="Calibri"/>
                <w:sz w:val="22"/>
                <w:szCs w:val="22"/>
              </w:rPr>
              <w:t xml:space="preserve"> </w:t>
            </w:r>
            <w:r w:rsidRPr="000C156A">
              <w:rPr>
                <w:rFonts w:cs="Calibri"/>
                <w:sz w:val="22"/>
                <w:szCs w:val="22"/>
              </w:rPr>
              <w:t>885.78</w:t>
            </w:r>
          </w:p>
        </w:tc>
        <w:tc>
          <w:tcPr>
            <w:tcW w:w="1434" w:type="dxa"/>
            <w:tcBorders>
              <w:top w:val="nil"/>
              <w:left w:val="single" w:sz="4" w:space="0" w:color="auto"/>
              <w:bottom w:val="nil"/>
              <w:right w:val="single" w:sz="4" w:space="0" w:color="auto"/>
            </w:tcBorders>
            <w:shd w:val="clear" w:color="auto" w:fill="auto"/>
            <w:noWrap/>
            <w:vAlign w:val="bottom"/>
            <w:hideMark/>
          </w:tcPr>
          <w:p w14:paraId="1E54C4AB"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35099D7A" w14:textId="3E91B258" w:rsidR="00686EC7" w:rsidRPr="000C156A" w:rsidRDefault="00686EC7" w:rsidP="00141BAA">
            <w:pPr>
              <w:jc w:val="right"/>
              <w:rPr>
                <w:rFonts w:cs="Calibri"/>
                <w:sz w:val="22"/>
                <w:szCs w:val="22"/>
              </w:rPr>
            </w:pPr>
            <w:r w:rsidRPr="000C156A">
              <w:rPr>
                <w:rFonts w:cs="Calibri"/>
                <w:sz w:val="22"/>
                <w:szCs w:val="22"/>
              </w:rPr>
              <w:t>3</w:t>
            </w:r>
            <w:r w:rsidR="003F0401" w:rsidRPr="000C156A">
              <w:rPr>
                <w:rFonts w:cs="Calibri"/>
                <w:sz w:val="22"/>
                <w:szCs w:val="22"/>
              </w:rPr>
              <w:t xml:space="preserve"> </w:t>
            </w:r>
            <w:r w:rsidRPr="000C156A">
              <w:rPr>
                <w:rFonts w:cs="Calibri"/>
                <w:sz w:val="22"/>
                <w:szCs w:val="22"/>
              </w:rPr>
              <w:t>885.78</w:t>
            </w:r>
          </w:p>
        </w:tc>
      </w:tr>
      <w:tr w:rsidR="00686EC7" w:rsidRPr="000C156A" w14:paraId="0FF1C182"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73E3C113" w14:textId="1061C4DE"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TangoTec</w:t>
            </w:r>
            <w:r w:rsidR="00686EC7" w:rsidRPr="000C156A">
              <w:rPr>
                <w:rFonts w:cs="Calibri" w:hint="eastAsia"/>
                <w:sz w:val="22"/>
                <w:szCs w:val="22"/>
                <w:lang w:val="fr-FR"/>
              </w:rPr>
              <w:t>，伊尔海法</w:t>
            </w:r>
          </w:p>
        </w:tc>
        <w:tc>
          <w:tcPr>
            <w:tcW w:w="1264" w:type="dxa"/>
            <w:tcBorders>
              <w:top w:val="nil"/>
              <w:left w:val="single" w:sz="4" w:space="0" w:color="auto"/>
              <w:bottom w:val="nil"/>
              <w:right w:val="single" w:sz="4" w:space="0" w:color="auto"/>
            </w:tcBorders>
            <w:shd w:val="clear" w:color="auto" w:fill="auto"/>
            <w:noWrap/>
            <w:vAlign w:val="bottom"/>
            <w:hideMark/>
          </w:tcPr>
          <w:p w14:paraId="0372E4CD" w14:textId="77777777" w:rsidR="00686EC7" w:rsidRPr="000C156A" w:rsidRDefault="00686EC7" w:rsidP="00141BAA">
            <w:pPr>
              <w:jc w:val="center"/>
              <w:rPr>
                <w:rFonts w:cs="Calibri"/>
                <w:sz w:val="22"/>
                <w:szCs w:val="22"/>
              </w:rPr>
            </w:pPr>
            <w:r w:rsidRPr="000C156A">
              <w:rPr>
                <w:rFonts w:cs="Calibri"/>
                <w:sz w:val="22"/>
                <w:szCs w:val="22"/>
              </w:rPr>
              <w:t>2015-2016</w:t>
            </w:r>
          </w:p>
        </w:tc>
        <w:tc>
          <w:tcPr>
            <w:tcW w:w="1613" w:type="dxa"/>
            <w:tcBorders>
              <w:top w:val="nil"/>
              <w:left w:val="single" w:sz="4" w:space="0" w:color="auto"/>
              <w:bottom w:val="nil"/>
              <w:right w:val="single" w:sz="4" w:space="0" w:color="auto"/>
            </w:tcBorders>
            <w:shd w:val="clear" w:color="auto" w:fill="auto"/>
            <w:noWrap/>
            <w:vAlign w:val="bottom"/>
            <w:hideMark/>
          </w:tcPr>
          <w:p w14:paraId="69C0395A" w14:textId="79ED677D" w:rsidR="00686EC7" w:rsidRPr="000C156A" w:rsidRDefault="00686EC7" w:rsidP="00141BAA">
            <w:pPr>
              <w:jc w:val="right"/>
              <w:rPr>
                <w:rFonts w:cs="Calibri"/>
                <w:sz w:val="22"/>
                <w:szCs w:val="22"/>
              </w:rPr>
            </w:pPr>
            <w:r w:rsidRPr="000C156A">
              <w:rPr>
                <w:rFonts w:cs="Calibri"/>
                <w:sz w:val="22"/>
                <w:szCs w:val="22"/>
              </w:rPr>
              <w:t>11</w:t>
            </w:r>
            <w:r w:rsidR="003F0401" w:rsidRPr="000C156A">
              <w:rPr>
                <w:rFonts w:cs="Calibri"/>
                <w:sz w:val="22"/>
                <w:szCs w:val="22"/>
              </w:rPr>
              <w:t xml:space="preserve"> </w:t>
            </w:r>
            <w:r w:rsidRPr="000C156A">
              <w:rPr>
                <w:rFonts w:cs="Calibri"/>
                <w:sz w:val="22"/>
                <w:szCs w:val="22"/>
              </w:rPr>
              <w:t>880.85</w:t>
            </w:r>
          </w:p>
        </w:tc>
        <w:tc>
          <w:tcPr>
            <w:tcW w:w="1434" w:type="dxa"/>
            <w:tcBorders>
              <w:top w:val="nil"/>
              <w:left w:val="single" w:sz="4" w:space="0" w:color="auto"/>
              <w:bottom w:val="nil"/>
              <w:right w:val="single" w:sz="4" w:space="0" w:color="auto"/>
            </w:tcBorders>
            <w:shd w:val="clear" w:color="auto" w:fill="auto"/>
            <w:noWrap/>
            <w:vAlign w:val="bottom"/>
            <w:hideMark/>
          </w:tcPr>
          <w:p w14:paraId="0E652A55"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5A15C34A" w14:textId="2EB921F4" w:rsidR="00686EC7" w:rsidRPr="000C156A" w:rsidRDefault="00686EC7" w:rsidP="00141BAA">
            <w:pPr>
              <w:jc w:val="right"/>
              <w:rPr>
                <w:rFonts w:cs="Calibri"/>
                <w:sz w:val="22"/>
                <w:szCs w:val="22"/>
              </w:rPr>
            </w:pPr>
            <w:r w:rsidRPr="000C156A">
              <w:rPr>
                <w:rFonts w:cs="Calibri"/>
                <w:sz w:val="22"/>
                <w:szCs w:val="22"/>
              </w:rPr>
              <w:t>11</w:t>
            </w:r>
            <w:r w:rsidR="003F0401" w:rsidRPr="000C156A">
              <w:rPr>
                <w:rFonts w:cs="Calibri"/>
                <w:sz w:val="22"/>
                <w:szCs w:val="22"/>
              </w:rPr>
              <w:t xml:space="preserve"> </w:t>
            </w:r>
            <w:r w:rsidRPr="000C156A">
              <w:rPr>
                <w:rFonts w:cs="Calibri"/>
                <w:sz w:val="22"/>
                <w:szCs w:val="22"/>
              </w:rPr>
              <w:t>880.85</w:t>
            </w:r>
          </w:p>
        </w:tc>
      </w:tr>
      <w:tr w:rsidR="00686EC7" w:rsidRPr="000C156A" w14:paraId="74188C90"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4899409D" w14:textId="77777777" w:rsidR="00686EC7" w:rsidRPr="000C156A" w:rsidRDefault="00686EC7" w:rsidP="00141BAA">
            <w:pPr>
              <w:overflowPunct/>
              <w:autoSpaceDE/>
              <w:autoSpaceDN/>
              <w:adjustRightInd/>
              <w:spacing w:before="0"/>
              <w:textAlignment w:val="auto"/>
              <w:rPr>
                <w:rFonts w:cs="Calibri"/>
                <w:b/>
                <w:bCs/>
                <w:sz w:val="22"/>
                <w:szCs w:val="22"/>
                <w:lang w:val="en-US" w:eastAsia="zh-CN"/>
              </w:rPr>
            </w:pPr>
            <w:r w:rsidRPr="000C156A">
              <w:rPr>
                <w:rFonts w:cs="Calibri" w:hint="eastAsia"/>
                <w:b/>
                <w:bCs/>
                <w:sz w:val="22"/>
                <w:szCs w:val="22"/>
                <w:lang w:val="en-US" w:eastAsia="zh-CN"/>
              </w:rPr>
              <w:t>意大利</w:t>
            </w:r>
          </w:p>
        </w:tc>
        <w:tc>
          <w:tcPr>
            <w:tcW w:w="1264" w:type="dxa"/>
            <w:tcBorders>
              <w:top w:val="nil"/>
              <w:left w:val="single" w:sz="4" w:space="0" w:color="auto"/>
              <w:bottom w:val="nil"/>
              <w:right w:val="single" w:sz="4" w:space="0" w:color="auto"/>
            </w:tcBorders>
            <w:shd w:val="clear" w:color="auto" w:fill="auto"/>
            <w:noWrap/>
            <w:vAlign w:val="bottom"/>
            <w:hideMark/>
          </w:tcPr>
          <w:p w14:paraId="3A509D34" w14:textId="77777777" w:rsidR="00686EC7" w:rsidRPr="000C156A" w:rsidRDefault="00686EC7" w:rsidP="00141BAA">
            <w:pPr>
              <w:jc w:val="center"/>
              <w:rPr>
                <w:rFonts w:cs="Calibri"/>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41ABA962" w14:textId="77777777" w:rsidR="00686EC7" w:rsidRPr="000C156A" w:rsidRDefault="00686EC7" w:rsidP="00141BAA">
            <w:pPr>
              <w:rPr>
                <w:rFonts w:cs="Calibri"/>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718DF81B" w14:textId="77777777" w:rsidR="00686EC7" w:rsidRPr="000C156A" w:rsidRDefault="00686EC7" w:rsidP="00141BAA">
            <w:pPr>
              <w:rPr>
                <w:rFonts w:cs="Calibri"/>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6E740609" w14:textId="77777777" w:rsidR="00686EC7" w:rsidRPr="000C156A" w:rsidRDefault="00686EC7" w:rsidP="00141BAA">
            <w:pPr>
              <w:rPr>
                <w:rFonts w:cs="Calibri"/>
                <w:sz w:val="22"/>
                <w:szCs w:val="22"/>
              </w:rPr>
            </w:pPr>
          </w:p>
        </w:tc>
      </w:tr>
      <w:tr w:rsidR="00686EC7" w:rsidRPr="000C156A" w14:paraId="41FE081E"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6CD575E8" w14:textId="2B7962C5"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Aethra</w:t>
            </w:r>
            <w:r w:rsidR="00686EC7" w:rsidRPr="000C156A">
              <w:rPr>
                <w:rFonts w:cs="Calibri" w:hint="eastAsia"/>
                <w:sz w:val="22"/>
                <w:szCs w:val="22"/>
                <w:lang w:val="fr-FR"/>
              </w:rPr>
              <w:t>公司，帕隆比纳</w:t>
            </w:r>
          </w:p>
        </w:tc>
        <w:tc>
          <w:tcPr>
            <w:tcW w:w="1264" w:type="dxa"/>
            <w:tcBorders>
              <w:top w:val="nil"/>
              <w:left w:val="single" w:sz="4" w:space="0" w:color="auto"/>
              <w:bottom w:val="nil"/>
              <w:right w:val="single" w:sz="4" w:space="0" w:color="auto"/>
            </w:tcBorders>
            <w:shd w:val="clear" w:color="auto" w:fill="auto"/>
            <w:noWrap/>
            <w:vAlign w:val="bottom"/>
            <w:hideMark/>
          </w:tcPr>
          <w:p w14:paraId="54194063" w14:textId="77777777" w:rsidR="00686EC7" w:rsidRPr="000C156A" w:rsidRDefault="00686EC7" w:rsidP="00141BAA">
            <w:pPr>
              <w:jc w:val="center"/>
              <w:rPr>
                <w:rFonts w:cs="Calibri"/>
                <w:sz w:val="22"/>
                <w:szCs w:val="22"/>
              </w:rPr>
            </w:pPr>
            <w:r w:rsidRPr="000C156A">
              <w:rPr>
                <w:rFonts w:cs="Calibri"/>
                <w:sz w:val="22"/>
                <w:szCs w:val="22"/>
              </w:rPr>
              <w:t>2007-2008</w:t>
            </w:r>
          </w:p>
        </w:tc>
        <w:tc>
          <w:tcPr>
            <w:tcW w:w="1613" w:type="dxa"/>
            <w:tcBorders>
              <w:top w:val="nil"/>
              <w:left w:val="single" w:sz="4" w:space="0" w:color="auto"/>
              <w:bottom w:val="nil"/>
              <w:right w:val="single" w:sz="4" w:space="0" w:color="auto"/>
            </w:tcBorders>
            <w:shd w:val="clear" w:color="auto" w:fill="auto"/>
            <w:noWrap/>
            <w:vAlign w:val="bottom"/>
            <w:hideMark/>
          </w:tcPr>
          <w:p w14:paraId="67C80096" w14:textId="0C461E9C" w:rsidR="00686EC7" w:rsidRPr="000C156A" w:rsidRDefault="00686EC7" w:rsidP="00141BAA">
            <w:pPr>
              <w:jc w:val="right"/>
              <w:rPr>
                <w:rFonts w:cs="Calibri"/>
                <w:sz w:val="22"/>
                <w:szCs w:val="22"/>
              </w:rPr>
            </w:pPr>
            <w:r w:rsidRPr="000C156A">
              <w:rPr>
                <w:rFonts w:cs="Calibri"/>
                <w:sz w:val="22"/>
                <w:szCs w:val="22"/>
              </w:rPr>
              <w:t>35</w:t>
            </w:r>
            <w:r w:rsidR="003F0401" w:rsidRPr="000C156A">
              <w:rPr>
                <w:rFonts w:cs="Calibri"/>
                <w:sz w:val="22"/>
                <w:szCs w:val="22"/>
              </w:rPr>
              <w:t xml:space="preserve"> </w:t>
            </w:r>
            <w:r w:rsidRPr="000C156A">
              <w:rPr>
                <w:rFonts w:cs="Calibri"/>
                <w:sz w:val="22"/>
                <w:szCs w:val="22"/>
              </w:rPr>
              <w:t>276.45</w:t>
            </w:r>
          </w:p>
        </w:tc>
        <w:tc>
          <w:tcPr>
            <w:tcW w:w="1434" w:type="dxa"/>
            <w:tcBorders>
              <w:top w:val="nil"/>
              <w:left w:val="single" w:sz="4" w:space="0" w:color="auto"/>
              <w:bottom w:val="nil"/>
              <w:right w:val="single" w:sz="4" w:space="0" w:color="auto"/>
            </w:tcBorders>
            <w:shd w:val="clear" w:color="auto" w:fill="auto"/>
            <w:noWrap/>
            <w:vAlign w:val="bottom"/>
            <w:hideMark/>
          </w:tcPr>
          <w:p w14:paraId="7ECB6689"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5C299320" w14:textId="6302D562" w:rsidR="00686EC7" w:rsidRPr="000C156A" w:rsidRDefault="00686EC7" w:rsidP="00141BAA">
            <w:pPr>
              <w:jc w:val="right"/>
              <w:rPr>
                <w:rFonts w:cs="Calibri"/>
                <w:sz w:val="22"/>
                <w:szCs w:val="22"/>
              </w:rPr>
            </w:pPr>
            <w:r w:rsidRPr="000C156A">
              <w:rPr>
                <w:rFonts w:cs="Calibri"/>
                <w:sz w:val="22"/>
                <w:szCs w:val="22"/>
              </w:rPr>
              <w:t>35</w:t>
            </w:r>
            <w:r w:rsidR="003F0401" w:rsidRPr="000C156A">
              <w:rPr>
                <w:rFonts w:cs="Calibri"/>
                <w:sz w:val="22"/>
                <w:szCs w:val="22"/>
              </w:rPr>
              <w:t xml:space="preserve"> </w:t>
            </w:r>
            <w:r w:rsidRPr="000C156A">
              <w:rPr>
                <w:rFonts w:cs="Calibri"/>
                <w:sz w:val="22"/>
                <w:szCs w:val="22"/>
              </w:rPr>
              <w:t>276.45</w:t>
            </w:r>
          </w:p>
        </w:tc>
      </w:tr>
      <w:tr w:rsidR="00686EC7" w:rsidRPr="000C156A" w14:paraId="72E266E8"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498A4A67" w14:textId="60C6A856"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ComProve</w:t>
            </w:r>
            <w:r w:rsidR="00686EC7" w:rsidRPr="000C156A">
              <w:rPr>
                <w:rFonts w:cs="Calibri" w:hint="eastAsia"/>
                <w:sz w:val="22"/>
                <w:szCs w:val="22"/>
                <w:lang w:val="fr-FR"/>
              </w:rPr>
              <w:t>技术公司</w:t>
            </w:r>
          </w:p>
        </w:tc>
        <w:tc>
          <w:tcPr>
            <w:tcW w:w="1264" w:type="dxa"/>
            <w:tcBorders>
              <w:top w:val="nil"/>
              <w:left w:val="single" w:sz="4" w:space="0" w:color="auto"/>
              <w:bottom w:val="nil"/>
              <w:right w:val="single" w:sz="4" w:space="0" w:color="auto"/>
            </w:tcBorders>
            <w:shd w:val="clear" w:color="auto" w:fill="auto"/>
            <w:noWrap/>
            <w:vAlign w:val="bottom"/>
            <w:hideMark/>
          </w:tcPr>
          <w:p w14:paraId="595533A6" w14:textId="77777777" w:rsidR="00686EC7" w:rsidRPr="000C156A" w:rsidRDefault="00686EC7" w:rsidP="00141BAA">
            <w:pPr>
              <w:jc w:val="center"/>
              <w:rPr>
                <w:rFonts w:cs="Calibri"/>
                <w:sz w:val="22"/>
                <w:szCs w:val="22"/>
              </w:rPr>
            </w:pPr>
            <w:r w:rsidRPr="000C156A">
              <w:rPr>
                <w:rFonts w:cs="Calibri"/>
                <w:sz w:val="22"/>
                <w:szCs w:val="22"/>
              </w:rPr>
              <w:t>2018</w:t>
            </w:r>
          </w:p>
        </w:tc>
        <w:tc>
          <w:tcPr>
            <w:tcW w:w="1613" w:type="dxa"/>
            <w:tcBorders>
              <w:top w:val="nil"/>
              <w:left w:val="single" w:sz="4" w:space="0" w:color="auto"/>
              <w:bottom w:val="nil"/>
              <w:right w:val="single" w:sz="4" w:space="0" w:color="auto"/>
            </w:tcBorders>
            <w:shd w:val="clear" w:color="auto" w:fill="auto"/>
            <w:noWrap/>
            <w:vAlign w:val="bottom"/>
            <w:hideMark/>
          </w:tcPr>
          <w:p w14:paraId="34AB462A" w14:textId="4D874391" w:rsidR="00686EC7" w:rsidRPr="000C156A" w:rsidRDefault="00686EC7" w:rsidP="00141BAA">
            <w:pPr>
              <w:jc w:val="right"/>
              <w:rPr>
                <w:rFonts w:cs="Calibri"/>
                <w:sz w:val="22"/>
                <w:szCs w:val="22"/>
              </w:rPr>
            </w:pPr>
            <w:r w:rsidRPr="000C156A">
              <w:rPr>
                <w:rFonts w:cs="Calibri"/>
                <w:sz w:val="22"/>
                <w:szCs w:val="22"/>
              </w:rPr>
              <w:t>4</w:t>
            </w:r>
            <w:r w:rsidR="003F0401" w:rsidRPr="000C156A">
              <w:rPr>
                <w:rFonts w:cs="Calibri"/>
                <w:sz w:val="22"/>
                <w:szCs w:val="22"/>
              </w:rPr>
              <w:t xml:space="preserve"> </w:t>
            </w:r>
            <w:r w:rsidRPr="000C156A">
              <w:rPr>
                <w:rFonts w:cs="Calibri"/>
                <w:sz w:val="22"/>
                <w:szCs w:val="22"/>
              </w:rPr>
              <w:t>118.93</w:t>
            </w:r>
          </w:p>
        </w:tc>
        <w:tc>
          <w:tcPr>
            <w:tcW w:w="1434" w:type="dxa"/>
            <w:tcBorders>
              <w:top w:val="nil"/>
              <w:left w:val="single" w:sz="4" w:space="0" w:color="auto"/>
              <w:bottom w:val="nil"/>
              <w:right w:val="single" w:sz="4" w:space="0" w:color="auto"/>
            </w:tcBorders>
            <w:shd w:val="clear" w:color="auto" w:fill="auto"/>
            <w:noWrap/>
            <w:vAlign w:val="bottom"/>
            <w:hideMark/>
          </w:tcPr>
          <w:p w14:paraId="29AF9173"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4F6BBA99" w14:textId="1B297538" w:rsidR="00686EC7" w:rsidRPr="000C156A" w:rsidRDefault="00686EC7" w:rsidP="00141BAA">
            <w:pPr>
              <w:jc w:val="right"/>
              <w:rPr>
                <w:rFonts w:cs="Calibri"/>
                <w:sz w:val="22"/>
                <w:szCs w:val="22"/>
              </w:rPr>
            </w:pPr>
            <w:r w:rsidRPr="000C156A">
              <w:rPr>
                <w:rFonts w:cs="Calibri"/>
                <w:sz w:val="22"/>
                <w:szCs w:val="22"/>
              </w:rPr>
              <w:t>4</w:t>
            </w:r>
            <w:r w:rsidR="003F0401" w:rsidRPr="000C156A">
              <w:rPr>
                <w:rFonts w:cs="Calibri"/>
                <w:sz w:val="22"/>
                <w:szCs w:val="22"/>
              </w:rPr>
              <w:t xml:space="preserve"> </w:t>
            </w:r>
            <w:r w:rsidRPr="000C156A">
              <w:rPr>
                <w:rFonts w:cs="Calibri"/>
                <w:sz w:val="22"/>
                <w:szCs w:val="22"/>
              </w:rPr>
              <w:t>118.93</w:t>
            </w:r>
          </w:p>
        </w:tc>
      </w:tr>
      <w:tr w:rsidR="00686EC7" w:rsidRPr="000C156A" w14:paraId="7048E037"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7292BEA0" w14:textId="77777777" w:rsidR="00686EC7" w:rsidRPr="000C156A" w:rsidRDefault="00686EC7" w:rsidP="00141BAA">
            <w:pPr>
              <w:overflowPunct/>
              <w:autoSpaceDE/>
              <w:autoSpaceDN/>
              <w:adjustRightInd/>
              <w:spacing w:before="0"/>
              <w:textAlignment w:val="auto"/>
              <w:rPr>
                <w:rFonts w:cs="Calibri"/>
                <w:b/>
                <w:bCs/>
                <w:sz w:val="22"/>
                <w:szCs w:val="22"/>
                <w:lang w:val="en-US" w:eastAsia="zh-CN"/>
              </w:rPr>
            </w:pPr>
            <w:r w:rsidRPr="000C156A">
              <w:rPr>
                <w:rFonts w:cs="Calibri" w:hint="eastAsia"/>
                <w:b/>
                <w:bCs/>
                <w:sz w:val="22"/>
                <w:szCs w:val="22"/>
                <w:lang w:val="en-US" w:eastAsia="zh-CN"/>
              </w:rPr>
              <w:t>约旦</w:t>
            </w:r>
          </w:p>
        </w:tc>
        <w:tc>
          <w:tcPr>
            <w:tcW w:w="1264" w:type="dxa"/>
            <w:tcBorders>
              <w:top w:val="nil"/>
              <w:left w:val="single" w:sz="4" w:space="0" w:color="auto"/>
              <w:bottom w:val="nil"/>
              <w:right w:val="single" w:sz="4" w:space="0" w:color="auto"/>
            </w:tcBorders>
            <w:shd w:val="clear" w:color="auto" w:fill="auto"/>
            <w:noWrap/>
            <w:vAlign w:val="bottom"/>
            <w:hideMark/>
          </w:tcPr>
          <w:p w14:paraId="02A7F325"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00277F07"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0640E5F2"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02C23A72" w14:textId="77777777" w:rsidR="00686EC7" w:rsidRPr="000C156A" w:rsidRDefault="00686EC7" w:rsidP="00141BAA">
            <w:pPr>
              <w:rPr>
                <w:rFonts w:ascii="Times New Roman" w:hAnsi="Times New Roman"/>
                <w:sz w:val="22"/>
                <w:szCs w:val="22"/>
              </w:rPr>
            </w:pPr>
          </w:p>
        </w:tc>
      </w:tr>
      <w:tr w:rsidR="00686EC7" w:rsidRPr="000C156A" w14:paraId="48108E3A"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36CEA14E" w14:textId="1DC1CACD"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约旦移动通信公司，安曼</w:t>
            </w:r>
          </w:p>
        </w:tc>
        <w:tc>
          <w:tcPr>
            <w:tcW w:w="1264" w:type="dxa"/>
            <w:tcBorders>
              <w:top w:val="nil"/>
              <w:left w:val="single" w:sz="4" w:space="0" w:color="auto"/>
              <w:bottom w:val="nil"/>
              <w:right w:val="single" w:sz="4" w:space="0" w:color="auto"/>
            </w:tcBorders>
            <w:shd w:val="clear" w:color="auto" w:fill="auto"/>
            <w:noWrap/>
            <w:vAlign w:val="bottom"/>
            <w:hideMark/>
          </w:tcPr>
          <w:p w14:paraId="300F006F" w14:textId="77777777" w:rsidR="00686EC7" w:rsidRPr="000C156A" w:rsidRDefault="00686EC7" w:rsidP="00141BAA">
            <w:pPr>
              <w:jc w:val="center"/>
              <w:rPr>
                <w:rFonts w:cs="Calibri"/>
                <w:sz w:val="22"/>
                <w:szCs w:val="22"/>
              </w:rPr>
            </w:pPr>
            <w:r w:rsidRPr="000C156A">
              <w:rPr>
                <w:rFonts w:cs="Calibri"/>
                <w:sz w:val="22"/>
                <w:szCs w:val="22"/>
              </w:rPr>
              <w:t>2016</w:t>
            </w:r>
          </w:p>
        </w:tc>
        <w:tc>
          <w:tcPr>
            <w:tcW w:w="1613" w:type="dxa"/>
            <w:tcBorders>
              <w:top w:val="nil"/>
              <w:left w:val="single" w:sz="4" w:space="0" w:color="auto"/>
              <w:bottom w:val="nil"/>
              <w:right w:val="single" w:sz="4" w:space="0" w:color="auto"/>
            </w:tcBorders>
            <w:shd w:val="clear" w:color="auto" w:fill="auto"/>
            <w:noWrap/>
            <w:vAlign w:val="bottom"/>
            <w:hideMark/>
          </w:tcPr>
          <w:p w14:paraId="4A9066A9" w14:textId="26E0F516" w:rsidR="00686EC7" w:rsidRPr="000C156A" w:rsidRDefault="00686EC7" w:rsidP="00141BAA">
            <w:pPr>
              <w:jc w:val="right"/>
              <w:rPr>
                <w:rFonts w:cs="Calibri"/>
                <w:sz w:val="22"/>
                <w:szCs w:val="22"/>
              </w:rPr>
            </w:pPr>
            <w:r w:rsidRPr="000C156A">
              <w:rPr>
                <w:rFonts w:cs="Calibri"/>
                <w:sz w:val="22"/>
                <w:szCs w:val="22"/>
              </w:rPr>
              <w:t>5</w:t>
            </w:r>
            <w:r w:rsidR="003F0401" w:rsidRPr="000C156A">
              <w:rPr>
                <w:rFonts w:cs="Calibri"/>
                <w:sz w:val="22"/>
                <w:szCs w:val="22"/>
              </w:rPr>
              <w:t xml:space="preserve"> </w:t>
            </w:r>
            <w:r w:rsidRPr="000C156A">
              <w:rPr>
                <w:rFonts w:cs="Calibri"/>
                <w:sz w:val="22"/>
                <w:szCs w:val="22"/>
              </w:rPr>
              <w:t>206.55</w:t>
            </w:r>
          </w:p>
        </w:tc>
        <w:tc>
          <w:tcPr>
            <w:tcW w:w="1434" w:type="dxa"/>
            <w:tcBorders>
              <w:top w:val="nil"/>
              <w:left w:val="single" w:sz="4" w:space="0" w:color="auto"/>
              <w:bottom w:val="nil"/>
              <w:right w:val="single" w:sz="4" w:space="0" w:color="auto"/>
            </w:tcBorders>
            <w:shd w:val="clear" w:color="auto" w:fill="auto"/>
            <w:noWrap/>
            <w:vAlign w:val="bottom"/>
            <w:hideMark/>
          </w:tcPr>
          <w:p w14:paraId="20BF2E0C"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6156553A" w14:textId="36DA198F" w:rsidR="00686EC7" w:rsidRPr="000C156A" w:rsidRDefault="00686EC7" w:rsidP="00141BAA">
            <w:pPr>
              <w:jc w:val="right"/>
              <w:rPr>
                <w:rFonts w:cs="Calibri"/>
                <w:sz w:val="22"/>
                <w:szCs w:val="22"/>
              </w:rPr>
            </w:pPr>
            <w:r w:rsidRPr="000C156A">
              <w:rPr>
                <w:rFonts w:cs="Calibri"/>
                <w:sz w:val="22"/>
                <w:szCs w:val="22"/>
              </w:rPr>
              <w:t>5</w:t>
            </w:r>
            <w:r w:rsidR="003F0401" w:rsidRPr="000C156A">
              <w:rPr>
                <w:rFonts w:cs="Calibri"/>
                <w:sz w:val="22"/>
                <w:szCs w:val="22"/>
              </w:rPr>
              <w:t xml:space="preserve"> </w:t>
            </w:r>
            <w:r w:rsidRPr="000C156A">
              <w:rPr>
                <w:rFonts w:cs="Calibri"/>
                <w:sz w:val="22"/>
                <w:szCs w:val="22"/>
              </w:rPr>
              <w:t>206.55</w:t>
            </w:r>
          </w:p>
        </w:tc>
      </w:tr>
      <w:tr w:rsidR="00686EC7" w:rsidRPr="000C156A" w14:paraId="7C47A8BD"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3E2D2016" w14:textId="3EBFC1E6"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中东通信公司（</w:t>
            </w:r>
            <w:r w:rsidR="00686EC7" w:rsidRPr="000C156A">
              <w:rPr>
                <w:rFonts w:cs="Calibri" w:hint="eastAsia"/>
                <w:sz w:val="22"/>
                <w:szCs w:val="22"/>
                <w:lang w:val="fr-FR" w:eastAsia="zh-CN"/>
              </w:rPr>
              <w:t>MEC</w:t>
            </w:r>
            <w:r w:rsidR="00686EC7" w:rsidRPr="000C156A">
              <w:rPr>
                <w:rFonts w:cs="Calibri" w:hint="eastAsia"/>
                <w:sz w:val="22"/>
                <w:szCs w:val="22"/>
                <w:lang w:val="fr-FR" w:eastAsia="zh-CN"/>
              </w:rPr>
              <w:t>），安曼</w:t>
            </w:r>
          </w:p>
        </w:tc>
        <w:tc>
          <w:tcPr>
            <w:tcW w:w="1264" w:type="dxa"/>
            <w:tcBorders>
              <w:top w:val="nil"/>
              <w:left w:val="single" w:sz="4" w:space="0" w:color="auto"/>
              <w:bottom w:val="nil"/>
              <w:right w:val="single" w:sz="4" w:space="0" w:color="auto"/>
            </w:tcBorders>
            <w:shd w:val="clear" w:color="auto" w:fill="auto"/>
            <w:noWrap/>
            <w:vAlign w:val="bottom"/>
            <w:hideMark/>
          </w:tcPr>
          <w:p w14:paraId="6434BDBD" w14:textId="77777777" w:rsidR="00686EC7" w:rsidRPr="000C156A" w:rsidRDefault="00686EC7" w:rsidP="00141BAA">
            <w:pPr>
              <w:jc w:val="center"/>
              <w:rPr>
                <w:rFonts w:cs="Calibri"/>
                <w:sz w:val="22"/>
                <w:szCs w:val="22"/>
              </w:rPr>
            </w:pPr>
            <w:r w:rsidRPr="000C156A">
              <w:rPr>
                <w:rFonts w:cs="Calibri"/>
                <w:sz w:val="22"/>
                <w:szCs w:val="22"/>
              </w:rPr>
              <w:t>2008-2009</w:t>
            </w:r>
          </w:p>
        </w:tc>
        <w:tc>
          <w:tcPr>
            <w:tcW w:w="1613" w:type="dxa"/>
            <w:tcBorders>
              <w:top w:val="nil"/>
              <w:left w:val="single" w:sz="4" w:space="0" w:color="auto"/>
              <w:bottom w:val="nil"/>
              <w:right w:val="single" w:sz="4" w:space="0" w:color="auto"/>
            </w:tcBorders>
            <w:shd w:val="clear" w:color="auto" w:fill="auto"/>
            <w:noWrap/>
            <w:vAlign w:val="bottom"/>
            <w:hideMark/>
          </w:tcPr>
          <w:p w14:paraId="565FDC04" w14:textId="62D228DA" w:rsidR="00686EC7" w:rsidRPr="000C156A" w:rsidRDefault="00686EC7" w:rsidP="00141BAA">
            <w:pPr>
              <w:jc w:val="right"/>
              <w:rPr>
                <w:rFonts w:cs="Calibri"/>
                <w:sz w:val="22"/>
                <w:szCs w:val="22"/>
              </w:rPr>
            </w:pPr>
            <w:r w:rsidRPr="000C156A">
              <w:rPr>
                <w:rFonts w:cs="Calibri"/>
                <w:sz w:val="22"/>
                <w:szCs w:val="22"/>
              </w:rPr>
              <w:t>7</w:t>
            </w:r>
            <w:r w:rsidR="003F0401" w:rsidRPr="000C156A">
              <w:rPr>
                <w:rFonts w:cs="Calibri"/>
                <w:sz w:val="22"/>
                <w:szCs w:val="22"/>
              </w:rPr>
              <w:t xml:space="preserve"> </w:t>
            </w:r>
            <w:r w:rsidRPr="000C156A">
              <w:rPr>
                <w:rFonts w:cs="Calibri"/>
                <w:sz w:val="22"/>
                <w:szCs w:val="22"/>
              </w:rPr>
              <w:t>859.85</w:t>
            </w:r>
          </w:p>
        </w:tc>
        <w:tc>
          <w:tcPr>
            <w:tcW w:w="1434" w:type="dxa"/>
            <w:tcBorders>
              <w:top w:val="nil"/>
              <w:left w:val="single" w:sz="4" w:space="0" w:color="auto"/>
              <w:bottom w:val="nil"/>
              <w:right w:val="single" w:sz="4" w:space="0" w:color="auto"/>
            </w:tcBorders>
            <w:shd w:val="clear" w:color="auto" w:fill="auto"/>
            <w:noWrap/>
            <w:vAlign w:val="bottom"/>
            <w:hideMark/>
          </w:tcPr>
          <w:p w14:paraId="368875EC"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2C20AADD" w14:textId="79076D6F" w:rsidR="00686EC7" w:rsidRPr="000C156A" w:rsidRDefault="00686EC7" w:rsidP="00141BAA">
            <w:pPr>
              <w:jc w:val="right"/>
              <w:rPr>
                <w:rFonts w:cs="Calibri"/>
                <w:sz w:val="22"/>
                <w:szCs w:val="22"/>
              </w:rPr>
            </w:pPr>
            <w:r w:rsidRPr="000C156A">
              <w:rPr>
                <w:rFonts w:cs="Calibri"/>
                <w:sz w:val="22"/>
                <w:szCs w:val="22"/>
              </w:rPr>
              <w:t>7</w:t>
            </w:r>
            <w:r w:rsidR="003F0401" w:rsidRPr="000C156A">
              <w:rPr>
                <w:rFonts w:cs="Calibri"/>
                <w:sz w:val="22"/>
                <w:szCs w:val="22"/>
              </w:rPr>
              <w:t xml:space="preserve"> </w:t>
            </w:r>
            <w:r w:rsidRPr="000C156A">
              <w:rPr>
                <w:rFonts w:cs="Calibri"/>
                <w:sz w:val="22"/>
                <w:szCs w:val="22"/>
              </w:rPr>
              <w:t>859.85</w:t>
            </w:r>
          </w:p>
        </w:tc>
      </w:tr>
      <w:tr w:rsidR="00686EC7" w:rsidRPr="000C156A" w14:paraId="27AE940F"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64214D4C" w14:textId="76DF27F5" w:rsidR="00686EC7" w:rsidRPr="008A1B23" w:rsidRDefault="00D93F72" w:rsidP="00D93F72">
            <w:pPr>
              <w:tabs>
                <w:tab w:val="clear" w:pos="567"/>
              </w:tabs>
              <w:spacing w:before="0"/>
              <w:ind w:left="317" w:hanging="317"/>
              <w:rPr>
                <w:rFonts w:cs="Calibri"/>
                <w:sz w:val="22"/>
                <w:szCs w:val="22"/>
              </w:rPr>
            </w:pPr>
            <w:r w:rsidRPr="008A1B23">
              <w:rPr>
                <w:rFonts w:cs="Calibri"/>
                <w:sz w:val="22"/>
                <w:szCs w:val="22"/>
              </w:rPr>
              <w:t>–</w:t>
            </w:r>
            <w:r w:rsidRPr="008A1B23">
              <w:rPr>
                <w:rFonts w:cs="Calibri"/>
                <w:sz w:val="22"/>
                <w:szCs w:val="22"/>
              </w:rPr>
              <w:tab/>
            </w:r>
            <w:r w:rsidR="00686EC7" w:rsidRPr="008A1B23">
              <w:rPr>
                <w:rFonts w:cs="Calibri"/>
                <w:sz w:val="22"/>
                <w:szCs w:val="22"/>
              </w:rPr>
              <w:t>Talal Abu-Ghazaleh</w:t>
            </w:r>
            <w:r w:rsidR="00686EC7" w:rsidRPr="000C156A">
              <w:rPr>
                <w:rFonts w:cs="Calibri" w:hint="eastAsia"/>
                <w:sz w:val="22"/>
                <w:szCs w:val="22"/>
                <w:lang w:val="fr-FR"/>
              </w:rPr>
              <w:t>公司</w:t>
            </w:r>
            <w:r w:rsidR="00686EC7" w:rsidRPr="008A1B23">
              <w:rPr>
                <w:rFonts w:cs="Calibri" w:hint="eastAsia"/>
                <w:sz w:val="22"/>
                <w:szCs w:val="22"/>
              </w:rPr>
              <w:t>，</w:t>
            </w:r>
            <w:r w:rsidR="00686EC7" w:rsidRPr="000C156A">
              <w:rPr>
                <w:rFonts w:cs="Calibri" w:hint="eastAsia"/>
                <w:sz w:val="22"/>
                <w:szCs w:val="22"/>
                <w:lang w:val="fr-FR"/>
              </w:rPr>
              <w:t>安曼</w:t>
            </w:r>
          </w:p>
        </w:tc>
        <w:tc>
          <w:tcPr>
            <w:tcW w:w="1264" w:type="dxa"/>
            <w:tcBorders>
              <w:top w:val="nil"/>
              <w:left w:val="single" w:sz="4" w:space="0" w:color="auto"/>
              <w:bottom w:val="nil"/>
              <w:right w:val="single" w:sz="4" w:space="0" w:color="auto"/>
            </w:tcBorders>
            <w:shd w:val="clear" w:color="auto" w:fill="auto"/>
            <w:noWrap/>
            <w:vAlign w:val="bottom"/>
            <w:hideMark/>
          </w:tcPr>
          <w:p w14:paraId="6C9F5983" w14:textId="77777777" w:rsidR="00686EC7" w:rsidRPr="000C156A" w:rsidRDefault="00686EC7" w:rsidP="00141BAA">
            <w:pPr>
              <w:jc w:val="center"/>
              <w:rPr>
                <w:rFonts w:cs="Calibri"/>
                <w:sz w:val="22"/>
                <w:szCs w:val="22"/>
              </w:rPr>
            </w:pPr>
            <w:r w:rsidRPr="000C156A">
              <w:rPr>
                <w:rFonts w:cs="Calibri"/>
                <w:sz w:val="22"/>
                <w:szCs w:val="22"/>
              </w:rPr>
              <w:t>2006-2007</w:t>
            </w:r>
          </w:p>
        </w:tc>
        <w:tc>
          <w:tcPr>
            <w:tcW w:w="1613" w:type="dxa"/>
            <w:tcBorders>
              <w:top w:val="nil"/>
              <w:left w:val="single" w:sz="4" w:space="0" w:color="auto"/>
              <w:bottom w:val="nil"/>
              <w:right w:val="single" w:sz="4" w:space="0" w:color="auto"/>
            </w:tcBorders>
            <w:shd w:val="clear" w:color="auto" w:fill="auto"/>
            <w:noWrap/>
            <w:vAlign w:val="bottom"/>
            <w:hideMark/>
          </w:tcPr>
          <w:p w14:paraId="3839EEED" w14:textId="4569521C" w:rsidR="00686EC7" w:rsidRPr="000C156A" w:rsidRDefault="00686EC7" w:rsidP="00141BAA">
            <w:pPr>
              <w:jc w:val="right"/>
              <w:rPr>
                <w:rFonts w:cs="Calibri"/>
                <w:sz w:val="22"/>
                <w:szCs w:val="22"/>
              </w:rPr>
            </w:pPr>
            <w:r w:rsidRPr="000C156A">
              <w:rPr>
                <w:rFonts w:cs="Calibri"/>
                <w:sz w:val="22"/>
                <w:szCs w:val="22"/>
              </w:rPr>
              <w:t>18</w:t>
            </w:r>
            <w:r w:rsidR="003F0401" w:rsidRPr="000C156A">
              <w:rPr>
                <w:rFonts w:cs="Calibri"/>
                <w:sz w:val="22"/>
                <w:szCs w:val="22"/>
              </w:rPr>
              <w:t xml:space="preserve"> </w:t>
            </w:r>
            <w:r w:rsidRPr="000C156A">
              <w:rPr>
                <w:rFonts w:cs="Calibri"/>
                <w:sz w:val="22"/>
                <w:szCs w:val="22"/>
              </w:rPr>
              <w:t>120.60</w:t>
            </w:r>
          </w:p>
        </w:tc>
        <w:tc>
          <w:tcPr>
            <w:tcW w:w="1434" w:type="dxa"/>
            <w:tcBorders>
              <w:top w:val="nil"/>
              <w:left w:val="single" w:sz="4" w:space="0" w:color="auto"/>
              <w:bottom w:val="nil"/>
              <w:right w:val="single" w:sz="4" w:space="0" w:color="auto"/>
            </w:tcBorders>
            <w:shd w:val="clear" w:color="auto" w:fill="auto"/>
            <w:noWrap/>
            <w:vAlign w:val="bottom"/>
            <w:hideMark/>
          </w:tcPr>
          <w:p w14:paraId="218FC926"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2424827C" w14:textId="080F4BB1" w:rsidR="00686EC7" w:rsidRPr="000C156A" w:rsidRDefault="00686EC7" w:rsidP="00141BAA">
            <w:pPr>
              <w:jc w:val="right"/>
              <w:rPr>
                <w:rFonts w:cs="Calibri"/>
                <w:sz w:val="22"/>
                <w:szCs w:val="22"/>
              </w:rPr>
            </w:pPr>
            <w:r w:rsidRPr="000C156A">
              <w:rPr>
                <w:rFonts w:cs="Calibri"/>
                <w:sz w:val="22"/>
                <w:szCs w:val="22"/>
              </w:rPr>
              <w:t>18</w:t>
            </w:r>
            <w:r w:rsidR="003F0401" w:rsidRPr="000C156A">
              <w:rPr>
                <w:rFonts w:cs="Calibri"/>
                <w:sz w:val="22"/>
                <w:szCs w:val="22"/>
              </w:rPr>
              <w:t xml:space="preserve"> </w:t>
            </w:r>
            <w:r w:rsidRPr="000C156A">
              <w:rPr>
                <w:rFonts w:cs="Calibri"/>
                <w:sz w:val="22"/>
                <w:szCs w:val="22"/>
              </w:rPr>
              <w:t>120.60</w:t>
            </w:r>
          </w:p>
        </w:tc>
      </w:tr>
      <w:tr w:rsidR="00686EC7" w:rsidRPr="000C156A" w14:paraId="71CC9BC0" w14:textId="77777777" w:rsidTr="00141BAA">
        <w:trPr>
          <w:trHeight w:val="300"/>
          <w:jc w:val="center"/>
        </w:trPr>
        <w:tc>
          <w:tcPr>
            <w:tcW w:w="4390" w:type="dxa"/>
            <w:tcBorders>
              <w:top w:val="nil"/>
              <w:left w:val="single" w:sz="4" w:space="0" w:color="auto"/>
              <w:bottom w:val="nil"/>
              <w:right w:val="single" w:sz="4" w:space="0" w:color="auto"/>
            </w:tcBorders>
            <w:shd w:val="clear" w:color="auto" w:fill="auto"/>
            <w:vAlign w:val="bottom"/>
            <w:hideMark/>
          </w:tcPr>
          <w:p w14:paraId="6F72C216" w14:textId="77777777" w:rsidR="00686EC7" w:rsidRPr="000C156A" w:rsidRDefault="00686EC7" w:rsidP="00141BAA">
            <w:pPr>
              <w:spacing w:before="0"/>
              <w:rPr>
                <w:b/>
                <w:bCs/>
                <w:sz w:val="22"/>
                <w:szCs w:val="22"/>
              </w:rPr>
            </w:pPr>
            <w:r w:rsidRPr="000C156A">
              <w:rPr>
                <w:rFonts w:hint="eastAsia"/>
                <w:b/>
                <w:bCs/>
                <w:sz w:val="22"/>
                <w:szCs w:val="22"/>
              </w:rPr>
              <w:t>哈萨克斯坦</w:t>
            </w:r>
          </w:p>
        </w:tc>
        <w:tc>
          <w:tcPr>
            <w:tcW w:w="1264" w:type="dxa"/>
            <w:tcBorders>
              <w:top w:val="nil"/>
              <w:left w:val="single" w:sz="4" w:space="0" w:color="auto"/>
              <w:bottom w:val="nil"/>
              <w:right w:val="single" w:sz="4" w:space="0" w:color="auto"/>
            </w:tcBorders>
            <w:shd w:val="clear" w:color="auto" w:fill="auto"/>
            <w:noWrap/>
            <w:vAlign w:val="bottom"/>
            <w:hideMark/>
          </w:tcPr>
          <w:p w14:paraId="208CC081"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52C1C7BD"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6F18844F"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1A98C50F" w14:textId="77777777" w:rsidR="00686EC7" w:rsidRPr="000C156A" w:rsidRDefault="00686EC7" w:rsidP="00141BAA">
            <w:pPr>
              <w:rPr>
                <w:rFonts w:ascii="Times New Roman" w:hAnsi="Times New Roman"/>
                <w:sz w:val="22"/>
                <w:szCs w:val="22"/>
              </w:rPr>
            </w:pPr>
          </w:p>
        </w:tc>
      </w:tr>
      <w:tr w:rsidR="00686EC7" w:rsidRPr="000C156A" w14:paraId="3DE42B82" w14:textId="77777777" w:rsidTr="00141BAA">
        <w:trPr>
          <w:trHeight w:val="300"/>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518003A5" w14:textId="63B961D0" w:rsidR="00686EC7" w:rsidRPr="000C156A" w:rsidRDefault="00D93F72" w:rsidP="00D93F72">
            <w:pPr>
              <w:tabs>
                <w:tab w:val="clear" w:pos="567"/>
              </w:tabs>
              <w:spacing w:before="0"/>
              <w:ind w:left="317" w:hanging="317"/>
              <w:rPr>
                <w:sz w:val="22"/>
                <w:szCs w:val="22"/>
                <w:lang w:eastAsia="zh-CN"/>
              </w:rPr>
            </w:pPr>
            <w:r w:rsidRPr="000C156A">
              <w:rPr>
                <w:sz w:val="22"/>
                <w:szCs w:val="22"/>
                <w:lang w:eastAsia="zh-CN"/>
              </w:rPr>
              <w:t>–</w:t>
            </w:r>
            <w:r w:rsidRPr="000C156A">
              <w:rPr>
                <w:sz w:val="22"/>
                <w:szCs w:val="22"/>
                <w:lang w:eastAsia="zh-CN"/>
              </w:rPr>
              <w:tab/>
            </w:r>
            <w:r w:rsidR="00686EC7" w:rsidRPr="000C156A">
              <w:rPr>
                <w:rFonts w:cs="Calibri" w:hint="eastAsia"/>
                <w:sz w:val="22"/>
                <w:szCs w:val="22"/>
                <w:lang w:val="fr-FR" w:eastAsia="zh-CN"/>
              </w:rPr>
              <w:t>哈萨克斯坦交通和通信学院</w:t>
            </w:r>
            <w:r w:rsidR="00686EC7" w:rsidRPr="000C156A">
              <w:rPr>
                <w:rFonts w:hint="eastAsia"/>
                <w:sz w:val="22"/>
                <w:szCs w:val="22"/>
                <w:lang w:eastAsia="zh-CN"/>
              </w:rPr>
              <w:t>，阿拉木图</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14:paraId="3718A430" w14:textId="77777777" w:rsidR="00686EC7" w:rsidRPr="000C156A" w:rsidRDefault="00686EC7" w:rsidP="00141BAA">
            <w:pPr>
              <w:jc w:val="center"/>
              <w:rPr>
                <w:rFonts w:cs="Calibri"/>
                <w:sz w:val="22"/>
                <w:szCs w:val="22"/>
              </w:rPr>
            </w:pPr>
            <w:r w:rsidRPr="000C156A">
              <w:rPr>
                <w:rFonts w:cs="Calibri"/>
                <w:sz w:val="22"/>
                <w:szCs w:val="22"/>
              </w:rPr>
              <w:t>2008-2009</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14:paraId="475F97B5" w14:textId="3CF08C7F" w:rsidR="00686EC7" w:rsidRPr="000C156A" w:rsidRDefault="00686EC7" w:rsidP="00141BAA">
            <w:pPr>
              <w:jc w:val="right"/>
              <w:rPr>
                <w:rFonts w:cs="Calibri"/>
                <w:sz w:val="22"/>
                <w:szCs w:val="22"/>
              </w:rPr>
            </w:pPr>
            <w:r w:rsidRPr="000C156A">
              <w:rPr>
                <w:rFonts w:cs="Calibri"/>
                <w:sz w:val="22"/>
                <w:szCs w:val="22"/>
              </w:rPr>
              <w:t>8</w:t>
            </w:r>
            <w:r w:rsidR="003F0401" w:rsidRPr="000C156A">
              <w:rPr>
                <w:rFonts w:cs="Calibri"/>
                <w:sz w:val="22"/>
                <w:szCs w:val="22"/>
              </w:rPr>
              <w:t xml:space="preserve"> </w:t>
            </w:r>
            <w:r w:rsidRPr="000C156A">
              <w:rPr>
                <w:rFonts w:cs="Calibri"/>
                <w:sz w:val="22"/>
                <w:szCs w:val="22"/>
              </w:rPr>
              <w:t>537.65</w:t>
            </w:r>
          </w:p>
        </w:tc>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394BE587"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14:paraId="2FB13FAA" w14:textId="317C27BB" w:rsidR="00686EC7" w:rsidRPr="000C156A" w:rsidRDefault="00686EC7" w:rsidP="00141BAA">
            <w:pPr>
              <w:jc w:val="right"/>
              <w:rPr>
                <w:rFonts w:cs="Calibri"/>
                <w:sz w:val="22"/>
                <w:szCs w:val="22"/>
              </w:rPr>
            </w:pPr>
            <w:r w:rsidRPr="000C156A">
              <w:rPr>
                <w:rFonts w:cs="Calibri"/>
                <w:sz w:val="22"/>
                <w:szCs w:val="22"/>
              </w:rPr>
              <w:t>8</w:t>
            </w:r>
            <w:r w:rsidR="003F0401" w:rsidRPr="000C156A">
              <w:rPr>
                <w:rFonts w:cs="Calibri"/>
                <w:sz w:val="22"/>
                <w:szCs w:val="22"/>
              </w:rPr>
              <w:t xml:space="preserve"> </w:t>
            </w:r>
            <w:r w:rsidRPr="000C156A">
              <w:rPr>
                <w:rFonts w:cs="Calibri"/>
                <w:sz w:val="22"/>
                <w:szCs w:val="22"/>
              </w:rPr>
              <w:t>537.65</w:t>
            </w:r>
          </w:p>
        </w:tc>
      </w:tr>
    </w:tbl>
    <w:p w14:paraId="7565F064" w14:textId="77777777" w:rsidR="00686EC7" w:rsidRPr="000C156A" w:rsidRDefault="00686EC7" w:rsidP="00686EC7">
      <w:pPr>
        <w:rPr>
          <w:sz w:val="22"/>
          <w:szCs w:val="22"/>
        </w:rPr>
      </w:pPr>
      <w:r w:rsidRPr="000C156A">
        <w:rPr>
          <w:sz w:val="22"/>
          <w:szCs w:val="22"/>
        </w:rPr>
        <w:br w:type="page"/>
      </w:r>
    </w:p>
    <w:tbl>
      <w:tblPr>
        <w:tblW w:w="10314" w:type="dxa"/>
        <w:jc w:val="center"/>
        <w:tblLook w:val="04A0" w:firstRow="1" w:lastRow="0" w:firstColumn="1" w:lastColumn="0" w:noHBand="0" w:noVBand="1"/>
      </w:tblPr>
      <w:tblGrid>
        <w:gridCol w:w="4248"/>
        <w:gridCol w:w="1406"/>
        <w:gridCol w:w="1613"/>
        <w:gridCol w:w="1434"/>
        <w:gridCol w:w="1613"/>
      </w:tblGrid>
      <w:tr w:rsidR="00686EC7" w:rsidRPr="000C156A" w14:paraId="4992BDB5" w14:textId="77777777" w:rsidTr="00141BAA">
        <w:trPr>
          <w:trHeight w:val="3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tcPr>
          <w:p w14:paraId="62C4282F" w14:textId="77777777" w:rsidR="00686EC7" w:rsidRPr="000C156A" w:rsidRDefault="00686EC7" w:rsidP="00141BAA">
            <w:pPr>
              <w:pStyle w:val="Tablehead"/>
              <w:jc w:val="left"/>
              <w:rPr>
                <w:szCs w:val="22"/>
                <w:lang w:eastAsia="zh-CN"/>
              </w:rPr>
            </w:pPr>
            <w:r w:rsidRPr="000C156A">
              <w:rPr>
                <w:szCs w:val="22"/>
                <w:lang w:eastAsia="zh-CN"/>
              </w:rPr>
              <w:lastRenderedPageBreak/>
              <w:t>B.</w:t>
            </w:r>
            <w:r w:rsidRPr="000C156A">
              <w:rPr>
                <w:rFonts w:hint="eastAsia"/>
                <w:szCs w:val="22"/>
                <w:lang w:eastAsia="zh-CN"/>
              </w:rPr>
              <w:t>部门成员及其他实体</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676A8" w14:textId="77777777" w:rsidR="00686EC7" w:rsidRPr="000C156A" w:rsidRDefault="00686EC7" w:rsidP="00141BAA">
            <w:pPr>
              <w:pStyle w:val="Tablehead"/>
              <w:rPr>
                <w:szCs w:val="22"/>
                <w:lang w:eastAsia="zh-CN"/>
              </w:rPr>
            </w:pPr>
            <w:r w:rsidRPr="000C156A">
              <w:rPr>
                <w:rFonts w:hint="eastAsia"/>
                <w:szCs w:val="22"/>
              </w:rPr>
              <w:t>年份</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2CDDF" w14:textId="77777777" w:rsidR="00686EC7" w:rsidRPr="000C156A" w:rsidRDefault="00686EC7" w:rsidP="00141BAA">
            <w:pPr>
              <w:pStyle w:val="Tablehead"/>
              <w:rPr>
                <w:szCs w:val="22"/>
                <w:lang w:eastAsia="zh-CN"/>
              </w:rPr>
            </w:pPr>
            <w:r w:rsidRPr="000C156A">
              <w:rPr>
                <w:rFonts w:hint="eastAsia"/>
                <w:szCs w:val="22"/>
              </w:rPr>
              <w:t>会费</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09863" w14:textId="77777777" w:rsidR="00686EC7" w:rsidRPr="000C156A" w:rsidRDefault="00686EC7" w:rsidP="00141BAA">
            <w:pPr>
              <w:pStyle w:val="Tablehead"/>
              <w:rPr>
                <w:szCs w:val="22"/>
                <w:lang w:eastAsia="zh-CN"/>
              </w:rPr>
            </w:pPr>
            <w:r w:rsidRPr="000C156A">
              <w:rPr>
                <w:rFonts w:hint="eastAsia"/>
                <w:szCs w:val="22"/>
              </w:rPr>
              <w:t>出版物</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2E688" w14:textId="77777777" w:rsidR="00686EC7" w:rsidRPr="000C156A" w:rsidRDefault="00686EC7" w:rsidP="00141BAA">
            <w:pPr>
              <w:pStyle w:val="Tablehead"/>
              <w:rPr>
                <w:szCs w:val="22"/>
                <w:lang w:eastAsia="zh-CN"/>
              </w:rPr>
            </w:pPr>
            <w:r w:rsidRPr="000C156A">
              <w:rPr>
                <w:rFonts w:hint="eastAsia"/>
                <w:szCs w:val="22"/>
              </w:rPr>
              <w:t>合计</w:t>
            </w:r>
          </w:p>
        </w:tc>
      </w:tr>
      <w:tr w:rsidR="00686EC7" w:rsidRPr="000C156A" w14:paraId="595DBFFB" w14:textId="77777777" w:rsidTr="00141BAA">
        <w:trPr>
          <w:trHeight w:val="300"/>
          <w:jc w:val="center"/>
        </w:trPr>
        <w:tc>
          <w:tcPr>
            <w:tcW w:w="4248" w:type="dxa"/>
            <w:tcBorders>
              <w:top w:val="single" w:sz="4" w:space="0" w:color="auto"/>
              <w:left w:val="single" w:sz="4" w:space="0" w:color="auto"/>
              <w:bottom w:val="nil"/>
              <w:right w:val="single" w:sz="4" w:space="0" w:color="auto"/>
            </w:tcBorders>
            <w:shd w:val="clear" w:color="auto" w:fill="auto"/>
            <w:vAlign w:val="bottom"/>
            <w:hideMark/>
          </w:tcPr>
          <w:p w14:paraId="1D849B7A" w14:textId="77777777" w:rsidR="00686EC7" w:rsidRPr="000C156A" w:rsidRDefault="00686EC7" w:rsidP="00141BAA">
            <w:pPr>
              <w:rPr>
                <w:rFonts w:cs="Calibri"/>
                <w:b/>
                <w:bCs/>
                <w:sz w:val="22"/>
                <w:szCs w:val="22"/>
              </w:rPr>
            </w:pPr>
            <w:r w:rsidRPr="000C156A">
              <w:rPr>
                <w:rFonts w:cs="Calibri"/>
                <w:b/>
                <w:bCs/>
                <w:sz w:val="22"/>
                <w:szCs w:val="22"/>
              </w:rPr>
              <w:t>肯尼亚</w:t>
            </w:r>
          </w:p>
        </w:tc>
        <w:tc>
          <w:tcPr>
            <w:tcW w:w="1406" w:type="dxa"/>
            <w:tcBorders>
              <w:top w:val="single" w:sz="4" w:space="0" w:color="auto"/>
              <w:left w:val="single" w:sz="4" w:space="0" w:color="auto"/>
              <w:bottom w:val="nil"/>
              <w:right w:val="single" w:sz="4" w:space="0" w:color="auto"/>
            </w:tcBorders>
            <w:shd w:val="clear" w:color="auto" w:fill="auto"/>
            <w:noWrap/>
            <w:vAlign w:val="bottom"/>
            <w:hideMark/>
          </w:tcPr>
          <w:p w14:paraId="034D5F2E" w14:textId="77777777" w:rsidR="00686EC7" w:rsidRPr="000C156A" w:rsidRDefault="00686EC7" w:rsidP="00141BAA">
            <w:pPr>
              <w:rPr>
                <w:rFonts w:cs="Calibri"/>
                <w:b/>
                <w:bCs/>
                <w:sz w:val="22"/>
                <w:szCs w:val="22"/>
              </w:rPr>
            </w:pPr>
          </w:p>
        </w:tc>
        <w:tc>
          <w:tcPr>
            <w:tcW w:w="1613" w:type="dxa"/>
            <w:tcBorders>
              <w:top w:val="single" w:sz="4" w:space="0" w:color="auto"/>
              <w:left w:val="single" w:sz="4" w:space="0" w:color="auto"/>
              <w:bottom w:val="nil"/>
              <w:right w:val="single" w:sz="4" w:space="0" w:color="auto"/>
            </w:tcBorders>
            <w:shd w:val="clear" w:color="auto" w:fill="auto"/>
            <w:noWrap/>
            <w:vAlign w:val="bottom"/>
            <w:hideMark/>
          </w:tcPr>
          <w:p w14:paraId="4A49229B" w14:textId="77777777" w:rsidR="00686EC7" w:rsidRPr="000C156A" w:rsidRDefault="00686EC7" w:rsidP="00141BAA">
            <w:pPr>
              <w:jc w:val="center"/>
              <w:rPr>
                <w:rFonts w:ascii="Times New Roman" w:hAnsi="Times New Roman"/>
                <w:sz w:val="22"/>
                <w:szCs w:val="22"/>
              </w:rPr>
            </w:pPr>
          </w:p>
        </w:tc>
        <w:tc>
          <w:tcPr>
            <w:tcW w:w="1434" w:type="dxa"/>
            <w:tcBorders>
              <w:top w:val="single" w:sz="4" w:space="0" w:color="auto"/>
              <w:left w:val="single" w:sz="4" w:space="0" w:color="auto"/>
              <w:bottom w:val="nil"/>
              <w:right w:val="single" w:sz="4" w:space="0" w:color="auto"/>
            </w:tcBorders>
            <w:shd w:val="clear" w:color="auto" w:fill="auto"/>
            <w:noWrap/>
            <w:vAlign w:val="bottom"/>
            <w:hideMark/>
          </w:tcPr>
          <w:p w14:paraId="72C1654E" w14:textId="77777777" w:rsidR="00686EC7" w:rsidRPr="000C156A" w:rsidRDefault="00686EC7" w:rsidP="00141BAA">
            <w:pPr>
              <w:rPr>
                <w:rFonts w:ascii="Times New Roman" w:hAnsi="Times New Roman"/>
                <w:sz w:val="22"/>
                <w:szCs w:val="22"/>
              </w:rPr>
            </w:pPr>
          </w:p>
        </w:tc>
        <w:tc>
          <w:tcPr>
            <w:tcW w:w="1613" w:type="dxa"/>
            <w:tcBorders>
              <w:top w:val="single" w:sz="4" w:space="0" w:color="auto"/>
              <w:left w:val="single" w:sz="4" w:space="0" w:color="auto"/>
              <w:bottom w:val="nil"/>
              <w:right w:val="single" w:sz="4" w:space="0" w:color="auto"/>
            </w:tcBorders>
            <w:shd w:val="clear" w:color="auto" w:fill="auto"/>
            <w:noWrap/>
            <w:vAlign w:val="bottom"/>
            <w:hideMark/>
          </w:tcPr>
          <w:p w14:paraId="00585FBF" w14:textId="77777777" w:rsidR="00686EC7" w:rsidRPr="000C156A" w:rsidRDefault="00686EC7" w:rsidP="00141BAA">
            <w:pPr>
              <w:rPr>
                <w:rFonts w:ascii="Times New Roman" w:hAnsi="Times New Roman"/>
                <w:sz w:val="22"/>
                <w:szCs w:val="22"/>
              </w:rPr>
            </w:pPr>
          </w:p>
        </w:tc>
      </w:tr>
      <w:tr w:rsidR="00686EC7" w:rsidRPr="000C156A" w14:paraId="73D424C6" w14:textId="77777777" w:rsidTr="00141BAA">
        <w:trPr>
          <w:trHeight w:val="300"/>
          <w:jc w:val="center"/>
        </w:trPr>
        <w:tc>
          <w:tcPr>
            <w:tcW w:w="4248" w:type="dxa"/>
            <w:tcBorders>
              <w:top w:val="nil"/>
              <w:left w:val="single" w:sz="4" w:space="0" w:color="auto"/>
              <w:bottom w:val="nil"/>
              <w:right w:val="single" w:sz="4" w:space="0" w:color="auto"/>
            </w:tcBorders>
            <w:shd w:val="clear" w:color="auto" w:fill="auto"/>
            <w:vAlign w:val="bottom"/>
            <w:hideMark/>
          </w:tcPr>
          <w:p w14:paraId="7C9AF6B8" w14:textId="31F2B11C"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hint="eastAsia"/>
                <w:sz w:val="22"/>
                <w:szCs w:val="22"/>
                <w:lang w:val="fr-FR"/>
              </w:rPr>
              <w:t>Intersat</w:t>
            </w:r>
            <w:r w:rsidR="00686EC7" w:rsidRPr="000C156A">
              <w:rPr>
                <w:rFonts w:cs="Calibri" w:hint="eastAsia"/>
                <w:sz w:val="22"/>
                <w:szCs w:val="22"/>
                <w:lang w:val="fr-FR"/>
              </w:rPr>
              <w:t>非洲有限公司，内罗毕</w:t>
            </w:r>
          </w:p>
        </w:tc>
        <w:tc>
          <w:tcPr>
            <w:tcW w:w="1406" w:type="dxa"/>
            <w:tcBorders>
              <w:top w:val="nil"/>
              <w:left w:val="single" w:sz="4" w:space="0" w:color="auto"/>
              <w:bottom w:val="nil"/>
              <w:right w:val="single" w:sz="4" w:space="0" w:color="auto"/>
            </w:tcBorders>
            <w:shd w:val="clear" w:color="auto" w:fill="auto"/>
            <w:noWrap/>
            <w:vAlign w:val="bottom"/>
            <w:hideMark/>
          </w:tcPr>
          <w:p w14:paraId="5FF7E6B4" w14:textId="77777777" w:rsidR="00686EC7" w:rsidRPr="000C156A" w:rsidRDefault="00686EC7" w:rsidP="00141BAA">
            <w:pPr>
              <w:jc w:val="center"/>
              <w:rPr>
                <w:rFonts w:cs="Calibri"/>
                <w:sz w:val="22"/>
                <w:szCs w:val="22"/>
              </w:rPr>
            </w:pPr>
            <w:r w:rsidRPr="000C156A">
              <w:rPr>
                <w:rFonts w:cs="Calibri"/>
                <w:sz w:val="22"/>
                <w:szCs w:val="22"/>
              </w:rPr>
              <w:t>2010-2012</w:t>
            </w:r>
          </w:p>
        </w:tc>
        <w:tc>
          <w:tcPr>
            <w:tcW w:w="1613" w:type="dxa"/>
            <w:tcBorders>
              <w:top w:val="nil"/>
              <w:left w:val="single" w:sz="4" w:space="0" w:color="auto"/>
              <w:bottom w:val="nil"/>
              <w:right w:val="single" w:sz="4" w:space="0" w:color="auto"/>
            </w:tcBorders>
            <w:shd w:val="clear" w:color="auto" w:fill="auto"/>
            <w:noWrap/>
            <w:vAlign w:val="bottom"/>
            <w:hideMark/>
          </w:tcPr>
          <w:p w14:paraId="445A7CF4" w14:textId="7836D8AF" w:rsidR="00686EC7" w:rsidRPr="000C156A" w:rsidRDefault="00686EC7" w:rsidP="00141BAA">
            <w:pPr>
              <w:jc w:val="right"/>
              <w:rPr>
                <w:rFonts w:cs="Calibri"/>
                <w:sz w:val="22"/>
                <w:szCs w:val="22"/>
              </w:rPr>
            </w:pPr>
            <w:r w:rsidRPr="000C156A">
              <w:rPr>
                <w:rFonts w:cs="Calibri"/>
                <w:sz w:val="22"/>
                <w:szCs w:val="22"/>
              </w:rPr>
              <w:t>6</w:t>
            </w:r>
            <w:r w:rsidR="003F0401" w:rsidRPr="000C156A">
              <w:rPr>
                <w:rFonts w:cs="Calibri"/>
                <w:sz w:val="22"/>
                <w:szCs w:val="22"/>
              </w:rPr>
              <w:t xml:space="preserve"> </w:t>
            </w:r>
            <w:r w:rsidRPr="000C156A">
              <w:rPr>
                <w:rFonts w:cs="Calibri"/>
                <w:sz w:val="22"/>
                <w:szCs w:val="22"/>
              </w:rPr>
              <w:t>779.10</w:t>
            </w:r>
          </w:p>
        </w:tc>
        <w:tc>
          <w:tcPr>
            <w:tcW w:w="1434" w:type="dxa"/>
            <w:tcBorders>
              <w:top w:val="nil"/>
              <w:left w:val="single" w:sz="4" w:space="0" w:color="auto"/>
              <w:bottom w:val="nil"/>
              <w:right w:val="single" w:sz="4" w:space="0" w:color="auto"/>
            </w:tcBorders>
            <w:shd w:val="clear" w:color="auto" w:fill="auto"/>
            <w:noWrap/>
            <w:vAlign w:val="bottom"/>
            <w:hideMark/>
          </w:tcPr>
          <w:p w14:paraId="5E787641"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4E5D7EBE" w14:textId="73EDC703" w:rsidR="00686EC7" w:rsidRPr="000C156A" w:rsidRDefault="00686EC7" w:rsidP="00141BAA">
            <w:pPr>
              <w:jc w:val="right"/>
              <w:rPr>
                <w:rFonts w:cs="Calibri"/>
                <w:sz w:val="22"/>
                <w:szCs w:val="22"/>
              </w:rPr>
            </w:pPr>
            <w:r w:rsidRPr="000C156A">
              <w:rPr>
                <w:rFonts w:cs="Calibri"/>
                <w:sz w:val="22"/>
                <w:szCs w:val="22"/>
              </w:rPr>
              <w:t>6</w:t>
            </w:r>
            <w:r w:rsidR="003F0401" w:rsidRPr="000C156A">
              <w:rPr>
                <w:rFonts w:cs="Calibri"/>
                <w:sz w:val="22"/>
                <w:szCs w:val="22"/>
              </w:rPr>
              <w:t xml:space="preserve"> </w:t>
            </w:r>
            <w:r w:rsidRPr="000C156A">
              <w:rPr>
                <w:rFonts w:cs="Calibri"/>
                <w:sz w:val="22"/>
                <w:szCs w:val="22"/>
              </w:rPr>
              <w:t>779.10</w:t>
            </w:r>
          </w:p>
        </w:tc>
      </w:tr>
      <w:tr w:rsidR="00686EC7" w:rsidRPr="000C156A" w14:paraId="4F1235C1" w14:textId="77777777" w:rsidTr="00141BAA">
        <w:trPr>
          <w:trHeight w:val="300"/>
          <w:jc w:val="center"/>
        </w:trPr>
        <w:tc>
          <w:tcPr>
            <w:tcW w:w="4248" w:type="dxa"/>
            <w:tcBorders>
              <w:top w:val="nil"/>
              <w:left w:val="single" w:sz="4" w:space="0" w:color="auto"/>
              <w:bottom w:val="nil"/>
              <w:right w:val="single" w:sz="4" w:space="0" w:color="auto"/>
            </w:tcBorders>
            <w:shd w:val="clear" w:color="auto" w:fill="auto"/>
            <w:vAlign w:val="bottom"/>
            <w:hideMark/>
          </w:tcPr>
          <w:p w14:paraId="2C93B365" w14:textId="04B7B5D8"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肯尼亚</w:t>
            </w:r>
            <w:r w:rsidR="00686EC7" w:rsidRPr="000C156A">
              <w:rPr>
                <w:rFonts w:cs="Calibri" w:hint="eastAsia"/>
                <w:sz w:val="22"/>
                <w:szCs w:val="22"/>
                <w:lang w:val="fr-FR"/>
              </w:rPr>
              <w:t>电信，内罗毕</w:t>
            </w:r>
          </w:p>
        </w:tc>
        <w:tc>
          <w:tcPr>
            <w:tcW w:w="1406" w:type="dxa"/>
            <w:tcBorders>
              <w:top w:val="nil"/>
              <w:left w:val="single" w:sz="4" w:space="0" w:color="auto"/>
              <w:bottom w:val="nil"/>
              <w:right w:val="single" w:sz="4" w:space="0" w:color="auto"/>
            </w:tcBorders>
            <w:shd w:val="clear" w:color="auto" w:fill="auto"/>
            <w:noWrap/>
            <w:vAlign w:val="bottom"/>
            <w:hideMark/>
          </w:tcPr>
          <w:p w14:paraId="39560016" w14:textId="77777777" w:rsidR="00686EC7" w:rsidRPr="000C156A" w:rsidRDefault="00686EC7" w:rsidP="00141BAA">
            <w:pPr>
              <w:jc w:val="center"/>
              <w:rPr>
                <w:rFonts w:cs="Calibri"/>
                <w:sz w:val="22"/>
                <w:szCs w:val="22"/>
              </w:rPr>
            </w:pPr>
            <w:r w:rsidRPr="000C156A">
              <w:rPr>
                <w:rFonts w:cs="Calibri"/>
                <w:sz w:val="22"/>
                <w:szCs w:val="22"/>
              </w:rPr>
              <w:t>2005-2007</w:t>
            </w:r>
          </w:p>
        </w:tc>
        <w:tc>
          <w:tcPr>
            <w:tcW w:w="1613" w:type="dxa"/>
            <w:tcBorders>
              <w:top w:val="nil"/>
              <w:left w:val="single" w:sz="4" w:space="0" w:color="auto"/>
              <w:bottom w:val="nil"/>
              <w:right w:val="single" w:sz="4" w:space="0" w:color="auto"/>
            </w:tcBorders>
            <w:shd w:val="clear" w:color="auto" w:fill="auto"/>
            <w:noWrap/>
            <w:vAlign w:val="bottom"/>
            <w:hideMark/>
          </w:tcPr>
          <w:p w14:paraId="334E1007" w14:textId="6BE793D9" w:rsidR="00686EC7" w:rsidRPr="000C156A" w:rsidRDefault="00686EC7" w:rsidP="00141BAA">
            <w:pPr>
              <w:jc w:val="right"/>
              <w:rPr>
                <w:rFonts w:cs="Calibri"/>
                <w:sz w:val="22"/>
                <w:szCs w:val="22"/>
              </w:rPr>
            </w:pPr>
            <w:r w:rsidRPr="000C156A">
              <w:rPr>
                <w:rFonts w:cs="Calibri"/>
                <w:sz w:val="22"/>
                <w:szCs w:val="22"/>
              </w:rPr>
              <w:t>372</w:t>
            </w:r>
            <w:r w:rsidR="003F0401" w:rsidRPr="000C156A">
              <w:rPr>
                <w:rFonts w:cs="Calibri"/>
                <w:sz w:val="22"/>
                <w:szCs w:val="22"/>
              </w:rPr>
              <w:t xml:space="preserve"> </w:t>
            </w:r>
            <w:r w:rsidRPr="000C156A">
              <w:rPr>
                <w:rFonts w:cs="Calibri"/>
                <w:sz w:val="22"/>
                <w:szCs w:val="22"/>
              </w:rPr>
              <w:t>653.00</w:t>
            </w:r>
          </w:p>
        </w:tc>
        <w:tc>
          <w:tcPr>
            <w:tcW w:w="1434" w:type="dxa"/>
            <w:tcBorders>
              <w:top w:val="nil"/>
              <w:left w:val="single" w:sz="4" w:space="0" w:color="auto"/>
              <w:bottom w:val="nil"/>
              <w:right w:val="single" w:sz="4" w:space="0" w:color="auto"/>
            </w:tcBorders>
            <w:shd w:val="clear" w:color="auto" w:fill="auto"/>
            <w:noWrap/>
            <w:vAlign w:val="bottom"/>
            <w:hideMark/>
          </w:tcPr>
          <w:p w14:paraId="54C9B3AF"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58FF23EE" w14:textId="676969D7" w:rsidR="00686EC7" w:rsidRPr="000C156A" w:rsidRDefault="00686EC7" w:rsidP="00141BAA">
            <w:pPr>
              <w:jc w:val="right"/>
              <w:rPr>
                <w:rFonts w:cs="Calibri"/>
                <w:sz w:val="22"/>
                <w:szCs w:val="22"/>
              </w:rPr>
            </w:pPr>
            <w:r w:rsidRPr="000C156A">
              <w:rPr>
                <w:rFonts w:cs="Calibri"/>
                <w:sz w:val="22"/>
                <w:szCs w:val="22"/>
              </w:rPr>
              <w:t>372</w:t>
            </w:r>
            <w:r w:rsidR="003F0401" w:rsidRPr="000C156A">
              <w:rPr>
                <w:rFonts w:cs="Calibri"/>
                <w:sz w:val="22"/>
                <w:szCs w:val="22"/>
              </w:rPr>
              <w:t xml:space="preserve"> </w:t>
            </w:r>
            <w:r w:rsidRPr="000C156A">
              <w:rPr>
                <w:rFonts w:cs="Calibri"/>
                <w:sz w:val="22"/>
                <w:szCs w:val="22"/>
              </w:rPr>
              <w:t>653.00</w:t>
            </w:r>
          </w:p>
        </w:tc>
      </w:tr>
      <w:tr w:rsidR="00686EC7" w:rsidRPr="000C156A" w14:paraId="4BCAD756" w14:textId="77777777" w:rsidTr="00141BAA">
        <w:trPr>
          <w:trHeight w:val="300"/>
          <w:jc w:val="center"/>
        </w:trPr>
        <w:tc>
          <w:tcPr>
            <w:tcW w:w="4248" w:type="dxa"/>
            <w:tcBorders>
              <w:top w:val="nil"/>
              <w:left w:val="single" w:sz="4" w:space="0" w:color="auto"/>
              <w:bottom w:val="nil"/>
              <w:right w:val="single" w:sz="4" w:space="0" w:color="auto"/>
            </w:tcBorders>
            <w:shd w:val="clear" w:color="auto" w:fill="auto"/>
            <w:vAlign w:val="bottom"/>
            <w:hideMark/>
          </w:tcPr>
          <w:p w14:paraId="08A51438" w14:textId="77777777" w:rsidR="00686EC7" w:rsidRPr="000C156A" w:rsidRDefault="00686EC7" w:rsidP="00141BAA">
            <w:pPr>
              <w:rPr>
                <w:rFonts w:cs="Calibri"/>
                <w:b/>
                <w:bCs/>
                <w:sz w:val="22"/>
                <w:szCs w:val="22"/>
              </w:rPr>
            </w:pPr>
            <w:r w:rsidRPr="000C156A">
              <w:rPr>
                <w:rFonts w:cs="Calibri"/>
                <w:b/>
                <w:bCs/>
                <w:sz w:val="22"/>
                <w:szCs w:val="22"/>
              </w:rPr>
              <w:t>韩国</w:t>
            </w:r>
          </w:p>
        </w:tc>
        <w:tc>
          <w:tcPr>
            <w:tcW w:w="1406" w:type="dxa"/>
            <w:tcBorders>
              <w:top w:val="nil"/>
              <w:left w:val="single" w:sz="4" w:space="0" w:color="auto"/>
              <w:bottom w:val="nil"/>
              <w:right w:val="single" w:sz="4" w:space="0" w:color="auto"/>
            </w:tcBorders>
            <w:shd w:val="clear" w:color="auto" w:fill="auto"/>
            <w:noWrap/>
            <w:vAlign w:val="bottom"/>
            <w:hideMark/>
          </w:tcPr>
          <w:p w14:paraId="4005596C"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28445D1A"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61B47241"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62901036" w14:textId="77777777" w:rsidR="00686EC7" w:rsidRPr="000C156A" w:rsidRDefault="00686EC7" w:rsidP="00141BAA">
            <w:pPr>
              <w:rPr>
                <w:rFonts w:ascii="Times New Roman" w:hAnsi="Times New Roman"/>
                <w:sz w:val="22"/>
                <w:szCs w:val="22"/>
              </w:rPr>
            </w:pPr>
          </w:p>
        </w:tc>
      </w:tr>
      <w:tr w:rsidR="00686EC7" w:rsidRPr="000C156A" w14:paraId="714329C5" w14:textId="77777777" w:rsidTr="00141BAA">
        <w:trPr>
          <w:trHeight w:val="300"/>
          <w:jc w:val="center"/>
        </w:trPr>
        <w:tc>
          <w:tcPr>
            <w:tcW w:w="4248" w:type="dxa"/>
            <w:tcBorders>
              <w:top w:val="nil"/>
              <w:left w:val="single" w:sz="4" w:space="0" w:color="auto"/>
              <w:bottom w:val="nil"/>
              <w:right w:val="single" w:sz="4" w:space="0" w:color="auto"/>
            </w:tcBorders>
            <w:shd w:val="clear" w:color="auto" w:fill="auto"/>
            <w:vAlign w:val="bottom"/>
            <w:hideMark/>
          </w:tcPr>
          <w:p w14:paraId="3FB3D16A" w14:textId="57EC2707" w:rsidR="00686EC7" w:rsidRPr="008A1B23" w:rsidRDefault="00D93F72" w:rsidP="00D93F72">
            <w:pPr>
              <w:tabs>
                <w:tab w:val="clear" w:pos="567"/>
              </w:tabs>
              <w:spacing w:before="0"/>
              <w:ind w:left="317" w:hanging="317"/>
              <w:rPr>
                <w:rFonts w:cs="Calibri"/>
                <w:sz w:val="22"/>
                <w:szCs w:val="22"/>
              </w:rPr>
            </w:pPr>
            <w:r w:rsidRPr="008A1B23">
              <w:rPr>
                <w:rFonts w:cs="Calibri"/>
                <w:sz w:val="22"/>
                <w:szCs w:val="22"/>
              </w:rPr>
              <w:t>–</w:t>
            </w:r>
            <w:r w:rsidRPr="008A1B23">
              <w:rPr>
                <w:rFonts w:cs="Calibri"/>
                <w:sz w:val="22"/>
                <w:szCs w:val="22"/>
              </w:rPr>
              <w:tab/>
            </w:r>
            <w:r w:rsidR="00686EC7" w:rsidRPr="008A1B23">
              <w:rPr>
                <w:rFonts w:cs="Calibri"/>
                <w:sz w:val="22"/>
                <w:szCs w:val="22"/>
              </w:rPr>
              <w:t>Ericsson-LG</w:t>
            </w:r>
            <w:r w:rsidR="00686EC7" w:rsidRPr="008A1B23">
              <w:rPr>
                <w:rFonts w:cs="Calibri" w:hint="eastAsia"/>
                <w:sz w:val="22"/>
                <w:szCs w:val="22"/>
              </w:rPr>
              <w:t>，</w:t>
            </w:r>
            <w:r w:rsidR="00686EC7" w:rsidRPr="008A1B23">
              <w:rPr>
                <w:rFonts w:cs="Calibri"/>
                <w:sz w:val="22"/>
                <w:szCs w:val="22"/>
              </w:rPr>
              <w:t>Anyang-Shi</w:t>
            </w:r>
          </w:p>
        </w:tc>
        <w:tc>
          <w:tcPr>
            <w:tcW w:w="1406" w:type="dxa"/>
            <w:tcBorders>
              <w:top w:val="nil"/>
              <w:left w:val="single" w:sz="4" w:space="0" w:color="auto"/>
              <w:bottom w:val="nil"/>
              <w:right w:val="single" w:sz="4" w:space="0" w:color="auto"/>
            </w:tcBorders>
            <w:shd w:val="clear" w:color="auto" w:fill="auto"/>
            <w:noWrap/>
            <w:vAlign w:val="bottom"/>
            <w:hideMark/>
          </w:tcPr>
          <w:p w14:paraId="70759ACF" w14:textId="77777777" w:rsidR="00686EC7" w:rsidRPr="000C156A" w:rsidRDefault="00686EC7" w:rsidP="00141BAA">
            <w:pPr>
              <w:jc w:val="center"/>
              <w:rPr>
                <w:rFonts w:cs="Calibri"/>
                <w:sz w:val="22"/>
                <w:szCs w:val="22"/>
              </w:rPr>
            </w:pPr>
            <w:r w:rsidRPr="000C156A">
              <w:rPr>
                <w:rFonts w:cs="Calibri"/>
                <w:sz w:val="22"/>
                <w:szCs w:val="22"/>
              </w:rPr>
              <w:t>2013-2014</w:t>
            </w:r>
          </w:p>
        </w:tc>
        <w:tc>
          <w:tcPr>
            <w:tcW w:w="1613" w:type="dxa"/>
            <w:tcBorders>
              <w:top w:val="nil"/>
              <w:left w:val="single" w:sz="4" w:space="0" w:color="auto"/>
              <w:bottom w:val="nil"/>
              <w:right w:val="single" w:sz="4" w:space="0" w:color="auto"/>
            </w:tcBorders>
            <w:shd w:val="clear" w:color="auto" w:fill="auto"/>
            <w:noWrap/>
            <w:vAlign w:val="bottom"/>
            <w:hideMark/>
          </w:tcPr>
          <w:p w14:paraId="6AC0E617" w14:textId="7EF4C211" w:rsidR="00686EC7" w:rsidRPr="000C156A" w:rsidRDefault="00686EC7" w:rsidP="00141BAA">
            <w:pPr>
              <w:jc w:val="right"/>
              <w:rPr>
                <w:rFonts w:cs="Calibri"/>
                <w:sz w:val="22"/>
                <w:szCs w:val="22"/>
              </w:rPr>
            </w:pPr>
            <w:r w:rsidRPr="000C156A">
              <w:rPr>
                <w:rFonts w:cs="Calibri"/>
                <w:sz w:val="22"/>
                <w:szCs w:val="22"/>
              </w:rPr>
              <w:t>15</w:t>
            </w:r>
            <w:r w:rsidR="003F0401" w:rsidRPr="000C156A">
              <w:rPr>
                <w:rFonts w:cs="Calibri"/>
                <w:sz w:val="22"/>
                <w:szCs w:val="22"/>
              </w:rPr>
              <w:t xml:space="preserve"> </w:t>
            </w:r>
            <w:r w:rsidRPr="000C156A">
              <w:rPr>
                <w:rFonts w:cs="Calibri"/>
                <w:sz w:val="22"/>
                <w:szCs w:val="22"/>
              </w:rPr>
              <w:t>688.55</w:t>
            </w:r>
          </w:p>
        </w:tc>
        <w:tc>
          <w:tcPr>
            <w:tcW w:w="1434" w:type="dxa"/>
            <w:tcBorders>
              <w:top w:val="nil"/>
              <w:left w:val="single" w:sz="4" w:space="0" w:color="auto"/>
              <w:bottom w:val="nil"/>
              <w:right w:val="single" w:sz="4" w:space="0" w:color="auto"/>
            </w:tcBorders>
            <w:shd w:val="clear" w:color="auto" w:fill="auto"/>
            <w:noWrap/>
            <w:vAlign w:val="bottom"/>
            <w:hideMark/>
          </w:tcPr>
          <w:p w14:paraId="0547F9F8"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354D4B01" w14:textId="4B595680" w:rsidR="00686EC7" w:rsidRPr="000C156A" w:rsidRDefault="00686EC7" w:rsidP="00141BAA">
            <w:pPr>
              <w:jc w:val="right"/>
              <w:rPr>
                <w:rFonts w:cs="Calibri"/>
                <w:sz w:val="22"/>
                <w:szCs w:val="22"/>
              </w:rPr>
            </w:pPr>
            <w:r w:rsidRPr="000C156A">
              <w:rPr>
                <w:rFonts w:cs="Calibri"/>
                <w:sz w:val="22"/>
                <w:szCs w:val="22"/>
              </w:rPr>
              <w:t>15</w:t>
            </w:r>
            <w:r w:rsidR="003F0401" w:rsidRPr="000C156A">
              <w:rPr>
                <w:rFonts w:cs="Calibri"/>
                <w:sz w:val="22"/>
                <w:szCs w:val="22"/>
              </w:rPr>
              <w:t xml:space="preserve"> </w:t>
            </w:r>
            <w:r w:rsidRPr="000C156A">
              <w:rPr>
                <w:rFonts w:cs="Calibri"/>
                <w:sz w:val="22"/>
                <w:szCs w:val="22"/>
              </w:rPr>
              <w:t>688.55</w:t>
            </w:r>
          </w:p>
        </w:tc>
      </w:tr>
      <w:tr w:rsidR="00686EC7" w:rsidRPr="000C156A" w14:paraId="2396A806" w14:textId="77777777" w:rsidTr="00141BAA">
        <w:trPr>
          <w:trHeight w:val="199"/>
          <w:jc w:val="center"/>
        </w:trPr>
        <w:tc>
          <w:tcPr>
            <w:tcW w:w="4248" w:type="dxa"/>
            <w:tcBorders>
              <w:top w:val="nil"/>
              <w:left w:val="single" w:sz="4" w:space="0" w:color="auto"/>
              <w:bottom w:val="nil"/>
              <w:right w:val="single" w:sz="4" w:space="0" w:color="auto"/>
            </w:tcBorders>
            <w:shd w:val="clear" w:color="auto" w:fill="auto"/>
            <w:vAlign w:val="bottom"/>
            <w:hideMark/>
          </w:tcPr>
          <w:p w14:paraId="38A6648D" w14:textId="6EEF43B6"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首尔国立大学公共管理研究生院，首尔</w:t>
            </w:r>
          </w:p>
        </w:tc>
        <w:tc>
          <w:tcPr>
            <w:tcW w:w="1406" w:type="dxa"/>
            <w:tcBorders>
              <w:top w:val="nil"/>
              <w:left w:val="single" w:sz="4" w:space="0" w:color="auto"/>
              <w:bottom w:val="nil"/>
              <w:right w:val="single" w:sz="4" w:space="0" w:color="auto"/>
            </w:tcBorders>
            <w:shd w:val="clear" w:color="auto" w:fill="auto"/>
            <w:noWrap/>
            <w:vAlign w:val="bottom"/>
            <w:hideMark/>
          </w:tcPr>
          <w:p w14:paraId="626C43F8" w14:textId="77777777" w:rsidR="00686EC7" w:rsidRPr="000C156A" w:rsidRDefault="00686EC7" w:rsidP="00141BAA">
            <w:pPr>
              <w:jc w:val="center"/>
              <w:rPr>
                <w:rFonts w:cs="Calibri"/>
                <w:sz w:val="22"/>
                <w:szCs w:val="22"/>
              </w:rPr>
            </w:pPr>
            <w:r w:rsidRPr="000C156A">
              <w:rPr>
                <w:rFonts w:cs="Calibri"/>
                <w:sz w:val="22"/>
                <w:szCs w:val="22"/>
              </w:rPr>
              <w:t>2019</w:t>
            </w:r>
          </w:p>
        </w:tc>
        <w:tc>
          <w:tcPr>
            <w:tcW w:w="1613" w:type="dxa"/>
            <w:tcBorders>
              <w:top w:val="nil"/>
              <w:left w:val="single" w:sz="4" w:space="0" w:color="auto"/>
              <w:bottom w:val="nil"/>
              <w:right w:val="single" w:sz="4" w:space="0" w:color="auto"/>
            </w:tcBorders>
            <w:shd w:val="clear" w:color="auto" w:fill="auto"/>
            <w:noWrap/>
            <w:vAlign w:val="bottom"/>
            <w:hideMark/>
          </w:tcPr>
          <w:p w14:paraId="6E787D9F" w14:textId="77E50A81"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185.75</w:t>
            </w:r>
          </w:p>
        </w:tc>
        <w:tc>
          <w:tcPr>
            <w:tcW w:w="1434" w:type="dxa"/>
            <w:tcBorders>
              <w:top w:val="nil"/>
              <w:left w:val="single" w:sz="4" w:space="0" w:color="auto"/>
              <w:bottom w:val="nil"/>
              <w:right w:val="single" w:sz="4" w:space="0" w:color="auto"/>
            </w:tcBorders>
            <w:shd w:val="clear" w:color="auto" w:fill="auto"/>
            <w:noWrap/>
            <w:vAlign w:val="bottom"/>
            <w:hideMark/>
          </w:tcPr>
          <w:p w14:paraId="1F78389F"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6220E8FA" w14:textId="13A938AC"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185.75</w:t>
            </w:r>
          </w:p>
        </w:tc>
      </w:tr>
      <w:tr w:rsidR="00686EC7" w:rsidRPr="000C156A" w14:paraId="7B428A4D" w14:textId="77777777" w:rsidTr="00141BAA">
        <w:trPr>
          <w:trHeight w:val="307"/>
          <w:jc w:val="center"/>
        </w:trPr>
        <w:tc>
          <w:tcPr>
            <w:tcW w:w="4248" w:type="dxa"/>
            <w:tcBorders>
              <w:top w:val="nil"/>
              <w:left w:val="single" w:sz="4" w:space="0" w:color="auto"/>
              <w:bottom w:val="nil"/>
              <w:right w:val="single" w:sz="4" w:space="0" w:color="auto"/>
            </w:tcBorders>
            <w:shd w:val="clear" w:color="auto" w:fill="auto"/>
            <w:vAlign w:val="bottom"/>
            <w:hideMark/>
          </w:tcPr>
          <w:p w14:paraId="65B8A28D" w14:textId="4FB03CB6"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国家信息社会局（</w:t>
            </w:r>
            <w:r w:rsidR="00686EC7" w:rsidRPr="000C156A">
              <w:rPr>
                <w:rFonts w:cs="Calibri" w:hint="eastAsia"/>
                <w:sz w:val="22"/>
                <w:szCs w:val="22"/>
                <w:lang w:val="fr-FR" w:eastAsia="zh-CN"/>
              </w:rPr>
              <w:t>NIA</w:t>
            </w:r>
            <w:r w:rsidR="00686EC7" w:rsidRPr="000C156A">
              <w:rPr>
                <w:rFonts w:cs="Calibri" w:hint="eastAsia"/>
                <w:sz w:val="22"/>
                <w:szCs w:val="22"/>
                <w:lang w:val="fr-FR" w:eastAsia="zh-CN"/>
              </w:rPr>
              <w:t>），首尔</w:t>
            </w:r>
          </w:p>
        </w:tc>
        <w:tc>
          <w:tcPr>
            <w:tcW w:w="1406" w:type="dxa"/>
            <w:tcBorders>
              <w:top w:val="nil"/>
              <w:left w:val="single" w:sz="4" w:space="0" w:color="auto"/>
              <w:bottom w:val="nil"/>
              <w:right w:val="single" w:sz="4" w:space="0" w:color="auto"/>
            </w:tcBorders>
            <w:shd w:val="clear" w:color="auto" w:fill="auto"/>
            <w:noWrap/>
            <w:vAlign w:val="bottom"/>
            <w:hideMark/>
          </w:tcPr>
          <w:p w14:paraId="7740FA26" w14:textId="77777777" w:rsidR="00686EC7" w:rsidRPr="000C156A" w:rsidRDefault="00686EC7" w:rsidP="00141BAA">
            <w:pPr>
              <w:jc w:val="center"/>
              <w:rPr>
                <w:rFonts w:cs="Calibri"/>
                <w:sz w:val="22"/>
                <w:szCs w:val="22"/>
              </w:rPr>
            </w:pPr>
            <w:r w:rsidRPr="000C156A">
              <w:rPr>
                <w:rFonts w:cs="Calibri"/>
                <w:sz w:val="22"/>
                <w:szCs w:val="22"/>
              </w:rPr>
              <w:t>2019</w:t>
            </w:r>
          </w:p>
        </w:tc>
        <w:tc>
          <w:tcPr>
            <w:tcW w:w="1613" w:type="dxa"/>
            <w:tcBorders>
              <w:top w:val="nil"/>
              <w:left w:val="single" w:sz="4" w:space="0" w:color="auto"/>
              <w:bottom w:val="nil"/>
              <w:right w:val="single" w:sz="4" w:space="0" w:color="auto"/>
            </w:tcBorders>
            <w:shd w:val="clear" w:color="auto" w:fill="auto"/>
            <w:noWrap/>
            <w:vAlign w:val="bottom"/>
            <w:hideMark/>
          </w:tcPr>
          <w:p w14:paraId="12C97879" w14:textId="0E3E2B8C" w:rsidR="00686EC7" w:rsidRPr="000C156A" w:rsidRDefault="00686EC7" w:rsidP="00141BAA">
            <w:pPr>
              <w:jc w:val="right"/>
              <w:rPr>
                <w:rFonts w:cs="Calibri"/>
                <w:sz w:val="22"/>
                <w:szCs w:val="22"/>
              </w:rPr>
            </w:pPr>
            <w:r w:rsidRPr="000C156A">
              <w:rPr>
                <w:rFonts w:cs="Calibri"/>
                <w:sz w:val="22"/>
                <w:szCs w:val="22"/>
              </w:rPr>
              <w:t>4</w:t>
            </w:r>
            <w:r w:rsidR="003F0401" w:rsidRPr="000C156A">
              <w:rPr>
                <w:rFonts w:cs="Calibri"/>
                <w:sz w:val="22"/>
                <w:szCs w:val="22"/>
              </w:rPr>
              <w:t xml:space="preserve"> </w:t>
            </w:r>
            <w:r w:rsidRPr="000C156A">
              <w:rPr>
                <w:rFonts w:cs="Calibri"/>
                <w:sz w:val="22"/>
                <w:szCs w:val="22"/>
              </w:rPr>
              <w:t>161.45</w:t>
            </w:r>
          </w:p>
        </w:tc>
        <w:tc>
          <w:tcPr>
            <w:tcW w:w="1434" w:type="dxa"/>
            <w:tcBorders>
              <w:top w:val="nil"/>
              <w:left w:val="single" w:sz="4" w:space="0" w:color="auto"/>
              <w:bottom w:val="nil"/>
              <w:right w:val="single" w:sz="4" w:space="0" w:color="auto"/>
            </w:tcBorders>
            <w:shd w:val="clear" w:color="auto" w:fill="auto"/>
            <w:noWrap/>
            <w:vAlign w:val="bottom"/>
            <w:hideMark/>
          </w:tcPr>
          <w:p w14:paraId="561F6663"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0DA7D928" w14:textId="3AC0C20F" w:rsidR="00686EC7" w:rsidRPr="000C156A" w:rsidRDefault="00686EC7" w:rsidP="00141BAA">
            <w:pPr>
              <w:jc w:val="right"/>
              <w:rPr>
                <w:rFonts w:cs="Calibri"/>
                <w:sz w:val="22"/>
                <w:szCs w:val="22"/>
              </w:rPr>
            </w:pPr>
            <w:r w:rsidRPr="000C156A">
              <w:rPr>
                <w:rFonts w:cs="Calibri"/>
                <w:sz w:val="22"/>
                <w:szCs w:val="22"/>
              </w:rPr>
              <w:t>4</w:t>
            </w:r>
            <w:r w:rsidR="003F0401" w:rsidRPr="000C156A">
              <w:rPr>
                <w:rFonts w:cs="Calibri"/>
                <w:sz w:val="22"/>
                <w:szCs w:val="22"/>
              </w:rPr>
              <w:t xml:space="preserve"> </w:t>
            </w:r>
            <w:r w:rsidRPr="000C156A">
              <w:rPr>
                <w:rFonts w:cs="Calibri"/>
                <w:sz w:val="22"/>
                <w:szCs w:val="22"/>
              </w:rPr>
              <w:t>161.45</w:t>
            </w:r>
          </w:p>
        </w:tc>
      </w:tr>
      <w:tr w:rsidR="00686EC7" w:rsidRPr="000C156A" w14:paraId="106D60C2" w14:textId="77777777" w:rsidTr="00141BAA">
        <w:trPr>
          <w:trHeight w:val="300"/>
          <w:jc w:val="center"/>
        </w:trPr>
        <w:tc>
          <w:tcPr>
            <w:tcW w:w="4248" w:type="dxa"/>
            <w:tcBorders>
              <w:top w:val="nil"/>
              <w:left w:val="single" w:sz="4" w:space="0" w:color="auto"/>
              <w:bottom w:val="nil"/>
              <w:right w:val="single" w:sz="4" w:space="0" w:color="auto"/>
            </w:tcBorders>
            <w:shd w:val="clear" w:color="auto" w:fill="auto"/>
            <w:vAlign w:val="bottom"/>
            <w:hideMark/>
          </w:tcPr>
          <w:p w14:paraId="42C0A3B5" w14:textId="77777777" w:rsidR="00686EC7" w:rsidRPr="000C156A" w:rsidRDefault="00686EC7" w:rsidP="00141BAA">
            <w:pPr>
              <w:rPr>
                <w:rFonts w:cs="Calibri"/>
                <w:b/>
                <w:bCs/>
                <w:sz w:val="22"/>
                <w:szCs w:val="22"/>
              </w:rPr>
            </w:pPr>
            <w:r w:rsidRPr="000C156A">
              <w:rPr>
                <w:rFonts w:cs="Calibri"/>
                <w:b/>
                <w:bCs/>
                <w:sz w:val="22"/>
                <w:szCs w:val="22"/>
              </w:rPr>
              <w:t>科威特</w:t>
            </w:r>
          </w:p>
        </w:tc>
        <w:tc>
          <w:tcPr>
            <w:tcW w:w="1406" w:type="dxa"/>
            <w:tcBorders>
              <w:top w:val="nil"/>
              <w:left w:val="single" w:sz="4" w:space="0" w:color="auto"/>
              <w:bottom w:val="nil"/>
              <w:right w:val="single" w:sz="4" w:space="0" w:color="auto"/>
            </w:tcBorders>
            <w:shd w:val="clear" w:color="auto" w:fill="auto"/>
            <w:noWrap/>
            <w:vAlign w:val="bottom"/>
            <w:hideMark/>
          </w:tcPr>
          <w:p w14:paraId="73553AC8"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27BCF74E"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17682D80"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12A649E4" w14:textId="77777777" w:rsidR="00686EC7" w:rsidRPr="000C156A" w:rsidRDefault="00686EC7" w:rsidP="00141BAA">
            <w:pPr>
              <w:rPr>
                <w:rFonts w:ascii="Times New Roman" w:hAnsi="Times New Roman"/>
                <w:sz w:val="22"/>
                <w:szCs w:val="22"/>
              </w:rPr>
            </w:pPr>
          </w:p>
        </w:tc>
      </w:tr>
      <w:tr w:rsidR="00686EC7" w:rsidRPr="000C156A" w14:paraId="6A826964" w14:textId="77777777" w:rsidTr="00141BAA">
        <w:trPr>
          <w:trHeight w:val="300"/>
          <w:jc w:val="center"/>
        </w:trPr>
        <w:tc>
          <w:tcPr>
            <w:tcW w:w="4248" w:type="dxa"/>
            <w:tcBorders>
              <w:top w:val="nil"/>
              <w:left w:val="single" w:sz="4" w:space="0" w:color="auto"/>
              <w:bottom w:val="nil"/>
              <w:right w:val="single" w:sz="4" w:space="0" w:color="auto"/>
            </w:tcBorders>
            <w:shd w:val="clear" w:color="auto" w:fill="auto"/>
            <w:vAlign w:val="bottom"/>
            <w:hideMark/>
          </w:tcPr>
          <w:p w14:paraId="4F25BD67" w14:textId="7FA0CF91" w:rsidR="00686EC7" w:rsidRPr="000C156A" w:rsidRDefault="00D93F72" w:rsidP="00D93F72">
            <w:pPr>
              <w:tabs>
                <w:tab w:val="clear" w:pos="567"/>
              </w:tabs>
              <w:spacing w:before="0"/>
              <w:ind w:left="317" w:hanging="317"/>
              <w:rPr>
                <w:rFonts w:cs="Calibri"/>
                <w:sz w:val="22"/>
                <w:szCs w:val="22"/>
                <w:lang w:eastAsia="zh-CN"/>
              </w:rPr>
            </w:pPr>
            <w:r w:rsidRPr="000C156A">
              <w:rPr>
                <w:rFonts w:cs="Calibri"/>
                <w:sz w:val="22"/>
                <w:szCs w:val="22"/>
                <w:lang w:eastAsia="zh-CN"/>
              </w:rPr>
              <w:t>–</w:t>
            </w:r>
            <w:r w:rsidRPr="000C156A">
              <w:rPr>
                <w:rFonts w:cs="Calibri"/>
                <w:sz w:val="22"/>
                <w:szCs w:val="22"/>
                <w:lang w:eastAsia="zh-CN"/>
              </w:rPr>
              <w:tab/>
            </w:r>
            <w:r w:rsidR="00686EC7" w:rsidRPr="000C156A">
              <w:rPr>
                <w:rFonts w:cs="Calibri" w:hint="eastAsia"/>
                <w:sz w:val="22"/>
                <w:szCs w:val="22"/>
                <w:lang w:val="fr-FR" w:eastAsia="zh-CN"/>
              </w:rPr>
              <w:t>阿拉伯商业特许经营</w:t>
            </w:r>
            <w:r w:rsidR="00686EC7" w:rsidRPr="000C156A">
              <w:rPr>
                <w:rFonts w:cs="Calibri" w:hint="eastAsia"/>
                <w:sz w:val="22"/>
                <w:szCs w:val="22"/>
                <w:lang w:eastAsia="zh-CN"/>
              </w:rPr>
              <w:t>，哈瓦利</w:t>
            </w:r>
          </w:p>
        </w:tc>
        <w:tc>
          <w:tcPr>
            <w:tcW w:w="1406" w:type="dxa"/>
            <w:tcBorders>
              <w:top w:val="nil"/>
              <w:left w:val="single" w:sz="4" w:space="0" w:color="auto"/>
              <w:bottom w:val="nil"/>
              <w:right w:val="single" w:sz="4" w:space="0" w:color="auto"/>
            </w:tcBorders>
            <w:shd w:val="clear" w:color="auto" w:fill="auto"/>
            <w:noWrap/>
            <w:vAlign w:val="bottom"/>
            <w:hideMark/>
          </w:tcPr>
          <w:p w14:paraId="75E00AD5" w14:textId="77777777" w:rsidR="00686EC7" w:rsidRPr="000C156A" w:rsidRDefault="00686EC7" w:rsidP="00141BAA">
            <w:pPr>
              <w:jc w:val="center"/>
              <w:rPr>
                <w:rFonts w:cs="Calibri"/>
                <w:sz w:val="22"/>
                <w:szCs w:val="22"/>
              </w:rPr>
            </w:pPr>
            <w:r w:rsidRPr="000C156A">
              <w:rPr>
                <w:rFonts w:cs="Calibri"/>
                <w:sz w:val="22"/>
                <w:szCs w:val="22"/>
              </w:rPr>
              <w:t>2006-2007</w:t>
            </w:r>
          </w:p>
        </w:tc>
        <w:tc>
          <w:tcPr>
            <w:tcW w:w="1613" w:type="dxa"/>
            <w:tcBorders>
              <w:top w:val="nil"/>
              <w:left w:val="single" w:sz="4" w:space="0" w:color="auto"/>
              <w:bottom w:val="nil"/>
              <w:right w:val="single" w:sz="4" w:space="0" w:color="auto"/>
            </w:tcBorders>
            <w:shd w:val="clear" w:color="auto" w:fill="auto"/>
            <w:noWrap/>
            <w:vAlign w:val="bottom"/>
            <w:hideMark/>
          </w:tcPr>
          <w:p w14:paraId="2F0C753B" w14:textId="319EE3E6" w:rsidR="00686EC7" w:rsidRPr="000C156A" w:rsidRDefault="00686EC7" w:rsidP="00141BAA">
            <w:pPr>
              <w:jc w:val="right"/>
              <w:rPr>
                <w:rFonts w:cs="Calibri"/>
                <w:sz w:val="22"/>
                <w:szCs w:val="22"/>
              </w:rPr>
            </w:pPr>
            <w:r w:rsidRPr="000C156A">
              <w:rPr>
                <w:rFonts w:cs="Calibri"/>
                <w:sz w:val="22"/>
                <w:szCs w:val="22"/>
              </w:rPr>
              <w:t>18</w:t>
            </w:r>
            <w:r w:rsidR="003F0401" w:rsidRPr="000C156A">
              <w:rPr>
                <w:rFonts w:cs="Calibri"/>
                <w:sz w:val="22"/>
                <w:szCs w:val="22"/>
              </w:rPr>
              <w:t xml:space="preserve"> </w:t>
            </w:r>
            <w:r w:rsidRPr="000C156A">
              <w:rPr>
                <w:rFonts w:cs="Calibri"/>
                <w:sz w:val="22"/>
                <w:szCs w:val="22"/>
              </w:rPr>
              <w:t>120.60</w:t>
            </w:r>
          </w:p>
        </w:tc>
        <w:tc>
          <w:tcPr>
            <w:tcW w:w="1434" w:type="dxa"/>
            <w:tcBorders>
              <w:top w:val="nil"/>
              <w:left w:val="single" w:sz="4" w:space="0" w:color="auto"/>
              <w:bottom w:val="nil"/>
              <w:right w:val="single" w:sz="4" w:space="0" w:color="auto"/>
            </w:tcBorders>
            <w:shd w:val="clear" w:color="auto" w:fill="auto"/>
            <w:noWrap/>
            <w:vAlign w:val="bottom"/>
            <w:hideMark/>
          </w:tcPr>
          <w:p w14:paraId="0BFA28FC"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17030924" w14:textId="34C559B4" w:rsidR="00686EC7" w:rsidRPr="000C156A" w:rsidRDefault="00686EC7" w:rsidP="00141BAA">
            <w:pPr>
              <w:jc w:val="right"/>
              <w:rPr>
                <w:rFonts w:cs="Calibri"/>
                <w:sz w:val="22"/>
                <w:szCs w:val="22"/>
              </w:rPr>
            </w:pPr>
            <w:r w:rsidRPr="000C156A">
              <w:rPr>
                <w:rFonts w:cs="Calibri"/>
                <w:sz w:val="22"/>
                <w:szCs w:val="22"/>
              </w:rPr>
              <w:t>18</w:t>
            </w:r>
            <w:r w:rsidR="003F0401" w:rsidRPr="000C156A">
              <w:rPr>
                <w:rFonts w:cs="Calibri"/>
                <w:sz w:val="22"/>
                <w:szCs w:val="22"/>
              </w:rPr>
              <w:t xml:space="preserve"> </w:t>
            </w:r>
            <w:r w:rsidRPr="000C156A">
              <w:rPr>
                <w:rFonts w:cs="Calibri"/>
                <w:sz w:val="22"/>
                <w:szCs w:val="22"/>
              </w:rPr>
              <w:t>120.60</w:t>
            </w:r>
          </w:p>
        </w:tc>
      </w:tr>
      <w:tr w:rsidR="00686EC7" w:rsidRPr="000C156A" w14:paraId="38262385" w14:textId="77777777" w:rsidTr="00141BAA">
        <w:trPr>
          <w:trHeight w:val="300"/>
          <w:jc w:val="center"/>
        </w:trPr>
        <w:tc>
          <w:tcPr>
            <w:tcW w:w="4248" w:type="dxa"/>
            <w:tcBorders>
              <w:top w:val="nil"/>
              <w:left w:val="single" w:sz="4" w:space="0" w:color="auto"/>
              <w:bottom w:val="nil"/>
              <w:right w:val="single" w:sz="4" w:space="0" w:color="auto"/>
            </w:tcBorders>
            <w:shd w:val="clear" w:color="auto" w:fill="auto"/>
            <w:vAlign w:val="bottom"/>
            <w:hideMark/>
          </w:tcPr>
          <w:p w14:paraId="28120DD3" w14:textId="77777777" w:rsidR="00686EC7" w:rsidRPr="000C156A" w:rsidRDefault="00686EC7" w:rsidP="00141BAA">
            <w:pPr>
              <w:rPr>
                <w:rFonts w:cs="Calibri"/>
                <w:b/>
                <w:bCs/>
                <w:sz w:val="22"/>
                <w:szCs w:val="22"/>
              </w:rPr>
            </w:pPr>
            <w:r w:rsidRPr="000C156A">
              <w:rPr>
                <w:rFonts w:cs="Calibri"/>
                <w:b/>
                <w:bCs/>
                <w:sz w:val="22"/>
                <w:szCs w:val="22"/>
              </w:rPr>
              <w:t>吉尔吉斯斯坦</w:t>
            </w:r>
          </w:p>
        </w:tc>
        <w:tc>
          <w:tcPr>
            <w:tcW w:w="1406" w:type="dxa"/>
            <w:tcBorders>
              <w:top w:val="nil"/>
              <w:left w:val="single" w:sz="4" w:space="0" w:color="auto"/>
              <w:bottom w:val="nil"/>
              <w:right w:val="single" w:sz="4" w:space="0" w:color="auto"/>
            </w:tcBorders>
            <w:shd w:val="clear" w:color="auto" w:fill="auto"/>
            <w:noWrap/>
            <w:vAlign w:val="bottom"/>
            <w:hideMark/>
          </w:tcPr>
          <w:p w14:paraId="57A93217"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10F37F6A"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686BBDED"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086224B0" w14:textId="77777777" w:rsidR="00686EC7" w:rsidRPr="000C156A" w:rsidRDefault="00686EC7" w:rsidP="00141BAA">
            <w:pPr>
              <w:rPr>
                <w:rFonts w:ascii="Times New Roman" w:hAnsi="Times New Roman"/>
                <w:sz w:val="22"/>
                <w:szCs w:val="22"/>
              </w:rPr>
            </w:pPr>
          </w:p>
        </w:tc>
      </w:tr>
      <w:tr w:rsidR="00686EC7" w:rsidRPr="000C156A" w14:paraId="196DF991" w14:textId="77777777" w:rsidTr="00141BAA">
        <w:trPr>
          <w:trHeight w:val="300"/>
          <w:jc w:val="center"/>
        </w:trPr>
        <w:tc>
          <w:tcPr>
            <w:tcW w:w="4248" w:type="dxa"/>
            <w:tcBorders>
              <w:top w:val="nil"/>
              <w:left w:val="single" w:sz="4" w:space="0" w:color="auto"/>
              <w:bottom w:val="nil"/>
              <w:right w:val="single" w:sz="4" w:space="0" w:color="auto"/>
            </w:tcBorders>
            <w:shd w:val="clear" w:color="auto" w:fill="auto"/>
            <w:vAlign w:val="bottom"/>
            <w:hideMark/>
          </w:tcPr>
          <w:p w14:paraId="2A2D65E8" w14:textId="3FE890B4" w:rsidR="00686EC7" w:rsidRPr="000C156A" w:rsidRDefault="00D93F72" w:rsidP="00D93F72">
            <w:pPr>
              <w:tabs>
                <w:tab w:val="clear" w:pos="567"/>
              </w:tabs>
              <w:spacing w:before="0"/>
              <w:ind w:left="317" w:hanging="317"/>
              <w:rPr>
                <w:rFonts w:cs="Calibri"/>
                <w:sz w:val="22"/>
                <w:szCs w:val="22"/>
              </w:rPr>
            </w:pPr>
            <w:r w:rsidRPr="000C156A">
              <w:rPr>
                <w:rFonts w:cs="Calibri"/>
                <w:sz w:val="22"/>
                <w:szCs w:val="22"/>
              </w:rPr>
              <w:t>–</w:t>
            </w:r>
            <w:r w:rsidRPr="000C156A">
              <w:rPr>
                <w:rFonts w:cs="Calibri"/>
                <w:sz w:val="22"/>
                <w:szCs w:val="22"/>
              </w:rPr>
              <w:tab/>
            </w:r>
            <w:r w:rsidR="00686EC7" w:rsidRPr="000C156A">
              <w:rPr>
                <w:rFonts w:cs="Calibri"/>
                <w:sz w:val="22"/>
                <w:szCs w:val="22"/>
                <w:lang w:val="fr-FR"/>
              </w:rPr>
              <w:t>Kyrgyztelecom</w:t>
            </w:r>
            <w:r w:rsidR="00686EC7" w:rsidRPr="000C156A">
              <w:rPr>
                <w:rFonts w:cs="Calibri"/>
                <w:sz w:val="22"/>
                <w:szCs w:val="22"/>
              </w:rPr>
              <w:t xml:space="preserve"> OJSC</w:t>
            </w:r>
            <w:r w:rsidR="00686EC7" w:rsidRPr="000C156A">
              <w:rPr>
                <w:rFonts w:cs="Calibri" w:hint="eastAsia"/>
                <w:sz w:val="22"/>
                <w:szCs w:val="22"/>
                <w:lang w:eastAsia="zh-CN"/>
              </w:rPr>
              <w:t>，</w:t>
            </w:r>
            <w:r w:rsidR="00686EC7" w:rsidRPr="000C156A">
              <w:rPr>
                <w:rFonts w:cs="Calibri" w:hint="eastAsia"/>
                <w:sz w:val="22"/>
                <w:szCs w:val="22"/>
              </w:rPr>
              <w:t>比什凯克</w:t>
            </w:r>
          </w:p>
        </w:tc>
        <w:tc>
          <w:tcPr>
            <w:tcW w:w="1406" w:type="dxa"/>
            <w:tcBorders>
              <w:top w:val="nil"/>
              <w:left w:val="single" w:sz="4" w:space="0" w:color="auto"/>
              <w:bottom w:val="nil"/>
              <w:right w:val="single" w:sz="4" w:space="0" w:color="auto"/>
            </w:tcBorders>
            <w:shd w:val="clear" w:color="auto" w:fill="auto"/>
            <w:noWrap/>
            <w:vAlign w:val="bottom"/>
            <w:hideMark/>
          </w:tcPr>
          <w:p w14:paraId="2AAB3ECA" w14:textId="77777777" w:rsidR="00686EC7" w:rsidRPr="000C156A" w:rsidRDefault="00686EC7" w:rsidP="00141BAA">
            <w:pPr>
              <w:jc w:val="center"/>
              <w:rPr>
                <w:rFonts w:cs="Calibri"/>
                <w:sz w:val="22"/>
                <w:szCs w:val="22"/>
              </w:rPr>
            </w:pPr>
            <w:r w:rsidRPr="000C156A">
              <w:rPr>
                <w:rFonts w:cs="Calibri"/>
                <w:sz w:val="22"/>
                <w:szCs w:val="22"/>
              </w:rPr>
              <w:t>2016-2017</w:t>
            </w:r>
          </w:p>
        </w:tc>
        <w:tc>
          <w:tcPr>
            <w:tcW w:w="1613" w:type="dxa"/>
            <w:tcBorders>
              <w:top w:val="nil"/>
              <w:left w:val="single" w:sz="4" w:space="0" w:color="auto"/>
              <w:bottom w:val="nil"/>
              <w:right w:val="single" w:sz="4" w:space="0" w:color="auto"/>
            </w:tcBorders>
            <w:shd w:val="clear" w:color="auto" w:fill="auto"/>
            <w:noWrap/>
            <w:vAlign w:val="bottom"/>
            <w:hideMark/>
          </w:tcPr>
          <w:p w14:paraId="06948621" w14:textId="01E4963B" w:rsidR="00686EC7" w:rsidRPr="000C156A" w:rsidRDefault="00686EC7" w:rsidP="00141BAA">
            <w:pPr>
              <w:jc w:val="right"/>
              <w:rPr>
                <w:rFonts w:cs="Calibri"/>
                <w:sz w:val="22"/>
                <w:szCs w:val="22"/>
              </w:rPr>
            </w:pPr>
            <w:r w:rsidRPr="000C156A">
              <w:rPr>
                <w:rFonts w:cs="Calibri"/>
                <w:sz w:val="22"/>
                <w:szCs w:val="22"/>
              </w:rPr>
              <w:t>7</w:t>
            </w:r>
            <w:r w:rsidR="003F0401" w:rsidRPr="000C156A">
              <w:rPr>
                <w:rFonts w:cs="Calibri"/>
                <w:sz w:val="22"/>
                <w:szCs w:val="22"/>
              </w:rPr>
              <w:t xml:space="preserve"> </w:t>
            </w:r>
            <w:r w:rsidRPr="000C156A">
              <w:rPr>
                <w:rFonts w:cs="Calibri"/>
                <w:sz w:val="22"/>
                <w:szCs w:val="22"/>
              </w:rPr>
              <w:t>253.15</w:t>
            </w:r>
          </w:p>
        </w:tc>
        <w:tc>
          <w:tcPr>
            <w:tcW w:w="1434" w:type="dxa"/>
            <w:tcBorders>
              <w:top w:val="nil"/>
              <w:left w:val="single" w:sz="4" w:space="0" w:color="auto"/>
              <w:bottom w:val="nil"/>
              <w:right w:val="single" w:sz="4" w:space="0" w:color="auto"/>
            </w:tcBorders>
            <w:shd w:val="clear" w:color="auto" w:fill="auto"/>
            <w:noWrap/>
            <w:vAlign w:val="bottom"/>
            <w:hideMark/>
          </w:tcPr>
          <w:p w14:paraId="0AEA630D"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5CE6B300" w14:textId="60E8D027" w:rsidR="00686EC7" w:rsidRPr="000C156A" w:rsidRDefault="00686EC7" w:rsidP="00141BAA">
            <w:pPr>
              <w:jc w:val="right"/>
              <w:rPr>
                <w:rFonts w:cs="Calibri"/>
                <w:sz w:val="22"/>
                <w:szCs w:val="22"/>
              </w:rPr>
            </w:pPr>
            <w:r w:rsidRPr="000C156A">
              <w:rPr>
                <w:rFonts w:cs="Calibri"/>
                <w:sz w:val="22"/>
                <w:szCs w:val="22"/>
              </w:rPr>
              <w:t>7</w:t>
            </w:r>
            <w:r w:rsidR="003F0401" w:rsidRPr="000C156A">
              <w:rPr>
                <w:rFonts w:cs="Calibri"/>
                <w:sz w:val="22"/>
                <w:szCs w:val="22"/>
              </w:rPr>
              <w:t xml:space="preserve"> </w:t>
            </w:r>
            <w:r w:rsidRPr="000C156A">
              <w:rPr>
                <w:rFonts w:cs="Calibri"/>
                <w:sz w:val="22"/>
                <w:szCs w:val="22"/>
              </w:rPr>
              <w:t>253.15</w:t>
            </w:r>
          </w:p>
        </w:tc>
      </w:tr>
      <w:tr w:rsidR="00686EC7" w:rsidRPr="000C156A" w14:paraId="3AAF6037" w14:textId="77777777" w:rsidTr="00141BAA">
        <w:trPr>
          <w:trHeight w:val="300"/>
          <w:jc w:val="center"/>
        </w:trPr>
        <w:tc>
          <w:tcPr>
            <w:tcW w:w="4248" w:type="dxa"/>
            <w:tcBorders>
              <w:top w:val="nil"/>
              <w:left w:val="single" w:sz="4" w:space="0" w:color="auto"/>
              <w:bottom w:val="nil"/>
              <w:right w:val="single" w:sz="4" w:space="0" w:color="auto"/>
            </w:tcBorders>
            <w:shd w:val="clear" w:color="auto" w:fill="auto"/>
            <w:vAlign w:val="bottom"/>
            <w:hideMark/>
          </w:tcPr>
          <w:p w14:paraId="2B0BFF1A" w14:textId="77777777" w:rsidR="00686EC7" w:rsidRPr="000C156A" w:rsidRDefault="00686EC7" w:rsidP="00141BAA">
            <w:pPr>
              <w:rPr>
                <w:rFonts w:cs="Calibri"/>
                <w:b/>
                <w:bCs/>
                <w:sz w:val="22"/>
                <w:szCs w:val="22"/>
              </w:rPr>
            </w:pPr>
            <w:r w:rsidRPr="000C156A">
              <w:rPr>
                <w:rFonts w:cs="Calibri"/>
                <w:b/>
                <w:bCs/>
                <w:sz w:val="22"/>
                <w:szCs w:val="22"/>
              </w:rPr>
              <w:t>黎巴嫩</w:t>
            </w:r>
          </w:p>
        </w:tc>
        <w:tc>
          <w:tcPr>
            <w:tcW w:w="1406" w:type="dxa"/>
            <w:tcBorders>
              <w:top w:val="nil"/>
              <w:left w:val="single" w:sz="4" w:space="0" w:color="auto"/>
              <w:bottom w:val="nil"/>
              <w:right w:val="single" w:sz="4" w:space="0" w:color="auto"/>
            </w:tcBorders>
            <w:shd w:val="clear" w:color="auto" w:fill="auto"/>
            <w:noWrap/>
            <w:vAlign w:val="bottom"/>
            <w:hideMark/>
          </w:tcPr>
          <w:p w14:paraId="0646509B"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528EFAB6"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5234FEFE"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56273F2C" w14:textId="77777777" w:rsidR="00686EC7" w:rsidRPr="000C156A" w:rsidRDefault="00686EC7" w:rsidP="00141BAA">
            <w:pPr>
              <w:rPr>
                <w:rFonts w:ascii="Times New Roman" w:hAnsi="Times New Roman"/>
                <w:sz w:val="22"/>
                <w:szCs w:val="22"/>
              </w:rPr>
            </w:pPr>
          </w:p>
        </w:tc>
      </w:tr>
      <w:tr w:rsidR="00686EC7" w:rsidRPr="000C156A" w14:paraId="291B2888" w14:textId="77777777" w:rsidTr="00141BAA">
        <w:trPr>
          <w:trHeight w:val="300"/>
          <w:jc w:val="center"/>
        </w:trPr>
        <w:tc>
          <w:tcPr>
            <w:tcW w:w="4248" w:type="dxa"/>
            <w:tcBorders>
              <w:top w:val="nil"/>
              <w:left w:val="single" w:sz="4" w:space="0" w:color="auto"/>
              <w:bottom w:val="nil"/>
              <w:right w:val="single" w:sz="4" w:space="0" w:color="auto"/>
            </w:tcBorders>
            <w:shd w:val="clear" w:color="auto" w:fill="auto"/>
            <w:vAlign w:val="bottom"/>
            <w:hideMark/>
          </w:tcPr>
          <w:p w14:paraId="750AE0AA" w14:textId="2D138CB2"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Arabcom Hitek</w:t>
            </w:r>
            <w:r w:rsidR="00686EC7" w:rsidRPr="000C156A">
              <w:rPr>
                <w:rFonts w:cs="Calibri" w:hint="eastAsia"/>
                <w:sz w:val="22"/>
                <w:szCs w:val="22"/>
                <w:lang w:val="fr-FR"/>
              </w:rPr>
              <w:t>，贝鲁特</w:t>
            </w:r>
          </w:p>
        </w:tc>
        <w:tc>
          <w:tcPr>
            <w:tcW w:w="1406" w:type="dxa"/>
            <w:tcBorders>
              <w:top w:val="nil"/>
              <w:left w:val="single" w:sz="4" w:space="0" w:color="auto"/>
              <w:bottom w:val="nil"/>
              <w:right w:val="single" w:sz="4" w:space="0" w:color="auto"/>
            </w:tcBorders>
            <w:shd w:val="clear" w:color="auto" w:fill="auto"/>
            <w:noWrap/>
            <w:vAlign w:val="bottom"/>
            <w:hideMark/>
          </w:tcPr>
          <w:p w14:paraId="3D59CCEC" w14:textId="77777777" w:rsidR="00686EC7" w:rsidRPr="000C156A" w:rsidRDefault="00686EC7" w:rsidP="00141BAA">
            <w:pPr>
              <w:jc w:val="center"/>
              <w:rPr>
                <w:rFonts w:cs="Calibri"/>
                <w:sz w:val="22"/>
                <w:szCs w:val="22"/>
              </w:rPr>
            </w:pPr>
            <w:r w:rsidRPr="000C156A">
              <w:rPr>
                <w:rFonts w:cs="Calibri"/>
                <w:sz w:val="22"/>
                <w:szCs w:val="22"/>
              </w:rPr>
              <w:t>2001-2006</w:t>
            </w:r>
          </w:p>
        </w:tc>
        <w:tc>
          <w:tcPr>
            <w:tcW w:w="1613" w:type="dxa"/>
            <w:tcBorders>
              <w:top w:val="nil"/>
              <w:left w:val="single" w:sz="4" w:space="0" w:color="auto"/>
              <w:bottom w:val="nil"/>
              <w:right w:val="single" w:sz="4" w:space="0" w:color="auto"/>
            </w:tcBorders>
            <w:shd w:val="clear" w:color="auto" w:fill="auto"/>
            <w:noWrap/>
            <w:vAlign w:val="bottom"/>
            <w:hideMark/>
          </w:tcPr>
          <w:p w14:paraId="39175A9E" w14:textId="2A5AB6E0" w:rsidR="00686EC7" w:rsidRPr="000C156A" w:rsidRDefault="00686EC7" w:rsidP="00141BAA">
            <w:pPr>
              <w:jc w:val="right"/>
              <w:rPr>
                <w:rFonts w:cs="Calibri"/>
                <w:sz w:val="22"/>
                <w:szCs w:val="22"/>
              </w:rPr>
            </w:pPr>
            <w:r w:rsidRPr="000C156A">
              <w:rPr>
                <w:rFonts w:cs="Calibri"/>
                <w:sz w:val="22"/>
                <w:szCs w:val="22"/>
              </w:rPr>
              <w:t>64</w:t>
            </w:r>
            <w:r w:rsidR="003F0401" w:rsidRPr="000C156A">
              <w:rPr>
                <w:rFonts w:cs="Calibri"/>
                <w:sz w:val="22"/>
                <w:szCs w:val="22"/>
              </w:rPr>
              <w:t xml:space="preserve"> </w:t>
            </w:r>
            <w:r w:rsidRPr="000C156A">
              <w:rPr>
                <w:rFonts w:cs="Calibri"/>
                <w:sz w:val="22"/>
                <w:szCs w:val="22"/>
              </w:rPr>
              <w:t>433.35</w:t>
            </w:r>
          </w:p>
        </w:tc>
        <w:tc>
          <w:tcPr>
            <w:tcW w:w="1434" w:type="dxa"/>
            <w:tcBorders>
              <w:top w:val="nil"/>
              <w:left w:val="single" w:sz="4" w:space="0" w:color="auto"/>
              <w:bottom w:val="nil"/>
              <w:right w:val="single" w:sz="4" w:space="0" w:color="auto"/>
            </w:tcBorders>
            <w:shd w:val="clear" w:color="auto" w:fill="auto"/>
            <w:noWrap/>
            <w:vAlign w:val="bottom"/>
            <w:hideMark/>
          </w:tcPr>
          <w:p w14:paraId="4FFC33EB"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19609404" w14:textId="48897FE7" w:rsidR="00686EC7" w:rsidRPr="000C156A" w:rsidRDefault="00686EC7" w:rsidP="00141BAA">
            <w:pPr>
              <w:jc w:val="right"/>
              <w:rPr>
                <w:rFonts w:cs="Calibri"/>
                <w:sz w:val="22"/>
                <w:szCs w:val="22"/>
              </w:rPr>
            </w:pPr>
            <w:r w:rsidRPr="000C156A">
              <w:rPr>
                <w:rFonts w:cs="Calibri"/>
                <w:sz w:val="22"/>
                <w:szCs w:val="22"/>
              </w:rPr>
              <w:t>64</w:t>
            </w:r>
            <w:r w:rsidR="003F0401" w:rsidRPr="000C156A">
              <w:rPr>
                <w:rFonts w:cs="Calibri"/>
                <w:sz w:val="22"/>
                <w:szCs w:val="22"/>
              </w:rPr>
              <w:t xml:space="preserve"> </w:t>
            </w:r>
            <w:r w:rsidRPr="000C156A">
              <w:rPr>
                <w:rFonts w:cs="Calibri"/>
                <w:sz w:val="22"/>
                <w:szCs w:val="22"/>
              </w:rPr>
              <w:t>433.35</w:t>
            </w:r>
          </w:p>
        </w:tc>
      </w:tr>
      <w:tr w:rsidR="00686EC7" w:rsidRPr="000C156A" w14:paraId="136D3FE3" w14:textId="77777777" w:rsidTr="00141BAA">
        <w:trPr>
          <w:trHeight w:val="300"/>
          <w:jc w:val="center"/>
        </w:trPr>
        <w:tc>
          <w:tcPr>
            <w:tcW w:w="4248" w:type="dxa"/>
            <w:tcBorders>
              <w:top w:val="nil"/>
              <w:left w:val="single" w:sz="4" w:space="0" w:color="auto"/>
              <w:bottom w:val="nil"/>
              <w:right w:val="single" w:sz="4" w:space="0" w:color="auto"/>
            </w:tcBorders>
            <w:shd w:val="clear" w:color="auto" w:fill="auto"/>
            <w:vAlign w:val="bottom"/>
            <w:hideMark/>
          </w:tcPr>
          <w:p w14:paraId="11EEC366" w14:textId="7D7AABFD"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sz w:val="22"/>
                <w:szCs w:val="22"/>
                <w:lang w:val="fr-FR" w:eastAsia="zh-CN"/>
              </w:rPr>
              <w:t>ExiCon</w:t>
            </w:r>
            <w:r w:rsidR="00686EC7" w:rsidRPr="000C156A">
              <w:rPr>
                <w:rFonts w:cs="Calibri" w:hint="eastAsia"/>
                <w:sz w:val="22"/>
                <w:szCs w:val="22"/>
                <w:lang w:val="fr-FR" w:eastAsia="zh-CN"/>
              </w:rPr>
              <w:t>国际集团，贝鲁特</w:t>
            </w:r>
          </w:p>
        </w:tc>
        <w:tc>
          <w:tcPr>
            <w:tcW w:w="1406" w:type="dxa"/>
            <w:tcBorders>
              <w:top w:val="nil"/>
              <w:left w:val="single" w:sz="4" w:space="0" w:color="auto"/>
              <w:bottom w:val="nil"/>
              <w:right w:val="single" w:sz="4" w:space="0" w:color="auto"/>
            </w:tcBorders>
            <w:shd w:val="clear" w:color="auto" w:fill="auto"/>
            <w:noWrap/>
            <w:vAlign w:val="bottom"/>
            <w:hideMark/>
          </w:tcPr>
          <w:p w14:paraId="0FCAD94E" w14:textId="77777777" w:rsidR="00686EC7" w:rsidRPr="000C156A" w:rsidRDefault="00686EC7" w:rsidP="00141BAA">
            <w:pPr>
              <w:jc w:val="center"/>
              <w:rPr>
                <w:rFonts w:cs="Calibri"/>
                <w:sz w:val="22"/>
                <w:szCs w:val="22"/>
              </w:rPr>
            </w:pPr>
            <w:r w:rsidRPr="000C156A">
              <w:rPr>
                <w:rFonts w:cs="Calibri"/>
                <w:sz w:val="22"/>
                <w:szCs w:val="22"/>
              </w:rPr>
              <w:t>2010-2011</w:t>
            </w:r>
          </w:p>
        </w:tc>
        <w:tc>
          <w:tcPr>
            <w:tcW w:w="1613" w:type="dxa"/>
            <w:tcBorders>
              <w:top w:val="nil"/>
              <w:left w:val="single" w:sz="4" w:space="0" w:color="auto"/>
              <w:bottom w:val="nil"/>
              <w:right w:val="single" w:sz="4" w:space="0" w:color="auto"/>
            </w:tcBorders>
            <w:shd w:val="clear" w:color="auto" w:fill="auto"/>
            <w:noWrap/>
            <w:vAlign w:val="bottom"/>
            <w:hideMark/>
          </w:tcPr>
          <w:p w14:paraId="73FF301E" w14:textId="0B03E684" w:rsidR="00686EC7" w:rsidRPr="000C156A" w:rsidRDefault="00686EC7" w:rsidP="00141BAA">
            <w:pPr>
              <w:jc w:val="right"/>
              <w:rPr>
                <w:rFonts w:cs="Calibri"/>
                <w:sz w:val="22"/>
                <w:szCs w:val="22"/>
              </w:rPr>
            </w:pPr>
            <w:r w:rsidRPr="000C156A">
              <w:rPr>
                <w:rFonts w:cs="Calibri"/>
                <w:sz w:val="22"/>
                <w:szCs w:val="22"/>
              </w:rPr>
              <w:t>7</w:t>
            </w:r>
            <w:r w:rsidR="003F0401" w:rsidRPr="000C156A">
              <w:rPr>
                <w:rFonts w:cs="Calibri"/>
                <w:sz w:val="22"/>
                <w:szCs w:val="22"/>
              </w:rPr>
              <w:t xml:space="preserve"> </w:t>
            </w:r>
            <w:r w:rsidRPr="000C156A">
              <w:rPr>
                <w:rFonts w:cs="Calibri"/>
                <w:sz w:val="22"/>
                <w:szCs w:val="22"/>
              </w:rPr>
              <w:t>003.10</w:t>
            </w:r>
          </w:p>
        </w:tc>
        <w:tc>
          <w:tcPr>
            <w:tcW w:w="1434" w:type="dxa"/>
            <w:tcBorders>
              <w:top w:val="nil"/>
              <w:left w:val="single" w:sz="4" w:space="0" w:color="auto"/>
              <w:bottom w:val="nil"/>
              <w:right w:val="single" w:sz="4" w:space="0" w:color="auto"/>
            </w:tcBorders>
            <w:shd w:val="clear" w:color="auto" w:fill="auto"/>
            <w:noWrap/>
            <w:vAlign w:val="bottom"/>
            <w:hideMark/>
          </w:tcPr>
          <w:p w14:paraId="1FE5E43D"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5171BD05" w14:textId="4875B73F" w:rsidR="00686EC7" w:rsidRPr="000C156A" w:rsidRDefault="00686EC7" w:rsidP="00141BAA">
            <w:pPr>
              <w:jc w:val="right"/>
              <w:rPr>
                <w:rFonts w:cs="Calibri"/>
                <w:sz w:val="22"/>
                <w:szCs w:val="22"/>
              </w:rPr>
            </w:pPr>
            <w:r w:rsidRPr="000C156A">
              <w:rPr>
                <w:rFonts w:cs="Calibri"/>
                <w:sz w:val="22"/>
                <w:szCs w:val="22"/>
              </w:rPr>
              <w:t>7</w:t>
            </w:r>
            <w:r w:rsidR="003F0401" w:rsidRPr="000C156A">
              <w:rPr>
                <w:rFonts w:cs="Calibri"/>
                <w:sz w:val="22"/>
                <w:szCs w:val="22"/>
              </w:rPr>
              <w:t xml:space="preserve"> </w:t>
            </w:r>
            <w:r w:rsidRPr="000C156A">
              <w:rPr>
                <w:rFonts w:cs="Calibri"/>
                <w:sz w:val="22"/>
                <w:szCs w:val="22"/>
              </w:rPr>
              <w:t>003.10</w:t>
            </w:r>
          </w:p>
        </w:tc>
      </w:tr>
      <w:tr w:rsidR="00686EC7" w:rsidRPr="000C156A" w14:paraId="0EEF44F1" w14:textId="77777777" w:rsidTr="00141BAA">
        <w:trPr>
          <w:trHeight w:val="300"/>
          <w:jc w:val="center"/>
        </w:trPr>
        <w:tc>
          <w:tcPr>
            <w:tcW w:w="4248" w:type="dxa"/>
            <w:tcBorders>
              <w:top w:val="nil"/>
              <w:left w:val="single" w:sz="4" w:space="0" w:color="auto"/>
              <w:bottom w:val="nil"/>
              <w:right w:val="single" w:sz="4" w:space="0" w:color="auto"/>
            </w:tcBorders>
            <w:shd w:val="clear" w:color="auto" w:fill="auto"/>
            <w:vAlign w:val="bottom"/>
            <w:hideMark/>
          </w:tcPr>
          <w:p w14:paraId="61389D7D" w14:textId="1D4E84B8"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MNT/Investcom</w:t>
            </w:r>
            <w:r w:rsidR="00686EC7" w:rsidRPr="000C156A">
              <w:rPr>
                <w:rFonts w:cs="Calibri" w:hint="eastAsia"/>
                <w:sz w:val="22"/>
                <w:szCs w:val="22"/>
                <w:lang w:val="fr-FR"/>
              </w:rPr>
              <w:t>公司，贝鲁特</w:t>
            </w:r>
          </w:p>
        </w:tc>
        <w:tc>
          <w:tcPr>
            <w:tcW w:w="1406" w:type="dxa"/>
            <w:tcBorders>
              <w:top w:val="nil"/>
              <w:left w:val="single" w:sz="4" w:space="0" w:color="auto"/>
              <w:bottom w:val="nil"/>
              <w:right w:val="single" w:sz="4" w:space="0" w:color="auto"/>
            </w:tcBorders>
            <w:shd w:val="clear" w:color="auto" w:fill="auto"/>
            <w:noWrap/>
            <w:vAlign w:val="bottom"/>
            <w:hideMark/>
          </w:tcPr>
          <w:p w14:paraId="53FE9CD3" w14:textId="77777777" w:rsidR="00686EC7" w:rsidRPr="000C156A" w:rsidRDefault="00686EC7" w:rsidP="00141BAA">
            <w:pPr>
              <w:jc w:val="center"/>
              <w:rPr>
                <w:rFonts w:cs="Calibri"/>
                <w:sz w:val="22"/>
                <w:szCs w:val="22"/>
              </w:rPr>
            </w:pPr>
            <w:r w:rsidRPr="000C156A">
              <w:rPr>
                <w:rFonts w:cs="Calibri"/>
                <w:sz w:val="22"/>
                <w:szCs w:val="22"/>
              </w:rPr>
              <w:t>2008</w:t>
            </w:r>
          </w:p>
        </w:tc>
        <w:tc>
          <w:tcPr>
            <w:tcW w:w="1613" w:type="dxa"/>
            <w:tcBorders>
              <w:top w:val="nil"/>
              <w:left w:val="single" w:sz="4" w:space="0" w:color="auto"/>
              <w:bottom w:val="nil"/>
              <w:right w:val="single" w:sz="4" w:space="0" w:color="auto"/>
            </w:tcBorders>
            <w:shd w:val="clear" w:color="auto" w:fill="auto"/>
            <w:noWrap/>
            <w:vAlign w:val="bottom"/>
            <w:hideMark/>
          </w:tcPr>
          <w:p w14:paraId="69D33160" w14:textId="031507E3" w:rsidR="00686EC7" w:rsidRPr="000C156A" w:rsidRDefault="00686EC7" w:rsidP="00141BAA">
            <w:pPr>
              <w:jc w:val="right"/>
              <w:rPr>
                <w:rFonts w:cs="Calibri"/>
                <w:sz w:val="22"/>
                <w:szCs w:val="22"/>
              </w:rPr>
            </w:pPr>
            <w:r w:rsidRPr="000C156A">
              <w:rPr>
                <w:rFonts w:cs="Calibri"/>
                <w:sz w:val="22"/>
                <w:szCs w:val="22"/>
              </w:rPr>
              <w:t>8</w:t>
            </w:r>
            <w:r w:rsidR="003F0401" w:rsidRPr="000C156A">
              <w:rPr>
                <w:rFonts w:cs="Calibri"/>
                <w:sz w:val="22"/>
                <w:szCs w:val="22"/>
              </w:rPr>
              <w:t xml:space="preserve"> </w:t>
            </w:r>
            <w:r w:rsidRPr="000C156A">
              <w:rPr>
                <w:rFonts w:cs="Calibri"/>
                <w:sz w:val="22"/>
                <w:szCs w:val="22"/>
              </w:rPr>
              <w:t>298.50</w:t>
            </w:r>
          </w:p>
        </w:tc>
        <w:tc>
          <w:tcPr>
            <w:tcW w:w="1434" w:type="dxa"/>
            <w:tcBorders>
              <w:top w:val="nil"/>
              <w:left w:val="single" w:sz="4" w:space="0" w:color="auto"/>
              <w:bottom w:val="nil"/>
              <w:right w:val="single" w:sz="4" w:space="0" w:color="auto"/>
            </w:tcBorders>
            <w:shd w:val="clear" w:color="auto" w:fill="auto"/>
            <w:noWrap/>
            <w:vAlign w:val="bottom"/>
            <w:hideMark/>
          </w:tcPr>
          <w:p w14:paraId="661A3133"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15DE5F00" w14:textId="091A00E5" w:rsidR="00686EC7" w:rsidRPr="000C156A" w:rsidRDefault="00686EC7" w:rsidP="00141BAA">
            <w:pPr>
              <w:jc w:val="right"/>
              <w:rPr>
                <w:rFonts w:cs="Calibri"/>
                <w:sz w:val="22"/>
                <w:szCs w:val="22"/>
              </w:rPr>
            </w:pPr>
            <w:r w:rsidRPr="000C156A">
              <w:rPr>
                <w:rFonts w:cs="Calibri"/>
                <w:sz w:val="22"/>
                <w:szCs w:val="22"/>
              </w:rPr>
              <w:t>8</w:t>
            </w:r>
            <w:r w:rsidR="003F0401" w:rsidRPr="000C156A">
              <w:rPr>
                <w:rFonts w:cs="Calibri"/>
                <w:sz w:val="22"/>
                <w:szCs w:val="22"/>
              </w:rPr>
              <w:t xml:space="preserve"> </w:t>
            </w:r>
            <w:r w:rsidRPr="000C156A">
              <w:rPr>
                <w:rFonts w:cs="Calibri"/>
                <w:sz w:val="22"/>
                <w:szCs w:val="22"/>
              </w:rPr>
              <w:t>298.50</w:t>
            </w:r>
          </w:p>
        </w:tc>
      </w:tr>
      <w:tr w:rsidR="00686EC7" w:rsidRPr="000C156A" w14:paraId="4D7957F8" w14:textId="77777777" w:rsidTr="00141BAA">
        <w:trPr>
          <w:trHeight w:val="116"/>
          <w:jc w:val="center"/>
        </w:trPr>
        <w:tc>
          <w:tcPr>
            <w:tcW w:w="4248" w:type="dxa"/>
            <w:tcBorders>
              <w:top w:val="nil"/>
              <w:left w:val="single" w:sz="4" w:space="0" w:color="auto"/>
              <w:bottom w:val="nil"/>
              <w:right w:val="single" w:sz="4" w:space="0" w:color="auto"/>
            </w:tcBorders>
            <w:shd w:val="clear" w:color="auto" w:fill="auto"/>
            <w:vAlign w:val="bottom"/>
            <w:hideMark/>
          </w:tcPr>
          <w:p w14:paraId="0C347F09" w14:textId="42F5988C"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hint="eastAsia"/>
                <w:sz w:val="22"/>
                <w:szCs w:val="22"/>
                <w:lang w:val="fr-FR"/>
              </w:rPr>
              <w:t>电信管理局，贝鲁特</w:t>
            </w:r>
          </w:p>
        </w:tc>
        <w:tc>
          <w:tcPr>
            <w:tcW w:w="1406" w:type="dxa"/>
            <w:tcBorders>
              <w:top w:val="nil"/>
              <w:left w:val="single" w:sz="4" w:space="0" w:color="auto"/>
              <w:bottom w:val="nil"/>
              <w:right w:val="single" w:sz="4" w:space="0" w:color="auto"/>
            </w:tcBorders>
            <w:shd w:val="clear" w:color="auto" w:fill="auto"/>
            <w:noWrap/>
            <w:vAlign w:val="bottom"/>
            <w:hideMark/>
          </w:tcPr>
          <w:p w14:paraId="54FA398F" w14:textId="77777777" w:rsidR="00686EC7" w:rsidRPr="000C156A" w:rsidRDefault="00686EC7" w:rsidP="00141BAA">
            <w:pPr>
              <w:jc w:val="center"/>
              <w:rPr>
                <w:rFonts w:cs="Calibri"/>
                <w:sz w:val="22"/>
                <w:szCs w:val="22"/>
              </w:rPr>
            </w:pPr>
            <w:r w:rsidRPr="000C156A">
              <w:rPr>
                <w:rFonts w:cs="Calibri"/>
                <w:sz w:val="22"/>
                <w:szCs w:val="22"/>
              </w:rPr>
              <w:t>2019</w:t>
            </w:r>
          </w:p>
        </w:tc>
        <w:tc>
          <w:tcPr>
            <w:tcW w:w="1613" w:type="dxa"/>
            <w:tcBorders>
              <w:top w:val="nil"/>
              <w:left w:val="single" w:sz="4" w:space="0" w:color="auto"/>
              <w:bottom w:val="nil"/>
              <w:right w:val="single" w:sz="4" w:space="0" w:color="auto"/>
            </w:tcBorders>
            <w:shd w:val="clear" w:color="auto" w:fill="auto"/>
            <w:noWrap/>
            <w:vAlign w:val="bottom"/>
            <w:hideMark/>
          </w:tcPr>
          <w:p w14:paraId="1E7F131F" w14:textId="17B23712" w:rsidR="00686EC7" w:rsidRPr="000C156A" w:rsidRDefault="00686EC7" w:rsidP="00141BAA">
            <w:pPr>
              <w:jc w:val="right"/>
              <w:rPr>
                <w:rFonts w:cs="Calibri"/>
                <w:sz w:val="22"/>
                <w:szCs w:val="22"/>
              </w:rPr>
            </w:pPr>
            <w:r w:rsidRPr="000C156A">
              <w:rPr>
                <w:rFonts w:cs="Calibri"/>
                <w:sz w:val="22"/>
                <w:szCs w:val="22"/>
              </w:rPr>
              <w:t>74</w:t>
            </w:r>
            <w:r w:rsidR="003F0401" w:rsidRPr="000C156A">
              <w:rPr>
                <w:rFonts w:cs="Calibri"/>
                <w:sz w:val="22"/>
                <w:szCs w:val="22"/>
              </w:rPr>
              <w:t xml:space="preserve"> </w:t>
            </w:r>
            <w:r w:rsidRPr="000C156A">
              <w:rPr>
                <w:rFonts w:cs="Calibri"/>
                <w:sz w:val="22"/>
                <w:szCs w:val="22"/>
              </w:rPr>
              <w:t>315.60</w:t>
            </w:r>
          </w:p>
        </w:tc>
        <w:tc>
          <w:tcPr>
            <w:tcW w:w="1434" w:type="dxa"/>
            <w:tcBorders>
              <w:top w:val="nil"/>
              <w:left w:val="single" w:sz="4" w:space="0" w:color="auto"/>
              <w:bottom w:val="nil"/>
              <w:right w:val="single" w:sz="4" w:space="0" w:color="auto"/>
            </w:tcBorders>
            <w:shd w:val="clear" w:color="auto" w:fill="auto"/>
            <w:noWrap/>
            <w:vAlign w:val="bottom"/>
            <w:hideMark/>
          </w:tcPr>
          <w:p w14:paraId="0C0D3C85"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72D76CE4" w14:textId="43AEC273" w:rsidR="00686EC7" w:rsidRPr="000C156A" w:rsidRDefault="00686EC7" w:rsidP="00141BAA">
            <w:pPr>
              <w:jc w:val="right"/>
              <w:rPr>
                <w:rFonts w:cs="Calibri"/>
                <w:sz w:val="22"/>
                <w:szCs w:val="22"/>
              </w:rPr>
            </w:pPr>
            <w:r w:rsidRPr="000C156A">
              <w:rPr>
                <w:rFonts w:cs="Calibri"/>
                <w:sz w:val="22"/>
                <w:szCs w:val="22"/>
              </w:rPr>
              <w:t>74</w:t>
            </w:r>
            <w:r w:rsidR="003F0401" w:rsidRPr="000C156A">
              <w:rPr>
                <w:rFonts w:cs="Calibri"/>
                <w:sz w:val="22"/>
                <w:szCs w:val="22"/>
              </w:rPr>
              <w:t xml:space="preserve"> </w:t>
            </w:r>
            <w:r w:rsidRPr="000C156A">
              <w:rPr>
                <w:rFonts w:cs="Calibri"/>
                <w:sz w:val="22"/>
                <w:szCs w:val="22"/>
              </w:rPr>
              <w:t>315.60</w:t>
            </w:r>
          </w:p>
        </w:tc>
      </w:tr>
      <w:tr w:rsidR="00686EC7" w:rsidRPr="000C156A" w14:paraId="350E3ECB" w14:textId="77777777" w:rsidTr="00141BAA">
        <w:trPr>
          <w:trHeight w:val="300"/>
          <w:jc w:val="center"/>
        </w:trPr>
        <w:tc>
          <w:tcPr>
            <w:tcW w:w="4248" w:type="dxa"/>
            <w:tcBorders>
              <w:top w:val="nil"/>
              <w:left w:val="single" w:sz="4" w:space="0" w:color="auto"/>
              <w:bottom w:val="nil"/>
              <w:right w:val="single" w:sz="4" w:space="0" w:color="auto"/>
            </w:tcBorders>
            <w:shd w:val="clear" w:color="auto" w:fill="auto"/>
            <w:vAlign w:val="bottom"/>
            <w:hideMark/>
          </w:tcPr>
          <w:p w14:paraId="4330A9B9" w14:textId="77777777" w:rsidR="00686EC7" w:rsidRPr="000C156A" w:rsidRDefault="00686EC7" w:rsidP="00141BAA">
            <w:pPr>
              <w:rPr>
                <w:rFonts w:cs="Calibri"/>
                <w:b/>
                <w:bCs/>
                <w:sz w:val="22"/>
                <w:szCs w:val="22"/>
              </w:rPr>
            </w:pPr>
            <w:r w:rsidRPr="000C156A">
              <w:rPr>
                <w:rFonts w:cs="Calibri"/>
                <w:b/>
                <w:bCs/>
                <w:sz w:val="22"/>
                <w:szCs w:val="22"/>
              </w:rPr>
              <w:t>利比里亚</w:t>
            </w:r>
          </w:p>
        </w:tc>
        <w:tc>
          <w:tcPr>
            <w:tcW w:w="1406" w:type="dxa"/>
            <w:tcBorders>
              <w:top w:val="nil"/>
              <w:left w:val="single" w:sz="4" w:space="0" w:color="auto"/>
              <w:bottom w:val="nil"/>
              <w:right w:val="single" w:sz="4" w:space="0" w:color="auto"/>
            </w:tcBorders>
            <w:shd w:val="clear" w:color="auto" w:fill="auto"/>
            <w:noWrap/>
            <w:vAlign w:val="bottom"/>
            <w:hideMark/>
          </w:tcPr>
          <w:p w14:paraId="3CEBF5E0"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434459C8"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30352B78"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02D15DF5" w14:textId="77777777" w:rsidR="00686EC7" w:rsidRPr="000C156A" w:rsidRDefault="00686EC7" w:rsidP="00141BAA">
            <w:pPr>
              <w:rPr>
                <w:rFonts w:ascii="Times New Roman" w:hAnsi="Times New Roman"/>
                <w:sz w:val="22"/>
                <w:szCs w:val="22"/>
              </w:rPr>
            </w:pPr>
          </w:p>
        </w:tc>
      </w:tr>
      <w:tr w:rsidR="00686EC7" w:rsidRPr="000C156A" w14:paraId="365CED11" w14:textId="77777777" w:rsidTr="00141BAA">
        <w:trPr>
          <w:trHeight w:val="300"/>
          <w:jc w:val="center"/>
        </w:trPr>
        <w:tc>
          <w:tcPr>
            <w:tcW w:w="4248" w:type="dxa"/>
            <w:tcBorders>
              <w:top w:val="nil"/>
              <w:left w:val="single" w:sz="4" w:space="0" w:color="auto"/>
              <w:bottom w:val="nil"/>
              <w:right w:val="single" w:sz="4" w:space="0" w:color="auto"/>
            </w:tcBorders>
            <w:shd w:val="clear" w:color="auto" w:fill="auto"/>
            <w:vAlign w:val="bottom"/>
            <w:hideMark/>
          </w:tcPr>
          <w:p w14:paraId="7E8BD3D3" w14:textId="0559B386" w:rsidR="00686EC7" w:rsidRPr="000C156A" w:rsidRDefault="00D93F72" w:rsidP="00D93F72">
            <w:pPr>
              <w:tabs>
                <w:tab w:val="clear" w:pos="567"/>
              </w:tabs>
              <w:spacing w:before="0"/>
              <w:ind w:left="317" w:hanging="317"/>
              <w:rPr>
                <w:rFonts w:cs="Calibri"/>
                <w:sz w:val="22"/>
                <w:szCs w:val="22"/>
                <w:lang w:eastAsia="zh-CN"/>
              </w:rPr>
            </w:pPr>
            <w:r w:rsidRPr="000C156A">
              <w:rPr>
                <w:rFonts w:cs="Calibri"/>
                <w:sz w:val="22"/>
                <w:szCs w:val="22"/>
                <w:lang w:eastAsia="zh-CN"/>
              </w:rPr>
              <w:t>–</w:t>
            </w:r>
            <w:r w:rsidRPr="000C156A">
              <w:rPr>
                <w:rFonts w:cs="Calibri"/>
                <w:sz w:val="22"/>
                <w:szCs w:val="22"/>
                <w:lang w:eastAsia="zh-CN"/>
              </w:rPr>
              <w:tab/>
            </w:r>
            <w:r w:rsidR="00686EC7" w:rsidRPr="000C156A">
              <w:rPr>
                <w:rFonts w:cs="Calibri" w:hint="eastAsia"/>
                <w:sz w:val="22"/>
                <w:szCs w:val="22"/>
                <w:lang w:val="fr-FR" w:eastAsia="zh-CN"/>
              </w:rPr>
              <w:t>西非电信公司</w:t>
            </w:r>
            <w:r w:rsidR="00686EC7" w:rsidRPr="000C156A">
              <w:rPr>
                <w:rFonts w:cs="Calibri" w:hint="eastAsia"/>
                <w:sz w:val="22"/>
                <w:szCs w:val="22"/>
                <w:lang w:eastAsia="zh-CN"/>
              </w:rPr>
              <w:t>，蒙罗维亚</w:t>
            </w:r>
          </w:p>
        </w:tc>
        <w:tc>
          <w:tcPr>
            <w:tcW w:w="1406" w:type="dxa"/>
            <w:tcBorders>
              <w:top w:val="nil"/>
              <w:left w:val="single" w:sz="4" w:space="0" w:color="auto"/>
              <w:bottom w:val="nil"/>
              <w:right w:val="single" w:sz="4" w:space="0" w:color="auto"/>
            </w:tcBorders>
            <w:shd w:val="clear" w:color="auto" w:fill="auto"/>
            <w:noWrap/>
            <w:vAlign w:val="bottom"/>
            <w:hideMark/>
          </w:tcPr>
          <w:p w14:paraId="554A53F1" w14:textId="77777777" w:rsidR="00686EC7" w:rsidRPr="000C156A" w:rsidRDefault="00686EC7" w:rsidP="00141BAA">
            <w:pPr>
              <w:jc w:val="center"/>
              <w:rPr>
                <w:rFonts w:cs="Calibri"/>
                <w:sz w:val="22"/>
                <w:szCs w:val="22"/>
              </w:rPr>
            </w:pPr>
            <w:r w:rsidRPr="000C156A">
              <w:rPr>
                <w:rFonts w:cs="Calibri"/>
                <w:sz w:val="22"/>
                <w:szCs w:val="22"/>
              </w:rPr>
              <w:t>2007</w:t>
            </w:r>
          </w:p>
        </w:tc>
        <w:tc>
          <w:tcPr>
            <w:tcW w:w="1613" w:type="dxa"/>
            <w:tcBorders>
              <w:top w:val="nil"/>
              <w:left w:val="single" w:sz="4" w:space="0" w:color="auto"/>
              <w:bottom w:val="nil"/>
              <w:right w:val="single" w:sz="4" w:space="0" w:color="auto"/>
            </w:tcBorders>
            <w:shd w:val="clear" w:color="auto" w:fill="auto"/>
            <w:noWrap/>
            <w:vAlign w:val="bottom"/>
            <w:hideMark/>
          </w:tcPr>
          <w:p w14:paraId="1F831BFF" w14:textId="63A31130" w:rsidR="00686EC7" w:rsidRPr="000C156A" w:rsidRDefault="00686EC7" w:rsidP="00141BAA">
            <w:pPr>
              <w:jc w:val="right"/>
              <w:rPr>
                <w:rFonts w:cs="Calibri"/>
                <w:sz w:val="22"/>
                <w:szCs w:val="22"/>
              </w:rPr>
            </w:pPr>
            <w:r w:rsidRPr="000C156A">
              <w:rPr>
                <w:rFonts w:cs="Calibri"/>
                <w:sz w:val="22"/>
                <w:szCs w:val="22"/>
              </w:rPr>
              <w:t>8</w:t>
            </w:r>
            <w:r w:rsidR="003F0401" w:rsidRPr="000C156A">
              <w:rPr>
                <w:rFonts w:cs="Calibri"/>
                <w:sz w:val="22"/>
                <w:szCs w:val="22"/>
              </w:rPr>
              <w:t xml:space="preserve"> </w:t>
            </w:r>
            <w:r w:rsidRPr="000C156A">
              <w:rPr>
                <w:rFonts w:cs="Calibri"/>
                <w:sz w:val="22"/>
                <w:szCs w:val="22"/>
              </w:rPr>
              <w:t>796.40</w:t>
            </w:r>
          </w:p>
        </w:tc>
        <w:tc>
          <w:tcPr>
            <w:tcW w:w="1434" w:type="dxa"/>
            <w:tcBorders>
              <w:top w:val="nil"/>
              <w:left w:val="single" w:sz="4" w:space="0" w:color="auto"/>
              <w:bottom w:val="nil"/>
              <w:right w:val="single" w:sz="4" w:space="0" w:color="auto"/>
            </w:tcBorders>
            <w:shd w:val="clear" w:color="auto" w:fill="auto"/>
            <w:noWrap/>
            <w:vAlign w:val="bottom"/>
            <w:hideMark/>
          </w:tcPr>
          <w:p w14:paraId="03D5B824"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390600E4" w14:textId="48EFCC86" w:rsidR="00686EC7" w:rsidRPr="000C156A" w:rsidRDefault="00686EC7" w:rsidP="00141BAA">
            <w:pPr>
              <w:jc w:val="right"/>
              <w:rPr>
                <w:rFonts w:cs="Calibri"/>
                <w:sz w:val="22"/>
                <w:szCs w:val="22"/>
              </w:rPr>
            </w:pPr>
            <w:r w:rsidRPr="000C156A">
              <w:rPr>
                <w:rFonts w:cs="Calibri"/>
                <w:sz w:val="22"/>
                <w:szCs w:val="22"/>
              </w:rPr>
              <w:t>8</w:t>
            </w:r>
            <w:r w:rsidR="003F0401" w:rsidRPr="000C156A">
              <w:rPr>
                <w:rFonts w:cs="Calibri"/>
                <w:sz w:val="22"/>
                <w:szCs w:val="22"/>
              </w:rPr>
              <w:t xml:space="preserve"> </w:t>
            </w:r>
            <w:r w:rsidRPr="000C156A">
              <w:rPr>
                <w:rFonts w:cs="Calibri"/>
                <w:sz w:val="22"/>
                <w:szCs w:val="22"/>
              </w:rPr>
              <w:t>796.40</w:t>
            </w:r>
          </w:p>
        </w:tc>
      </w:tr>
      <w:tr w:rsidR="00686EC7" w:rsidRPr="000C156A" w14:paraId="4D01FC4A" w14:textId="77777777" w:rsidTr="00141BAA">
        <w:trPr>
          <w:trHeight w:val="300"/>
          <w:jc w:val="center"/>
        </w:trPr>
        <w:tc>
          <w:tcPr>
            <w:tcW w:w="4248" w:type="dxa"/>
            <w:tcBorders>
              <w:top w:val="nil"/>
              <w:left w:val="single" w:sz="4" w:space="0" w:color="auto"/>
              <w:bottom w:val="nil"/>
              <w:right w:val="single" w:sz="4" w:space="0" w:color="auto"/>
            </w:tcBorders>
            <w:shd w:val="clear" w:color="auto" w:fill="auto"/>
            <w:vAlign w:val="bottom"/>
            <w:hideMark/>
          </w:tcPr>
          <w:p w14:paraId="25FF6E88" w14:textId="77777777" w:rsidR="00686EC7" w:rsidRPr="000C156A" w:rsidRDefault="00686EC7" w:rsidP="00141BAA">
            <w:pPr>
              <w:rPr>
                <w:rFonts w:cs="Calibri"/>
                <w:b/>
                <w:bCs/>
                <w:sz w:val="22"/>
                <w:szCs w:val="22"/>
              </w:rPr>
            </w:pPr>
            <w:r w:rsidRPr="000C156A">
              <w:rPr>
                <w:rFonts w:cs="Calibri"/>
                <w:b/>
                <w:bCs/>
                <w:sz w:val="22"/>
                <w:szCs w:val="22"/>
              </w:rPr>
              <w:t>利比亚</w:t>
            </w:r>
          </w:p>
        </w:tc>
        <w:tc>
          <w:tcPr>
            <w:tcW w:w="1406" w:type="dxa"/>
            <w:tcBorders>
              <w:top w:val="nil"/>
              <w:left w:val="single" w:sz="4" w:space="0" w:color="auto"/>
              <w:bottom w:val="nil"/>
              <w:right w:val="single" w:sz="4" w:space="0" w:color="auto"/>
            </w:tcBorders>
            <w:shd w:val="clear" w:color="auto" w:fill="auto"/>
            <w:noWrap/>
            <w:vAlign w:val="bottom"/>
            <w:hideMark/>
          </w:tcPr>
          <w:p w14:paraId="53402A93"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5FAE3B11"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3A1CEA12"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024C87CA" w14:textId="77777777" w:rsidR="00686EC7" w:rsidRPr="000C156A" w:rsidRDefault="00686EC7" w:rsidP="00141BAA">
            <w:pPr>
              <w:rPr>
                <w:rFonts w:ascii="Times New Roman" w:hAnsi="Times New Roman"/>
                <w:sz w:val="22"/>
                <w:szCs w:val="22"/>
              </w:rPr>
            </w:pPr>
          </w:p>
        </w:tc>
      </w:tr>
      <w:tr w:rsidR="00686EC7" w:rsidRPr="000C156A" w14:paraId="65B37357" w14:textId="77777777" w:rsidTr="00141BAA">
        <w:trPr>
          <w:trHeight w:val="300"/>
          <w:jc w:val="center"/>
        </w:trPr>
        <w:tc>
          <w:tcPr>
            <w:tcW w:w="4248" w:type="dxa"/>
            <w:tcBorders>
              <w:top w:val="nil"/>
              <w:left w:val="single" w:sz="4" w:space="0" w:color="auto"/>
              <w:bottom w:val="nil"/>
              <w:right w:val="single" w:sz="4" w:space="0" w:color="auto"/>
            </w:tcBorders>
            <w:shd w:val="clear" w:color="auto" w:fill="auto"/>
            <w:vAlign w:val="bottom"/>
            <w:hideMark/>
          </w:tcPr>
          <w:p w14:paraId="60388DA8" w14:textId="75842BDC" w:rsidR="00686EC7" w:rsidRPr="000C156A" w:rsidRDefault="00D93F72" w:rsidP="00D93F72">
            <w:pPr>
              <w:tabs>
                <w:tab w:val="clear" w:pos="567"/>
              </w:tabs>
              <w:spacing w:before="0"/>
              <w:ind w:left="317" w:hanging="317"/>
              <w:rPr>
                <w:rFonts w:cs="Calibri"/>
                <w:sz w:val="22"/>
                <w:szCs w:val="22"/>
                <w:lang w:eastAsia="zh-CN"/>
              </w:rPr>
            </w:pPr>
            <w:r w:rsidRPr="000C156A">
              <w:rPr>
                <w:rFonts w:cs="Calibri"/>
                <w:sz w:val="22"/>
                <w:szCs w:val="22"/>
                <w:lang w:eastAsia="zh-CN"/>
              </w:rPr>
              <w:t>–</w:t>
            </w:r>
            <w:r w:rsidRPr="000C156A">
              <w:rPr>
                <w:rFonts w:cs="Calibri"/>
                <w:sz w:val="22"/>
                <w:szCs w:val="22"/>
                <w:lang w:eastAsia="zh-CN"/>
              </w:rPr>
              <w:tab/>
            </w:r>
            <w:r w:rsidR="00686EC7" w:rsidRPr="000C156A">
              <w:rPr>
                <w:rFonts w:cs="Calibri"/>
                <w:sz w:val="22"/>
                <w:szCs w:val="22"/>
                <w:lang w:val="fr-FR" w:eastAsia="zh-CN"/>
              </w:rPr>
              <w:t>利比亚</w:t>
            </w:r>
            <w:r w:rsidR="00686EC7" w:rsidRPr="000C156A">
              <w:rPr>
                <w:rFonts w:cs="Calibri" w:hint="eastAsia"/>
                <w:sz w:val="22"/>
                <w:szCs w:val="22"/>
                <w:lang w:val="fr-FR" w:eastAsia="zh-CN"/>
              </w:rPr>
              <w:t>电话公司</w:t>
            </w:r>
            <w:r w:rsidR="00686EC7" w:rsidRPr="000C156A">
              <w:rPr>
                <w:rFonts w:cs="Calibri" w:hint="eastAsia"/>
                <w:sz w:val="22"/>
                <w:szCs w:val="22"/>
                <w:lang w:eastAsia="zh-CN"/>
              </w:rPr>
              <w:t>，的黎波里</w:t>
            </w:r>
          </w:p>
        </w:tc>
        <w:tc>
          <w:tcPr>
            <w:tcW w:w="1406" w:type="dxa"/>
            <w:tcBorders>
              <w:top w:val="nil"/>
              <w:left w:val="single" w:sz="4" w:space="0" w:color="auto"/>
              <w:bottom w:val="nil"/>
              <w:right w:val="single" w:sz="4" w:space="0" w:color="auto"/>
            </w:tcBorders>
            <w:shd w:val="clear" w:color="auto" w:fill="auto"/>
            <w:noWrap/>
            <w:vAlign w:val="bottom"/>
            <w:hideMark/>
          </w:tcPr>
          <w:p w14:paraId="749F50A7" w14:textId="77777777" w:rsidR="00686EC7" w:rsidRPr="000C156A" w:rsidRDefault="00686EC7" w:rsidP="00141BAA">
            <w:pPr>
              <w:jc w:val="center"/>
              <w:rPr>
                <w:rFonts w:cs="Calibri"/>
                <w:sz w:val="22"/>
                <w:szCs w:val="22"/>
              </w:rPr>
            </w:pPr>
            <w:r w:rsidRPr="000C156A">
              <w:rPr>
                <w:rFonts w:cs="Calibri"/>
                <w:sz w:val="22"/>
                <w:szCs w:val="22"/>
              </w:rPr>
              <w:t>2010-2012</w:t>
            </w:r>
          </w:p>
        </w:tc>
        <w:tc>
          <w:tcPr>
            <w:tcW w:w="1613" w:type="dxa"/>
            <w:tcBorders>
              <w:top w:val="nil"/>
              <w:left w:val="single" w:sz="4" w:space="0" w:color="auto"/>
              <w:bottom w:val="nil"/>
              <w:right w:val="single" w:sz="4" w:space="0" w:color="auto"/>
            </w:tcBorders>
            <w:shd w:val="clear" w:color="auto" w:fill="auto"/>
            <w:noWrap/>
            <w:vAlign w:val="bottom"/>
            <w:hideMark/>
          </w:tcPr>
          <w:p w14:paraId="1EE602B8" w14:textId="5AC0B635" w:rsidR="00686EC7" w:rsidRPr="000C156A" w:rsidRDefault="00686EC7" w:rsidP="00141BAA">
            <w:pPr>
              <w:jc w:val="right"/>
              <w:rPr>
                <w:rFonts w:cs="Calibri"/>
                <w:sz w:val="22"/>
                <w:szCs w:val="22"/>
              </w:rPr>
            </w:pPr>
            <w:r w:rsidRPr="000C156A">
              <w:rPr>
                <w:rFonts w:cs="Calibri"/>
                <w:sz w:val="22"/>
                <w:szCs w:val="22"/>
              </w:rPr>
              <w:t>156</w:t>
            </w:r>
            <w:r w:rsidR="003F0401" w:rsidRPr="000C156A">
              <w:rPr>
                <w:rFonts w:cs="Calibri"/>
                <w:sz w:val="22"/>
                <w:szCs w:val="22"/>
              </w:rPr>
              <w:t xml:space="preserve"> </w:t>
            </w:r>
            <w:r w:rsidRPr="000C156A">
              <w:rPr>
                <w:rFonts w:cs="Calibri"/>
                <w:sz w:val="22"/>
                <w:szCs w:val="22"/>
              </w:rPr>
              <w:t>592.40</w:t>
            </w:r>
          </w:p>
        </w:tc>
        <w:tc>
          <w:tcPr>
            <w:tcW w:w="1434" w:type="dxa"/>
            <w:tcBorders>
              <w:top w:val="nil"/>
              <w:left w:val="single" w:sz="4" w:space="0" w:color="auto"/>
              <w:bottom w:val="nil"/>
              <w:right w:val="single" w:sz="4" w:space="0" w:color="auto"/>
            </w:tcBorders>
            <w:shd w:val="clear" w:color="auto" w:fill="auto"/>
            <w:noWrap/>
            <w:vAlign w:val="bottom"/>
            <w:hideMark/>
          </w:tcPr>
          <w:p w14:paraId="7902FD9E"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02C8A01F" w14:textId="50BE0DEF" w:rsidR="00686EC7" w:rsidRPr="000C156A" w:rsidRDefault="00686EC7" w:rsidP="00141BAA">
            <w:pPr>
              <w:jc w:val="right"/>
              <w:rPr>
                <w:rFonts w:cs="Calibri"/>
                <w:sz w:val="22"/>
                <w:szCs w:val="22"/>
              </w:rPr>
            </w:pPr>
            <w:r w:rsidRPr="000C156A">
              <w:rPr>
                <w:rFonts w:cs="Calibri"/>
                <w:sz w:val="22"/>
                <w:szCs w:val="22"/>
              </w:rPr>
              <w:t>156</w:t>
            </w:r>
            <w:r w:rsidR="003F0401" w:rsidRPr="000C156A">
              <w:rPr>
                <w:rFonts w:cs="Calibri"/>
                <w:sz w:val="22"/>
                <w:szCs w:val="22"/>
              </w:rPr>
              <w:t xml:space="preserve"> </w:t>
            </w:r>
            <w:r w:rsidRPr="000C156A">
              <w:rPr>
                <w:rFonts w:cs="Calibri"/>
                <w:sz w:val="22"/>
                <w:szCs w:val="22"/>
              </w:rPr>
              <w:t>592.40</w:t>
            </w:r>
          </w:p>
        </w:tc>
      </w:tr>
      <w:tr w:rsidR="00686EC7" w:rsidRPr="000C156A" w14:paraId="05F9E7B4" w14:textId="77777777" w:rsidTr="00141BAA">
        <w:trPr>
          <w:trHeight w:val="300"/>
          <w:jc w:val="center"/>
        </w:trPr>
        <w:tc>
          <w:tcPr>
            <w:tcW w:w="4248" w:type="dxa"/>
            <w:tcBorders>
              <w:top w:val="nil"/>
              <w:left w:val="single" w:sz="4" w:space="0" w:color="auto"/>
              <w:bottom w:val="nil"/>
              <w:right w:val="single" w:sz="4" w:space="0" w:color="auto"/>
            </w:tcBorders>
            <w:shd w:val="clear" w:color="auto" w:fill="auto"/>
            <w:vAlign w:val="bottom"/>
            <w:hideMark/>
          </w:tcPr>
          <w:p w14:paraId="305CC5A6" w14:textId="77777777" w:rsidR="00686EC7" w:rsidRPr="000C156A" w:rsidRDefault="00686EC7" w:rsidP="00141BAA">
            <w:pPr>
              <w:rPr>
                <w:rFonts w:cs="Calibri"/>
                <w:b/>
                <w:bCs/>
                <w:sz w:val="22"/>
                <w:szCs w:val="22"/>
              </w:rPr>
            </w:pPr>
            <w:r w:rsidRPr="000C156A">
              <w:rPr>
                <w:rFonts w:cs="Calibri"/>
                <w:b/>
                <w:bCs/>
                <w:sz w:val="22"/>
                <w:szCs w:val="22"/>
              </w:rPr>
              <w:t>卢森堡</w:t>
            </w:r>
          </w:p>
        </w:tc>
        <w:tc>
          <w:tcPr>
            <w:tcW w:w="1406" w:type="dxa"/>
            <w:tcBorders>
              <w:top w:val="nil"/>
              <w:left w:val="single" w:sz="4" w:space="0" w:color="auto"/>
              <w:bottom w:val="nil"/>
              <w:right w:val="single" w:sz="4" w:space="0" w:color="auto"/>
            </w:tcBorders>
            <w:shd w:val="clear" w:color="auto" w:fill="auto"/>
            <w:noWrap/>
            <w:vAlign w:val="bottom"/>
            <w:hideMark/>
          </w:tcPr>
          <w:p w14:paraId="72173124"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7EC528FC"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6CC255F0"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7667C4E8" w14:textId="77777777" w:rsidR="00686EC7" w:rsidRPr="000C156A" w:rsidRDefault="00686EC7" w:rsidP="00141BAA">
            <w:pPr>
              <w:rPr>
                <w:rFonts w:ascii="Times New Roman" w:hAnsi="Times New Roman"/>
                <w:sz w:val="22"/>
                <w:szCs w:val="22"/>
              </w:rPr>
            </w:pPr>
          </w:p>
        </w:tc>
      </w:tr>
      <w:tr w:rsidR="00686EC7" w:rsidRPr="000C156A" w14:paraId="59CB2CA9" w14:textId="77777777" w:rsidTr="00141BAA">
        <w:trPr>
          <w:trHeight w:val="300"/>
          <w:jc w:val="center"/>
        </w:trPr>
        <w:tc>
          <w:tcPr>
            <w:tcW w:w="4248" w:type="dxa"/>
            <w:tcBorders>
              <w:top w:val="nil"/>
              <w:left w:val="single" w:sz="4" w:space="0" w:color="auto"/>
              <w:bottom w:val="nil"/>
              <w:right w:val="single" w:sz="4" w:space="0" w:color="auto"/>
            </w:tcBorders>
            <w:shd w:val="clear" w:color="auto" w:fill="auto"/>
            <w:vAlign w:val="bottom"/>
            <w:hideMark/>
          </w:tcPr>
          <w:p w14:paraId="5F3A9BC3" w14:textId="1205BCEC" w:rsidR="00686EC7" w:rsidRPr="000C156A" w:rsidRDefault="00D93F72" w:rsidP="00D93F72">
            <w:pPr>
              <w:tabs>
                <w:tab w:val="clear" w:pos="567"/>
              </w:tabs>
              <w:spacing w:before="0"/>
              <w:ind w:left="317" w:hanging="317"/>
              <w:rPr>
                <w:rFonts w:cs="Calibri"/>
                <w:sz w:val="22"/>
                <w:szCs w:val="22"/>
                <w:lang w:eastAsia="zh-CN"/>
              </w:rPr>
            </w:pPr>
            <w:r w:rsidRPr="000C156A">
              <w:rPr>
                <w:rFonts w:cs="Calibri"/>
                <w:sz w:val="22"/>
                <w:szCs w:val="22"/>
                <w:lang w:eastAsia="zh-CN"/>
              </w:rPr>
              <w:t>–</w:t>
            </w:r>
            <w:r w:rsidRPr="000C156A">
              <w:rPr>
                <w:rFonts w:cs="Calibri"/>
                <w:sz w:val="22"/>
                <w:szCs w:val="22"/>
                <w:lang w:eastAsia="zh-CN"/>
              </w:rPr>
              <w:tab/>
            </w:r>
            <w:r w:rsidR="00686EC7" w:rsidRPr="000C156A">
              <w:rPr>
                <w:rFonts w:cs="Calibri"/>
                <w:sz w:val="22"/>
                <w:szCs w:val="22"/>
                <w:lang w:val="fr-FR" w:eastAsia="zh-CN"/>
              </w:rPr>
              <w:t>卢森堡</w:t>
            </w:r>
            <w:r w:rsidR="00686EC7" w:rsidRPr="000C156A">
              <w:rPr>
                <w:rFonts w:cs="Calibri" w:hint="eastAsia"/>
                <w:sz w:val="22"/>
                <w:szCs w:val="22"/>
                <w:lang w:val="fr-FR" w:eastAsia="zh-CN"/>
              </w:rPr>
              <w:t>空间通信</w:t>
            </w:r>
            <w:r w:rsidR="00686EC7" w:rsidRPr="000C156A">
              <w:rPr>
                <w:rFonts w:cs="Calibri" w:hint="eastAsia"/>
                <w:sz w:val="22"/>
                <w:szCs w:val="22"/>
                <w:lang w:eastAsia="zh-CN"/>
              </w:rPr>
              <w:t>，</w:t>
            </w:r>
            <w:r w:rsidR="00686EC7" w:rsidRPr="000C156A">
              <w:rPr>
                <w:rFonts w:cs="Calibri"/>
                <w:sz w:val="22"/>
                <w:szCs w:val="22"/>
                <w:lang w:eastAsia="zh-CN"/>
              </w:rPr>
              <w:t>卢森堡</w:t>
            </w:r>
          </w:p>
        </w:tc>
        <w:tc>
          <w:tcPr>
            <w:tcW w:w="1406" w:type="dxa"/>
            <w:tcBorders>
              <w:top w:val="nil"/>
              <w:left w:val="single" w:sz="4" w:space="0" w:color="auto"/>
              <w:bottom w:val="nil"/>
              <w:right w:val="single" w:sz="4" w:space="0" w:color="auto"/>
            </w:tcBorders>
            <w:shd w:val="clear" w:color="auto" w:fill="auto"/>
            <w:noWrap/>
            <w:vAlign w:val="bottom"/>
            <w:hideMark/>
          </w:tcPr>
          <w:p w14:paraId="66766A98" w14:textId="77777777" w:rsidR="00686EC7" w:rsidRPr="000C156A" w:rsidRDefault="00686EC7" w:rsidP="00141BAA">
            <w:pPr>
              <w:jc w:val="center"/>
              <w:rPr>
                <w:rFonts w:cs="Calibri"/>
                <w:sz w:val="22"/>
                <w:szCs w:val="22"/>
              </w:rPr>
            </w:pPr>
            <w:r w:rsidRPr="000C156A">
              <w:rPr>
                <w:rFonts w:cs="Calibri"/>
                <w:sz w:val="22"/>
                <w:szCs w:val="22"/>
              </w:rPr>
              <w:t>2018</w:t>
            </w:r>
          </w:p>
        </w:tc>
        <w:tc>
          <w:tcPr>
            <w:tcW w:w="1613" w:type="dxa"/>
            <w:tcBorders>
              <w:top w:val="nil"/>
              <w:left w:val="single" w:sz="4" w:space="0" w:color="auto"/>
              <w:bottom w:val="nil"/>
              <w:right w:val="single" w:sz="4" w:space="0" w:color="auto"/>
            </w:tcBorders>
            <w:shd w:val="clear" w:color="auto" w:fill="auto"/>
            <w:noWrap/>
            <w:vAlign w:val="bottom"/>
            <w:hideMark/>
          </w:tcPr>
          <w:p w14:paraId="67E4327E" w14:textId="5D8BEA87" w:rsidR="00686EC7" w:rsidRPr="000C156A" w:rsidRDefault="00686EC7" w:rsidP="00141BAA">
            <w:pPr>
              <w:jc w:val="right"/>
              <w:rPr>
                <w:rFonts w:cs="Calibri"/>
                <w:sz w:val="22"/>
                <w:szCs w:val="22"/>
              </w:rPr>
            </w:pPr>
            <w:r w:rsidRPr="000C156A">
              <w:rPr>
                <w:rFonts w:cs="Calibri"/>
                <w:sz w:val="22"/>
                <w:szCs w:val="22"/>
              </w:rPr>
              <w:t>37</w:t>
            </w:r>
            <w:r w:rsidR="003F0401" w:rsidRPr="000C156A">
              <w:rPr>
                <w:rFonts w:cs="Calibri"/>
                <w:sz w:val="22"/>
                <w:szCs w:val="22"/>
              </w:rPr>
              <w:t xml:space="preserve"> </w:t>
            </w:r>
            <w:r w:rsidRPr="000C156A">
              <w:rPr>
                <w:rFonts w:cs="Calibri"/>
                <w:sz w:val="22"/>
                <w:szCs w:val="22"/>
              </w:rPr>
              <w:t>070.35</w:t>
            </w:r>
          </w:p>
        </w:tc>
        <w:tc>
          <w:tcPr>
            <w:tcW w:w="1434" w:type="dxa"/>
            <w:tcBorders>
              <w:top w:val="nil"/>
              <w:left w:val="single" w:sz="4" w:space="0" w:color="auto"/>
              <w:bottom w:val="nil"/>
              <w:right w:val="single" w:sz="4" w:space="0" w:color="auto"/>
            </w:tcBorders>
            <w:shd w:val="clear" w:color="auto" w:fill="auto"/>
            <w:noWrap/>
            <w:vAlign w:val="bottom"/>
            <w:hideMark/>
          </w:tcPr>
          <w:p w14:paraId="3871ED7B"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05B05C22" w14:textId="518F6B6F" w:rsidR="00686EC7" w:rsidRPr="000C156A" w:rsidRDefault="00686EC7" w:rsidP="00141BAA">
            <w:pPr>
              <w:jc w:val="right"/>
              <w:rPr>
                <w:rFonts w:cs="Calibri"/>
                <w:sz w:val="22"/>
                <w:szCs w:val="22"/>
              </w:rPr>
            </w:pPr>
            <w:r w:rsidRPr="000C156A">
              <w:rPr>
                <w:rFonts w:cs="Calibri"/>
                <w:sz w:val="22"/>
                <w:szCs w:val="22"/>
              </w:rPr>
              <w:t>37</w:t>
            </w:r>
            <w:r w:rsidR="003F0401" w:rsidRPr="000C156A">
              <w:rPr>
                <w:rFonts w:cs="Calibri"/>
                <w:sz w:val="22"/>
                <w:szCs w:val="22"/>
              </w:rPr>
              <w:t xml:space="preserve"> </w:t>
            </w:r>
            <w:r w:rsidRPr="000C156A">
              <w:rPr>
                <w:rFonts w:cs="Calibri"/>
                <w:sz w:val="22"/>
                <w:szCs w:val="22"/>
              </w:rPr>
              <w:t>070.35</w:t>
            </w:r>
          </w:p>
        </w:tc>
      </w:tr>
      <w:tr w:rsidR="00686EC7" w:rsidRPr="000C156A" w14:paraId="4A5E4ED3" w14:textId="77777777" w:rsidTr="00141BAA">
        <w:trPr>
          <w:trHeight w:val="300"/>
          <w:jc w:val="center"/>
        </w:trPr>
        <w:tc>
          <w:tcPr>
            <w:tcW w:w="4248" w:type="dxa"/>
            <w:tcBorders>
              <w:top w:val="nil"/>
              <w:left w:val="single" w:sz="4" w:space="0" w:color="auto"/>
              <w:bottom w:val="nil"/>
              <w:right w:val="single" w:sz="4" w:space="0" w:color="auto"/>
            </w:tcBorders>
            <w:shd w:val="clear" w:color="auto" w:fill="auto"/>
            <w:vAlign w:val="bottom"/>
            <w:hideMark/>
          </w:tcPr>
          <w:p w14:paraId="627D44F5" w14:textId="77777777" w:rsidR="00686EC7" w:rsidRPr="000C156A" w:rsidRDefault="00686EC7" w:rsidP="00141BAA">
            <w:pPr>
              <w:spacing w:before="0"/>
              <w:rPr>
                <w:sz w:val="22"/>
                <w:szCs w:val="22"/>
              </w:rPr>
            </w:pPr>
            <w:r w:rsidRPr="000C156A">
              <w:rPr>
                <w:rFonts w:cs="Calibri" w:hint="eastAsia"/>
                <w:b/>
                <w:bCs/>
                <w:sz w:val="22"/>
                <w:szCs w:val="22"/>
                <w:lang w:eastAsia="zh-CN"/>
              </w:rPr>
              <w:t>马里</w:t>
            </w:r>
          </w:p>
        </w:tc>
        <w:tc>
          <w:tcPr>
            <w:tcW w:w="1406" w:type="dxa"/>
            <w:tcBorders>
              <w:top w:val="nil"/>
              <w:left w:val="single" w:sz="4" w:space="0" w:color="auto"/>
              <w:bottom w:val="nil"/>
              <w:right w:val="single" w:sz="4" w:space="0" w:color="auto"/>
            </w:tcBorders>
            <w:shd w:val="clear" w:color="auto" w:fill="auto"/>
            <w:noWrap/>
            <w:vAlign w:val="bottom"/>
            <w:hideMark/>
          </w:tcPr>
          <w:p w14:paraId="7ACB449D"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63144487"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1B95D4E0"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5E144314" w14:textId="77777777" w:rsidR="00686EC7" w:rsidRPr="000C156A" w:rsidRDefault="00686EC7" w:rsidP="00141BAA">
            <w:pPr>
              <w:rPr>
                <w:rFonts w:ascii="Times New Roman" w:hAnsi="Times New Roman"/>
                <w:sz w:val="22"/>
                <w:szCs w:val="22"/>
              </w:rPr>
            </w:pPr>
          </w:p>
        </w:tc>
      </w:tr>
      <w:tr w:rsidR="00686EC7" w:rsidRPr="000C156A" w14:paraId="175E6A36" w14:textId="77777777" w:rsidTr="00141BAA">
        <w:trPr>
          <w:trHeight w:val="300"/>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F02D876" w14:textId="75F4ECD7" w:rsidR="00686EC7" w:rsidRPr="000C156A" w:rsidRDefault="00D93F72" w:rsidP="00D93F72">
            <w:pPr>
              <w:tabs>
                <w:tab w:val="clear" w:pos="567"/>
              </w:tabs>
              <w:spacing w:before="0"/>
              <w:ind w:left="317" w:hanging="317"/>
              <w:rPr>
                <w:sz w:val="22"/>
                <w:szCs w:val="22"/>
              </w:rPr>
            </w:pPr>
            <w:r w:rsidRPr="000C156A">
              <w:rPr>
                <w:rFonts w:cs="Calibri"/>
                <w:sz w:val="22"/>
                <w:szCs w:val="22"/>
                <w:lang w:eastAsia="en-GB"/>
              </w:rPr>
              <w:t>–</w:t>
            </w:r>
            <w:r w:rsidRPr="000C156A">
              <w:rPr>
                <w:rFonts w:cs="Calibri"/>
                <w:sz w:val="22"/>
                <w:szCs w:val="22"/>
                <w:lang w:eastAsia="en-GB"/>
              </w:rPr>
              <w:tab/>
            </w:r>
            <w:r w:rsidR="00686EC7" w:rsidRPr="000C156A">
              <w:rPr>
                <w:rFonts w:cs="Calibri"/>
                <w:sz w:val="22"/>
                <w:szCs w:val="22"/>
                <w:lang w:eastAsia="en-GB"/>
              </w:rPr>
              <w:t>Orange</w:t>
            </w:r>
            <w:r w:rsidR="00686EC7" w:rsidRPr="000C156A">
              <w:rPr>
                <w:rFonts w:cs="Calibri" w:hint="eastAsia"/>
                <w:sz w:val="22"/>
                <w:szCs w:val="22"/>
                <w:lang w:eastAsia="zh-CN"/>
              </w:rPr>
              <w:t>马里分公司，巴马科</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4B36D83F" w14:textId="77777777" w:rsidR="00686EC7" w:rsidRPr="000C156A" w:rsidRDefault="00686EC7" w:rsidP="00141BAA">
            <w:pPr>
              <w:jc w:val="center"/>
              <w:rPr>
                <w:rFonts w:cs="Calibri"/>
                <w:sz w:val="22"/>
                <w:szCs w:val="22"/>
              </w:rPr>
            </w:pPr>
            <w:r w:rsidRPr="000C156A">
              <w:rPr>
                <w:rFonts w:cs="Calibri"/>
                <w:sz w:val="22"/>
                <w:szCs w:val="22"/>
              </w:rPr>
              <w:t>2018</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14:paraId="1212B744" w14:textId="70B59B84" w:rsidR="00686EC7" w:rsidRPr="000C156A" w:rsidRDefault="00686EC7" w:rsidP="00141BAA">
            <w:pPr>
              <w:jc w:val="right"/>
              <w:rPr>
                <w:rFonts w:cs="Calibri"/>
                <w:sz w:val="22"/>
                <w:szCs w:val="22"/>
              </w:rPr>
            </w:pPr>
            <w:r w:rsidRPr="000C156A">
              <w:rPr>
                <w:rFonts w:cs="Calibri"/>
                <w:sz w:val="22"/>
                <w:szCs w:val="22"/>
              </w:rPr>
              <w:t>3</w:t>
            </w:r>
            <w:r w:rsidR="003F0401" w:rsidRPr="000C156A">
              <w:rPr>
                <w:rFonts w:cs="Calibri"/>
                <w:sz w:val="22"/>
                <w:szCs w:val="22"/>
              </w:rPr>
              <w:t xml:space="preserve"> </w:t>
            </w:r>
            <w:r w:rsidRPr="000C156A">
              <w:rPr>
                <w:rFonts w:cs="Calibri"/>
                <w:sz w:val="22"/>
                <w:szCs w:val="22"/>
              </w:rPr>
              <w:t>003.85</w:t>
            </w:r>
          </w:p>
        </w:tc>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730D5F07"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14:paraId="630379A4" w14:textId="12DAE076" w:rsidR="00686EC7" w:rsidRPr="000C156A" w:rsidRDefault="00686EC7" w:rsidP="00141BAA">
            <w:pPr>
              <w:jc w:val="right"/>
              <w:rPr>
                <w:rFonts w:cs="Calibri"/>
                <w:sz w:val="22"/>
                <w:szCs w:val="22"/>
              </w:rPr>
            </w:pPr>
            <w:r w:rsidRPr="000C156A">
              <w:rPr>
                <w:rFonts w:cs="Calibri"/>
                <w:sz w:val="22"/>
                <w:szCs w:val="22"/>
              </w:rPr>
              <w:t>3</w:t>
            </w:r>
            <w:r w:rsidR="003F0401" w:rsidRPr="000C156A">
              <w:rPr>
                <w:rFonts w:cs="Calibri"/>
                <w:sz w:val="22"/>
                <w:szCs w:val="22"/>
              </w:rPr>
              <w:t xml:space="preserve"> </w:t>
            </w:r>
            <w:r w:rsidRPr="000C156A">
              <w:rPr>
                <w:rFonts w:cs="Calibri"/>
                <w:sz w:val="22"/>
                <w:szCs w:val="22"/>
              </w:rPr>
              <w:t>003.85</w:t>
            </w:r>
          </w:p>
        </w:tc>
      </w:tr>
    </w:tbl>
    <w:p w14:paraId="1C1D6718" w14:textId="77777777" w:rsidR="00686EC7" w:rsidRPr="000C156A" w:rsidRDefault="00686EC7" w:rsidP="00686EC7">
      <w:pPr>
        <w:rPr>
          <w:sz w:val="22"/>
          <w:szCs w:val="22"/>
        </w:rPr>
      </w:pPr>
      <w:r w:rsidRPr="000C156A">
        <w:rPr>
          <w:sz w:val="22"/>
          <w:szCs w:val="22"/>
        </w:rPr>
        <w:br w:type="page"/>
      </w:r>
    </w:p>
    <w:tbl>
      <w:tblPr>
        <w:tblW w:w="10314" w:type="dxa"/>
        <w:jc w:val="center"/>
        <w:tblLayout w:type="fixed"/>
        <w:tblLook w:val="04A0" w:firstRow="1" w:lastRow="0" w:firstColumn="1" w:lastColumn="0" w:noHBand="0" w:noVBand="1"/>
      </w:tblPr>
      <w:tblGrid>
        <w:gridCol w:w="4531"/>
        <w:gridCol w:w="1445"/>
        <w:gridCol w:w="1446"/>
        <w:gridCol w:w="1446"/>
        <w:gridCol w:w="1446"/>
      </w:tblGrid>
      <w:tr w:rsidR="00686EC7" w:rsidRPr="000C156A" w14:paraId="3DA35166" w14:textId="77777777" w:rsidTr="00D93F72">
        <w:trPr>
          <w:trHeight w:val="300"/>
          <w:jc w:val="center"/>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2F08D684" w14:textId="77777777" w:rsidR="00686EC7" w:rsidRPr="000C156A" w:rsidRDefault="00686EC7" w:rsidP="00141BAA">
            <w:pPr>
              <w:pStyle w:val="Tablehead"/>
              <w:jc w:val="left"/>
              <w:rPr>
                <w:szCs w:val="22"/>
                <w:lang w:eastAsia="zh-CN"/>
              </w:rPr>
            </w:pPr>
            <w:r w:rsidRPr="000C156A">
              <w:rPr>
                <w:szCs w:val="22"/>
                <w:lang w:eastAsia="zh-CN"/>
              </w:rPr>
              <w:lastRenderedPageBreak/>
              <w:t>B.</w:t>
            </w:r>
            <w:r w:rsidRPr="000C156A">
              <w:rPr>
                <w:rFonts w:hint="eastAsia"/>
                <w:szCs w:val="22"/>
                <w:lang w:eastAsia="zh-CN"/>
              </w:rPr>
              <w:t>部门成员及其他实体</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A54C8" w14:textId="77777777" w:rsidR="00686EC7" w:rsidRPr="000C156A" w:rsidRDefault="00686EC7" w:rsidP="00141BAA">
            <w:pPr>
              <w:pStyle w:val="Tablehead"/>
              <w:rPr>
                <w:szCs w:val="22"/>
                <w:lang w:eastAsia="zh-CN"/>
              </w:rPr>
            </w:pPr>
            <w:r w:rsidRPr="000C156A">
              <w:rPr>
                <w:rFonts w:hint="eastAsia"/>
                <w:szCs w:val="22"/>
              </w:rPr>
              <w:t>年份</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3336D" w14:textId="77777777" w:rsidR="00686EC7" w:rsidRPr="000C156A" w:rsidRDefault="00686EC7" w:rsidP="00141BAA">
            <w:pPr>
              <w:pStyle w:val="Tablehead"/>
              <w:rPr>
                <w:szCs w:val="22"/>
                <w:lang w:eastAsia="zh-CN"/>
              </w:rPr>
            </w:pPr>
            <w:r w:rsidRPr="000C156A">
              <w:rPr>
                <w:rFonts w:hint="eastAsia"/>
                <w:szCs w:val="22"/>
              </w:rPr>
              <w:t>会费</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8D456" w14:textId="77777777" w:rsidR="00686EC7" w:rsidRPr="000C156A" w:rsidRDefault="00686EC7" w:rsidP="00141BAA">
            <w:pPr>
              <w:pStyle w:val="Tablehead"/>
              <w:rPr>
                <w:szCs w:val="22"/>
                <w:lang w:eastAsia="zh-CN"/>
              </w:rPr>
            </w:pPr>
            <w:r w:rsidRPr="000C156A">
              <w:rPr>
                <w:rFonts w:hint="eastAsia"/>
                <w:szCs w:val="22"/>
              </w:rPr>
              <w:t>出版物</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6B03A" w14:textId="77777777" w:rsidR="00686EC7" w:rsidRPr="000C156A" w:rsidRDefault="00686EC7" w:rsidP="00141BAA">
            <w:pPr>
              <w:pStyle w:val="Tablehead"/>
              <w:rPr>
                <w:szCs w:val="22"/>
                <w:lang w:eastAsia="zh-CN"/>
              </w:rPr>
            </w:pPr>
            <w:r w:rsidRPr="000C156A">
              <w:rPr>
                <w:rFonts w:hint="eastAsia"/>
                <w:szCs w:val="22"/>
              </w:rPr>
              <w:t>合计</w:t>
            </w:r>
          </w:p>
        </w:tc>
      </w:tr>
      <w:tr w:rsidR="00686EC7" w:rsidRPr="000C156A" w14:paraId="30CC836E" w14:textId="77777777" w:rsidTr="00D93F72">
        <w:trPr>
          <w:trHeight w:val="300"/>
          <w:jc w:val="center"/>
        </w:trPr>
        <w:tc>
          <w:tcPr>
            <w:tcW w:w="4531" w:type="dxa"/>
            <w:tcBorders>
              <w:top w:val="nil"/>
              <w:left w:val="single" w:sz="4" w:space="0" w:color="auto"/>
              <w:bottom w:val="nil"/>
              <w:right w:val="single" w:sz="4" w:space="0" w:color="auto"/>
            </w:tcBorders>
            <w:shd w:val="clear" w:color="auto" w:fill="auto"/>
            <w:vAlign w:val="bottom"/>
            <w:hideMark/>
          </w:tcPr>
          <w:p w14:paraId="3D7695F7" w14:textId="77777777" w:rsidR="00686EC7" w:rsidRPr="000C156A" w:rsidRDefault="00686EC7" w:rsidP="00141BAA">
            <w:pPr>
              <w:keepNext/>
              <w:keepLines/>
              <w:spacing w:before="0"/>
              <w:rPr>
                <w:b/>
                <w:bCs/>
                <w:sz w:val="22"/>
                <w:szCs w:val="22"/>
              </w:rPr>
            </w:pPr>
            <w:r w:rsidRPr="000C156A">
              <w:rPr>
                <w:rFonts w:hint="eastAsia"/>
                <w:b/>
                <w:bCs/>
                <w:sz w:val="22"/>
                <w:szCs w:val="22"/>
              </w:rPr>
              <w:t>毛</w:t>
            </w:r>
            <w:r w:rsidRPr="000C156A">
              <w:rPr>
                <w:b/>
                <w:bCs/>
                <w:sz w:val="22"/>
                <w:szCs w:val="22"/>
              </w:rPr>
              <w:t>里塔尼</w:t>
            </w:r>
            <w:r w:rsidRPr="000C156A">
              <w:rPr>
                <w:rFonts w:hint="eastAsia"/>
                <w:b/>
                <w:bCs/>
                <w:sz w:val="22"/>
                <w:szCs w:val="22"/>
              </w:rPr>
              <w:t>亚</w:t>
            </w:r>
          </w:p>
        </w:tc>
        <w:tc>
          <w:tcPr>
            <w:tcW w:w="1445" w:type="dxa"/>
            <w:tcBorders>
              <w:top w:val="nil"/>
              <w:left w:val="single" w:sz="4" w:space="0" w:color="auto"/>
              <w:bottom w:val="nil"/>
              <w:right w:val="single" w:sz="4" w:space="0" w:color="auto"/>
            </w:tcBorders>
            <w:shd w:val="clear" w:color="auto" w:fill="auto"/>
            <w:noWrap/>
            <w:vAlign w:val="bottom"/>
            <w:hideMark/>
          </w:tcPr>
          <w:p w14:paraId="0963EB64" w14:textId="77777777" w:rsidR="00686EC7" w:rsidRPr="000C156A" w:rsidRDefault="00686EC7" w:rsidP="00141BAA">
            <w:pPr>
              <w:rPr>
                <w:rFonts w:cs="Calibri"/>
                <w:b/>
                <w:bCs/>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594A19D1" w14:textId="77777777" w:rsidR="00686EC7" w:rsidRPr="000C156A" w:rsidRDefault="00686EC7" w:rsidP="00141BAA">
            <w:pPr>
              <w:jc w:val="center"/>
              <w:rPr>
                <w:rFonts w:ascii="Times New Roman" w:hAnsi="Times New Roman"/>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0ACD5380" w14:textId="77777777" w:rsidR="00686EC7" w:rsidRPr="000C156A" w:rsidRDefault="00686EC7" w:rsidP="00141BAA">
            <w:pPr>
              <w:rPr>
                <w:rFonts w:ascii="Times New Roman" w:hAnsi="Times New Roman"/>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0209108C" w14:textId="77777777" w:rsidR="00686EC7" w:rsidRPr="000C156A" w:rsidRDefault="00686EC7" w:rsidP="00141BAA">
            <w:pPr>
              <w:rPr>
                <w:rFonts w:ascii="Times New Roman" w:hAnsi="Times New Roman"/>
                <w:sz w:val="22"/>
                <w:szCs w:val="22"/>
              </w:rPr>
            </w:pPr>
          </w:p>
        </w:tc>
      </w:tr>
      <w:tr w:rsidR="00686EC7" w:rsidRPr="000C156A" w14:paraId="65848F6D" w14:textId="77777777" w:rsidTr="00D93F72">
        <w:trPr>
          <w:trHeight w:val="135"/>
          <w:jc w:val="center"/>
        </w:trPr>
        <w:tc>
          <w:tcPr>
            <w:tcW w:w="4531" w:type="dxa"/>
            <w:tcBorders>
              <w:top w:val="nil"/>
              <w:left w:val="single" w:sz="4" w:space="0" w:color="auto"/>
              <w:bottom w:val="nil"/>
              <w:right w:val="single" w:sz="4" w:space="0" w:color="auto"/>
            </w:tcBorders>
            <w:shd w:val="clear" w:color="auto" w:fill="auto"/>
            <w:vAlign w:val="bottom"/>
            <w:hideMark/>
          </w:tcPr>
          <w:p w14:paraId="30DAF220" w14:textId="05DC3534"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服务促进机构（</w:t>
            </w:r>
            <w:r w:rsidR="00686EC7" w:rsidRPr="000C156A">
              <w:rPr>
                <w:rFonts w:cs="Calibri"/>
                <w:sz w:val="22"/>
                <w:szCs w:val="22"/>
                <w:lang w:val="fr-FR" w:eastAsia="zh-CN"/>
              </w:rPr>
              <w:t>APAUS</w:t>
            </w:r>
            <w:r w:rsidR="00686EC7" w:rsidRPr="000C156A">
              <w:rPr>
                <w:rFonts w:cs="Calibri" w:hint="eastAsia"/>
                <w:sz w:val="22"/>
                <w:szCs w:val="22"/>
                <w:lang w:val="fr-FR" w:eastAsia="zh-CN"/>
              </w:rPr>
              <w:t>），努瓦克肖特</w:t>
            </w:r>
          </w:p>
        </w:tc>
        <w:tc>
          <w:tcPr>
            <w:tcW w:w="1445" w:type="dxa"/>
            <w:tcBorders>
              <w:top w:val="nil"/>
              <w:left w:val="single" w:sz="4" w:space="0" w:color="auto"/>
              <w:bottom w:val="nil"/>
              <w:right w:val="single" w:sz="4" w:space="0" w:color="auto"/>
            </w:tcBorders>
            <w:shd w:val="clear" w:color="auto" w:fill="auto"/>
            <w:noWrap/>
            <w:vAlign w:val="bottom"/>
            <w:hideMark/>
          </w:tcPr>
          <w:p w14:paraId="5A8773F7" w14:textId="77777777" w:rsidR="00686EC7" w:rsidRPr="000C156A" w:rsidRDefault="00686EC7" w:rsidP="00141BAA">
            <w:pPr>
              <w:jc w:val="center"/>
              <w:rPr>
                <w:rFonts w:cs="Calibri"/>
                <w:sz w:val="22"/>
                <w:szCs w:val="22"/>
              </w:rPr>
            </w:pPr>
            <w:r w:rsidRPr="000C156A">
              <w:rPr>
                <w:rFonts w:cs="Calibri"/>
                <w:sz w:val="22"/>
                <w:szCs w:val="22"/>
              </w:rPr>
              <w:t>2012</w:t>
            </w:r>
          </w:p>
        </w:tc>
        <w:tc>
          <w:tcPr>
            <w:tcW w:w="1446" w:type="dxa"/>
            <w:tcBorders>
              <w:top w:val="nil"/>
              <w:left w:val="single" w:sz="4" w:space="0" w:color="auto"/>
              <w:bottom w:val="nil"/>
              <w:right w:val="single" w:sz="4" w:space="0" w:color="auto"/>
            </w:tcBorders>
            <w:shd w:val="clear" w:color="auto" w:fill="auto"/>
            <w:noWrap/>
            <w:vAlign w:val="bottom"/>
            <w:hideMark/>
          </w:tcPr>
          <w:p w14:paraId="1978A95E" w14:textId="4ACC101D" w:rsidR="00686EC7" w:rsidRPr="000C156A" w:rsidRDefault="00686EC7" w:rsidP="00141BAA">
            <w:pPr>
              <w:jc w:val="right"/>
              <w:rPr>
                <w:rFonts w:cs="Calibri"/>
                <w:sz w:val="22"/>
                <w:szCs w:val="22"/>
              </w:rPr>
            </w:pPr>
            <w:r w:rsidRPr="000C156A">
              <w:rPr>
                <w:rFonts w:cs="Calibri"/>
                <w:sz w:val="22"/>
                <w:szCs w:val="22"/>
              </w:rPr>
              <w:t>6</w:t>
            </w:r>
            <w:r w:rsidR="003F0401" w:rsidRPr="000C156A">
              <w:rPr>
                <w:rFonts w:cs="Calibri"/>
                <w:sz w:val="22"/>
                <w:szCs w:val="22"/>
              </w:rPr>
              <w:t xml:space="preserve"> </w:t>
            </w:r>
            <w:r w:rsidRPr="000C156A">
              <w:rPr>
                <w:rFonts w:cs="Calibri"/>
                <w:sz w:val="22"/>
                <w:szCs w:val="22"/>
              </w:rPr>
              <w:t>573.15</w:t>
            </w:r>
          </w:p>
        </w:tc>
        <w:tc>
          <w:tcPr>
            <w:tcW w:w="1446" w:type="dxa"/>
            <w:tcBorders>
              <w:top w:val="nil"/>
              <w:left w:val="single" w:sz="4" w:space="0" w:color="auto"/>
              <w:bottom w:val="nil"/>
              <w:right w:val="single" w:sz="4" w:space="0" w:color="auto"/>
            </w:tcBorders>
            <w:shd w:val="clear" w:color="auto" w:fill="auto"/>
            <w:noWrap/>
            <w:vAlign w:val="bottom"/>
            <w:hideMark/>
          </w:tcPr>
          <w:p w14:paraId="45063E6F" w14:textId="77777777" w:rsidR="00686EC7" w:rsidRPr="000C156A" w:rsidRDefault="00686EC7" w:rsidP="00141BAA">
            <w:pPr>
              <w:jc w:val="right"/>
              <w:rPr>
                <w:rFonts w:cs="Calibri"/>
                <w:sz w:val="22"/>
                <w:szCs w:val="22"/>
              </w:rPr>
            </w:pPr>
            <w:r w:rsidRPr="000C156A">
              <w:rPr>
                <w:rFonts w:cs="Calibri"/>
                <w:sz w:val="22"/>
                <w:szCs w:val="22"/>
              </w:rPr>
              <w:t>0.00</w:t>
            </w:r>
          </w:p>
        </w:tc>
        <w:tc>
          <w:tcPr>
            <w:tcW w:w="1446" w:type="dxa"/>
            <w:tcBorders>
              <w:top w:val="nil"/>
              <w:left w:val="single" w:sz="4" w:space="0" w:color="auto"/>
              <w:bottom w:val="nil"/>
              <w:right w:val="single" w:sz="4" w:space="0" w:color="auto"/>
            </w:tcBorders>
            <w:shd w:val="clear" w:color="auto" w:fill="auto"/>
            <w:noWrap/>
            <w:vAlign w:val="bottom"/>
            <w:hideMark/>
          </w:tcPr>
          <w:p w14:paraId="1B960683" w14:textId="187F0041" w:rsidR="00686EC7" w:rsidRPr="000C156A" w:rsidRDefault="00686EC7" w:rsidP="00141BAA">
            <w:pPr>
              <w:jc w:val="right"/>
              <w:rPr>
                <w:rFonts w:cs="Calibri"/>
                <w:sz w:val="22"/>
                <w:szCs w:val="22"/>
              </w:rPr>
            </w:pPr>
            <w:r w:rsidRPr="000C156A">
              <w:rPr>
                <w:rFonts w:cs="Calibri"/>
                <w:sz w:val="22"/>
                <w:szCs w:val="22"/>
              </w:rPr>
              <w:t>6</w:t>
            </w:r>
            <w:r w:rsidR="003F0401" w:rsidRPr="000C156A">
              <w:rPr>
                <w:rFonts w:cs="Calibri"/>
                <w:sz w:val="22"/>
                <w:szCs w:val="22"/>
              </w:rPr>
              <w:t xml:space="preserve"> </w:t>
            </w:r>
            <w:r w:rsidRPr="000C156A">
              <w:rPr>
                <w:rFonts w:cs="Calibri"/>
                <w:sz w:val="22"/>
                <w:szCs w:val="22"/>
              </w:rPr>
              <w:t>573.15</w:t>
            </w:r>
          </w:p>
        </w:tc>
      </w:tr>
      <w:tr w:rsidR="00686EC7" w:rsidRPr="000C156A" w14:paraId="38767E64" w14:textId="77777777" w:rsidTr="009F10DA">
        <w:trPr>
          <w:trHeight w:val="226"/>
          <w:jc w:val="center"/>
        </w:trPr>
        <w:tc>
          <w:tcPr>
            <w:tcW w:w="4531" w:type="dxa"/>
            <w:tcBorders>
              <w:top w:val="nil"/>
              <w:left w:val="single" w:sz="4" w:space="0" w:color="auto"/>
              <w:bottom w:val="nil"/>
              <w:right w:val="single" w:sz="4" w:space="0" w:color="auto"/>
            </w:tcBorders>
            <w:shd w:val="clear" w:color="auto" w:fill="auto"/>
            <w:vAlign w:val="bottom"/>
            <w:hideMark/>
          </w:tcPr>
          <w:p w14:paraId="297F3F83" w14:textId="48E7BD44"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Chinguitel SA</w:t>
            </w:r>
            <w:r w:rsidR="00686EC7" w:rsidRPr="000C156A">
              <w:rPr>
                <w:rFonts w:cs="Calibri" w:hint="eastAsia"/>
                <w:sz w:val="22"/>
                <w:szCs w:val="22"/>
                <w:lang w:val="fr-FR"/>
              </w:rPr>
              <w:t>，努瓦克肖特</w:t>
            </w:r>
          </w:p>
        </w:tc>
        <w:tc>
          <w:tcPr>
            <w:tcW w:w="1445" w:type="dxa"/>
            <w:tcBorders>
              <w:top w:val="nil"/>
              <w:left w:val="single" w:sz="4" w:space="0" w:color="auto"/>
              <w:bottom w:val="nil"/>
              <w:right w:val="single" w:sz="4" w:space="0" w:color="auto"/>
            </w:tcBorders>
            <w:shd w:val="clear" w:color="auto" w:fill="auto"/>
            <w:noWrap/>
            <w:vAlign w:val="bottom"/>
            <w:hideMark/>
          </w:tcPr>
          <w:p w14:paraId="11B4422F" w14:textId="77777777" w:rsidR="00686EC7" w:rsidRPr="000C156A" w:rsidRDefault="00686EC7" w:rsidP="00141BAA">
            <w:pPr>
              <w:jc w:val="center"/>
              <w:rPr>
                <w:rFonts w:cs="Calibri"/>
                <w:sz w:val="22"/>
                <w:szCs w:val="22"/>
              </w:rPr>
            </w:pPr>
            <w:r w:rsidRPr="000C156A">
              <w:rPr>
                <w:rFonts w:cs="Calibri"/>
                <w:sz w:val="22"/>
                <w:szCs w:val="22"/>
              </w:rPr>
              <w:t>2013-2015</w:t>
            </w:r>
          </w:p>
        </w:tc>
        <w:tc>
          <w:tcPr>
            <w:tcW w:w="1446" w:type="dxa"/>
            <w:tcBorders>
              <w:top w:val="nil"/>
              <w:left w:val="single" w:sz="4" w:space="0" w:color="auto"/>
              <w:bottom w:val="nil"/>
              <w:right w:val="single" w:sz="4" w:space="0" w:color="auto"/>
            </w:tcBorders>
            <w:shd w:val="clear" w:color="auto" w:fill="auto"/>
            <w:noWrap/>
            <w:vAlign w:val="bottom"/>
            <w:hideMark/>
          </w:tcPr>
          <w:p w14:paraId="4B5BC463" w14:textId="51E021C0" w:rsidR="00686EC7" w:rsidRPr="000C156A" w:rsidRDefault="00686EC7" w:rsidP="00141BAA">
            <w:pPr>
              <w:jc w:val="right"/>
              <w:rPr>
                <w:rFonts w:cs="Calibri"/>
                <w:sz w:val="22"/>
                <w:szCs w:val="22"/>
              </w:rPr>
            </w:pPr>
            <w:r w:rsidRPr="000C156A">
              <w:rPr>
                <w:rFonts w:cs="Calibri"/>
                <w:sz w:val="22"/>
                <w:szCs w:val="22"/>
              </w:rPr>
              <w:t>5</w:t>
            </w:r>
            <w:r w:rsidR="003F0401" w:rsidRPr="000C156A">
              <w:rPr>
                <w:rFonts w:cs="Calibri"/>
                <w:sz w:val="22"/>
                <w:szCs w:val="22"/>
              </w:rPr>
              <w:t xml:space="preserve"> </w:t>
            </w:r>
            <w:r w:rsidRPr="000C156A">
              <w:rPr>
                <w:rFonts w:cs="Calibri"/>
                <w:sz w:val="22"/>
                <w:szCs w:val="22"/>
              </w:rPr>
              <w:t>566.65</w:t>
            </w:r>
          </w:p>
        </w:tc>
        <w:tc>
          <w:tcPr>
            <w:tcW w:w="1446" w:type="dxa"/>
            <w:tcBorders>
              <w:top w:val="nil"/>
              <w:left w:val="single" w:sz="4" w:space="0" w:color="auto"/>
              <w:bottom w:val="nil"/>
              <w:right w:val="single" w:sz="4" w:space="0" w:color="auto"/>
            </w:tcBorders>
            <w:shd w:val="clear" w:color="auto" w:fill="auto"/>
            <w:noWrap/>
            <w:vAlign w:val="bottom"/>
            <w:hideMark/>
          </w:tcPr>
          <w:p w14:paraId="1A89F677" w14:textId="77777777" w:rsidR="00686EC7" w:rsidRPr="000C156A" w:rsidRDefault="00686EC7" w:rsidP="00141BAA">
            <w:pPr>
              <w:jc w:val="right"/>
              <w:rPr>
                <w:rFonts w:cs="Calibri"/>
                <w:sz w:val="22"/>
                <w:szCs w:val="22"/>
              </w:rPr>
            </w:pPr>
            <w:r w:rsidRPr="000C156A">
              <w:rPr>
                <w:rFonts w:cs="Calibri"/>
                <w:sz w:val="22"/>
                <w:szCs w:val="22"/>
              </w:rPr>
              <w:t>0.00</w:t>
            </w:r>
          </w:p>
        </w:tc>
        <w:tc>
          <w:tcPr>
            <w:tcW w:w="1446" w:type="dxa"/>
            <w:tcBorders>
              <w:top w:val="nil"/>
              <w:left w:val="single" w:sz="4" w:space="0" w:color="auto"/>
              <w:bottom w:val="nil"/>
              <w:right w:val="single" w:sz="4" w:space="0" w:color="auto"/>
            </w:tcBorders>
            <w:shd w:val="clear" w:color="auto" w:fill="auto"/>
            <w:noWrap/>
            <w:vAlign w:val="bottom"/>
            <w:hideMark/>
          </w:tcPr>
          <w:p w14:paraId="39C0E74E" w14:textId="3BD83C10" w:rsidR="00686EC7" w:rsidRPr="000C156A" w:rsidRDefault="00686EC7" w:rsidP="00141BAA">
            <w:pPr>
              <w:jc w:val="right"/>
              <w:rPr>
                <w:rFonts w:cs="Calibri"/>
                <w:sz w:val="22"/>
                <w:szCs w:val="22"/>
              </w:rPr>
            </w:pPr>
            <w:r w:rsidRPr="000C156A">
              <w:rPr>
                <w:rFonts w:cs="Calibri"/>
                <w:sz w:val="22"/>
                <w:szCs w:val="22"/>
              </w:rPr>
              <w:t>5</w:t>
            </w:r>
            <w:r w:rsidR="003F0401" w:rsidRPr="000C156A">
              <w:rPr>
                <w:rFonts w:cs="Calibri"/>
                <w:sz w:val="22"/>
                <w:szCs w:val="22"/>
              </w:rPr>
              <w:t xml:space="preserve"> </w:t>
            </w:r>
            <w:r w:rsidRPr="000C156A">
              <w:rPr>
                <w:rFonts w:cs="Calibri"/>
                <w:sz w:val="22"/>
                <w:szCs w:val="22"/>
              </w:rPr>
              <w:t>566.65</w:t>
            </w:r>
          </w:p>
        </w:tc>
      </w:tr>
      <w:tr w:rsidR="00686EC7" w:rsidRPr="000C156A" w14:paraId="4DF25CA3" w14:textId="77777777" w:rsidTr="00D93F72">
        <w:trPr>
          <w:trHeight w:val="58"/>
          <w:jc w:val="center"/>
        </w:trPr>
        <w:tc>
          <w:tcPr>
            <w:tcW w:w="4531" w:type="dxa"/>
            <w:tcBorders>
              <w:top w:val="nil"/>
              <w:left w:val="single" w:sz="4" w:space="0" w:color="auto"/>
              <w:bottom w:val="nil"/>
              <w:right w:val="single" w:sz="4" w:space="0" w:color="auto"/>
            </w:tcBorders>
            <w:shd w:val="clear" w:color="auto" w:fill="auto"/>
            <w:vAlign w:val="bottom"/>
            <w:hideMark/>
          </w:tcPr>
          <w:p w14:paraId="34DBA11D" w14:textId="219C0815"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hint="eastAsia"/>
                <w:sz w:val="22"/>
                <w:szCs w:val="22"/>
                <w:lang w:val="fr-FR"/>
              </w:rPr>
              <w:t>毛里塔尼亚电信公司（</w:t>
            </w:r>
            <w:r w:rsidR="00686EC7" w:rsidRPr="000C156A">
              <w:rPr>
                <w:rFonts w:cs="Calibri"/>
                <w:sz w:val="22"/>
                <w:szCs w:val="22"/>
                <w:lang w:val="fr-FR"/>
              </w:rPr>
              <w:t>MAURITEL S.A.</w:t>
            </w:r>
            <w:r w:rsidR="00686EC7" w:rsidRPr="000C156A">
              <w:rPr>
                <w:rFonts w:cs="Calibri" w:hint="eastAsia"/>
                <w:sz w:val="22"/>
                <w:szCs w:val="22"/>
                <w:lang w:val="fr-FR"/>
              </w:rPr>
              <w:t>），努瓦克肖特</w:t>
            </w:r>
          </w:p>
        </w:tc>
        <w:tc>
          <w:tcPr>
            <w:tcW w:w="1445" w:type="dxa"/>
            <w:tcBorders>
              <w:top w:val="nil"/>
              <w:left w:val="single" w:sz="4" w:space="0" w:color="auto"/>
              <w:bottom w:val="nil"/>
              <w:right w:val="single" w:sz="4" w:space="0" w:color="auto"/>
            </w:tcBorders>
            <w:shd w:val="clear" w:color="auto" w:fill="auto"/>
            <w:noWrap/>
            <w:vAlign w:val="bottom"/>
            <w:hideMark/>
          </w:tcPr>
          <w:p w14:paraId="68C0A6C1" w14:textId="77777777" w:rsidR="00686EC7" w:rsidRPr="000C156A" w:rsidRDefault="00686EC7" w:rsidP="00141BAA">
            <w:pPr>
              <w:jc w:val="center"/>
              <w:rPr>
                <w:rFonts w:cs="Calibri"/>
                <w:sz w:val="22"/>
                <w:szCs w:val="22"/>
              </w:rPr>
            </w:pPr>
            <w:r w:rsidRPr="000C156A">
              <w:rPr>
                <w:rFonts w:cs="Calibri"/>
                <w:sz w:val="22"/>
                <w:szCs w:val="22"/>
              </w:rPr>
              <w:t>2008</w:t>
            </w:r>
          </w:p>
        </w:tc>
        <w:tc>
          <w:tcPr>
            <w:tcW w:w="1446" w:type="dxa"/>
            <w:tcBorders>
              <w:top w:val="nil"/>
              <w:left w:val="single" w:sz="4" w:space="0" w:color="auto"/>
              <w:bottom w:val="nil"/>
              <w:right w:val="single" w:sz="4" w:space="0" w:color="auto"/>
            </w:tcBorders>
            <w:shd w:val="clear" w:color="auto" w:fill="auto"/>
            <w:noWrap/>
            <w:vAlign w:val="bottom"/>
            <w:hideMark/>
          </w:tcPr>
          <w:p w14:paraId="41CA366B" w14:textId="17F6C0FF" w:rsidR="00686EC7" w:rsidRPr="000C156A" w:rsidRDefault="00686EC7" w:rsidP="00141BAA">
            <w:pPr>
              <w:jc w:val="right"/>
              <w:rPr>
                <w:rFonts w:cs="Calibri"/>
                <w:sz w:val="22"/>
                <w:szCs w:val="22"/>
              </w:rPr>
            </w:pPr>
            <w:r w:rsidRPr="000C156A">
              <w:rPr>
                <w:rFonts w:cs="Calibri"/>
                <w:sz w:val="22"/>
                <w:szCs w:val="22"/>
              </w:rPr>
              <w:t>74</w:t>
            </w:r>
            <w:r w:rsidR="003F0401" w:rsidRPr="000C156A">
              <w:rPr>
                <w:rFonts w:cs="Calibri"/>
                <w:sz w:val="22"/>
                <w:szCs w:val="22"/>
              </w:rPr>
              <w:t xml:space="preserve"> </w:t>
            </w:r>
            <w:r w:rsidRPr="000C156A">
              <w:rPr>
                <w:rFonts w:cs="Calibri"/>
                <w:sz w:val="22"/>
                <w:szCs w:val="22"/>
              </w:rPr>
              <w:t>685.85</w:t>
            </w:r>
          </w:p>
        </w:tc>
        <w:tc>
          <w:tcPr>
            <w:tcW w:w="1446" w:type="dxa"/>
            <w:tcBorders>
              <w:top w:val="nil"/>
              <w:left w:val="single" w:sz="4" w:space="0" w:color="auto"/>
              <w:bottom w:val="nil"/>
              <w:right w:val="single" w:sz="4" w:space="0" w:color="auto"/>
            </w:tcBorders>
            <w:shd w:val="clear" w:color="auto" w:fill="auto"/>
            <w:noWrap/>
            <w:vAlign w:val="bottom"/>
            <w:hideMark/>
          </w:tcPr>
          <w:p w14:paraId="05968DD4" w14:textId="77777777" w:rsidR="00686EC7" w:rsidRPr="000C156A" w:rsidRDefault="00686EC7" w:rsidP="00141BAA">
            <w:pPr>
              <w:jc w:val="right"/>
              <w:rPr>
                <w:rFonts w:cs="Calibri"/>
                <w:sz w:val="22"/>
                <w:szCs w:val="22"/>
              </w:rPr>
            </w:pPr>
            <w:r w:rsidRPr="000C156A">
              <w:rPr>
                <w:rFonts w:cs="Calibri"/>
                <w:sz w:val="22"/>
                <w:szCs w:val="22"/>
              </w:rPr>
              <w:t>0.00</w:t>
            </w:r>
          </w:p>
        </w:tc>
        <w:tc>
          <w:tcPr>
            <w:tcW w:w="1446" w:type="dxa"/>
            <w:tcBorders>
              <w:top w:val="nil"/>
              <w:left w:val="single" w:sz="4" w:space="0" w:color="auto"/>
              <w:bottom w:val="nil"/>
              <w:right w:val="single" w:sz="4" w:space="0" w:color="auto"/>
            </w:tcBorders>
            <w:shd w:val="clear" w:color="auto" w:fill="auto"/>
            <w:noWrap/>
            <w:vAlign w:val="bottom"/>
            <w:hideMark/>
          </w:tcPr>
          <w:p w14:paraId="7BCBA127" w14:textId="5A4695D5" w:rsidR="00686EC7" w:rsidRPr="000C156A" w:rsidRDefault="00686EC7" w:rsidP="00141BAA">
            <w:pPr>
              <w:jc w:val="right"/>
              <w:rPr>
                <w:rFonts w:cs="Calibri"/>
                <w:sz w:val="22"/>
                <w:szCs w:val="22"/>
              </w:rPr>
            </w:pPr>
            <w:r w:rsidRPr="000C156A">
              <w:rPr>
                <w:rFonts w:cs="Calibri"/>
                <w:sz w:val="22"/>
                <w:szCs w:val="22"/>
              </w:rPr>
              <w:t>74</w:t>
            </w:r>
            <w:r w:rsidR="003F0401" w:rsidRPr="000C156A">
              <w:rPr>
                <w:rFonts w:cs="Calibri"/>
                <w:sz w:val="22"/>
                <w:szCs w:val="22"/>
              </w:rPr>
              <w:t xml:space="preserve"> </w:t>
            </w:r>
            <w:r w:rsidRPr="000C156A">
              <w:rPr>
                <w:rFonts w:cs="Calibri"/>
                <w:sz w:val="22"/>
                <w:szCs w:val="22"/>
              </w:rPr>
              <w:t>685.85</w:t>
            </w:r>
          </w:p>
        </w:tc>
      </w:tr>
      <w:tr w:rsidR="00686EC7" w:rsidRPr="000C156A" w14:paraId="5F125D81" w14:textId="77777777" w:rsidTr="00D93F72">
        <w:trPr>
          <w:trHeight w:val="300"/>
          <w:jc w:val="center"/>
        </w:trPr>
        <w:tc>
          <w:tcPr>
            <w:tcW w:w="4531" w:type="dxa"/>
            <w:tcBorders>
              <w:top w:val="nil"/>
              <w:left w:val="single" w:sz="4" w:space="0" w:color="auto"/>
              <w:bottom w:val="nil"/>
              <w:right w:val="single" w:sz="4" w:space="0" w:color="auto"/>
            </w:tcBorders>
            <w:shd w:val="clear" w:color="auto" w:fill="auto"/>
            <w:vAlign w:val="bottom"/>
            <w:hideMark/>
          </w:tcPr>
          <w:p w14:paraId="65D8C2A3" w14:textId="77777777" w:rsidR="00686EC7" w:rsidRPr="000C156A" w:rsidRDefault="00686EC7" w:rsidP="00141BAA">
            <w:pPr>
              <w:spacing w:before="0"/>
              <w:rPr>
                <w:b/>
                <w:bCs/>
                <w:sz w:val="22"/>
                <w:szCs w:val="22"/>
              </w:rPr>
            </w:pPr>
            <w:r w:rsidRPr="000C156A">
              <w:rPr>
                <w:rFonts w:hint="eastAsia"/>
                <w:b/>
                <w:bCs/>
                <w:sz w:val="22"/>
                <w:szCs w:val="22"/>
              </w:rPr>
              <w:t>墨西哥</w:t>
            </w:r>
          </w:p>
        </w:tc>
        <w:tc>
          <w:tcPr>
            <w:tcW w:w="1445" w:type="dxa"/>
            <w:tcBorders>
              <w:top w:val="nil"/>
              <w:left w:val="single" w:sz="4" w:space="0" w:color="auto"/>
              <w:bottom w:val="nil"/>
              <w:right w:val="single" w:sz="4" w:space="0" w:color="auto"/>
            </w:tcBorders>
            <w:shd w:val="clear" w:color="auto" w:fill="auto"/>
            <w:noWrap/>
            <w:vAlign w:val="bottom"/>
            <w:hideMark/>
          </w:tcPr>
          <w:p w14:paraId="47AFD6DC" w14:textId="77777777" w:rsidR="00686EC7" w:rsidRPr="000C156A" w:rsidRDefault="00686EC7" w:rsidP="00141BAA">
            <w:pPr>
              <w:rPr>
                <w:rFonts w:cs="Calibri"/>
                <w:b/>
                <w:bCs/>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3FD28220" w14:textId="77777777" w:rsidR="00686EC7" w:rsidRPr="000C156A" w:rsidRDefault="00686EC7" w:rsidP="00141BAA">
            <w:pPr>
              <w:jc w:val="center"/>
              <w:rPr>
                <w:rFonts w:ascii="Times New Roman" w:hAnsi="Times New Roman"/>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09D6D50D" w14:textId="77777777" w:rsidR="00686EC7" w:rsidRPr="000C156A" w:rsidRDefault="00686EC7" w:rsidP="00141BAA">
            <w:pPr>
              <w:rPr>
                <w:rFonts w:ascii="Times New Roman" w:hAnsi="Times New Roman"/>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11B81BE2" w14:textId="77777777" w:rsidR="00686EC7" w:rsidRPr="000C156A" w:rsidRDefault="00686EC7" w:rsidP="00141BAA">
            <w:pPr>
              <w:rPr>
                <w:rFonts w:ascii="Times New Roman" w:hAnsi="Times New Roman"/>
                <w:sz w:val="22"/>
                <w:szCs w:val="22"/>
              </w:rPr>
            </w:pPr>
          </w:p>
        </w:tc>
      </w:tr>
      <w:tr w:rsidR="00686EC7" w:rsidRPr="000C156A" w14:paraId="49A7F05E" w14:textId="77777777" w:rsidTr="00D93F72">
        <w:trPr>
          <w:trHeight w:val="300"/>
          <w:jc w:val="center"/>
        </w:trPr>
        <w:tc>
          <w:tcPr>
            <w:tcW w:w="4531" w:type="dxa"/>
            <w:tcBorders>
              <w:top w:val="nil"/>
              <w:left w:val="single" w:sz="4" w:space="0" w:color="auto"/>
              <w:bottom w:val="nil"/>
              <w:right w:val="single" w:sz="4" w:space="0" w:color="auto"/>
            </w:tcBorders>
            <w:shd w:val="clear" w:color="auto" w:fill="auto"/>
            <w:vAlign w:val="bottom"/>
            <w:hideMark/>
          </w:tcPr>
          <w:p w14:paraId="5E9A04BD" w14:textId="1AAC178C"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CANITEC</w:t>
            </w:r>
            <w:r w:rsidR="00686EC7" w:rsidRPr="000C156A">
              <w:rPr>
                <w:rFonts w:cs="Calibri" w:hint="eastAsia"/>
                <w:sz w:val="22"/>
                <w:szCs w:val="22"/>
                <w:lang w:val="fr-FR"/>
              </w:rPr>
              <w:t>，墨西哥城</w:t>
            </w:r>
          </w:p>
        </w:tc>
        <w:tc>
          <w:tcPr>
            <w:tcW w:w="1445" w:type="dxa"/>
            <w:tcBorders>
              <w:top w:val="nil"/>
              <w:left w:val="single" w:sz="4" w:space="0" w:color="auto"/>
              <w:bottom w:val="nil"/>
              <w:right w:val="single" w:sz="4" w:space="0" w:color="auto"/>
            </w:tcBorders>
            <w:shd w:val="clear" w:color="auto" w:fill="auto"/>
            <w:noWrap/>
            <w:vAlign w:val="bottom"/>
            <w:hideMark/>
          </w:tcPr>
          <w:p w14:paraId="55B4AF8F" w14:textId="77777777" w:rsidR="00686EC7" w:rsidRPr="000C156A" w:rsidRDefault="00686EC7" w:rsidP="00141BAA">
            <w:pPr>
              <w:jc w:val="center"/>
              <w:rPr>
                <w:rFonts w:cs="Calibri"/>
                <w:sz w:val="22"/>
                <w:szCs w:val="22"/>
              </w:rPr>
            </w:pPr>
            <w:r w:rsidRPr="000C156A">
              <w:rPr>
                <w:rFonts w:cs="Calibri"/>
                <w:sz w:val="22"/>
                <w:szCs w:val="22"/>
              </w:rPr>
              <w:t>2011-2013</w:t>
            </w:r>
          </w:p>
        </w:tc>
        <w:tc>
          <w:tcPr>
            <w:tcW w:w="1446" w:type="dxa"/>
            <w:tcBorders>
              <w:top w:val="nil"/>
              <w:left w:val="single" w:sz="4" w:space="0" w:color="auto"/>
              <w:bottom w:val="nil"/>
              <w:right w:val="single" w:sz="4" w:space="0" w:color="auto"/>
            </w:tcBorders>
            <w:shd w:val="clear" w:color="auto" w:fill="auto"/>
            <w:noWrap/>
            <w:vAlign w:val="bottom"/>
            <w:hideMark/>
          </w:tcPr>
          <w:p w14:paraId="0FBFE62E" w14:textId="14452EA4" w:rsidR="00686EC7" w:rsidRPr="000C156A" w:rsidRDefault="00686EC7" w:rsidP="00141BAA">
            <w:pPr>
              <w:jc w:val="right"/>
              <w:rPr>
                <w:rFonts w:cs="Calibri"/>
                <w:sz w:val="22"/>
                <w:szCs w:val="22"/>
              </w:rPr>
            </w:pPr>
            <w:r w:rsidRPr="000C156A">
              <w:rPr>
                <w:rFonts w:cs="Calibri"/>
                <w:sz w:val="22"/>
                <w:szCs w:val="22"/>
              </w:rPr>
              <w:t>6</w:t>
            </w:r>
            <w:r w:rsidR="003F0401" w:rsidRPr="000C156A">
              <w:rPr>
                <w:rFonts w:cs="Calibri"/>
                <w:sz w:val="22"/>
                <w:szCs w:val="22"/>
              </w:rPr>
              <w:t xml:space="preserve"> </w:t>
            </w:r>
            <w:r w:rsidRPr="000C156A">
              <w:rPr>
                <w:rFonts w:cs="Calibri"/>
                <w:sz w:val="22"/>
                <w:szCs w:val="22"/>
              </w:rPr>
              <w:t>379.95</w:t>
            </w:r>
          </w:p>
        </w:tc>
        <w:tc>
          <w:tcPr>
            <w:tcW w:w="1446" w:type="dxa"/>
            <w:tcBorders>
              <w:top w:val="nil"/>
              <w:left w:val="single" w:sz="4" w:space="0" w:color="auto"/>
              <w:bottom w:val="nil"/>
              <w:right w:val="single" w:sz="4" w:space="0" w:color="auto"/>
            </w:tcBorders>
            <w:shd w:val="clear" w:color="auto" w:fill="auto"/>
            <w:noWrap/>
            <w:vAlign w:val="bottom"/>
            <w:hideMark/>
          </w:tcPr>
          <w:p w14:paraId="4FEE3565" w14:textId="77777777" w:rsidR="00686EC7" w:rsidRPr="000C156A" w:rsidRDefault="00686EC7" w:rsidP="00141BAA">
            <w:pPr>
              <w:jc w:val="right"/>
              <w:rPr>
                <w:rFonts w:cs="Calibri"/>
                <w:sz w:val="22"/>
                <w:szCs w:val="22"/>
              </w:rPr>
            </w:pPr>
            <w:r w:rsidRPr="000C156A">
              <w:rPr>
                <w:rFonts w:cs="Calibri"/>
                <w:sz w:val="22"/>
                <w:szCs w:val="22"/>
              </w:rPr>
              <w:t>0.00</w:t>
            </w:r>
          </w:p>
        </w:tc>
        <w:tc>
          <w:tcPr>
            <w:tcW w:w="1446" w:type="dxa"/>
            <w:tcBorders>
              <w:top w:val="nil"/>
              <w:left w:val="single" w:sz="4" w:space="0" w:color="auto"/>
              <w:bottom w:val="nil"/>
              <w:right w:val="single" w:sz="4" w:space="0" w:color="auto"/>
            </w:tcBorders>
            <w:shd w:val="clear" w:color="auto" w:fill="auto"/>
            <w:noWrap/>
            <w:vAlign w:val="bottom"/>
            <w:hideMark/>
          </w:tcPr>
          <w:p w14:paraId="008356DC" w14:textId="3C5EFA99" w:rsidR="00686EC7" w:rsidRPr="000C156A" w:rsidRDefault="00686EC7" w:rsidP="00141BAA">
            <w:pPr>
              <w:jc w:val="right"/>
              <w:rPr>
                <w:rFonts w:cs="Calibri"/>
                <w:sz w:val="22"/>
                <w:szCs w:val="22"/>
              </w:rPr>
            </w:pPr>
            <w:r w:rsidRPr="000C156A">
              <w:rPr>
                <w:rFonts w:cs="Calibri"/>
                <w:sz w:val="22"/>
                <w:szCs w:val="22"/>
              </w:rPr>
              <w:t>6</w:t>
            </w:r>
            <w:r w:rsidR="003F0401" w:rsidRPr="000C156A">
              <w:rPr>
                <w:rFonts w:cs="Calibri"/>
                <w:sz w:val="22"/>
                <w:szCs w:val="22"/>
              </w:rPr>
              <w:t xml:space="preserve"> </w:t>
            </w:r>
            <w:r w:rsidRPr="000C156A">
              <w:rPr>
                <w:rFonts w:cs="Calibri"/>
                <w:sz w:val="22"/>
                <w:szCs w:val="22"/>
              </w:rPr>
              <w:t>379.95</w:t>
            </w:r>
          </w:p>
        </w:tc>
      </w:tr>
      <w:tr w:rsidR="00686EC7" w:rsidRPr="000C156A" w14:paraId="01843908" w14:textId="77777777" w:rsidTr="00D93F72">
        <w:trPr>
          <w:trHeight w:val="58"/>
          <w:jc w:val="center"/>
        </w:trPr>
        <w:tc>
          <w:tcPr>
            <w:tcW w:w="4531" w:type="dxa"/>
            <w:tcBorders>
              <w:top w:val="nil"/>
              <w:left w:val="single" w:sz="4" w:space="0" w:color="auto"/>
              <w:bottom w:val="nil"/>
              <w:right w:val="single" w:sz="4" w:space="0" w:color="auto"/>
            </w:tcBorders>
            <w:shd w:val="clear" w:color="auto" w:fill="auto"/>
            <w:vAlign w:val="bottom"/>
            <w:hideMark/>
          </w:tcPr>
          <w:p w14:paraId="4ABD13B3" w14:textId="63CCAC16"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电气工程学院，墨西哥城</w:t>
            </w:r>
          </w:p>
        </w:tc>
        <w:tc>
          <w:tcPr>
            <w:tcW w:w="1445" w:type="dxa"/>
            <w:tcBorders>
              <w:top w:val="nil"/>
              <w:left w:val="single" w:sz="4" w:space="0" w:color="auto"/>
              <w:bottom w:val="nil"/>
              <w:right w:val="single" w:sz="4" w:space="0" w:color="auto"/>
            </w:tcBorders>
            <w:shd w:val="clear" w:color="auto" w:fill="auto"/>
            <w:noWrap/>
            <w:vAlign w:val="bottom"/>
            <w:hideMark/>
          </w:tcPr>
          <w:p w14:paraId="52A99F41" w14:textId="77777777" w:rsidR="00686EC7" w:rsidRPr="000C156A" w:rsidRDefault="00686EC7" w:rsidP="00141BAA">
            <w:pPr>
              <w:jc w:val="center"/>
              <w:rPr>
                <w:rFonts w:cs="Calibri"/>
                <w:sz w:val="22"/>
                <w:szCs w:val="22"/>
              </w:rPr>
            </w:pPr>
            <w:r w:rsidRPr="000C156A">
              <w:rPr>
                <w:rFonts w:cs="Calibri"/>
                <w:sz w:val="22"/>
                <w:szCs w:val="22"/>
              </w:rPr>
              <w:t>2018</w:t>
            </w:r>
          </w:p>
        </w:tc>
        <w:tc>
          <w:tcPr>
            <w:tcW w:w="1446" w:type="dxa"/>
            <w:tcBorders>
              <w:top w:val="nil"/>
              <w:left w:val="single" w:sz="4" w:space="0" w:color="auto"/>
              <w:bottom w:val="nil"/>
              <w:right w:val="single" w:sz="4" w:space="0" w:color="auto"/>
            </w:tcBorders>
            <w:shd w:val="clear" w:color="auto" w:fill="auto"/>
            <w:noWrap/>
            <w:vAlign w:val="bottom"/>
            <w:hideMark/>
          </w:tcPr>
          <w:p w14:paraId="504F69A9" w14:textId="79D83235"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316.90</w:t>
            </w:r>
          </w:p>
        </w:tc>
        <w:tc>
          <w:tcPr>
            <w:tcW w:w="1446" w:type="dxa"/>
            <w:tcBorders>
              <w:top w:val="nil"/>
              <w:left w:val="single" w:sz="4" w:space="0" w:color="auto"/>
              <w:bottom w:val="nil"/>
              <w:right w:val="single" w:sz="4" w:space="0" w:color="auto"/>
            </w:tcBorders>
            <w:shd w:val="clear" w:color="auto" w:fill="auto"/>
            <w:noWrap/>
            <w:vAlign w:val="bottom"/>
            <w:hideMark/>
          </w:tcPr>
          <w:p w14:paraId="11956B90" w14:textId="77777777" w:rsidR="00686EC7" w:rsidRPr="000C156A" w:rsidRDefault="00686EC7" w:rsidP="00141BAA">
            <w:pPr>
              <w:jc w:val="right"/>
              <w:rPr>
                <w:rFonts w:cs="Calibri"/>
                <w:sz w:val="22"/>
                <w:szCs w:val="22"/>
              </w:rPr>
            </w:pPr>
            <w:r w:rsidRPr="000C156A">
              <w:rPr>
                <w:rFonts w:cs="Calibri"/>
                <w:sz w:val="22"/>
                <w:szCs w:val="22"/>
              </w:rPr>
              <w:t>0.00</w:t>
            </w:r>
          </w:p>
        </w:tc>
        <w:tc>
          <w:tcPr>
            <w:tcW w:w="1446" w:type="dxa"/>
            <w:tcBorders>
              <w:top w:val="nil"/>
              <w:left w:val="single" w:sz="4" w:space="0" w:color="auto"/>
              <w:bottom w:val="nil"/>
              <w:right w:val="single" w:sz="4" w:space="0" w:color="auto"/>
            </w:tcBorders>
            <w:shd w:val="clear" w:color="auto" w:fill="auto"/>
            <w:noWrap/>
            <w:vAlign w:val="bottom"/>
            <w:hideMark/>
          </w:tcPr>
          <w:p w14:paraId="2C4C2DC2" w14:textId="7E5BF54A"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316.90</w:t>
            </w:r>
          </w:p>
        </w:tc>
      </w:tr>
      <w:tr w:rsidR="00686EC7" w:rsidRPr="000C156A" w14:paraId="787572D8" w14:textId="77777777" w:rsidTr="00D93F72">
        <w:trPr>
          <w:trHeight w:val="300"/>
          <w:jc w:val="center"/>
        </w:trPr>
        <w:tc>
          <w:tcPr>
            <w:tcW w:w="4531" w:type="dxa"/>
            <w:tcBorders>
              <w:top w:val="nil"/>
              <w:left w:val="single" w:sz="4" w:space="0" w:color="auto"/>
              <w:bottom w:val="nil"/>
              <w:right w:val="single" w:sz="4" w:space="0" w:color="auto"/>
            </w:tcBorders>
            <w:shd w:val="clear" w:color="auto" w:fill="auto"/>
            <w:vAlign w:val="bottom"/>
            <w:hideMark/>
          </w:tcPr>
          <w:p w14:paraId="488C9B4F" w14:textId="77777777" w:rsidR="00686EC7" w:rsidRPr="000C156A" w:rsidRDefault="00686EC7" w:rsidP="00141BAA">
            <w:pPr>
              <w:spacing w:before="0"/>
              <w:rPr>
                <w:b/>
                <w:bCs/>
                <w:sz w:val="22"/>
                <w:szCs w:val="22"/>
              </w:rPr>
            </w:pPr>
            <w:r w:rsidRPr="000C156A">
              <w:rPr>
                <w:rFonts w:hint="eastAsia"/>
                <w:b/>
                <w:bCs/>
                <w:sz w:val="22"/>
                <w:szCs w:val="22"/>
              </w:rPr>
              <w:t>荷兰</w:t>
            </w:r>
          </w:p>
        </w:tc>
        <w:tc>
          <w:tcPr>
            <w:tcW w:w="1445" w:type="dxa"/>
            <w:tcBorders>
              <w:top w:val="nil"/>
              <w:left w:val="single" w:sz="4" w:space="0" w:color="auto"/>
              <w:bottom w:val="nil"/>
              <w:right w:val="single" w:sz="4" w:space="0" w:color="auto"/>
            </w:tcBorders>
            <w:shd w:val="clear" w:color="auto" w:fill="auto"/>
            <w:noWrap/>
            <w:vAlign w:val="bottom"/>
            <w:hideMark/>
          </w:tcPr>
          <w:p w14:paraId="552EF067" w14:textId="77777777" w:rsidR="00686EC7" w:rsidRPr="000C156A" w:rsidRDefault="00686EC7" w:rsidP="00141BAA">
            <w:pPr>
              <w:rPr>
                <w:rFonts w:cs="Calibri"/>
                <w:b/>
                <w:bCs/>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04C98865" w14:textId="77777777" w:rsidR="00686EC7" w:rsidRPr="000C156A" w:rsidRDefault="00686EC7" w:rsidP="00141BAA">
            <w:pPr>
              <w:jc w:val="center"/>
              <w:rPr>
                <w:rFonts w:ascii="Times New Roman" w:hAnsi="Times New Roman"/>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42825086" w14:textId="77777777" w:rsidR="00686EC7" w:rsidRPr="000C156A" w:rsidRDefault="00686EC7" w:rsidP="00141BAA">
            <w:pPr>
              <w:rPr>
                <w:rFonts w:ascii="Times New Roman" w:hAnsi="Times New Roman"/>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1C58099C" w14:textId="77777777" w:rsidR="00686EC7" w:rsidRPr="000C156A" w:rsidRDefault="00686EC7" w:rsidP="00141BAA">
            <w:pPr>
              <w:rPr>
                <w:rFonts w:ascii="Times New Roman" w:hAnsi="Times New Roman"/>
                <w:sz w:val="22"/>
                <w:szCs w:val="22"/>
              </w:rPr>
            </w:pPr>
          </w:p>
        </w:tc>
      </w:tr>
      <w:tr w:rsidR="00686EC7" w:rsidRPr="000C156A" w14:paraId="4FE3E94E" w14:textId="77777777" w:rsidTr="00D93F72">
        <w:trPr>
          <w:trHeight w:val="300"/>
          <w:jc w:val="center"/>
        </w:trPr>
        <w:tc>
          <w:tcPr>
            <w:tcW w:w="4531" w:type="dxa"/>
            <w:tcBorders>
              <w:top w:val="nil"/>
              <w:left w:val="single" w:sz="4" w:space="0" w:color="auto"/>
              <w:bottom w:val="nil"/>
              <w:right w:val="single" w:sz="4" w:space="0" w:color="auto"/>
            </w:tcBorders>
            <w:shd w:val="clear" w:color="auto" w:fill="auto"/>
            <w:vAlign w:val="bottom"/>
            <w:hideMark/>
          </w:tcPr>
          <w:p w14:paraId="4CC3CC1E" w14:textId="5BD932D8" w:rsidR="00686EC7" w:rsidRPr="000C156A" w:rsidRDefault="00D93F72" w:rsidP="00D93F72">
            <w:pPr>
              <w:tabs>
                <w:tab w:val="clear" w:pos="567"/>
              </w:tabs>
              <w:spacing w:before="0"/>
              <w:ind w:left="317" w:hanging="317"/>
              <w:rPr>
                <w:sz w:val="22"/>
                <w:szCs w:val="22"/>
              </w:rPr>
            </w:pPr>
            <w:r w:rsidRPr="000C156A">
              <w:rPr>
                <w:sz w:val="22"/>
                <w:szCs w:val="22"/>
              </w:rPr>
              <w:t>–</w:t>
            </w:r>
            <w:r w:rsidRPr="000C156A">
              <w:rPr>
                <w:sz w:val="22"/>
                <w:szCs w:val="22"/>
              </w:rPr>
              <w:tab/>
            </w:r>
            <w:r w:rsidR="00686EC7" w:rsidRPr="000C156A">
              <w:rPr>
                <w:rFonts w:cs="Calibri"/>
                <w:sz w:val="22"/>
                <w:szCs w:val="22"/>
                <w:lang w:val="fr-FR"/>
              </w:rPr>
              <w:t>Smitcoms</w:t>
            </w:r>
            <w:r w:rsidR="00686EC7" w:rsidRPr="000C156A">
              <w:rPr>
                <w:sz w:val="22"/>
                <w:szCs w:val="22"/>
              </w:rPr>
              <w:t xml:space="preserve"> N.V.</w:t>
            </w:r>
            <w:r w:rsidR="00686EC7" w:rsidRPr="000C156A">
              <w:rPr>
                <w:rFonts w:hint="eastAsia"/>
                <w:sz w:val="22"/>
                <w:szCs w:val="22"/>
                <w:lang w:eastAsia="zh-CN"/>
              </w:rPr>
              <w:t>，</w:t>
            </w:r>
            <w:r w:rsidR="00686EC7" w:rsidRPr="000C156A">
              <w:rPr>
                <w:rFonts w:hint="eastAsia"/>
                <w:sz w:val="22"/>
                <w:szCs w:val="22"/>
              </w:rPr>
              <w:t>圣马丁</w:t>
            </w:r>
          </w:p>
        </w:tc>
        <w:tc>
          <w:tcPr>
            <w:tcW w:w="1445" w:type="dxa"/>
            <w:tcBorders>
              <w:top w:val="nil"/>
              <w:left w:val="single" w:sz="4" w:space="0" w:color="auto"/>
              <w:bottom w:val="nil"/>
              <w:right w:val="single" w:sz="4" w:space="0" w:color="auto"/>
            </w:tcBorders>
            <w:shd w:val="clear" w:color="auto" w:fill="auto"/>
            <w:noWrap/>
            <w:vAlign w:val="bottom"/>
            <w:hideMark/>
          </w:tcPr>
          <w:p w14:paraId="0E7A7A49" w14:textId="77777777" w:rsidR="00686EC7" w:rsidRPr="000C156A" w:rsidRDefault="00686EC7" w:rsidP="00141BAA">
            <w:pPr>
              <w:jc w:val="center"/>
              <w:rPr>
                <w:rFonts w:cs="Calibri"/>
                <w:sz w:val="22"/>
                <w:szCs w:val="22"/>
              </w:rPr>
            </w:pPr>
            <w:r w:rsidRPr="000C156A">
              <w:rPr>
                <w:rFonts w:cs="Calibri"/>
                <w:sz w:val="22"/>
                <w:szCs w:val="22"/>
              </w:rPr>
              <w:t>2004-2007</w:t>
            </w:r>
          </w:p>
        </w:tc>
        <w:tc>
          <w:tcPr>
            <w:tcW w:w="1446" w:type="dxa"/>
            <w:tcBorders>
              <w:top w:val="nil"/>
              <w:left w:val="single" w:sz="4" w:space="0" w:color="auto"/>
              <w:bottom w:val="nil"/>
              <w:right w:val="single" w:sz="4" w:space="0" w:color="auto"/>
            </w:tcBorders>
            <w:shd w:val="clear" w:color="auto" w:fill="auto"/>
            <w:noWrap/>
            <w:vAlign w:val="bottom"/>
            <w:hideMark/>
          </w:tcPr>
          <w:p w14:paraId="0BB1FEC4" w14:textId="1EE7F180" w:rsidR="00686EC7" w:rsidRPr="000C156A" w:rsidRDefault="00686EC7" w:rsidP="00141BAA">
            <w:pPr>
              <w:jc w:val="right"/>
              <w:rPr>
                <w:rFonts w:cs="Calibri"/>
                <w:sz w:val="22"/>
                <w:szCs w:val="22"/>
              </w:rPr>
            </w:pPr>
            <w:r w:rsidRPr="000C156A">
              <w:rPr>
                <w:rFonts w:cs="Calibri"/>
                <w:sz w:val="22"/>
                <w:szCs w:val="22"/>
              </w:rPr>
              <w:t>612</w:t>
            </w:r>
            <w:r w:rsidR="003F0401" w:rsidRPr="000C156A">
              <w:rPr>
                <w:rFonts w:cs="Calibri"/>
                <w:sz w:val="22"/>
                <w:szCs w:val="22"/>
              </w:rPr>
              <w:t xml:space="preserve"> </w:t>
            </w:r>
            <w:r w:rsidRPr="000C156A">
              <w:rPr>
                <w:rFonts w:cs="Calibri"/>
                <w:sz w:val="22"/>
                <w:szCs w:val="22"/>
              </w:rPr>
              <w:t>530.80</w:t>
            </w:r>
          </w:p>
        </w:tc>
        <w:tc>
          <w:tcPr>
            <w:tcW w:w="1446" w:type="dxa"/>
            <w:tcBorders>
              <w:top w:val="nil"/>
              <w:left w:val="single" w:sz="4" w:space="0" w:color="auto"/>
              <w:bottom w:val="nil"/>
              <w:right w:val="single" w:sz="4" w:space="0" w:color="auto"/>
            </w:tcBorders>
            <w:shd w:val="clear" w:color="auto" w:fill="auto"/>
            <w:noWrap/>
            <w:vAlign w:val="bottom"/>
            <w:hideMark/>
          </w:tcPr>
          <w:p w14:paraId="46875A2D" w14:textId="77777777" w:rsidR="00686EC7" w:rsidRPr="000C156A" w:rsidRDefault="00686EC7" w:rsidP="00141BAA">
            <w:pPr>
              <w:jc w:val="right"/>
              <w:rPr>
                <w:rFonts w:cs="Calibri"/>
                <w:sz w:val="22"/>
                <w:szCs w:val="22"/>
              </w:rPr>
            </w:pPr>
            <w:r w:rsidRPr="000C156A">
              <w:rPr>
                <w:rFonts w:cs="Calibri"/>
                <w:sz w:val="22"/>
                <w:szCs w:val="22"/>
              </w:rPr>
              <w:t>0.00</w:t>
            </w:r>
          </w:p>
        </w:tc>
        <w:tc>
          <w:tcPr>
            <w:tcW w:w="1446" w:type="dxa"/>
            <w:tcBorders>
              <w:top w:val="nil"/>
              <w:left w:val="single" w:sz="4" w:space="0" w:color="auto"/>
              <w:bottom w:val="nil"/>
              <w:right w:val="single" w:sz="4" w:space="0" w:color="auto"/>
            </w:tcBorders>
            <w:shd w:val="clear" w:color="auto" w:fill="auto"/>
            <w:noWrap/>
            <w:vAlign w:val="bottom"/>
            <w:hideMark/>
          </w:tcPr>
          <w:p w14:paraId="519B5A4C" w14:textId="6CB8B67B" w:rsidR="00686EC7" w:rsidRPr="000C156A" w:rsidRDefault="00686EC7" w:rsidP="00141BAA">
            <w:pPr>
              <w:jc w:val="right"/>
              <w:rPr>
                <w:rFonts w:cs="Calibri"/>
                <w:sz w:val="22"/>
                <w:szCs w:val="22"/>
              </w:rPr>
            </w:pPr>
            <w:r w:rsidRPr="000C156A">
              <w:rPr>
                <w:rFonts w:cs="Calibri"/>
                <w:sz w:val="22"/>
                <w:szCs w:val="22"/>
              </w:rPr>
              <w:t>612</w:t>
            </w:r>
            <w:r w:rsidR="003F0401" w:rsidRPr="000C156A">
              <w:rPr>
                <w:rFonts w:cs="Calibri"/>
                <w:sz w:val="22"/>
                <w:szCs w:val="22"/>
              </w:rPr>
              <w:t xml:space="preserve"> </w:t>
            </w:r>
            <w:r w:rsidRPr="000C156A">
              <w:rPr>
                <w:rFonts w:cs="Calibri"/>
                <w:sz w:val="22"/>
                <w:szCs w:val="22"/>
              </w:rPr>
              <w:t>530.80</w:t>
            </w:r>
          </w:p>
        </w:tc>
      </w:tr>
      <w:tr w:rsidR="00686EC7" w:rsidRPr="000C156A" w14:paraId="3B4F07E8" w14:textId="77777777" w:rsidTr="00D93F72">
        <w:trPr>
          <w:trHeight w:val="300"/>
          <w:jc w:val="center"/>
        </w:trPr>
        <w:tc>
          <w:tcPr>
            <w:tcW w:w="4531" w:type="dxa"/>
            <w:tcBorders>
              <w:top w:val="nil"/>
              <w:left w:val="single" w:sz="4" w:space="0" w:color="auto"/>
              <w:bottom w:val="nil"/>
              <w:right w:val="single" w:sz="4" w:space="0" w:color="auto"/>
            </w:tcBorders>
            <w:shd w:val="clear" w:color="auto" w:fill="auto"/>
            <w:vAlign w:val="bottom"/>
            <w:hideMark/>
          </w:tcPr>
          <w:p w14:paraId="757A2B0D" w14:textId="77777777" w:rsidR="00686EC7" w:rsidRPr="000C156A" w:rsidRDefault="00686EC7" w:rsidP="00141BAA">
            <w:pPr>
              <w:rPr>
                <w:rFonts w:cs="Calibri"/>
                <w:b/>
                <w:bCs/>
                <w:sz w:val="22"/>
                <w:szCs w:val="22"/>
              </w:rPr>
            </w:pPr>
            <w:r w:rsidRPr="000C156A">
              <w:rPr>
                <w:rFonts w:cs="Calibri"/>
                <w:b/>
                <w:bCs/>
                <w:sz w:val="22"/>
                <w:szCs w:val="22"/>
              </w:rPr>
              <w:t>巴基斯坦</w:t>
            </w:r>
          </w:p>
        </w:tc>
        <w:tc>
          <w:tcPr>
            <w:tcW w:w="1445" w:type="dxa"/>
            <w:tcBorders>
              <w:top w:val="nil"/>
              <w:left w:val="single" w:sz="4" w:space="0" w:color="auto"/>
              <w:bottom w:val="nil"/>
              <w:right w:val="single" w:sz="4" w:space="0" w:color="auto"/>
            </w:tcBorders>
            <w:shd w:val="clear" w:color="auto" w:fill="auto"/>
            <w:noWrap/>
            <w:vAlign w:val="bottom"/>
            <w:hideMark/>
          </w:tcPr>
          <w:p w14:paraId="6AD28A21" w14:textId="77777777" w:rsidR="00686EC7" w:rsidRPr="000C156A" w:rsidRDefault="00686EC7" w:rsidP="00141BAA">
            <w:pPr>
              <w:rPr>
                <w:rFonts w:cs="Calibri"/>
                <w:b/>
                <w:bCs/>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2A0A104C" w14:textId="77777777" w:rsidR="00686EC7" w:rsidRPr="000C156A" w:rsidRDefault="00686EC7" w:rsidP="00141BAA">
            <w:pPr>
              <w:jc w:val="center"/>
              <w:rPr>
                <w:rFonts w:ascii="Times New Roman" w:hAnsi="Times New Roman"/>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5F1FF445" w14:textId="77777777" w:rsidR="00686EC7" w:rsidRPr="000C156A" w:rsidRDefault="00686EC7" w:rsidP="00141BAA">
            <w:pPr>
              <w:rPr>
                <w:rFonts w:ascii="Times New Roman" w:hAnsi="Times New Roman"/>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67EAF1E7" w14:textId="77777777" w:rsidR="00686EC7" w:rsidRPr="000C156A" w:rsidRDefault="00686EC7" w:rsidP="00141BAA">
            <w:pPr>
              <w:rPr>
                <w:rFonts w:ascii="Times New Roman" w:hAnsi="Times New Roman"/>
                <w:sz w:val="22"/>
                <w:szCs w:val="22"/>
              </w:rPr>
            </w:pPr>
          </w:p>
        </w:tc>
      </w:tr>
      <w:tr w:rsidR="00686EC7" w:rsidRPr="000C156A" w14:paraId="6C99A5AD" w14:textId="77777777" w:rsidTr="00D93F72">
        <w:trPr>
          <w:trHeight w:val="300"/>
          <w:jc w:val="center"/>
        </w:trPr>
        <w:tc>
          <w:tcPr>
            <w:tcW w:w="4531" w:type="dxa"/>
            <w:tcBorders>
              <w:top w:val="nil"/>
              <w:left w:val="single" w:sz="4" w:space="0" w:color="auto"/>
              <w:bottom w:val="nil"/>
              <w:right w:val="single" w:sz="4" w:space="0" w:color="auto"/>
            </w:tcBorders>
            <w:shd w:val="clear" w:color="auto" w:fill="auto"/>
            <w:vAlign w:val="bottom"/>
            <w:hideMark/>
          </w:tcPr>
          <w:p w14:paraId="61EF12B7" w14:textId="28B7130E"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hint="eastAsia"/>
                <w:sz w:val="22"/>
                <w:szCs w:val="22"/>
                <w:lang w:val="fr-FR"/>
              </w:rPr>
              <w:t>CMPak</w:t>
            </w:r>
            <w:r w:rsidR="00686EC7" w:rsidRPr="000C156A">
              <w:rPr>
                <w:rFonts w:cs="Calibri" w:hint="eastAsia"/>
                <w:sz w:val="22"/>
                <w:szCs w:val="22"/>
                <w:lang w:val="fr-FR"/>
              </w:rPr>
              <w:t>有限公司，伊斯兰堡</w:t>
            </w:r>
          </w:p>
        </w:tc>
        <w:tc>
          <w:tcPr>
            <w:tcW w:w="1445" w:type="dxa"/>
            <w:tcBorders>
              <w:top w:val="nil"/>
              <w:left w:val="single" w:sz="4" w:space="0" w:color="auto"/>
              <w:bottom w:val="nil"/>
              <w:right w:val="single" w:sz="4" w:space="0" w:color="auto"/>
            </w:tcBorders>
            <w:shd w:val="clear" w:color="auto" w:fill="auto"/>
            <w:noWrap/>
            <w:vAlign w:val="bottom"/>
            <w:hideMark/>
          </w:tcPr>
          <w:p w14:paraId="2BADE29B" w14:textId="77777777" w:rsidR="00686EC7" w:rsidRPr="000C156A" w:rsidRDefault="00686EC7" w:rsidP="00141BAA">
            <w:pPr>
              <w:jc w:val="center"/>
              <w:rPr>
                <w:rFonts w:cs="Calibri"/>
                <w:sz w:val="22"/>
                <w:szCs w:val="22"/>
              </w:rPr>
            </w:pPr>
            <w:r w:rsidRPr="000C156A">
              <w:rPr>
                <w:rFonts w:cs="Calibri"/>
                <w:sz w:val="22"/>
                <w:szCs w:val="22"/>
              </w:rPr>
              <w:t>2015</w:t>
            </w:r>
          </w:p>
        </w:tc>
        <w:tc>
          <w:tcPr>
            <w:tcW w:w="1446" w:type="dxa"/>
            <w:tcBorders>
              <w:top w:val="nil"/>
              <w:left w:val="single" w:sz="4" w:space="0" w:color="auto"/>
              <w:bottom w:val="nil"/>
              <w:right w:val="single" w:sz="4" w:space="0" w:color="auto"/>
            </w:tcBorders>
            <w:shd w:val="clear" w:color="auto" w:fill="auto"/>
            <w:noWrap/>
            <w:vAlign w:val="bottom"/>
            <w:hideMark/>
          </w:tcPr>
          <w:p w14:paraId="48DB0BE8" w14:textId="3D2C23E0"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759.45</w:t>
            </w:r>
          </w:p>
        </w:tc>
        <w:tc>
          <w:tcPr>
            <w:tcW w:w="1446" w:type="dxa"/>
            <w:tcBorders>
              <w:top w:val="nil"/>
              <w:left w:val="single" w:sz="4" w:space="0" w:color="auto"/>
              <w:bottom w:val="nil"/>
              <w:right w:val="single" w:sz="4" w:space="0" w:color="auto"/>
            </w:tcBorders>
            <w:shd w:val="clear" w:color="auto" w:fill="auto"/>
            <w:noWrap/>
            <w:vAlign w:val="bottom"/>
            <w:hideMark/>
          </w:tcPr>
          <w:p w14:paraId="16649495" w14:textId="77777777" w:rsidR="00686EC7" w:rsidRPr="000C156A" w:rsidRDefault="00686EC7" w:rsidP="00141BAA">
            <w:pPr>
              <w:jc w:val="right"/>
              <w:rPr>
                <w:rFonts w:cs="Calibri"/>
                <w:sz w:val="22"/>
                <w:szCs w:val="22"/>
              </w:rPr>
            </w:pPr>
            <w:r w:rsidRPr="000C156A">
              <w:rPr>
                <w:rFonts w:cs="Calibri"/>
                <w:sz w:val="22"/>
                <w:szCs w:val="22"/>
              </w:rPr>
              <w:t>0.00</w:t>
            </w:r>
          </w:p>
        </w:tc>
        <w:tc>
          <w:tcPr>
            <w:tcW w:w="1446" w:type="dxa"/>
            <w:tcBorders>
              <w:top w:val="nil"/>
              <w:left w:val="single" w:sz="4" w:space="0" w:color="auto"/>
              <w:bottom w:val="nil"/>
              <w:right w:val="single" w:sz="4" w:space="0" w:color="auto"/>
            </w:tcBorders>
            <w:shd w:val="clear" w:color="auto" w:fill="auto"/>
            <w:noWrap/>
            <w:vAlign w:val="bottom"/>
            <w:hideMark/>
          </w:tcPr>
          <w:p w14:paraId="2BA4CEAE" w14:textId="6DF91B69"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759.45</w:t>
            </w:r>
          </w:p>
        </w:tc>
      </w:tr>
      <w:tr w:rsidR="00686EC7" w:rsidRPr="000C156A" w14:paraId="7C8E16B4" w14:textId="77777777" w:rsidTr="00D93F72">
        <w:trPr>
          <w:trHeight w:val="300"/>
          <w:jc w:val="center"/>
        </w:trPr>
        <w:tc>
          <w:tcPr>
            <w:tcW w:w="4531" w:type="dxa"/>
            <w:tcBorders>
              <w:top w:val="nil"/>
              <w:left w:val="single" w:sz="4" w:space="0" w:color="auto"/>
              <w:bottom w:val="nil"/>
              <w:right w:val="single" w:sz="4" w:space="0" w:color="auto"/>
            </w:tcBorders>
            <w:shd w:val="clear" w:color="auto" w:fill="auto"/>
            <w:vAlign w:val="bottom"/>
            <w:hideMark/>
          </w:tcPr>
          <w:p w14:paraId="5D75CE17" w14:textId="318F3F26"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e Worlwide</w:t>
            </w:r>
            <w:r w:rsidR="00686EC7" w:rsidRPr="000C156A">
              <w:rPr>
                <w:rFonts w:cs="Calibri" w:hint="eastAsia"/>
                <w:sz w:val="22"/>
                <w:szCs w:val="22"/>
                <w:lang w:val="fr-FR"/>
              </w:rPr>
              <w:t>集团，伊斯兰堡</w:t>
            </w:r>
          </w:p>
        </w:tc>
        <w:tc>
          <w:tcPr>
            <w:tcW w:w="1445" w:type="dxa"/>
            <w:tcBorders>
              <w:top w:val="nil"/>
              <w:left w:val="single" w:sz="4" w:space="0" w:color="auto"/>
              <w:bottom w:val="nil"/>
              <w:right w:val="single" w:sz="4" w:space="0" w:color="auto"/>
            </w:tcBorders>
            <w:shd w:val="clear" w:color="auto" w:fill="auto"/>
            <w:noWrap/>
            <w:vAlign w:val="bottom"/>
            <w:hideMark/>
          </w:tcPr>
          <w:p w14:paraId="0B702618" w14:textId="77777777" w:rsidR="00686EC7" w:rsidRPr="000C156A" w:rsidRDefault="00686EC7" w:rsidP="00141BAA">
            <w:pPr>
              <w:jc w:val="center"/>
              <w:rPr>
                <w:rFonts w:cs="Calibri"/>
                <w:sz w:val="22"/>
                <w:szCs w:val="22"/>
              </w:rPr>
            </w:pPr>
            <w:r w:rsidRPr="000C156A">
              <w:rPr>
                <w:rFonts w:cs="Calibri"/>
                <w:sz w:val="22"/>
                <w:szCs w:val="22"/>
              </w:rPr>
              <w:t>2011-2013</w:t>
            </w:r>
          </w:p>
        </w:tc>
        <w:tc>
          <w:tcPr>
            <w:tcW w:w="1446" w:type="dxa"/>
            <w:tcBorders>
              <w:top w:val="nil"/>
              <w:left w:val="single" w:sz="4" w:space="0" w:color="auto"/>
              <w:bottom w:val="nil"/>
              <w:right w:val="single" w:sz="4" w:space="0" w:color="auto"/>
            </w:tcBorders>
            <w:shd w:val="clear" w:color="auto" w:fill="auto"/>
            <w:noWrap/>
            <w:vAlign w:val="bottom"/>
            <w:hideMark/>
          </w:tcPr>
          <w:p w14:paraId="6872231C" w14:textId="58CDC939" w:rsidR="00686EC7" w:rsidRPr="000C156A" w:rsidRDefault="00686EC7" w:rsidP="00141BAA">
            <w:pPr>
              <w:jc w:val="right"/>
              <w:rPr>
                <w:rFonts w:cs="Calibri"/>
                <w:sz w:val="22"/>
                <w:szCs w:val="22"/>
              </w:rPr>
            </w:pPr>
            <w:r w:rsidRPr="000C156A">
              <w:rPr>
                <w:rFonts w:cs="Calibri"/>
                <w:sz w:val="22"/>
                <w:szCs w:val="22"/>
              </w:rPr>
              <w:t>6</w:t>
            </w:r>
            <w:r w:rsidR="003F0401" w:rsidRPr="000C156A">
              <w:rPr>
                <w:rFonts w:cs="Calibri"/>
                <w:sz w:val="22"/>
                <w:szCs w:val="22"/>
              </w:rPr>
              <w:t xml:space="preserve"> </w:t>
            </w:r>
            <w:r w:rsidRPr="000C156A">
              <w:rPr>
                <w:rFonts w:cs="Calibri"/>
                <w:sz w:val="22"/>
                <w:szCs w:val="22"/>
              </w:rPr>
              <w:t>280.60</w:t>
            </w:r>
          </w:p>
        </w:tc>
        <w:tc>
          <w:tcPr>
            <w:tcW w:w="1446" w:type="dxa"/>
            <w:tcBorders>
              <w:top w:val="nil"/>
              <w:left w:val="single" w:sz="4" w:space="0" w:color="auto"/>
              <w:bottom w:val="nil"/>
              <w:right w:val="single" w:sz="4" w:space="0" w:color="auto"/>
            </w:tcBorders>
            <w:shd w:val="clear" w:color="auto" w:fill="auto"/>
            <w:noWrap/>
            <w:vAlign w:val="bottom"/>
            <w:hideMark/>
          </w:tcPr>
          <w:p w14:paraId="7DB9D271" w14:textId="77777777" w:rsidR="00686EC7" w:rsidRPr="000C156A" w:rsidRDefault="00686EC7" w:rsidP="00141BAA">
            <w:pPr>
              <w:jc w:val="right"/>
              <w:rPr>
                <w:rFonts w:cs="Calibri"/>
                <w:sz w:val="22"/>
                <w:szCs w:val="22"/>
              </w:rPr>
            </w:pPr>
            <w:r w:rsidRPr="000C156A">
              <w:rPr>
                <w:rFonts w:cs="Calibri"/>
                <w:sz w:val="22"/>
                <w:szCs w:val="22"/>
              </w:rPr>
              <w:t>0.00</w:t>
            </w:r>
          </w:p>
        </w:tc>
        <w:tc>
          <w:tcPr>
            <w:tcW w:w="1446" w:type="dxa"/>
            <w:tcBorders>
              <w:top w:val="nil"/>
              <w:left w:val="single" w:sz="4" w:space="0" w:color="auto"/>
              <w:bottom w:val="nil"/>
              <w:right w:val="single" w:sz="4" w:space="0" w:color="auto"/>
            </w:tcBorders>
            <w:shd w:val="clear" w:color="auto" w:fill="auto"/>
            <w:noWrap/>
            <w:vAlign w:val="bottom"/>
            <w:hideMark/>
          </w:tcPr>
          <w:p w14:paraId="5CCB411E" w14:textId="0D187D2A" w:rsidR="00686EC7" w:rsidRPr="000C156A" w:rsidRDefault="00686EC7" w:rsidP="00141BAA">
            <w:pPr>
              <w:jc w:val="right"/>
              <w:rPr>
                <w:rFonts w:cs="Calibri"/>
                <w:sz w:val="22"/>
                <w:szCs w:val="22"/>
              </w:rPr>
            </w:pPr>
            <w:r w:rsidRPr="000C156A">
              <w:rPr>
                <w:rFonts w:cs="Calibri"/>
                <w:sz w:val="22"/>
                <w:szCs w:val="22"/>
              </w:rPr>
              <w:t>6</w:t>
            </w:r>
            <w:r w:rsidR="003F0401" w:rsidRPr="000C156A">
              <w:rPr>
                <w:rFonts w:cs="Calibri"/>
                <w:sz w:val="22"/>
                <w:szCs w:val="22"/>
              </w:rPr>
              <w:t xml:space="preserve"> </w:t>
            </w:r>
            <w:r w:rsidRPr="000C156A">
              <w:rPr>
                <w:rFonts w:cs="Calibri"/>
                <w:sz w:val="22"/>
                <w:szCs w:val="22"/>
              </w:rPr>
              <w:t>280.60</w:t>
            </w:r>
          </w:p>
        </w:tc>
      </w:tr>
      <w:tr w:rsidR="00686EC7" w:rsidRPr="000C156A" w14:paraId="143552E8" w14:textId="77777777" w:rsidTr="00D93F72">
        <w:trPr>
          <w:trHeight w:val="300"/>
          <w:jc w:val="center"/>
        </w:trPr>
        <w:tc>
          <w:tcPr>
            <w:tcW w:w="4531" w:type="dxa"/>
            <w:tcBorders>
              <w:top w:val="nil"/>
              <w:left w:val="single" w:sz="4" w:space="0" w:color="auto"/>
              <w:bottom w:val="nil"/>
              <w:right w:val="single" w:sz="4" w:space="0" w:color="auto"/>
            </w:tcBorders>
            <w:shd w:val="clear" w:color="auto" w:fill="auto"/>
            <w:vAlign w:val="bottom"/>
            <w:hideMark/>
          </w:tcPr>
          <w:p w14:paraId="7209EC6D" w14:textId="5F89A106"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Paktel</w:t>
            </w:r>
            <w:r w:rsidR="00686EC7" w:rsidRPr="000C156A">
              <w:rPr>
                <w:rFonts w:cs="Calibri" w:hint="eastAsia"/>
                <w:sz w:val="22"/>
                <w:szCs w:val="22"/>
                <w:lang w:val="fr-FR"/>
              </w:rPr>
              <w:t>有限公司，伊斯兰堡</w:t>
            </w:r>
          </w:p>
        </w:tc>
        <w:tc>
          <w:tcPr>
            <w:tcW w:w="1445" w:type="dxa"/>
            <w:tcBorders>
              <w:top w:val="nil"/>
              <w:left w:val="single" w:sz="4" w:space="0" w:color="auto"/>
              <w:bottom w:val="nil"/>
              <w:right w:val="single" w:sz="4" w:space="0" w:color="auto"/>
            </w:tcBorders>
            <w:shd w:val="clear" w:color="auto" w:fill="auto"/>
            <w:noWrap/>
            <w:vAlign w:val="bottom"/>
            <w:hideMark/>
          </w:tcPr>
          <w:p w14:paraId="01C00750" w14:textId="77777777" w:rsidR="00686EC7" w:rsidRPr="000C156A" w:rsidRDefault="00686EC7" w:rsidP="00141BAA">
            <w:pPr>
              <w:jc w:val="center"/>
              <w:rPr>
                <w:rFonts w:cs="Calibri"/>
                <w:sz w:val="22"/>
                <w:szCs w:val="22"/>
              </w:rPr>
            </w:pPr>
            <w:r w:rsidRPr="000C156A">
              <w:rPr>
                <w:rFonts w:cs="Calibri"/>
                <w:sz w:val="22"/>
                <w:szCs w:val="22"/>
              </w:rPr>
              <w:t>2007</w:t>
            </w:r>
          </w:p>
        </w:tc>
        <w:tc>
          <w:tcPr>
            <w:tcW w:w="1446" w:type="dxa"/>
            <w:tcBorders>
              <w:top w:val="nil"/>
              <w:left w:val="single" w:sz="4" w:space="0" w:color="auto"/>
              <w:bottom w:val="nil"/>
              <w:right w:val="single" w:sz="4" w:space="0" w:color="auto"/>
            </w:tcBorders>
            <w:shd w:val="clear" w:color="auto" w:fill="auto"/>
            <w:noWrap/>
            <w:vAlign w:val="bottom"/>
            <w:hideMark/>
          </w:tcPr>
          <w:p w14:paraId="3EE54953" w14:textId="5E4BFE11" w:rsidR="00686EC7" w:rsidRPr="000C156A" w:rsidRDefault="00686EC7" w:rsidP="00141BAA">
            <w:pPr>
              <w:jc w:val="right"/>
              <w:rPr>
                <w:rFonts w:cs="Calibri"/>
                <w:sz w:val="22"/>
                <w:szCs w:val="22"/>
              </w:rPr>
            </w:pPr>
            <w:r w:rsidRPr="000C156A">
              <w:rPr>
                <w:rFonts w:cs="Calibri"/>
                <w:sz w:val="22"/>
                <w:szCs w:val="22"/>
              </w:rPr>
              <w:t>8</w:t>
            </w:r>
            <w:r w:rsidR="003F0401" w:rsidRPr="000C156A">
              <w:rPr>
                <w:rFonts w:cs="Calibri"/>
                <w:sz w:val="22"/>
                <w:szCs w:val="22"/>
              </w:rPr>
              <w:t xml:space="preserve"> </w:t>
            </w:r>
            <w:r w:rsidRPr="000C156A">
              <w:rPr>
                <w:rFonts w:cs="Calibri"/>
                <w:sz w:val="22"/>
                <w:szCs w:val="22"/>
              </w:rPr>
              <w:t>796.40</w:t>
            </w:r>
          </w:p>
        </w:tc>
        <w:tc>
          <w:tcPr>
            <w:tcW w:w="1446" w:type="dxa"/>
            <w:tcBorders>
              <w:top w:val="nil"/>
              <w:left w:val="single" w:sz="4" w:space="0" w:color="auto"/>
              <w:bottom w:val="nil"/>
              <w:right w:val="single" w:sz="4" w:space="0" w:color="auto"/>
            </w:tcBorders>
            <w:shd w:val="clear" w:color="auto" w:fill="auto"/>
            <w:noWrap/>
            <w:vAlign w:val="bottom"/>
            <w:hideMark/>
          </w:tcPr>
          <w:p w14:paraId="7D3AD702" w14:textId="77777777" w:rsidR="00686EC7" w:rsidRPr="000C156A" w:rsidRDefault="00686EC7" w:rsidP="00141BAA">
            <w:pPr>
              <w:jc w:val="right"/>
              <w:rPr>
                <w:rFonts w:cs="Calibri"/>
                <w:sz w:val="22"/>
                <w:szCs w:val="22"/>
              </w:rPr>
            </w:pPr>
            <w:r w:rsidRPr="000C156A">
              <w:rPr>
                <w:rFonts w:cs="Calibri"/>
                <w:sz w:val="22"/>
                <w:szCs w:val="22"/>
              </w:rPr>
              <w:t>0.00</w:t>
            </w:r>
          </w:p>
        </w:tc>
        <w:tc>
          <w:tcPr>
            <w:tcW w:w="1446" w:type="dxa"/>
            <w:tcBorders>
              <w:top w:val="nil"/>
              <w:left w:val="single" w:sz="4" w:space="0" w:color="auto"/>
              <w:bottom w:val="nil"/>
              <w:right w:val="single" w:sz="4" w:space="0" w:color="auto"/>
            </w:tcBorders>
            <w:shd w:val="clear" w:color="auto" w:fill="auto"/>
            <w:noWrap/>
            <w:vAlign w:val="bottom"/>
            <w:hideMark/>
          </w:tcPr>
          <w:p w14:paraId="5557611C" w14:textId="0550175A" w:rsidR="00686EC7" w:rsidRPr="000C156A" w:rsidRDefault="00686EC7" w:rsidP="00141BAA">
            <w:pPr>
              <w:jc w:val="right"/>
              <w:rPr>
                <w:rFonts w:cs="Calibri"/>
                <w:sz w:val="22"/>
                <w:szCs w:val="22"/>
              </w:rPr>
            </w:pPr>
            <w:r w:rsidRPr="000C156A">
              <w:rPr>
                <w:rFonts w:cs="Calibri"/>
                <w:sz w:val="22"/>
                <w:szCs w:val="22"/>
              </w:rPr>
              <w:t>8</w:t>
            </w:r>
            <w:r w:rsidR="003F0401" w:rsidRPr="000C156A">
              <w:rPr>
                <w:rFonts w:cs="Calibri"/>
                <w:sz w:val="22"/>
                <w:szCs w:val="22"/>
              </w:rPr>
              <w:t xml:space="preserve"> </w:t>
            </w:r>
            <w:r w:rsidRPr="000C156A">
              <w:rPr>
                <w:rFonts w:cs="Calibri"/>
                <w:sz w:val="22"/>
                <w:szCs w:val="22"/>
              </w:rPr>
              <w:t>796.40</w:t>
            </w:r>
          </w:p>
        </w:tc>
      </w:tr>
      <w:tr w:rsidR="00686EC7" w:rsidRPr="000C156A" w14:paraId="399BADED" w14:textId="77777777" w:rsidTr="00D93F72">
        <w:trPr>
          <w:trHeight w:val="300"/>
          <w:jc w:val="center"/>
        </w:trPr>
        <w:tc>
          <w:tcPr>
            <w:tcW w:w="4531" w:type="dxa"/>
            <w:tcBorders>
              <w:top w:val="nil"/>
              <w:left w:val="single" w:sz="4" w:space="0" w:color="auto"/>
              <w:bottom w:val="nil"/>
              <w:right w:val="single" w:sz="4" w:space="0" w:color="auto"/>
            </w:tcBorders>
            <w:shd w:val="clear" w:color="auto" w:fill="auto"/>
            <w:vAlign w:val="bottom"/>
            <w:hideMark/>
          </w:tcPr>
          <w:p w14:paraId="5CBA38B0" w14:textId="77777777" w:rsidR="00686EC7" w:rsidRPr="000C156A" w:rsidRDefault="00686EC7" w:rsidP="00141BAA">
            <w:pPr>
              <w:rPr>
                <w:rFonts w:cs="Calibri"/>
                <w:b/>
                <w:bCs/>
                <w:sz w:val="22"/>
                <w:szCs w:val="22"/>
              </w:rPr>
            </w:pPr>
            <w:r w:rsidRPr="000C156A">
              <w:rPr>
                <w:rFonts w:cs="Calibri"/>
                <w:b/>
                <w:bCs/>
                <w:sz w:val="22"/>
                <w:szCs w:val="22"/>
              </w:rPr>
              <w:t>菲律宾</w:t>
            </w:r>
          </w:p>
        </w:tc>
        <w:tc>
          <w:tcPr>
            <w:tcW w:w="1445" w:type="dxa"/>
            <w:tcBorders>
              <w:top w:val="nil"/>
              <w:left w:val="single" w:sz="4" w:space="0" w:color="auto"/>
              <w:bottom w:val="nil"/>
              <w:right w:val="single" w:sz="4" w:space="0" w:color="auto"/>
            </w:tcBorders>
            <w:shd w:val="clear" w:color="auto" w:fill="auto"/>
            <w:noWrap/>
            <w:vAlign w:val="bottom"/>
            <w:hideMark/>
          </w:tcPr>
          <w:p w14:paraId="6F1DB0CB" w14:textId="77777777" w:rsidR="00686EC7" w:rsidRPr="000C156A" w:rsidRDefault="00686EC7" w:rsidP="00141BAA">
            <w:pPr>
              <w:rPr>
                <w:rFonts w:cs="Calibri"/>
                <w:b/>
                <w:bCs/>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61145B6C" w14:textId="77777777" w:rsidR="00686EC7" w:rsidRPr="000C156A" w:rsidRDefault="00686EC7" w:rsidP="00141BAA">
            <w:pPr>
              <w:jc w:val="center"/>
              <w:rPr>
                <w:rFonts w:ascii="Times New Roman" w:hAnsi="Times New Roman"/>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65042BDA" w14:textId="77777777" w:rsidR="00686EC7" w:rsidRPr="000C156A" w:rsidRDefault="00686EC7" w:rsidP="00141BAA">
            <w:pPr>
              <w:rPr>
                <w:rFonts w:ascii="Times New Roman" w:hAnsi="Times New Roman"/>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6C13406E" w14:textId="77777777" w:rsidR="00686EC7" w:rsidRPr="000C156A" w:rsidRDefault="00686EC7" w:rsidP="00141BAA">
            <w:pPr>
              <w:rPr>
                <w:rFonts w:ascii="Times New Roman" w:hAnsi="Times New Roman"/>
                <w:sz w:val="22"/>
                <w:szCs w:val="22"/>
              </w:rPr>
            </w:pPr>
          </w:p>
        </w:tc>
      </w:tr>
      <w:tr w:rsidR="00686EC7" w:rsidRPr="000C156A" w14:paraId="7DBC2DFA" w14:textId="77777777" w:rsidTr="00D93F72">
        <w:trPr>
          <w:trHeight w:val="300"/>
          <w:jc w:val="center"/>
        </w:trPr>
        <w:tc>
          <w:tcPr>
            <w:tcW w:w="4531" w:type="dxa"/>
            <w:tcBorders>
              <w:top w:val="nil"/>
              <w:left w:val="single" w:sz="4" w:space="0" w:color="auto"/>
              <w:bottom w:val="nil"/>
              <w:right w:val="single" w:sz="4" w:space="0" w:color="auto"/>
            </w:tcBorders>
            <w:shd w:val="clear" w:color="auto" w:fill="auto"/>
            <w:vAlign w:val="bottom"/>
            <w:hideMark/>
          </w:tcPr>
          <w:p w14:paraId="246C4194" w14:textId="2512448D"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sz w:val="22"/>
                <w:szCs w:val="22"/>
                <w:lang w:val="fr-FR" w:eastAsia="zh-CN"/>
              </w:rPr>
              <w:t>Globe</w:t>
            </w:r>
            <w:r w:rsidR="00686EC7" w:rsidRPr="000C156A">
              <w:rPr>
                <w:rFonts w:cs="Calibri" w:hint="eastAsia"/>
                <w:sz w:val="22"/>
                <w:szCs w:val="22"/>
                <w:lang w:val="fr-FR" w:eastAsia="zh-CN"/>
              </w:rPr>
              <w:t>电信，曼达卢永市</w:t>
            </w:r>
          </w:p>
        </w:tc>
        <w:tc>
          <w:tcPr>
            <w:tcW w:w="1445" w:type="dxa"/>
            <w:tcBorders>
              <w:top w:val="nil"/>
              <w:left w:val="single" w:sz="4" w:space="0" w:color="auto"/>
              <w:bottom w:val="nil"/>
              <w:right w:val="single" w:sz="4" w:space="0" w:color="auto"/>
            </w:tcBorders>
            <w:shd w:val="clear" w:color="auto" w:fill="auto"/>
            <w:noWrap/>
            <w:vAlign w:val="bottom"/>
            <w:hideMark/>
          </w:tcPr>
          <w:p w14:paraId="681C947E" w14:textId="77777777" w:rsidR="00686EC7" w:rsidRPr="000C156A" w:rsidRDefault="00686EC7" w:rsidP="00141BAA">
            <w:pPr>
              <w:jc w:val="center"/>
              <w:rPr>
                <w:rFonts w:cs="Calibri"/>
                <w:sz w:val="22"/>
                <w:szCs w:val="22"/>
              </w:rPr>
            </w:pPr>
            <w:r w:rsidRPr="000C156A">
              <w:rPr>
                <w:rFonts w:cs="Calibri"/>
                <w:sz w:val="22"/>
                <w:szCs w:val="22"/>
              </w:rPr>
              <w:t>2019</w:t>
            </w:r>
          </w:p>
        </w:tc>
        <w:tc>
          <w:tcPr>
            <w:tcW w:w="1446" w:type="dxa"/>
            <w:tcBorders>
              <w:top w:val="nil"/>
              <w:left w:val="single" w:sz="4" w:space="0" w:color="auto"/>
              <w:bottom w:val="nil"/>
              <w:right w:val="single" w:sz="4" w:space="0" w:color="auto"/>
            </w:tcBorders>
            <w:shd w:val="clear" w:color="auto" w:fill="auto"/>
            <w:noWrap/>
            <w:vAlign w:val="bottom"/>
            <w:hideMark/>
          </w:tcPr>
          <w:p w14:paraId="2B799BC9" w14:textId="4AA1FFBC" w:rsidR="00686EC7" w:rsidRPr="000C156A" w:rsidRDefault="00686EC7" w:rsidP="00141BAA">
            <w:pPr>
              <w:jc w:val="right"/>
              <w:rPr>
                <w:rFonts w:cs="Calibri"/>
                <w:sz w:val="22"/>
                <w:szCs w:val="22"/>
              </w:rPr>
            </w:pPr>
            <w:r w:rsidRPr="000C156A">
              <w:rPr>
                <w:rFonts w:cs="Calibri"/>
                <w:sz w:val="22"/>
                <w:szCs w:val="22"/>
              </w:rPr>
              <w:t>34</w:t>
            </w:r>
            <w:r w:rsidR="003F0401" w:rsidRPr="000C156A">
              <w:rPr>
                <w:rFonts w:cs="Calibri"/>
                <w:sz w:val="22"/>
                <w:szCs w:val="22"/>
              </w:rPr>
              <w:t xml:space="preserve"> </w:t>
            </w:r>
            <w:r w:rsidRPr="000C156A">
              <w:rPr>
                <w:rFonts w:cs="Calibri"/>
                <w:sz w:val="22"/>
                <w:szCs w:val="22"/>
              </w:rPr>
              <w:t>972.05</w:t>
            </w:r>
          </w:p>
        </w:tc>
        <w:tc>
          <w:tcPr>
            <w:tcW w:w="1446" w:type="dxa"/>
            <w:tcBorders>
              <w:top w:val="nil"/>
              <w:left w:val="single" w:sz="4" w:space="0" w:color="auto"/>
              <w:bottom w:val="nil"/>
              <w:right w:val="single" w:sz="4" w:space="0" w:color="auto"/>
            </w:tcBorders>
            <w:shd w:val="clear" w:color="auto" w:fill="auto"/>
            <w:noWrap/>
            <w:vAlign w:val="bottom"/>
            <w:hideMark/>
          </w:tcPr>
          <w:p w14:paraId="735A4B14" w14:textId="77777777" w:rsidR="00686EC7" w:rsidRPr="000C156A" w:rsidRDefault="00686EC7" w:rsidP="00141BAA">
            <w:pPr>
              <w:jc w:val="right"/>
              <w:rPr>
                <w:rFonts w:cs="Calibri"/>
                <w:sz w:val="22"/>
                <w:szCs w:val="22"/>
              </w:rPr>
            </w:pPr>
            <w:r w:rsidRPr="000C156A">
              <w:rPr>
                <w:rFonts w:cs="Calibri"/>
                <w:sz w:val="22"/>
                <w:szCs w:val="22"/>
              </w:rPr>
              <w:t>0.00</w:t>
            </w:r>
          </w:p>
        </w:tc>
        <w:tc>
          <w:tcPr>
            <w:tcW w:w="1446" w:type="dxa"/>
            <w:tcBorders>
              <w:top w:val="nil"/>
              <w:left w:val="single" w:sz="4" w:space="0" w:color="auto"/>
              <w:bottom w:val="nil"/>
              <w:right w:val="single" w:sz="4" w:space="0" w:color="auto"/>
            </w:tcBorders>
            <w:shd w:val="clear" w:color="auto" w:fill="auto"/>
            <w:noWrap/>
            <w:vAlign w:val="bottom"/>
            <w:hideMark/>
          </w:tcPr>
          <w:p w14:paraId="69FF2F08" w14:textId="1EA5D936" w:rsidR="00686EC7" w:rsidRPr="000C156A" w:rsidRDefault="00686EC7" w:rsidP="00141BAA">
            <w:pPr>
              <w:jc w:val="right"/>
              <w:rPr>
                <w:rFonts w:cs="Calibri"/>
                <w:sz w:val="22"/>
                <w:szCs w:val="22"/>
              </w:rPr>
            </w:pPr>
            <w:r w:rsidRPr="000C156A">
              <w:rPr>
                <w:rFonts w:cs="Calibri"/>
                <w:sz w:val="22"/>
                <w:szCs w:val="22"/>
              </w:rPr>
              <w:t>34</w:t>
            </w:r>
            <w:r w:rsidR="003F0401" w:rsidRPr="000C156A">
              <w:rPr>
                <w:rFonts w:cs="Calibri"/>
                <w:sz w:val="22"/>
                <w:szCs w:val="22"/>
              </w:rPr>
              <w:t xml:space="preserve"> </w:t>
            </w:r>
            <w:r w:rsidRPr="000C156A">
              <w:rPr>
                <w:rFonts w:cs="Calibri"/>
                <w:sz w:val="22"/>
                <w:szCs w:val="22"/>
              </w:rPr>
              <w:t>972.05</w:t>
            </w:r>
          </w:p>
        </w:tc>
      </w:tr>
      <w:tr w:rsidR="00686EC7" w:rsidRPr="000C156A" w14:paraId="589EEF3E" w14:textId="77777777" w:rsidTr="00D93F72">
        <w:trPr>
          <w:trHeight w:val="300"/>
          <w:jc w:val="center"/>
        </w:trPr>
        <w:tc>
          <w:tcPr>
            <w:tcW w:w="4531" w:type="dxa"/>
            <w:tcBorders>
              <w:top w:val="nil"/>
              <w:left w:val="single" w:sz="4" w:space="0" w:color="auto"/>
              <w:bottom w:val="nil"/>
              <w:right w:val="single" w:sz="4" w:space="0" w:color="auto"/>
            </w:tcBorders>
            <w:shd w:val="clear" w:color="auto" w:fill="auto"/>
            <w:vAlign w:val="bottom"/>
            <w:hideMark/>
          </w:tcPr>
          <w:p w14:paraId="373CDB7D" w14:textId="00AC23AC"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PhilCom</w:t>
            </w:r>
            <w:r w:rsidR="00686EC7" w:rsidRPr="000C156A">
              <w:rPr>
                <w:rFonts w:cs="Calibri" w:hint="eastAsia"/>
                <w:sz w:val="22"/>
                <w:szCs w:val="22"/>
                <w:lang w:val="fr-FR"/>
              </w:rPr>
              <w:t>，马卡迪市</w:t>
            </w:r>
          </w:p>
        </w:tc>
        <w:tc>
          <w:tcPr>
            <w:tcW w:w="1445" w:type="dxa"/>
            <w:tcBorders>
              <w:top w:val="nil"/>
              <w:left w:val="single" w:sz="4" w:space="0" w:color="auto"/>
              <w:bottom w:val="nil"/>
              <w:right w:val="single" w:sz="4" w:space="0" w:color="auto"/>
            </w:tcBorders>
            <w:shd w:val="clear" w:color="auto" w:fill="auto"/>
            <w:noWrap/>
            <w:vAlign w:val="bottom"/>
            <w:hideMark/>
          </w:tcPr>
          <w:p w14:paraId="34BD1411" w14:textId="77777777" w:rsidR="00686EC7" w:rsidRPr="000C156A" w:rsidRDefault="00686EC7" w:rsidP="00141BAA">
            <w:pPr>
              <w:jc w:val="center"/>
              <w:rPr>
                <w:rFonts w:cs="Calibri"/>
                <w:sz w:val="22"/>
                <w:szCs w:val="22"/>
              </w:rPr>
            </w:pPr>
            <w:r w:rsidRPr="000C156A">
              <w:rPr>
                <w:rFonts w:cs="Calibri"/>
                <w:sz w:val="22"/>
                <w:szCs w:val="22"/>
              </w:rPr>
              <w:t>2007-2009</w:t>
            </w:r>
          </w:p>
        </w:tc>
        <w:tc>
          <w:tcPr>
            <w:tcW w:w="1446" w:type="dxa"/>
            <w:tcBorders>
              <w:top w:val="nil"/>
              <w:left w:val="single" w:sz="4" w:space="0" w:color="auto"/>
              <w:bottom w:val="nil"/>
              <w:right w:val="single" w:sz="4" w:space="0" w:color="auto"/>
            </w:tcBorders>
            <w:shd w:val="clear" w:color="auto" w:fill="auto"/>
            <w:noWrap/>
            <w:vAlign w:val="bottom"/>
            <w:hideMark/>
          </w:tcPr>
          <w:p w14:paraId="54B798DB" w14:textId="48F58F47" w:rsidR="00686EC7" w:rsidRPr="000C156A" w:rsidRDefault="00686EC7" w:rsidP="00141BAA">
            <w:pPr>
              <w:jc w:val="right"/>
              <w:rPr>
                <w:rFonts w:cs="Calibri"/>
                <w:sz w:val="22"/>
                <w:szCs w:val="22"/>
              </w:rPr>
            </w:pPr>
            <w:r w:rsidRPr="000C156A">
              <w:rPr>
                <w:rFonts w:cs="Calibri"/>
                <w:sz w:val="22"/>
                <w:szCs w:val="22"/>
              </w:rPr>
              <w:t>7</w:t>
            </w:r>
            <w:r w:rsidR="003F0401" w:rsidRPr="000C156A">
              <w:rPr>
                <w:rFonts w:cs="Calibri"/>
                <w:sz w:val="22"/>
                <w:szCs w:val="22"/>
              </w:rPr>
              <w:t xml:space="preserve"> </w:t>
            </w:r>
            <w:r w:rsidRPr="000C156A">
              <w:rPr>
                <w:rFonts w:cs="Calibri"/>
                <w:sz w:val="22"/>
                <w:szCs w:val="22"/>
              </w:rPr>
              <w:t>952.65</w:t>
            </w:r>
          </w:p>
        </w:tc>
        <w:tc>
          <w:tcPr>
            <w:tcW w:w="1446" w:type="dxa"/>
            <w:tcBorders>
              <w:top w:val="nil"/>
              <w:left w:val="single" w:sz="4" w:space="0" w:color="auto"/>
              <w:bottom w:val="nil"/>
              <w:right w:val="single" w:sz="4" w:space="0" w:color="auto"/>
            </w:tcBorders>
            <w:shd w:val="clear" w:color="auto" w:fill="auto"/>
            <w:noWrap/>
            <w:vAlign w:val="bottom"/>
            <w:hideMark/>
          </w:tcPr>
          <w:p w14:paraId="226FEABE" w14:textId="77777777" w:rsidR="00686EC7" w:rsidRPr="000C156A" w:rsidRDefault="00686EC7" w:rsidP="00141BAA">
            <w:pPr>
              <w:jc w:val="right"/>
              <w:rPr>
                <w:rFonts w:cs="Calibri"/>
                <w:sz w:val="22"/>
                <w:szCs w:val="22"/>
              </w:rPr>
            </w:pPr>
            <w:r w:rsidRPr="000C156A">
              <w:rPr>
                <w:rFonts w:cs="Calibri"/>
                <w:sz w:val="22"/>
                <w:szCs w:val="22"/>
              </w:rPr>
              <w:t>0.00</w:t>
            </w:r>
          </w:p>
        </w:tc>
        <w:tc>
          <w:tcPr>
            <w:tcW w:w="1446" w:type="dxa"/>
            <w:tcBorders>
              <w:top w:val="nil"/>
              <w:left w:val="single" w:sz="4" w:space="0" w:color="auto"/>
              <w:bottom w:val="nil"/>
              <w:right w:val="single" w:sz="4" w:space="0" w:color="auto"/>
            </w:tcBorders>
            <w:shd w:val="clear" w:color="auto" w:fill="auto"/>
            <w:noWrap/>
            <w:vAlign w:val="bottom"/>
            <w:hideMark/>
          </w:tcPr>
          <w:p w14:paraId="3A8D450E" w14:textId="45728137" w:rsidR="00686EC7" w:rsidRPr="000C156A" w:rsidRDefault="00686EC7" w:rsidP="00141BAA">
            <w:pPr>
              <w:jc w:val="right"/>
              <w:rPr>
                <w:rFonts w:cs="Calibri"/>
                <w:sz w:val="22"/>
                <w:szCs w:val="22"/>
              </w:rPr>
            </w:pPr>
            <w:r w:rsidRPr="000C156A">
              <w:rPr>
                <w:rFonts w:cs="Calibri"/>
                <w:sz w:val="22"/>
                <w:szCs w:val="22"/>
              </w:rPr>
              <w:t>7</w:t>
            </w:r>
            <w:r w:rsidR="003F0401" w:rsidRPr="000C156A">
              <w:rPr>
                <w:rFonts w:cs="Calibri"/>
                <w:sz w:val="22"/>
                <w:szCs w:val="22"/>
              </w:rPr>
              <w:t xml:space="preserve"> </w:t>
            </w:r>
            <w:r w:rsidRPr="000C156A">
              <w:rPr>
                <w:rFonts w:cs="Calibri"/>
                <w:sz w:val="22"/>
                <w:szCs w:val="22"/>
              </w:rPr>
              <w:t>952.65</w:t>
            </w:r>
          </w:p>
        </w:tc>
      </w:tr>
      <w:tr w:rsidR="00686EC7" w:rsidRPr="000C156A" w14:paraId="3A4CCFE9" w14:textId="77777777" w:rsidTr="00D93F72">
        <w:trPr>
          <w:trHeight w:val="300"/>
          <w:jc w:val="center"/>
        </w:trPr>
        <w:tc>
          <w:tcPr>
            <w:tcW w:w="4531" w:type="dxa"/>
            <w:tcBorders>
              <w:top w:val="nil"/>
              <w:left w:val="single" w:sz="4" w:space="0" w:color="auto"/>
              <w:bottom w:val="nil"/>
              <w:right w:val="single" w:sz="4" w:space="0" w:color="auto"/>
            </w:tcBorders>
            <w:shd w:val="clear" w:color="auto" w:fill="auto"/>
            <w:vAlign w:val="bottom"/>
            <w:hideMark/>
          </w:tcPr>
          <w:p w14:paraId="644D1076" w14:textId="77777777" w:rsidR="00686EC7" w:rsidRPr="000C156A" w:rsidRDefault="00686EC7" w:rsidP="00141BAA">
            <w:pPr>
              <w:rPr>
                <w:rFonts w:cs="Calibri"/>
                <w:b/>
                <w:bCs/>
                <w:sz w:val="22"/>
                <w:szCs w:val="22"/>
              </w:rPr>
            </w:pPr>
            <w:r w:rsidRPr="000C156A">
              <w:rPr>
                <w:rFonts w:cs="Calibri"/>
                <w:b/>
                <w:bCs/>
                <w:sz w:val="22"/>
                <w:szCs w:val="22"/>
              </w:rPr>
              <w:t>卢旺达</w:t>
            </w:r>
            <w:r w:rsidRPr="000C156A">
              <w:rPr>
                <w:rFonts w:cs="Calibri" w:hint="eastAsia"/>
                <w:b/>
                <w:bCs/>
                <w:sz w:val="22"/>
                <w:szCs w:val="22"/>
                <w:lang w:eastAsia="zh-CN"/>
              </w:rPr>
              <w:t>共和国</w:t>
            </w:r>
          </w:p>
        </w:tc>
        <w:tc>
          <w:tcPr>
            <w:tcW w:w="1445" w:type="dxa"/>
            <w:tcBorders>
              <w:top w:val="nil"/>
              <w:left w:val="single" w:sz="4" w:space="0" w:color="auto"/>
              <w:bottom w:val="nil"/>
              <w:right w:val="single" w:sz="4" w:space="0" w:color="auto"/>
            </w:tcBorders>
            <w:shd w:val="clear" w:color="auto" w:fill="auto"/>
            <w:noWrap/>
            <w:vAlign w:val="bottom"/>
            <w:hideMark/>
          </w:tcPr>
          <w:p w14:paraId="7B7D7121" w14:textId="77777777" w:rsidR="00686EC7" w:rsidRPr="000C156A" w:rsidRDefault="00686EC7" w:rsidP="00141BAA">
            <w:pPr>
              <w:rPr>
                <w:rFonts w:cs="Calibri"/>
                <w:b/>
                <w:bCs/>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1669FF45" w14:textId="77777777" w:rsidR="00686EC7" w:rsidRPr="000C156A" w:rsidRDefault="00686EC7" w:rsidP="00141BAA">
            <w:pPr>
              <w:jc w:val="center"/>
              <w:rPr>
                <w:rFonts w:ascii="Times New Roman" w:hAnsi="Times New Roman"/>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7B72AC57" w14:textId="77777777" w:rsidR="00686EC7" w:rsidRPr="000C156A" w:rsidRDefault="00686EC7" w:rsidP="00141BAA">
            <w:pPr>
              <w:rPr>
                <w:rFonts w:ascii="Times New Roman" w:hAnsi="Times New Roman"/>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794A813C" w14:textId="77777777" w:rsidR="00686EC7" w:rsidRPr="000C156A" w:rsidRDefault="00686EC7" w:rsidP="00141BAA">
            <w:pPr>
              <w:rPr>
                <w:rFonts w:ascii="Times New Roman" w:hAnsi="Times New Roman"/>
                <w:sz w:val="22"/>
                <w:szCs w:val="22"/>
              </w:rPr>
            </w:pPr>
          </w:p>
        </w:tc>
      </w:tr>
      <w:tr w:rsidR="00686EC7" w:rsidRPr="000C156A" w14:paraId="24F2012F" w14:textId="77777777" w:rsidTr="00D93F72">
        <w:trPr>
          <w:trHeight w:val="300"/>
          <w:jc w:val="center"/>
        </w:trPr>
        <w:tc>
          <w:tcPr>
            <w:tcW w:w="4531" w:type="dxa"/>
            <w:tcBorders>
              <w:top w:val="nil"/>
              <w:left w:val="single" w:sz="4" w:space="0" w:color="auto"/>
              <w:bottom w:val="nil"/>
              <w:right w:val="single" w:sz="4" w:space="0" w:color="auto"/>
            </w:tcBorders>
            <w:shd w:val="clear" w:color="auto" w:fill="auto"/>
            <w:vAlign w:val="bottom"/>
            <w:hideMark/>
          </w:tcPr>
          <w:p w14:paraId="2FD0F3E3" w14:textId="70DD20CD" w:rsidR="00686EC7" w:rsidRPr="000C156A" w:rsidRDefault="00D93F72" w:rsidP="00D93F72">
            <w:pPr>
              <w:tabs>
                <w:tab w:val="clear" w:pos="567"/>
              </w:tabs>
              <w:spacing w:before="0"/>
              <w:ind w:left="317" w:hanging="317"/>
              <w:rPr>
                <w:rFonts w:cs="Calibri"/>
                <w:sz w:val="22"/>
                <w:szCs w:val="22"/>
                <w:lang w:eastAsia="zh-CN"/>
              </w:rPr>
            </w:pPr>
            <w:r w:rsidRPr="000C156A">
              <w:rPr>
                <w:rFonts w:cs="Calibri"/>
                <w:sz w:val="22"/>
                <w:szCs w:val="22"/>
                <w:lang w:eastAsia="zh-CN"/>
              </w:rPr>
              <w:t>–</w:t>
            </w:r>
            <w:r w:rsidRPr="000C156A">
              <w:rPr>
                <w:rFonts w:cs="Calibri"/>
                <w:sz w:val="22"/>
                <w:szCs w:val="22"/>
                <w:lang w:eastAsia="zh-CN"/>
              </w:rPr>
              <w:tab/>
            </w:r>
            <w:r w:rsidR="00686EC7" w:rsidRPr="000C156A">
              <w:rPr>
                <w:rFonts w:cs="Calibri"/>
                <w:sz w:val="22"/>
                <w:szCs w:val="22"/>
                <w:lang w:val="fr-FR" w:eastAsia="zh-CN"/>
              </w:rPr>
              <w:t>卢旺达</w:t>
            </w:r>
            <w:r w:rsidR="00686EC7" w:rsidRPr="000C156A">
              <w:rPr>
                <w:rFonts w:cs="Calibri" w:hint="eastAsia"/>
                <w:sz w:val="22"/>
                <w:szCs w:val="22"/>
                <w:lang w:val="fr-FR" w:eastAsia="zh-CN"/>
              </w:rPr>
              <w:t>技术大学</w:t>
            </w:r>
            <w:r w:rsidR="00686EC7" w:rsidRPr="000C156A">
              <w:rPr>
                <w:rFonts w:cs="Calibri" w:hint="eastAsia"/>
                <w:sz w:val="22"/>
                <w:szCs w:val="22"/>
                <w:lang w:eastAsia="zh-CN"/>
              </w:rPr>
              <w:t>，基加利</w:t>
            </w:r>
          </w:p>
        </w:tc>
        <w:tc>
          <w:tcPr>
            <w:tcW w:w="1445" w:type="dxa"/>
            <w:tcBorders>
              <w:top w:val="nil"/>
              <w:left w:val="single" w:sz="4" w:space="0" w:color="auto"/>
              <w:bottom w:val="nil"/>
              <w:right w:val="single" w:sz="4" w:space="0" w:color="auto"/>
            </w:tcBorders>
            <w:shd w:val="clear" w:color="auto" w:fill="auto"/>
            <w:noWrap/>
            <w:vAlign w:val="bottom"/>
            <w:hideMark/>
          </w:tcPr>
          <w:p w14:paraId="7E2927EC" w14:textId="77777777" w:rsidR="00686EC7" w:rsidRPr="000C156A" w:rsidRDefault="00686EC7" w:rsidP="00141BAA">
            <w:pPr>
              <w:jc w:val="center"/>
              <w:rPr>
                <w:rFonts w:cs="Calibri"/>
                <w:sz w:val="22"/>
                <w:szCs w:val="22"/>
              </w:rPr>
            </w:pPr>
            <w:r w:rsidRPr="000C156A">
              <w:rPr>
                <w:rFonts w:cs="Calibri"/>
                <w:sz w:val="22"/>
                <w:szCs w:val="22"/>
              </w:rPr>
              <w:t>2016</w:t>
            </w:r>
          </w:p>
        </w:tc>
        <w:tc>
          <w:tcPr>
            <w:tcW w:w="1446" w:type="dxa"/>
            <w:tcBorders>
              <w:top w:val="nil"/>
              <w:left w:val="single" w:sz="4" w:space="0" w:color="auto"/>
              <w:bottom w:val="nil"/>
              <w:right w:val="single" w:sz="4" w:space="0" w:color="auto"/>
            </w:tcBorders>
            <w:shd w:val="clear" w:color="auto" w:fill="auto"/>
            <w:noWrap/>
            <w:vAlign w:val="bottom"/>
            <w:hideMark/>
          </w:tcPr>
          <w:p w14:paraId="0BED8E7C" w14:textId="0E4BE0B3"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169.40</w:t>
            </w:r>
          </w:p>
        </w:tc>
        <w:tc>
          <w:tcPr>
            <w:tcW w:w="1446" w:type="dxa"/>
            <w:tcBorders>
              <w:top w:val="nil"/>
              <w:left w:val="single" w:sz="4" w:space="0" w:color="auto"/>
              <w:bottom w:val="nil"/>
              <w:right w:val="single" w:sz="4" w:space="0" w:color="auto"/>
            </w:tcBorders>
            <w:shd w:val="clear" w:color="auto" w:fill="auto"/>
            <w:noWrap/>
            <w:vAlign w:val="bottom"/>
            <w:hideMark/>
          </w:tcPr>
          <w:p w14:paraId="337FE75E" w14:textId="77777777" w:rsidR="00686EC7" w:rsidRPr="000C156A" w:rsidRDefault="00686EC7" w:rsidP="00141BAA">
            <w:pPr>
              <w:jc w:val="right"/>
              <w:rPr>
                <w:rFonts w:cs="Calibri"/>
                <w:sz w:val="22"/>
                <w:szCs w:val="22"/>
              </w:rPr>
            </w:pPr>
            <w:r w:rsidRPr="000C156A">
              <w:rPr>
                <w:rFonts w:cs="Calibri"/>
                <w:sz w:val="22"/>
                <w:szCs w:val="22"/>
              </w:rPr>
              <w:t>0.00</w:t>
            </w:r>
          </w:p>
        </w:tc>
        <w:tc>
          <w:tcPr>
            <w:tcW w:w="1446" w:type="dxa"/>
            <w:tcBorders>
              <w:top w:val="nil"/>
              <w:left w:val="single" w:sz="4" w:space="0" w:color="auto"/>
              <w:bottom w:val="nil"/>
              <w:right w:val="single" w:sz="4" w:space="0" w:color="auto"/>
            </w:tcBorders>
            <w:shd w:val="clear" w:color="auto" w:fill="auto"/>
            <w:noWrap/>
            <w:vAlign w:val="bottom"/>
            <w:hideMark/>
          </w:tcPr>
          <w:p w14:paraId="4CDBBD17" w14:textId="30A1A8A3"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169.40</w:t>
            </w:r>
          </w:p>
        </w:tc>
      </w:tr>
      <w:tr w:rsidR="00686EC7" w:rsidRPr="000C156A" w14:paraId="09EB030C" w14:textId="77777777" w:rsidTr="00D93F72">
        <w:trPr>
          <w:trHeight w:val="300"/>
          <w:jc w:val="center"/>
        </w:trPr>
        <w:tc>
          <w:tcPr>
            <w:tcW w:w="4531" w:type="dxa"/>
            <w:tcBorders>
              <w:top w:val="nil"/>
              <w:left w:val="single" w:sz="4" w:space="0" w:color="auto"/>
              <w:bottom w:val="nil"/>
              <w:right w:val="single" w:sz="4" w:space="0" w:color="auto"/>
            </w:tcBorders>
            <w:shd w:val="clear" w:color="auto" w:fill="auto"/>
            <w:vAlign w:val="bottom"/>
            <w:hideMark/>
          </w:tcPr>
          <w:p w14:paraId="73243C24" w14:textId="77777777" w:rsidR="00686EC7" w:rsidRPr="000C156A" w:rsidRDefault="00686EC7" w:rsidP="00141BAA">
            <w:pPr>
              <w:rPr>
                <w:rFonts w:cs="Calibri"/>
                <w:b/>
                <w:bCs/>
                <w:sz w:val="22"/>
                <w:szCs w:val="22"/>
              </w:rPr>
            </w:pPr>
            <w:r w:rsidRPr="000C156A">
              <w:rPr>
                <w:rFonts w:cs="Calibri"/>
                <w:b/>
                <w:bCs/>
                <w:sz w:val="22"/>
                <w:szCs w:val="22"/>
              </w:rPr>
              <w:t>罗马尼亚</w:t>
            </w:r>
          </w:p>
        </w:tc>
        <w:tc>
          <w:tcPr>
            <w:tcW w:w="1445" w:type="dxa"/>
            <w:tcBorders>
              <w:top w:val="nil"/>
              <w:left w:val="single" w:sz="4" w:space="0" w:color="auto"/>
              <w:bottom w:val="nil"/>
              <w:right w:val="single" w:sz="4" w:space="0" w:color="auto"/>
            </w:tcBorders>
            <w:shd w:val="clear" w:color="auto" w:fill="auto"/>
            <w:noWrap/>
            <w:vAlign w:val="bottom"/>
            <w:hideMark/>
          </w:tcPr>
          <w:p w14:paraId="502429A3" w14:textId="77777777" w:rsidR="00686EC7" w:rsidRPr="000C156A" w:rsidRDefault="00686EC7" w:rsidP="00141BAA">
            <w:pPr>
              <w:rPr>
                <w:rFonts w:cs="Calibri"/>
                <w:b/>
                <w:bCs/>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165E3619" w14:textId="77777777" w:rsidR="00686EC7" w:rsidRPr="000C156A" w:rsidRDefault="00686EC7" w:rsidP="00141BAA">
            <w:pPr>
              <w:rPr>
                <w:rFonts w:ascii="Times New Roman" w:hAnsi="Times New Roman"/>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374E156E" w14:textId="77777777" w:rsidR="00686EC7" w:rsidRPr="000C156A" w:rsidRDefault="00686EC7" w:rsidP="00141BAA">
            <w:pPr>
              <w:rPr>
                <w:rFonts w:ascii="Times New Roman" w:hAnsi="Times New Roman"/>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4998E737" w14:textId="77777777" w:rsidR="00686EC7" w:rsidRPr="000C156A" w:rsidRDefault="00686EC7" w:rsidP="00141BAA">
            <w:pPr>
              <w:rPr>
                <w:rFonts w:ascii="Times New Roman" w:hAnsi="Times New Roman"/>
                <w:sz w:val="22"/>
                <w:szCs w:val="22"/>
              </w:rPr>
            </w:pPr>
          </w:p>
        </w:tc>
      </w:tr>
      <w:tr w:rsidR="00686EC7" w:rsidRPr="000C156A" w14:paraId="56692F37" w14:textId="77777777" w:rsidTr="00D93F72">
        <w:trPr>
          <w:trHeight w:val="300"/>
          <w:jc w:val="center"/>
        </w:trPr>
        <w:tc>
          <w:tcPr>
            <w:tcW w:w="4531" w:type="dxa"/>
            <w:tcBorders>
              <w:top w:val="nil"/>
              <w:left w:val="single" w:sz="4" w:space="0" w:color="auto"/>
              <w:bottom w:val="nil"/>
              <w:right w:val="single" w:sz="4" w:space="0" w:color="auto"/>
            </w:tcBorders>
            <w:shd w:val="clear" w:color="auto" w:fill="auto"/>
            <w:vAlign w:val="bottom"/>
            <w:hideMark/>
          </w:tcPr>
          <w:p w14:paraId="17E0A393" w14:textId="07393859" w:rsidR="00686EC7" w:rsidRPr="000C156A" w:rsidRDefault="00D93F72" w:rsidP="00D93F72">
            <w:pPr>
              <w:tabs>
                <w:tab w:val="clear" w:pos="567"/>
              </w:tabs>
              <w:spacing w:before="0"/>
              <w:ind w:left="317" w:hanging="317"/>
              <w:rPr>
                <w:rFonts w:cs="Calibri"/>
                <w:sz w:val="22"/>
                <w:szCs w:val="22"/>
                <w:lang w:eastAsia="zh-CN"/>
              </w:rPr>
            </w:pPr>
            <w:r w:rsidRPr="000C156A">
              <w:rPr>
                <w:rFonts w:cs="Calibri"/>
                <w:sz w:val="22"/>
                <w:szCs w:val="22"/>
                <w:lang w:eastAsia="zh-CN"/>
              </w:rPr>
              <w:t>–</w:t>
            </w:r>
            <w:r w:rsidRPr="000C156A">
              <w:rPr>
                <w:rFonts w:cs="Calibri"/>
                <w:sz w:val="22"/>
                <w:szCs w:val="22"/>
                <w:lang w:eastAsia="zh-CN"/>
              </w:rPr>
              <w:tab/>
            </w:r>
            <w:r w:rsidR="00686EC7" w:rsidRPr="000C156A">
              <w:rPr>
                <w:rFonts w:cs="Calibri" w:hint="eastAsia"/>
                <w:sz w:val="22"/>
                <w:szCs w:val="22"/>
                <w:lang w:val="fr-FR" w:eastAsia="zh-CN"/>
              </w:rPr>
              <w:t>布加勒斯特理工学院</w:t>
            </w:r>
            <w:r w:rsidR="00686EC7" w:rsidRPr="000C156A">
              <w:rPr>
                <w:rFonts w:cs="Calibri" w:hint="eastAsia"/>
                <w:sz w:val="22"/>
                <w:szCs w:val="22"/>
                <w:lang w:eastAsia="zh-CN"/>
              </w:rPr>
              <w:t>，布加勒斯特</w:t>
            </w:r>
          </w:p>
        </w:tc>
        <w:tc>
          <w:tcPr>
            <w:tcW w:w="1445" w:type="dxa"/>
            <w:tcBorders>
              <w:top w:val="nil"/>
              <w:left w:val="single" w:sz="4" w:space="0" w:color="auto"/>
              <w:bottom w:val="nil"/>
              <w:right w:val="single" w:sz="4" w:space="0" w:color="auto"/>
            </w:tcBorders>
            <w:shd w:val="clear" w:color="auto" w:fill="auto"/>
            <w:noWrap/>
            <w:vAlign w:val="bottom"/>
            <w:hideMark/>
          </w:tcPr>
          <w:p w14:paraId="1FF00B6E" w14:textId="77777777" w:rsidR="00686EC7" w:rsidRPr="000C156A" w:rsidRDefault="00686EC7" w:rsidP="00141BAA">
            <w:pPr>
              <w:jc w:val="center"/>
              <w:rPr>
                <w:rFonts w:cs="Calibri"/>
                <w:sz w:val="22"/>
                <w:szCs w:val="22"/>
              </w:rPr>
            </w:pPr>
            <w:r w:rsidRPr="000C156A">
              <w:rPr>
                <w:rFonts w:cs="Calibri"/>
                <w:sz w:val="22"/>
                <w:szCs w:val="22"/>
              </w:rPr>
              <w:t>2009-2010</w:t>
            </w:r>
          </w:p>
        </w:tc>
        <w:tc>
          <w:tcPr>
            <w:tcW w:w="1446" w:type="dxa"/>
            <w:tcBorders>
              <w:top w:val="nil"/>
              <w:left w:val="single" w:sz="4" w:space="0" w:color="auto"/>
              <w:bottom w:val="nil"/>
              <w:right w:val="single" w:sz="4" w:space="0" w:color="auto"/>
            </w:tcBorders>
            <w:shd w:val="clear" w:color="auto" w:fill="auto"/>
            <w:noWrap/>
            <w:vAlign w:val="bottom"/>
            <w:hideMark/>
          </w:tcPr>
          <w:p w14:paraId="56F34A4F" w14:textId="07102847" w:rsidR="00686EC7" w:rsidRPr="000C156A" w:rsidRDefault="00686EC7" w:rsidP="00141BAA">
            <w:pPr>
              <w:jc w:val="right"/>
              <w:rPr>
                <w:rFonts w:cs="Calibri"/>
                <w:sz w:val="22"/>
                <w:szCs w:val="22"/>
              </w:rPr>
            </w:pPr>
            <w:r w:rsidRPr="000C156A">
              <w:rPr>
                <w:rFonts w:cs="Calibri"/>
                <w:sz w:val="22"/>
                <w:szCs w:val="22"/>
              </w:rPr>
              <w:t>7</w:t>
            </w:r>
            <w:r w:rsidR="003F0401" w:rsidRPr="000C156A">
              <w:rPr>
                <w:rFonts w:cs="Calibri"/>
                <w:sz w:val="22"/>
                <w:szCs w:val="22"/>
              </w:rPr>
              <w:t xml:space="preserve"> </w:t>
            </w:r>
            <w:r w:rsidRPr="000C156A">
              <w:rPr>
                <w:rFonts w:cs="Calibri"/>
                <w:sz w:val="22"/>
                <w:szCs w:val="22"/>
              </w:rPr>
              <w:t>478.90</w:t>
            </w:r>
          </w:p>
        </w:tc>
        <w:tc>
          <w:tcPr>
            <w:tcW w:w="1446" w:type="dxa"/>
            <w:tcBorders>
              <w:top w:val="nil"/>
              <w:left w:val="single" w:sz="4" w:space="0" w:color="auto"/>
              <w:bottom w:val="nil"/>
              <w:right w:val="single" w:sz="4" w:space="0" w:color="auto"/>
            </w:tcBorders>
            <w:shd w:val="clear" w:color="auto" w:fill="auto"/>
            <w:noWrap/>
            <w:vAlign w:val="bottom"/>
            <w:hideMark/>
          </w:tcPr>
          <w:p w14:paraId="4E76A040" w14:textId="77777777" w:rsidR="00686EC7" w:rsidRPr="000C156A" w:rsidRDefault="00686EC7" w:rsidP="00141BAA">
            <w:pPr>
              <w:jc w:val="right"/>
              <w:rPr>
                <w:rFonts w:cs="Calibri"/>
                <w:sz w:val="22"/>
                <w:szCs w:val="22"/>
              </w:rPr>
            </w:pPr>
            <w:r w:rsidRPr="000C156A">
              <w:rPr>
                <w:rFonts w:cs="Calibri"/>
                <w:sz w:val="22"/>
                <w:szCs w:val="22"/>
              </w:rPr>
              <w:t>0.00</w:t>
            </w:r>
          </w:p>
        </w:tc>
        <w:tc>
          <w:tcPr>
            <w:tcW w:w="1446" w:type="dxa"/>
            <w:tcBorders>
              <w:top w:val="nil"/>
              <w:left w:val="single" w:sz="4" w:space="0" w:color="auto"/>
              <w:bottom w:val="nil"/>
              <w:right w:val="single" w:sz="4" w:space="0" w:color="auto"/>
            </w:tcBorders>
            <w:shd w:val="clear" w:color="auto" w:fill="auto"/>
            <w:noWrap/>
            <w:vAlign w:val="bottom"/>
            <w:hideMark/>
          </w:tcPr>
          <w:p w14:paraId="37EE9224" w14:textId="20EE5918" w:rsidR="00686EC7" w:rsidRPr="000C156A" w:rsidRDefault="00686EC7" w:rsidP="00141BAA">
            <w:pPr>
              <w:jc w:val="right"/>
              <w:rPr>
                <w:rFonts w:cs="Calibri"/>
                <w:sz w:val="22"/>
                <w:szCs w:val="22"/>
              </w:rPr>
            </w:pPr>
            <w:r w:rsidRPr="000C156A">
              <w:rPr>
                <w:rFonts w:cs="Calibri"/>
                <w:sz w:val="22"/>
                <w:szCs w:val="22"/>
              </w:rPr>
              <w:t>7</w:t>
            </w:r>
            <w:r w:rsidR="003F0401" w:rsidRPr="000C156A">
              <w:rPr>
                <w:rFonts w:cs="Calibri"/>
                <w:sz w:val="22"/>
                <w:szCs w:val="22"/>
              </w:rPr>
              <w:t xml:space="preserve"> </w:t>
            </w:r>
            <w:r w:rsidRPr="000C156A">
              <w:rPr>
                <w:rFonts w:cs="Calibri"/>
                <w:sz w:val="22"/>
                <w:szCs w:val="22"/>
              </w:rPr>
              <w:t>478.90</w:t>
            </w:r>
          </w:p>
        </w:tc>
      </w:tr>
      <w:tr w:rsidR="00686EC7" w:rsidRPr="000C156A" w14:paraId="64A3A237" w14:textId="77777777" w:rsidTr="00D93F72">
        <w:trPr>
          <w:trHeight w:val="300"/>
          <w:jc w:val="center"/>
        </w:trPr>
        <w:tc>
          <w:tcPr>
            <w:tcW w:w="4531" w:type="dxa"/>
            <w:tcBorders>
              <w:top w:val="nil"/>
              <w:left w:val="single" w:sz="4" w:space="0" w:color="auto"/>
              <w:bottom w:val="nil"/>
              <w:right w:val="single" w:sz="4" w:space="0" w:color="auto"/>
            </w:tcBorders>
            <w:shd w:val="clear" w:color="auto" w:fill="auto"/>
            <w:vAlign w:val="bottom"/>
            <w:hideMark/>
          </w:tcPr>
          <w:p w14:paraId="1C453D67" w14:textId="77777777" w:rsidR="00686EC7" w:rsidRPr="000C156A" w:rsidRDefault="00686EC7" w:rsidP="00141BAA">
            <w:pPr>
              <w:rPr>
                <w:rFonts w:cs="Calibri"/>
                <w:b/>
                <w:bCs/>
                <w:sz w:val="22"/>
                <w:szCs w:val="22"/>
              </w:rPr>
            </w:pPr>
            <w:r w:rsidRPr="000C156A">
              <w:rPr>
                <w:rFonts w:cs="Calibri"/>
                <w:b/>
                <w:bCs/>
                <w:sz w:val="22"/>
                <w:szCs w:val="22"/>
              </w:rPr>
              <w:t>俄罗斯联邦</w:t>
            </w:r>
          </w:p>
        </w:tc>
        <w:tc>
          <w:tcPr>
            <w:tcW w:w="1445" w:type="dxa"/>
            <w:tcBorders>
              <w:top w:val="nil"/>
              <w:left w:val="single" w:sz="4" w:space="0" w:color="auto"/>
              <w:bottom w:val="nil"/>
              <w:right w:val="single" w:sz="4" w:space="0" w:color="auto"/>
            </w:tcBorders>
            <w:shd w:val="clear" w:color="auto" w:fill="auto"/>
            <w:noWrap/>
            <w:vAlign w:val="bottom"/>
            <w:hideMark/>
          </w:tcPr>
          <w:p w14:paraId="27516BE4" w14:textId="77777777" w:rsidR="00686EC7" w:rsidRPr="000C156A" w:rsidRDefault="00686EC7" w:rsidP="00141BAA">
            <w:pPr>
              <w:rPr>
                <w:rFonts w:cs="Calibri"/>
                <w:b/>
                <w:bCs/>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79A4CAA3" w14:textId="77777777" w:rsidR="00686EC7" w:rsidRPr="000C156A" w:rsidRDefault="00686EC7" w:rsidP="00141BAA">
            <w:pPr>
              <w:jc w:val="center"/>
              <w:rPr>
                <w:rFonts w:ascii="Times New Roman" w:hAnsi="Times New Roman"/>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41FED3FD" w14:textId="77777777" w:rsidR="00686EC7" w:rsidRPr="000C156A" w:rsidRDefault="00686EC7" w:rsidP="00141BAA">
            <w:pPr>
              <w:rPr>
                <w:rFonts w:ascii="Times New Roman" w:hAnsi="Times New Roman"/>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681765A7" w14:textId="77777777" w:rsidR="00686EC7" w:rsidRPr="000C156A" w:rsidRDefault="00686EC7" w:rsidP="00141BAA">
            <w:pPr>
              <w:rPr>
                <w:rFonts w:ascii="Times New Roman" w:hAnsi="Times New Roman"/>
                <w:sz w:val="22"/>
                <w:szCs w:val="22"/>
              </w:rPr>
            </w:pPr>
          </w:p>
        </w:tc>
      </w:tr>
      <w:tr w:rsidR="00686EC7" w:rsidRPr="000C156A" w14:paraId="4DA90020" w14:textId="77777777" w:rsidTr="00D93F72">
        <w:trPr>
          <w:trHeight w:val="300"/>
          <w:jc w:val="center"/>
        </w:trPr>
        <w:tc>
          <w:tcPr>
            <w:tcW w:w="4531" w:type="dxa"/>
            <w:tcBorders>
              <w:top w:val="nil"/>
              <w:left w:val="single" w:sz="4" w:space="0" w:color="auto"/>
              <w:bottom w:val="nil"/>
              <w:right w:val="single" w:sz="4" w:space="0" w:color="auto"/>
            </w:tcBorders>
            <w:shd w:val="clear" w:color="auto" w:fill="auto"/>
            <w:vAlign w:val="bottom"/>
            <w:hideMark/>
          </w:tcPr>
          <w:p w14:paraId="7492FD0E" w14:textId="08AF1F0B"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IRPO ACISO</w:t>
            </w:r>
            <w:r w:rsidR="00686EC7" w:rsidRPr="000C156A">
              <w:rPr>
                <w:rFonts w:cs="Calibri" w:hint="eastAsia"/>
                <w:sz w:val="22"/>
                <w:szCs w:val="22"/>
                <w:lang w:val="fr-FR"/>
              </w:rPr>
              <w:t>，莫斯科</w:t>
            </w:r>
          </w:p>
        </w:tc>
        <w:tc>
          <w:tcPr>
            <w:tcW w:w="1445" w:type="dxa"/>
            <w:tcBorders>
              <w:top w:val="nil"/>
              <w:left w:val="single" w:sz="4" w:space="0" w:color="auto"/>
              <w:bottom w:val="nil"/>
              <w:right w:val="single" w:sz="4" w:space="0" w:color="auto"/>
            </w:tcBorders>
            <w:shd w:val="clear" w:color="auto" w:fill="auto"/>
            <w:noWrap/>
            <w:vAlign w:val="bottom"/>
            <w:hideMark/>
          </w:tcPr>
          <w:p w14:paraId="46030390" w14:textId="77777777" w:rsidR="00686EC7" w:rsidRPr="000C156A" w:rsidRDefault="00686EC7" w:rsidP="00141BAA">
            <w:pPr>
              <w:jc w:val="center"/>
              <w:rPr>
                <w:rFonts w:cs="Calibri"/>
                <w:sz w:val="22"/>
                <w:szCs w:val="22"/>
              </w:rPr>
            </w:pPr>
            <w:r w:rsidRPr="000C156A">
              <w:rPr>
                <w:rFonts w:cs="Calibri"/>
                <w:sz w:val="22"/>
                <w:szCs w:val="22"/>
              </w:rPr>
              <w:t>2013-2014</w:t>
            </w:r>
          </w:p>
        </w:tc>
        <w:tc>
          <w:tcPr>
            <w:tcW w:w="1446" w:type="dxa"/>
            <w:tcBorders>
              <w:top w:val="nil"/>
              <w:left w:val="single" w:sz="4" w:space="0" w:color="auto"/>
              <w:bottom w:val="nil"/>
              <w:right w:val="single" w:sz="4" w:space="0" w:color="auto"/>
            </w:tcBorders>
            <w:shd w:val="clear" w:color="auto" w:fill="auto"/>
            <w:noWrap/>
            <w:vAlign w:val="bottom"/>
            <w:hideMark/>
          </w:tcPr>
          <w:p w14:paraId="7CAC805A" w14:textId="4CCF4B46" w:rsidR="00686EC7" w:rsidRPr="000C156A" w:rsidRDefault="00686EC7" w:rsidP="00141BAA">
            <w:pPr>
              <w:jc w:val="right"/>
              <w:rPr>
                <w:rFonts w:cs="Calibri"/>
                <w:sz w:val="22"/>
                <w:szCs w:val="22"/>
              </w:rPr>
            </w:pPr>
            <w:r w:rsidRPr="000C156A">
              <w:rPr>
                <w:rFonts w:cs="Calibri"/>
                <w:sz w:val="22"/>
                <w:szCs w:val="22"/>
              </w:rPr>
              <w:t>5</w:t>
            </w:r>
            <w:r w:rsidR="003F0401" w:rsidRPr="000C156A">
              <w:rPr>
                <w:rFonts w:cs="Calibri"/>
                <w:sz w:val="22"/>
                <w:szCs w:val="22"/>
              </w:rPr>
              <w:t xml:space="preserve"> </w:t>
            </w:r>
            <w:r w:rsidRPr="000C156A">
              <w:rPr>
                <w:rFonts w:cs="Calibri"/>
                <w:sz w:val="22"/>
                <w:szCs w:val="22"/>
              </w:rPr>
              <w:t>540.05</w:t>
            </w:r>
          </w:p>
        </w:tc>
        <w:tc>
          <w:tcPr>
            <w:tcW w:w="1446" w:type="dxa"/>
            <w:tcBorders>
              <w:top w:val="nil"/>
              <w:left w:val="single" w:sz="4" w:space="0" w:color="auto"/>
              <w:bottom w:val="nil"/>
              <w:right w:val="single" w:sz="4" w:space="0" w:color="auto"/>
            </w:tcBorders>
            <w:shd w:val="clear" w:color="auto" w:fill="auto"/>
            <w:noWrap/>
            <w:vAlign w:val="bottom"/>
            <w:hideMark/>
          </w:tcPr>
          <w:p w14:paraId="00C5031F" w14:textId="77777777" w:rsidR="00686EC7" w:rsidRPr="000C156A" w:rsidRDefault="00686EC7" w:rsidP="00141BAA">
            <w:pPr>
              <w:jc w:val="right"/>
              <w:rPr>
                <w:rFonts w:cs="Calibri"/>
                <w:sz w:val="22"/>
                <w:szCs w:val="22"/>
              </w:rPr>
            </w:pPr>
            <w:r w:rsidRPr="000C156A">
              <w:rPr>
                <w:rFonts w:cs="Calibri"/>
                <w:sz w:val="22"/>
                <w:szCs w:val="22"/>
              </w:rPr>
              <w:t>0.00</w:t>
            </w:r>
          </w:p>
        </w:tc>
        <w:tc>
          <w:tcPr>
            <w:tcW w:w="1446" w:type="dxa"/>
            <w:tcBorders>
              <w:top w:val="nil"/>
              <w:left w:val="single" w:sz="4" w:space="0" w:color="auto"/>
              <w:bottom w:val="nil"/>
              <w:right w:val="single" w:sz="4" w:space="0" w:color="auto"/>
            </w:tcBorders>
            <w:shd w:val="clear" w:color="auto" w:fill="auto"/>
            <w:noWrap/>
            <w:vAlign w:val="bottom"/>
            <w:hideMark/>
          </w:tcPr>
          <w:p w14:paraId="21156AA5" w14:textId="0F6AD07B" w:rsidR="00686EC7" w:rsidRPr="000C156A" w:rsidRDefault="00686EC7" w:rsidP="00141BAA">
            <w:pPr>
              <w:jc w:val="right"/>
              <w:rPr>
                <w:rFonts w:cs="Calibri"/>
                <w:sz w:val="22"/>
                <w:szCs w:val="22"/>
              </w:rPr>
            </w:pPr>
            <w:r w:rsidRPr="000C156A">
              <w:rPr>
                <w:rFonts w:cs="Calibri"/>
                <w:sz w:val="22"/>
                <w:szCs w:val="22"/>
              </w:rPr>
              <w:t>5</w:t>
            </w:r>
            <w:r w:rsidR="003F0401" w:rsidRPr="000C156A">
              <w:rPr>
                <w:rFonts w:cs="Calibri"/>
                <w:sz w:val="22"/>
                <w:szCs w:val="22"/>
              </w:rPr>
              <w:t xml:space="preserve"> </w:t>
            </w:r>
            <w:r w:rsidRPr="000C156A">
              <w:rPr>
                <w:rFonts w:cs="Calibri"/>
                <w:sz w:val="22"/>
                <w:szCs w:val="22"/>
              </w:rPr>
              <w:t>540.05</w:t>
            </w:r>
          </w:p>
        </w:tc>
      </w:tr>
      <w:tr w:rsidR="00686EC7" w:rsidRPr="000C156A" w14:paraId="4E2545F6" w14:textId="77777777" w:rsidTr="00D93F72">
        <w:trPr>
          <w:trHeight w:val="300"/>
          <w:jc w:val="center"/>
        </w:trPr>
        <w:tc>
          <w:tcPr>
            <w:tcW w:w="4531" w:type="dxa"/>
            <w:tcBorders>
              <w:top w:val="nil"/>
              <w:left w:val="single" w:sz="4" w:space="0" w:color="auto"/>
              <w:bottom w:val="nil"/>
              <w:right w:val="single" w:sz="4" w:space="0" w:color="auto"/>
            </w:tcBorders>
            <w:shd w:val="clear" w:color="auto" w:fill="auto"/>
            <w:vAlign w:val="bottom"/>
            <w:hideMark/>
          </w:tcPr>
          <w:p w14:paraId="6776BC34" w14:textId="1E8164A4"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Mobix</w:t>
            </w:r>
            <w:r w:rsidR="00686EC7" w:rsidRPr="000C156A">
              <w:rPr>
                <w:rFonts w:cs="Calibri" w:hint="eastAsia"/>
                <w:sz w:val="22"/>
                <w:szCs w:val="22"/>
                <w:lang w:val="fr-FR"/>
              </w:rPr>
              <w:t>芯片公司，莫斯科</w:t>
            </w:r>
          </w:p>
        </w:tc>
        <w:tc>
          <w:tcPr>
            <w:tcW w:w="1445" w:type="dxa"/>
            <w:tcBorders>
              <w:top w:val="nil"/>
              <w:left w:val="single" w:sz="4" w:space="0" w:color="auto"/>
              <w:bottom w:val="nil"/>
              <w:right w:val="single" w:sz="4" w:space="0" w:color="auto"/>
            </w:tcBorders>
            <w:shd w:val="clear" w:color="auto" w:fill="auto"/>
            <w:noWrap/>
            <w:vAlign w:val="bottom"/>
            <w:hideMark/>
          </w:tcPr>
          <w:p w14:paraId="511F00B0" w14:textId="77777777" w:rsidR="00686EC7" w:rsidRPr="000C156A" w:rsidRDefault="00686EC7" w:rsidP="00141BAA">
            <w:pPr>
              <w:jc w:val="center"/>
              <w:rPr>
                <w:rFonts w:cs="Calibri"/>
                <w:sz w:val="22"/>
                <w:szCs w:val="22"/>
              </w:rPr>
            </w:pPr>
            <w:r w:rsidRPr="000C156A">
              <w:rPr>
                <w:rFonts w:cs="Calibri"/>
                <w:sz w:val="22"/>
                <w:szCs w:val="22"/>
              </w:rPr>
              <w:t>2013-2014</w:t>
            </w:r>
          </w:p>
        </w:tc>
        <w:tc>
          <w:tcPr>
            <w:tcW w:w="1446" w:type="dxa"/>
            <w:tcBorders>
              <w:top w:val="nil"/>
              <w:left w:val="single" w:sz="4" w:space="0" w:color="auto"/>
              <w:bottom w:val="nil"/>
              <w:right w:val="single" w:sz="4" w:space="0" w:color="auto"/>
            </w:tcBorders>
            <w:shd w:val="clear" w:color="auto" w:fill="auto"/>
            <w:noWrap/>
            <w:vAlign w:val="bottom"/>
            <w:hideMark/>
          </w:tcPr>
          <w:p w14:paraId="2D6A4C0F" w14:textId="6685F723" w:rsidR="00686EC7" w:rsidRPr="000C156A" w:rsidRDefault="00686EC7" w:rsidP="00141BAA">
            <w:pPr>
              <w:jc w:val="right"/>
              <w:rPr>
                <w:rFonts w:cs="Calibri"/>
                <w:sz w:val="22"/>
                <w:szCs w:val="22"/>
              </w:rPr>
            </w:pPr>
            <w:r w:rsidRPr="000C156A">
              <w:rPr>
                <w:rFonts w:cs="Calibri"/>
                <w:sz w:val="22"/>
                <w:szCs w:val="22"/>
              </w:rPr>
              <w:t>15</w:t>
            </w:r>
            <w:r w:rsidR="003F0401" w:rsidRPr="000C156A">
              <w:rPr>
                <w:rFonts w:cs="Calibri"/>
                <w:sz w:val="22"/>
                <w:szCs w:val="22"/>
              </w:rPr>
              <w:t xml:space="preserve"> </w:t>
            </w:r>
            <w:r w:rsidRPr="000C156A">
              <w:rPr>
                <w:rFonts w:cs="Calibri"/>
                <w:sz w:val="22"/>
                <w:szCs w:val="22"/>
              </w:rPr>
              <w:t>664.70</w:t>
            </w:r>
          </w:p>
        </w:tc>
        <w:tc>
          <w:tcPr>
            <w:tcW w:w="1446" w:type="dxa"/>
            <w:tcBorders>
              <w:top w:val="nil"/>
              <w:left w:val="single" w:sz="4" w:space="0" w:color="auto"/>
              <w:bottom w:val="nil"/>
              <w:right w:val="single" w:sz="4" w:space="0" w:color="auto"/>
            </w:tcBorders>
            <w:shd w:val="clear" w:color="auto" w:fill="auto"/>
            <w:noWrap/>
            <w:vAlign w:val="bottom"/>
            <w:hideMark/>
          </w:tcPr>
          <w:p w14:paraId="61F4B968" w14:textId="77777777" w:rsidR="00686EC7" w:rsidRPr="000C156A" w:rsidRDefault="00686EC7" w:rsidP="00141BAA">
            <w:pPr>
              <w:jc w:val="right"/>
              <w:rPr>
                <w:rFonts w:cs="Calibri"/>
                <w:sz w:val="22"/>
                <w:szCs w:val="22"/>
              </w:rPr>
            </w:pPr>
            <w:r w:rsidRPr="000C156A">
              <w:rPr>
                <w:rFonts w:cs="Calibri"/>
                <w:sz w:val="22"/>
                <w:szCs w:val="22"/>
              </w:rPr>
              <w:t>0.00</w:t>
            </w:r>
          </w:p>
        </w:tc>
        <w:tc>
          <w:tcPr>
            <w:tcW w:w="1446" w:type="dxa"/>
            <w:tcBorders>
              <w:top w:val="nil"/>
              <w:left w:val="single" w:sz="4" w:space="0" w:color="auto"/>
              <w:bottom w:val="nil"/>
              <w:right w:val="single" w:sz="4" w:space="0" w:color="auto"/>
            </w:tcBorders>
            <w:shd w:val="clear" w:color="auto" w:fill="auto"/>
            <w:noWrap/>
            <w:vAlign w:val="bottom"/>
            <w:hideMark/>
          </w:tcPr>
          <w:p w14:paraId="0479C272" w14:textId="3BADDA63" w:rsidR="00686EC7" w:rsidRPr="000C156A" w:rsidRDefault="00686EC7" w:rsidP="00141BAA">
            <w:pPr>
              <w:jc w:val="right"/>
              <w:rPr>
                <w:rFonts w:cs="Calibri"/>
                <w:sz w:val="22"/>
                <w:szCs w:val="22"/>
              </w:rPr>
            </w:pPr>
            <w:r w:rsidRPr="000C156A">
              <w:rPr>
                <w:rFonts w:cs="Calibri"/>
                <w:sz w:val="22"/>
                <w:szCs w:val="22"/>
              </w:rPr>
              <w:t>15</w:t>
            </w:r>
            <w:r w:rsidR="003F0401" w:rsidRPr="000C156A">
              <w:rPr>
                <w:rFonts w:cs="Calibri"/>
                <w:sz w:val="22"/>
                <w:szCs w:val="22"/>
              </w:rPr>
              <w:t xml:space="preserve"> </w:t>
            </w:r>
            <w:r w:rsidRPr="000C156A">
              <w:rPr>
                <w:rFonts w:cs="Calibri"/>
                <w:sz w:val="22"/>
                <w:szCs w:val="22"/>
              </w:rPr>
              <w:t>664.70</w:t>
            </w:r>
          </w:p>
        </w:tc>
      </w:tr>
      <w:tr w:rsidR="00686EC7" w:rsidRPr="000C156A" w14:paraId="3A9696D8" w14:textId="77777777" w:rsidTr="00D93F72">
        <w:trPr>
          <w:trHeight w:val="300"/>
          <w:jc w:val="center"/>
        </w:trPr>
        <w:tc>
          <w:tcPr>
            <w:tcW w:w="4531" w:type="dxa"/>
            <w:tcBorders>
              <w:top w:val="nil"/>
              <w:left w:val="single" w:sz="4" w:space="0" w:color="auto"/>
              <w:bottom w:val="nil"/>
              <w:right w:val="single" w:sz="4" w:space="0" w:color="auto"/>
            </w:tcBorders>
            <w:shd w:val="clear" w:color="auto" w:fill="auto"/>
            <w:vAlign w:val="bottom"/>
            <w:hideMark/>
          </w:tcPr>
          <w:p w14:paraId="06F9D134" w14:textId="43492C63"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国家远程医疗机构，莫斯科</w:t>
            </w:r>
          </w:p>
        </w:tc>
        <w:tc>
          <w:tcPr>
            <w:tcW w:w="1445" w:type="dxa"/>
            <w:tcBorders>
              <w:top w:val="nil"/>
              <w:left w:val="single" w:sz="4" w:space="0" w:color="auto"/>
              <w:bottom w:val="nil"/>
              <w:right w:val="single" w:sz="4" w:space="0" w:color="auto"/>
            </w:tcBorders>
            <w:shd w:val="clear" w:color="auto" w:fill="auto"/>
            <w:noWrap/>
            <w:vAlign w:val="bottom"/>
            <w:hideMark/>
          </w:tcPr>
          <w:p w14:paraId="38DB5B68" w14:textId="77777777" w:rsidR="00686EC7" w:rsidRPr="000C156A" w:rsidRDefault="00686EC7" w:rsidP="00141BAA">
            <w:pPr>
              <w:jc w:val="center"/>
              <w:rPr>
                <w:rFonts w:cs="Calibri"/>
                <w:sz w:val="22"/>
                <w:szCs w:val="22"/>
              </w:rPr>
            </w:pPr>
            <w:r w:rsidRPr="000C156A">
              <w:rPr>
                <w:rFonts w:cs="Calibri"/>
                <w:sz w:val="22"/>
                <w:szCs w:val="22"/>
              </w:rPr>
              <w:t>2012</w:t>
            </w:r>
          </w:p>
        </w:tc>
        <w:tc>
          <w:tcPr>
            <w:tcW w:w="1446" w:type="dxa"/>
            <w:tcBorders>
              <w:top w:val="nil"/>
              <w:left w:val="single" w:sz="4" w:space="0" w:color="auto"/>
              <w:bottom w:val="nil"/>
              <w:right w:val="single" w:sz="4" w:space="0" w:color="auto"/>
            </w:tcBorders>
            <w:shd w:val="clear" w:color="auto" w:fill="auto"/>
            <w:noWrap/>
            <w:vAlign w:val="bottom"/>
            <w:hideMark/>
          </w:tcPr>
          <w:p w14:paraId="524E825E" w14:textId="26404F0F" w:rsidR="00686EC7" w:rsidRPr="000C156A" w:rsidRDefault="00686EC7" w:rsidP="00141BAA">
            <w:pPr>
              <w:jc w:val="right"/>
              <w:rPr>
                <w:rFonts w:cs="Calibri"/>
                <w:sz w:val="22"/>
                <w:szCs w:val="22"/>
              </w:rPr>
            </w:pPr>
            <w:r w:rsidRPr="000C156A">
              <w:rPr>
                <w:rFonts w:cs="Calibri"/>
                <w:sz w:val="22"/>
                <w:szCs w:val="22"/>
              </w:rPr>
              <w:t>4</w:t>
            </w:r>
            <w:r w:rsidR="003F0401" w:rsidRPr="000C156A">
              <w:rPr>
                <w:rFonts w:cs="Calibri"/>
                <w:sz w:val="22"/>
                <w:szCs w:val="22"/>
              </w:rPr>
              <w:t xml:space="preserve"> </w:t>
            </w:r>
            <w:r w:rsidRPr="000C156A">
              <w:rPr>
                <w:rFonts w:cs="Calibri"/>
                <w:sz w:val="22"/>
                <w:szCs w:val="22"/>
              </w:rPr>
              <w:t>929.85</w:t>
            </w:r>
          </w:p>
        </w:tc>
        <w:tc>
          <w:tcPr>
            <w:tcW w:w="1446" w:type="dxa"/>
            <w:tcBorders>
              <w:top w:val="nil"/>
              <w:left w:val="single" w:sz="4" w:space="0" w:color="auto"/>
              <w:bottom w:val="nil"/>
              <w:right w:val="single" w:sz="4" w:space="0" w:color="auto"/>
            </w:tcBorders>
            <w:shd w:val="clear" w:color="auto" w:fill="auto"/>
            <w:noWrap/>
            <w:vAlign w:val="bottom"/>
            <w:hideMark/>
          </w:tcPr>
          <w:p w14:paraId="28EC24F8" w14:textId="77777777" w:rsidR="00686EC7" w:rsidRPr="000C156A" w:rsidRDefault="00686EC7" w:rsidP="00141BAA">
            <w:pPr>
              <w:jc w:val="right"/>
              <w:rPr>
                <w:rFonts w:cs="Calibri"/>
                <w:sz w:val="22"/>
                <w:szCs w:val="22"/>
              </w:rPr>
            </w:pPr>
            <w:r w:rsidRPr="000C156A">
              <w:rPr>
                <w:rFonts w:cs="Calibri"/>
                <w:sz w:val="22"/>
                <w:szCs w:val="22"/>
              </w:rPr>
              <w:t>0.00</w:t>
            </w:r>
          </w:p>
        </w:tc>
        <w:tc>
          <w:tcPr>
            <w:tcW w:w="1446" w:type="dxa"/>
            <w:tcBorders>
              <w:top w:val="nil"/>
              <w:left w:val="single" w:sz="4" w:space="0" w:color="auto"/>
              <w:bottom w:val="nil"/>
              <w:right w:val="single" w:sz="4" w:space="0" w:color="auto"/>
            </w:tcBorders>
            <w:shd w:val="clear" w:color="auto" w:fill="auto"/>
            <w:noWrap/>
            <w:vAlign w:val="bottom"/>
            <w:hideMark/>
          </w:tcPr>
          <w:p w14:paraId="06530940" w14:textId="2A52ECAE" w:rsidR="00686EC7" w:rsidRPr="000C156A" w:rsidRDefault="00686EC7" w:rsidP="00141BAA">
            <w:pPr>
              <w:jc w:val="right"/>
              <w:rPr>
                <w:rFonts w:cs="Calibri"/>
                <w:sz w:val="22"/>
                <w:szCs w:val="22"/>
              </w:rPr>
            </w:pPr>
            <w:r w:rsidRPr="000C156A">
              <w:rPr>
                <w:rFonts w:cs="Calibri"/>
                <w:sz w:val="22"/>
                <w:szCs w:val="22"/>
              </w:rPr>
              <w:t>4</w:t>
            </w:r>
            <w:r w:rsidR="003F0401" w:rsidRPr="000C156A">
              <w:rPr>
                <w:rFonts w:cs="Calibri"/>
                <w:sz w:val="22"/>
                <w:szCs w:val="22"/>
              </w:rPr>
              <w:t xml:space="preserve"> </w:t>
            </w:r>
            <w:r w:rsidRPr="000C156A">
              <w:rPr>
                <w:rFonts w:cs="Calibri"/>
                <w:sz w:val="22"/>
                <w:szCs w:val="22"/>
              </w:rPr>
              <w:t>929.85</w:t>
            </w:r>
          </w:p>
        </w:tc>
      </w:tr>
      <w:tr w:rsidR="00686EC7" w:rsidRPr="000C156A" w14:paraId="49A39716" w14:textId="77777777" w:rsidTr="00D93F72">
        <w:trPr>
          <w:trHeight w:val="300"/>
          <w:jc w:val="center"/>
        </w:trPr>
        <w:tc>
          <w:tcPr>
            <w:tcW w:w="4531" w:type="dxa"/>
            <w:tcBorders>
              <w:top w:val="nil"/>
              <w:left w:val="single" w:sz="4" w:space="0" w:color="auto"/>
              <w:bottom w:val="nil"/>
              <w:right w:val="single" w:sz="4" w:space="0" w:color="auto"/>
            </w:tcBorders>
            <w:shd w:val="clear" w:color="auto" w:fill="auto"/>
            <w:vAlign w:val="bottom"/>
            <w:hideMark/>
          </w:tcPr>
          <w:p w14:paraId="3E25B7F5" w14:textId="77777777" w:rsidR="00686EC7" w:rsidRPr="000C156A" w:rsidRDefault="00686EC7" w:rsidP="00141BAA">
            <w:pPr>
              <w:rPr>
                <w:rFonts w:cs="Calibri"/>
                <w:b/>
                <w:bCs/>
                <w:sz w:val="22"/>
                <w:szCs w:val="22"/>
              </w:rPr>
            </w:pPr>
            <w:r w:rsidRPr="000C156A">
              <w:rPr>
                <w:rFonts w:cs="Calibri" w:hint="eastAsia"/>
                <w:b/>
                <w:bCs/>
                <w:sz w:val="22"/>
                <w:szCs w:val="22"/>
                <w:lang w:eastAsia="zh-CN"/>
              </w:rPr>
              <w:t>沙特阿拉伯</w:t>
            </w:r>
          </w:p>
        </w:tc>
        <w:tc>
          <w:tcPr>
            <w:tcW w:w="1445" w:type="dxa"/>
            <w:tcBorders>
              <w:top w:val="nil"/>
              <w:left w:val="single" w:sz="4" w:space="0" w:color="auto"/>
              <w:bottom w:val="nil"/>
              <w:right w:val="single" w:sz="4" w:space="0" w:color="auto"/>
            </w:tcBorders>
            <w:shd w:val="clear" w:color="auto" w:fill="auto"/>
            <w:noWrap/>
            <w:vAlign w:val="bottom"/>
            <w:hideMark/>
          </w:tcPr>
          <w:p w14:paraId="480F0387" w14:textId="77777777" w:rsidR="00686EC7" w:rsidRPr="000C156A" w:rsidRDefault="00686EC7" w:rsidP="00141BAA">
            <w:pPr>
              <w:rPr>
                <w:rFonts w:cs="Calibri"/>
                <w:b/>
                <w:bCs/>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03071D80" w14:textId="77777777" w:rsidR="00686EC7" w:rsidRPr="000C156A" w:rsidRDefault="00686EC7" w:rsidP="00141BAA">
            <w:pPr>
              <w:jc w:val="center"/>
              <w:rPr>
                <w:rFonts w:ascii="Times New Roman" w:hAnsi="Times New Roman"/>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4303679B" w14:textId="77777777" w:rsidR="00686EC7" w:rsidRPr="000C156A" w:rsidRDefault="00686EC7" w:rsidP="00141BAA">
            <w:pPr>
              <w:rPr>
                <w:rFonts w:ascii="Times New Roman" w:hAnsi="Times New Roman"/>
                <w:sz w:val="22"/>
                <w:szCs w:val="22"/>
              </w:rPr>
            </w:pPr>
          </w:p>
        </w:tc>
        <w:tc>
          <w:tcPr>
            <w:tcW w:w="1446" w:type="dxa"/>
            <w:tcBorders>
              <w:top w:val="nil"/>
              <w:left w:val="single" w:sz="4" w:space="0" w:color="auto"/>
              <w:bottom w:val="nil"/>
              <w:right w:val="single" w:sz="4" w:space="0" w:color="auto"/>
            </w:tcBorders>
            <w:shd w:val="clear" w:color="auto" w:fill="auto"/>
            <w:noWrap/>
            <w:vAlign w:val="bottom"/>
            <w:hideMark/>
          </w:tcPr>
          <w:p w14:paraId="74AA7050" w14:textId="77777777" w:rsidR="00686EC7" w:rsidRPr="000C156A" w:rsidRDefault="00686EC7" w:rsidP="00141BAA">
            <w:pPr>
              <w:rPr>
                <w:rFonts w:ascii="Times New Roman" w:hAnsi="Times New Roman"/>
                <w:sz w:val="22"/>
                <w:szCs w:val="22"/>
              </w:rPr>
            </w:pPr>
          </w:p>
        </w:tc>
      </w:tr>
      <w:tr w:rsidR="00686EC7" w:rsidRPr="000C156A" w14:paraId="06524914" w14:textId="77777777" w:rsidTr="00D93F72">
        <w:trPr>
          <w:trHeight w:val="300"/>
          <w:jc w:val="center"/>
        </w:trPr>
        <w:tc>
          <w:tcPr>
            <w:tcW w:w="4531" w:type="dxa"/>
            <w:tcBorders>
              <w:top w:val="nil"/>
              <w:left w:val="single" w:sz="4" w:space="0" w:color="auto"/>
              <w:right w:val="single" w:sz="4" w:space="0" w:color="auto"/>
            </w:tcBorders>
            <w:shd w:val="clear" w:color="auto" w:fill="auto"/>
            <w:vAlign w:val="bottom"/>
            <w:hideMark/>
          </w:tcPr>
          <w:p w14:paraId="23E801BB" w14:textId="17B69A05"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Electronia</w:t>
            </w:r>
            <w:r w:rsidR="00686EC7" w:rsidRPr="000C156A">
              <w:rPr>
                <w:rFonts w:cs="Calibri" w:hint="eastAsia"/>
                <w:sz w:val="22"/>
                <w:szCs w:val="22"/>
                <w:lang w:val="fr-FR"/>
              </w:rPr>
              <w:t>公司，阿尔库巴</w:t>
            </w:r>
          </w:p>
        </w:tc>
        <w:tc>
          <w:tcPr>
            <w:tcW w:w="1445" w:type="dxa"/>
            <w:tcBorders>
              <w:top w:val="nil"/>
              <w:left w:val="single" w:sz="4" w:space="0" w:color="auto"/>
              <w:right w:val="single" w:sz="4" w:space="0" w:color="auto"/>
            </w:tcBorders>
            <w:shd w:val="clear" w:color="auto" w:fill="auto"/>
            <w:noWrap/>
            <w:vAlign w:val="bottom"/>
            <w:hideMark/>
          </w:tcPr>
          <w:p w14:paraId="16973B80" w14:textId="77777777" w:rsidR="00686EC7" w:rsidRPr="000C156A" w:rsidRDefault="00686EC7" w:rsidP="00141BAA">
            <w:pPr>
              <w:jc w:val="center"/>
              <w:rPr>
                <w:rFonts w:cs="Calibri"/>
                <w:sz w:val="22"/>
                <w:szCs w:val="22"/>
              </w:rPr>
            </w:pPr>
            <w:r w:rsidRPr="000C156A">
              <w:rPr>
                <w:rFonts w:cs="Calibri"/>
                <w:sz w:val="22"/>
                <w:szCs w:val="22"/>
              </w:rPr>
              <w:t>2008-2010</w:t>
            </w:r>
          </w:p>
        </w:tc>
        <w:tc>
          <w:tcPr>
            <w:tcW w:w="1446" w:type="dxa"/>
            <w:tcBorders>
              <w:top w:val="nil"/>
              <w:left w:val="single" w:sz="4" w:space="0" w:color="auto"/>
              <w:right w:val="single" w:sz="4" w:space="0" w:color="auto"/>
            </w:tcBorders>
            <w:shd w:val="clear" w:color="auto" w:fill="auto"/>
            <w:noWrap/>
            <w:vAlign w:val="bottom"/>
            <w:hideMark/>
          </w:tcPr>
          <w:p w14:paraId="42D26BCD" w14:textId="1F58912B" w:rsidR="00686EC7" w:rsidRPr="000C156A" w:rsidRDefault="00686EC7" w:rsidP="00141BAA">
            <w:pPr>
              <w:jc w:val="right"/>
              <w:rPr>
                <w:rFonts w:cs="Calibri"/>
                <w:sz w:val="22"/>
                <w:szCs w:val="22"/>
              </w:rPr>
            </w:pPr>
            <w:r w:rsidRPr="000C156A">
              <w:rPr>
                <w:rFonts w:cs="Calibri"/>
                <w:sz w:val="22"/>
                <w:szCs w:val="22"/>
              </w:rPr>
              <w:t>7</w:t>
            </w:r>
            <w:r w:rsidR="003F0401" w:rsidRPr="000C156A">
              <w:rPr>
                <w:rFonts w:cs="Calibri"/>
                <w:sz w:val="22"/>
                <w:szCs w:val="22"/>
              </w:rPr>
              <w:t xml:space="preserve"> </w:t>
            </w:r>
            <w:r w:rsidRPr="000C156A">
              <w:rPr>
                <w:rFonts w:cs="Calibri"/>
                <w:sz w:val="22"/>
                <w:szCs w:val="22"/>
              </w:rPr>
              <w:t>406.30</w:t>
            </w:r>
          </w:p>
        </w:tc>
        <w:tc>
          <w:tcPr>
            <w:tcW w:w="1446" w:type="dxa"/>
            <w:tcBorders>
              <w:top w:val="nil"/>
              <w:left w:val="single" w:sz="4" w:space="0" w:color="auto"/>
              <w:right w:val="single" w:sz="4" w:space="0" w:color="auto"/>
            </w:tcBorders>
            <w:shd w:val="clear" w:color="auto" w:fill="auto"/>
            <w:noWrap/>
            <w:vAlign w:val="bottom"/>
            <w:hideMark/>
          </w:tcPr>
          <w:p w14:paraId="1D7E6A32" w14:textId="77777777" w:rsidR="00686EC7" w:rsidRPr="000C156A" w:rsidRDefault="00686EC7" w:rsidP="00141BAA">
            <w:pPr>
              <w:jc w:val="right"/>
              <w:rPr>
                <w:rFonts w:cs="Calibri"/>
                <w:sz w:val="22"/>
                <w:szCs w:val="22"/>
              </w:rPr>
            </w:pPr>
            <w:r w:rsidRPr="000C156A">
              <w:rPr>
                <w:rFonts w:cs="Calibri"/>
                <w:sz w:val="22"/>
                <w:szCs w:val="22"/>
              </w:rPr>
              <w:t>0.00</w:t>
            </w:r>
          </w:p>
        </w:tc>
        <w:tc>
          <w:tcPr>
            <w:tcW w:w="1446" w:type="dxa"/>
            <w:tcBorders>
              <w:top w:val="nil"/>
              <w:left w:val="single" w:sz="4" w:space="0" w:color="auto"/>
              <w:right w:val="single" w:sz="4" w:space="0" w:color="auto"/>
            </w:tcBorders>
            <w:shd w:val="clear" w:color="auto" w:fill="auto"/>
            <w:noWrap/>
            <w:vAlign w:val="bottom"/>
            <w:hideMark/>
          </w:tcPr>
          <w:p w14:paraId="15BCC806" w14:textId="18FE97B2" w:rsidR="00686EC7" w:rsidRPr="000C156A" w:rsidRDefault="00686EC7" w:rsidP="00141BAA">
            <w:pPr>
              <w:jc w:val="right"/>
              <w:rPr>
                <w:rFonts w:cs="Calibri"/>
                <w:sz w:val="22"/>
                <w:szCs w:val="22"/>
              </w:rPr>
            </w:pPr>
            <w:r w:rsidRPr="000C156A">
              <w:rPr>
                <w:rFonts w:cs="Calibri"/>
                <w:sz w:val="22"/>
                <w:szCs w:val="22"/>
              </w:rPr>
              <w:t>7</w:t>
            </w:r>
            <w:r w:rsidR="003F0401" w:rsidRPr="000C156A">
              <w:rPr>
                <w:rFonts w:cs="Calibri"/>
                <w:sz w:val="22"/>
                <w:szCs w:val="22"/>
              </w:rPr>
              <w:t xml:space="preserve"> </w:t>
            </w:r>
            <w:r w:rsidRPr="000C156A">
              <w:rPr>
                <w:rFonts w:cs="Calibri"/>
                <w:sz w:val="22"/>
                <w:szCs w:val="22"/>
              </w:rPr>
              <w:t>406.30</w:t>
            </w:r>
          </w:p>
        </w:tc>
      </w:tr>
      <w:tr w:rsidR="00686EC7" w:rsidRPr="000C156A" w14:paraId="22CB8AB5" w14:textId="77777777" w:rsidTr="00D93F72">
        <w:trPr>
          <w:trHeight w:val="300"/>
          <w:jc w:val="center"/>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1DCA2EE7" w14:textId="5C223C38"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Tuwaiq</w:t>
            </w:r>
            <w:r w:rsidR="00686EC7" w:rsidRPr="000C156A">
              <w:rPr>
                <w:rFonts w:cs="Calibri" w:hint="eastAsia"/>
                <w:sz w:val="22"/>
                <w:szCs w:val="22"/>
                <w:lang w:val="fr-FR"/>
              </w:rPr>
              <w:t>通信公司，利雅得</w:t>
            </w:r>
          </w:p>
        </w:tc>
        <w:tc>
          <w:tcPr>
            <w:tcW w:w="1445" w:type="dxa"/>
            <w:tcBorders>
              <w:top w:val="nil"/>
              <w:left w:val="single" w:sz="4" w:space="0" w:color="auto"/>
              <w:bottom w:val="single" w:sz="4" w:space="0" w:color="auto"/>
              <w:right w:val="single" w:sz="4" w:space="0" w:color="auto"/>
            </w:tcBorders>
            <w:shd w:val="clear" w:color="auto" w:fill="auto"/>
            <w:noWrap/>
            <w:vAlign w:val="bottom"/>
            <w:hideMark/>
          </w:tcPr>
          <w:p w14:paraId="707614F4" w14:textId="77777777" w:rsidR="00686EC7" w:rsidRPr="000C156A" w:rsidRDefault="00686EC7" w:rsidP="00141BAA">
            <w:pPr>
              <w:jc w:val="center"/>
              <w:rPr>
                <w:rFonts w:cs="Calibri"/>
                <w:sz w:val="22"/>
                <w:szCs w:val="22"/>
              </w:rPr>
            </w:pPr>
            <w:r w:rsidRPr="000C156A">
              <w:rPr>
                <w:rFonts w:cs="Calibri"/>
                <w:sz w:val="22"/>
                <w:szCs w:val="22"/>
              </w:rPr>
              <w:t>2008-2009</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14:paraId="7D0EC7F4" w14:textId="51BD336A" w:rsidR="00686EC7" w:rsidRPr="000C156A" w:rsidRDefault="00686EC7" w:rsidP="00141BAA">
            <w:pPr>
              <w:jc w:val="right"/>
              <w:rPr>
                <w:rFonts w:cs="Calibri"/>
                <w:sz w:val="22"/>
                <w:szCs w:val="22"/>
              </w:rPr>
            </w:pPr>
            <w:r w:rsidRPr="000C156A">
              <w:rPr>
                <w:rFonts w:cs="Calibri"/>
                <w:sz w:val="22"/>
                <w:szCs w:val="22"/>
              </w:rPr>
              <w:t>83</w:t>
            </w:r>
            <w:r w:rsidR="003F0401" w:rsidRPr="000C156A">
              <w:rPr>
                <w:rFonts w:cs="Calibri"/>
                <w:sz w:val="22"/>
                <w:szCs w:val="22"/>
              </w:rPr>
              <w:t xml:space="preserve"> </w:t>
            </w:r>
            <w:r w:rsidRPr="000C156A">
              <w:rPr>
                <w:rFonts w:cs="Calibri"/>
                <w:sz w:val="22"/>
                <w:szCs w:val="22"/>
              </w:rPr>
              <w:t>580.20</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14:paraId="3B19CA76" w14:textId="77777777" w:rsidR="00686EC7" w:rsidRPr="000C156A" w:rsidRDefault="00686EC7" w:rsidP="00141BAA">
            <w:pPr>
              <w:jc w:val="right"/>
              <w:rPr>
                <w:rFonts w:cs="Calibri"/>
                <w:sz w:val="22"/>
                <w:szCs w:val="22"/>
              </w:rPr>
            </w:pPr>
            <w:r w:rsidRPr="000C156A">
              <w:rPr>
                <w:rFonts w:cs="Calibri"/>
                <w:sz w:val="22"/>
                <w:szCs w:val="22"/>
              </w:rPr>
              <w:t>0.00</w:t>
            </w:r>
          </w:p>
        </w:tc>
        <w:tc>
          <w:tcPr>
            <w:tcW w:w="1446" w:type="dxa"/>
            <w:tcBorders>
              <w:top w:val="nil"/>
              <w:left w:val="single" w:sz="4" w:space="0" w:color="auto"/>
              <w:bottom w:val="single" w:sz="4" w:space="0" w:color="auto"/>
              <w:right w:val="single" w:sz="4" w:space="0" w:color="auto"/>
            </w:tcBorders>
            <w:shd w:val="clear" w:color="auto" w:fill="auto"/>
            <w:noWrap/>
            <w:vAlign w:val="bottom"/>
            <w:hideMark/>
          </w:tcPr>
          <w:p w14:paraId="6778DD38" w14:textId="7E7DCD09" w:rsidR="00686EC7" w:rsidRPr="000C156A" w:rsidRDefault="00686EC7" w:rsidP="00141BAA">
            <w:pPr>
              <w:jc w:val="right"/>
              <w:rPr>
                <w:rFonts w:cs="Calibri"/>
                <w:sz w:val="22"/>
                <w:szCs w:val="22"/>
              </w:rPr>
            </w:pPr>
            <w:r w:rsidRPr="000C156A">
              <w:rPr>
                <w:rFonts w:cs="Calibri"/>
                <w:sz w:val="22"/>
                <w:szCs w:val="22"/>
              </w:rPr>
              <w:t>83</w:t>
            </w:r>
            <w:r w:rsidR="003F0401" w:rsidRPr="000C156A">
              <w:rPr>
                <w:rFonts w:cs="Calibri"/>
                <w:sz w:val="22"/>
                <w:szCs w:val="22"/>
              </w:rPr>
              <w:t xml:space="preserve"> </w:t>
            </w:r>
            <w:r w:rsidRPr="000C156A">
              <w:rPr>
                <w:rFonts w:cs="Calibri"/>
                <w:sz w:val="22"/>
                <w:szCs w:val="22"/>
              </w:rPr>
              <w:t>580.20</w:t>
            </w:r>
          </w:p>
        </w:tc>
      </w:tr>
    </w:tbl>
    <w:p w14:paraId="759501AA" w14:textId="77777777" w:rsidR="00686EC7" w:rsidRPr="000C156A" w:rsidRDefault="00686EC7" w:rsidP="00686EC7">
      <w:pPr>
        <w:rPr>
          <w:sz w:val="22"/>
          <w:szCs w:val="22"/>
        </w:rPr>
      </w:pPr>
      <w:r w:rsidRPr="000C156A">
        <w:rPr>
          <w:sz w:val="22"/>
          <w:szCs w:val="22"/>
        </w:rPr>
        <w:br w:type="page"/>
      </w:r>
    </w:p>
    <w:tbl>
      <w:tblPr>
        <w:tblW w:w="10314" w:type="dxa"/>
        <w:jc w:val="center"/>
        <w:tblLook w:val="04A0" w:firstRow="1" w:lastRow="0" w:firstColumn="1" w:lastColumn="0" w:noHBand="0" w:noVBand="1"/>
      </w:tblPr>
      <w:tblGrid>
        <w:gridCol w:w="3934"/>
        <w:gridCol w:w="1720"/>
        <w:gridCol w:w="1613"/>
        <w:gridCol w:w="1434"/>
        <w:gridCol w:w="1613"/>
      </w:tblGrid>
      <w:tr w:rsidR="00686EC7" w:rsidRPr="000C156A" w14:paraId="6D06D4D9" w14:textId="77777777" w:rsidTr="00141BAA">
        <w:trPr>
          <w:trHeight w:val="300"/>
          <w:jc w:val="center"/>
        </w:trPr>
        <w:tc>
          <w:tcPr>
            <w:tcW w:w="3934" w:type="dxa"/>
            <w:tcBorders>
              <w:top w:val="single" w:sz="4" w:space="0" w:color="auto"/>
              <w:left w:val="single" w:sz="4" w:space="0" w:color="auto"/>
              <w:bottom w:val="single" w:sz="4" w:space="0" w:color="auto"/>
              <w:right w:val="single" w:sz="4" w:space="0" w:color="auto"/>
            </w:tcBorders>
            <w:shd w:val="clear" w:color="auto" w:fill="auto"/>
            <w:vAlign w:val="bottom"/>
          </w:tcPr>
          <w:p w14:paraId="706DD4A2" w14:textId="77777777" w:rsidR="00686EC7" w:rsidRPr="000C156A" w:rsidRDefault="00686EC7" w:rsidP="00141BAA">
            <w:pPr>
              <w:pStyle w:val="Tablehead"/>
              <w:jc w:val="left"/>
              <w:rPr>
                <w:szCs w:val="22"/>
                <w:lang w:eastAsia="zh-CN"/>
              </w:rPr>
            </w:pPr>
            <w:r w:rsidRPr="000C156A">
              <w:rPr>
                <w:szCs w:val="22"/>
                <w:lang w:eastAsia="zh-CN"/>
              </w:rPr>
              <w:lastRenderedPageBreak/>
              <w:t>B.</w:t>
            </w:r>
            <w:r w:rsidRPr="000C156A">
              <w:rPr>
                <w:rFonts w:hint="eastAsia"/>
                <w:szCs w:val="22"/>
                <w:lang w:eastAsia="zh-CN"/>
              </w:rPr>
              <w:t>部门成员及其他实体</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3510C" w14:textId="77777777" w:rsidR="00686EC7" w:rsidRPr="000C156A" w:rsidRDefault="00686EC7" w:rsidP="00141BAA">
            <w:pPr>
              <w:pStyle w:val="Tablehead"/>
              <w:rPr>
                <w:szCs w:val="22"/>
                <w:lang w:eastAsia="zh-CN"/>
              </w:rPr>
            </w:pPr>
            <w:r w:rsidRPr="000C156A">
              <w:rPr>
                <w:rFonts w:hint="eastAsia"/>
                <w:szCs w:val="22"/>
              </w:rPr>
              <w:t>年份</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91F7E" w14:textId="77777777" w:rsidR="00686EC7" w:rsidRPr="000C156A" w:rsidRDefault="00686EC7" w:rsidP="00141BAA">
            <w:pPr>
              <w:pStyle w:val="Tablehead"/>
              <w:rPr>
                <w:szCs w:val="22"/>
                <w:lang w:eastAsia="zh-CN"/>
              </w:rPr>
            </w:pPr>
            <w:r w:rsidRPr="000C156A">
              <w:rPr>
                <w:rFonts w:hint="eastAsia"/>
                <w:szCs w:val="22"/>
              </w:rPr>
              <w:t>会费</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9C7FE" w14:textId="77777777" w:rsidR="00686EC7" w:rsidRPr="000C156A" w:rsidRDefault="00686EC7" w:rsidP="00141BAA">
            <w:pPr>
              <w:pStyle w:val="Tablehead"/>
              <w:rPr>
                <w:szCs w:val="22"/>
                <w:lang w:eastAsia="zh-CN"/>
              </w:rPr>
            </w:pPr>
            <w:r w:rsidRPr="000C156A">
              <w:rPr>
                <w:rFonts w:hint="eastAsia"/>
                <w:szCs w:val="22"/>
              </w:rPr>
              <w:t>出版物</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A1CFD" w14:textId="77777777" w:rsidR="00686EC7" w:rsidRPr="000C156A" w:rsidRDefault="00686EC7" w:rsidP="00141BAA">
            <w:pPr>
              <w:pStyle w:val="Tablehead"/>
              <w:rPr>
                <w:szCs w:val="22"/>
                <w:lang w:eastAsia="zh-CN"/>
              </w:rPr>
            </w:pPr>
            <w:r w:rsidRPr="000C156A">
              <w:rPr>
                <w:rFonts w:hint="eastAsia"/>
                <w:szCs w:val="22"/>
              </w:rPr>
              <w:t>合计</w:t>
            </w:r>
          </w:p>
        </w:tc>
      </w:tr>
      <w:tr w:rsidR="00686EC7" w:rsidRPr="000C156A" w14:paraId="6F93D1E9"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3A2078DA" w14:textId="77777777" w:rsidR="00686EC7" w:rsidRPr="000C156A" w:rsidRDefault="00686EC7" w:rsidP="00141BAA">
            <w:pPr>
              <w:rPr>
                <w:rFonts w:cs="Calibri"/>
                <w:b/>
                <w:bCs/>
                <w:sz w:val="22"/>
                <w:szCs w:val="22"/>
              </w:rPr>
            </w:pPr>
            <w:r w:rsidRPr="000C156A">
              <w:rPr>
                <w:rFonts w:cs="Calibri"/>
                <w:b/>
                <w:bCs/>
                <w:sz w:val="22"/>
                <w:szCs w:val="22"/>
              </w:rPr>
              <w:t>塞内加尔</w:t>
            </w:r>
          </w:p>
        </w:tc>
        <w:tc>
          <w:tcPr>
            <w:tcW w:w="1720" w:type="dxa"/>
            <w:tcBorders>
              <w:top w:val="nil"/>
              <w:left w:val="single" w:sz="4" w:space="0" w:color="auto"/>
              <w:bottom w:val="nil"/>
              <w:right w:val="single" w:sz="4" w:space="0" w:color="auto"/>
            </w:tcBorders>
            <w:shd w:val="clear" w:color="auto" w:fill="auto"/>
            <w:noWrap/>
            <w:vAlign w:val="bottom"/>
            <w:hideMark/>
          </w:tcPr>
          <w:p w14:paraId="0AC90BF4"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5DDC516D"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682CAEDE"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153D668C" w14:textId="77777777" w:rsidR="00686EC7" w:rsidRPr="000C156A" w:rsidRDefault="00686EC7" w:rsidP="00141BAA">
            <w:pPr>
              <w:rPr>
                <w:rFonts w:ascii="Times New Roman" w:hAnsi="Times New Roman"/>
                <w:sz w:val="22"/>
                <w:szCs w:val="22"/>
              </w:rPr>
            </w:pPr>
          </w:p>
        </w:tc>
      </w:tr>
      <w:tr w:rsidR="00686EC7" w:rsidRPr="000C156A" w14:paraId="7F8E27DD" w14:textId="77777777" w:rsidTr="00141BAA">
        <w:trPr>
          <w:trHeight w:val="404"/>
          <w:jc w:val="center"/>
        </w:trPr>
        <w:tc>
          <w:tcPr>
            <w:tcW w:w="3934" w:type="dxa"/>
            <w:tcBorders>
              <w:top w:val="nil"/>
              <w:left w:val="single" w:sz="4" w:space="0" w:color="auto"/>
              <w:bottom w:val="nil"/>
              <w:right w:val="single" w:sz="4" w:space="0" w:color="auto"/>
            </w:tcBorders>
            <w:shd w:val="clear" w:color="auto" w:fill="auto"/>
            <w:vAlign w:val="bottom"/>
            <w:hideMark/>
          </w:tcPr>
          <w:p w14:paraId="14E8DBAC" w14:textId="1868725B"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普遍服务联盟（</w:t>
            </w:r>
            <w:r w:rsidR="00686EC7" w:rsidRPr="000C156A">
              <w:rPr>
                <w:rFonts w:cs="Calibri" w:hint="eastAsia"/>
                <w:sz w:val="22"/>
                <w:szCs w:val="22"/>
                <w:lang w:val="fr-FR" w:eastAsia="zh-CN"/>
              </w:rPr>
              <w:t>USC</w:t>
            </w:r>
            <w:r w:rsidR="00686EC7" w:rsidRPr="000C156A">
              <w:rPr>
                <w:rFonts w:cs="Calibri" w:hint="eastAsia"/>
                <w:sz w:val="22"/>
                <w:szCs w:val="22"/>
                <w:lang w:val="fr-FR" w:eastAsia="zh-CN"/>
              </w:rPr>
              <w:t>），达喀尔</w:t>
            </w:r>
            <w:r w:rsidR="00686EC7" w:rsidRPr="000C156A">
              <w:rPr>
                <w:rFonts w:cs="Calibri" w:hint="eastAsia"/>
                <w:sz w:val="22"/>
                <w:szCs w:val="22"/>
                <w:lang w:val="fr-FR" w:eastAsia="zh-CN"/>
              </w:rPr>
              <w:t>-</w:t>
            </w:r>
            <w:r w:rsidR="00686EC7" w:rsidRPr="000C156A">
              <w:rPr>
                <w:rFonts w:cs="Calibri" w:hint="eastAsia"/>
                <w:sz w:val="22"/>
                <w:szCs w:val="22"/>
                <w:lang w:val="fr-FR" w:eastAsia="zh-CN"/>
              </w:rPr>
              <w:t>梅迪纳</w:t>
            </w:r>
          </w:p>
        </w:tc>
        <w:tc>
          <w:tcPr>
            <w:tcW w:w="1720" w:type="dxa"/>
            <w:tcBorders>
              <w:top w:val="nil"/>
              <w:left w:val="single" w:sz="4" w:space="0" w:color="auto"/>
              <w:bottom w:val="nil"/>
              <w:right w:val="single" w:sz="4" w:space="0" w:color="auto"/>
            </w:tcBorders>
            <w:shd w:val="clear" w:color="auto" w:fill="auto"/>
            <w:noWrap/>
            <w:vAlign w:val="bottom"/>
            <w:hideMark/>
          </w:tcPr>
          <w:p w14:paraId="44400B0F" w14:textId="77777777" w:rsidR="00686EC7" w:rsidRPr="000C156A" w:rsidRDefault="00686EC7" w:rsidP="00141BAA">
            <w:pPr>
              <w:jc w:val="center"/>
              <w:rPr>
                <w:rFonts w:cs="Calibri"/>
                <w:sz w:val="22"/>
                <w:szCs w:val="22"/>
              </w:rPr>
            </w:pPr>
            <w:r w:rsidRPr="000C156A">
              <w:rPr>
                <w:rFonts w:cs="Calibri"/>
                <w:sz w:val="22"/>
                <w:szCs w:val="22"/>
              </w:rPr>
              <w:t>2019</w:t>
            </w:r>
          </w:p>
        </w:tc>
        <w:tc>
          <w:tcPr>
            <w:tcW w:w="1613" w:type="dxa"/>
            <w:tcBorders>
              <w:top w:val="nil"/>
              <w:left w:val="single" w:sz="4" w:space="0" w:color="auto"/>
              <w:bottom w:val="nil"/>
              <w:right w:val="single" w:sz="4" w:space="0" w:color="auto"/>
            </w:tcBorders>
            <w:shd w:val="clear" w:color="auto" w:fill="auto"/>
            <w:noWrap/>
            <w:vAlign w:val="bottom"/>
            <w:hideMark/>
          </w:tcPr>
          <w:p w14:paraId="67F5136A" w14:textId="08492564" w:rsidR="00686EC7" w:rsidRPr="000C156A" w:rsidRDefault="00686EC7" w:rsidP="00141BAA">
            <w:pPr>
              <w:jc w:val="right"/>
              <w:rPr>
                <w:rFonts w:cs="Calibri"/>
                <w:sz w:val="22"/>
                <w:szCs w:val="22"/>
              </w:rPr>
            </w:pPr>
            <w:r w:rsidRPr="000C156A">
              <w:rPr>
                <w:rFonts w:cs="Calibri"/>
                <w:sz w:val="22"/>
                <w:szCs w:val="22"/>
              </w:rPr>
              <w:t>8</w:t>
            </w:r>
            <w:r w:rsidR="003F0401" w:rsidRPr="000C156A">
              <w:rPr>
                <w:rFonts w:cs="Calibri"/>
                <w:sz w:val="22"/>
                <w:szCs w:val="22"/>
              </w:rPr>
              <w:t xml:space="preserve"> </w:t>
            </w:r>
            <w:r w:rsidRPr="000C156A">
              <w:rPr>
                <w:rFonts w:cs="Calibri"/>
                <w:sz w:val="22"/>
                <w:szCs w:val="22"/>
              </w:rPr>
              <w:t>743.05</w:t>
            </w:r>
          </w:p>
        </w:tc>
        <w:tc>
          <w:tcPr>
            <w:tcW w:w="1434" w:type="dxa"/>
            <w:tcBorders>
              <w:top w:val="nil"/>
              <w:left w:val="single" w:sz="4" w:space="0" w:color="auto"/>
              <w:bottom w:val="nil"/>
              <w:right w:val="single" w:sz="4" w:space="0" w:color="auto"/>
            </w:tcBorders>
            <w:shd w:val="clear" w:color="auto" w:fill="auto"/>
            <w:noWrap/>
            <w:vAlign w:val="bottom"/>
            <w:hideMark/>
          </w:tcPr>
          <w:p w14:paraId="3FF6C8F6"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79885E14" w14:textId="6D492836" w:rsidR="00686EC7" w:rsidRPr="000C156A" w:rsidRDefault="00686EC7" w:rsidP="00141BAA">
            <w:pPr>
              <w:jc w:val="right"/>
              <w:rPr>
                <w:rFonts w:cs="Calibri"/>
                <w:sz w:val="22"/>
                <w:szCs w:val="22"/>
              </w:rPr>
            </w:pPr>
            <w:r w:rsidRPr="000C156A">
              <w:rPr>
                <w:rFonts w:cs="Calibri"/>
                <w:sz w:val="22"/>
                <w:szCs w:val="22"/>
              </w:rPr>
              <w:t>8</w:t>
            </w:r>
            <w:r w:rsidR="003F0401" w:rsidRPr="000C156A">
              <w:rPr>
                <w:rFonts w:cs="Calibri"/>
                <w:sz w:val="22"/>
                <w:szCs w:val="22"/>
              </w:rPr>
              <w:t xml:space="preserve"> </w:t>
            </w:r>
            <w:r w:rsidRPr="000C156A">
              <w:rPr>
                <w:rFonts w:cs="Calibri"/>
                <w:sz w:val="22"/>
                <w:szCs w:val="22"/>
              </w:rPr>
              <w:t>743.05</w:t>
            </w:r>
          </w:p>
        </w:tc>
      </w:tr>
      <w:tr w:rsidR="00686EC7" w:rsidRPr="000C156A" w14:paraId="681D502E"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0B9C3A35" w14:textId="77777777" w:rsidR="00686EC7" w:rsidRPr="000C156A" w:rsidRDefault="00686EC7" w:rsidP="00141BAA">
            <w:pPr>
              <w:rPr>
                <w:rFonts w:cs="Calibri"/>
                <w:b/>
                <w:bCs/>
                <w:sz w:val="22"/>
                <w:szCs w:val="22"/>
              </w:rPr>
            </w:pPr>
            <w:r w:rsidRPr="000C156A">
              <w:rPr>
                <w:rFonts w:cs="Calibri"/>
                <w:b/>
                <w:bCs/>
                <w:sz w:val="22"/>
                <w:szCs w:val="22"/>
              </w:rPr>
              <w:t>索马里</w:t>
            </w:r>
          </w:p>
        </w:tc>
        <w:tc>
          <w:tcPr>
            <w:tcW w:w="1720" w:type="dxa"/>
            <w:tcBorders>
              <w:top w:val="nil"/>
              <w:left w:val="single" w:sz="4" w:space="0" w:color="auto"/>
              <w:bottom w:val="nil"/>
              <w:right w:val="single" w:sz="4" w:space="0" w:color="auto"/>
            </w:tcBorders>
            <w:shd w:val="clear" w:color="auto" w:fill="auto"/>
            <w:noWrap/>
            <w:vAlign w:val="bottom"/>
            <w:hideMark/>
          </w:tcPr>
          <w:p w14:paraId="0371AC8B"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3AF50732"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6521D391"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5DBE49AD" w14:textId="77777777" w:rsidR="00686EC7" w:rsidRPr="000C156A" w:rsidRDefault="00686EC7" w:rsidP="00141BAA">
            <w:pPr>
              <w:rPr>
                <w:rFonts w:ascii="Times New Roman" w:hAnsi="Times New Roman"/>
                <w:sz w:val="22"/>
                <w:szCs w:val="22"/>
              </w:rPr>
            </w:pPr>
          </w:p>
        </w:tc>
      </w:tr>
      <w:tr w:rsidR="00686EC7" w:rsidRPr="000C156A" w14:paraId="0F7B75B4"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4799E8DA" w14:textId="2B4B92B3" w:rsidR="00686EC7" w:rsidRPr="000C156A" w:rsidRDefault="00D93F72" w:rsidP="00D93F72">
            <w:pPr>
              <w:tabs>
                <w:tab w:val="clear" w:pos="567"/>
              </w:tabs>
              <w:spacing w:before="0"/>
              <w:ind w:left="317" w:hanging="317"/>
              <w:rPr>
                <w:rFonts w:cs="Calibri"/>
                <w:sz w:val="22"/>
                <w:szCs w:val="22"/>
                <w:lang w:eastAsia="zh-CN"/>
              </w:rPr>
            </w:pPr>
            <w:r w:rsidRPr="000C156A">
              <w:rPr>
                <w:rFonts w:cs="Calibri"/>
                <w:sz w:val="22"/>
                <w:szCs w:val="22"/>
                <w:lang w:eastAsia="zh-CN"/>
              </w:rPr>
              <w:t>–</w:t>
            </w:r>
            <w:r w:rsidRPr="000C156A">
              <w:rPr>
                <w:rFonts w:cs="Calibri"/>
                <w:sz w:val="22"/>
                <w:szCs w:val="22"/>
                <w:lang w:eastAsia="zh-CN"/>
              </w:rPr>
              <w:tab/>
            </w:r>
            <w:r w:rsidR="00686EC7" w:rsidRPr="000C156A">
              <w:rPr>
                <w:rFonts w:cs="Calibri"/>
                <w:sz w:val="22"/>
                <w:szCs w:val="22"/>
                <w:lang w:val="fr-FR" w:eastAsia="zh-CN"/>
              </w:rPr>
              <w:t>索马里</w:t>
            </w:r>
            <w:r w:rsidR="00686EC7" w:rsidRPr="000C156A">
              <w:rPr>
                <w:rFonts w:cs="Calibri" w:hint="eastAsia"/>
                <w:sz w:val="22"/>
                <w:szCs w:val="22"/>
                <w:lang w:val="fr-FR" w:eastAsia="zh-CN"/>
              </w:rPr>
              <w:t>电信</w:t>
            </w:r>
            <w:r w:rsidR="00686EC7" w:rsidRPr="000C156A">
              <w:rPr>
                <w:rFonts w:cs="Calibri" w:hint="eastAsia"/>
                <w:sz w:val="22"/>
                <w:szCs w:val="22"/>
                <w:lang w:eastAsia="zh-CN"/>
              </w:rPr>
              <w:t>，摩加迪沙</w:t>
            </w:r>
          </w:p>
        </w:tc>
        <w:tc>
          <w:tcPr>
            <w:tcW w:w="1720" w:type="dxa"/>
            <w:tcBorders>
              <w:top w:val="nil"/>
              <w:left w:val="single" w:sz="4" w:space="0" w:color="auto"/>
              <w:bottom w:val="nil"/>
              <w:right w:val="single" w:sz="4" w:space="0" w:color="auto"/>
            </w:tcBorders>
            <w:shd w:val="clear" w:color="auto" w:fill="auto"/>
            <w:noWrap/>
            <w:vAlign w:val="bottom"/>
            <w:hideMark/>
          </w:tcPr>
          <w:p w14:paraId="7686BB80" w14:textId="77777777" w:rsidR="00686EC7" w:rsidRPr="000C156A" w:rsidRDefault="00686EC7" w:rsidP="00141BAA">
            <w:pPr>
              <w:jc w:val="center"/>
              <w:rPr>
                <w:rFonts w:cs="Calibri"/>
                <w:sz w:val="22"/>
                <w:szCs w:val="22"/>
              </w:rPr>
            </w:pPr>
            <w:r w:rsidRPr="000C156A">
              <w:rPr>
                <w:rFonts w:cs="Calibri"/>
                <w:sz w:val="22"/>
                <w:szCs w:val="22"/>
              </w:rPr>
              <w:t>2005-2007</w:t>
            </w:r>
          </w:p>
        </w:tc>
        <w:tc>
          <w:tcPr>
            <w:tcW w:w="1613" w:type="dxa"/>
            <w:tcBorders>
              <w:top w:val="nil"/>
              <w:left w:val="single" w:sz="4" w:space="0" w:color="auto"/>
              <w:bottom w:val="nil"/>
              <w:right w:val="single" w:sz="4" w:space="0" w:color="auto"/>
            </w:tcBorders>
            <w:shd w:val="clear" w:color="auto" w:fill="auto"/>
            <w:noWrap/>
            <w:vAlign w:val="bottom"/>
            <w:hideMark/>
          </w:tcPr>
          <w:p w14:paraId="29D40235" w14:textId="1FFD28CC" w:rsidR="00686EC7" w:rsidRPr="000C156A" w:rsidRDefault="00686EC7" w:rsidP="00141BAA">
            <w:pPr>
              <w:jc w:val="right"/>
              <w:rPr>
                <w:rFonts w:cs="Calibri"/>
                <w:sz w:val="22"/>
                <w:szCs w:val="22"/>
              </w:rPr>
            </w:pPr>
            <w:r w:rsidRPr="000C156A">
              <w:rPr>
                <w:rFonts w:cs="Calibri"/>
                <w:sz w:val="22"/>
                <w:szCs w:val="22"/>
              </w:rPr>
              <w:t>18</w:t>
            </w:r>
            <w:r w:rsidR="003F0401" w:rsidRPr="000C156A">
              <w:rPr>
                <w:rFonts w:cs="Calibri"/>
                <w:sz w:val="22"/>
                <w:szCs w:val="22"/>
              </w:rPr>
              <w:t xml:space="preserve"> </w:t>
            </w:r>
            <w:r w:rsidRPr="000C156A">
              <w:rPr>
                <w:rFonts w:cs="Calibri"/>
                <w:sz w:val="22"/>
                <w:szCs w:val="22"/>
              </w:rPr>
              <w:t>820.30</w:t>
            </w:r>
          </w:p>
        </w:tc>
        <w:tc>
          <w:tcPr>
            <w:tcW w:w="1434" w:type="dxa"/>
            <w:tcBorders>
              <w:top w:val="nil"/>
              <w:left w:val="single" w:sz="4" w:space="0" w:color="auto"/>
              <w:bottom w:val="nil"/>
              <w:right w:val="single" w:sz="4" w:space="0" w:color="auto"/>
            </w:tcBorders>
            <w:shd w:val="clear" w:color="auto" w:fill="auto"/>
            <w:noWrap/>
            <w:vAlign w:val="bottom"/>
            <w:hideMark/>
          </w:tcPr>
          <w:p w14:paraId="45656386"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5DA7F554" w14:textId="22A1F066" w:rsidR="00686EC7" w:rsidRPr="000C156A" w:rsidRDefault="00686EC7" w:rsidP="00141BAA">
            <w:pPr>
              <w:jc w:val="right"/>
              <w:rPr>
                <w:rFonts w:cs="Calibri"/>
                <w:sz w:val="22"/>
                <w:szCs w:val="22"/>
              </w:rPr>
            </w:pPr>
            <w:r w:rsidRPr="000C156A">
              <w:rPr>
                <w:rFonts w:cs="Calibri"/>
                <w:sz w:val="22"/>
                <w:szCs w:val="22"/>
              </w:rPr>
              <w:t>18</w:t>
            </w:r>
            <w:r w:rsidR="003F0401" w:rsidRPr="000C156A">
              <w:rPr>
                <w:rFonts w:cs="Calibri"/>
                <w:sz w:val="22"/>
                <w:szCs w:val="22"/>
              </w:rPr>
              <w:t xml:space="preserve"> </w:t>
            </w:r>
            <w:r w:rsidRPr="000C156A">
              <w:rPr>
                <w:rFonts w:cs="Calibri"/>
                <w:sz w:val="22"/>
                <w:szCs w:val="22"/>
              </w:rPr>
              <w:t>820.30</w:t>
            </w:r>
          </w:p>
        </w:tc>
      </w:tr>
      <w:tr w:rsidR="00686EC7" w:rsidRPr="000C156A" w14:paraId="228266E0"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0E5F3A3C" w14:textId="77777777" w:rsidR="00686EC7" w:rsidRPr="000C156A" w:rsidRDefault="00686EC7" w:rsidP="00141BAA">
            <w:pPr>
              <w:rPr>
                <w:rFonts w:cs="Calibri"/>
                <w:b/>
                <w:bCs/>
                <w:sz w:val="22"/>
                <w:szCs w:val="22"/>
              </w:rPr>
            </w:pPr>
            <w:r w:rsidRPr="000C156A">
              <w:rPr>
                <w:rFonts w:cs="Calibri"/>
                <w:b/>
                <w:bCs/>
                <w:sz w:val="22"/>
                <w:szCs w:val="22"/>
              </w:rPr>
              <w:t>南非</w:t>
            </w:r>
          </w:p>
        </w:tc>
        <w:tc>
          <w:tcPr>
            <w:tcW w:w="1720" w:type="dxa"/>
            <w:tcBorders>
              <w:top w:val="nil"/>
              <w:left w:val="single" w:sz="4" w:space="0" w:color="auto"/>
              <w:bottom w:val="nil"/>
              <w:right w:val="single" w:sz="4" w:space="0" w:color="auto"/>
            </w:tcBorders>
            <w:shd w:val="clear" w:color="auto" w:fill="auto"/>
            <w:noWrap/>
            <w:vAlign w:val="bottom"/>
            <w:hideMark/>
          </w:tcPr>
          <w:p w14:paraId="7649B9FB"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0570B624"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5008428B" w14:textId="77777777" w:rsidR="00686EC7" w:rsidRPr="000C156A" w:rsidRDefault="00686EC7" w:rsidP="00141BAA">
            <w:pPr>
              <w:jc w:val="right"/>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67EDA290" w14:textId="77777777" w:rsidR="00686EC7" w:rsidRPr="000C156A" w:rsidRDefault="00686EC7" w:rsidP="00141BAA">
            <w:pPr>
              <w:jc w:val="right"/>
              <w:rPr>
                <w:rFonts w:ascii="Times New Roman" w:hAnsi="Times New Roman"/>
                <w:sz w:val="22"/>
                <w:szCs w:val="22"/>
              </w:rPr>
            </w:pPr>
          </w:p>
        </w:tc>
      </w:tr>
      <w:tr w:rsidR="00686EC7" w:rsidRPr="000C156A" w14:paraId="17F6D396"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7FB15CD0" w14:textId="0FFA034B" w:rsidR="00686EC7" w:rsidRPr="000C156A" w:rsidRDefault="00D93F72" w:rsidP="00D93F72">
            <w:pPr>
              <w:tabs>
                <w:tab w:val="clear" w:pos="567"/>
              </w:tabs>
              <w:spacing w:before="0"/>
              <w:ind w:left="317" w:hanging="317"/>
              <w:rPr>
                <w:rFonts w:cs="Calibri"/>
                <w:sz w:val="22"/>
                <w:szCs w:val="22"/>
              </w:rPr>
            </w:pPr>
            <w:r w:rsidRPr="000C156A">
              <w:rPr>
                <w:rFonts w:cs="Calibri"/>
                <w:sz w:val="22"/>
                <w:szCs w:val="22"/>
              </w:rPr>
              <w:t>–</w:t>
            </w:r>
            <w:r w:rsidRPr="000C156A">
              <w:rPr>
                <w:rFonts w:cs="Calibri"/>
                <w:sz w:val="22"/>
                <w:szCs w:val="22"/>
              </w:rPr>
              <w:tab/>
            </w:r>
            <w:r w:rsidR="00686EC7" w:rsidRPr="000C156A">
              <w:rPr>
                <w:rFonts w:cs="Calibri"/>
                <w:sz w:val="22"/>
                <w:szCs w:val="22"/>
              </w:rPr>
              <w:t>Cell C (Pty)</w:t>
            </w:r>
            <w:r w:rsidR="00686EC7" w:rsidRPr="000C156A">
              <w:rPr>
                <w:rFonts w:cs="Calibri" w:hint="eastAsia"/>
                <w:sz w:val="22"/>
                <w:szCs w:val="22"/>
              </w:rPr>
              <w:t>有限公司，本摩尔</w:t>
            </w:r>
          </w:p>
        </w:tc>
        <w:tc>
          <w:tcPr>
            <w:tcW w:w="1720" w:type="dxa"/>
            <w:tcBorders>
              <w:top w:val="nil"/>
              <w:left w:val="single" w:sz="4" w:space="0" w:color="auto"/>
              <w:bottom w:val="nil"/>
              <w:right w:val="single" w:sz="4" w:space="0" w:color="auto"/>
            </w:tcBorders>
            <w:shd w:val="clear" w:color="auto" w:fill="auto"/>
            <w:noWrap/>
            <w:vAlign w:val="bottom"/>
            <w:hideMark/>
          </w:tcPr>
          <w:p w14:paraId="524295AB" w14:textId="77777777" w:rsidR="00686EC7" w:rsidRPr="000C156A" w:rsidRDefault="00686EC7" w:rsidP="00141BAA">
            <w:pPr>
              <w:jc w:val="center"/>
              <w:rPr>
                <w:rFonts w:cs="Calibri"/>
                <w:sz w:val="22"/>
                <w:szCs w:val="22"/>
              </w:rPr>
            </w:pPr>
            <w:r w:rsidRPr="000C156A">
              <w:rPr>
                <w:rFonts w:cs="Calibri"/>
                <w:sz w:val="22"/>
                <w:szCs w:val="22"/>
              </w:rPr>
              <w:t>2004-2007</w:t>
            </w:r>
          </w:p>
        </w:tc>
        <w:tc>
          <w:tcPr>
            <w:tcW w:w="1613" w:type="dxa"/>
            <w:tcBorders>
              <w:top w:val="nil"/>
              <w:left w:val="single" w:sz="4" w:space="0" w:color="auto"/>
              <w:bottom w:val="nil"/>
              <w:right w:val="single" w:sz="4" w:space="0" w:color="auto"/>
            </w:tcBorders>
            <w:shd w:val="clear" w:color="auto" w:fill="auto"/>
            <w:noWrap/>
            <w:vAlign w:val="bottom"/>
            <w:hideMark/>
          </w:tcPr>
          <w:p w14:paraId="5F748F92" w14:textId="09AE1F55" w:rsidR="00686EC7" w:rsidRPr="000C156A" w:rsidRDefault="00686EC7" w:rsidP="00141BAA">
            <w:pPr>
              <w:jc w:val="right"/>
              <w:rPr>
                <w:rFonts w:cs="Calibri"/>
                <w:sz w:val="22"/>
                <w:szCs w:val="22"/>
              </w:rPr>
            </w:pPr>
            <w:r w:rsidRPr="000C156A">
              <w:rPr>
                <w:rFonts w:cs="Calibri"/>
                <w:sz w:val="22"/>
                <w:szCs w:val="22"/>
              </w:rPr>
              <w:t>585</w:t>
            </w:r>
            <w:r w:rsidR="003F0401" w:rsidRPr="000C156A">
              <w:rPr>
                <w:rFonts w:cs="Calibri"/>
                <w:sz w:val="22"/>
                <w:szCs w:val="22"/>
              </w:rPr>
              <w:t xml:space="preserve"> </w:t>
            </w:r>
            <w:r w:rsidRPr="000C156A">
              <w:rPr>
                <w:rFonts w:cs="Calibri"/>
                <w:sz w:val="22"/>
                <w:szCs w:val="22"/>
              </w:rPr>
              <w:t>554.00</w:t>
            </w:r>
          </w:p>
        </w:tc>
        <w:tc>
          <w:tcPr>
            <w:tcW w:w="1434" w:type="dxa"/>
            <w:tcBorders>
              <w:top w:val="nil"/>
              <w:left w:val="single" w:sz="4" w:space="0" w:color="auto"/>
              <w:bottom w:val="nil"/>
              <w:right w:val="single" w:sz="4" w:space="0" w:color="auto"/>
            </w:tcBorders>
            <w:shd w:val="clear" w:color="auto" w:fill="auto"/>
            <w:noWrap/>
            <w:vAlign w:val="bottom"/>
            <w:hideMark/>
          </w:tcPr>
          <w:p w14:paraId="15B4B4B3"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5084F6A4" w14:textId="30C1A81B" w:rsidR="00686EC7" w:rsidRPr="000C156A" w:rsidRDefault="00686EC7" w:rsidP="00141BAA">
            <w:pPr>
              <w:jc w:val="right"/>
              <w:rPr>
                <w:rFonts w:cs="Calibri"/>
                <w:sz w:val="22"/>
                <w:szCs w:val="22"/>
              </w:rPr>
            </w:pPr>
            <w:r w:rsidRPr="000C156A">
              <w:rPr>
                <w:rFonts w:cs="Calibri"/>
                <w:sz w:val="22"/>
                <w:szCs w:val="22"/>
              </w:rPr>
              <w:t>585</w:t>
            </w:r>
            <w:r w:rsidR="003F0401" w:rsidRPr="000C156A">
              <w:rPr>
                <w:rFonts w:cs="Calibri"/>
                <w:sz w:val="22"/>
                <w:szCs w:val="22"/>
              </w:rPr>
              <w:t xml:space="preserve"> </w:t>
            </w:r>
            <w:r w:rsidRPr="000C156A">
              <w:rPr>
                <w:rFonts w:cs="Calibri"/>
                <w:sz w:val="22"/>
                <w:szCs w:val="22"/>
              </w:rPr>
              <w:t>554.00</w:t>
            </w:r>
          </w:p>
        </w:tc>
      </w:tr>
      <w:tr w:rsidR="00686EC7" w:rsidRPr="000C156A" w14:paraId="69394702"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731FEB72" w14:textId="77777777" w:rsidR="00686EC7" w:rsidRPr="000C156A" w:rsidRDefault="00686EC7" w:rsidP="00141BAA">
            <w:pPr>
              <w:rPr>
                <w:rFonts w:cs="Calibri"/>
                <w:b/>
                <w:bCs/>
                <w:sz w:val="22"/>
                <w:szCs w:val="22"/>
              </w:rPr>
            </w:pPr>
            <w:r w:rsidRPr="000C156A">
              <w:rPr>
                <w:rFonts w:cs="Calibri"/>
                <w:b/>
                <w:bCs/>
                <w:sz w:val="22"/>
                <w:szCs w:val="22"/>
              </w:rPr>
              <w:t>苏丹</w:t>
            </w:r>
          </w:p>
        </w:tc>
        <w:tc>
          <w:tcPr>
            <w:tcW w:w="1720" w:type="dxa"/>
            <w:tcBorders>
              <w:top w:val="nil"/>
              <w:left w:val="single" w:sz="4" w:space="0" w:color="auto"/>
              <w:bottom w:val="nil"/>
              <w:right w:val="single" w:sz="4" w:space="0" w:color="auto"/>
            </w:tcBorders>
            <w:shd w:val="clear" w:color="auto" w:fill="auto"/>
            <w:noWrap/>
            <w:vAlign w:val="bottom"/>
            <w:hideMark/>
          </w:tcPr>
          <w:p w14:paraId="2A9858F8"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3199F2F1"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7A09E103"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680A2BA5" w14:textId="77777777" w:rsidR="00686EC7" w:rsidRPr="000C156A" w:rsidRDefault="00686EC7" w:rsidP="00141BAA">
            <w:pPr>
              <w:rPr>
                <w:rFonts w:ascii="Times New Roman" w:hAnsi="Times New Roman"/>
                <w:sz w:val="22"/>
                <w:szCs w:val="22"/>
              </w:rPr>
            </w:pPr>
          </w:p>
        </w:tc>
      </w:tr>
      <w:tr w:rsidR="00686EC7" w:rsidRPr="000C156A" w14:paraId="7D76277A" w14:textId="77777777" w:rsidTr="00141BAA">
        <w:trPr>
          <w:trHeight w:val="87"/>
          <w:jc w:val="center"/>
        </w:trPr>
        <w:tc>
          <w:tcPr>
            <w:tcW w:w="3934" w:type="dxa"/>
            <w:tcBorders>
              <w:top w:val="nil"/>
              <w:left w:val="single" w:sz="4" w:space="0" w:color="auto"/>
              <w:bottom w:val="nil"/>
              <w:right w:val="single" w:sz="4" w:space="0" w:color="auto"/>
            </w:tcBorders>
            <w:shd w:val="clear" w:color="auto" w:fill="auto"/>
            <w:vAlign w:val="bottom"/>
            <w:hideMark/>
          </w:tcPr>
          <w:p w14:paraId="55661169" w14:textId="132127DC"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花园城市科技学院，喀土穆</w:t>
            </w:r>
          </w:p>
        </w:tc>
        <w:tc>
          <w:tcPr>
            <w:tcW w:w="1720" w:type="dxa"/>
            <w:tcBorders>
              <w:top w:val="nil"/>
              <w:left w:val="single" w:sz="4" w:space="0" w:color="auto"/>
              <w:bottom w:val="nil"/>
              <w:right w:val="single" w:sz="4" w:space="0" w:color="auto"/>
            </w:tcBorders>
            <w:shd w:val="clear" w:color="auto" w:fill="auto"/>
            <w:noWrap/>
            <w:vAlign w:val="bottom"/>
            <w:hideMark/>
          </w:tcPr>
          <w:p w14:paraId="47B6C262" w14:textId="77777777" w:rsidR="00686EC7" w:rsidRPr="000C156A" w:rsidRDefault="00686EC7" w:rsidP="00141BAA">
            <w:pPr>
              <w:jc w:val="center"/>
              <w:rPr>
                <w:rFonts w:cs="Calibri"/>
                <w:sz w:val="22"/>
                <w:szCs w:val="22"/>
              </w:rPr>
            </w:pPr>
            <w:r w:rsidRPr="000C156A">
              <w:rPr>
                <w:rFonts w:cs="Calibri"/>
                <w:sz w:val="22"/>
                <w:szCs w:val="22"/>
              </w:rPr>
              <w:t>2013-2014</w:t>
            </w:r>
          </w:p>
        </w:tc>
        <w:tc>
          <w:tcPr>
            <w:tcW w:w="1613" w:type="dxa"/>
            <w:tcBorders>
              <w:top w:val="nil"/>
              <w:left w:val="single" w:sz="4" w:space="0" w:color="auto"/>
              <w:bottom w:val="nil"/>
              <w:right w:val="single" w:sz="4" w:space="0" w:color="auto"/>
            </w:tcBorders>
            <w:shd w:val="clear" w:color="auto" w:fill="auto"/>
            <w:noWrap/>
            <w:vAlign w:val="bottom"/>
            <w:hideMark/>
          </w:tcPr>
          <w:p w14:paraId="494C1041" w14:textId="473C8FC5" w:rsidR="00686EC7" w:rsidRPr="000C156A" w:rsidRDefault="00686EC7" w:rsidP="00141BAA">
            <w:pPr>
              <w:jc w:val="right"/>
              <w:rPr>
                <w:rFonts w:cs="Calibri"/>
                <w:sz w:val="22"/>
                <w:szCs w:val="22"/>
              </w:rPr>
            </w:pPr>
            <w:r w:rsidRPr="000C156A">
              <w:rPr>
                <w:rFonts w:cs="Calibri"/>
                <w:sz w:val="22"/>
                <w:szCs w:val="22"/>
              </w:rPr>
              <w:t>3</w:t>
            </w:r>
            <w:r w:rsidR="003F0401" w:rsidRPr="000C156A">
              <w:rPr>
                <w:rFonts w:cs="Calibri"/>
                <w:sz w:val="22"/>
                <w:szCs w:val="22"/>
              </w:rPr>
              <w:t xml:space="preserve"> </w:t>
            </w:r>
            <w:r w:rsidRPr="000C156A">
              <w:rPr>
                <w:rFonts w:cs="Calibri"/>
                <w:sz w:val="22"/>
                <w:szCs w:val="22"/>
              </w:rPr>
              <w:t>745.55</w:t>
            </w:r>
          </w:p>
        </w:tc>
        <w:tc>
          <w:tcPr>
            <w:tcW w:w="1434" w:type="dxa"/>
            <w:tcBorders>
              <w:top w:val="nil"/>
              <w:left w:val="single" w:sz="4" w:space="0" w:color="auto"/>
              <w:bottom w:val="nil"/>
              <w:right w:val="single" w:sz="4" w:space="0" w:color="auto"/>
            </w:tcBorders>
            <w:shd w:val="clear" w:color="auto" w:fill="auto"/>
            <w:noWrap/>
            <w:vAlign w:val="bottom"/>
            <w:hideMark/>
          </w:tcPr>
          <w:p w14:paraId="0618619D"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706568E6" w14:textId="02683211" w:rsidR="00686EC7" w:rsidRPr="000C156A" w:rsidRDefault="00686EC7" w:rsidP="00141BAA">
            <w:pPr>
              <w:jc w:val="right"/>
              <w:rPr>
                <w:rFonts w:cs="Calibri"/>
                <w:sz w:val="22"/>
                <w:szCs w:val="22"/>
              </w:rPr>
            </w:pPr>
            <w:r w:rsidRPr="000C156A">
              <w:rPr>
                <w:rFonts w:cs="Calibri"/>
                <w:sz w:val="22"/>
                <w:szCs w:val="22"/>
              </w:rPr>
              <w:t>3</w:t>
            </w:r>
            <w:r w:rsidR="003F0401" w:rsidRPr="000C156A">
              <w:rPr>
                <w:rFonts w:cs="Calibri"/>
                <w:sz w:val="22"/>
                <w:szCs w:val="22"/>
              </w:rPr>
              <w:t xml:space="preserve"> </w:t>
            </w:r>
            <w:r w:rsidRPr="000C156A">
              <w:rPr>
                <w:rFonts w:cs="Calibri"/>
                <w:sz w:val="22"/>
                <w:szCs w:val="22"/>
              </w:rPr>
              <w:t>745.55</w:t>
            </w:r>
          </w:p>
        </w:tc>
      </w:tr>
      <w:tr w:rsidR="00686EC7" w:rsidRPr="000C156A" w14:paraId="1D479E35"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38D57120" w14:textId="2016FEF3"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sz w:val="22"/>
                <w:szCs w:val="22"/>
                <w:lang w:val="fr-FR" w:eastAsia="zh-CN"/>
              </w:rPr>
              <w:t>苏丹</w:t>
            </w:r>
            <w:r w:rsidR="00686EC7" w:rsidRPr="000C156A">
              <w:rPr>
                <w:rFonts w:cs="Calibri" w:hint="eastAsia"/>
                <w:sz w:val="22"/>
                <w:szCs w:val="22"/>
                <w:lang w:val="fr-FR" w:eastAsia="zh-CN"/>
              </w:rPr>
              <w:t>开放大学，喀土穆</w:t>
            </w:r>
          </w:p>
        </w:tc>
        <w:tc>
          <w:tcPr>
            <w:tcW w:w="1720" w:type="dxa"/>
            <w:tcBorders>
              <w:top w:val="nil"/>
              <w:left w:val="single" w:sz="4" w:space="0" w:color="auto"/>
              <w:bottom w:val="nil"/>
              <w:right w:val="single" w:sz="4" w:space="0" w:color="auto"/>
            </w:tcBorders>
            <w:shd w:val="clear" w:color="auto" w:fill="auto"/>
            <w:noWrap/>
            <w:vAlign w:val="bottom"/>
            <w:hideMark/>
          </w:tcPr>
          <w:p w14:paraId="6F61B190" w14:textId="77777777" w:rsidR="00686EC7" w:rsidRPr="000C156A" w:rsidRDefault="00686EC7" w:rsidP="00141BAA">
            <w:pPr>
              <w:jc w:val="center"/>
              <w:rPr>
                <w:rFonts w:cs="Calibri"/>
                <w:sz w:val="22"/>
                <w:szCs w:val="22"/>
              </w:rPr>
            </w:pPr>
            <w:r w:rsidRPr="000C156A">
              <w:rPr>
                <w:rFonts w:cs="Calibri"/>
                <w:sz w:val="22"/>
                <w:szCs w:val="22"/>
              </w:rPr>
              <w:t>2013-2014</w:t>
            </w:r>
          </w:p>
        </w:tc>
        <w:tc>
          <w:tcPr>
            <w:tcW w:w="1613" w:type="dxa"/>
            <w:tcBorders>
              <w:top w:val="nil"/>
              <w:left w:val="single" w:sz="4" w:space="0" w:color="auto"/>
              <w:bottom w:val="nil"/>
              <w:right w:val="single" w:sz="4" w:space="0" w:color="auto"/>
            </w:tcBorders>
            <w:shd w:val="clear" w:color="auto" w:fill="auto"/>
            <w:noWrap/>
            <w:vAlign w:val="bottom"/>
            <w:hideMark/>
          </w:tcPr>
          <w:p w14:paraId="11E5D275" w14:textId="482F3C79" w:rsidR="00686EC7" w:rsidRPr="000C156A" w:rsidRDefault="00686EC7" w:rsidP="00141BAA">
            <w:pPr>
              <w:jc w:val="right"/>
              <w:rPr>
                <w:rFonts w:cs="Calibri"/>
                <w:sz w:val="22"/>
                <w:szCs w:val="22"/>
              </w:rPr>
            </w:pPr>
            <w:r w:rsidRPr="000C156A">
              <w:rPr>
                <w:rFonts w:cs="Calibri"/>
                <w:sz w:val="22"/>
                <w:szCs w:val="22"/>
              </w:rPr>
              <w:t>3</w:t>
            </w:r>
            <w:r w:rsidR="003F0401" w:rsidRPr="000C156A">
              <w:rPr>
                <w:rFonts w:cs="Calibri"/>
                <w:sz w:val="22"/>
                <w:szCs w:val="22"/>
              </w:rPr>
              <w:t xml:space="preserve"> </w:t>
            </w:r>
            <w:r w:rsidRPr="000C156A">
              <w:rPr>
                <w:rFonts w:cs="Calibri"/>
                <w:sz w:val="22"/>
                <w:szCs w:val="22"/>
              </w:rPr>
              <w:t>745.55</w:t>
            </w:r>
          </w:p>
        </w:tc>
        <w:tc>
          <w:tcPr>
            <w:tcW w:w="1434" w:type="dxa"/>
            <w:tcBorders>
              <w:top w:val="nil"/>
              <w:left w:val="single" w:sz="4" w:space="0" w:color="auto"/>
              <w:bottom w:val="nil"/>
              <w:right w:val="single" w:sz="4" w:space="0" w:color="auto"/>
            </w:tcBorders>
            <w:shd w:val="clear" w:color="auto" w:fill="auto"/>
            <w:noWrap/>
            <w:vAlign w:val="bottom"/>
            <w:hideMark/>
          </w:tcPr>
          <w:p w14:paraId="38C790C5"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5B09AD3B" w14:textId="2DE0F3FD" w:rsidR="00686EC7" w:rsidRPr="000C156A" w:rsidRDefault="00686EC7" w:rsidP="00141BAA">
            <w:pPr>
              <w:jc w:val="right"/>
              <w:rPr>
                <w:rFonts w:cs="Calibri"/>
                <w:sz w:val="22"/>
                <w:szCs w:val="22"/>
              </w:rPr>
            </w:pPr>
            <w:r w:rsidRPr="000C156A">
              <w:rPr>
                <w:rFonts w:cs="Calibri"/>
                <w:sz w:val="22"/>
                <w:szCs w:val="22"/>
              </w:rPr>
              <w:t>3</w:t>
            </w:r>
            <w:r w:rsidR="003F0401" w:rsidRPr="000C156A">
              <w:rPr>
                <w:rFonts w:cs="Calibri"/>
                <w:sz w:val="22"/>
                <w:szCs w:val="22"/>
              </w:rPr>
              <w:t xml:space="preserve"> </w:t>
            </w:r>
            <w:r w:rsidRPr="000C156A">
              <w:rPr>
                <w:rFonts w:cs="Calibri"/>
                <w:sz w:val="22"/>
                <w:szCs w:val="22"/>
              </w:rPr>
              <w:t>745.55</w:t>
            </w:r>
          </w:p>
        </w:tc>
      </w:tr>
      <w:tr w:rsidR="00686EC7" w:rsidRPr="000C156A" w14:paraId="2A18F20A"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5F8D0EB3" w14:textId="498F326D"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Pulse</w:t>
            </w:r>
            <w:r w:rsidR="00686EC7" w:rsidRPr="000C156A">
              <w:rPr>
                <w:rFonts w:cs="Calibri" w:hint="eastAsia"/>
                <w:sz w:val="22"/>
                <w:szCs w:val="22"/>
                <w:lang w:val="fr-FR"/>
              </w:rPr>
              <w:t>公司，喀土穆</w:t>
            </w:r>
          </w:p>
        </w:tc>
        <w:tc>
          <w:tcPr>
            <w:tcW w:w="1720" w:type="dxa"/>
            <w:tcBorders>
              <w:top w:val="nil"/>
              <w:left w:val="single" w:sz="4" w:space="0" w:color="auto"/>
              <w:bottom w:val="nil"/>
              <w:right w:val="single" w:sz="4" w:space="0" w:color="auto"/>
            </w:tcBorders>
            <w:shd w:val="clear" w:color="auto" w:fill="auto"/>
            <w:noWrap/>
            <w:vAlign w:val="bottom"/>
            <w:hideMark/>
          </w:tcPr>
          <w:p w14:paraId="4179D2C0" w14:textId="77777777" w:rsidR="00686EC7" w:rsidRPr="000C156A" w:rsidRDefault="00686EC7" w:rsidP="00141BAA">
            <w:pPr>
              <w:jc w:val="center"/>
              <w:rPr>
                <w:rFonts w:cs="Calibri"/>
                <w:sz w:val="22"/>
                <w:szCs w:val="22"/>
              </w:rPr>
            </w:pPr>
            <w:r w:rsidRPr="000C156A">
              <w:rPr>
                <w:rFonts w:cs="Calibri"/>
                <w:sz w:val="22"/>
                <w:szCs w:val="22"/>
              </w:rPr>
              <w:t>2016</w:t>
            </w:r>
          </w:p>
        </w:tc>
        <w:tc>
          <w:tcPr>
            <w:tcW w:w="1613" w:type="dxa"/>
            <w:tcBorders>
              <w:top w:val="nil"/>
              <w:left w:val="single" w:sz="4" w:space="0" w:color="auto"/>
              <w:bottom w:val="nil"/>
              <w:right w:val="single" w:sz="4" w:space="0" w:color="auto"/>
            </w:tcBorders>
            <w:shd w:val="clear" w:color="auto" w:fill="auto"/>
            <w:noWrap/>
            <w:vAlign w:val="bottom"/>
            <w:hideMark/>
          </w:tcPr>
          <w:p w14:paraId="7996F4E6" w14:textId="351AE2AE" w:rsidR="00686EC7" w:rsidRPr="000C156A" w:rsidRDefault="00686EC7" w:rsidP="00141BAA">
            <w:pPr>
              <w:jc w:val="right"/>
              <w:rPr>
                <w:rFonts w:cs="Calibri"/>
                <w:sz w:val="22"/>
                <w:szCs w:val="22"/>
              </w:rPr>
            </w:pPr>
            <w:r w:rsidRPr="000C156A">
              <w:rPr>
                <w:rFonts w:cs="Calibri"/>
                <w:sz w:val="22"/>
                <w:szCs w:val="22"/>
              </w:rPr>
              <w:t>5</w:t>
            </w:r>
            <w:r w:rsidR="003F0401" w:rsidRPr="000C156A">
              <w:rPr>
                <w:rFonts w:cs="Calibri"/>
                <w:sz w:val="22"/>
                <w:szCs w:val="22"/>
              </w:rPr>
              <w:t xml:space="preserve"> </w:t>
            </w:r>
            <w:r w:rsidRPr="000C156A">
              <w:rPr>
                <w:rFonts w:cs="Calibri"/>
                <w:sz w:val="22"/>
                <w:szCs w:val="22"/>
              </w:rPr>
              <w:t>206.55</w:t>
            </w:r>
          </w:p>
        </w:tc>
        <w:tc>
          <w:tcPr>
            <w:tcW w:w="1434" w:type="dxa"/>
            <w:tcBorders>
              <w:top w:val="nil"/>
              <w:left w:val="single" w:sz="4" w:space="0" w:color="auto"/>
              <w:bottom w:val="nil"/>
              <w:right w:val="single" w:sz="4" w:space="0" w:color="auto"/>
            </w:tcBorders>
            <w:shd w:val="clear" w:color="auto" w:fill="auto"/>
            <w:noWrap/>
            <w:vAlign w:val="bottom"/>
            <w:hideMark/>
          </w:tcPr>
          <w:p w14:paraId="2F3E2400"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7DF7E4FE" w14:textId="3E4138FE" w:rsidR="00686EC7" w:rsidRPr="000C156A" w:rsidRDefault="00686EC7" w:rsidP="00141BAA">
            <w:pPr>
              <w:jc w:val="right"/>
              <w:rPr>
                <w:rFonts w:cs="Calibri"/>
                <w:sz w:val="22"/>
                <w:szCs w:val="22"/>
              </w:rPr>
            </w:pPr>
            <w:r w:rsidRPr="000C156A">
              <w:rPr>
                <w:rFonts w:cs="Calibri"/>
                <w:sz w:val="22"/>
                <w:szCs w:val="22"/>
              </w:rPr>
              <w:t>5</w:t>
            </w:r>
            <w:r w:rsidR="003F0401" w:rsidRPr="000C156A">
              <w:rPr>
                <w:rFonts w:cs="Calibri"/>
                <w:sz w:val="22"/>
                <w:szCs w:val="22"/>
              </w:rPr>
              <w:t xml:space="preserve"> </w:t>
            </w:r>
            <w:r w:rsidRPr="000C156A">
              <w:rPr>
                <w:rFonts w:cs="Calibri"/>
                <w:sz w:val="22"/>
                <w:szCs w:val="22"/>
              </w:rPr>
              <w:t>206.55</w:t>
            </w:r>
          </w:p>
        </w:tc>
      </w:tr>
      <w:tr w:rsidR="00686EC7" w:rsidRPr="000C156A" w14:paraId="72F25430"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1A0A3696" w14:textId="667FF9FE"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hint="eastAsia"/>
                <w:sz w:val="22"/>
                <w:szCs w:val="22"/>
                <w:lang w:val="fr-FR"/>
              </w:rPr>
              <w:t>喀土穆大学，喀土穆</w:t>
            </w:r>
          </w:p>
        </w:tc>
        <w:tc>
          <w:tcPr>
            <w:tcW w:w="1720" w:type="dxa"/>
            <w:tcBorders>
              <w:top w:val="nil"/>
              <w:left w:val="single" w:sz="4" w:space="0" w:color="auto"/>
              <w:bottom w:val="nil"/>
              <w:right w:val="single" w:sz="4" w:space="0" w:color="auto"/>
            </w:tcBorders>
            <w:shd w:val="clear" w:color="auto" w:fill="auto"/>
            <w:noWrap/>
            <w:vAlign w:val="bottom"/>
            <w:hideMark/>
          </w:tcPr>
          <w:p w14:paraId="14DCE0E0" w14:textId="77777777" w:rsidR="00686EC7" w:rsidRPr="000C156A" w:rsidRDefault="00686EC7" w:rsidP="00141BAA">
            <w:pPr>
              <w:jc w:val="center"/>
              <w:rPr>
                <w:rFonts w:cs="Calibri"/>
                <w:sz w:val="22"/>
                <w:szCs w:val="22"/>
              </w:rPr>
            </w:pPr>
            <w:r w:rsidRPr="000C156A">
              <w:rPr>
                <w:rFonts w:cs="Calibri"/>
                <w:sz w:val="22"/>
                <w:szCs w:val="22"/>
              </w:rPr>
              <w:t>2013-2014</w:t>
            </w:r>
          </w:p>
        </w:tc>
        <w:tc>
          <w:tcPr>
            <w:tcW w:w="1613" w:type="dxa"/>
            <w:tcBorders>
              <w:top w:val="nil"/>
              <w:left w:val="single" w:sz="4" w:space="0" w:color="auto"/>
              <w:bottom w:val="nil"/>
              <w:right w:val="single" w:sz="4" w:space="0" w:color="auto"/>
            </w:tcBorders>
            <w:shd w:val="clear" w:color="auto" w:fill="auto"/>
            <w:noWrap/>
            <w:vAlign w:val="bottom"/>
            <w:hideMark/>
          </w:tcPr>
          <w:p w14:paraId="78ABB6AE" w14:textId="41DD6200" w:rsidR="00686EC7" w:rsidRPr="000C156A" w:rsidRDefault="00686EC7" w:rsidP="00141BAA">
            <w:pPr>
              <w:jc w:val="right"/>
              <w:rPr>
                <w:rFonts w:cs="Calibri"/>
                <w:sz w:val="22"/>
                <w:szCs w:val="22"/>
              </w:rPr>
            </w:pPr>
            <w:r w:rsidRPr="000C156A">
              <w:rPr>
                <w:rFonts w:cs="Calibri"/>
                <w:sz w:val="22"/>
                <w:szCs w:val="22"/>
              </w:rPr>
              <w:t>3</w:t>
            </w:r>
            <w:r w:rsidR="003F0401" w:rsidRPr="000C156A">
              <w:rPr>
                <w:rFonts w:cs="Calibri"/>
                <w:sz w:val="22"/>
                <w:szCs w:val="22"/>
              </w:rPr>
              <w:t xml:space="preserve"> </w:t>
            </w:r>
            <w:r w:rsidRPr="000C156A">
              <w:rPr>
                <w:rFonts w:cs="Calibri"/>
                <w:sz w:val="22"/>
                <w:szCs w:val="22"/>
              </w:rPr>
              <w:t>745.55</w:t>
            </w:r>
          </w:p>
        </w:tc>
        <w:tc>
          <w:tcPr>
            <w:tcW w:w="1434" w:type="dxa"/>
            <w:tcBorders>
              <w:top w:val="nil"/>
              <w:left w:val="single" w:sz="4" w:space="0" w:color="auto"/>
              <w:bottom w:val="nil"/>
              <w:right w:val="single" w:sz="4" w:space="0" w:color="auto"/>
            </w:tcBorders>
            <w:shd w:val="clear" w:color="auto" w:fill="auto"/>
            <w:noWrap/>
            <w:vAlign w:val="bottom"/>
            <w:hideMark/>
          </w:tcPr>
          <w:p w14:paraId="6E8C3216"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136A6005" w14:textId="0D740567" w:rsidR="00686EC7" w:rsidRPr="000C156A" w:rsidRDefault="00686EC7" w:rsidP="00141BAA">
            <w:pPr>
              <w:jc w:val="right"/>
              <w:rPr>
                <w:rFonts w:cs="Calibri"/>
                <w:sz w:val="22"/>
                <w:szCs w:val="22"/>
              </w:rPr>
            </w:pPr>
            <w:r w:rsidRPr="000C156A">
              <w:rPr>
                <w:rFonts w:cs="Calibri"/>
                <w:sz w:val="22"/>
                <w:szCs w:val="22"/>
              </w:rPr>
              <w:t>3</w:t>
            </w:r>
            <w:r w:rsidR="003F0401" w:rsidRPr="000C156A">
              <w:rPr>
                <w:rFonts w:cs="Calibri"/>
                <w:sz w:val="22"/>
                <w:szCs w:val="22"/>
              </w:rPr>
              <w:t xml:space="preserve"> </w:t>
            </w:r>
            <w:r w:rsidRPr="000C156A">
              <w:rPr>
                <w:rFonts w:cs="Calibri"/>
                <w:sz w:val="22"/>
                <w:szCs w:val="22"/>
              </w:rPr>
              <w:t>745.55</w:t>
            </w:r>
          </w:p>
        </w:tc>
      </w:tr>
      <w:tr w:rsidR="00686EC7" w:rsidRPr="000C156A" w14:paraId="255BCB2A"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5594B45D" w14:textId="77777777" w:rsidR="00686EC7" w:rsidRPr="000C156A" w:rsidRDefault="00686EC7" w:rsidP="00141BAA">
            <w:pPr>
              <w:rPr>
                <w:rFonts w:cs="Calibri"/>
                <w:b/>
                <w:bCs/>
                <w:sz w:val="22"/>
                <w:szCs w:val="22"/>
              </w:rPr>
            </w:pPr>
            <w:r w:rsidRPr="000C156A">
              <w:rPr>
                <w:rFonts w:cs="Calibri"/>
                <w:b/>
                <w:bCs/>
                <w:sz w:val="22"/>
                <w:szCs w:val="22"/>
              </w:rPr>
              <w:t>瑞典</w:t>
            </w:r>
          </w:p>
        </w:tc>
        <w:tc>
          <w:tcPr>
            <w:tcW w:w="1720" w:type="dxa"/>
            <w:tcBorders>
              <w:top w:val="nil"/>
              <w:left w:val="single" w:sz="4" w:space="0" w:color="auto"/>
              <w:bottom w:val="nil"/>
              <w:right w:val="single" w:sz="4" w:space="0" w:color="auto"/>
            </w:tcBorders>
            <w:shd w:val="clear" w:color="auto" w:fill="auto"/>
            <w:noWrap/>
            <w:vAlign w:val="bottom"/>
            <w:hideMark/>
          </w:tcPr>
          <w:p w14:paraId="44D84899"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3865F63E"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3AA46823"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503BE8B8" w14:textId="77777777" w:rsidR="00686EC7" w:rsidRPr="000C156A" w:rsidRDefault="00686EC7" w:rsidP="00141BAA">
            <w:pPr>
              <w:rPr>
                <w:rFonts w:ascii="Times New Roman" w:hAnsi="Times New Roman"/>
                <w:sz w:val="22"/>
                <w:szCs w:val="22"/>
              </w:rPr>
            </w:pPr>
          </w:p>
        </w:tc>
      </w:tr>
      <w:tr w:rsidR="00686EC7" w:rsidRPr="000C156A" w14:paraId="63D20BAC"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4D8DC873" w14:textId="31CEBCD4" w:rsidR="00686EC7" w:rsidRPr="000C156A" w:rsidRDefault="00D93F72" w:rsidP="00D93F72">
            <w:pPr>
              <w:tabs>
                <w:tab w:val="clear" w:pos="567"/>
              </w:tabs>
              <w:spacing w:before="0"/>
              <w:ind w:left="317" w:hanging="317"/>
              <w:rPr>
                <w:rFonts w:cs="Calibri"/>
                <w:sz w:val="22"/>
                <w:szCs w:val="22"/>
                <w:lang w:eastAsia="zh-CN"/>
              </w:rPr>
            </w:pPr>
            <w:r w:rsidRPr="000C156A">
              <w:rPr>
                <w:rFonts w:cs="Calibri"/>
                <w:sz w:val="22"/>
                <w:szCs w:val="22"/>
              </w:rPr>
              <w:t>–</w:t>
            </w:r>
            <w:r w:rsidRPr="000C156A">
              <w:rPr>
                <w:rFonts w:cs="Calibri"/>
                <w:sz w:val="22"/>
                <w:szCs w:val="22"/>
              </w:rPr>
              <w:tab/>
            </w:r>
            <w:r w:rsidR="00686EC7" w:rsidRPr="000C156A">
              <w:rPr>
                <w:rFonts w:cs="Calibri"/>
                <w:sz w:val="22"/>
                <w:szCs w:val="22"/>
              </w:rPr>
              <w:t>GlobeTouch</w:t>
            </w:r>
            <w:r w:rsidR="00686EC7" w:rsidRPr="000C156A">
              <w:rPr>
                <w:rFonts w:cs="Calibri" w:hint="eastAsia"/>
                <w:sz w:val="22"/>
                <w:szCs w:val="22"/>
                <w:lang w:eastAsia="zh-CN"/>
              </w:rPr>
              <w:t>公司，斯德哥尔摩</w:t>
            </w:r>
          </w:p>
        </w:tc>
        <w:tc>
          <w:tcPr>
            <w:tcW w:w="1720" w:type="dxa"/>
            <w:tcBorders>
              <w:top w:val="nil"/>
              <w:left w:val="single" w:sz="4" w:space="0" w:color="auto"/>
              <w:bottom w:val="nil"/>
              <w:right w:val="single" w:sz="4" w:space="0" w:color="auto"/>
            </w:tcBorders>
            <w:shd w:val="clear" w:color="auto" w:fill="auto"/>
            <w:noWrap/>
            <w:vAlign w:val="bottom"/>
            <w:hideMark/>
          </w:tcPr>
          <w:p w14:paraId="534FB479" w14:textId="77777777" w:rsidR="00686EC7" w:rsidRPr="000C156A" w:rsidRDefault="00686EC7" w:rsidP="00141BAA">
            <w:pPr>
              <w:jc w:val="center"/>
              <w:rPr>
                <w:rFonts w:cs="Calibri"/>
                <w:sz w:val="22"/>
                <w:szCs w:val="22"/>
              </w:rPr>
            </w:pPr>
            <w:r w:rsidRPr="000C156A">
              <w:rPr>
                <w:rFonts w:cs="Calibri"/>
                <w:sz w:val="22"/>
                <w:szCs w:val="22"/>
              </w:rPr>
              <w:t>2016</w:t>
            </w:r>
          </w:p>
        </w:tc>
        <w:tc>
          <w:tcPr>
            <w:tcW w:w="1613" w:type="dxa"/>
            <w:tcBorders>
              <w:top w:val="nil"/>
              <w:left w:val="single" w:sz="4" w:space="0" w:color="auto"/>
              <w:bottom w:val="nil"/>
              <w:right w:val="single" w:sz="4" w:space="0" w:color="auto"/>
            </w:tcBorders>
            <w:shd w:val="clear" w:color="auto" w:fill="auto"/>
            <w:noWrap/>
            <w:vAlign w:val="bottom"/>
            <w:hideMark/>
          </w:tcPr>
          <w:p w14:paraId="33CB77D9" w14:textId="490AA981" w:rsidR="00686EC7" w:rsidRPr="000C156A" w:rsidRDefault="00686EC7" w:rsidP="00141BAA">
            <w:pPr>
              <w:jc w:val="right"/>
              <w:rPr>
                <w:rFonts w:cs="Calibri"/>
                <w:sz w:val="22"/>
                <w:szCs w:val="22"/>
              </w:rPr>
            </w:pPr>
            <w:r w:rsidRPr="000C156A">
              <w:rPr>
                <w:rFonts w:cs="Calibri"/>
                <w:sz w:val="22"/>
                <w:szCs w:val="22"/>
              </w:rPr>
              <w:t>13</w:t>
            </w:r>
            <w:r w:rsidR="003F0401" w:rsidRPr="000C156A">
              <w:rPr>
                <w:rFonts w:cs="Calibri"/>
                <w:sz w:val="22"/>
                <w:szCs w:val="22"/>
              </w:rPr>
              <w:t xml:space="preserve"> </w:t>
            </w:r>
            <w:r w:rsidRPr="000C156A">
              <w:rPr>
                <w:rFonts w:cs="Calibri"/>
                <w:sz w:val="22"/>
                <w:szCs w:val="22"/>
              </w:rPr>
              <w:t>884.10</w:t>
            </w:r>
          </w:p>
        </w:tc>
        <w:tc>
          <w:tcPr>
            <w:tcW w:w="1434" w:type="dxa"/>
            <w:tcBorders>
              <w:top w:val="nil"/>
              <w:left w:val="single" w:sz="4" w:space="0" w:color="auto"/>
              <w:bottom w:val="nil"/>
              <w:right w:val="single" w:sz="4" w:space="0" w:color="auto"/>
            </w:tcBorders>
            <w:shd w:val="clear" w:color="auto" w:fill="auto"/>
            <w:noWrap/>
            <w:vAlign w:val="bottom"/>
            <w:hideMark/>
          </w:tcPr>
          <w:p w14:paraId="1FC19D45"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61BB26F2" w14:textId="7D6EF544" w:rsidR="00686EC7" w:rsidRPr="000C156A" w:rsidRDefault="00686EC7" w:rsidP="00141BAA">
            <w:pPr>
              <w:jc w:val="right"/>
              <w:rPr>
                <w:rFonts w:cs="Calibri"/>
                <w:sz w:val="22"/>
                <w:szCs w:val="22"/>
              </w:rPr>
            </w:pPr>
            <w:r w:rsidRPr="000C156A">
              <w:rPr>
                <w:rFonts w:cs="Calibri"/>
                <w:sz w:val="22"/>
                <w:szCs w:val="22"/>
              </w:rPr>
              <w:t>13</w:t>
            </w:r>
            <w:r w:rsidR="003F0401" w:rsidRPr="000C156A">
              <w:rPr>
                <w:rFonts w:cs="Calibri"/>
                <w:sz w:val="22"/>
                <w:szCs w:val="22"/>
              </w:rPr>
              <w:t xml:space="preserve"> </w:t>
            </w:r>
            <w:r w:rsidRPr="000C156A">
              <w:rPr>
                <w:rFonts w:cs="Calibri"/>
                <w:sz w:val="22"/>
                <w:szCs w:val="22"/>
              </w:rPr>
              <w:t>884.10</w:t>
            </w:r>
          </w:p>
        </w:tc>
      </w:tr>
      <w:tr w:rsidR="00686EC7" w:rsidRPr="000C156A" w14:paraId="12AC9FE5"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0C16A5B2" w14:textId="77777777" w:rsidR="00686EC7" w:rsidRPr="000C156A" w:rsidRDefault="00686EC7" w:rsidP="00141BAA">
            <w:pPr>
              <w:rPr>
                <w:rFonts w:cs="Calibri"/>
                <w:b/>
                <w:bCs/>
                <w:sz w:val="22"/>
                <w:szCs w:val="22"/>
              </w:rPr>
            </w:pPr>
            <w:r w:rsidRPr="000C156A">
              <w:rPr>
                <w:rFonts w:cs="Calibri"/>
                <w:b/>
                <w:bCs/>
                <w:sz w:val="22"/>
                <w:szCs w:val="22"/>
              </w:rPr>
              <w:t>瑞士</w:t>
            </w:r>
          </w:p>
        </w:tc>
        <w:tc>
          <w:tcPr>
            <w:tcW w:w="1720" w:type="dxa"/>
            <w:tcBorders>
              <w:top w:val="nil"/>
              <w:left w:val="single" w:sz="4" w:space="0" w:color="auto"/>
              <w:bottom w:val="nil"/>
              <w:right w:val="single" w:sz="4" w:space="0" w:color="auto"/>
            </w:tcBorders>
            <w:shd w:val="clear" w:color="auto" w:fill="auto"/>
            <w:noWrap/>
            <w:vAlign w:val="bottom"/>
            <w:hideMark/>
          </w:tcPr>
          <w:p w14:paraId="5BDF59D5"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228614C0"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0CD6D176"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282E48D3" w14:textId="77777777" w:rsidR="00686EC7" w:rsidRPr="000C156A" w:rsidRDefault="00686EC7" w:rsidP="00141BAA">
            <w:pPr>
              <w:rPr>
                <w:rFonts w:ascii="Times New Roman" w:hAnsi="Times New Roman"/>
                <w:sz w:val="22"/>
                <w:szCs w:val="22"/>
              </w:rPr>
            </w:pPr>
          </w:p>
        </w:tc>
      </w:tr>
      <w:tr w:rsidR="00686EC7" w:rsidRPr="000C156A" w14:paraId="31E51351"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037ED47C" w14:textId="4CE3A355" w:rsidR="00686EC7" w:rsidRPr="000C156A" w:rsidRDefault="00D93F72" w:rsidP="00D93F72">
            <w:pPr>
              <w:tabs>
                <w:tab w:val="clear" w:pos="567"/>
              </w:tabs>
              <w:spacing w:before="0"/>
              <w:ind w:left="317" w:hanging="317"/>
              <w:rPr>
                <w:rFonts w:cs="Calibri"/>
                <w:sz w:val="22"/>
                <w:szCs w:val="22"/>
                <w:lang w:eastAsia="zh-CN"/>
              </w:rPr>
            </w:pPr>
            <w:r w:rsidRPr="000C156A">
              <w:rPr>
                <w:rFonts w:cs="Calibri"/>
                <w:sz w:val="22"/>
                <w:szCs w:val="22"/>
                <w:lang w:eastAsia="zh-CN"/>
              </w:rPr>
              <w:t>–</w:t>
            </w:r>
            <w:r w:rsidRPr="000C156A">
              <w:rPr>
                <w:rFonts w:cs="Calibri"/>
                <w:sz w:val="22"/>
                <w:szCs w:val="22"/>
                <w:lang w:eastAsia="zh-CN"/>
              </w:rPr>
              <w:tab/>
            </w:r>
            <w:r w:rsidR="00686EC7" w:rsidRPr="000C156A">
              <w:rPr>
                <w:rFonts w:cs="Calibri"/>
                <w:sz w:val="22"/>
                <w:szCs w:val="22"/>
                <w:lang w:val="fr-FR" w:eastAsia="zh-CN"/>
              </w:rPr>
              <w:t>Ascom</w:t>
            </w:r>
            <w:r w:rsidR="00686EC7" w:rsidRPr="000C156A">
              <w:rPr>
                <w:rFonts w:cs="Calibri" w:hint="eastAsia"/>
                <w:sz w:val="22"/>
                <w:szCs w:val="22"/>
                <w:lang w:eastAsia="zh-CN"/>
              </w:rPr>
              <w:t>网络测试公司，索罗图恩</w:t>
            </w:r>
          </w:p>
        </w:tc>
        <w:tc>
          <w:tcPr>
            <w:tcW w:w="1720" w:type="dxa"/>
            <w:tcBorders>
              <w:top w:val="nil"/>
              <w:left w:val="single" w:sz="4" w:space="0" w:color="auto"/>
              <w:bottom w:val="nil"/>
              <w:right w:val="single" w:sz="4" w:space="0" w:color="auto"/>
            </w:tcBorders>
            <w:shd w:val="clear" w:color="auto" w:fill="auto"/>
            <w:noWrap/>
            <w:vAlign w:val="bottom"/>
            <w:hideMark/>
          </w:tcPr>
          <w:p w14:paraId="33AA46AE" w14:textId="77777777" w:rsidR="00686EC7" w:rsidRPr="000C156A" w:rsidRDefault="00686EC7" w:rsidP="00141BAA">
            <w:pPr>
              <w:jc w:val="center"/>
              <w:rPr>
                <w:rFonts w:cs="Calibri"/>
                <w:sz w:val="22"/>
                <w:szCs w:val="22"/>
              </w:rPr>
            </w:pPr>
            <w:r w:rsidRPr="000C156A">
              <w:rPr>
                <w:rFonts w:cs="Calibri"/>
                <w:sz w:val="22"/>
                <w:szCs w:val="22"/>
              </w:rPr>
              <w:t>2018</w:t>
            </w:r>
          </w:p>
        </w:tc>
        <w:tc>
          <w:tcPr>
            <w:tcW w:w="1613" w:type="dxa"/>
            <w:tcBorders>
              <w:top w:val="nil"/>
              <w:left w:val="single" w:sz="4" w:space="0" w:color="auto"/>
              <w:bottom w:val="nil"/>
              <w:right w:val="single" w:sz="4" w:space="0" w:color="auto"/>
            </w:tcBorders>
            <w:shd w:val="clear" w:color="auto" w:fill="auto"/>
            <w:noWrap/>
            <w:vAlign w:val="bottom"/>
            <w:hideMark/>
          </w:tcPr>
          <w:p w14:paraId="26664C71" w14:textId="0E37FC26" w:rsidR="00686EC7" w:rsidRPr="000C156A" w:rsidRDefault="00686EC7" w:rsidP="00141BAA">
            <w:pPr>
              <w:jc w:val="right"/>
              <w:rPr>
                <w:rFonts w:cs="Calibri"/>
                <w:sz w:val="22"/>
                <w:szCs w:val="22"/>
              </w:rPr>
            </w:pPr>
            <w:r w:rsidRPr="000C156A">
              <w:rPr>
                <w:rFonts w:cs="Calibri"/>
                <w:sz w:val="22"/>
                <w:szCs w:val="22"/>
              </w:rPr>
              <w:t>11</w:t>
            </w:r>
            <w:r w:rsidR="003F0401" w:rsidRPr="000C156A">
              <w:rPr>
                <w:rFonts w:cs="Calibri"/>
                <w:sz w:val="22"/>
                <w:szCs w:val="22"/>
              </w:rPr>
              <w:t xml:space="preserve"> </w:t>
            </w:r>
            <w:r w:rsidRPr="000C156A">
              <w:rPr>
                <w:rFonts w:cs="Calibri"/>
                <w:sz w:val="22"/>
                <w:szCs w:val="22"/>
              </w:rPr>
              <w:t>657.35</w:t>
            </w:r>
          </w:p>
        </w:tc>
        <w:tc>
          <w:tcPr>
            <w:tcW w:w="1434" w:type="dxa"/>
            <w:tcBorders>
              <w:top w:val="nil"/>
              <w:left w:val="single" w:sz="4" w:space="0" w:color="auto"/>
              <w:bottom w:val="nil"/>
              <w:right w:val="single" w:sz="4" w:space="0" w:color="auto"/>
            </w:tcBorders>
            <w:shd w:val="clear" w:color="auto" w:fill="auto"/>
            <w:noWrap/>
            <w:vAlign w:val="bottom"/>
            <w:hideMark/>
          </w:tcPr>
          <w:p w14:paraId="3D8F4C9D"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3D7AFA67" w14:textId="11FB6ED2" w:rsidR="00686EC7" w:rsidRPr="000C156A" w:rsidRDefault="00686EC7" w:rsidP="00141BAA">
            <w:pPr>
              <w:jc w:val="right"/>
              <w:rPr>
                <w:rFonts w:cs="Calibri"/>
                <w:sz w:val="22"/>
                <w:szCs w:val="22"/>
              </w:rPr>
            </w:pPr>
            <w:r w:rsidRPr="000C156A">
              <w:rPr>
                <w:rFonts w:cs="Calibri"/>
                <w:sz w:val="22"/>
                <w:szCs w:val="22"/>
              </w:rPr>
              <w:t>11</w:t>
            </w:r>
            <w:r w:rsidR="003F0401" w:rsidRPr="000C156A">
              <w:rPr>
                <w:rFonts w:cs="Calibri"/>
                <w:sz w:val="22"/>
                <w:szCs w:val="22"/>
              </w:rPr>
              <w:t xml:space="preserve"> </w:t>
            </w:r>
            <w:r w:rsidRPr="000C156A">
              <w:rPr>
                <w:rFonts w:cs="Calibri"/>
                <w:sz w:val="22"/>
                <w:szCs w:val="22"/>
              </w:rPr>
              <w:t>657.35</w:t>
            </w:r>
          </w:p>
        </w:tc>
      </w:tr>
      <w:tr w:rsidR="00686EC7" w:rsidRPr="000C156A" w14:paraId="7C0DA130"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3C22D25C" w14:textId="77777777" w:rsidR="00686EC7" w:rsidRPr="000C156A" w:rsidRDefault="00686EC7" w:rsidP="00141BAA">
            <w:pPr>
              <w:rPr>
                <w:rFonts w:cs="Calibri"/>
                <w:b/>
                <w:bCs/>
                <w:sz w:val="22"/>
                <w:szCs w:val="22"/>
              </w:rPr>
            </w:pPr>
            <w:r w:rsidRPr="000C156A">
              <w:rPr>
                <w:rFonts w:cs="Calibri"/>
                <w:b/>
                <w:bCs/>
                <w:sz w:val="22"/>
                <w:szCs w:val="22"/>
              </w:rPr>
              <w:t>泰国</w:t>
            </w:r>
          </w:p>
        </w:tc>
        <w:tc>
          <w:tcPr>
            <w:tcW w:w="1720" w:type="dxa"/>
            <w:tcBorders>
              <w:top w:val="nil"/>
              <w:left w:val="single" w:sz="4" w:space="0" w:color="auto"/>
              <w:bottom w:val="nil"/>
              <w:right w:val="single" w:sz="4" w:space="0" w:color="auto"/>
            </w:tcBorders>
            <w:shd w:val="clear" w:color="auto" w:fill="auto"/>
            <w:noWrap/>
            <w:vAlign w:val="bottom"/>
            <w:hideMark/>
          </w:tcPr>
          <w:p w14:paraId="1EECD549"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7EBF1E64"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04FDF079"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1CFEF51A" w14:textId="77777777" w:rsidR="00686EC7" w:rsidRPr="000C156A" w:rsidRDefault="00686EC7" w:rsidP="00141BAA">
            <w:pPr>
              <w:rPr>
                <w:rFonts w:ascii="Times New Roman" w:hAnsi="Times New Roman"/>
                <w:sz w:val="22"/>
                <w:szCs w:val="22"/>
              </w:rPr>
            </w:pPr>
          </w:p>
        </w:tc>
      </w:tr>
      <w:tr w:rsidR="00686EC7" w:rsidRPr="000C156A" w14:paraId="0AC2EEF2" w14:textId="77777777" w:rsidTr="00141BAA">
        <w:trPr>
          <w:trHeight w:val="267"/>
          <w:jc w:val="center"/>
        </w:trPr>
        <w:tc>
          <w:tcPr>
            <w:tcW w:w="3934" w:type="dxa"/>
            <w:tcBorders>
              <w:top w:val="nil"/>
              <w:left w:val="single" w:sz="4" w:space="0" w:color="auto"/>
              <w:bottom w:val="nil"/>
              <w:right w:val="single" w:sz="4" w:space="0" w:color="auto"/>
            </w:tcBorders>
            <w:shd w:val="clear" w:color="auto" w:fill="auto"/>
            <w:vAlign w:val="bottom"/>
            <w:hideMark/>
          </w:tcPr>
          <w:p w14:paraId="31ED97DD" w14:textId="1B96A243" w:rsidR="00686EC7" w:rsidRPr="000C156A" w:rsidRDefault="00D93F72" w:rsidP="00D93F72">
            <w:pPr>
              <w:tabs>
                <w:tab w:val="clear" w:pos="567"/>
              </w:tabs>
              <w:spacing w:before="0"/>
              <w:ind w:left="317" w:hanging="317"/>
              <w:rPr>
                <w:rFonts w:cs="Calibri"/>
                <w:sz w:val="22"/>
                <w:szCs w:val="22"/>
                <w:lang w:eastAsia="zh-CN"/>
              </w:rPr>
            </w:pPr>
            <w:r w:rsidRPr="000C156A">
              <w:rPr>
                <w:rFonts w:cs="Calibri"/>
                <w:sz w:val="22"/>
                <w:szCs w:val="22"/>
                <w:lang w:eastAsia="zh-CN"/>
              </w:rPr>
              <w:t>–</w:t>
            </w:r>
            <w:r w:rsidRPr="000C156A">
              <w:rPr>
                <w:rFonts w:cs="Calibri"/>
                <w:sz w:val="22"/>
                <w:szCs w:val="22"/>
                <w:lang w:eastAsia="zh-CN"/>
              </w:rPr>
              <w:tab/>
            </w:r>
            <w:r w:rsidR="00686EC7" w:rsidRPr="000C156A">
              <w:rPr>
                <w:rFonts w:cs="Calibri" w:hint="eastAsia"/>
                <w:sz w:val="22"/>
                <w:szCs w:val="22"/>
                <w:lang w:val="fr-FR" w:eastAsia="zh-CN"/>
              </w:rPr>
              <w:t>曼谷朱拉隆功大学</w:t>
            </w:r>
            <w:r w:rsidR="00686EC7" w:rsidRPr="000C156A">
              <w:rPr>
                <w:rFonts w:cs="Calibri" w:hint="eastAsia"/>
                <w:sz w:val="22"/>
                <w:szCs w:val="22"/>
                <w:lang w:eastAsia="zh-CN"/>
              </w:rPr>
              <w:t>，工程学院</w:t>
            </w:r>
          </w:p>
        </w:tc>
        <w:tc>
          <w:tcPr>
            <w:tcW w:w="1720" w:type="dxa"/>
            <w:tcBorders>
              <w:top w:val="nil"/>
              <w:left w:val="single" w:sz="4" w:space="0" w:color="auto"/>
              <w:bottom w:val="nil"/>
              <w:right w:val="single" w:sz="4" w:space="0" w:color="auto"/>
            </w:tcBorders>
            <w:shd w:val="clear" w:color="auto" w:fill="auto"/>
            <w:noWrap/>
            <w:vAlign w:val="bottom"/>
            <w:hideMark/>
          </w:tcPr>
          <w:p w14:paraId="02E7C2A5" w14:textId="77777777" w:rsidR="00686EC7" w:rsidRPr="000C156A" w:rsidRDefault="00686EC7" w:rsidP="00141BAA">
            <w:pPr>
              <w:jc w:val="center"/>
              <w:rPr>
                <w:rFonts w:cs="Calibri"/>
                <w:sz w:val="22"/>
                <w:szCs w:val="22"/>
              </w:rPr>
            </w:pPr>
            <w:r w:rsidRPr="000C156A">
              <w:rPr>
                <w:rFonts w:cs="Calibri"/>
                <w:sz w:val="22"/>
                <w:szCs w:val="22"/>
              </w:rPr>
              <w:t>2019</w:t>
            </w:r>
          </w:p>
        </w:tc>
        <w:tc>
          <w:tcPr>
            <w:tcW w:w="1613" w:type="dxa"/>
            <w:tcBorders>
              <w:top w:val="nil"/>
              <w:left w:val="single" w:sz="4" w:space="0" w:color="auto"/>
              <w:bottom w:val="nil"/>
              <w:right w:val="single" w:sz="4" w:space="0" w:color="auto"/>
            </w:tcBorders>
            <w:shd w:val="clear" w:color="auto" w:fill="auto"/>
            <w:noWrap/>
            <w:vAlign w:val="bottom"/>
            <w:hideMark/>
          </w:tcPr>
          <w:p w14:paraId="1022E0C0" w14:textId="02145831"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185.75</w:t>
            </w:r>
          </w:p>
        </w:tc>
        <w:tc>
          <w:tcPr>
            <w:tcW w:w="1434" w:type="dxa"/>
            <w:tcBorders>
              <w:top w:val="nil"/>
              <w:left w:val="single" w:sz="4" w:space="0" w:color="auto"/>
              <w:bottom w:val="nil"/>
              <w:right w:val="single" w:sz="4" w:space="0" w:color="auto"/>
            </w:tcBorders>
            <w:shd w:val="clear" w:color="auto" w:fill="auto"/>
            <w:noWrap/>
            <w:vAlign w:val="bottom"/>
            <w:hideMark/>
          </w:tcPr>
          <w:p w14:paraId="2514F10F"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2F70859F" w14:textId="6649597B"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185.75</w:t>
            </w:r>
          </w:p>
        </w:tc>
      </w:tr>
      <w:tr w:rsidR="00686EC7" w:rsidRPr="000C156A" w14:paraId="29CC2501"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735566A5" w14:textId="77777777" w:rsidR="00686EC7" w:rsidRPr="000C156A" w:rsidRDefault="00686EC7" w:rsidP="00141BAA">
            <w:pPr>
              <w:overflowPunct/>
              <w:autoSpaceDE/>
              <w:autoSpaceDN/>
              <w:adjustRightInd/>
              <w:spacing w:before="0"/>
              <w:textAlignment w:val="auto"/>
              <w:rPr>
                <w:rFonts w:cs="Calibri"/>
                <w:b/>
                <w:bCs/>
                <w:sz w:val="22"/>
                <w:szCs w:val="22"/>
                <w:lang w:val="en-US" w:eastAsia="zh-CN"/>
              </w:rPr>
            </w:pPr>
            <w:r w:rsidRPr="000C156A">
              <w:rPr>
                <w:rFonts w:cs="Calibri" w:hint="eastAsia"/>
                <w:b/>
                <w:bCs/>
                <w:sz w:val="22"/>
                <w:szCs w:val="22"/>
                <w:lang w:val="en-US" w:eastAsia="zh-CN"/>
              </w:rPr>
              <w:t>突尼斯</w:t>
            </w:r>
          </w:p>
        </w:tc>
        <w:tc>
          <w:tcPr>
            <w:tcW w:w="1720" w:type="dxa"/>
            <w:tcBorders>
              <w:top w:val="nil"/>
              <w:left w:val="single" w:sz="4" w:space="0" w:color="auto"/>
              <w:bottom w:val="nil"/>
              <w:right w:val="single" w:sz="4" w:space="0" w:color="auto"/>
            </w:tcBorders>
            <w:shd w:val="clear" w:color="auto" w:fill="auto"/>
            <w:noWrap/>
            <w:vAlign w:val="bottom"/>
            <w:hideMark/>
          </w:tcPr>
          <w:p w14:paraId="2E4FB2A4"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42850A3B"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04E64C4F"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120A2222" w14:textId="77777777" w:rsidR="00686EC7" w:rsidRPr="000C156A" w:rsidRDefault="00686EC7" w:rsidP="00141BAA">
            <w:pPr>
              <w:rPr>
                <w:rFonts w:ascii="Times New Roman" w:hAnsi="Times New Roman"/>
                <w:sz w:val="22"/>
                <w:szCs w:val="22"/>
              </w:rPr>
            </w:pPr>
          </w:p>
        </w:tc>
      </w:tr>
      <w:tr w:rsidR="00686EC7" w:rsidRPr="000C156A" w14:paraId="5B052224"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17B4691D" w14:textId="268D1053" w:rsidR="00686EC7" w:rsidRPr="000C156A" w:rsidRDefault="00D93F72" w:rsidP="00D93F72">
            <w:pPr>
              <w:tabs>
                <w:tab w:val="clear" w:pos="567"/>
              </w:tabs>
              <w:spacing w:before="0"/>
              <w:ind w:left="317" w:hanging="317"/>
              <w:rPr>
                <w:rFonts w:cs="Calibri"/>
                <w:b/>
                <w:bCs/>
                <w:sz w:val="22"/>
                <w:szCs w:val="22"/>
                <w:lang w:eastAsia="zh-CN"/>
              </w:rPr>
            </w:pPr>
            <w:r w:rsidRPr="000C156A">
              <w:rPr>
                <w:rFonts w:cs="Calibri"/>
                <w:sz w:val="22"/>
                <w:szCs w:val="22"/>
                <w:lang w:eastAsia="zh-CN"/>
              </w:rPr>
              <w:t>–</w:t>
            </w:r>
            <w:r w:rsidRPr="000C156A">
              <w:rPr>
                <w:rFonts w:cs="Calibri"/>
                <w:sz w:val="22"/>
                <w:szCs w:val="22"/>
                <w:lang w:eastAsia="zh-CN"/>
              </w:rPr>
              <w:tab/>
            </w:r>
            <w:r w:rsidR="00686EC7" w:rsidRPr="000C156A">
              <w:rPr>
                <w:rFonts w:cs="Calibri"/>
                <w:sz w:val="22"/>
                <w:szCs w:val="22"/>
                <w:lang w:val="fr-FR" w:eastAsia="zh-CN"/>
              </w:rPr>
              <w:t>突尼斯网络监管机构</w:t>
            </w:r>
            <w:r w:rsidR="00686EC7" w:rsidRPr="000C156A">
              <w:rPr>
                <w:rFonts w:cs="Calibri"/>
                <w:sz w:val="22"/>
                <w:szCs w:val="22"/>
                <w:lang w:eastAsia="zh-CN"/>
              </w:rPr>
              <w:t>（</w:t>
            </w:r>
            <w:r w:rsidR="00686EC7" w:rsidRPr="000C156A">
              <w:rPr>
                <w:rFonts w:cs="Calibri"/>
                <w:sz w:val="22"/>
                <w:szCs w:val="22"/>
                <w:lang w:eastAsia="zh-CN"/>
              </w:rPr>
              <w:t>ATI</w:t>
            </w:r>
            <w:r w:rsidR="00686EC7" w:rsidRPr="000C156A">
              <w:rPr>
                <w:rFonts w:cs="Calibri"/>
                <w:sz w:val="22"/>
                <w:szCs w:val="22"/>
                <w:lang w:eastAsia="zh-CN"/>
              </w:rPr>
              <w:t>）</w:t>
            </w:r>
            <w:r w:rsidR="00686EC7" w:rsidRPr="000C156A">
              <w:rPr>
                <w:rFonts w:cs="Calibri" w:hint="eastAsia"/>
                <w:sz w:val="22"/>
                <w:szCs w:val="22"/>
                <w:lang w:eastAsia="zh-CN"/>
              </w:rPr>
              <w:t>突尼斯</w:t>
            </w:r>
          </w:p>
        </w:tc>
        <w:tc>
          <w:tcPr>
            <w:tcW w:w="1720" w:type="dxa"/>
            <w:tcBorders>
              <w:top w:val="nil"/>
              <w:left w:val="single" w:sz="4" w:space="0" w:color="auto"/>
              <w:bottom w:val="nil"/>
              <w:right w:val="single" w:sz="4" w:space="0" w:color="auto"/>
            </w:tcBorders>
            <w:shd w:val="clear" w:color="auto" w:fill="auto"/>
            <w:noWrap/>
            <w:vAlign w:val="bottom"/>
            <w:hideMark/>
          </w:tcPr>
          <w:p w14:paraId="7F313787" w14:textId="77777777" w:rsidR="00686EC7" w:rsidRPr="000C156A" w:rsidRDefault="00686EC7" w:rsidP="00141BAA">
            <w:pPr>
              <w:jc w:val="center"/>
              <w:rPr>
                <w:rFonts w:cs="Calibri"/>
                <w:sz w:val="22"/>
                <w:szCs w:val="22"/>
              </w:rPr>
            </w:pPr>
            <w:r w:rsidRPr="000C156A">
              <w:rPr>
                <w:rFonts w:cs="Calibri"/>
                <w:sz w:val="22"/>
                <w:szCs w:val="22"/>
              </w:rPr>
              <w:t>2018-2019</w:t>
            </w:r>
          </w:p>
        </w:tc>
        <w:tc>
          <w:tcPr>
            <w:tcW w:w="1613" w:type="dxa"/>
            <w:tcBorders>
              <w:top w:val="nil"/>
              <w:left w:val="single" w:sz="4" w:space="0" w:color="auto"/>
              <w:bottom w:val="nil"/>
              <w:right w:val="single" w:sz="4" w:space="0" w:color="auto"/>
            </w:tcBorders>
            <w:shd w:val="clear" w:color="auto" w:fill="auto"/>
            <w:noWrap/>
            <w:vAlign w:val="bottom"/>
            <w:hideMark/>
          </w:tcPr>
          <w:p w14:paraId="1E2C2683" w14:textId="124E5AB4" w:rsidR="00686EC7" w:rsidRPr="000C156A" w:rsidRDefault="00686EC7" w:rsidP="00141BAA">
            <w:pPr>
              <w:jc w:val="right"/>
              <w:rPr>
                <w:rFonts w:cs="Calibri"/>
                <w:sz w:val="22"/>
                <w:szCs w:val="22"/>
              </w:rPr>
            </w:pPr>
            <w:r w:rsidRPr="000C156A">
              <w:rPr>
                <w:rFonts w:cs="Calibri"/>
                <w:sz w:val="22"/>
                <w:szCs w:val="22"/>
              </w:rPr>
              <w:t>14</w:t>
            </w:r>
            <w:r w:rsidR="003F0401" w:rsidRPr="000C156A">
              <w:rPr>
                <w:rFonts w:cs="Calibri"/>
                <w:sz w:val="22"/>
                <w:szCs w:val="22"/>
              </w:rPr>
              <w:t xml:space="preserve"> </w:t>
            </w:r>
            <w:r w:rsidRPr="000C156A">
              <w:rPr>
                <w:rFonts w:cs="Calibri"/>
                <w:sz w:val="22"/>
                <w:szCs w:val="22"/>
              </w:rPr>
              <w:t>392.25</w:t>
            </w:r>
          </w:p>
        </w:tc>
        <w:tc>
          <w:tcPr>
            <w:tcW w:w="1434" w:type="dxa"/>
            <w:tcBorders>
              <w:top w:val="nil"/>
              <w:left w:val="single" w:sz="4" w:space="0" w:color="auto"/>
              <w:bottom w:val="nil"/>
              <w:right w:val="single" w:sz="4" w:space="0" w:color="auto"/>
            </w:tcBorders>
            <w:shd w:val="clear" w:color="auto" w:fill="auto"/>
            <w:noWrap/>
            <w:vAlign w:val="bottom"/>
            <w:hideMark/>
          </w:tcPr>
          <w:p w14:paraId="1ECE3BCB"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68D8AA2B" w14:textId="610EDC6F" w:rsidR="00686EC7" w:rsidRPr="000C156A" w:rsidRDefault="00686EC7" w:rsidP="00141BAA">
            <w:pPr>
              <w:jc w:val="right"/>
              <w:rPr>
                <w:rFonts w:cs="Calibri"/>
                <w:sz w:val="22"/>
                <w:szCs w:val="22"/>
              </w:rPr>
            </w:pPr>
            <w:r w:rsidRPr="000C156A">
              <w:rPr>
                <w:rFonts w:cs="Calibri"/>
                <w:sz w:val="22"/>
                <w:szCs w:val="22"/>
              </w:rPr>
              <w:t>14</w:t>
            </w:r>
            <w:r w:rsidR="003F0401" w:rsidRPr="000C156A">
              <w:rPr>
                <w:rFonts w:cs="Calibri"/>
                <w:sz w:val="22"/>
                <w:szCs w:val="22"/>
              </w:rPr>
              <w:t xml:space="preserve"> </w:t>
            </w:r>
            <w:r w:rsidRPr="000C156A">
              <w:rPr>
                <w:rFonts w:cs="Calibri"/>
                <w:sz w:val="22"/>
                <w:szCs w:val="22"/>
              </w:rPr>
              <w:t>392.25</w:t>
            </w:r>
          </w:p>
        </w:tc>
      </w:tr>
      <w:tr w:rsidR="00686EC7" w:rsidRPr="000C156A" w14:paraId="663AB39A"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6EFB95D8" w14:textId="78B69A0E"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突尼斯工程师学校，突尼斯</w:t>
            </w:r>
          </w:p>
        </w:tc>
        <w:tc>
          <w:tcPr>
            <w:tcW w:w="1720" w:type="dxa"/>
            <w:tcBorders>
              <w:top w:val="nil"/>
              <w:left w:val="single" w:sz="4" w:space="0" w:color="auto"/>
              <w:bottom w:val="nil"/>
              <w:right w:val="single" w:sz="4" w:space="0" w:color="auto"/>
            </w:tcBorders>
            <w:shd w:val="clear" w:color="auto" w:fill="auto"/>
            <w:noWrap/>
            <w:vAlign w:val="bottom"/>
            <w:hideMark/>
          </w:tcPr>
          <w:p w14:paraId="44B06658" w14:textId="77777777" w:rsidR="00686EC7" w:rsidRPr="000C156A" w:rsidRDefault="00686EC7" w:rsidP="00141BAA">
            <w:pPr>
              <w:jc w:val="center"/>
              <w:rPr>
                <w:rFonts w:cs="Calibri"/>
                <w:sz w:val="22"/>
                <w:szCs w:val="22"/>
              </w:rPr>
            </w:pPr>
            <w:r w:rsidRPr="000C156A">
              <w:rPr>
                <w:rFonts w:cs="Calibri"/>
                <w:sz w:val="22"/>
                <w:szCs w:val="22"/>
              </w:rPr>
              <w:t>2011-2012</w:t>
            </w:r>
          </w:p>
        </w:tc>
        <w:tc>
          <w:tcPr>
            <w:tcW w:w="1613" w:type="dxa"/>
            <w:tcBorders>
              <w:top w:val="nil"/>
              <w:left w:val="single" w:sz="4" w:space="0" w:color="auto"/>
              <w:bottom w:val="nil"/>
              <w:right w:val="single" w:sz="4" w:space="0" w:color="auto"/>
            </w:tcBorders>
            <w:shd w:val="clear" w:color="auto" w:fill="auto"/>
            <w:noWrap/>
            <w:vAlign w:val="bottom"/>
            <w:hideMark/>
          </w:tcPr>
          <w:p w14:paraId="3E5326F2" w14:textId="57CD9BD1" w:rsidR="00686EC7" w:rsidRPr="000C156A" w:rsidRDefault="00686EC7" w:rsidP="00141BAA">
            <w:pPr>
              <w:jc w:val="right"/>
              <w:rPr>
                <w:rFonts w:cs="Calibri"/>
                <w:sz w:val="22"/>
                <w:szCs w:val="22"/>
              </w:rPr>
            </w:pPr>
            <w:r w:rsidRPr="000C156A">
              <w:rPr>
                <w:rFonts w:cs="Calibri"/>
                <w:sz w:val="22"/>
                <w:szCs w:val="22"/>
              </w:rPr>
              <w:t>12</w:t>
            </w:r>
            <w:r w:rsidR="003F0401" w:rsidRPr="000C156A">
              <w:rPr>
                <w:rFonts w:cs="Calibri"/>
                <w:sz w:val="22"/>
                <w:szCs w:val="22"/>
              </w:rPr>
              <w:t xml:space="preserve"> </w:t>
            </w:r>
            <w:r w:rsidRPr="000C156A">
              <w:rPr>
                <w:rFonts w:cs="Calibri"/>
                <w:sz w:val="22"/>
                <w:szCs w:val="22"/>
              </w:rPr>
              <w:t>540.94</w:t>
            </w:r>
          </w:p>
        </w:tc>
        <w:tc>
          <w:tcPr>
            <w:tcW w:w="1434" w:type="dxa"/>
            <w:tcBorders>
              <w:top w:val="nil"/>
              <w:left w:val="single" w:sz="4" w:space="0" w:color="auto"/>
              <w:bottom w:val="nil"/>
              <w:right w:val="single" w:sz="4" w:space="0" w:color="auto"/>
            </w:tcBorders>
            <w:shd w:val="clear" w:color="auto" w:fill="auto"/>
            <w:noWrap/>
            <w:vAlign w:val="bottom"/>
            <w:hideMark/>
          </w:tcPr>
          <w:p w14:paraId="1709D7C0"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6FA69F50" w14:textId="1F96567D" w:rsidR="00686EC7" w:rsidRPr="000C156A" w:rsidRDefault="00686EC7" w:rsidP="00141BAA">
            <w:pPr>
              <w:jc w:val="right"/>
              <w:rPr>
                <w:rFonts w:cs="Calibri"/>
                <w:sz w:val="22"/>
                <w:szCs w:val="22"/>
              </w:rPr>
            </w:pPr>
            <w:r w:rsidRPr="000C156A">
              <w:rPr>
                <w:rFonts w:cs="Calibri"/>
                <w:sz w:val="22"/>
                <w:szCs w:val="22"/>
              </w:rPr>
              <w:t>12</w:t>
            </w:r>
            <w:r w:rsidR="003F0401" w:rsidRPr="000C156A">
              <w:rPr>
                <w:rFonts w:cs="Calibri"/>
                <w:sz w:val="22"/>
                <w:szCs w:val="22"/>
              </w:rPr>
              <w:t xml:space="preserve"> </w:t>
            </w:r>
            <w:r w:rsidRPr="000C156A">
              <w:rPr>
                <w:rFonts w:cs="Calibri"/>
                <w:sz w:val="22"/>
                <w:szCs w:val="22"/>
              </w:rPr>
              <w:t>540.94</w:t>
            </w:r>
          </w:p>
        </w:tc>
      </w:tr>
      <w:tr w:rsidR="00686EC7" w:rsidRPr="000C156A" w14:paraId="3C13C4E5" w14:textId="77777777" w:rsidTr="00141BAA">
        <w:trPr>
          <w:trHeight w:val="600"/>
          <w:jc w:val="center"/>
        </w:trPr>
        <w:tc>
          <w:tcPr>
            <w:tcW w:w="3934" w:type="dxa"/>
            <w:tcBorders>
              <w:top w:val="nil"/>
              <w:left w:val="single" w:sz="4" w:space="0" w:color="auto"/>
              <w:bottom w:val="nil"/>
              <w:right w:val="single" w:sz="4" w:space="0" w:color="auto"/>
            </w:tcBorders>
            <w:shd w:val="clear" w:color="auto" w:fill="auto"/>
            <w:vAlign w:val="bottom"/>
            <w:hideMark/>
          </w:tcPr>
          <w:p w14:paraId="7508F861" w14:textId="2978CFCF"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突尼斯高等通信学院</w:t>
            </w:r>
            <w:r w:rsidRPr="000C156A">
              <w:rPr>
                <w:rFonts w:cs="Calibri"/>
                <w:sz w:val="22"/>
                <w:szCs w:val="22"/>
                <w:lang w:val="fr-FR" w:eastAsia="zh-CN"/>
              </w:rPr>
              <w:br/>
            </w:r>
            <w:r w:rsidR="00686EC7" w:rsidRPr="000C156A">
              <w:rPr>
                <w:rFonts w:cs="Calibri" w:hint="eastAsia"/>
                <w:sz w:val="22"/>
                <w:szCs w:val="22"/>
                <w:lang w:val="fr-FR" w:eastAsia="zh-CN"/>
              </w:rPr>
              <w:t>（</w:t>
            </w:r>
            <w:r w:rsidR="00686EC7" w:rsidRPr="000C156A">
              <w:rPr>
                <w:rFonts w:cs="Calibri"/>
                <w:sz w:val="22"/>
                <w:szCs w:val="22"/>
                <w:lang w:val="fr-FR" w:eastAsia="zh-CN"/>
              </w:rPr>
              <w:t>Sup'Com</w:t>
            </w:r>
            <w:r w:rsidR="00686EC7" w:rsidRPr="000C156A">
              <w:rPr>
                <w:rFonts w:cs="Calibri" w:hint="eastAsia"/>
                <w:sz w:val="22"/>
                <w:szCs w:val="22"/>
                <w:lang w:val="fr-FR" w:eastAsia="zh-CN"/>
              </w:rPr>
              <w:t>），突尼斯</w:t>
            </w:r>
          </w:p>
        </w:tc>
        <w:tc>
          <w:tcPr>
            <w:tcW w:w="1720" w:type="dxa"/>
            <w:tcBorders>
              <w:top w:val="nil"/>
              <w:left w:val="single" w:sz="4" w:space="0" w:color="auto"/>
              <w:bottom w:val="nil"/>
              <w:right w:val="single" w:sz="4" w:space="0" w:color="auto"/>
            </w:tcBorders>
            <w:shd w:val="clear" w:color="auto" w:fill="auto"/>
            <w:noWrap/>
            <w:vAlign w:val="bottom"/>
            <w:hideMark/>
          </w:tcPr>
          <w:p w14:paraId="742D8E7B" w14:textId="77777777" w:rsidR="00686EC7" w:rsidRPr="000C156A" w:rsidRDefault="00686EC7" w:rsidP="00141BAA">
            <w:pPr>
              <w:jc w:val="center"/>
              <w:rPr>
                <w:rFonts w:cs="Calibri"/>
                <w:sz w:val="22"/>
                <w:szCs w:val="22"/>
              </w:rPr>
            </w:pPr>
            <w:r w:rsidRPr="000C156A">
              <w:rPr>
                <w:rFonts w:cs="Calibri"/>
                <w:sz w:val="22"/>
                <w:szCs w:val="22"/>
              </w:rPr>
              <w:t>2017-2018</w:t>
            </w:r>
          </w:p>
        </w:tc>
        <w:tc>
          <w:tcPr>
            <w:tcW w:w="1613" w:type="dxa"/>
            <w:tcBorders>
              <w:top w:val="nil"/>
              <w:left w:val="single" w:sz="4" w:space="0" w:color="auto"/>
              <w:bottom w:val="nil"/>
              <w:right w:val="single" w:sz="4" w:space="0" w:color="auto"/>
            </w:tcBorders>
            <w:shd w:val="clear" w:color="auto" w:fill="auto"/>
            <w:noWrap/>
            <w:vAlign w:val="bottom"/>
            <w:hideMark/>
          </w:tcPr>
          <w:p w14:paraId="12BFFE98" w14:textId="2CFD35C0"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391.10</w:t>
            </w:r>
          </w:p>
        </w:tc>
        <w:tc>
          <w:tcPr>
            <w:tcW w:w="1434" w:type="dxa"/>
            <w:tcBorders>
              <w:top w:val="nil"/>
              <w:left w:val="single" w:sz="4" w:space="0" w:color="auto"/>
              <w:bottom w:val="nil"/>
              <w:right w:val="single" w:sz="4" w:space="0" w:color="auto"/>
            </w:tcBorders>
            <w:shd w:val="clear" w:color="auto" w:fill="auto"/>
            <w:noWrap/>
            <w:vAlign w:val="bottom"/>
            <w:hideMark/>
          </w:tcPr>
          <w:p w14:paraId="6A96D513"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37791B29" w14:textId="5905A109"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391.10</w:t>
            </w:r>
          </w:p>
        </w:tc>
      </w:tr>
      <w:tr w:rsidR="00686EC7" w:rsidRPr="000C156A" w14:paraId="74932128"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5D75463A" w14:textId="1C3F20A2"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Orascom</w:t>
            </w:r>
            <w:r w:rsidR="00686EC7" w:rsidRPr="000C156A">
              <w:rPr>
                <w:rFonts w:cs="Calibri" w:hint="eastAsia"/>
                <w:sz w:val="22"/>
                <w:szCs w:val="22"/>
                <w:lang w:val="fr-FR"/>
              </w:rPr>
              <w:t>电信，突尼斯</w:t>
            </w:r>
          </w:p>
        </w:tc>
        <w:tc>
          <w:tcPr>
            <w:tcW w:w="1720" w:type="dxa"/>
            <w:tcBorders>
              <w:top w:val="nil"/>
              <w:left w:val="single" w:sz="4" w:space="0" w:color="auto"/>
              <w:bottom w:val="nil"/>
              <w:right w:val="single" w:sz="4" w:space="0" w:color="auto"/>
            </w:tcBorders>
            <w:shd w:val="clear" w:color="auto" w:fill="auto"/>
            <w:noWrap/>
            <w:vAlign w:val="bottom"/>
            <w:hideMark/>
          </w:tcPr>
          <w:p w14:paraId="77141262" w14:textId="77777777" w:rsidR="00686EC7" w:rsidRPr="000C156A" w:rsidRDefault="00686EC7" w:rsidP="00141BAA">
            <w:pPr>
              <w:jc w:val="center"/>
              <w:rPr>
                <w:rFonts w:cs="Calibri"/>
                <w:sz w:val="22"/>
                <w:szCs w:val="22"/>
              </w:rPr>
            </w:pPr>
            <w:r w:rsidRPr="000C156A">
              <w:rPr>
                <w:rFonts w:cs="Calibri"/>
                <w:sz w:val="22"/>
                <w:szCs w:val="22"/>
              </w:rPr>
              <w:t>2013</w:t>
            </w:r>
          </w:p>
        </w:tc>
        <w:tc>
          <w:tcPr>
            <w:tcW w:w="1613" w:type="dxa"/>
            <w:tcBorders>
              <w:top w:val="nil"/>
              <w:left w:val="single" w:sz="4" w:space="0" w:color="auto"/>
              <w:bottom w:val="nil"/>
              <w:right w:val="single" w:sz="4" w:space="0" w:color="auto"/>
            </w:tcBorders>
            <w:shd w:val="clear" w:color="auto" w:fill="auto"/>
            <w:noWrap/>
            <w:vAlign w:val="bottom"/>
            <w:hideMark/>
          </w:tcPr>
          <w:p w14:paraId="58122858" w14:textId="05BC3C06" w:rsidR="00686EC7" w:rsidRPr="000C156A" w:rsidRDefault="00686EC7" w:rsidP="00141BAA">
            <w:pPr>
              <w:jc w:val="right"/>
              <w:rPr>
                <w:rFonts w:cs="Calibri"/>
                <w:sz w:val="22"/>
                <w:szCs w:val="22"/>
              </w:rPr>
            </w:pPr>
            <w:r w:rsidRPr="000C156A">
              <w:rPr>
                <w:rFonts w:cs="Calibri"/>
                <w:sz w:val="22"/>
                <w:szCs w:val="22"/>
              </w:rPr>
              <w:t>6</w:t>
            </w:r>
            <w:r w:rsidR="003F0401" w:rsidRPr="000C156A">
              <w:rPr>
                <w:rFonts w:cs="Calibri"/>
                <w:sz w:val="22"/>
                <w:szCs w:val="22"/>
              </w:rPr>
              <w:t xml:space="preserve"> </w:t>
            </w:r>
            <w:r w:rsidRPr="000C156A">
              <w:rPr>
                <w:rFonts w:cs="Calibri"/>
                <w:sz w:val="22"/>
                <w:szCs w:val="22"/>
              </w:rPr>
              <w:t>201.10</w:t>
            </w:r>
          </w:p>
        </w:tc>
        <w:tc>
          <w:tcPr>
            <w:tcW w:w="1434" w:type="dxa"/>
            <w:tcBorders>
              <w:top w:val="nil"/>
              <w:left w:val="single" w:sz="4" w:space="0" w:color="auto"/>
              <w:bottom w:val="nil"/>
              <w:right w:val="single" w:sz="4" w:space="0" w:color="auto"/>
            </w:tcBorders>
            <w:shd w:val="clear" w:color="auto" w:fill="auto"/>
            <w:noWrap/>
            <w:vAlign w:val="bottom"/>
            <w:hideMark/>
          </w:tcPr>
          <w:p w14:paraId="4BA2A3CA"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397264D5" w14:textId="0F8C0A7C" w:rsidR="00686EC7" w:rsidRPr="000C156A" w:rsidRDefault="00686EC7" w:rsidP="00141BAA">
            <w:pPr>
              <w:jc w:val="right"/>
              <w:rPr>
                <w:rFonts w:cs="Calibri"/>
                <w:sz w:val="22"/>
                <w:szCs w:val="22"/>
              </w:rPr>
            </w:pPr>
            <w:r w:rsidRPr="000C156A">
              <w:rPr>
                <w:rFonts w:cs="Calibri"/>
                <w:sz w:val="22"/>
                <w:szCs w:val="22"/>
              </w:rPr>
              <w:t>6</w:t>
            </w:r>
            <w:r w:rsidR="003F0401" w:rsidRPr="000C156A">
              <w:rPr>
                <w:rFonts w:cs="Calibri"/>
                <w:sz w:val="22"/>
                <w:szCs w:val="22"/>
              </w:rPr>
              <w:t xml:space="preserve"> </w:t>
            </w:r>
            <w:r w:rsidRPr="000C156A">
              <w:rPr>
                <w:rFonts w:cs="Calibri"/>
                <w:sz w:val="22"/>
                <w:szCs w:val="22"/>
              </w:rPr>
              <w:t>201.10</w:t>
            </w:r>
          </w:p>
        </w:tc>
      </w:tr>
      <w:tr w:rsidR="00686EC7" w:rsidRPr="000C156A" w14:paraId="435D8F16"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4B6BFD4F" w14:textId="2A29E9CE"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Prisma</w:t>
            </w:r>
            <w:r w:rsidR="00686EC7" w:rsidRPr="000C156A">
              <w:rPr>
                <w:rFonts w:cs="Calibri" w:hint="eastAsia"/>
                <w:sz w:val="22"/>
                <w:szCs w:val="22"/>
                <w:lang w:val="fr-FR"/>
              </w:rPr>
              <w:t>，突尼斯</w:t>
            </w:r>
          </w:p>
        </w:tc>
        <w:tc>
          <w:tcPr>
            <w:tcW w:w="1720" w:type="dxa"/>
            <w:tcBorders>
              <w:top w:val="nil"/>
              <w:left w:val="single" w:sz="4" w:space="0" w:color="auto"/>
              <w:bottom w:val="nil"/>
              <w:right w:val="single" w:sz="4" w:space="0" w:color="auto"/>
            </w:tcBorders>
            <w:shd w:val="clear" w:color="auto" w:fill="auto"/>
            <w:noWrap/>
            <w:vAlign w:val="bottom"/>
            <w:hideMark/>
          </w:tcPr>
          <w:p w14:paraId="08E18A42" w14:textId="77777777" w:rsidR="00686EC7" w:rsidRPr="000C156A" w:rsidRDefault="00686EC7" w:rsidP="00141BAA">
            <w:pPr>
              <w:jc w:val="center"/>
              <w:rPr>
                <w:rFonts w:cs="Calibri"/>
                <w:sz w:val="22"/>
                <w:szCs w:val="22"/>
              </w:rPr>
            </w:pPr>
            <w:r w:rsidRPr="000C156A">
              <w:rPr>
                <w:rFonts w:cs="Calibri"/>
                <w:sz w:val="22"/>
                <w:szCs w:val="22"/>
              </w:rPr>
              <w:t>2015-2018</w:t>
            </w:r>
          </w:p>
        </w:tc>
        <w:tc>
          <w:tcPr>
            <w:tcW w:w="1613" w:type="dxa"/>
            <w:tcBorders>
              <w:top w:val="nil"/>
              <w:left w:val="single" w:sz="4" w:space="0" w:color="auto"/>
              <w:bottom w:val="nil"/>
              <w:right w:val="single" w:sz="4" w:space="0" w:color="auto"/>
            </w:tcBorders>
            <w:shd w:val="clear" w:color="auto" w:fill="auto"/>
            <w:noWrap/>
            <w:vAlign w:val="bottom"/>
            <w:hideMark/>
          </w:tcPr>
          <w:p w14:paraId="4F81AF30" w14:textId="46996A56" w:rsidR="00686EC7" w:rsidRPr="000C156A" w:rsidRDefault="00686EC7" w:rsidP="00141BAA">
            <w:pPr>
              <w:jc w:val="right"/>
              <w:rPr>
                <w:rFonts w:cs="Calibri"/>
                <w:sz w:val="22"/>
                <w:szCs w:val="22"/>
              </w:rPr>
            </w:pPr>
            <w:r w:rsidRPr="000C156A">
              <w:rPr>
                <w:rFonts w:cs="Calibri"/>
                <w:sz w:val="22"/>
                <w:szCs w:val="22"/>
              </w:rPr>
              <w:t>12</w:t>
            </w:r>
            <w:r w:rsidR="003F0401" w:rsidRPr="000C156A">
              <w:rPr>
                <w:rFonts w:cs="Calibri"/>
                <w:sz w:val="22"/>
                <w:szCs w:val="22"/>
              </w:rPr>
              <w:t xml:space="preserve"> </w:t>
            </w:r>
            <w:r w:rsidRPr="000C156A">
              <w:rPr>
                <w:rFonts w:cs="Calibri"/>
                <w:sz w:val="22"/>
                <w:szCs w:val="22"/>
              </w:rPr>
              <w:t>706.60</w:t>
            </w:r>
          </w:p>
        </w:tc>
        <w:tc>
          <w:tcPr>
            <w:tcW w:w="1434" w:type="dxa"/>
            <w:tcBorders>
              <w:top w:val="nil"/>
              <w:left w:val="single" w:sz="4" w:space="0" w:color="auto"/>
              <w:bottom w:val="nil"/>
              <w:right w:val="single" w:sz="4" w:space="0" w:color="auto"/>
            </w:tcBorders>
            <w:shd w:val="clear" w:color="auto" w:fill="auto"/>
            <w:noWrap/>
            <w:vAlign w:val="bottom"/>
            <w:hideMark/>
          </w:tcPr>
          <w:p w14:paraId="3D2A9A88"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267721EF" w14:textId="5C9E2DA0" w:rsidR="00686EC7" w:rsidRPr="000C156A" w:rsidRDefault="00686EC7" w:rsidP="00141BAA">
            <w:pPr>
              <w:jc w:val="right"/>
              <w:rPr>
                <w:rFonts w:cs="Calibri"/>
                <w:sz w:val="22"/>
                <w:szCs w:val="22"/>
              </w:rPr>
            </w:pPr>
            <w:r w:rsidRPr="000C156A">
              <w:rPr>
                <w:rFonts w:cs="Calibri"/>
                <w:sz w:val="22"/>
                <w:szCs w:val="22"/>
              </w:rPr>
              <w:t>12</w:t>
            </w:r>
            <w:r w:rsidR="003F0401" w:rsidRPr="000C156A">
              <w:rPr>
                <w:rFonts w:cs="Calibri"/>
                <w:sz w:val="22"/>
                <w:szCs w:val="22"/>
              </w:rPr>
              <w:t xml:space="preserve"> </w:t>
            </w:r>
            <w:r w:rsidRPr="000C156A">
              <w:rPr>
                <w:rFonts w:cs="Calibri"/>
                <w:sz w:val="22"/>
                <w:szCs w:val="22"/>
              </w:rPr>
              <w:t>706.60</w:t>
            </w:r>
          </w:p>
        </w:tc>
      </w:tr>
      <w:tr w:rsidR="00686EC7" w:rsidRPr="000C156A" w14:paraId="2A810F48"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774720D8" w14:textId="2AF13F39"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Telnet Technocentre</w:t>
            </w:r>
            <w:r w:rsidR="00686EC7" w:rsidRPr="000C156A">
              <w:rPr>
                <w:rFonts w:cs="Calibri"/>
                <w:sz w:val="22"/>
                <w:szCs w:val="22"/>
                <w:lang w:val="fr-FR"/>
              </w:rPr>
              <w:t>，</w:t>
            </w:r>
            <w:r w:rsidR="00686EC7" w:rsidRPr="000C156A">
              <w:rPr>
                <w:rFonts w:cs="Calibri" w:hint="eastAsia"/>
                <w:sz w:val="22"/>
                <w:szCs w:val="22"/>
                <w:lang w:val="fr-FR"/>
              </w:rPr>
              <w:t>突尼斯</w:t>
            </w:r>
          </w:p>
        </w:tc>
        <w:tc>
          <w:tcPr>
            <w:tcW w:w="1720" w:type="dxa"/>
            <w:tcBorders>
              <w:top w:val="nil"/>
              <w:left w:val="single" w:sz="4" w:space="0" w:color="auto"/>
              <w:bottom w:val="nil"/>
              <w:right w:val="single" w:sz="4" w:space="0" w:color="auto"/>
            </w:tcBorders>
            <w:shd w:val="clear" w:color="auto" w:fill="auto"/>
            <w:noWrap/>
            <w:vAlign w:val="bottom"/>
            <w:hideMark/>
          </w:tcPr>
          <w:p w14:paraId="7EC40736" w14:textId="77777777" w:rsidR="00686EC7" w:rsidRPr="000C156A" w:rsidRDefault="00686EC7" w:rsidP="00141BAA">
            <w:pPr>
              <w:jc w:val="center"/>
              <w:rPr>
                <w:rFonts w:cs="Calibri"/>
                <w:sz w:val="22"/>
                <w:szCs w:val="22"/>
              </w:rPr>
            </w:pPr>
            <w:r w:rsidRPr="000C156A">
              <w:rPr>
                <w:rFonts w:cs="Calibri"/>
                <w:sz w:val="22"/>
                <w:szCs w:val="22"/>
              </w:rPr>
              <w:t>2012-2017</w:t>
            </w:r>
          </w:p>
        </w:tc>
        <w:tc>
          <w:tcPr>
            <w:tcW w:w="1613" w:type="dxa"/>
            <w:tcBorders>
              <w:top w:val="nil"/>
              <w:left w:val="single" w:sz="4" w:space="0" w:color="auto"/>
              <w:bottom w:val="nil"/>
              <w:right w:val="single" w:sz="4" w:space="0" w:color="auto"/>
            </w:tcBorders>
            <w:shd w:val="clear" w:color="auto" w:fill="auto"/>
            <w:noWrap/>
            <w:vAlign w:val="bottom"/>
            <w:hideMark/>
          </w:tcPr>
          <w:p w14:paraId="41558F7D" w14:textId="6410D484" w:rsidR="00686EC7" w:rsidRPr="000C156A" w:rsidRDefault="00686EC7" w:rsidP="00141BAA">
            <w:pPr>
              <w:jc w:val="right"/>
              <w:rPr>
                <w:rFonts w:cs="Calibri"/>
                <w:sz w:val="22"/>
                <w:szCs w:val="22"/>
              </w:rPr>
            </w:pPr>
            <w:r w:rsidRPr="000C156A">
              <w:rPr>
                <w:rFonts w:cs="Calibri"/>
                <w:sz w:val="22"/>
                <w:szCs w:val="22"/>
              </w:rPr>
              <w:t>13</w:t>
            </w:r>
            <w:r w:rsidR="003F0401" w:rsidRPr="000C156A">
              <w:rPr>
                <w:rFonts w:cs="Calibri"/>
                <w:sz w:val="22"/>
                <w:szCs w:val="22"/>
              </w:rPr>
              <w:t xml:space="preserve"> </w:t>
            </w:r>
            <w:r w:rsidRPr="000C156A">
              <w:rPr>
                <w:rFonts w:cs="Calibri"/>
                <w:sz w:val="22"/>
                <w:szCs w:val="22"/>
              </w:rPr>
              <w:t>973.55</w:t>
            </w:r>
          </w:p>
        </w:tc>
        <w:tc>
          <w:tcPr>
            <w:tcW w:w="1434" w:type="dxa"/>
            <w:tcBorders>
              <w:top w:val="nil"/>
              <w:left w:val="single" w:sz="4" w:space="0" w:color="auto"/>
              <w:bottom w:val="nil"/>
              <w:right w:val="single" w:sz="4" w:space="0" w:color="auto"/>
            </w:tcBorders>
            <w:shd w:val="clear" w:color="auto" w:fill="auto"/>
            <w:noWrap/>
            <w:vAlign w:val="bottom"/>
            <w:hideMark/>
          </w:tcPr>
          <w:p w14:paraId="0A6E8568"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4D0095D6" w14:textId="2AD2F750" w:rsidR="00686EC7" w:rsidRPr="000C156A" w:rsidRDefault="00686EC7" w:rsidP="00141BAA">
            <w:pPr>
              <w:jc w:val="right"/>
              <w:rPr>
                <w:rFonts w:cs="Calibri"/>
                <w:sz w:val="22"/>
                <w:szCs w:val="22"/>
              </w:rPr>
            </w:pPr>
            <w:r w:rsidRPr="000C156A">
              <w:rPr>
                <w:rFonts w:cs="Calibri"/>
                <w:sz w:val="22"/>
                <w:szCs w:val="22"/>
              </w:rPr>
              <w:t>13</w:t>
            </w:r>
            <w:r w:rsidR="003F0401" w:rsidRPr="000C156A">
              <w:rPr>
                <w:rFonts w:cs="Calibri"/>
                <w:sz w:val="22"/>
                <w:szCs w:val="22"/>
              </w:rPr>
              <w:t xml:space="preserve"> </w:t>
            </w:r>
            <w:r w:rsidRPr="000C156A">
              <w:rPr>
                <w:rFonts w:cs="Calibri"/>
                <w:sz w:val="22"/>
                <w:szCs w:val="22"/>
              </w:rPr>
              <w:t>973.55</w:t>
            </w:r>
          </w:p>
        </w:tc>
      </w:tr>
      <w:tr w:rsidR="00686EC7" w:rsidRPr="000C156A" w14:paraId="40FA585B" w14:textId="77777777" w:rsidTr="00141BAA">
        <w:trPr>
          <w:trHeight w:val="300"/>
          <w:jc w:val="center"/>
        </w:trPr>
        <w:tc>
          <w:tcPr>
            <w:tcW w:w="3934" w:type="dxa"/>
            <w:tcBorders>
              <w:top w:val="nil"/>
              <w:left w:val="single" w:sz="4" w:space="0" w:color="auto"/>
              <w:right w:val="single" w:sz="4" w:space="0" w:color="auto"/>
            </w:tcBorders>
            <w:shd w:val="clear" w:color="auto" w:fill="auto"/>
            <w:vAlign w:val="bottom"/>
            <w:hideMark/>
          </w:tcPr>
          <w:p w14:paraId="3433FD25" w14:textId="77777777" w:rsidR="00686EC7" w:rsidRPr="000C156A" w:rsidRDefault="00686EC7" w:rsidP="00141BAA">
            <w:pPr>
              <w:spacing w:before="0"/>
              <w:rPr>
                <w:b/>
                <w:bCs/>
                <w:sz w:val="22"/>
                <w:szCs w:val="22"/>
              </w:rPr>
            </w:pPr>
            <w:r w:rsidRPr="000C156A">
              <w:rPr>
                <w:rFonts w:hint="eastAsia"/>
                <w:b/>
                <w:bCs/>
                <w:sz w:val="22"/>
                <w:szCs w:val="22"/>
              </w:rPr>
              <w:t>乌克兰</w:t>
            </w:r>
          </w:p>
        </w:tc>
        <w:tc>
          <w:tcPr>
            <w:tcW w:w="1720" w:type="dxa"/>
            <w:tcBorders>
              <w:top w:val="nil"/>
              <w:left w:val="single" w:sz="4" w:space="0" w:color="auto"/>
              <w:right w:val="single" w:sz="4" w:space="0" w:color="auto"/>
            </w:tcBorders>
            <w:shd w:val="clear" w:color="auto" w:fill="auto"/>
            <w:noWrap/>
            <w:vAlign w:val="bottom"/>
            <w:hideMark/>
          </w:tcPr>
          <w:p w14:paraId="498352ED" w14:textId="77777777" w:rsidR="00686EC7" w:rsidRPr="000C156A" w:rsidRDefault="00686EC7" w:rsidP="00141BAA">
            <w:pPr>
              <w:rPr>
                <w:rFonts w:cs="Calibri"/>
                <w:b/>
                <w:bCs/>
                <w:sz w:val="22"/>
                <w:szCs w:val="22"/>
              </w:rPr>
            </w:pPr>
          </w:p>
        </w:tc>
        <w:tc>
          <w:tcPr>
            <w:tcW w:w="1613" w:type="dxa"/>
            <w:tcBorders>
              <w:top w:val="nil"/>
              <w:left w:val="single" w:sz="4" w:space="0" w:color="auto"/>
              <w:right w:val="single" w:sz="4" w:space="0" w:color="auto"/>
            </w:tcBorders>
            <w:shd w:val="clear" w:color="auto" w:fill="auto"/>
            <w:noWrap/>
            <w:vAlign w:val="bottom"/>
            <w:hideMark/>
          </w:tcPr>
          <w:p w14:paraId="4E1129CF"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right w:val="single" w:sz="4" w:space="0" w:color="auto"/>
            </w:tcBorders>
            <w:shd w:val="clear" w:color="auto" w:fill="auto"/>
            <w:noWrap/>
            <w:vAlign w:val="bottom"/>
            <w:hideMark/>
          </w:tcPr>
          <w:p w14:paraId="037DD0A1"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right w:val="single" w:sz="4" w:space="0" w:color="auto"/>
            </w:tcBorders>
            <w:shd w:val="clear" w:color="auto" w:fill="auto"/>
            <w:noWrap/>
            <w:vAlign w:val="bottom"/>
            <w:hideMark/>
          </w:tcPr>
          <w:p w14:paraId="0CB96F95" w14:textId="77777777" w:rsidR="00686EC7" w:rsidRPr="000C156A" w:rsidRDefault="00686EC7" w:rsidP="00141BAA">
            <w:pPr>
              <w:rPr>
                <w:rFonts w:ascii="Times New Roman" w:hAnsi="Times New Roman"/>
                <w:sz w:val="22"/>
                <w:szCs w:val="22"/>
              </w:rPr>
            </w:pPr>
          </w:p>
        </w:tc>
      </w:tr>
      <w:tr w:rsidR="00686EC7" w:rsidRPr="000C156A" w14:paraId="17FC4CC0" w14:textId="77777777" w:rsidTr="00141BAA">
        <w:trPr>
          <w:trHeight w:val="300"/>
          <w:jc w:val="center"/>
        </w:trPr>
        <w:tc>
          <w:tcPr>
            <w:tcW w:w="3934" w:type="dxa"/>
            <w:tcBorders>
              <w:top w:val="nil"/>
              <w:left w:val="single" w:sz="4" w:space="0" w:color="auto"/>
              <w:bottom w:val="single" w:sz="4" w:space="0" w:color="auto"/>
              <w:right w:val="single" w:sz="4" w:space="0" w:color="auto"/>
            </w:tcBorders>
            <w:shd w:val="clear" w:color="auto" w:fill="auto"/>
            <w:vAlign w:val="bottom"/>
            <w:hideMark/>
          </w:tcPr>
          <w:p w14:paraId="5F1C81DC" w14:textId="10A87A0F" w:rsidR="00686EC7" w:rsidRPr="000C156A" w:rsidRDefault="00D93F72" w:rsidP="00D93F72">
            <w:pPr>
              <w:tabs>
                <w:tab w:val="clear" w:pos="567"/>
              </w:tabs>
              <w:spacing w:before="0"/>
              <w:ind w:left="317" w:hanging="317"/>
              <w:rPr>
                <w:sz w:val="22"/>
                <w:szCs w:val="22"/>
                <w:lang w:eastAsia="zh-CN"/>
              </w:rPr>
            </w:pPr>
            <w:r w:rsidRPr="000C156A">
              <w:rPr>
                <w:sz w:val="22"/>
                <w:szCs w:val="22"/>
                <w:lang w:eastAsia="zh-CN"/>
              </w:rPr>
              <w:t>–</w:t>
            </w:r>
            <w:r w:rsidRPr="000C156A">
              <w:rPr>
                <w:sz w:val="22"/>
                <w:szCs w:val="22"/>
                <w:lang w:eastAsia="zh-CN"/>
              </w:rPr>
              <w:tab/>
            </w:r>
            <w:r w:rsidR="00686EC7" w:rsidRPr="000C156A">
              <w:rPr>
                <w:rFonts w:hint="eastAsia"/>
                <w:sz w:val="22"/>
                <w:szCs w:val="22"/>
                <w:lang w:eastAsia="zh-CN"/>
              </w:rPr>
              <w:t>乌克兰国家信息系统，基辅</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3AEB6DA" w14:textId="77777777" w:rsidR="00686EC7" w:rsidRPr="000C156A" w:rsidRDefault="00686EC7" w:rsidP="00141BAA">
            <w:pPr>
              <w:jc w:val="center"/>
              <w:rPr>
                <w:rFonts w:cs="Calibri"/>
                <w:sz w:val="22"/>
                <w:szCs w:val="22"/>
              </w:rPr>
            </w:pPr>
            <w:r w:rsidRPr="000C156A">
              <w:rPr>
                <w:rFonts w:cs="Calibri"/>
                <w:sz w:val="22"/>
                <w:szCs w:val="22"/>
              </w:rPr>
              <w:t>2014-2015</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14:paraId="40A9B28B" w14:textId="4A018A6B" w:rsidR="00686EC7" w:rsidRPr="000C156A" w:rsidRDefault="00686EC7" w:rsidP="00141BAA">
            <w:pPr>
              <w:jc w:val="right"/>
              <w:rPr>
                <w:rFonts w:cs="Calibri"/>
                <w:sz w:val="22"/>
                <w:szCs w:val="22"/>
              </w:rPr>
            </w:pPr>
            <w:r w:rsidRPr="000C156A">
              <w:rPr>
                <w:rFonts w:cs="Calibri"/>
                <w:sz w:val="22"/>
                <w:szCs w:val="22"/>
              </w:rPr>
              <w:t>22</w:t>
            </w:r>
            <w:r w:rsidR="003F0401" w:rsidRPr="000C156A">
              <w:rPr>
                <w:rFonts w:cs="Calibri"/>
                <w:sz w:val="22"/>
                <w:szCs w:val="22"/>
              </w:rPr>
              <w:t xml:space="preserve"> </w:t>
            </w:r>
            <w:r w:rsidRPr="000C156A">
              <w:rPr>
                <w:rFonts w:cs="Calibri"/>
                <w:sz w:val="22"/>
                <w:szCs w:val="22"/>
              </w:rPr>
              <w:t>793.39</w:t>
            </w:r>
          </w:p>
        </w:tc>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4933672C"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14:paraId="5409D34E" w14:textId="09F0D92B" w:rsidR="00686EC7" w:rsidRPr="000C156A" w:rsidRDefault="00686EC7" w:rsidP="00141BAA">
            <w:pPr>
              <w:jc w:val="right"/>
              <w:rPr>
                <w:rFonts w:cs="Calibri"/>
                <w:sz w:val="22"/>
                <w:szCs w:val="22"/>
              </w:rPr>
            </w:pPr>
            <w:r w:rsidRPr="000C156A">
              <w:rPr>
                <w:rFonts w:cs="Calibri"/>
                <w:sz w:val="22"/>
                <w:szCs w:val="22"/>
              </w:rPr>
              <w:t>22</w:t>
            </w:r>
            <w:r w:rsidR="003F0401" w:rsidRPr="000C156A">
              <w:rPr>
                <w:rFonts w:cs="Calibri"/>
                <w:sz w:val="22"/>
                <w:szCs w:val="22"/>
              </w:rPr>
              <w:t xml:space="preserve"> </w:t>
            </w:r>
            <w:r w:rsidRPr="000C156A">
              <w:rPr>
                <w:rFonts w:cs="Calibri"/>
                <w:sz w:val="22"/>
                <w:szCs w:val="22"/>
              </w:rPr>
              <w:t>793.39</w:t>
            </w:r>
          </w:p>
        </w:tc>
      </w:tr>
    </w:tbl>
    <w:p w14:paraId="45192D6D" w14:textId="77777777" w:rsidR="00686EC7" w:rsidRPr="000C156A" w:rsidRDefault="00686EC7" w:rsidP="00686EC7">
      <w:pPr>
        <w:rPr>
          <w:sz w:val="22"/>
          <w:szCs w:val="22"/>
        </w:rPr>
      </w:pPr>
      <w:r w:rsidRPr="000C156A">
        <w:rPr>
          <w:sz w:val="22"/>
          <w:szCs w:val="22"/>
        </w:rPr>
        <w:br w:type="page"/>
      </w:r>
    </w:p>
    <w:tbl>
      <w:tblPr>
        <w:tblW w:w="10314" w:type="dxa"/>
        <w:jc w:val="center"/>
        <w:tblLook w:val="04A0" w:firstRow="1" w:lastRow="0" w:firstColumn="1" w:lastColumn="0" w:noHBand="0" w:noVBand="1"/>
      </w:tblPr>
      <w:tblGrid>
        <w:gridCol w:w="3934"/>
        <w:gridCol w:w="1720"/>
        <w:gridCol w:w="1613"/>
        <w:gridCol w:w="1434"/>
        <w:gridCol w:w="1613"/>
      </w:tblGrid>
      <w:tr w:rsidR="00686EC7" w:rsidRPr="000C156A" w14:paraId="56D5ACCC" w14:textId="77777777" w:rsidTr="00090EF1">
        <w:trPr>
          <w:trHeight w:val="410"/>
          <w:jc w:val="center"/>
        </w:trPr>
        <w:tc>
          <w:tcPr>
            <w:tcW w:w="3934" w:type="dxa"/>
            <w:tcBorders>
              <w:top w:val="single" w:sz="4" w:space="0" w:color="auto"/>
              <w:left w:val="single" w:sz="4" w:space="0" w:color="auto"/>
              <w:bottom w:val="single" w:sz="4" w:space="0" w:color="auto"/>
              <w:right w:val="single" w:sz="4" w:space="0" w:color="auto"/>
            </w:tcBorders>
            <w:shd w:val="clear" w:color="auto" w:fill="auto"/>
            <w:vAlign w:val="bottom"/>
          </w:tcPr>
          <w:p w14:paraId="71F099F8" w14:textId="77777777" w:rsidR="00686EC7" w:rsidRPr="000C156A" w:rsidRDefault="00686EC7" w:rsidP="00141BAA">
            <w:pPr>
              <w:pStyle w:val="Tablehead"/>
              <w:jc w:val="left"/>
              <w:rPr>
                <w:szCs w:val="22"/>
                <w:lang w:eastAsia="zh-CN"/>
              </w:rPr>
            </w:pPr>
            <w:r w:rsidRPr="000C156A">
              <w:rPr>
                <w:szCs w:val="22"/>
                <w:lang w:eastAsia="zh-CN"/>
              </w:rPr>
              <w:lastRenderedPageBreak/>
              <w:t>B.</w:t>
            </w:r>
            <w:r w:rsidRPr="000C156A">
              <w:rPr>
                <w:rFonts w:hint="eastAsia"/>
                <w:szCs w:val="22"/>
                <w:lang w:eastAsia="zh-CN"/>
              </w:rPr>
              <w:t>部门成员及其他实体</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FA419" w14:textId="77777777" w:rsidR="00686EC7" w:rsidRPr="000C156A" w:rsidRDefault="00686EC7" w:rsidP="00141BAA">
            <w:pPr>
              <w:pStyle w:val="Tablehead"/>
              <w:rPr>
                <w:szCs w:val="22"/>
                <w:lang w:eastAsia="zh-CN"/>
              </w:rPr>
            </w:pPr>
            <w:r w:rsidRPr="000C156A">
              <w:rPr>
                <w:rFonts w:hint="eastAsia"/>
                <w:szCs w:val="22"/>
              </w:rPr>
              <w:t>年份</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7273A" w14:textId="77777777" w:rsidR="00686EC7" w:rsidRPr="000C156A" w:rsidRDefault="00686EC7" w:rsidP="00141BAA">
            <w:pPr>
              <w:pStyle w:val="Tablehead"/>
              <w:rPr>
                <w:szCs w:val="22"/>
                <w:lang w:eastAsia="zh-CN"/>
              </w:rPr>
            </w:pPr>
            <w:r w:rsidRPr="000C156A">
              <w:rPr>
                <w:rFonts w:hint="eastAsia"/>
                <w:szCs w:val="22"/>
              </w:rPr>
              <w:t>会费</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8B53C" w14:textId="77777777" w:rsidR="00686EC7" w:rsidRPr="000C156A" w:rsidRDefault="00686EC7" w:rsidP="00141BAA">
            <w:pPr>
              <w:pStyle w:val="Tablehead"/>
              <w:rPr>
                <w:szCs w:val="22"/>
                <w:lang w:eastAsia="zh-CN"/>
              </w:rPr>
            </w:pPr>
            <w:r w:rsidRPr="000C156A">
              <w:rPr>
                <w:rFonts w:hint="eastAsia"/>
                <w:szCs w:val="22"/>
              </w:rPr>
              <w:t>出版物</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D9E7B" w14:textId="77777777" w:rsidR="00686EC7" w:rsidRPr="000C156A" w:rsidRDefault="00686EC7" w:rsidP="00141BAA">
            <w:pPr>
              <w:pStyle w:val="Tablehead"/>
              <w:rPr>
                <w:szCs w:val="22"/>
                <w:lang w:eastAsia="zh-CN"/>
              </w:rPr>
            </w:pPr>
            <w:r w:rsidRPr="000C156A">
              <w:rPr>
                <w:rFonts w:hint="eastAsia"/>
                <w:szCs w:val="22"/>
              </w:rPr>
              <w:t>合计</w:t>
            </w:r>
          </w:p>
        </w:tc>
      </w:tr>
      <w:tr w:rsidR="00686EC7" w:rsidRPr="000C156A" w14:paraId="293EAFC8"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5E52FF53" w14:textId="77777777" w:rsidR="00686EC7" w:rsidRPr="000C156A" w:rsidRDefault="00686EC7" w:rsidP="00141BAA">
            <w:pPr>
              <w:rPr>
                <w:rFonts w:cs="Calibri"/>
                <w:b/>
                <w:bCs/>
                <w:sz w:val="22"/>
                <w:szCs w:val="22"/>
              </w:rPr>
            </w:pPr>
            <w:r w:rsidRPr="000C156A">
              <w:rPr>
                <w:rFonts w:cs="Calibri"/>
                <w:b/>
                <w:bCs/>
                <w:sz w:val="22"/>
                <w:szCs w:val="22"/>
              </w:rPr>
              <w:t>阿拉伯联合酋长国</w:t>
            </w:r>
          </w:p>
        </w:tc>
        <w:tc>
          <w:tcPr>
            <w:tcW w:w="1720" w:type="dxa"/>
            <w:tcBorders>
              <w:top w:val="nil"/>
              <w:left w:val="single" w:sz="4" w:space="0" w:color="auto"/>
              <w:bottom w:val="nil"/>
              <w:right w:val="single" w:sz="4" w:space="0" w:color="auto"/>
            </w:tcBorders>
            <w:shd w:val="clear" w:color="auto" w:fill="auto"/>
            <w:noWrap/>
            <w:vAlign w:val="bottom"/>
            <w:hideMark/>
          </w:tcPr>
          <w:p w14:paraId="3119FE9A"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4D491F8E"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094C5A9D"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513CEC36" w14:textId="77777777" w:rsidR="00686EC7" w:rsidRPr="000C156A" w:rsidRDefault="00686EC7" w:rsidP="00141BAA">
            <w:pPr>
              <w:rPr>
                <w:rFonts w:ascii="Times New Roman" w:hAnsi="Times New Roman"/>
                <w:sz w:val="22"/>
                <w:szCs w:val="22"/>
              </w:rPr>
            </w:pPr>
          </w:p>
        </w:tc>
      </w:tr>
      <w:tr w:rsidR="00686EC7" w:rsidRPr="000C156A" w14:paraId="61330D33"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64EA4F2A" w14:textId="0BF2BCA2" w:rsidR="00686EC7" w:rsidRPr="000C156A" w:rsidRDefault="00D93F72" w:rsidP="00D93F72">
            <w:pPr>
              <w:tabs>
                <w:tab w:val="clear" w:pos="567"/>
              </w:tabs>
              <w:spacing w:before="0"/>
              <w:ind w:left="317" w:hanging="317"/>
              <w:rPr>
                <w:rFonts w:cs="Calibri"/>
                <w:sz w:val="22"/>
                <w:szCs w:val="22"/>
              </w:rPr>
            </w:pPr>
            <w:r w:rsidRPr="000C156A">
              <w:rPr>
                <w:rFonts w:cs="Calibri"/>
                <w:sz w:val="22"/>
                <w:szCs w:val="22"/>
              </w:rPr>
              <w:t>–</w:t>
            </w:r>
            <w:r w:rsidRPr="000C156A">
              <w:rPr>
                <w:rFonts w:cs="Calibri"/>
                <w:sz w:val="22"/>
                <w:szCs w:val="22"/>
              </w:rPr>
              <w:tab/>
            </w:r>
            <w:r w:rsidR="00686EC7" w:rsidRPr="000C156A">
              <w:rPr>
                <w:rFonts w:cs="Calibri"/>
                <w:sz w:val="22"/>
                <w:szCs w:val="22"/>
              </w:rPr>
              <w:t>Teralight FZ</w:t>
            </w:r>
            <w:r w:rsidR="00686EC7" w:rsidRPr="000C156A">
              <w:rPr>
                <w:rFonts w:cs="Calibri" w:hint="eastAsia"/>
                <w:sz w:val="22"/>
                <w:szCs w:val="22"/>
                <w:lang w:eastAsia="zh-CN"/>
              </w:rPr>
              <w:t>公司，迪拜</w:t>
            </w:r>
          </w:p>
        </w:tc>
        <w:tc>
          <w:tcPr>
            <w:tcW w:w="1720" w:type="dxa"/>
            <w:tcBorders>
              <w:top w:val="nil"/>
              <w:left w:val="single" w:sz="4" w:space="0" w:color="auto"/>
              <w:bottom w:val="nil"/>
              <w:right w:val="single" w:sz="4" w:space="0" w:color="auto"/>
            </w:tcBorders>
            <w:shd w:val="clear" w:color="auto" w:fill="auto"/>
            <w:noWrap/>
            <w:vAlign w:val="bottom"/>
            <w:hideMark/>
          </w:tcPr>
          <w:p w14:paraId="0BEBF15A" w14:textId="77777777" w:rsidR="00686EC7" w:rsidRPr="000C156A" w:rsidRDefault="00686EC7" w:rsidP="00141BAA">
            <w:pPr>
              <w:jc w:val="center"/>
              <w:rPr>
                <w:rFonts w:cs="Calibri"/>
                <w:sz w:val="22"/>
                <w:szCs w:val="22"/>
              </w:rPr>
            </w:pPr>
            <w:r w:rsidRPr="000C156A">
              <w:rPr>
                <w:rFonts w:cs="Calibri"/>
                <w:sz w:val="22"/>
                <w:szCs w:val="22"/>
              </w:rPr>
              <w:t>2016</w:t>
            </w:r>
          </w:p>
        </w:tc>
        <w:tc>
          <w:tcPr>
            <w:tcW w:w="1613" w:type="dxa"/>
            <w:tcBorders>
              <w:top w:val="nil"/>
              <w:left w:val="single" w:sz="4" w:space="0" w:color="auto"/>
              <w:bottom w:val="nil"/>
              <w:right w:val="single" w:sz="4" w:space="0" w:color="auto"/>
            </w:tcBorders>
            <w:shd w:val="clear" w:color="auto" w:fill="auto"/>
            <w:noWrap/>
            <w:vAlign w:val="bottom"/>
            <w:hideMark/>
          </w:tcPr>
          <w:p w14:paraId="7596BD2B" w14:textId="5F8A385C" w:rsidR="00686EC7" w:rsidRPr="000C156A" w:rsidRDefault="00686EC7" w:rsidP="00141BAA">
            <w:pPr>
              <w:jc w:val="right"/>
              <w:rPr>
                <w:rFonts w:cs="Calibri"/>
                <w:sz w:val="22"/>
                <w:szCs w:val="22"/>
              </w:rPr>
            </w:pPr>
            <w:r w:rsidRPr="000C156A">
              <w:rPr>
                <w:rFonts w:cs="Calibri"/>
                <w:sz w:val="22"/>
                <w:szCs w:val="22"/>
              </w:rPr>
              <w:t>5</w:t>
            </w:r>
            <w:r w:rsidR="003F0401" w:rsidRPr="000C156A">
              <w:rPr>
                <w:rFonts w:cs="Calibri"/>
                <w:sz w:val="22"/>
                <w:szCs w:val="22"/>
              </w:rPr>
              <w:t xml:space="preserve"> </w:t>
            </w:r>
            <w:r w:rsidRPr="000C156A">
              <w:rPr>
                <w:rFonts w:cs="Calibri"/>
                <w:sz w:val="22"/>
                <w:szCs w:val="22"/>
              </w:rPr>
              <w:t>206.55</w:t>
            </w:r>
          </w:p>
        </w:tc>
        <w:tc>
          <w:tcPr>
            <w:tcW w:w="1434" w:type="dxa"/>
            <w:tcBorders>
              <w:top w:val="nil"/>
              <w:left w:val="single" w:sz="4" w:space="0" w:color="auto"/>
              <w:bottom w:val="nil"/>
              <w:right w:val="single" w:sz="4" w:space="0" w:color="auto"/>
            </w:tcBorders>
            <w:shd w:val="clear" w:color="auto" w:fill="auto"/>
            <w:noWrap/>
            <w:vAlign w:val="bottom"/>
            <w:hideMark/>
          </w:tcPr>
          <w:p w14:paraId="32E412A8"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72AC9091" w14:textId="04701C51" w:rsidR="00686EC7" w:rsidRPr="000C156A" w:rsidRDefault="00686EC7" w:rsidP="00141BAA">
            <w:pPr>
              <w:jc w:val="right"/>
              <w:rPr>
                <w:rFonts w:cs="Calibri"/>
                <w:sz w:val="22"/>
                <w:szCs w:val="22"/>
              </w:rPr>
            </w:pPr>
            <w:r w:rsidRPr="000C156A">
              <w:rPr>
                <w:rFonts w:cs="Calibri"/>
                <w:sz w:val="22"/>
                <w:szCs w:val="22"/>
              </w:rPr>
              <w:t>5</w:t>
            </w:r>
            <w:r w:rsidR="003F0401" w:rsidRPr="000C156A">
              <w:rPr>
                <w:rFonts w:cs="Calibri"/>
                <w:sz w:val="22"/>
                <w:szCs w:val="22"/>
              </w:rPr>
              <w:t xml:space="preserve"> </w:t>
            </w:r>
            <w:r w:rsidRPr="000C156A">
              <w:rPr>
                <w:rFonts w:cs="Calibri"/>
                <w:sz w:val="22"/>
                <w:szCs w:val="22"/>
              </w:rPr>
              <w:t>206.55</w:t>
            </w:r>
          </w:p>
        </w:tc>
      </w:tr>
      <w:tr w:rsidR="00686EC7" w:rsidRPr="000C156A" w14:paraId="1473533A" w14:textId="77777777" w:rsidTr="00141BAA">
        <w:trPr>
          <w:trHeight w:val="140"/>
          <w:jc w:val="center"/>
        </w:trPr>
        <w:tc>
          <w:tcPr>
            <w:tcW w:w="3934" w:type="dxa"/>
            <w:tcBorders>
              <w:top w:val="nil"/>
              <w:left w:val="single" w:sz="4" w:space="0" w:color="auto"/>
              <w:bottom w:val="nil"/>
              <w:right w:val="single" w:sz="4" w:space="0" w:color="auto"/>
            </w:tcBorders>
            <w:shd w:val="clear" w:color="auto" w:fill="auto"/>
            <w:vAlign w:val="bottom"/>
            <w:hideMark/>
          </w:tcPr>
          <w:p w14:paraId="7E8E478C" w14:textId="77777777" w:rsidR="00686EC7" w:rsidRPr="000C156A" w:rsidRDefault="00686EC7" w:rsidP="00141BAA">
            <w:pPr>
              <w:overflowPunct/>
              <w:autoSpaceDE/>
              <w:autoSpaceDN/>
              <w:adjustRightInd/>
              <w:spacing w:before="0"/>
              <w:textAlignment w:val="auto"/>
              <w:rPr>
                <w:rFonts w:cs="Calibri"/>
                <w:b/>
                <w:bCs/>
                <w:sz w:val="22"/>
                <w:szCs w:val="22"/>
                <w:lang w:val="en-US" w:eastAsia="zh-CN"/>
              </w:rPr>
            </w:pPr>
            <w:r w:rsidRPr="000C156A">
              <w:rPr>
                <w:rFonts w:hint="eastAsia"/>
                <w:b/>
                <w:bCs/>
                <w:sz w:val="22"/>
                <w:szCs w:val="22"/>
                <w:lang w:eastAsia="zh-CN"/>
              </w:rPr>
              <w:t>大不</w:t>
            </w:r>
            <w:r w:rsidRPr="000C156A">
              <w:rPr>
                <w:b/>
                <w:bCs/>
                <w:sz w:val="22"/>
                <w:szCs w:val="22"/>
                <w:lang w:eastAsia="zh-CN"/>
              </w:rPr>
              <w:t>列颠及北爱尔兰联合王国</w:t>
            </w:r>
          </w:p>
        </w:tc>
        <w:tc>
          <w:tcPr>
            <w:tcW w:w="1720" w:type="dxa"/>
            <w:tcBorders>
              <w:top w:val="nil"/>
              <w:left w:val="single" w:sz="4" w:space="0" w:color="auto"/>
              <w:bottom w:val="nil"/>
              <w:right w:val="single" w:sz="4" w:space="0" w:color="auto"/>
            </w:tcBorders>
            <w:shd w:val="clear" w:color="auto" w:fill="auto"/>
            <w:noWrap/>
            <w:vAlign w:val="bottom"/>
            <w:hideMark/>
          </w:tcPr>
          <w:p w14:paraId="335BC6E3" w14:textId="77777777" w:rsidR="00686EC7" w:rsidRPr="000C156A" w:rsidRDefault="00686EC7" w:rsidP="00141BAA">
            <w:pPr>
              <w:rPr>
                <w:rFonts w:cs="Calibri"/>
                <w:b/>
                <w:bCs/>
                <w:sz w:val="22"/>
                <w:szCs w:val="22"/>
                <w:lang w:eastAsia="zh-CN"/>
              </w:rPr>
            </w:pPr>
          </w:p>
        </w:tc>
        <w:tc>
          <w:tcPr>
            <w:tcW w:w="1613" w:type="dxa"/>
            <w:tcBorders>
              <w:top w:val="nil"/>
              <w:left w:val="single" w:sz="4" w:space="0" w:color="auto"/>
              <w:bottom w:val="nil"/>
              <w:right w:val="single" w:sz="4" w:space="0" w:color="auto"/>
            </w:tcBorders>
            <w:shd w:val="clear" w:color="auto" w:fill="auto"/>
            <w:noWrap/>
            <w:vAlign w:val="bottom"/>
            <w:hideMark/>
          </w:tcPr>
          <w:p w14:paraId="62E9C436" w14:textId="77777777" w:rsidR="00686EC7" w:rsidRPr="000C156A" w:rsidRDefault="00686EC7" w:rsidP="00141BAA">
            <w:pPr>
              <w:jc w:val="center"/>
              <w:rPr>
                <w:rFonts w:ascii="Times New Roman" w:hAnsi="Times New Roman"/>
                <w:sz w:val="22"/>
                <w:szCs w:val="22"/>
                <w:lang w:eastAsia="zh-CN"/>
              </w:rPr>
            </w:pPr>
          </w:p>
        </w:tc>
        <w:tc>
          <w:tcPr>
            <w:tcW w:w="1434" w:type="dxa"/>
            <w:tcBorders>
              <w:top w:val="nil"/>
              <w:left w:val="single" w:sz="4" w:space="0" w:color="auto"/>
              <w:bottom w:val="nil"/>
              <w:right w:val="single" w:sz="4" w:space="0" w:color="auto"/>
            </w:tcBorders>
            <w:shd w:val="clear" w:color="auto" w:fill="auto"/>
            <w:noWrap/>
            <w:vAlign w:val="bottom"/>
            <w:hideMark/>
          </w:tcPr>
          <w:p w14:paraId="3D192BFA" w14:textId="77777777" w:rsidR="00686EC7" w:rsidRPr="000C156A" w:rsidRDefault="00686EC7" w:rsidP="00141BAA">
            <w:pPr>
              <w:rPr>
                <w:rFonts w:ascii="Times New Roman" w:hAnsi="Times New Roman"/>
                <w:sz w:val="22"/>
                <w:szCs w:val="22"/>
                <w:lang w:eastAsia="zh-CN"/>
              </w:rPr>
            </w:pPr>
          </w:p>
        </w:tc>
        <w:tc>
          <w:tcPr>
            <w:tcW w:w="1613" w:type="dxa"/>
            <w:tcBorders>
              <w:top w:val="nil"/>
              <w:left w:val="single" w:sz="4" w:space="0" w:color="auto"/>
              <w:bottom w:val="nil"/>
              <w:right w:val="single" w:sz="4" w:space="0" w:color="auto"/>
            </w:tcBorders>
            <w:shd w:val="clear" w:color="auto" w:fill="auto"/>
            <w:noWrap/>
            <w:vAlign w:val="bottom"/>
            <w:hideMark/>
          </w:tcPr>
          <w:p w14:paraId="09B8DFEE" w14:textId="77777777" w:rsidR="00686EC7" w:rsidRPr="000C156A" w:rsidRDefault="00686EC7" w:rsidP="00141BAA">
            <w:pPr>
              <w:rPr>
                <w:rFonts w:ascii="Times New Roman" w:hAnsi="Times New Roman"/>
                <w:sz w:val="22"/>
                <w:szCs w:val="22"/>
                <w:lang w:eastAsia="zh-CN"/>
              </w:rPr>
            </w:pPr>
          </w:p>
        </w:tc>
      </w:tr>
      <w:tr w:rsidR="00686EC7" w:rsidRPr="000C156A" w14:paraId="0AB5236C" w14:textId="77777777" w:rsidTr="00141BAA">
        <w:trPr>
          <w:trHeight w:val="600"/>
          <w:jc w:val="center"/>
        </w:trPr>
        <w:tc>
          <w:tcPr>
            <w:tcW w:w="3934" w:type="dxa"/>
            <w:tcBorders>
              <w:top w:val="nil"/>
              <w:left w:val="single" w:sz="4" w:space="0" w:color="auto"/>
              <w:bottom w:val="nil"/>
              <w:right w:val="single" w:sz="4" w:space="0" w:color="auto"/>
            </w:tcBorders>
            <w:shd w:val="clear" w:color="auto" w:fill="auto"/>
            <w:vAlign w:val="bottom"/>
            <w:hideMark/>
          </w:tcPr>
          <w:p w14:paraId="274CA087" w14:textId="5C87AA77" w:rsidR="00686EC7" w:rsidRPr="000C156A" w:rsidRDefault="00D93F72" w:rsidP="00D93F72">
            <w:pPr>
              <w:tabs>
                <w:tab w:val="clear" w:pos="567"/>
              </w:tabs>
              <w:spacing w:before="0"/>
              <w:ind w:left="317" w:hanging="317"/>
              <w:rPr>
                <w:sz w:val="22"/>
                <w:szCs w:val="22"/>
              </w:rPr>
            </w:pPr>
            <w:r w:rsidRPr="000C156A">
              <w:rPr>
                <w:sz w:val="22"/>
                <w:szCs w:val="22"/>
                <w:lang w:eastAsia="zh-CN"/>
              </w:rPr>
              <w:t>–</w:t>
            </w:r>
            <w:r w:rsidRPr="000C156A">
              <w:rPr>
                <w:sz w:val="22"/>
                <w:szCs w:val="22"/>
                <w:lang w:eastAsia="zh-CN"/>
              </w:rPr>
              <w:tab/>
            </w:r>
            <w:r w:rsidR="00686EC7" w:rsidRPr="000C156A">
              <w:rPr>
                <w:rFonts w:cs="Calibri"/>
                <w:sz w:val="22"/>
                <w:szCs w:val="22"/>
                <w:lang w:val="fr-FR"/>
              </w:rPr>
              <w:t>KRE</w:t>
            </w:r>
            <w:r w:rsidR="00686EC7" w:rsidRPr="000C156A">
              <w:rPr>
                <w:rFonts w:hint="eastAsia"/>
                <w:sz w:val="22"/>
                <w:szCs w:val="22"/>
                <w:lang w:eastAsia="zh-CN"/>
              </w:rPr>
              <w:t>企业恢复公司（原</w:t>
            </w:r>
            <w:r w:rsidR="00686EC7" w:rsidRPr="000C156A">
              <w:rPr>
                <w:sz w:val="22"/>
                <w:szCs w:val="22"/>
              </w:rPr>
              <w:t>ICO Satellite Limited</w:t>
            </w:r>
            <w:r w:rsidR="00686EC7" w:rsidRPr="000C156A">
              <w:rPr>
                <w:rFonts w:hint="eastAsia"/>
                <w:sz w:val="22"/>
                <w:szCs w:val="22"/>
                <w:lang w:eastAsia="zh-CN"/>
              </w:rPr>
              <w:t>），</w:t>
            </w:r>
            <w:r w:rsidR="00686EC7" w:rsidRPr="000C156A">
              <w:rPr>
                <w:rFonts w:hint="eastAsia"/>
                <w:sz w:val="22"/>
                <w:szCs w:val="22"/>
              </w:rPr>
              <w:t>伯克郡</w:t>
            </w:r>
          </w:p>
        </w:tc>
        <w:tc>
          <w:tcPr>
            <w:tcW w:w="1720" w:type="dxa"/>
            <w:tcBorders>
              <w:top w:val="nil"/>
              <w:left w:val="single" w:sz="4" w:space="0" w:color="auto"/>
              <w:bottom w:val="nil"/>
              <w:right w:val="single" w:sz="4" w:space="0" w:color="auto"/>
            </w:tcBorders>
            <w:shd w:val="clear" w:color="auto" w:fill="auto"/>
            <w:noWrap/>
            <w:vAlign w:val="bottom"/>
            <w:hideMark/>
          </w:tcPr>
          <w:p w14:paraId="41B72752" w14:textId="77777777" w:rsidR="00686EC7" w:rsidRPr="000C156A" w:rsidRDefault="00686EC7" w:rsidP="00141BAA">
            <w:pPr>
              <w:jc w:val="center"/>
              <w:rPr>
                <w:rFonts w:cs="Calibri"/>
                <w:sz w:val="22"/>
                <w:szCs w:val="22"/>
              </w:rPr>
            </w:pPr>
            <w:r w:rsidRPr="000C156A">
              <w:rPr>
                <w:rFonts w:cs="Calibri"/>
                <w:sz w:val="22"/>
                <w:szCs w:val="22"/>
              </w:rPr>
              <w:t>2012-2013</w:t>
            </w:r>
          </w:p>
        </w:tc>
        <w:tc>
          <w:tcPr>
            <w:tcW w:w="1613" w:type="dxa"/>
            <w:tcBorders>
              <w:top w:val="nil"/>
              <w:left w:val="single" w:sz="4" w:space="0" w:color="auto"/>
              <w:bottom w:val="nil"/>
              <w:right w:val="single" w:sz="4" w:space="0" w:color="auto"/>
            </w:tcBorders>
            <w:shd w:val="clear" w:color="auto" w:fill="auto"/>
            <w:noWrap/>
            <w:vAlign w:val="bottom"/>
            <w:hideMark/>
          </w:tcPr>
          <w:p w14:paraId="2A6C4B2F" w14:textId="6B4DD0BF" w:rsidR="00686EC7" w:rsidRPr="000C156A" w:rsidRDefault="00686EC7" w:rsidP="00141BAA">
            <w:pPr>
              <w:jc w:val="right"/>
              <w:rPr>
                <w:rFonts w:cs="Calibri"/>
                <w:sz w:val="22"/>
                <w:szCs w:val="22"/>
              </w:rPr>
            </w:pPr>
            <w:r w:rsidRPr="000C156A">
              <w:rPr>
                <w:rFonts w:cs="Calibri"/>
                <w:sz w:val="22"/>
                <w:szCs w:val="22"/>
              </w:rPr>
              <w:t>26</w:t>
            </w:r>
            <w:r w:rsidR="003F0401" w:rsidRPr="000C156A">
              <w:rPr>
                <w:rFonts w:cs="Calibri"/>
                <w:sz w:val="22"/>
                <w:szCs w:val="22"/>
              </w:rPr>
              <w:t xml:space="preserve"> </w:t>
            </w:r>
            <w:r w:rsidRPr="000C156A">
              <w:rPr>
                <w:rFonts w:cs="Calibri"/>
                <w:sz w:val="22"/>
                <w:szCs w:val="22"/>
              </w:rPr>
              <w:t>815.50</w:t>
            </w:r>
          </w:p>
        </w:tc>
        <w:tc>
          <w:tcPr>
            <w:tcW w:w="1434" w:type="dxa"/>
            <w:tcBorders>
              <w:top w:val="nil"/>
              <w:left w:val="single" w:sz="4" w:space="0" w:color="auto"/>
              <w:bottom w:val="nil"/>
              <w:right w:val="single" w:sz="4" w:space="0" w:color="auto"/>
            </w:tcBorders>
            <w:shd w:val="clear" w:color="auto" w:fill="auto"/>
            <w:noWrap/>
            <w:vAlign w:val="bottom"/>
            <w:hideMark/>
          </w:tcPr>
          <w:p w14:paraId="178D0E1D"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19631F51" w14:textId="2C487990" w:rsidR="00686EC7" w:rsidRPr="000C156A" w:rsidRDefault="00686EC7" w:rsidP="00141BAA">
            <w:pPr>
              <w:jc w:val="right"/>
              <w:rPr>
                <w:rFonts w:cs="Calibri"/>
                <w:sz w:val="22"/>
                <w:szCs w:val="22"/>
              </w:rPr>
            </w:pPr>
            <w:r w:rsidRPr="000C156A">
              <w:rPr>
                <w:rFonts w:cs="Calibri"/>
                <w:sz w:val="22"/>
                <w:szCs w:val="22"/>
              </w:rPr>
              <w:t>26</w:t>
            </w:r>
            <w:r w:rsidR="003F0401" w:rsidRPr="000C156A">
              <w:rPr>
                <w:rFonts w:cs="Calibri"/>
                <w:sz w:val="22"/>
                <w:szCs w:val="22"/>
              </w:rPr>
              <w:t xml:space="preserve"> </w:t>
            </w:r>
            <w:r w:rsidRPr="000C156A">
              <w:rPr>
                <w:rFonts w:cs="Calibri"/>
                <w:sz w:val="22"/>
                <w:szCs w:val="22"/>
              </w:rPr>
              <w:t>815.50</w:t>
            </w:r>
          </w:p>
        </w:tc>
      </w:tr>
      <w:tr w:rsidR="00686EC7" w:rsidRPr="000C156A" w14:paraId="6322FD4F"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621C942A" w14:textId="5D0B6095"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Malden</w:t>
            </w:r>
            <w:r w:rsidR="00686EC7" w:rsidRPr="000C156A">
              <w:rPr>
                <w:rFonts w:cs="Calibri" w:hint="eastAsia"/>
                <w:sz w:val="22"/>
                <w:szCs w:val="22"/>
                <w:lang w:val="fr-FR"/>
              </w:rPr>
              <w:t>电子公司，尤厄尔</w:t>
            </w:r>
          </w:p>
        </w:tc>
        <w:tc>
          <w:tcPr>
            <w:tcW w:w="1720" w:type="dxa"/>
            <w:tcBorders>
              <w:top w:val="nil"/>
              <w:left w:val="single" w:sz="4" w:space="0" w:color="auto"/>
              <w:bottom w:val="nil"/>
              <w:right w:val="single" w:sz="4" w:space="0" w:color="auto"/>
            </w:tcBorders>
            <w:shd w:val="clear" w:color="auto" w:fill="auto"/>
            <w:noWrap/>
            <w:vAlign w:val="bottom"/>
            <w:hideMark/>
          </w:tcPr>
          <w:p w14:paraId="7D6CF65B" w14:textId="77777777" w:rsidR="00686EC7" w:rsidRPr="000C156A" w:rsidRDefault="00686EC7" w:rsidP="00141BAA">
            <w:pPr>
              <w:jc w:val="center"/>
              <w:rPr>
                <w:rFonts w:cs="Calibri"/>
                <w:sz w:val="22"/>
                <w:szCs w:val="22"/>
              </w:rPr>
            </w:pPr>
            <w:r w:rsidRPr="000C156A">
              <w:rPr>
                <w:rFonts w:cs="Calibri"/>
                <w:sz w:val="22"/>
                <w:szCs w:val="22"/>
              </w:rPr>
              <w:t>2016</w:t>
            </w:r>
          </w:p>
        </w:tc>
        <w:tc>
          <w:tcPr>
            <w:tcW w:w="1613" w:type="dxa"/>
            <w:tcBorders>
              <w:top w:val="nil"/>
              <w:left w:val="single" w:sz="4" w:space="0" w:color="auto"/>
              <w:bottom w:val="nil"/>
              <w:right w:val="single" w:sz="4" w:space="0" w:color="auto"/>
            </w:tcBorders>
            <w:shd w:val="clear" w:color="auto" w:fill="auto"/>
            <w:noWrap/>
            <w:vAlign w:val="bottom"/>
            <w:hideMark/>
          </w:tcPr>
          <w:p w14:paraId="5833FEDD" w14:textId="349122BC" w:rsidR="00686EC7" w:rsidRPr="000C156A" w:rsidRDefault="00686EC7" w:rsidP="00141BAA">
            <w:pPr>
              <w:jc w:val="right"/>
              <w:rPr>
                <w:rFonts w:cs="Calibri"/>
                <w:sz w:val="22"/>
                <w:szCs w:val="22"/>
              </w:rPr>
            </w:pPr>
            <w:r w:rsidRPr="000C156A">
              <w:rPr>
                <w:rFonts w:cs="Calibri"/>
                <w:sz w:val="22"/>
                <w:szCs w:val="22"/>
              </w:rPr>
              <w:t>13</w:t>
            </w:r>
            <w:r w:rsidR="003F0401" w:rsidRPr="000C156A">
              <w:rPr>
                <w:rFonts w:cs="Calibri"/>
                <w:sz w:val="22"/>
                <w:szCs w:val="22"/>
              </w:rPr>
              <w:t xml:space="preserve"> </w:t>
            </w:r>
            <w:r w:rsidRPr="000C156A">
              <w:rPr>
                <w:rFonts w:cs="Calibri"/>
                <w:sz w:val="22"/>
                <w:szCs w:val="22"/>
              </w:rPr>
              <w:t>884.10</w:t>
            </w:r>
          </w:p>
        </w:tc>
        <w:tc>
          <w:tcPr>
            <w:tcW w:w="1434" w:type="dxa"/>
            <w:tcBorders>
              <w:top w:val="nil"/>
              <w:left w:val="single" w:sz="4" w:space="0" w:color="auto"/>
              <w:bottom w:val="nil"/>
              <w:right w:val="single" w:sz="4" w:space="0" w:color="auto"/>
            </w:tcBorders>
            <w:shd w:val="clear" w:color="auto" w:fill="auto"/>
            <w:noWrap/>
            <w:vAlign w:val="bottom"/>
            <w:hideMark/>
          </w:tcPr>
          <w:p w14:paraId="5DC53D39"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72CAA4D9" w14:textId="78047109" w:rsidR="00686EC7" w:rsidRPr="000C156A" w:rsidRDefault="00686EC7" w:rsidP="00141BAA">
            <w:pPr>
              <w:jc w:val="right"/>
              <w:rPr>
                <w:rFonts w:cs="Calibri"/>
                <w:sz w:val="22"/>
                <w:szCs w:val="22"/>
              </w:rPr>
            </w:pPr>
            <w:r w:rsidRPr="000C156A">
              <w:rPr>
                <w:rFonts w:cs="Calibri"/>
                <w:sz w:val="22"/>
                <w:szCs w:val="22"/>
              </w:rPr>
              <w:t>13</w:t>
            </w:r>
            <w:r w:rsidR="003F0401" w:rsidRPr="000C156A">
              <w:rPr>
                <w:rFonts w:cs="Calibri"/>
                <w:sz w:val="22"/>
                <w:szCs w:val="22"/>
              </w:rPr>
              <w:t xml:space="preserve"> </w:t>
            </w:r>
            <w:r w:rsidRPr="000C156A">
              <w:rPr>
                <w:rFonts w:cs="Calibri"/>
                <w:sz w:val="22"/>
                <w:szCs w:val="22"/>
              </w:rPr>
              <w:t>884.10</w:t>
            </w:r>
          </w:p>
        </w:tc>
      </w:tr>
      <w:tr w:rsidR="00686EC7" w:rsidRPr="000C156A" w14:paraId="70AD53E1"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505CAFDE" w14:textId="76CA61E2"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Tinklabs</w:t>
            </w:r>
            <w:r w:rsidR="00686EC7" w:rsidRPr="000C156A">
              <w:rPr>
                <w:rFonts w:cs="Calibri" w:hint="eastAsia"/>
                <w:sz w:val="22"/>
                <w:szCs w:val="22"/>
                <w:lang w:val="fr-FR"/>
              </w:rPr>
              <w:t>有限公司，伦敦</w:t>
            </w:r>
          </w:p>
        </w:tc>
        <w:tc>
          <w:tcPr>
            <w:tcW w:w="1720" w:type="dxa"/>
            <w:tcBorders>
              <w:top w:val="nil"/>
              <w:left w:val="single" w:sz="4" w:space="0" w:color="auto"/>
              <w:bottom w:val="nil"/>
              <w:right w:val="single" w:sz="4" w:space="0" w:color="auto"/>
            </w:tcBorders>
            <w:shd w:val="clear" w:color="auto" w:fill="auto"/>
            <w:noWrap/>
            <w:vAlign w:val="bottom"/>
            <w:hideMark/>
          </w:tcPr>
          <w:p w14:paraId="0ED3AE45" w14:textId="77777777" w:rsidR="00686EC7" w:rsidRPr="000C156A" w:rsidRDefault="00686EC7" w:rsidP="00141BAA">
            <w:pPr>
              <w:jc w:val="center"/>
              <w:rPr>
                <w:rFonts w:cs="Calibri"/>
                <w:sz w:val="22"/>
                <w:szCs w:val="22"/>
              </w:rPr>
            </w:pPr>
            <w:r w:rsidRPr="000C156A">
              <w:rPr>
                <w:rFonts w:cs="Calibri"/>
                <w:sz w:val="22"/>
                <w:szCs w:val="22"/>
              </w:rPr>
              <w:t>2018</w:t>
            </w:r>
          </w:p>
        </w:tc>
        <w:tc>
          <w:tcPr>
            <w:tcW w:w="1613" w:type="dxa"/>
            <w:tcBorders>
              <w:top w:val="nil"/>
              <w:left w:val="single" w:sz="4" w:space="0" w:color="auto"/>
              <w:bottom w:val="nil"/>
              <w:right w:val="single" w:sz="4" w:space="0" w:color="auto"/>
            </w:tcBorders>
            <w:shd w:val="clear" w:color="auto" w:fill="auto"/>
            <w:noWrap/>
            <w:vAlign w:val="bottom"/>
            <w:hideMark/>
          </w:tcPr>
          <w:p w14:paraId="69D13FA4" w14:textId="7CF47865" w:rsidR="00686EC7" w:rsidRPr="000C156A" w:rsidRDefault="00686EC7" w:rsidP="00141BAA">
            <w:pPr>
              <w:jc w:val="right"/>
              <w:rPr>
                <w:rFonts w:cs="Calibri"/>
                <w:sz w:val="22"/>
                <w:szCs w:val="22"/>
              </w:rPr>
            </w:pPr>
            <w:r w:rsidRPr="000C156A">
              <w:rPr>
                <w:rFonts w:cs="Calibri"/>
                <w:sz w:val="22"/>
                <w:szCs w:val="22"/>
              </w:rPr>
              <w:t>10</w:t>
            </w:r>
            <w:r w:rsidR="003F0401" w:rsidRPr="000C156A">
              <w:rPr>
                <w:rFonts w:cs="Calibri"/>
                <w:sz w:val="22"/>
                <w:szCs w:val="22"/>
              </w:rPr>
              <w:t xml:space="preserve"> </w:t>
            </w:r>
            <w:r w:rsidRPr="000C156A">
              <w:rPr>
                <w:rFonts w:cs="Calibri"/>
                <w:sz w:val="22"/>
                <w:szCs w:val="22"/>
              </w:rPr>
              <w:t>685.92</w:t>
            </w:r>
          </w:p>
        </w:tc>
        <w:tc>
          <w:tcPr>
            <w:tcW w:w="1434" w:type="dxa"/>
            <w:tcBorders>
              <w:top w:val="nil"/>
              <w:left w:val="single" w:sz="4" w:space="0" w:color="auto"/>
              <w:bottom w:val="nil"/>
              <w:right w:val="single" w:sz="4" w:space="0" w:color="auto"/>
            </w:tcBorders>
            <w:shd w:val="clear" w:color="auto" w:fill="auto"/>
            <w:noWrap/>
            <w:vAlign w:val="bottom"/>
            <w:hideMark/>
          </w:tcPr>
          <w:p w14:paraId="1B8367B9"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1B2EE253" w14:textId="5AA0CC7C" w:rsidR="00686EC7" w:rsidRPr="000C156A" w:rsidRDefault="00686EC7" w:rsidP="00141BAA">
            <w:pPr>
              <w:jc w:val="right"/>
              <w:rPr>
                <w:rFonts w:cs="Calibri"/>
                <w:sz w:val="22"/>
                <w:szCs w:val="22"/>
              </w:rPr>
            </w:pPr>
            <w:r w:rsidRPr="000C156A">
              <w:rPr>
                <w:rFonts w:cs="Calibri"/>
                <w:sz w:val="22"/>
                <w:szCs w:val="22"/>
              </w:rPr>
              <w:t>10</w:t>
            </w:r>
            <w:r w:rsidR="003F0401" w:rsidRPr="000C156A">
              <w:rPr>
                <w:rFonts w:cs="Calibri"/>
                <w:sz w:val="22"/>
                <w:szCs w:val="22"/>
              </w:rPr>
              <w:t xml:space="preserve"> </w:t>
            </w:r>
            <w:r w:rsidRPr="000C156A">
              <w:rPr>
                <w:rFonts w:cs="Calibri"/>
                <w:sz w:val="22"/>
                <w:szCs w:val="22"/>
              </w:rPr>
              <w:t>685.92</w:t>
            </w:r>
          </w:p>
        </w:tc>
      </w:tr>
      <w:tr w:rsidR="00686EC7" w:rsidRPr="000C156A" w14:paraId="1129A237"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4477D4C0" w14:textId="77777777" w:rsidR="00686EC7" w:rsidRPr="000C156A" w:rsidRDefault="00686EC7" w:rsidP="00141BAA">
            <w:pPr>
              <w:spacing w:before="0"/>
              <w:rPr>
                <w:b/>
                <w:bCs/>
                <w:sz w:val="22"/>
                <w:szCs w:val="22"/>
              </w:rPr>
            </w:pPr>
            <w:r w:rsidRPr="000C156A">
              <w:rPr>
                <w:rFonts w:hint="eastAsia"/>
                <w:b/>
                <w:bCs/>
                <w:sz w:val="22"/>
                <w:szCs w:val="22"/>
              </w:rPr>
              <w:t>美国</w:t>
            </w:r>
          </w:p>
        </w:tc>
        <w:tc>
          <w:tcPr>
            <w:tcW w:w="1720" w:type="dxa"/>
            <w:tcBorders>
              <w:top w:val="nil"/>
              <w:left w:val="single" w:sz="4" w:space="0" w:color="auto"/>
              <w:bottom w:val="nil"/>
              <w:right w:val="single" w:sz="4" w:space="0" w:color="auto"/>
            </w:tcBorders>
            <w:shd w:val="clear" w:color="auto" w:fill="auto"/>
            <w:noWrap/>
            <w:vAlign w:val="bottom"/>
            <w:hideMark/>
          </w:tcPr>
          <w:p w14:paraId="4429A6E3" w14:textId="77777777" w:rsidR="00686EC7" w:rsidRPr="000C156A" w:rsidRDefault="00686EC7" w:rsidP="00141BAA">
            <w:pPr>
              <w:jc w:val="center"/>
              <w:rPr>
                <w:rFonts w:cs="Calibri"/>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0CF423D7" w14:textId="77777777" w:rsidR="00686EC7" w:rsidRPr="000C156A" w:rsidRDefault="00686EC7" w:rsidP="00141BAA">
            <w:pPr>
              <w:rPr>
                <w:rFonts w:cs="Calibri"/>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0D0FACA0" w14:textId="77777777" w:rsidR="00686EC7" w:rsidRPr="000C156A" w:rsidRDefault="00686EC7" w:rsidP="00141BAA">
            <w:pPr>
              <w:rPr>
                <w:rFonts w:cs="Calibri"/>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2D5E2E79" w14:textId="77777777" w:rsidR="00686EC7" w:rsidRPr="000C156A" w:rsidRDefault="00686EC7" w:rsidP="00141BAA">
            <w:pPr>
              <w:rPr>
                <w:rFonts w:cs="Calibri"/>
                <w:sz w:val="22"/>
                <w:szCs w:val="22"/>
              </w:rPr>
            </w:pPr>
          </w:p>
        </w:tc>
      </w:tr>
      <w:tr w:rsidR="00686EC7" w:rsidRPr="000C156A" w14:paraId="277B050B"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0540CBAF" w14:textId="4E980B80"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Actiontec</w:t>
            </w:r>
            <w:r w:rsidR="00686EC7" w:rsidRPr="000C156A">
              <w:rPr>
                <w:rFonts w:cs="Calibri" w:hint="eastAsia"/>
                <w:sz w:val="22"/>
                <w:szCs w:val="22"/>
                <w:lang w:val="fr-FR"/>
              </w:rPr>
              <w:t>电子公司，桑尼维尔</w:t>
            </w:r>
          </w:p>
        </w:tc>
        <w:tc>
          <w:tcPr>
            <w:tcW w:w="1720" w:type="dxa"/>
            <w:tcBorders>
              <w:top w:val="nil"/>
              <w:left w:val="single" w:sz="4" w:space="0" w:color="auto"/>
              <w:bottom w:val="nil"/>
              <w:right w:val="single" w:sz="4" w:space="0" w:color="auto"/>
            </w:tcBorders>
            <w:shd w:val="clear" w:color="auto" w:fill="auto"/>
            <w:noWrap/>
            <w:vAlign w:val="bottom"/>
            <w:hideMark/>
          </w:tcPr>
          <w:p w14:paraId="21D2B8CA" w14:textId="77777777" w:rsidR="00686EC7" w:rsidRPr="000C156A" w:rsidRDefault="00686EC7" w:rsidP="00141BAA">
            <w:pPr>
              <w:jc w:val="center"/>
              <w:rPr>
                <w:rFonts w:cs="Calibri"/>
                <w:sz w:val="22"/>
                <w:szCs w:val="22"/>
              </w:rPr>
            </w:pPr>
            <w:r w:rsidRPr="000C156A">
              <w:rPr>
                <w:rFonts w:cs="Calibri"/>
                <w:sz w:val="22"/>
                <w:szCs w:val="22"/>
              </w:rPr>
              <w:t>2008</w:t>
            </w:r>
          </w:p>
        </w:tc>
        <w:tc>
          <w:tcPr>
            <w:tcW w:w="1613" w:type="dxa"/>
            <w:tcBorders>
              <w:top w:val="nil"/>
              <w:left w:val="single" w:sz="4" w:space="0" w:color="auto"/>
              <w:bottom w:val="nil"/>
              <w:right w:val="single" w:sz="4" w:space="0" w:color="auto"/>
            </w:tcBorders>
            <w:shd w:val="clear" w:color="auto" w:fill="auto"/>
            <w:noWrap/>
            <w:vAlign w:val="bottom"/>
            <w:hideMark/>
          </w:tcPr>
          <w:p w14:paraId="2C07EA69" w14:textId="4F68EB58" w:rsidR="00686EC7" w:rsidRPr="000C156A" w:rsidRDefault="00686EC7" w:rsidP="00141BAA">
            <w:pPr>
              <w:jc w:val="right"/>
              <w:rPr>
                <w:rFonts w:cs="Calibri"/>
                <w:sz w:val="22"/>
                <w:szCs w:val="22"/>
              </w:rPr>
            </w:pPr>
            <w:r w:rsidRPr="000C156A">
              <w:rPr>
                <w:rFonts w:cs="Calibri"/>
                <w:sz w:val="22"/>
                <w:szCs w:val="22"/>
              </w:rPr>
              <w:t>22</w:t>
            </w:r>
            <w:r w:rsidR="003F0401" w:rsidRPr="000C156A">
              <w:rPr>
                <w:rFonts w:cs="Calibri"/>
                <w:sz w:val="22"/>
                <w:szCs w:val="22"/>
              </w:rPr>
              <w:t xml:space="preserve"> </w:t>
            </w:r>
            <w:r w:rsidRPr="000C156A">
              <w:rPr>
                <w:rFonts w:cs="Calibri"/>
                <w:sz w:val="22"/>
                <w:szCs w:val="22"/>
              </w:rPr>
              <w:t>129.15</w:t>
            </w:r>
          </w:p>
        </w:tc>
        <w:tc>
          <w:tcPr>
            <w:tcW w:w="1434" w:type="dxa"/>
            <w:tcBorders>
              <w:top w:val="nil"/>
              <w:left w:val="single" w:sz="4" w:space="0" w:color="auto"/>
              <w:bottom w:val="nil"/>
              <w:right w:val="single" w:sz="4" w:space="0" w:color="auto"/>
            </w:tcBorders>
            <w:shd w:val="clear" w:color="auto" w:fill="auto"/>
            <w:noWrap/>
            <w:vAlign w:val="bottom"/>
            <w:hideMark/>
          </w:tcPr>
          <w:p w14:paraId="46B88D7E"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31190253" w14:textId="3E0A7D57" w:rsidR="00686EC7" w:rsidRPr="000C156A" w:rsidRDefault="00686EC7" w:rsidP="00141BAA">
            <w:pPr>
              <w:jc w:val="right"/>
              <w:rPr>
                <w:rFonts w:cs="Calibri"/>
                <w:sz w:val="22"/>
                <w:szCs w:val="22"/>
              </w:rPr>
            </w:pPr>
            <w:r w:rsidRPr="000C156A">
              <w:rPr>
                <w:rFonts w:cs="Calibri"/>
                <w:sz w:val="22"/>
                <w:szCs w:val="22"/>
              </w:rPr>
              <w:t>22</w:t>
            </w:r>
            <w:r w:rsidR="003F0401" w:rsidRPr="000C156A">
              <w:rPr>
                <w:rFonts w:cs="Calibri"/>
                <w:sz w:val="22"/>
                <w:szCs w:val="22"/>
              </w:rPr>
              <w:t xml:space="preserve"> </w:t>
            </w:r>
            <w:r w:rsidRPr="000C156A">
              <w:rPr>
                <w:rFonts w:cs="Calibri"/>
                <w:sz w:val="22"/>
                <w:szCs w:val="22"/>
              </w:rPr>
              <w:t>129.15</w:t>
            </w:r>
          </w:p>
        </w:tc>
      </w:tr>
      <w:tr w:rsidR="00686EC7" w:rsidRPr="000C156A" w14:paraId="302D4E37"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357D3723" w14:textId="33A73B1A"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Animatele</w:t>
            </w:r>
            <w:r w:rsidR="00686EC7" w:rsidRPr="000C156A">
              <w:rPr>
                <w:rFonts w:cs="Calibri" w:hint="eastAsia"/>
                <w:sz w:val="22"/>
                <w:szCs w:val="22"/>
                <w:lang w:val="fr-FR"/>
              </w:rPr>
              <w:t>公司，纽约</w:t>
            </w:r>
          </w:p>
        </w:tc>
        <w:tc>
          <w:tcPr>
            <w:tcW w:w="1720" w:type="dxa"/>
            <w:tcBorders>
              <w:top w:val="nil"/>
              <w:left w:val="single" w:sz="4" w:space="0" w:color="auto"/>
              <w:bottom w:val="nil"/>
              <w:right w:val="single" w:sz="4" w:space="0" w:color="auto"/>
            </w:tcBorders>
            <w:shd w:val="clear" w:color="auto" w:fill="auto"/>
            <w:noWrap/>
            <w:vAlign w:val="bottom"/>
            <w:hideMark/>
          </w:tcPr>
          <w:p w14:paraId="1FB8FFC6" w14:textId="77777777" w:rsidR="00686EC7" w:rsidRPr="000C156A" w:rsidRDefault="00686EC7" w:rsidP="00141BAA">
            <w:pPr>
              <w:jc w:val="center"/>
              <w:rPr>
                <w:rFonts w:cs="Calibri"/>
                <w:sz w:val="22"/>
                <w:szCs w:val="22"/>
              </w:rPr>
            </w:pPr>
            <w:r w:rsidRPr="000C156A">
              <w:rPr>
                <w:rFonts w:cs="Calibri"/>
                <w:sz w:val="22"/>
                <w:szCs w:val="22"/>
              </w:rPr>
              <w:t>2011</w:t>
            </w:r>
          </w:p>
        </w:tc>
        <w:tc>
          <w:tcPr>
            <w:tcW w:w="1613" w:type="dxa"/>
            <w:tcBorders>
              <w:top w:val="nil"/>
              <w:left w:val="single" w:sz="4" w:space="0" w:color="auto"/>
              <w:bottom w:val="nil"/>
              <w:right w:val="single" w:sz="4" w:space="0" w:color="auto"/>
            </w:tcBorders>
            <w:shd w:val="clear" w:color="auto" w:fill="auto"/>
            <w:noWrap/>
            <w:vAlign w:val="bottom"/>
            <w:hideMark/>
          </w:tcPr>
          <w:p w14:paraId="17392267" w14:textId="338CDE1F" w:rsidR="00686EC7" w:rsidRPr="000C156A" w:rsidRDefault="00686EC7" w:rsidP="00141BAA">
            <w:pPr>
              <w:jc w:val="right"/>
              <w:rPr>
                <w:rFonts w:cs="Calibri"/>
                <w:sz w:val="22"/>
                <w:szCs w:val="22"/>
              </w:rPr>
            </w:pPr>
            <w:r w:rsidRPr="000C156A">
              <w:rPr>
                <w:rFonts w:cs="Calibri"/>
                <w:sz w:val="22"/>
                <w:szCs w:val="22"/>
              </w:rPr>
              <w:t>18</w:t>
            </w:r>
            <w:r w:rsidR="003F0401" w:rsidRPr="000C156A">
              <w:rPr>
                <w:rFonts w:cs="Calibri"/>
                <w:sz w:val="22"/>
                <w:szCs w:val="22"/>
              </w:rPr>
              <w:t xml:space="preserve"> </w:t>
            </w:r>
            <w:r w:rsidRPr="000C156A">
              <w:rPr>
                <w:rFonts w:cs="Calibri"/>
                <w:sz w:val="22"/>
                <w:szCs w:val="22"/>
              </w:rPr>
              <w:t>580.05</w:t>
            </w:r>
          </w:p>
        </w:tc>
        <w:tc>
          <w:tcPr>
            <w:tcW w:w="1434" w:type="dxa"/>
            <w:tcBorders>
              <w:top w:val="nil"/>
              <w:left w:val="single" w:sz="4" w:space="0" w:color="auto"/>
              <w:bottom w:val="nil"/>
              <w:right w:val="single" w:sz="4" w:space="0" w:color="auto"/>
            </w:tcBorders>
            <w:shd w:val="clear" w:color="auto" w:fill="auto"/>
            <w:noWrap/>
            <w:vAlign w:val="bottom"/>
            <w:hideMark/>
          </w:tcPr>
          <w:p w14:paraId="05E98A3C"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6B68D7D7" w14:textId="5A4689FE" w:rsidR="00686EC7" w:rsidRPr="000C156A" w:rsidRDefault="00686EC7" w:rsidP="00141BAA">
            <w:pPr>
              <w:jc w:val="right"/>
              <w:rPr>
                <w:rFonts w:cs="Calibri"/>
                <w:sz w:val="22"/>
                <w:szCs w:val="22"/>
              </w:rPr>
            </w:pPr>
            <w:r w:rsidRPr="000C156A">
              <w:rPr>
                <w:rFonts w:cs="Calibri"/>
                <w:sz w:val="22"/>
                <w:szCs w:val="22"/>
              </w:rPr>
              <w:t>18</w:t>
            </w:r>
            <w:r w:rsidR="003F0401" w:rsidRPr="000C156A">
              <w:rPr>
                <w:rFonts w:cs="Calibri"/>
                <w:sz w:val="22"/>
                <w:szCs w:val="22"/>
              </w:rPr>
              <w:t xml:space="preserve"> </w:t>
            </w:r>
            <w:r w:rsidRPr="000C156A">
              <w:rPr>
                <w:rFonts w:cs="Calibri"/>
                <w:sz w:val="22"/>
                <w:szCs w:val="22"/>
              </w:rPr>
              <w:t>580.05</w:t>
            </w:r>
          </w:p>
        </w:tc>
      </w:tr>
      <w:tr w:rsidR="00686EC7" w:rsidRPr="000C156A" w14:paraId="06DE9371"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551E583D" w14:textId="61B95BB0"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AOL</w:t>
            </w:r>
            <w:r w:rsidR="00686EC7" w:rsidRPr="000C156A">
              <w:rPr>
                <w:rFonts w:cs="Calibri" w:hint="eastAsia"/>
                <w:sz w:val="22"/>
                <w:szCs w:val="22"/>
                <w:lang w:val="fr-FR"/>
              </w:rPr>
              <w:t>，纽约</w:t>
            </w:r>
          </w:p>
        </w:tc>
        <w:tc>
          <w:tcPr>
            <w:tcW w:w="1720" w:type="dxa"/>
            <w:tcBorders>
              <w:top w:val="nil"/>
              <w:left w:val="single" w:sz="4" w:space="0" w:color="auto"/>
              <w:bottom w:val="nil"/>
              <w:right w:val="single" w:sz="4" w:space="0" w:color="auto"/>
            </w:tcBorders>
            <w:shd w:val="clear" w:color="auto" w:fill="auto"/>
            <w:noWrap/>
            <w:vAlign w:val="bottom"/>
            <w:hideMark/>
          </w:tcPr>
          <w:p w14:paraId="082C0836" w14:textId="77777777" w:rsidR="00686EC7" w:rsidRPr="000C156A" w:rsidRDefault="00686EC7" w:rsidP="00141BAA">
            <w:pPr>
              <w:jc w:val="center"/>
              <w:rPr>
                <w:rFonts w:cs="Calibri"/>
                <w:sz w:val="22"/>
                <w:szCs w:val="22"/>
              </w:rPr>
            </w:pPr>
            <w:r w:rsidRPr="000C156A">
              <w:rPr>
                <w:rFonts w:cs="Calibri"/>
                <w:sz w:val="22"/>
                <w:szCs w:val="22"/>
              </w:rPr>
              <w:t>2002-2003</w:t>
            </w:r>
          </w:p>
        </w:tc>
        <w:tc>
          <w:tcPr>
            <w:tcW w:w="1613" w:type="dxa"/>
            <w:tcBorders>
              <w:top w:val="nil"/>
              <w:left w:val="single" w:sz="4" w:space="0" w:color="auto"/>
              <w:bottom w:val="nil"/>
              <w:right w:val="single" w:sz="4" w:space="0" w:color="auto"/>
            </w:tcBorders>
            <w:shd w:val="clear" w:color="auto" w:fill="auto"/>
            <w:noWrap/>
            <w:vAlign w:val="bottom"/>
            <w:hideMark/>
          </w:tcPr>
          <w:p w14:paraId="1C43B040" w14:textId="57CED19E" w:rsidR="00686EC7" w:rsidRPr="000C156A" w:rsidRDefault="00686EC7" w:rsidP="00141BAA">
            <w:pPr>
              <w:jc w:val="right"/>
              <w:rPr>
                <w:rFonts w:cs="Calibri"/>
                <w:sz w:val="22"/>
                <w:szCs w:val="22"/>
              </w:rPr>
            </w:pPr>
            <w:r w:rsidRPr="000C156A">
              <w:rPr>
                <w:rFonts w:cs="Calibri"/>
                <w:sz w:val="22"/>
                <w:szCs w:val="22"/>
              </w:rPr>
              <w:t>226</w:t>
            </w:r>
            <w:r w:rsidR="003F0401" w:rsidRPr="000C156A">
              <w:rPr>
                <w:rFonts w:cs="Calibri"/>
                <w:sz w:val="22"/>
                <w:szCs w:val="22"/>
              </w:rPr>
              <w:t xml:space="preserve"> </w:t>
            </w:r>
            <w:r w:rsidRPr="000C156A">
              <w:rPr>
                <w:rFonts w:cs="Calibri"/>
                <w:sz w:val="22"/>
                <w:szCs w:val="22"/>
              </w:rPr>
              <w:t>220.50</w:t>
            </w:r>
          </w:p>
        </w:tc>
        <w:tc>
          <w:tcPr>
            <w:tcW w:w="1434" w:type="dxa"/>
            <w:tcBorders>
              <w:top w:val="nil"/>
              <w:left w:val="single" w:sz="4" w:space="0" w:color="auto"/>
              <w:bottom w:val="nil"/>
              <w:right w:val="single" w:sz="4" w:space="0" w:color="auto"/>
            </w:tcBorders>
            <w:shd w:val="clear" w:color="auto" w:fill="auto"/>
            <w:noWrap/>
            <w:vAlign w:val="bottom"/>
            <w:hideMark/>
          </w:tcPr>
          <w:p w14:paraId="6BCD364D"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3AA92ADF" w14:textId="00783F23" w:rsidR="00686EC7" w:rsidRPr="000C156A" w:rsidRDefault="00686EC7" w:rsidP="00141BAA">
            <w:pPr>
              <w:jc w:val="right"/>
              <w:rPr>
                <w:rFonts w:cs="Calibri"/>
                <w:sz w:val="22"/>
                <w:szCs w:val="22"/>
              </w:rPr>
            </w:pPr>
            <w:r w:rsidRPr="000C156A">
              <w:rPr>
                <w:rFonts w:cs="Calibri"/>
                <w:sz w:val="22"/>
                <w:szCs w:val="22"/>
              </w:rPr>
              <w:t>226</w:t>
            </w:r>
            <w:r w:rsidR="003F0401" w:rsidRPr="000C156A">
              <w:rPr>
                <w:rFonts w:cs="Calibri"/>
                <w:sz w:val="22"/>
                <w:szCs w:val="22"/>
              </w:rPr>
              <w:t xml:space="preserve"> </w:t>
            </w:r>
            <w:r w:rsidRPr="000C156A">
              <w:rPr>
                <w:rFonts w:cs="Calibri"/>
                <w:sz w:val="22"/>
                <w:szCs w:val="22"/>
              </w:rPr>
              <w:t>220.50</w:t>
            </w:r>
          </w:p>
        </w:tc>
      </w:tr>
      <w:tr w:rsidR="00686EC7" w:rsidRPr="000C156A" w14:paraId="31FF6D7C"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23CB1524" w14:textId="69C5019B"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应用微电路公司，安多弗</w:t>
            </w:r>
          </w:p>
        </w:tc>
        <w:tc>
          <w:tcPr>
            <w:tcW w:w="1720" w:type="dxa"/>
            <w:tcBorders>
              <w:top w:val="nil"/>
              <w:left w:val="single" w:sz="4" w:space="0" w:color="auto"/>
              <w:bottom w:val="nil"/>
              <w:right w:val="single" w:sz="4" w:space="0" w:color="auto"/>
            </w:tcBorders>
            <w:shd w:val="clear" w:color="auto" w:fill="auto"/>
            <w:noWrap/>
            <w:vAlign w:val="bottom"/>
            <w:hideMark/>
          </w:tcPr>
          <w:p w14:paraId="40F6DDAB" w14:textId="77777777" w:rsidR="00686EC7" w:rsidRPr="000C156A" w:rsidRDefault="00686EC7" w:rsidP="00141BAA">
            <w:pPr>
              <w:jc w:val="center"/>
              <w:rPr>
                <w:rFonts w:cs="Calibri"/>
                <w:sz w:val="22"/>
                <w:szCs w:val="22"/>
              </w:rPr>
            </w:pPr>
            <w:r w:rsidRPr="000C156A">
              <w:rPr>
                <w:rFonts w:cs="Calibri"/>
                <w:sz w:val="22"/>
                <w:szCs w:val="22"/>
              </w:rPr>
              <w:t>2017</w:t>
            </w:r>
          </w:p>
        </w:tc>
        <w:tc>
          <w:tcPr>
            <w:tcW w:w="1613" w:type="dxa"/>
            <w:tcBorders>
              <w:top w:val="nil"/>
              <w:left w:val="single" w:sz="4" w:space="0" w:color="auto"/>
              <w:bottom w:val="nil"/>
              <w:right w:val="single" w:sz="4" w:space="0" w:color="auto"/>
            </w:tcBorders>
            <w:shd w:val="clear" w:color="auto" w:fill="auto"/>
            <w:noWrap/>
            <w:vAlign w:val="bottom"/>
            <w:hideMark/>
          </w:tcPr>
          <w:p w14:paraId="59A2CFEC" w14:textId="25170C87" w:rsidR="00686EC7" w:rsidRPr="000C156A" w:rsidRDefault="00686EC7" w:rsidP="00141BAA">
            <w:pPr>
              <w:jc w:val="right"/>
              <w:rPr>
                <w:rFonts w:cs="Calibri"/>
                <w:sz w:val="22"/>
                <w:szCs w:val="22"/>
              </w:rPr>
            </w:pPr>
            <w:r w:rsidRPr="000C156A">
              <w:rPr>
                <w:rFonts w:cs="Calibri"/>
                <w:sz w:val="22"/>
                <w:szCs w:val="22"/>
              </w:rPr>
              <w:t>39</w:t>
            </w:r>
            <w:r w:rsidR="003F0401" w:rsidRPr="000C156A">
              <w:rPr>
                <w:rFonts w:cs="Calibri"/>
                <w:sz w:val="22"/>
                <w:szCs w:val="22"/>
              </w:rPr>
              <w:t xml:space="preserve"> </w:t>
            </w:r>
            <w:r w:rsidRPr="000C156A">
              <w:rPr>
                <w:rFonts w:cs="Calibri"/>
                <w:sz w:val="22"/>
                <w:szCs w:val="22"/>
              </w:rPr>
              <w:t>294.55</w:t>
            </w:r>
          </w:p>
        </w:tc>
        <w:tc>
          <w:tcPr>
            <w:tcW w:w="1434" w:type="dxa"/>
            <w:tcBorders>
              <w:top w:val="nil"/>
              <w:left w:val="single" w:sz="4" w:space="0" w:color="auto"/>
              <w:bottom w:val="nil"/>
              <w:right w:val="single" w:sz="4" w:space="0" w:color="auto"/>
            </w:tcBorders>
            <w:shd w:val="clear" w:color="auto" w:fill="auto"/>
            <w:noWrap/>
            <w:vAlign w:val="bottom"/>
            <w:hideMark/>
          </w:tcPr>
          <w:p w14:paraId="560F72AA"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29AECD1C" w14:textId="60205C30" w:rsidR="00686EC7" w:rsidRPr="000C156A" w:rsidRDefault="00686EC7" w:rsidP="00141BAA">
            <w:pPr>
              <w:jc w:val="right"/>
              <w:rPr>
                <w:rFonts w:cs="Calibri"/>
                <w:sz w:val="22"/>
                <w:szCs w:val="22"/>
              </w:rPr>
            </w:pPr>
            <w:r w:rsidRPr="000C156A">
              <w:rPr>
                <w:rFonts w:cs="Calibri"/>
                <w:sz w:val="22"/>
                <w:szCs w:val="22"/>
              </w:rPr>
              <w:t>39</w:t>
            </w:r>
            <w:r w:rsidR="003F0401" w:rsidRPr="000C156A">
              <w:rPr>
                <w:rFonts w:cs="Calibri"/>
                <w:sz w:val="22"/>
                <w:szCs w:val="22"/>
              </w:rPr>
              <w:t xml:space="preserve"> </w:t>
            </w:r>
            <w:r w:rsidRPr="000C156A">
              <w:rPr>
                <w:rFonts w:cs="Calibri"/>
                <w:sz w:val="22"/>
                <w:szCs w:val="22"/>
              </w:rPr>
              <w:t>294.55</w:t>
            </w:r>
          </w:p>
        </w:tc>
      </w:tr>
      <w:tr w:rsidR="00686EC7" w:rsidRPr="000C156A" w14:paraId="30F4C50A"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2F17FE5F" w14:textId="2EA32097"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Compuware</w:t>
            </w:r>
            <w:r w:rsidR="00686EC7" w:rsidRPr="000C156A">
              <w:rPr>
                <w:rFonts w:cs="Calibri" w:hint="eastAsia"/>
                <w:sz w:val="22"/>
                <w:szCs w:val="22"/>
                <w:lang w:val="fr-FR"/>
              </w:rPr>
              <w:t>公司，底特律</w:t>
            </w:r>
          </w:p>
        </w:tc>
        <w:tc>
          <w:tcPr>
            <w:tcW w:w="1720" w:type="dxa"/>
            <w:tcBorders>
              <w:top w:val="nil"/>
              <w:left w:val="single" w:sz="4" w:space="0" w:color="auto"/>
              <w:bottom w:val="nil"/>
              <w:right w:val="single" w:sz="4" w:space="0" w:color="auto"/>
            </w:tcBorders>
            <w:shd w:val="clear" w:color="auto" w:fill="auto"/>
            <w:noWrap/>
            <w:vAlign w:val="bottom"/>
            <w:hideMark/>
          </w:tcPr>
          <w:p w14:paraId="46865190" w14:textId="77777777" w:rsidR="00686EC7" w:rsidRPr="000C156A" w:rsidRDefault="00686EC7" w:rsidP="00141BAA">
            <w:pPr>
              <w:jc w:val="center"/>
              <w:rPr>
                <w:rFonts w:cs="Calibri"/>
                <w:sz w:val="22"/>
                <w:szCs w:val="22"/>
              </w:rPr>
            </w:pPr>
            <w:r w:rsidRPr="000C156A">
              <w:rPr>
                <w:rFonts w:cs="Calibri"/>
                <w:sz w:val="22"/>
                <w:szCs w:val="22"/>
              </w:rPr>
              <w:t>2009-2010</w:t>
            </w:r>
          </w:p>
        </w:tc>
        <w:tc>
          <w:tcPr>
            <w:tcW w:w="1613" w:type="dxa"/>
            <w:tcBorders>
              <w:top w:val="nil"/>
              <w:left w:val="single" w:sz="4" w:space="0" w:color="auto"/>
              <w:bottom w:val="nil"/>
              <w:right w:val="single" w:sz="4" w:space="0" w:color="auto"/>
            </w:tcBorders>
            <w:shd w:val="clear" w:color="auto" w:fill="auto"/>
            <w:noWrap/>
            <w:vAlign w:val="bottom"/>
            <w:hideMark/>
          </w:tcPr>
          <w:p w14:paraId="29F3CCFE" w14:textId="25CA0762" w:rsidR="00686EC7" w:rsidRPr="000C156A" w:rsidRDefault="00686EC7" w:rsidP="00141BAA">
            <w:pPr>
              <w:jc w:val="right"/>
              <w:rPr>
                <w:rFonts w:cs="Calibri"/>
                <w:sz w:val="22"/>
                <w:szCs w:val="22"/>
              </w:rPr>
            </w:pPr>
            <w:r w:rsidRPr="000C156A">
              <w:rPr>
                <w:rFonts w:cs="Calibri"/>
                <w:sz w:val="22"/>
                <w:szCs w:val="22"/>
              </w:rPr>
              <w:t>14</w:t>
            </w:r>
            <w:r w:rsidR="003F0401" w:rsidRPr="000C156A">
              <w:rPr>
                <w:rFonts w:cs="Calibri"/>
                <w:sz w:val="22"/>
                <w:szCs w:val="22"/>
              </w:rPr>
              <w:t xml:space="preserve"> </w:t>
            </w:r>
            <w:r w:rsidRPr="000C156A">
              <w:rPr>
                <w:rFonts w:cs="Calibri"/>
                <w:sz w:val="22"/>
                <w:szCs w:val="22"/>
              </w:rPr>
              <w:t>950.15</w:t>
            </w:r>
          </w:p>
        </w:tc>
        <w:tc>
          <w:tcPr>
            <w:tcW w:w="1434" w:type="dxa"/>
            <w:tcBorders>
              <w:top w:val="nil"/>
              <w:left w:val="single" w:sz="4" w:space="0" w:color="auto"/>
              <w:bottom w:val="nil"/>
              <w:right w:val="single" w:sz="4" w:space="0" w:color="auto"/>
            </w:tcBorders>
            <w:shd w:val="clear" w:color="auto" w:fill="auto"/>
            <w:noWrap/>
            <w:vAlign w:val="bottom"/>
            <w:hideMark/>
          </w:tcPr>
          <w:p w14:paraId="090BF149"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2A343C29" w14:textId="610FF10D" w:rsidR="00686EC7" w:rsidRPr="000C156A" w:rsidRDefault="00686EC7" w:rsidP="00141BAA">
            <w:pPr>
              <w:jc w:val="right"/>
              <w:rPr>
                <w:rFonts w:cs="Calibri"/>
                <w:sz w:val="22"/>
                <w:szCs w:val="22"/>
              </w:rPr>
            </w:pPr>
            <w:r w:rsidRPr="000C156A">
              <w:rPr>
                <w:rFonts w:cs="Calibri"/>
                <w:sz w:val="22"/>
                <w:szCs w:val="22"/>
              </w:rPr>
              <w:t>14</w:t>
            </w:r>
            <w:r w:rsidR="003F0401" w:rsidRPr="000C156A">
              <w:rPr>
                <w:rFonts w:cs="Calibri"/>
                <w:sz w:val="22"/>
                <w:szCs w:val="22"/>
              </w:rPr>
              <w:t xml:space="preserve"> </w:t>
            </w:r>
            <w:r w:rsidRPr="000C156A">
              <w:rPr>
                <w:rFonts w:cs="Calibri"/>
                <w:sz w:val="22"/>
                <w:szCs w:val="22"/>
              </w:rPr>
              <w:t>950.15</w:t>
            </w:r>
          </w:p>
        </w:tc>
      </w:tr>
      <w:tr w:rsidR="00686EC7" w:rsidRPr="000C156A" w14:paraId="71F968CF"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3937E9CC" w14:textId="471F929B"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ConceroConnect</w:t>
            </w:r>
            <w:r w:rsidR="00686EC7" w:rsidRPr="000C156A">
              <w:rPr>
                <w:rFonts w:cs="Calibri" w:hint="eastAsia"/>
                <w:sz w:val="22"/>
                <w:szCs w:val="22"/>
                <w:lang w:val="fr-FR"/>
              </w:rPr>
              <w:t>，</w:t>
            </w:r>
            <w:r w:rsidR="00686EC7" w:rsidRPr="000C156A">
              <w:rPr>
                <w:rFonts w:cs="Calibri"/>
                <w:sz w:val="22"/>
                <w:szCs w:val="22"/>
                <w:lang w:val="fr-FR"/>
              </w:rPr>
              <w:t>L3C</w:t>
            </w:r>
            <w:r w:rsidR="00686EC7" w:rsidRPr="000C156A">
              <w:rPr>
                <w:rFonts w:cs="Calibri" w:hint="eastAsia"/>
                <w:sz w:val="22"/>
                <w:szCs w:val="22"/>
                <w:lang w:val="fr-FR"/>
              </w:rPr>
              <w:t>，帕克城</w:t>
            </w:r>
          </w:p>
        </w:tc>
        <w:tc>
          <w:tcPr>
            <w:tcW w:w="1720" w:type="dxa"/>
            <w:tcBorders>
              <w:top w:val="nil"/>
              <w:left w:val="single" w:sz="4" w:space="0" w:color="auto"/>
              <w:bottom w:val="nil"/>
              <w:right w:val="single" w:sz="4" w:space="0" w:color="auto"/>
            </w:tcBorders>
            <w:shd w:val="clear" w:color="auto" w:fill="auto"/>
            <w:noWrap/>
            <w:vAlign w:val="bottom"/>
            <w:hideMark/>
          </w:tcPr>
          <w:p w14:paraId="311116CB" w14:textId="77777777" w:rsidR="00686EC7" w:rsidRPr="000C156A" w:rsidRDefault="00686EC7" w:rsidP="00141BAA">
            <w:pPr>
              <w:jc w:val="center"/>
              <w:rPr>
                <w:rFonts w:cs="Calibri"/>
                <w:sz w:val="22"/>
                <w:szCs w:val="22"/>
              </w:rPr>
            </w:pPr>
            <w:r w:rsidRPr="000C156A">
              <w:rPr>
                <w:rFonts w:cs="Calibri"/>
                <w:sz w:val="22"/>
                <w:szCs w:val="22"/>
              </w:rPr>
              <w:t>2015</w:t>
            </w:r>
          </w:p>
        </w:tc>
        <w:tc>
          <w:tcPr>
            <w:tcW w:w="1613" w:type="dxa"/>
            <w:tcBorders>
              <w:top w:val="nil"/>
              <w:left w:val="single" w:sz="4" w:space="0" w:color="auto"/>
              <w:bottom w:val="nil"/>
              <w:right w:val="single" w:sz="4" w:space="0" w:color="auto"/>
            </w:tcBorders>
            <w:shd w:val="clear" w:color="auto" w:fill="auto"/>
            <w:noWrap/>
            <w:vAlign w:val="bottom"/>
            <w:hideMark/>
          </w:tcPr>
          <w:p w14:paraId="77A441DC" w14:textId="7A10B2DB" w:rsidR="00686EC7" w:rsidRPr="000C156A" w:rsidRDefault="00686EC7" w:rsidP="00141BAA">
            <w:pPr>
              <w:jc w:val="right"/>
              <w:rPr>
                <w:rFonts w:cs="Calibri"/>
                <w:sz w:val="22"/>
                <w:szCs w:val="22"/>
              </w:rPr>
            </w:pPr>
            <w:r w:rsidRPr="000C156A">
              <w:rPr>
                <w:rFonts w:cs="Calibri"/>
                <w:sz w:val="22"/>
                <w:szCs w:val="22"/>
              </w:rPr>
              <w:t>11</w:t>
            </w:r>
            <w:r w:rsidR="003F0401" w:rsidRPr="000C156A">
              <w:rPr>
                <w:rFonts w:cs="Calibri"/>
                <w:sz w:val="22"/>
                <w:szCs w:val="22"/>
              </w:rPr>
              <w:t xml:space="preserve"> </w:t>
            </w:r>
            <w:r w:rsidRPr="000C156A">
              <w:rPr>
                <w:rFonts w:cs="Calibri"/>
                <w:sz w:val="22"/>
                <w:szCs w:val="22"/>
              </w:rPr>
              <w:t>037.90</w:t>
            </w:r>
          </w:p>
        </w:tc>
        <w:tc>
          <w:tcPr>
            <w:tcW w:w="1434" w:type="dxa"/>
            <w:tcBorders>
              <w:top w:val="nil"/>
              <w:left w:val="single" w:sz="4" w:space="0" w:color="auto"/>
              <w:bottom w:val="nil"/>
              <w:right w:val="single" w:sz="4" w:space="0" w:color="auto"/>
            </w:tcBorders>
            <w:shd w:val="clear" w:color="auto" w:fill="auto"/>
            <w:noWrap/>
            <w:vAlign w:val="bottom"/>
            <w:hideMark/>
          </w:tcPr>
          <w:p w14:paraId="737F8623"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7E49D83C" w14:textId="605F0D94" w:rsidR="00686EC7" w:rsidRPr="000C156A" w:rsidRDefault="00686EC7" w:rsidP="00141BAA">
            <w:pPr>
              <w:jc w:val="right"/>
              <w:rPr>
                <w:rFonts w:cs="Calibri"/>
                <w:sz w:val="22"/>
                <w:szCs w:val="22"/>
              </w:rPr>
            </w:pPr>
            <w:r w:rsidRPr="000C156A">
              <w:rPr>
                <w:rFonts w:cs="Calibri"/>
                <w:sz w:val="22"/>
                <w:szCs w:val="22"/>
              </w:rPr>
              <w:t>11</w:t>
            </w:r>
            <w:r w:rsidR="003F0401" w:rsidRPr="000C156A">
              <w:rPr>
                <w:rFonts w:cs="Calibri"/>
                <w:sz w:val="22"/>
                <w:szCs w:val="22"/>
              </w:rPr>
              <w:t xml:space="preserve"> </w:t>
            </w:r>
            <w:r w:rsidRPr="000C156A">
              <w:rPr>
                <w:rFonts w:cs="Calibri"/>
                <w:sz w:val="22"/>
                <w:szCs w:val="22"/>
              </w:rPr>
              <w:t>037.90</w:t>
            </w:r>
          </w:p>
        </w:tc>
      </w:tr>
      <w:tr w:rsidR="00686EC7" w:rsidRPr="000C156A" w14:paraId="7BD28D55"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0836C683" w14:textId="009AE2C5"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Conversay</w:t>
            </w:r>
            <w:r w:rsidR="00686EC7" w:rsidRPr="000C156A">
              <w:rPr>
                <w:rFonts w:cs="Calibri" w:hint="eastAsia"/>
                <w:sz w:val="22"/>
                <w:szCs w:val="22"/>
                <w:lang w:val="fr-FR"/>
              </w:rPr>
              <w:t>，雷德蒙德</w:t>
            </w:r>
          </w:p>
        </w:tc>
        <w:tc>
          <w:tcPr>
            <w:tcW w:w="1720" w:type="dxa"/>
            <w:tcBorders>
              <w:top w:val="nil"/>
              <w:left w:val="single" w:sz="4" w:space="0" w:color="auto"/>
              <w:bottom w:val="nil"/>
              <w:right w:val="single" w:sz="4" w:space="0" w:color="auto"/>
            </w:tcBorders>
            <w:shd w:val="clear" w:color="auto" w:fill="auto"/>
            <w:noWrap/>
            <w:vAlign w:val="bottom"/>
            <w:hideMark/>
          </w:tcPr>
          <w:p w14:paraId="386A4610" w14:textId="77777777" w:rsidR="00686EC7" w:rsidRPr="000C156A" w:rsidRDefault="00686EC7" w:rsidP="00141BAA">
            <w:pPr>
              <w:jc w:val="center"/>
              <w:rPr>
                <w:rFonts w:cs="Calibri"/>
                <w:sz w:val="22"/>
                <w:szCs w:val="22"/>
              </w:rPr>
            </w:pPr>
            <w:r w:rsidRPr="000C156A">
              <w:rPr>
                <w:rFonts w:cs="Calibri"/>
                <w:sz w:val="22"/>
                <w:szCs w:val="22"/>
              </w:rPr>
              <w:t>2007-2008</w:t>
            </w:r>
          </w:p>
        </w:tc>
        <w:tc>
          <w:tcPr>
            <w:tcW w:w="1613" w:type="dxa"/>
            <w:tcBorders>
              <w:top w:val="nil"/>
              <w:left w:val="single" w:sz="4" w:space="0" w:color="auto"/>
              <w:bottom w:val="nil"/>
              <w:right w:val="single" w:sz="4" w:space="0" w:color="auto"/>
            </w:tcBorders>
            <w:shd w:val="clear" w:color="auto" w:fill="auto"/>
            <w:noWrap/>
            <w:vAlign w:val="bottom"/>
            <w:hideMark/>
          </w:tcPr>
          <w:p w14:paraId="600EAFAC" w14:textId="3996ABCA" w:rsidR="00686EC7" w:rsidRPr="000C156A" w:rsidRDefault="00686EC7" w:rsidP="00141BAA">
            <w:pPr>
              <w:jc w:val="right"/>
              <w:rPr>
                <w:rFonts w:cs="Calibri"/>
                <w:sz w:val="22"/>
                <w:szCs w:val="22"/>
              </w:rPr>
            </w:pPr>
            <w:r w:rsidRPr="000C156A">
              <w:rPr>
                <w:rFonts w:cs="Calibri"/>
                <w:sz w:val="22"/>
                <w:szCs w:val="22"/>
              </w:rPr>
              <w:t>89</w:t>
            </w:r>
            <w:r w:rsidR="003F0401" w:rsidRPr="000C156A">
              <w:rPr>
                <w:rFonts w:cs="Calibri"/>
                <w:sz w:val="22"/>
                <w:szCs w:val="22"/>
              </w:rPr>
              <w:t xml:space="preserve"> </w:t>
            </w:r>
            <w:r w:rsidRPr="000C156A">
              <w:rPr>
                <w:rFonts w:cs="Calibri"/>
                <w:sz w:val="22"/>
                <w:szCs w:val="22"/>
              </w:rPr>
              <w:t>180.35</w:t>
            </w:r>
          </w:p>
        </w:tc>
        <w:tc>
          <w:tcPr>
            <w:tcW w:w="1434" w:type="dxa"/>
            <w:tcBorders>
              <w:top w:val="nil"/>
              <w:left w:val="single" w:sz="4" w:space="0" w:color="auto"/>
              <w:bottom w:val="nil"/>
              <w:right w:val="single" w:sz="4" w:space="0" w:color="auto"/>
            </w:tcBorders>
            <w:shd w:val="clear" w:color="auto" w:fill="auto"/>
            <w:noWrap/>
            <w:vAlign w:val="bottom"/>
            <w:hideMark/>
          </w:tcPr>
          <w:p w14:paraId="2E764DD9"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0B955B0C" w14:textId="7D1F82D2" w:rsidR="00686EC7" w:rsidRPr="000C156A" w:rsidRDefault="00686EC7" w:rsidP="00141BAA">
            <w:pPr>
              <w:jc w:val="right"/>
              <w:rPr>
                <w:rFonts w:cs="Calibri"/>
                <w:sz w:val="22"/>
                <w:szCs w:val="22"/>
              </w:rPr>
            </w:pPr>
            <w:r w:rsidRPr="000C156A">
              <w:rPr>
                <w:rFonts w:cs="Calibri"/>
                <w:sz w:val="22"/>
                <w:szCs w:val="22"/>
              </w:rPr>
              <w:t>89</w:t>
            </w:r>
            <w:r w:rsidR="003F0401" w:rsidRPr="000C156A">
              <w:rPr>
                <w:rFonts w:cs="Calibri"/>
                <w:sz w:val="22"/>
                <w:szCs w:val="22"/>
              </w:rPr>
              <w:t xml:space="preserve"> </w:t>
            </w:r>
            <w:r w:rsidRPr="000C156A">
              <w:rPr>
                <w:rFonts w:cs="Calibri"/>
                <w:sz w:val="22"/>
                <w:szCs w:val="22"/>
              </w:rPr>
              <w:t>180.35</w:t>
            </w:r>
          </w:p>
        </w:tc>
      </w:tr>
      <w:tr w:rsidR="00686EC7" w:rsidRPr="000C156A" w14:paraId="044186CC"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5784FC00" w14:textId="40D5E382"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Covad</w:t>
            </w:r>
            <w:r w:rsidR="00686EC7" w:rsidRPr="000C156A">
              <w:rPr>
                <w:rFonts w:cs="Calibri" w:hint="eastAsia"/>
                <w:sz w:val="22"/>
                <w:szCs w:val="22"/>
                <w:lang w:val="fr-FR"/>
              </w:rPr>
              <w:t>通信公司</w:t>
            </w:r>
            <w:r w:rsidR="00686EC7" w:rsidRPr="000C156A">
              <w:rPr>
                <w:rFonts w:cs="Calibri"/>
                <w:sz w:val="22"/>
                <w:szCs w:val="22"/>
                <w:lang w:val="fr-FR"/>
              </w:rPr>
              <w:t>，</w:t>
            </w:r>
            <w:r w:rsidR="00686EC7" w:rsidRPr="000C156A">
              <w:rPr>
                <w:rFonts w:cs="Calibri" w:hint="eastAsia"/>
                <w:sz w:val="22"/>
                <w:szCs w:val="22"/>
                <w:lang w:val="fr-FR"/>
              </w:rPr>
              <w:t>圣何塞</w:t>
            </w:r>
          </w:p>
        </w:tc>
        <w:tc>
          <w:tcPr>
            <w:tcW w:w="1720" w:type="dxa"/>
            <w:tcBorders>
              <w:top w:val="nil"/>
              <w:left w:val="single" w:sz="4" w:space="0" w:color="auto"/>
              <w:bottom w:val="nil"/>
              <w:right w:val="single" w:sz="4" w:space="0" w:color="auto"/>
            </w:tcBorders>
            <w:shd w:val="clear" w:color="auto" w:fill="auto"/>
            <w:noWrap/>
            <w:vAlign w:val="bottom"/>
            <w:hideMark/>
          </w:tcPr>
          <w:p w14:paraId="23C46B3C" w14:textId="77777777" w:rsidR="00686EC7" w:rsidRPr="000C156A" w:rsidRDefault="00686EC7" w:rsidP="00141BAA">
            <w:pPr>
              <w:jc w:val="center"/>
              <w:rPr>
                <w:rFonts w:cs="Calibri"/>
                <w:sz w:val="22"/>
                <w:szCs w:val="22"/>
              </w:rPr>
            </w:pPr>
            <w:r w:rsidRPr="000C156A">
              <w:rPr>
                <w:rFonts w:cs="Calibri"/>
                <w:sz w:val="22"/>
                <w:szCs w:val="22"/>
              </w:rPr>
              <w:t>2001-2002</w:t>
            </w:r>
          </w:p>
        </w:tc>
        <w:tc>
          <w:tcPr>
            <w:tcW w:w="1613" w:type="dxa"/>
            <w:tcBorders>
              <w:top w:val="nil"/>
              <w:left w:val="single" w:sz="4" w:space="0" w:color="auto"/>
              <w:bottom w:val="nil"/>
              <w:right w:val="single" w:sz="4" w:space="0" w:color="auto"/>
            </w:tcBorders>
            <w:shd w:val="clear" w:color="auto" w:fill="auto"/>
            <w:noWrap/>
            <w:vAlign w:val="bottom"/>
            <w:hideMark/>
          </w:tcPr>
          <w:p w14:paraId="4152B177" w14:textId="145F4DE6" w:rsidR="00686EC7" w:rsidRPr="000C156A" w:rsidRDefault="00686EC7" w:rsidP="00141BAA">
            <w:pPr>
              <w:jc w:val="right"/>
              <w:rPr>
                <w:rFonts w:cs="Calibri"/>
                <w:sz w:val="22"/>
                <w:szCs w:val="22"/>
              </w:rPr>
            </w:pPr>
            <w:r w:rsidRPr="000C156A">
              <w:rPr>
                <w:rFonts w:cs="Calibri"/>
                <w:sz w:val="22"/>
                <w:szCs w:val="22"/>
              </w:rPr>
              <w:t>141</w:t>
            </w:r>
            <w:r w:rsidR="003F0401" w:rsidRPr="000C156A">
              <w:rPr>
                <w:rFonts w:cs="Calibri"/>
                <w:sz w:val="22"/>
                <w:szCs w:val="22"/>
              </w:rPr>
              <w:t xml:space="preserve"> </w:t>
            </w:r>
            <w:r w:rsidRPr="000C156A">
              <w:rPr>
                <w:rFonts w:cs="Calibri"/>
                <w:sz w:val="22"/>
                <w:szCs w:val="22"/>
              </w:rPr>
              <w:t>672.25</w:t>
            </w:r>
          </w:p>
        </w:tc>
        <w:tc>
          <w:tcPr>
            <w:tcW w:w="1434" w:type="dxa"/>
            <w:tcBorders>
              <w:top w:val="nil"/>
              <w:left w:val="single" w:sz="4" w:space="0" w:color="auto"/>
              <w:bottom w:val="nil"/>
              <w:right w:val="single" w:sz="4" w:space="0" w:color="auto"/>
            </w:tcBorders>
            <w:shd w:val="clear" w:color="auto" w:fill="auto"/>
            <w:noWrap/>
            <w:vAlign w:val="bottom"/>
            <w:hideMark/>
          </w:tcPr>
          <w:p w14:paraId="1C6F05D0"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6A3EBF65" w14:textId="546D41A3" w:rsidR="00686EC7" w:rsidRPr="000C156A" w:rsidRDefault="00686EC7" w:rsidP="00141BAA">
            <w:pPr>
              <w:jc w:val="right"/>
              <w:rPr>
                <w:rFonts w:cs="Calibri"/>
                <w:sz w:val="22"/>
                <w:szCs w:val="22"/>
              </w:rPr>
            </w:pPr>
            <w:r w:rsidRPr="000C156A">
              <w:rPr>
                <w:rFonts w:cs="Calibri"/>
                <w:sz w:val="22"/>
                <w:szCs w:val="22"/>
              </w:rPr>
              <w:t>141</w:t>
            </w:r>
            <w:r w:rsidR="003F0401" w:rsidRPr="000C156A">
              <w:rPr>
                <w:rFonts w:cs="Calibri"/>
                <w:sz w:val="22"/>
                <w:szCs w:val="22"/>
              </w:rPr>
              <w:t xml:space="preserve"> </w:t>
            </w:r>
            <w:r w:rsidRPr="000C156A">
              <w:rPr>
                <w:rFonts w:cs="Calibri"/>
                <w:sz w:val="22"/>
                <w:szCs w:val="22"/>
              </w:rPr>
              <w:t>672.25</w:t>
            </w:r>
          </w:p>
        </w:tc>
      </w:tr>
      <w:tr w:rsidR="00686EC7" w:rsidRPr="000C156A" w14:paraId="23F52D9D"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60DCF24F" w14:textId="68E6984D"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Cypress</w:t>
            </w:r>
            <w:r w:rsidR="00686EC7" w:rsidRPr="000C156A">
              <w:rPr>
                <w:rFonts w:cs="Calibri" w:hint="eastAsia"/>
                <w:sz w:val="22"/>
                <w:szCs w:val="22"/>
                <w:lang w:val="fr-FR"/>
              </w:rPr>
              <w:t>半导体公司，圣何塞</w:t>
            </w:r>
          </w:p>
        </w:tc>
        <w:tc>
          <w:tcPr>
            <w:tcW w:w="1720" w:type="dxa"/>
            <w:tcBorders>
              <w:top w:val="nil"/>
              <w:left w:val="single" w:sz="4" w:space="0" w:color="auto"/>
              <w:bottom w:val="nil"/>
              <w:right w:val="single" w:sz="4" w:space="0" w:color="auto"/>
            </w:tcBorders>
            <w:shd w:val="clear" w:color="auto" w:fill="auto"/>
            <w:noWrap/>
            <w:vAlign w:val="bottom"/>
            <w:hideMark/>
          </w:tcPr>
          <w:p w14:paraId="1748B55E" w14:textId="77777777" w:rsidR="00686EC7" w:rsidRPr="000C156A" w:rsidRDefault="00686EC7" w:rsidP="00141BAA">
            <w:pPr>
              <w:jc w:val="center"/>
              <w:rPr>
                <w:rFonts w:cs="Calibri"/>
                <w:sz w:val="22"/>
                <w:szCs w:val="22"/>
              </w:rPr>
            </w:pPr>
            <w:r w:rsidRPr="000C156A">
              <w:rPr>
                <w:rFonts w:cs="Calibri"/>
                <w:sz w:val="22"/>
                <w:szCs w:val="22"/>
              </w:rPr>
              <w:t>2004-2005</w:t>
            </w:r>
          </w:p>
        </w:tc>
        <w:tc>
          <w:tcPr>
            <w:tcW w:w="1613" w:type="dxa"/>
            <w:tcBorders>
              <w:top w:val="nil"/>
              <w:left w:val="single" w:sz="4" w:space="0" w:color="auto"/>
              <w:bottom w:val="nil"/>
              <w:right w:val="single" w:sz="4" w:space="0" w:color="auto"/>
            </w:tcBorders>
            <w:shd w:val="clear" w:color="auto" w:fill="auto"/>
            <w:noWrap/>
            <w:vAlign w:val="bottom"/>
            <w:hideMark/>
          </w:tcPr>
          <w:p w14:paraId="5B628381" w14:textId="0E0DC539" w:rsidR="00686EC7" w:rsidRPr="000C156A" w:rsidRDefault="00686EC7" w:rsidP="00141BAA">
            <w:pPr>
              <w:jc w:val="right"/>
              <w:rPr>
                <w:rFonts w:cs="Calibri"/>
                <w:sz w:val="22"/>
                <w:szCs w:val="22"/>
              </w:rPr>
            </w:pPr>
            <w:r w:rsidRPr="000C156A">
              <w:rPr>
                <w:rFonts w:cs="Calibri"/>
                <w:sz w:val="22"/>
                <w:szCs w:val="22"/>
              </w:rPr>
              <w:t>42</w:t>
            </w:r>
            <w:r w:rsidR="003F0401" w:rsidRPr="000C156A">
              <w:rPr>
                <w:rFonts w:cs="Calibri"/>
                <w:sz w:val="22"/>
                <w:szCs w:val="22"/>
              </w:rPr>
              <w:t xml:space="preserve"> </w:t>
            </w:r>
            <w:r w:rsidRPr="000C156A">
              <w:rPr>
                <w:rFonts w:cs="Calibri"/>
                <w:sz w:val="22"/>
                <w:szCs w:val="22"/>
              </w:rPr>
              <w:t>458.25</w:t>
            </w:r>
          </w:p>
        </w:tc>
        <w:tc>
          <w:tcPr>
            <w:tcW w:w="1434" w:type="dxa"/>
            <w:tcBorders>
              <w:top w:val="nil"/>
              <w:left w:val="single" w:sz="4" w:space="0" w:color="auto"/>
              <w:bottom w:val="nil"/>
              <w:right w:val="single" w:sz="4" w:space="0" w:color="auto"/>
            </w:tcBorders>
            <w:shd w:val="clear" w:color="auto" w:fill="auto"/>
            <w:noWrap/>
            <w:vAlign w:val="bottom"/>
            <w:hideMark/>
          </w:tcPr>
          <w:p w14:paraId="6D5BDA15"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77CA38E2" w14:textId="60B29BEC" w:rsidR="00686EC7" w:rsidRPr="000C156A" w:rsidRDefault="00686EC7" w:rsidP="00141BAA">
            <w:pPr>
              <w:jc w:val="right"/>
              <w:rPr>
                <w:rFonts w:cs="Calibri"/>
                <w:sz w:val="22"/>
                <w:szCs w:val="22"/>
              </w:rPr>
            </w:pPr>
            <w:r w:rsidRPr="000C156A">
              <w:rPr>
                <w:rFonts w:cs="Calibri"/>
                <w:sz w:val="22"/>
                <w:szCs w:val="22"/>
              </w:rPr>
              <w:t>42</w:t>
            </w:r>
            <w:r w:rsidR="003F0401" w:rsidRPr="000C156A">
              <w:rPr>
                <w:rFonts w:cs="Calibri"/>
                <w:sz w:val="22"/>
                <w:szCs w:val="22"/>
              </w:rPr>
              <w:t xml:space="preserve"> </w:t>
            </w:r>
            <w:r w:rsidRPr="000C156A">
              <w:rPr>
                <w:rFonts w:cs="Calibri"/>
                <w:sz w:val="22"/>
                <w:szCs w:val="22"/>
              </w:rPr>
              <w:t>458.25</w:t>
            </w:r>
          </w:p>
        </w:tc>
      </w:tr>
      <w:tr w:rsidR="00686EC7" w:rsidRPr="000C156A" w14:paraId="4C69E6DA"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0FE3AF16" w14:textId="5AB335F6"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E-MAC</w:t>
            </w:r>
            <w:r w:rsidR="00686EC7" w:rsidRPr="000C156A">
              <w:rPr>
                <w:rFonts w:cs="Calibri" w:hint="eastAsia"/>
                <w:sz w:val="22"/>
                <w:szCs w:val="22"/>
                <w:lang w:val="fr-FR"/>
              </w:rPr>
              <w:t>公司，阿灵顿</w:t>
            </w:r>
          </w:p>
        </w:tc>
        <w:tc>
          <w:tcPr>
            <w:tcW w:w="1720" w:type="dxa"/>
            <w:tcBorders>
              <w:top w:val="nil"/>
              <w:left w:val="single" w:sz="4" w:space="0" w:color="auto"/>
              <w:bottom w:val="nil"/>
              <w:right w:val="single" w:sz="4" w:space="0" w:color="auto"/>
            </w:tcBorders>
            <w:shd w:val="clear" w:color="auto" w:fill="auto"/>
            <w:noWrap/>
            <w:vAlign w:val="bottom"/>
            <w:hideMark/>
          </w:tcPr>
          <w:p w14:paraId="2CC0AAAC" w14:textId="77777777" w:rsidR="00686EC7" w:rsidRPr="000C156A" w:rsidRDefault="00686EC7" w:rsidP="00141BAA">
            <w:pPr>
              <w:jc w:val="center"/>
              <w:rPr>
                <w:rFonts w:cs="Calibri"/>
                <w:sz w:val="22"/>
                <w:szCs w:val="22"/>
              </w:rPr>
            </w:pPr>
            <w:r w:rsidRPr="000C156A">
              <w:rPr>
                <w:rFonts w:cs="Calibri"/>
                <w:sz w:val="22"/>
                <w:szCs w:val="22"/>
              </w:rPr>
              <w:t>2005-2007</w:t>
            </w:r>
          </w:p>
        </w:tc>
        <w:tc>
          <w:tcPr>
            <w:tcW w:w="1613" w:type="dxa"/>
            <w:tcBorders>
              <w:top w:val="nil"/>
              <w:left w:val="single" w:sz="4" w:space="0" w:color="auto"/>
              <w:bottom w:val="nil"/>
              <w:right w:val="single" w:sz="4" w:space="0" w:color="auto"/>
            </w:tcBorders>
            <w:shd w:val="clear" w:color="auto" w:fill="auto"/>
            <w:noWrap/>
            <w:vAlign w:val="bottom"/>
            <w:hideMark/>
          </w:tcPr>
          <w:p w14:paraId="76604D7E" w14:textId="67A89B6B" w:rsidR="00686EC7" w:rsidRPr="000C156A" w:rsidRDefault="00686EC7" w:rsidP="00141BAA">
            <w:pPr>
              <w:jc w:val="right"/>
              <w:rPr>
                <w:rFonts w:cs="Calibri"/>
                <w:sz w:val="22"/>
                <w:szCs w:val="22"/>
              </w:rPr>
            </w:pPr>
            <w:r w:rsidRPr="000C156A">
              <w:rPr>
                <w:rFonts w:cs="Calibri"/>
                <w:sz w:val="22"/>
                <w:szCs w:val="22"/>
              </w:rPr>
              <w:t>53</w:t>
            </w:r>
            <w:r w:rsidR="003F0401" w:rsidRPr="000C156A">
              <w:rPr>
                <w:rFonts w:cs="Calibri"/>
                <w:sz w:val="22"/>
                <w:szCs w:val="22"/>
              </w:rPr>
              <w:t xml:space="preserve"> </w:t>
            </w:r>
            <w:r w:rsidRPr="000C156A">
              <w:rPr>
                <w:rFonts w:cs="Calibri"/>
                <w:sz w:val="22"/>
                <w:szCs w:val="22"/>
              </w:rPr>
              <w:t>930.30</w:t>
            </w:r>
          </w:p>
        </w:tc>
        <w:tc>
          <w:tcPr>
            <w:tcW w:w="1434" w:type="dxa"/>
            <w:tcBorders>
              <w:top w:val="nil"/>
              <w:left w:val="single" w:sz="4" w:space="0" w:color="auto"/>
              <w:bottom w:val="nil"/>
              <w:right w:val="single" w:sz="4" w:space="0" w:color="auto"/>
            </w:tcBorders>
            <w:shd w:val="clear" w:color="auto" w:fill="auto"/>
            <w:noWrap/>
            <w:vAlign w:val="bottom"/>
            <w:hideMark/>
          </w:tcPr>
          <w:p w14:paraId="6789BFC6"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2A8F0970" w14:textId="263EA2A1" w:rsidR="00686EC7" w:rsidRPr="000C156A" w:rsidRDefault="00686EC7" w:rsidP="00141BAA">
            <w:pPr>
              <w:jc w:val="right"/>
              <w:rPr>
                <w:rFonts w:cs="Calibri"/>
                <w:sz w:val="22"/>
                <w:szCs w:val="22"/>
              </w:rPr>
            </w:pPr>
            <w:r w:rsidRPr="000C156A">
              <w:rPr>
                <w:rFonts w:cs="Calibri"/>
                <w:sz w:val="22"/>
                <w:szCs w:val="22"/>
              </w:rPr>
              <w:t>53</w:t>
            </w:r>
            <w:r w:rsidR="003F0401" w:rsidRPr="000C156A">
              <w:rPr>
                <w:rFonts w:cs="Calibri"/>
                <w:sz w:val="22"/>
                <w:szCs w:val="22"/>
              </w:rPr>
              <w:t xml:space="preserve"> </w:t>
            </w:r>
            <w:r w:rsidRPr="000C156A">
              <w:rPr>
                <w:rFonts w:cs="Calibri"/>
                <w:sz w:val="22"/>
                <w:szCs w:val="22"/>
              </w:rPr>
              <w:t>930.30</w:t>
            </w:r>
          </w:p>
        </w:tc>
      </w:tr>
      <w:tr w:rsidR="00686EC7" w:rsidRPr="000C156A" w14:paraId="37B0930A"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15CA18E2" w14:textId="6DE71B87"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eCurrency</w:t>
            </w:r>
            <w:r w:rsidR="00686EC7" w:rsidRPr="000C156A">
              <w:rPr>
                <w:rFonts w:cs="Calibri" w:hint="eastAsia"/>
                <w:sz w:val="22"/>
                <w:szCs w:val="22"/>
                <w:lang w:val="fr-FR"/>
              </w:rPr>
              <w:t>，奥克兰</w:t>
            </w:r>
          </w:p>
        </w:tc>
        <w:tc>
          <w:tcPr>
            <w:tcW w:w="1720" w:type="dxa"/>
            <w:tcBorders>
              <w:top w:val="nil"/>
              <w:left w:val="single" w:sz="4" w:space="0" w:color="auto"/>
              <w:bottom w:val="nil"/>
              <w:right w:val="single" w:sz="4" w:space="0" w:color="auto"/>
            </w:tcBorders>
            <w:shd w:val="clear" w:color="auto" w:fill="auto"/>
            <w:noWrap/>
            <w:vAlign w:val="bottom"/>
            <w:hideMark/>
          </w:tcPr>
          <w:p w14:paraId="052947DC" w14:textId="77777777" w:rsidR="00686EC7" w:rsidRPr="000C156A" w:rsidRDefault="00686EC7" w:rsidP="00141BAA">
            <w:pPr>
              <w:jc w:val="center"/>
              <w:rPr>
                <w:rFonts w:cs="Calibri"/>
                <w:sz w:val="22"/>
                <w:szCs w:val="22"/>
              </w:rPr>
            </w:pPr>
            <w:r w:rsidRPr="000C156A">
              <w:rPr>
                <w:rFonts w:cs="Calibri"/>
                <w:sz w:val="22"/>
                <w:szCs w:val="22"/>
              </w:rPr>
              <w:t>2018-2019</w:t>
            </w:r>
          </w:p>
        </w:tc>
        <w:tc>
          <w:tcPr>
            <w:tcW w:w="1613" w:type="dxa"/>
            <w:tcBorders>
              <w:top w:val="nil"/>
              <w:left w:val="single" w:sz="4" w:space="0" w:color="auto"/>
              <w:bottom w:val="nil"/>
              <w:right w:val="single" w:sz="4" w:space="0" w:color="auto"/>
            </w:tcBorders>
            <w:shd w:val="clear" w:color="auto" w:fill="auto"/>
            <w:noWrap/>
            <w:vAlign w:val="bottom"/>
            <w:hideMark/>
          </w:tcPr>
          <w:p w14:paraId="1BB6676A" w14:textId="4DC8D493" w:rsidR="00686EC7" w:rsidRPr="000C156A" w:rsidRDefault="00686EC7" w:rsidP="00141BAA">
            <w:pPr>
              <w:jc w:val="right"/>
              <w:rPr>
                <w:rFonts w:cs="Calibri"/>
                <w:sz w:val="22"/>
                <w:szCs w:val="22"/>
              </w:rPr>
            </w:pPr>
            <w:r w:rsidRPr="000C156A">
              <w:rPr>
                <w:rFonts w:cs="Calibri"/>
                <w:sz w:val="22"/>
                <w:szCs w:val="22"/>
              </w:rPr>
              <w:t>35</w:t>
            </w:r>
            <w:r w:rsidR="003F0401" w:rsidRPr="000C156A">
              <w:rPr>
                <w:rFonts w:cs="Calibri"/>
                <w:sz w:val="22"/>
                <w:szCs w:val="22"/>
              </w:rPr>
              <w:t xml:space="preserve"> </w:t>
            </w:r>
            <w:r w:rsidRPr="000C156A">
              <w:rPr>
                <w:rFonts w:cs="Calibri"/>
                <w:sz w:val="22"/>
                <w:szCs w:val="22"/>
              </w:rPr>
              <w:t>059.50</w:t>
            </w:r>
          </w:p>
        </w:tc>
        <w:tc>
          <w:tcPr>
            <w:tcW w:w="1434" w:type="dxa"/>
            <w:tcBorders>
              <w:top w:val="nil"/>
              <w:left w:val="single" w:sz="4" w:space="0" w:color="auto"/>
              <w:bottom w:val="nil"/>
              <w:right w:val="single" w:sz="4" w:space="0" w:color="auto"/>
            </w:tcBorders>
            <w:shd w:val="clear" w:color="auto" w:fill="auto"/>
            <w:noWrap/>
            <w:vAlign w:val="bottom"/>
            <w:hideMark/>
          </w:tcPr>
          <w:p w14:paraId="3FAA1298"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7A9816D3" w14:textId="5450D270" w:rsidR="00686EC7" w:rsidRPr="000C156A" w:rsidRDefault="00686EC7" w:rsidP="00141BAA">
            <w:pPr>
              <w:jc w:val="right"/>
              <w:rPr>
                <w:rFonts w:cs="Calibri"/>
                <w:sz w:val="22"/>
                <w:szCs w:val="22"/>
              </w:rPr>
            </w:pPr>
            <w:r w:rsidRPr="000C156A">
              <w:rPr>
                <w:rFonts w:cs="Calibri"/>
                <w:sz w:val="22"/>
                <w:szCs w:val="22"/>
              </w:rPr>
              <w:t>35</w:t>
            </w:r>
            <w:r w:rsidR="003F0401" w:rsidRPr="000C156A">
              <w:rPr>
                <w:rFonts w:cs="Calibri"/>
                <w:sz w:val="22"/>
                <w:szCs w:val="22"/>
              </w:rPr>
              <w:t xml:space="preserve"> </w:t>
            </w:r>
            <w:r w:rsidRPr="000C156A">
              <w:rPr>
                <w:rFonts w:cs="Calibri"/>
                <w:sz w:val="22"/>
                <w:szCs w:val="22"/>
              </w:rPr>
              <w:t>059.50</w:t>
            </w:r>
          </w:p>
        </w:tc>
      </w:tr>
      <w:tr w:rsidR="00686EC7" w:rsidRPr="000C156A" w14:paraId="21ACF567"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0C05C02D" w14:textId="48696895"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Ellipsat</w:t>
            </w:r>
            <w:r w:rsidR="00686EC7" w:rsidRPr="000C156A">
              <w:rPr>
                <w:rFonts w:cs="Calibri" w:hint="eastAsia"/>
                <w:sz w:val="22"/>
                <w:szCs w:val="22"/>
                <w:lang w:val="fr-FR"/>
              </w:rPr>
              <w:t>公司，华盛顿</w:t>
            </w:r>
          </w:p>
        </w:tc>
        <w:tc>
          <w:tcPr>
            <w:tcW w:w="1720" w:type="dxa"/>
            <w:tcBorders>
              <w:top w:val="nil"/>
              <w:left w:val="single" w:sz="4" w:space="0" w:color="auto"/>
              <w:bottom w:val="nil"/>
              <w:right w:val="single" w:sz="4" w:space="0" w:color="auto"/>
            </w:tcBorders>
            <w:shd w:val="clear" w:color="auto" w:fill="auto"/>
            <w:noWrap/>
            <w:vAlign w:val="bottom"/>
            <w:hideMark/>
          </w:tcPr>
          <w:p w14:paraId="53AA3425" w14:textId="77777777" w:rsidR="00686EC7" w:rsidRPr="000C156A" w:rsidRDefault="00686EC7" w:rsidP="00141BAA">
            <w:pPr>
              <w:jc w:val="center"/>
              <w:rPr>
                <w:rFonts w:cs="Calibri"/>
                <w:sz w:val="22"/>
                <w:szCs w:val="22"/>
              </w:rPr>
            </w:pPr>
            <w:r w:rsidRPr="000C156A">
              <w:rPr>
                <w:rFonts w:cs="Calibri"/>
                <w:sz w:val="22"/>
                <w:szCs w:val="22"/>
              </w:rPr>
              <w:t>2018</w:t>
            </w:r>
          </w:p>
        </w:tc>
        <w:tc>
          <w:tcPr>
            <w:tcW w:w="1613" w:type="dxa"/>
            <w:tcBorders>
              <w:top w:val="nil"/>
              <w:left w:val="single" w:sz="4" w:space="0" w:color="auto"/>
              <w:bottom w:val="nil"/>
              <w:right w:val="single" w:sz="4" w:space="0" w:color="auto"/>
            </w:tcBorders>
            <w:shd w:val="clear" w:color="auto" w:fill="auto"/>
            <w:noWrap/>
            <w:vAlign w:val="bottom"/>
            <w:hideMark/>
          </w:tcPr>
          <w:p w14:paraId="439F5951" w14:textId="21CB1580" w:rsidR="00686EC7" w:rsidRPr="000C156A" w:rsidRDefault="00686EC7" w:rsidP="00141BAA">
            <w:pPr>
              <w:jc w:val="right"/>
              <w:rPr>
                <w:rFonts w:cs="Calibri"/>
                <w:sz w:val="22"/>
                <w:szCs w:val="22"/>
              </w:rPr>
            </w:pPr>
            <w:r w:rsidRPr="000C156A">
              <w:rPr>
                <w:rFonts w:cs="Calibri"/>
                <w:sz w:val="22"/>
                <w:szCs w:val="22"/>
              </w:rPr>
              <w:t>9</w:t>
            </w:r>
            <w:r w:rsidR="003F0401" w:rsidRPr="000C156A">
              <w:rPr>
                <w:rFonts w:cs="Calibri"/>
                <w:sz w:val="22"/>
                <w:szCs w:val="22"/>
              </w:rPr>
              <w:t xml:space="preserve"> </w:t>
            </w:r>
            <w:r w:rsidRPr="000C156A">
              <w:rPr>
                <w:rFonts w:cs="Calibri"/>
                <w:sz w:val="22"/>
                <w:szCs w:val="22"/>
              </w:rPr>
              <w:t>627.30</w:t>
            </w:r>
          </w:p>
        </w:tc>
        <w:tc>
          <w:tcPr>
            <w:tcW w:w="1434" w:type="dxa"/>
            <w:tcBorders>
              <w:top w:val="nil"/>
              <w:left w:val="single" w:sz="4" w:space="0" w:color="auto"/>
              <w:bottom w:val="nil"/>
              <w:right w:val="single" w:sz="4" w:space="0" w:color="auto"/>
            </w:tcBorders>
            <w:shd w:val="clear" w:color="auto" w:fill="auto"/>
            <w:noWrap/>
            <w:vAlign w:val="bottom"/>
            <w:hideMark/>
          </w:tcPr>
          <w:p w14:paraId="53324527"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4A93C302" w14:textId="2FDB692D" w:rsidR="00686EC7" w:rsidRPr="000C156A" w:rsidRDefault="00686EC7" w:rsidP="00141BAA">
            <w:pPr>
              <w:jc w:val="right"/>
              <w:rPr>
                <w:rFonts w:cs="Calibri"/>
                <w:sz w:val="22"/>
                <w:szCs w:val="22"/>
              </w:rPr>
            </w:pPr>
            <w:r w:rsidRPr="000C156A">
              <w:rPr>
                <w:rFonts w:cs="Calibri"/>
                <w:sz w:val="22"/>
                <w:szCs w:val="22"/>
              </w:rPr>
              <w:t>9</w:t>
            </w:r>
            <w:r w:rsidR="003F0401" w:rsidRPr="000C156A">
              <w:rPr>
                <w:rFonts w:cs="Calibri"/>
                <w:sz w:val="22"/>
                <w:szCs w:val="22"/>
              </w:rPr>
              <w:t xml:space="preserve"> </w:t>
            </w:r>
            <w:r w:rsidRPr="000C156A">
              <w:rPr>
                <w:rFonts w:cs="Calibri"/>
                <w:sz w:val="22"/>
                <w:szCs w:val="22"/>
              </w:rPr>
              <w:t>627.30</w:t>
            </w:r>
          </w:p>
        </w:tc>
      </w:tr>
      <w:tr w:rsidR="00686EC7" w:rsidRPr="000C156A" w14:paraId="22ADC701"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034F2373" w14:textId="4AC77F0C"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EnVerv</w:t>
            </w:r>
            <w:r w:rsidR="00686EC7" w:rsidRPr="000C156A">
              <w:rPr>
                <w:rFonts w:cs="Calibri" w:hint="eastAsia"/>
                <w:sz w:val="22"/>
                <w:szCs w:val="22"/>
                <w:lang w:val="fr-FR"/>
              </w:rPr>
              <w:t>公司，苗必达</w:t>
            </w:r>
          </w:p>
        </w:tc>
        <w:tc>
          <w:tcPr>
            <w:tcW w:w="1720" w:type="dxa"/>
            <w:tcBorders>
              <w:top w:val="nil"/>
              <w:left w:val="single" w:sz="4" w:space="0" w:color="auto"/>
              <w:bottom w:val="nil"/>
              <w:right w:val="single" w:sz="4" w:space="0" w:color="auto"/>
            </w:tcBorders>
            <w:shd w:val="clear" w:color="auto" w:fill="auto"/>
            <w:noWrap/>
            <w:vAlign w:val="bottom"/>
            <w:hideMark/>
          </w:tcPr>
          <w:p w14:paraId="0E0F9AA4" w14:textId="77777777" w:rsidR="00686EC7" w:rsidRPr="000C156A" w:rsidRDefault="00686EC7" w:rsidP="00141BAA">
            <w:pPr>
              <w:jc w:val="center"/>
              <w:rPr>
                <w:rFonts w:cs="Calibri"/>
                <w:sz w:val="22"/>
                <w:szCs w:val="22"/>
              </w:rPr>
            </w:pPr>
            <w:r w:rsidRPr="000C156A">
              <w:rPr>
                <w:rFonts w:cs="Calibri"/>
                <w:sz w:val="22"/>
                <w:szCs w:val="22"/>
              </w:rPr>
              <w:t>2015</w:t>
            </w:r>
          </w:p>
        </w:tc>
        <w:tc>
          <w:tcPr>
            <w:tcW w:w="1613" w:type="dxa"/>
            <w:tcBorders>
              <w:top w:val="nil"/>
              <w:left w:val="single" w:sz="4" w:space="0" w:color="auto"/>
              <w:bottom w:val="nil"/>
              <w:right w:val="single" w:sz="4" w:space="0" w:color="auto"/>
            </w:tcBorders>
            <w:shd w:val="clear" w:color="auto" w:fill="auto"/>
            <w:noWrap/>
            <w:vAlign w:val="bottom"/>
            <w:hideMark/>
          </w:tcPr>
          <w:p w14:paraId="07AC5156" w14:textId="499ED535" w:rsidR="00686EC7" w:rsidRPr="000C156A" w:rsidRDefault="00686EC7" w:rsidP="00141BAA">
            <w:pPr>
              <w:jc w:val="right"/>
              <w:rPr>
                <w:rFonts w:cs="Calibri"/>
                <w:sz w:val="22"/>
                <w:szCs w:val="22"/>
              </w:rPr>
            </w:pPr>
            <w:r w:rsidRPr="000C156A">
              <w:rPr>
                <w:rFonts w:cs="Calibri"/>
                <w:sz w:val="22"/>
                <w:szCs w:val="22"/>
              </w:rPr>
              <w:t>14</w:t>
            </w:r>
            <w:r w:rsidR="003F0401" w:rsidRPr="000C156A">
              <w:rPr>
                <w:rFonts w:cs="Calibri"/>
                <w:sz w:val="22"/>
                <w:szCs w:val="22"/>
              </w:rPr>
              <w:t xml:space="preserve"> </w:t>
            </w:r>
            <w:r w:rsidRPr="000C156A">
              <w:rPr>
                <w:rFonts w:cs="Calibri"/>
                <w:sz w:val="22"/>
                <w:szCs w:val="22"/>
              </w:rPr>
              <w:t>717.15</w:t>
            </w:r>
          </w:p>
        </w:tc>
        <w:tc>
          <w:tcPr>
            <w:tcW w:w="1434" w:type="dxa"/>
            <w:tcBorders>
              <w:top w:val="nil"/>
              <w:left w:val="single" w:sz="4" w:space="0" w:color="auto"/>
              <w:bottom w:val="nil"/>
              <w:right w:val="single" w:sz="4" w:space="0" w:color="auto"/>
            </w:tcBorders>
            <w:shd w:val="clear" w:color="auto" w:fill="auto"/>
            <w:noWrap/>
            <w:vAlign w:val="bottom"/>
            <w:hideMark/>
          </w:tcPr>
          <w:p w14:paraId="78B90CDB"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6E2F2BBC" w14:textId="71C43350" w:rsidR="00686EC7" w:rsidRPr="000C156A" w:rsidRDefault="00686EC7" w:rsidP="00141BAA">
            <w:pPr>
              <w:jc w:val="right"/>
              <w:rPr>
                <w:rFonts w:cs="Calibri"/>
                <w:sz w:val="22"/>
                <w:szCs w:val="22"/>
              </w:rPr>
            </w:pPr>
            <w:r w:rsidRPr="000C156A">
              <w:rPr>
                <w:rFonts w:cs="Calibri"/>
                <w:sz w:val="22"/>
                <w:szCs w:val="22"/>
              </w:rPr>
              <w:t>14</w:t>
            </w:r>
            <w:r w:rsidR="003F0401" w:rsidRPr="000C156A">
              <w:rPr>
                <w:rFonts w:cs="Calibri"/>
                <w:sz w:val="22"/>
                <w:szCs w:val="22"/>
              </w:rPr>
              <w:t xml:space="preserve"> </w:t>
            </w:r>
            <w:r w:rsidRPr="000C156A">
              <w:rPr>
                <w:rFonts w:cs="Calibri"/>
                <w:sz w:val="22"/>
                <w:szCs w:val="22"/>
              </w:rPr>
              <w:t>717.15</w:t>
            </w:r>
          </w:p>
        </w:tc>
      </w:tr>
      <w:tr w:rsidR="00686EC7" w:rsidRPr="000C156A" w14:paraId="73C5C1CA"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7FB84701" w14:textId="37245E06"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Graphnet</w:t>
            </w:r>
            <w:r w:rsidR="00686EC7" w:rsidRPr="000C156A">
              <w:rPr>
                <w:rFonts w:cs="Calibri" w:hint="eastAsia"/>
                <w:sz w:val="22"/>
                <w:szCs w:val="22"/>
                <w:lang w:val="fr-FR"/>
              </w:rPr>
              <w:t>公司，纽约</w:t>
            </w:r>
          </w:p>
        </w:tc>
        <w:tc>
          <w:tcPr>
            <w:tcW w:w="1720" w:type="dxa"/>
            <w:tcBorders>
              <w:top w:val="nil"/>
              <w:left w:val="single" w:sz="4" w:space="0" w:color="auto"/>
              <w:bottom w:val="nil"/>
              <w:right w:val="single" w:sz="4" w:space="0" w:color="auto"/>
            </w:tcBorders>
            <w:shd w:val="clear" w:color="auto" w:fill="auto"/>
            <w:noWrap/>
            <w:vAlign w:val="bottom"/>
            <w:hideMark/>
          </w:tcPr>
          <w:p w14:paraId="5B88E2CE" w14:textId="77777777" w:rsidR="00686EC7" w:rsidRPr="000C156A" w:rsidRDefault="00686EC7" w:rsidP="00141BAA">
            <w:pPr>
              <w:jc w:val="center"/>
              <w:rPr>
                <w:rFonts w:cs="Calibri"/>
                <w:sz w:val="22"/>
                <w:szCs w:val="22"/>
              </w:rPr>
            </w:pPr>
            <w:r w:rsidRPr="000C156A">
              <w:rPr>
                <w:rFonts w:cs="Calibri"/>
                <w:sz w:val="22"/>
                <w:szCs w:val="22"/>
              </w:rPr>
              <w:t>1987-2002</w:t>
            </w:r>
          </w:p>
        </w:tc>
        <w:tc>
          <w:tcPr>
            <w:tcW w:w="1613" w:type="dxa"/>
            <w:tcBorders>
              <w:top w:val="nil"/>
              <w:left w:val="single" w:sz="4" w:space="0" w:color="auto"/>
              <w:bottom w:val="nil"/>
              <w:right w:val="single" w:sz="4" w:space="0" w:color="auto"/>
            </w:tcBorders>
            <w:shd w:val="clear" w:color="auto" w:fill="auto"/>
            <w:noWrap/>
            <w:vAlign w:val="bottom"/>
            <w:hideMark/>
          </w:tcPr>
          <w:p w14:paraId="2D71D2FA" w14:textId="5CE166C8" w:rsidR="00686EC7" w:rsidRPr="000C156A" w:rsidRDefault="00686EC7" w:rsidP="00141BAA">
            <w:pPr>
              <w:jc w:val="right"/>
              <w:rPr>
                <w:rFonts w:cs="Calibri"/>
                <w:sz w:val="22"/>
                <w:szCs w:val="22"/>
              </w:rPr>
            </w:pPr>
            <w:r w:rsidRPr="000C156A">
              <w:rPr>
                <w:rFonts w:cs="Calibri"/>
                <w:sz w:val="22"/>
                <w:szCs w:val="22"/>
              </w:rPr>
              <w:t>1</w:t>
            </w:r>
            <w:r w:rsidR="003F0401" w:rsidRPr="000C156A">
              <w:rPr>
                <w:rFonts w:cs="Calibri"/>
                <w:sz w:val="22"/>
                <w:szCs w:val="22"/>
              </w:rPr>
              <w:t xml:space="preserve"> </w:t>
            </w:r>
            <w:r w:rsidRPr="000C156A">
              <w:rPr>
                <w:rFonts w:cs="Calibri"/>
                <w:sz w:val="22"/>
                <w:szCs w:val="22"/>
              </w:rPr>
              <w:t>640</w:t>
            </w:r>
            <w:r w:rsidR="003F0401" w:rsidRPr="000C156A">
              <w:rPr>
                <w:rFonts w:cs="Calibri"/>
                <w:sz w:val="22"/>
                <w:szCs w:val="22"/>
              </w:rPr>
              <w:t xml:space="preserve"> </w:t>
            </w:r>
            <w:r w:rsidRPr="000C156A">
              <w:rPr>
                <w:rFonts w:cs="Calibri"/>
                <w:sz w:val="22"/>
                <w:szCs w:val="22"/>
              </w:rPr>
              <w:t>896.05</w:t>
            </w:r>
          </w:p>
        </w:tc>
        <w:tc>
          <w:tcPr>
            <w:tcW w:w="1434" w:type="dxa"/>
            <w:tcBorders>
              <w:top w:val="nil"/>
              <w:left w:val="single" w:sz="4" w:space="0" w:color="auto"/>
              <w:bottom w:val="nil"/>
              <w:right w:val="single" w:sz="4" w:space="0" w:color="auto"/>
            </w:tcBorders>
            <w:shd w:val="clear" w:color="auto" w:fill="auto"/>
            <w:noWrap/>
            <w:vAlign w:val="bottom"/>
            <w:hideMark/>
          </w:tcPr>
          <w:p w14:paraId="02B78802"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55E95744" w14:textId="499B38D5" w:rsidR="00686EC7" w:rsidRPr="000C156A" w:rsidRDefault="00686EC7" w:rsidP="00141BAA">
            <w:pPr>
              <w:jc w:val="right"/>
              <w:rPr>
                <w:rFonts w:cs="Calibri"/>
                <w:sz w:val="22"/>
                <w:szCs w:val="22"/>
              </w:rPr>
            </w:pPr>
            <w:r w:rsidRPr="000C156A">
              <w:rPr>
                <w:rFonts w:cs="Calibri"/>
                <w:sz w:val="22"/>
                <w:szCs w:val="22"/>
              </w:rPr>
              <w:t>1</w:t>
            </w:r>
            <w:r w:rsidR="003F0401" w:rsidRPr="000C156A">
              <w:rPr>
                <w:rFonts w:cs="Calibri"/>
                <w:sz w:val="22"/>
                <w:szCs w:val="22"/>
              </w:rPr>
              <w:t xml:space="preserve"> </w:t>
            </w:r>
            <w:r w:rsidRPr="000C156A">
              <w:rPr>
                <w:rFonts w:cs="Calibri"/>
                <w:sz w:val="22"/>
                <w:szCs w:val="22"/>
              </w:rPr>
              <w:t>640</w:t>
            </w:r>
            <w:r w:rsidR="003F0401" w:rsidRPr="000C156A">
              <w:rPr>
                <w:rFonts w:cs="Calibri"/>
                <w:sz w:val="22"/>
                <w:szCs w:val="22"/>
              </w:rPr>
              <w:t xml:space="preserve"> </w:t>
            </w:r>
            <w:r w:rsidRPr="000C156A">
              <w:rPr>
                <w:rFonts w:cs="Calibri"/>
                <w:sz w:val="22"/>
                <w:szCs w:val="22"/>
              </w:rPr>
              <w:t>896.05</w:t>
            </w:r>
          </w:p>
        </w:tc>
      </w:tr>
      <w:tr w:rsidR="00686EC7" w:rsidRPr="000C156A" w14:paraId="774B0810"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04A85D6B" w14:textId="3DCBB6AD"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Ikanos</w:t>
            </w:r>
            <w:r w:rsidR="00686EC7" w:rsidRPr="000C156A">
              <w:rPr>
                <w:rFonts w:cs="Calibri" w:hint="eastAsia"/>
                <w:sz w:val="22"/>
                <w:szCs w:val="22"/>
                <w:lang w:val="fr-FR"/>
              </w:rPr>
              <w:t>通信公司，新泽西州</w:t>
            </w:r>
            <w:r w:rsidR="00686EC7" w:rsidRPr="000C156A">
              <w:rPr>
                <w:rFonts w:cs="Calibri"/>
                <w:sz w:val="22"/>
                <w:szCs w:val="22"/>
                <w:lang w:val="fr-FR"/>
              </w:rPr>
              <w:t>Red Bank</w:t>
            </w:r>
          </w:p>
        </w:tc>
        <w:tc>
          <w:tcPr>
            <w:tcW w:w="1720" w:type="dxa"/>
            <w:tcBorders>
              <w:top w:val="nil"/>
              <w:left w:val="single" w:sz="4" w:space="0" w:color="auto"/>
              <w:bottom w:val="nil"/>
              <w:right w:val="single" w:sz="4" w:space="0" w:color="auto"/>
            </w:tcBorders>
            <w:shd w:val="clear" w:color="auto" w:fill="auto"/>
            <w:noWrap/>
            <w:vAlign w:val="bottom"/>
            <w:hideMark/>
          </w:tcPr>
          <w:p w14:paraId="4A148F3D" w14:textId="77777777" w:rsidR="00686EC7" w:rsidRPr="000C156A" w:rsidRDefault="00686EC7" w:rsidP="00141BAA">
            <w:pPr>
              <w:jc w:val="center"/>
              <w:rPr>
                <w:rFonts w:cs="Calibri"/>
                <w:sz w:val="22"/>
                <w:szCs w:val="22"/>
              </w:rPr>
            </w:pPr>
            <w:r w:rsidRPr="000C156A">
              <w:rPr>
                <w:rFonts w:cs="Calibri"/>
                <w:sz w:val="22"/>
                <w:szCs w:val="22"/>
              </w:rPr>
              <w:t>2016</w:t>
            </w:r>
          </w:p>
        </w:tc>
        <w:tc>
          <w:tcPr>
            <w:tcW w:w="1613" w:type="dxa"/>
            <w:tcBorders>
              <w:top w:val="nil"/>
              <w:left w:val="single" w:sz="4" w:space="0" w:color="auto"/>
              <w:bottom w:val="nil"/>
              <w:right w:val="single" w:sz="4" w:space="0" w:color="auto"/>
            </w:tcBorders>
            <w:shd w:val="clear" w:color="auto" w:fill="auto"/>
            <w:noWrap/>
            <w:vAlign w:val="bottom"/>
            <w:hideMark/>
          </w:tcPr>
          <w:p w14:paraId="11C7E7F0" w14:textId="0B062472" w:rsidR="00686EC7" w:rsidRPr="000C156A" w:rsidRDefault="00686EC7" w:rsidP="00141BAA">
            <w:pPr>
              <w:jc w:val="right"/>
              <w:rPr>
                <w:rFonts w:cs="Calibri"/>
                <w:sz w:val="22"/>
                <w:szCs w:val="22"/>
              </w:rPr>
            </w:pPr>
            <w:r w:rsidRPr="000C156A">
              <w:rPr>
                <w:rFonts w:cs="Calibri"/>
                <w:sz w:val="22"/>
                <w:szCs w:val="22"/>
              </w:rPr>
              <w:t>41</w:t>
            </w:r>
            <w:r w:rsidR="003F0401" w:rsidRPr="000C156A">
              <w:rPr>
                <w:rFonts w:cs="Calibri"/>
                <w:sz w:val="22"/>
                <w:szCs w:val="22"/>
              </w:rPr>
              <w:t xml:space="preserve"> </w:t>
            </w:r>
            <w:r w:rsidRPr="000C156A">
              <w:rPr>
                <w:rFonts w:cs="Calibri"/>
                <w:sz w:val="22"/>
                <w:szCs w:val="22"/>
              </w:rPr>
              <w:t>652.20</w:t>
            </w:r>
          </w:p>
        </w:tc>
        <w:tc>
          <w:tcPr>
            <w:tcW w:w="1434" w:type="dxa"/>
            <w:tcBorders>
              <w:top w:val="nil"/>
              <w:left w:val="single" w:sz="4" w:space="0" w:color="auto"/>
              <w:bottom w:val="nil"/>
              <w:right w:val="single" w:sz="4" w:space="0" w:color="auto"/>
            </w:tcBorders>
            <w:shd w:val="clear" w:color="auto" w:fill="auto"/>
            <w:noWrap/>
            <w:vAlign w:val="bottom"/>
            <w:hideMark/>
          </w:tcPr>
          <w:p w14:paraId="3D198E52"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1875B91B" w14:textId="5DDF3C50" w:rsidR="00686EC7" w:rsidRPr="000C156A" w:rsidRDefault="00686EC7" w:rsidP="00141BAA">
            <w:pPr>
              <w:jc w:val="right"/>
              <w:rPr>
                <w:rFonts w:cs="Calibri"/>
                <w:sz w:val="22"/>
                <w:szCs w:val="22"/>
              </w:rPr>
            </w:pPr>
            <w:r w:rsidRPr="000C156A">
              <w:rPr>
                <w:rFonts w:cs="Calibri"/>
                <w:sz w:val="22"/>
                <w:szCs w:val="22"/>
              </w:rPr>
              <w:t>41</w:t>
            </w:r>
            <w:r w:rsidR="003F0401" w:rsidRPr="000C156A">
              <w:rPr>
                <w:rFonts w:cs="Calibri"/>
                <w:sz w:val="22"/>
                <w:szCs w:val="22"/>
              </w:rPr>
              <w:t xml:space="preserve"> </w:t>
            </w:r>
            <w:r w:rsidRPr="000C156A">
              <w:rPr>
                <w:rFonts w:cs="Calibri"/>
                <w:sz w:val="22"/>
                <w:szCs w:val="22"/>
              </w:rPr>
              <w:t>652.20</w:t>
            </w:r>
          </w:p>
        </w:tc>
      </w:tr>
      <w:tr w:rsidR="00686EC7" w:rsidRPr="000C156A" w14:paraId="49350AE4"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1481440D" w14:textId="7C8C7F1A" w:rsidR="00686EC7" w:rsidRPr="000C156A" w:rsidDel="004C220E"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sz w:val="22"/>
                <w:szCs w:val="22"/>
                <w:lang w:val="fr-FR" w:eastAsia="zh-CN"/>
              </w:rPr>
              <w:t>ITXC</w:t>
            </w:r>
            <w:r w:rsidR="00686EC7" w:rsidRPr="000C156A">
              <w:rPr>
                <w:rFonts w:cs="Calibri" w:hint="eastAsia"/>
                <w:sz w:val="22"/>
                <w:szCs w:val="22"/>
                <w:lang w:val="fr-FR" w:eastAsia="zh-CN"/>
              </w:rPr>
              <w:t>公司，普林斯顿</w:t>
            </w:r>
          </w:p>
        </w:tc>
        <w:tc>
          <w:tcPr>
            <w:tcW w:w="1720" w:type="dxa"/>
            <w:tcBorders>
              <w:top w:val="nil"/>
              <w:left w:val="single" w:sz="4" w:space="0" w:color="auto"/>
              <w:bottom w:val="nil"/>
              <w:right w:val="single" w:sz="4" w:space="0" w:color="auto"/>
            </w:tcBorders>
            <w:shd w:val="clear" w:color="auto" w:fill="auto"/>
            <w:noWrap/>
            <w:vAlign w:val="bottom"/>
            <w:hideMark/>
          </w:tcPr>
          <w:p w14:paraId="3E1C727A" w14:textId="77777777" w:rsidR="00686EC7" w:rsidRPr="000C156A" w:rsidRDefault="00686EC7" w:rsidP="00141BAA">
            <w:pPr>
              <w:jc w:val="center"/>
              <w:rPr>
                <w:rFonts w:cs="Calibri"/>
                <w:sz w:val="22"/>
                <w:szCs w:val="22"/>
              </w:rPr>
            </w:pPr>
            <w:r w:rsidRPr="000C156A">
              <w:rPr>
                <w:rFonts w:cs="Calibri"/>
                <w:sz w:val="22"/>
                <w:szCs w:val="22"/>
              </w:rPr>
              <w:t>2004-2007</w:t>
            </w:r>
          </w:p>
        </w:tc>
        <w:tc>
          <w:tcPr>
            <w:tcW w:w="1613" w:type="dxa"/>
            <w:tcBorders>
              <w:top w:val="nil"/>
              <w:left w:val="single" w:sz="4" w:space="0" w:color="auto"/>
              <w:bottom w:val="nil"/>
              <w:right w:val="single" w:sz="4" w:space="0" w:color="auto"/>
            </w:tcBorders>
            <w:shd w:val="clear" w:color="auto" w:fill="auto"/>
            <w:noWrap/>
            <w:vAlign w:val="bottom"/>
            <w:hideMark/>
          </w:tcPr>
          <w:p w14:paraId="64607E4C" w14:textId="0376CF7B" w:rsidR="00686EC7" w:rsidRPr="000C156A" w:rsidRDefault="00686EC7" w:rsidP="00141BAA">
            <w:pPr>
              <w:jc w:val="right"/>
              <w:rPr>
                <w:rFonts w:cs="Calibri"/>
                <w:sz w:val="22"/>
                <w:szCs w:val="22"/>
              </w:rPr>
            </w:pPr>
            <w:r w:rsidRPr="000C156A">
              <w:rPr>
                <w:rFonts w:cs="Calibri"/>
                <w:sz w:val="22"/>
                <w:szCs w:val="22"/>
              </w:rPr>
              <w:t>76</w:t>
            </w:r>
            <w:r w:rsidR="003F0401" w:rsidRPr="000C156A">
              <w:rPr>
                <w:rFonts w:cs="Calibri"/>
                <w:sz w:val="22"/>
                <w:szCs w:val="22"/>
              </w:rPr>
              <w:t xml:space="preserve"> </w:t>
            </w:r>
            <w:r w:rsidRPr="000C156A">
              <w:rPr>
                <w:rFonts w:cs="Calibri"/>
                <w:sz w:val="22"/>
                <w:szCs w:val="22"/>
              </w:rPr>
              <w:t>566.40</w:t>
            </w:r>
          </w:p>
        </w:tc>
        <w:tc>
          <w:tcPr>
            <w:tcW w:w="1434" w:type="dxa"/>
            <w:tcBorders>
              <w:top w:val="nil"/>
              <w:left w:val="single" w:sz="4" w:space="0" w:color="auto"/>
              <w:bottom w:val="nil"/>
              <w:right w:val="single" w:sz="4" w:space="0" w:color="auto"/>
            </w:tcBorders>
            <w:shd w:val="clear" w:color="auto" w:fill="auto"/>
            <w:noWrap/>
            <w:vAlign w:val="bottom"/>
            <w:hideMark/>
          </w:tcPr>
          <w:p w14:paraId="64DA0A7D"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1BD1584C" w14:textId="2004194B" w:rsidR="00686EC7" w:rsidRPr="000C156A" w:rsidRDefault="00686EC7" w:rsidP="00141BAA">
            <w:pPr>
              <w:jc w:val="right"/>
              <w:rPr>
                <w:rFonts w:cs="Calibri"/>
                <w:sz w:val="22"/>
                <w:szCs w:val="22"/>
              </w:rPr>
            </w:pPr>
            <w:r w:rsidRPr="000C156A">
              <w:rPr>
                <w:rFonts w:cs="Calibri"/>
                <w:sz w:val="22"/>
                <w:szCs w:val="22"/>
              </w:rPr>
              <w:t>76</w:t>
            </w:r>
            <w:r w:rsidR="003F0401" w:rsidRPr="000C156A">
              <w:rPr>
                <w:rFonts w:cs="Calibri"/>
                <w:sz w:val="22"/>
                <w:szCs w:val="22"/>
              </w:rPr>
              <w:t xml:space="preserve"> </w:t>
            </w:r>
            <w:r w:rsidRPr="000C156A">
              <w:rPr>
                <w:rFonts w:cs="Calibri"/>
                <w:sz w:val="22"/>
                <w:szCs w:val="22"/>
              </w:rPr>
              <w:t>566.40</w:t>
            </w:r>
          </w:p>
        </w:tc>
      </w:tr>
      <w:tr w:rsidR="00686EC7" w:rsidRPr="000C156A" w14:paraId="602A389D"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12EF97E9" w14:textId="60F2E73A" w:rsidR="00686EC7" w:rsidRPr="000C156A" w:rsidDel="004C220E"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Lightwaves</w:t>
            </w:r>
            <w:r w:rsidR="00686EC7" w:rsidRPr="000C156A">
              <w:rPr>
                <w:rFonts w:cs="Calibri" w:hint="eastAsia"/>
                <w:sz w:val="22"/>
                <w:szCs w:val="22"/>
                <w:lang w:val="fr-FR"/>
              </w:rPr>
              <w:t>公司，奥斯丁</w:t>
            </w:r>
          </w:p>
        </w:tc>
        <w:tc>
          <w:tcPr>
            <w:tcW w:w="1720" w:type="dxa"/>
            <w:tcBorders>
              <w:top w:val="nil"/>
              <w:left w:val="single" w:sz="4" w:space="0" w:color="auto"/>
              <w:bottom w:val="nil"/>
              <w:right w:val="single" w:sz="4" w:space="0" w:color="auto"/>
            </w:tcBorders>
            <w:shd w:val="clear" w:color="auto" w:fill="auto"/>
            <w:noWrap/>
            <w:vAlign w:val="bottom"/>
            <w:hideMark/>
          </w:tcPr>
          <w:p w14:paraId="0CA37946" w14:textId="77777777" w:rsidR="00686EC7" w:rsidRPr="000C156A" w:rsidRDefault="00686EC7" w:rsidP="00141BAA">
            <w:pPr>
              <w:jc w:val="center"/>
              <w:rPr>
                <w:rFonts w:cs="Calibri"/>
                <w:sz w:val="22"/>
                <w:szCs w:val="22"/>
              </w:rPr>
            </w:pPr>
            <w:r w:rsidRPr="000C156A">
              <w:rPr>
                <w:rFonts w:cs="Calibri"/>
                <w:sz w:val="22"/>
                <w:szCs w:val="22"/>
              </w:rPr>
              <w:t>2009</w:t>
            </w:r>
          </w:p>
        </w:tc>
        <w:tc>
          <w:tcPr>
            <w:tcW w:w="1613" w:type="dxa"/>
            <w:tcBorders>
              <w:top w:val="nil"/>
              <w:left w:val="single" w:sz="4" w:space="0" w:color="auto"/>
              <w:bottom w:val="nil"/>
              <w:right w:val="single" w:sz="4" w:space="0" w:color="auto"/>
            </w:tcBorders>
            <w:shd w:val="clear" w:color="auto" w:fill="auto"/>
            <w:noWrap/>
            <w:vAlign w:val="bottom"/>
            <w:hideMark/>
          </w:tcPr>
          <w:p w14:paraId="76702BAC" w14:textId="70522D3E" w:rsidR="00686EC7" w:rsidRPr="000C156A" w:rsidRDefault="00686EC7" w:rsidP="00141BAA">
            <w:pPr>
              <w:jc w:val="right"/>
              <w:rPr>
                <w:rFonts w:cs="Calibri"/>
                <w:sz w:val="22"/>
                <w:szCs w:val="22"/>
              </w:rPr>
            </w:pPr>
            <w:r w:rsidRPr="000C156A">
              <w:rPr>
                <w:rFonts w:cs="Calibri"/>
                <w:sz w:val="22"/>
                <w:szCs w:val="22"/>
              </w:rPr>
              <w:t>20</w:t>
            </w:r>
            <w:r w:rsidR="003F0401" w:rsidRPr="000C156A">
              <w:rPr>
                <w:rFonts w:cs="Calibri"/>
                <w:sz w:val="22"/>
                <w:szCs w:val="22"/>
              </w:rPr>
              <w:t xml:space="preserve"> </w:t>
            </w:r>
            <w:r w:rsidRPr="000C156A">
              <w:rPr>
                <w:rFonts w:cs="Calibri"/>
                <w:sz w:val="22"/>
                <w:szCs w:val="22"/>
              </w:rPr>
              <w:t>876.55</w:t>
            </w:r>
          </w:p>
        </w:tc>
        <w:tc>
          <w:tcPr>
            <w:tcW w:w="1434" w:type="dxa"/>
            <w:tcBorders>
              <w:top w:val="nil"/>
              <w:left w:val="single" w:sz="4" w:space="0" w:color="auto"/>
              <w:bottom w:val="nil"/>
              <w:right w:val="single" w:sz="4" w:space="0" w:color="auto"/>
            </w:tcBorders>
            <w:shd w:val="clear" w:color="auto" w:fill="auto"/>
            <w:noWrap/>
            <w:vAlign w:val="bottom"/>
            <w:hideMark/>
          </w:tcPr>
          <w:p w14:paraId="48485CFF"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1B2471B0" w14:textId="7DCA0E6F" w:rsidR="00686EC7" w:rsidRPr="000C156A" w:rsidRDefault="00686EC7" w:rsidP="00141BAA">
            <w:pPr>
              <w:jc w:val="right"/>
              <w:rPr>
                <w:rFonts w:cs="Calibri"/>
                <w:sz w:val="22"/>
                <w:szCs w:val="22"/>
              </w:rPr>
            </w:pPr>
            <w:r w:rsidRPr="000C156A">
              <w:rPr>
                <w:rFonts w:cs="Calibri"/>
                <w:sz w:val="22"/>
                <w:szCs w:val="22"/>
              </w:rPr>
              <w:t>20</w:t>
            </w:r>
            <w:r w:rsidR="003F0401" w:rsidRPr="000C156A">
              <w:rPr>
                <w:rFonts w:cs="Calibri"/>
                <w:sz w:val="22"/>
                <w:szCs w:val="22"/>
              </w:rPr>
              <w:t xml:space="preserve"> </w:t>
            </w:r>
            <w:r w:rsidRPr="000C156A">
              <w:rPr>
                <w:rFonts w:cs="Calibri"/>
                <w:sz w:val="22"/>
                <w:szCs w:val="22"/>
              </w:rPr>
              <w:t>876.55</w:t>
            </w:r>
          </w:p>
        </w:tc>
      </w:tr>
      <w:tr w:rsidR="00686EC7" w:rsidRPr="000C156A" w14:paraId="648C843A"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4ECACA68" w14:textId="3523303D" w:rsidR="00686EC7" w:rsidRPr="000C156A" w:rsidDel="004C220E"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Nextwave</w:t>
            </w:r>
            <w:r w:rsidR="00686EC7" w:rsidRPr="000C156A">
              <w:rPr>
                <w:rFonts w:cs="Calibri" w:hint="eastAsia"/>
                <w:sz w:val="22"/>
                <w:szCs w:val="22"/>
                <w:lang w:val="fr-FR"/>
              </w:rPr>
              <w:t>无线公司，圣地亚哥</w:t>
            </w:r>
          </w:p>
        </w:tc>
        <w:tc>
          <w:tcPr>
            <w:tcW w:w="1720" w:type="dxa"/>
            <w:tcBorders>
              <w:top w:val="nil"/>
              <w:left w:val="single" w:sz="4" w:space="0" w:color="auto"/>
              <w:bottom w:val="nil"/>
              <w:right w:val="single" w:sz="4" w:space="0" w:color="auto"/>
            </w:tcBorders>
            <w:shd w:val="clear" w:color="auto" w:fill="auto"/>
            <w:noWrap/>
            <w:vAlign w:val="bottom"/>
            <w:hideMark/>
          </w:tcPr>
          <w:p w14:paraId="54C3DCC9" w14:textId="77777777" w:rsidR="00686EC7" w:rsidRPr="000C156A" w:rsidRDefault="00686EC7" w:rsidP="00141BAA">
            <w:pPr>
              <w:jc w:val="center"/>
              <w:rPr>
                <w:rFonts w:cs="Calibri"/>
                <w:sz w:val="22"/>
                <w:szCs w:val="22"/>
              </w:rPr>
            </w:pPr>
            <w:r w:rsidRPr="000C156A">
              <w:rPr>
                <w:rFonts w:cs="Calibri"/>
                <w:sz w:val="22"/>
                <w:szCs w:val="22"/>
              </w:rPr>
              <w:t>2009</w:t>
            </w:r>
          </w:p>
        </w:tc>
        <w:tc>
          <w:tcPr>
            <w:tcW w:w="1613" w:type="dxa"/>
            <w:tcBorders>
              <w:top w:val="nil"/>
              <w:left w:val="single" w:sz="4" w:space="0" w:color="auto"/>
              <w:bottom w:val="nil"/>
              <w:right w:val="single" w:sz="4" w:space="0" w:color="auto"/>
            </w:tcBorders>
            <w:shd w:val="clear" w:color="auto" w:fill="auto"/>
            <w:noWrap/>
            <w:vAlign w:val="bottom"/>
            <w:hideMark/>
          </w:tcPr>
          <w:p w14:paraId="78F9DF29" w14:textId="0489AE97" w:rsidR="00686EC7" w:rsidRPr="000C156A" w:rsidRDefault="00686EC7" w:rsidP="00141BAA">
            <w:pPr>
              <w:jc w:val="right"/>
              <w:rPr>
                <w:rFonts w:cs="Calibri"/>
                <w:sz w:val="22"/>
                <w:szCs w:val="22"/>
              </w:rPr>
            </w:pPr>
            <w:r w:rsidRPr="000C156A">
              <w:rPr>
                <w:rFonts w:cs="Calibri"/>
                <w:sz w:val="22"/>
                <w:szCs w:val="22"/>
              </w:rPr>
              <w:t>35</w:t>
            </w:r>
            <w:r w:rsidR="003F0401" w:rsidRPr="000C156A">
              <w:rPr>
                <w:rFonts w:cs="Calibri"/>
                <w:sz w:val="22"/>
                <w:szCs w:val="22"/>
              </w:rPr>
              <w:t xml:space="preserve"> </w:t>
            </w:r>
            <w:r w:rsidRPr="000C156A">
              <w:rPr>
                <w:rFonts w:cs="Calibri"/>
                <w:sz w:val="22"/>
                <w:szCs w:val="22"/>
              </w:rPr>
              <w:t>213.45</w:t>
            </w:r>
          </w:p>
        </w:tc>
        <w:tc>
          <w:tcPr>
            <w:tcW w:w="1434" w:type="dxa"/>
            <w:tcBorders>
              <w:top w:val="nil"/>
              <w:left w:val="single" w:sz="4" w:space="0" w:color="auto"/>
              <w:bottom w:val="nil"/>
              <w:right w:val="single" w:sz="4" w:space="0" w:color="auto"/>
            </w:tcBorders>
            <w:shd w:val="clear" w:color="auto" w:fill="auto"/>
            <w:noWrap/>
            <w:vAlign w:val="bottom"/>
            <w:hideMark/>
          </w:tcPr>
          <w:p w14:paraId="24F3276D"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1F3C3A12" w14:textId="29853C8D" w:rsidR="00686EC7" w:rsidRPr="000C156A" w:rsidRDefault="00686EC7" w:rsidP="00141BAA">
            <w:pPr>
              <w:jc w:val="right"/>
              <w:rPr>
                <w:rFonts w:cs="Calibri"/>
                <w:sz w:val="22"/>
                <w:szCs w:val="22"/>
              </w:rPr>
            </w:pPr>
            <w:r w:rsidRPr="000C156A">
              <w:rPr>
                <w:rFonts w:cs="Calibri"/>
                <w:sz w:val="22"/>
                <w:szCs w:val="22"/>
              </w:rPr>
              <w:t>35</w:t>
            </w:r>
            <w:r w:rsidR="003F0401" w:rsidRPr="000C156A">
              <w:rPr>
                <w:rFonts w:cs="Calibri"/>
                <w:sz w:val="22"/>
                <w:szCs w:val="22"/>
              </w:rPr>
              <w:t xml:space="preserve"> </w:t>
            </w:r>
            <w:r w:rsidRPr="000C156A">
              <w:rPr>
                <w:rFonts w:cs="Calibri"/>
                <w:sz w:val="22"/>
                <w:szCs w:val="22"/>
              </w:rPr>
              <w:t>213.45</w:t>
            </w:r>
          </w:p>
        </w:tc>
      </w:tr>
      <w:tr w:rsidR="00686EC7" w:rsidRPr="000C156A" w14:paraId="075859D1"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7DB98E0B" w14:textId="41D6AEB2"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NICE InContact</w:t>
            </w:r>
            <w:r w:rsidR="00686EC7" w:rsidRPr="000C156A">
              <w:rPr>
                <w:rFonts w:cs="Calibri" w:hint="eastAsia"/>
                <w:sz w:val="22"/>
                <w:szCs w:val="22"/>
                <w:lang w:val="fr-FR"/>
              </w:rPr>
              <w:t>，犹他州桑迪</w:t>
            </w:r>
          </w:p>
        </w:tc>
        <w:tc>
          <w:tcPr>
            <w:tcW w:w="1720" w:type="dxa"/>
            <w:tcBorders>
              <w:top w:val="nil"/>
              <w:left w:val="single" w:sz="4" w:space="0" w:color="auto"/>
              <w:bottom w:val="nil"/>
              <w:right w:val="single" w:sz="4" w:space="0" w:color="auto"/>
            </w:tcBorders>
            <w:shd w:val="clear" w:color="auto" w:fill="auto"/>
            <w:noWrap/>
            <w:vAlign w:val="bottom"/>
            <w:hideMark/>
          </w:tcPr>
          <w:p w14:paraId="528B2831" w14:textId="77777777" w:rsidR="00686EC7" w:rsidRPr="000C156A" w:rsidRDefault="00686EC7" w:rsidP="00141BAA">
            <w:pPr>
              <w:jc w:val="center"/>
              <w:rPr>
                <w:rFonts w:cs="Calibri"/>
                <w:sz w:val="22"/>
                <w:szCs w:val="22"/>
              </w:rPr>
            </w:pPr>
            <w:r w:rsidRPr="000C156A">
              <w:rPr>
                <w:rFonts w:cs="Calibri"/>
                <w:sz w:val="22"/>
                <w:szCs w:val="22"/>
              </w:rPr>
              <w:t>2019</w:t>
            </w:r>
          </w:p>
        </w:tc>
        <w:tc>
          <w:tcPr>
            <w:tcW w:w="1613" w:type="dxa"/>
            <w:tcBorders>
              <w:top w:val="nil"/>
              <w:left w:val="single" w:sz="4" w:space="0" w:color="auto"/>
              <w:bottom w:val="nil"/>
              <w:right w:val="single" w:sz="4" w:space="0" w:color="auto"/>
            </w:tcBorders>
            <w:shd w:val="clear" w:color="auto" w:fill="auto"/>
            <w:noWrap/>
            <w:vAlign w:val="bottom"/>
            <w:hideMark/>
          </w:tcPr>
          <w:p w14:paraId="3F91C4BB" w14:textId="0F338E2E" w:rsidR="00686EC7" w:rsidRPr="000C156A" w:rsidRDefault="00686EC7" w:rsidP="00141BAA">
            <w:pPr>
              <w:jc w:val="right"/>
              <w:rPr>
                <w:rFonts w:cs="Calibri"/>
                <w:sz w:val="22"/>
                <w:szCs w:val="22"/>
              </w:rPr>
            </w:pPr>
            <w:r w:rsidRPr="000C156A">
              <w:rPr>
                <w:rFonts w:cs="Calibri"/>
                <w:sz w:val="22"/>
                <w:szCs w:val="22"/>
              </w:rPr>
              <w:t>11</w:t>
            </w:r>
            <w:r w:rsidR="003F0401" w:rsidRPr="000C156A">
              <w:rPr>
                <w:rFonts w:cs="Calibri"/>
                <w:sz w:val="22"/>
                <w:szCs w:val="22"/>
              </w:rPr>
              <w:t xml:space="preserve"> </w:t>
            </w:r>
            <w:r w:rsidRPr="000C156A">
              <w:rPr>
                <w:rFonts w:cs="Calibri"/>
                <w:sz w:val="22"/>
                <w:szCs w:val="22"/>
              </w:rPr>
              <w:t>794.40</w:t>
            </w:r>
          </w:p>
        </w:tc>
        <w:tc>
          <w:tcPr>
            <w:tcW w:w="1434" w:type="dxa"/>
            <w:tcBorders>
              <w:top w:val="nil"/>
              <w:left w:val="single" w:sz="4" w:space="0" w:color="auto"/>
              <w:bottom w:val="nil"/>
              <w:right w:val="single" w:sz="4" w:space="0" w:color="auto"/>
            </w:tcBorders>
            <w:shd w:val="clear" w:color="auto" w:fill="auto"/>
            <w:noWrap/>
            <w:vAlign w:val="bottom"/>
            <w:hideMark/>
          </w:tcPr>
          <w:p w14:paraId="5635071C"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4B5E9A75" w14:textId="72D5ADDA" w:rsidR="00686EC7" w:rsidRPr="000C156A" w:rsidRDefault="00686EC7" w:rsidP="00141BAA">
            <w:pPr>
              <w:jc w:val="right"/>
              <w:rPr>
                <w:rFonts w:cs="Calibri"/>
                <w:sz w:val="22"/>
                <w:szCs w:val="22"/>
              </w:rPr>
            </w:pPr>
            <w:r w:rsidRPr="000C156A">
              <w:rPr>
                <w:rFonts w:cs="Calibri"/>
                <w:sz w:val="22"/>
                <w:szCs w:val="22"/>
              </w:rPr>
              <w:t>11</w:t>
            </w:r>
            <w:r w:rsidR="003F0401" w:rsidRPr="000C156A">
              <w:rPr>
                <w:rFonts w:cs="Calibri"/>
                <w:sz w:val="22"/>
                <w:szCs w:val="22"/>
              </w:rPr>
              <w:t xml:space="preserve"> </w:t>
            </w:r>
            <w:r w:rsidRPr="000C156A">
              <w:rPr>
                <w:rFonts w:cs="Calibri"/>
                <w:sz w:val="22"/>
                <w:szCs w:val="22"/>
              </w:rPr>
              <w:t>794.40</w:t>
            </w:r>
          </w:p>
        </w:tc>
      </w:tr>
      <w:tr w:rsidR="00686EC7" w:rsidRPr="000C156A" w14:paraId="329D901E"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637A5C33" w14:textId="53F43E23"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Nortel Networks</w:t>
            </w:r>
            <w:r w:rsidR="00686EC7" w:rsidRPr="000C156A">
              <w:rPr>
                <w:rFonts w:cs="Calibri" w:hint="eastAsia"/>
                <w:sz w:val="22"/>
                <w:szCs w:val="22"/>
                <w:lang w:val="fr-FR"/>
              </w:rPr>
              <w:t>美国</w:t>
            </w:r>
            <w:r w:rsidR="00686EC7" w:rsidRPr="000C156A">
              <w:rPr>
                <w:rFonts w:cs="Calibri"/>
                <w:sz w:val="22"/>
                <w:szCs w:val="22"/>
                <w:lang w:val="fr-FR"/>
              </w:rPr>
              <w:t>Richardson</w:t>
            </w:r>
          </w:p>
        </w:tc>
        <w:tc>
          <w:tcPr>
            <w:tcW w:w="1720" w:type="dxa"/>
            <w:tcBorders>
              <w:top w:val="nil"/>
              <w:left w:val="single" w:sz="4" w:space="0" w:color="auto"/>
              <w:bottom w:val="nil"/>
              <w:right w:val="single" w:sz="4" w:space="0" w:color="auto"/>
            </w:tcBorders>
            <w:shd w:val="clear" w:color="auto" w:fill="auto"/>
            <w:noWrap/>
            <w:vAlign w:val="bottom"/>
            <w:hideMark/>
          </w:tcPr>
          <w:p w14:paraId="682FEFFC" w14:textId="77777777" w:rsidR="00686EC7" w:rsidRPr="000C156A" w:rsidRDefault="00686EC7" w:rsidP="00141BAA">
            <w:pPr>
              <w:jc w:val="center"/>
              <w:rPr>
                <w:rFonts w:cs="Calibri"/>
                <w:sz w:val="22"/>
                <w:szCs w:val="22"/>
              </w:rPr>
            </w:pPr>
            <w:r w:rsidRPr="000C156A">
              <w:rPr>
                <w:rFonts w:cs="Calibri"/>
                <w:sz w:val="22"/>
                <w:szCs w:val="22"/>
              </w:rPr>
              <w:t>2009</w:t>
            </w:r>
          </w:p>
        </w:tc>
        <w:tc>
          <w:tcPr>
            <w:tcW w:w="1613" w:type="dxa"/>
            <w:tcBorders>
              <w:top w:val="nil"/>
              <w:left w:val="single" w:sz="4" w:space="0" w:color="auto"/>
              <w:bottom w:val="nil"/>
              <w:right w:val="single" w:sz="4" w:space="0" w:color="auto"/>
            </w:tcBorders>
            <w:shd w:val="clear" w:color="auto" w:fill="auto"/>
            <w:noWrap/>
            <w:vAlign w:val="bottom"/>
            <w:hideMark/>
          </w:tcPr>
          <w:p w14:paraId="12168020" w14:textId="59C64B14" w:rsidR="00686EC7" w:rsidRPr="000C156A" w:rsidRDefault="00686EC7" w:rsidP="00141BAA">
            <w:pPr>
              <w:jc w:val="right"/>
              <w:rPr>
                <w:rFonts w:cs="Calibri"/>
                <w:sz w:val="22"/>
                <w:szCs w:val="22"/>
              </w:rPr>
            </w:pPr>
            <w:r w:rsidRPr="000C156A">
              <w:rPr>
                <w:rFonts w:cs="Calibri"/>
                <w:sz w:val="22"/>
                <w:szCs w:val="22"/>
              </w:rPr>
              <w:t>29</w:t>
            </w:r>
            <w:r w:rsidR="003F0401" w:rsidRPr="000C156A">
              <w:rPr>
                <w:rFonts w:cs="Calibri"/>
                <w:sz w:val="22"/>
                <w:szCs w:val="22"/>
              </w:rPr>
              <w:t xml:space="preserve"> </w:t>
            </w:r>
            <w:r w:rsidRPr="000C156A">
              <w:rPr>
                <w:rFonts w:cs="Calibri"/>
                <w:sz w:val="22"/>
                <w:szCs w:val="22"/>
              </w:rPr>
              <w:t>812.50</w:t>
            </w:r>
          </w:p>
        </w:tc>
        <w:tc>
          <w:tcPr>
            <w:tcW w:w="1434" w:type="dxa"/>
            <w:tcBorders>
              <w:top w:val="nil"/>
              <w:left w:val="single" w:sz="4" w:space="0" w:color="auto"/>
              <w:bottom w:val="nil"/>
              <w:right w:val="single" w:sz="4" w:space="0" w:color="auto"/>
            </w:tcBorders>
            <w:shd w:val="clear" w:color="auto" w:fill="auto"/>
            <w:noWrap/>
            <w:vAlign w:val="bottom"/>
            <w:hideMark/>
          </w:tcPr>
          <w:p w14:paraId="043DFC7B"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590BBEA4" w14:textId="41E2EA15" w:rsidR="00686EC7" w:rsidRPr="000C156A" w:rsidRDefault="00686EC7" w:rsidP="00141BAA">
            <w:pPr>
              <w:jc w:val="right"/>
              <w:rPr>
                <w:rFonts w:cs="Calibri"/>
                <w:sz w:val="22"/>
                <w:szCs w:val="22"/>
              </w:rPr>
            </w:pPr>
            <w:r w:rsidRPr="000C156A">
              <w:rPr>
                <w:rFonts w:cs="Calibri"/>
                <w:sz w:val="22"/>
                <w:szCs w:val="22"/>
              </w:rPr>
              <w:t>29</w:t>
            </w:r>
            <w:r w:rsidR="003F0401" w:rsidRPr="000C156A">
              <w:rPr>
                <w:rFonts w:cs="Calibri"/>
                <w:sz w:val="22"/>
                <w:szCs w:val="22"/>
              </w:rPr>
              <w:t xml:space="preserve"> </w:t>
            </w:r>
            <w:r w:rsidRPr="000C156A">
              <w:rPr>
                <w:rFonts w:cs="Calibri"/>
                <w:sz w:val="22"/>
                <w:szCs w:val="22"/>
              </w:rPr>
              <w:t>812.50</w:t>
            </w:r>
          </w:p>
        </w:tc>
      </w:tr>
      <w:tr w:rsidR="00686EC7" w:rsidRPr="000C156A" w14:paraId="6B548510"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61AE9002" w14:textId="4CDEDDA9"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nVent Electric</w:t>
            </w:r>
            <w:r w:rsidR="00686EC7" w:rsidRPr="000C156A">
              <w:rPr>
                <w:rFonts w:cs="Calibri" w:hint="eastAsia"/>
                <w:sz w:val="22"/>
                <w:szCs w:val="22"/>
                <w:lang w:val="fr-FR"/>
              </w:rPr>
              <w:t>，</w:t>
            </w:r>
            <w:r w:rsidR="00686EC7" w:rsidRPr="000C156A">
              <w:rPr>
                <w:rFonts w:cs="Calibri"/>
                <w:sz w:val="22"/>
                <w:szCs w:val="22"/>
                <w:lang w:val="fr-FR"/>
              </w:rPr>
              <w:t>Solon OH</w:t>
            </w:r>
          </w:p>
        </w:tc>
        <w:tc>
          <w:tcPr>
            <w:tcW w:w="1720" w:type="dxa"/>
            <w:tcBorders>
              <w:top w:val="nil"/>
              <w:left w:val="single" w:sz="4" w:space="0" w:color="auto"/>
              <w:bottom w:val="nil"/>
              <w:right w:val="single" w:sz="4" w:space="0" w:color="auto"/>
            </w:tcBorders>
            <w:shd w:val="clear" w:color="auto" w:fill="auto"/>
            <w:noWrap/>
            <w:vAlign w:val="bottom"/>
            <w:hideMark/>
          </w:tcPr>
          <w:p w14:paraId="00D79704" w14:textId="77777777" w:rsidR="00686EC7" w:rsidRPr="000C156A" w:rsidRDefault="00686EC7" w:rsidP="00141BAA">
            <w:pPr>
              <w:jc w:val="center"/>
              <w:rPr>
                <w:rFonts w:cs="Calibri"/>
                <w:sz w:val="22"/>
                <w:szCs w:val="22"/>
              </w:rPr>
            </w:pPr>
            <w:r w:rsidRPr="000C156A">
              <w:rPr>
                <w:rFonts w:cs="Calibri"/>
                <w:sz w:val="22"/>
                <w:szCs w:val="22"/>
              </w:rPr>
              <w:t>2018</w:t>
            </w:r>
          </w:p>
        </w:tc>
        <w:tc>
          <w:tcPr>
            <w:tcW w:w="1613" w:type="dxa"/>
            <w:tcBorders>
              <w:top w:val="nil"/>
              <w:left w:val="single" w:sz="4" w:space="0" w:color="auto"/>
              <w:bottom w:val="nil"/>
              <w:right w:val="single" w:sz="4" w:space="0" w:color="auto"/>
            </w:tcBorders>
            <w:shd w:val="clear" w:color="auto" w:fill="auto"/>
            <w:noWrap/>
            <w:vAlign w:val="bottom"/>
            <w:hideMark/>
          </w:tcPr>
          <w:p w14:paraId="69C91259" w14:textId="1992AEAB" w:rsidR="00686EC7" w:rsidRPr="000C156A" w:rsidRDefault="00686EC7" w:rsidP="00141BAA">
            <w:pPr>
              <w:jc w:val="right"/>
              <w:rPr>
                <w:rFonts w:cs="Calibri"/>
                <w:sz w:val="22"/>
                <w:szCs w:val="22"/>
              </w:rPr>
            </w:pPr>
            <w:r w:rsidRPr="000C156A">
              <w:rPr>
                <w:rFonts w:cs="Calibri"/>
                <w:sz w:val="22"/>
                <w:szCs w:val="22"/>
              </w:rPr>
              <w:t>12</w:t>
            </w:r>
            <w:r w:rsidR="003F0401" w:rsidRPr="000C156A">
              <w:rPr>
                <w:rFonts w:cs="Calibri"/>
                <w:sz w:val="22"/>
                <w:szCs w:val="22"/>
              </w:rPr>
              <w:t xml:space="preserve"> </w:t>
            </w:r>
            <w:r w:rsidRPr="000C156A">
              <w:rPr>
                <w:rFonts w:cs="Calibri"/>
                <w:sz w:val="22"/>
                <w:szCs w:val="22"/>
              </w:rPr>
              <w:t>356.80</w:t>
            </w:r>
          </w:p>
        </w:tc>
        <w:tc>
          <w:tcPr>
            <w:tcW w:w="1434" w:type="dxa"/>
            <w:tcBorders>
              <w:top w:val="nil"/>
              <w:left w:val="single" w:sz="4" w:space="0" w:color="auto"/>
              <w:bottom w:val="nil"/>
              <w:right w:val="single" w:sz="4" w:space="0" w:color="auto"/>
            </w:tcBorders>
            <w:shd w:val="clear" w:color="auto" w:fill="auto"/>
            <w:noWrap/>
            <w:vAlign w:val="bottom"/>
            <w:hideMark/>
          </w:tcPr>
          <w:p w14:paraId="61D1CC61"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489A87B2" w14:textId="631BC7F0" w:rsidR="00686EC7" w:rsidRPr="000C156A" w:rsidRDefault="00686EC7" w:rsidP="00141BAA">
            <w:pPr>
              <w:jc w:val="right"/>
              <w:rPr>
                <w:rFonts w:cs="Calibri"/>
                <w:sz w:val="22"/>
                <w:szCs w:val="22"/>
              </w:rPr>
            </w:pPr>
            <w:r w:rsidRPr="000C156A">
              <w:rPr>
                <w:rFonts w:cs="Calibri"/>
                <w:sz w:val="22"/>
                <w:szCs w:val="22"/>
              </w:rPr>
              <w:t>12</w:t>
            </w:r>
            <w:r w:rsidR="003F0401" w:rsidRPr="000C156A">
              <w:rPr>
                <w:rFonts w:cs="Calibri"/>
                <w:sz w:val="22"/>
                <w:szCs w:val="22"/>
              </w:rPr>
              <w:t xml:space="preserve"> </w:t>
            </w:r>
            <w:r w:rsidRPr="000C156A">
              <w:rPr>
                <w:rFonts w:cs="Calibri"/>
                <w:sz w:val="22"/>
                <w:szCs w:val="22"/>
              </w:rPr>
              <w:t>356.80</w:t>
            </w:r>
          </w:p>
        </w:tc>
      </w:tr>
      <w:tr w:rsidR="00686EC7" w:rsidRPr="000C156A" w14:paraId="71DE7434"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2481A901" w14:textId="02206F65"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Ossia</w:t>
            </w:r>
            <w:r w:rsidR="00686EC7" w:rsidRPr="000C156A">
              <w:rPr>
                <w:rFonts w:cs="Calibri" w:hint="eastAsia"/>
                <w:sz w:val="22"/>
                <w:szCs w:val="22"/>
                <w:lang w:val="fr-FR"/>
              </w:rPr>
              <w:t>公司，</w:t>
            </w:r>
            <w:r w:rsidR="00686EC7" w:rsidRPr="000C156A">
              <w:rPr>
                <w:rFonts w:cs="Calibri"/>
                <w:sz w:val="22"/>
                <w:szCs w:val="22"/>
                <w:lang w:val="fr-FR"/>
              </w:rPr>
              <w:t>Bellevue WA</w:t>
            </w:r>
          </w:p>
        </w:tc>
        <w:tc>
          <w:tcPr>
            <w:tcW w:w="1720" w:type="dxa"/>
            <w:tcBorders>
              <w:top w:val="nil"/>
              <w:left w:val="single" w:sz="4" w:space="0" w:color="auto"/>
              <w:bottom w:val="nil"/>
              <w:right w:val="single" w:sz="4" w:space="0" w:color="auto"/>
            </w:tcBorders>
            <w:shd w:val="clear" w:color="auto" w:fill="auto"/>
            <w:noWrap/>
            <w:vAlign w:val="bottom"/>
            <w:hideMark/>
          </w:tcPr>
          <w:p w14:paraId="1D3D5E50" w14:textId="77777777" w:rsidR="00686EC7" w:rsidRPr="000C156A" w:rsidRDefault="00686EC7" w:rsidP="00141BAA">
            <w:pPr>
              <w:jc w:val="center"/>
              <w:rPr>
                <w:rFonts w:cs="Calibri"/>
                <w:sz w:val="22"/>
                <w:szCs w:val="22"/>
              </w:rPr>
            </w:pPr>
            <w:r w:rsidRPr="000C156A">
              <w:rPr>
                <w:rFonts w:cs="Calibri"/>
                <w:sz w:val="22"/>
                <w:szCs w:val="22"/>
              </w:rPr>
              <w:t>2017-2018</w:t>
            </w:r>
          </w:p>
        </w:tc>
        <w:tc>
          <w:tcPr>
            <w:tcW w:w="1613" w:type="dxa"/>
            <w:tcBorders>
              <w:top w:val="nil"/>
              <w:left w:val="single" w:sz="4" w:space="0" w:color="auto"/>
              <w:bottom w:val="nil"/>
              <w:right w:val="single" w:sz="4" w:space="0" w:color="auto"/>
            </w:tcBorders>
            <w:shd w:val="clear" w:color="auto" w:fill="auto"/>
            <w:noWrap/>
            <w:vAlign w:val="bottom"/>
            <w:hideMark/>
          </w:tcPr>
          <w:p w14:paraId="5657D976" w14:textId="435AAA67" w:rsidR="00686EC7" w:rsidRPr="000C156A" w:rsidRDefault="00686EC7" w:rsidP="00141BAA">
            <w:pPr>
              <w:jc w:val="right"/>
              <w:rPr>
                <w:rFonts w:cs="Calibri"/>
                <w:sz w:val="22"/>
                <w:szCs w:val="22"/>
              </w:rPr>
            </w:pPr>
            <w:r w:rsidRPr="000C156A">
              <w:rPr>
                <w:rFonts w:cs="Calibri"/>
                <w:sz w:val="22"/>
                <w:szCs w:val="22"/>
              </w:rPr>
              <w:t>37</w:t>
            </w:r>
            <w:r w:rsidR="003F0401" w:rsidRPr="000C156A">
              <w:rPr>
                <w:rFonts w:cs="Calibri"/>
                <w:sz w:val="22"/>
                <w:szCs w:val="22"/>
              </w:rPr>
              <w:t xml:space="preserve"> </w:t>
            </w:r>
            <w:r w:rsidRPr="000C156A">
              <w:rPr>
                <w:rFonts w:cs="Calibri"/>
                <w:sz w:val="22"/>
                <w:szCs w:val="22"/>
              </w:rPr>
              <w:t>372.90</w:t>
            </w:r>
          </w:p>
        </w:tc>
        <w:tc>
          <w:tcPr>
            <w:tcW w:w="1434" w:type="dxa"/>
            <w:tcBorders>
              <w:top w:val="nil"/>
              <w:left w:val="single" w:sz="4" w:space="0" w:color="auto"/>
              <w:bottom w:val="nil"/>
              <w:right w:val="single" w:sz="4" w:space="0" w:color="auto"/>
            </w:tcBorders>
            <w:shd w:val="clear" w:color="auto" w:fill="auto"/>
            <w:noWrap/>
            <w:vAlign w:val="bottom"/>
            <w:hideMark/>
          </w:tcPr>
          <w:p w14:paraId="033E58C4"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09E002F7" w14:textId="2F2B14DE" w:rsidR="00686EC7" w:rsidRPr="000C156A" w:rsidRDefault="00686EC7" w:rsidP="00141BAA">
            <w:pPr>
              <w:jc w:val="right"/>
              <w:rPr>
                <w:rFonts w:cs="Calibri"/>
                <w:sz w:val="22"/>
                <w:szCs w:val="22"/>
              </w:rPr>
            </w:pPr>
            <w:r w:rsidRPr="000C156A">
              <w:rPr>
                <w:rFonts w:cs="Calibri"/>
                <w:sz w:val="22"/>
                <w:szCs w:val="22"/>
              </w:rPr>
              <w:t>37</w:t>
            </w:r>
            <w:r w:rsidR="003F0401" w:rsidRPr="000C156A">
              <w:rPr>
                <w:rFonts w:cs="Calibri"/>
                <w:sz w:val="22"/>
                <w:szCs w:val="22"/>
              </w:rPr>
              <w:t xml:space="preserve"> </w:t>
            </w:r>
            <w:r w:rsidRPr="000C156A">
              <w:rPr>
                <w:rFonts w:cs="Calibri"/>
                <w:sz w:val="22"/>
                <w:szCs w:val="22"/>
              </w:rPr>
              <w:t>372.90</w:t>
            </w:r>
          </w:p>
        </w:tc>
      </w:tr>
      <w:tr w:rsidR="00686EC7" w:rsidRPr="000C156A" w14:paraId="5F547752" w14:textId="77777777" w:rsidTr="00141BAA">
        <w:trPr>
          <w:trHeight w:val="300"/>
          <w:jc w:val="center"/>
        </w:trPr>
        <w:tc>
          <w:tcPr>
            <w:tcW w:w="3934" w:type="dxa"/>
            <w:tcBorders>
              <w:top w:val="nil"/>
              <w:left w:val="single" w:sz="4" w:space="0" w:color="auto"/>
              <w:bottom w:val="single" w:sz="4" w:space="0" w:color="auto"/>
              <w:right w:val="single" w:sz="4" w:space="0" w:color="auto"/>
            </w:tcBorders>
            <w:shd w:val="clear" w:color="auto" w:fill="auto"/>
            <w:vAlign w:val="bottom"/>
            <w:hideMark/>
          </w:tcPr>
          <w:p w14:paraId="7E1CE1BE" w14:textId="43FF2520"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Range</w:t>
            </w:r>
            <w:r w:rsidR="00686EC7" w:rsidRPr="000C156A">
              <w:rPr>
                <w:rFonts w:cs="Calibri" w:hint="eastAsia"/>
                <w:sz w:val="22"/>
                <w:szCs w:val="22"/>
                <w:lang w:val="fr-FR"/>
              </w:rPr>
              <w:t>网络公司，圣克拉拉</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50D3879" w14:textId="77777777" w:rsidR="00686EC7" w:rsidRPr="000C156A" w:rsidRDefault="00686EC7" w:rsidP="00141BAA">
            <w:pPr>
              <w:jc w:val="center"/>
              <w:rPr>
                <w:rFonts w:cs="Calibri"/>
                <w:sz w:val="22"/>
                <w:szCs w:val="22"/>
              </w:rPr>
            </w:pPr>
            <w:r w:rsidRPr="000C156A">
              <w:rPr>
                <w:rFonts w:cs="Calibri"/>
                <w:sz w:val="22"/>
                <w:szCs w:val="22"/>
              </w:rPr>
              <w:t>2013-2014</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14:paraId="573C5CF0" w14:textId="19F41E96" w:rsidR="00686EC7" w:rsidRPr="000C156A" w:rsidRDefault="00686EC7" w:rsidP="00141BAA">
            <w:pPr>
              <w:jc w:val="right"/>
              <w:rPr>
                <w:rFonts w:cs="Calibri"/>
                <w:sz w:val="22"/>
                <w:szCs w:val="22"/>
              </w:rPr>
            </w:pPr>
            <w:r w:rsidRPr="000C156A">
              <w:rPr>
                <w:rFonts w:cs="Calibri"/>
                <w:sz w:val="22"/>
                <w:szCs w:val="22"/>
              </w:rPr>
              <w:t>15</w:t>
            </w:r>
            <w:r w:rsidR="003F0401" w:rsidRPr="000C156A">
              <w:rPr>
                <w:rFonts w:cs="Calibri"/>
                <w:sz w:val="22"/>
                <w:szCs w:val="22"/>
              </w:rPr>
              <w:t xml:space="preserve"> </w:t>
            </w:r>
            <w:r w:rsidRPr="000C156A">
              <w:rPr>
                <w:rFonts w:cs="Calibri"/>
                <w:sz w:val="22"/>
                <w:szCs w:val="22"/>
              </w:rPr>
              <w:t>646.60</w:t>
            </w:r>
          </w:p>
        </w:tc>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41C63B01"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14:paraId="6CD26AB4" w14:textId="297E6059" w:rsidR="00686EC7" w:rsidRPr="000C156A" w:rsidRDefault="00686EC7" w:rsidP="00141BAA">
            <w:pPr>
              <w:jc w:val="right"/>
              <w:rPr>
                <w:rFonts w:cs="Calibri"/>
                <w:sz w:val="22"/>
                <w:szCs w:val="22"/>
              </w:rPr>
            </w:pPr>
            <w:r w:rsidRPr="000C156A">
              <w:rPr>
                <w:rFonts w:cs="Calibri"/>
                <w:sz w:val="22"/>
                <w:szCs w:val="22"/>
              </w:rPr>
              <w:t>15</w:t>
            </w:r>
            <w:r w:rsidR="003F0401" w:rsidRPr="000C156A">
              <w:rPr>
                <w:rFonts w:cs="Calibri"/>
                <w:sz w:val="22"/>
                <w:szCs w:val="22"/>
              </w:rPr>
              <w:t xml:space="preserve"> </w:t>
            </w:r>
            <w:r w:rsidRPr="000C156A">
              <w:rPr>
                <w:rFonts w:cs="Calibri"/>
                <w:sz w:val="22"/>
                <w:szCs w:val="22"/>
              </w:rPr>
              <w:t>646.60</w:t>
            </w:r>
          </w:p>
        </w:tc>
      </w:tr>
    </w:tbl>
    <w:p w14:paraId="46726F69" w14:textId="77777777" w:rsidR="00686EC7" w:rsidRPr="000C156A" w:rsidRDefault="00686EC7" w:rsidP="00686EC7">
      <w:r w:rsidRPr="000C156A">
        <w:rPr>
          <w:b/>
        </w:rPr>
        <w:br w:type="page"/>
      </w:r>
    </w:p>
    <w:tbl>
      <w:tblPr>
        <w:tblW w:w="10314" w:type="dxa"/>
        <w:jc w:val="center"/>
        <w:tblLook w:val="04A0" w:firstRow="1" w:lastRow="0" w:firstColumn="1" w:lastColumn="0" w:noHBand="0" w:noVBand="1"/>
      </w:tblPr>
      <w:tblGrid>
        <w:gridCol w:w="4106"/>
        <w:gridCol w:w="1548"/>
        <w:gridCol w:w="1613"/>
        <w:gridCol w:w="1434"/>
        <w:gridCol w:w="1613"/>
      </w:tblGrid>
      <w:tr w:rsidR="00686EC7" w:rsidRPr="000C156A" w14:paraId="21B11871" w14:textId="77777777" w:rsidTr="00141BAA">
        <w:trPr>
          <w:trHeight w:val="300"/>
          <w:jc w:val="center"/>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tcPr>
          <w:p w14:paraId="2F28FB31" w14:textId="77777777" w:rsidR="00686EC7" w:rsidRPr="000C156A" w:rsidRDefault="00686EC7" w:rsidP="00141BAA">
            <w:pPr>
              <w:pStyle w:val="Tablehead"/>
              <w:jc w:val="left"/>
              <w:rPr>
                <w:szCs w:val="22"/>
                <w:lang w:eastAsia="zh-CN"/>
              </w:rPr>
            </w:pPr>
            <w:r w:rsidRPr="000C156A">
              <w:rPr>
                <w:szCs w:val="22"/>
                <w:lang w:eastAsia="zh-CN"/>
              </w:rPr>
              <w:lastRenderedPageBreak/>
              <w:t>B.</w:t>
            </w:r>
            <w:r w:rsidRPr="000C156A">
              <w:rPr>
                <w:rFonts w:hint="eastAsia"/>
                <w:szCs w:val="22"/>
                <w:lang w:eastAsia="zh-CN"/>
              </w:rPr>
              <w:t>部门成员及其他实体</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95DCB" w14:textId="77777777" w:rsidR="00686EC7" w:rsidRPr="000C156A" w:rsidRDefault="00686EC7" w:rsidP="00141BAA">
            <w:pPr>
              <w:pStyle w:val="Tablehead"/>
              <w:rPr>
                <w:szCs w:val="22"/>
                <w:lang w:eastAsia="zh-CN"/>
              </w:rPr>
            </w:pPr>
            <w:r w:rsidRPr="000C156A">
              <w:rPr>
                <w:rFonts w:hint="eastAsia"/>
                <w:szCs w:val="22"/>
              </w:rPr>
              <w:t>年份</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00A29" w14:textId="77777777" w:rsidR="00686EC7" w:rsidRPr="000C156A" w:rsidRDefault="00686EC7" w:rsidP="00141BAA">
            <w:pPr>
              <w:pStyle w:val="Tablehead"/>
              <w:rPr>
                <w:szCs w:val="22"/>
                <w:lang w:eastAsia="zh-CN"/>
              </w:rPr>
            </w:pPr>
            <w:r w:rsidRPr="000C156A">
              <w:rPr>
                <w:rFonts w:hint="eastAsia"/>
                <w:szCs w:val="22"/>
              </w:rPr>
              <w:t>会费</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2C9CC" w14:textId="77777777" w:rsidR="00686EC7" w:rsidRPr="000C156A" w:rsidRDefault="00686EC7" w:rsidP="00141BAA">
            <w:pPr>
              <w:pStyle w:val="Tablehead"/>
              <w:rPr>
                <w:szCs w:val="22"/>
                <w:lang w:eastAsia="zh-CN"/>
              </w:rPr>
            </w:pPr>
            <w:r w:rsidRPr="000C156A">
              <w:rPr>
                <w:rFonts w:hint="eastAsia"/>
                <w:szCs w:val="22"/>
              </w:rPr>
              <w:t>出版物</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4572D" w14:textId="77777777" w:rsidR="00686EC7" w:rsidRPr="000C156A" w:rsidRDefault="00686EC7" w:rsidP="00141BAA">
            <w:pPr>
              <w:pStyle w:val="Tablehead"/>
              <w:rPr>
                <w:szCs w:val="22"/>
                <w:lang w:eastAsia="zh-CN"/>
              </w:rPr>
            </w:pPr>
            <w:r w:rsidRPr="000C156A">
              <w:rPr>
                <w:rFonts w:hint="eastAsia"/>
                <w:szCs w:val="22"/>
              </w:rPr>
              <w:t>合计</w:t>
            </w:r>
          </w:p>
        </w:tc>
      </w:tr>
      <w:tr w:rsidR="00686EC7" w:rsidRPr="000C156A" w14:paraId="11FE7AB0" w14:textId="77777777" w:rsidTr="00141BAA">
        <w:trPr>
          <w:trHeight w:val="300"/>
          <w:jc w:val="center"/>
        </w:trPr>
        <w:tc>
          <w:tcPr>
            <w:tcW w:w="4106" w:type="dxa"/>
            <w:tcBorders>
              <w:top w:val="single" w:sz="4" w:space="0" w:color="auto"/>
              <w:left w:val="single" w:sz="4" w:space="0" w:color="auto"/>
              <w:bottom w:val="nil"/>
              <w:right w:val="single" w:sz="4" w:space="0" w:color="auto"/>
            </w:tcBorders>
            <w:shd w:val="clear" w:color="auto" w:fill="auto"/>
            <w:vAlign w:val="bottom"/>
          </w:tcPr>
          <w:p w14:paraId="22035848" w14:textId="77777777" w:rsidR="00686EC7" w:rsidRPr="000C156A" w:rsidRDefault="00686EC7" w:rsidP="00141BAA">
            <w:pPr>
              <w:spacing w:before="0"/>
              <w:rPr>
                <w:b/>
                <w:bCs/>
                <w:sz w:val="22"/>
                <w:szCs w:val="22"/>
              </w:rPr>
            </w:pPr>
            <w:r w:rsidRPr="000C156A">
              <w:rPr>
                <w:rFonts w:hint="eastAsia"/>
                <w:b/>
                <w:bCs/>
                <w:sz w:val="22"/>
                <w:szCs w:val="22"/>
              </w:rPr>
              <w:t>美国</w:t>
            </w:r>
          </w:p>
        </w:tc>
        <w:tc>
          <w:tcPr>
            <w:tcW w:w="1548" w:type="dxa"/>
            <w:tcBorders>
              <w:top w:val="single" w:sz="4" w:space="0" w:color="auto"/>
              <w:left w:val="single" w:sz="4" w:space="0" w:color="auto"/>
              <w:bottom w:val="nil"/>
              <w:right w:val="single" w:sz="4" w:space="0" w:color="auto"/>
            </w:tcBorders>
            <w:shd w:val="clear" w:color="auto" w:fill="auto"/>
            <w:noWrap/>
            <w:vAlign w:val="bottom"/>
          </w:tcPr>
          <w:p w14:paraId="755E8297" w14:textId="77777777" w:rsidR="00686EC7" w:rsidRPr="000C156A" w:rsidRDefault="00686EC7" w:rsidP="00141BAA">
            <w:pPr>
              <w:jc w:val="center"/>
              <w:rPr>
                <w:rFonts w:cs="Calibri"/>
                <w:sz w:val="22"/>
                <w:szCs w:val="22"/>
              </w:rPr>
            </w:pPr>
          </w:p>
        </w:tc>
        <w:tc>
          <w:tcPr>
            <w:tcW w:w="1613" w:type="dxa"/>
            <w:tcBorders>
              <w:top w:val="single" w:sz="4" w:space="0" w:color="auto"/>
              <w:left w:val="single" w:sz="4" w:space="0" w:color="auto"/>
              <w:bottom w:val="nil"/>
              <w:right w:val="single" w:sz="4" w:space="0" w:color="auto"/>
            </w:tcBorders>
            <w:shd w:val="clear" w:color="auto" w:fill="auto"/>
            <w:noWrap/>
            <w:vAlign w:val="bottom"/>
          </w:tcPr>
          <w:p w14:paraId="45C4E326" w14:textId="77777777" w:rsidR="00686EC7" w:rsidRPr="000C156A" w:rsidRDefault="00686EC7" w:rsidP="00141BAA">
            <w:pPr>
              <w:jc w:val="right"/>
              <w:rPr>
                <w:rFonts w:cs="Calibri"/>
                <w:sz w:val="22"/>
                <w:szCs w:val="22"/>
              </w:rPr>
            </w:pPr>
          </w:p>
        </w:tc>
        <w:tc>
          <w:tcPr>
            <w:tcW w:w="1434" w:type="dxa"/>
            <w:tcBorders>
              <w:top w:val="single" w:sz="4" w:space="0" w:color="auto"/>
              <w:left w:val="single" w:sz="4" w:space="0" w:color="auto"/>
              <w:bottom w:val="nil"/>
              <w:right w:val="single" w:sz="4" w:space="0" w:color="auto"/>
            </w:tcBorders>
            <w:shd w:val="clear" w:color="auto" w:fill="auto"/>
            <w:noWrap/>
            <w:vAlign w:val="bottom"/>
          </w:tcPr>
          <w:p w14:paraId="2D4B123B" w14:textId="77777777" w:rsidR="00686EC7" w:rsidRPr="000C156A" w:rsidRDefault="00686EC7" w:rsidP="00141BAA">
            <w:pPr>
              <w:jc w:val="right"/>
              <w:rPr>
                <w:rFonts w:cs="Calibri"/>
                <w:sz w:val="22"/>
                <w:szCs w:val="22"/>
              </w:rPr>
            </w:pPr>
          </w:p>
        </w:tc>
        <w:tc>
          <w:tcPr>
            <w:tcW w:w="1613" w:type="dxa"/>
            <w:tcBorders>
              <w:top w:val="single" w:sz="4" w:space="0" w:color="auto"/>
              <w:left w:val="single" w:sz="4" w:space="0" w:color="auto"/>
              <w:bottom w:val="nil"/>
              <w:right w:val="single" w:sz="4" w:space="0" w:color="auto"/>
            </w:tcBorders>
            <w:shd w:val="clear" w:color="auto" w:fill="auto"/>
            <w:noWrap/>
            <w:vAlign w:val="bottom"/>
          </w:tcPr>
          <w:p w14:paraId="34072AB7" w14:textId="77777777" w:rsidR="00686EC7" w:rsidRPr="000C156A" w:rsidRDefault="00686EC7" w:rsidP="00141BAA">
            <w:pPr>
              <w:jc w:val="right"/>
              <w:rPr>
                <w:rFonts w:cs="Calibri"/>
                <w:sz w:val="22"/>
                <w:szCs w:val="22"/>
              </w:rPr>
            </w:pPr>
          </w:p>
        </w:tc>
      </w:tr>
      <w:tr w:rsidR="00686EC7" w:rsidRPr="000C156A" w14:paraId="664A5C24" w14:textId="77777777" w:rsidTr="00141BAA">
        <w:trPr>
          <w:trHeight w:val="300"/>
          <w:jc w:val="center"/>
        </w:trPr>
        <w:tc>
          <w:tcPr>
            <w:tcW w:w="4106" w:type="dxa"/>
            <w:tcBorders>
              <w:left w:val="single" w:sz="4" w:space="0" w:color="auto"/>
              <w:bottom w:val="nil"/>
              <w:right w:val="single" w:sz="4" w:space="0" w:color="auto"/>
            </w:tcBorders>
            <w:shd w:val="clear" w:color="auto" w:fill="auto"/>
            <w:vAlign w:val="bottom"/>
            <w:hideMark/>
          </w:tcPr>
          <w:p w14:paraId="6AB55AFF" w14:textId="3126DC9B"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Razoom</w:t>
            </w:r>
            <w:r w:rsidR="00686EC7" w:rsidRPr="000C156A">
              <w:rPr>
                <w:rFonts w:cs="Calibri" w:hint="eastAsia"/>
                <w:sz w:val="22"/>
                <w:szCs w:val="22"/>
                <w:lang w:val="fr-FR"/>
              </w:rPr>
              <w:t>公司，帕洛阿尔托</w:t>
            </w:r>
          </w:p>
        </w:tc>
        <w:tc>
          <w:tcPr>
            <w:tcW w:w="1548" w:type="dxa"/>
            <w:tcBorders>
              <w:left w:val="single" w:sz="4" w:space="0" w:color="auto"/>
              <w:bottom w:val="nil"/>
              <w:right w:val="single" w:sz="4" w:space="0" w:color="auto"/>
            </w:tcBorders>
            <w:shd w:val="clear" w:color="auto" w:fill="auto"/>
            <w:noWrap/>
            <w:vAlign w:val="bottom"/>
            <w:hideMark/>
          </w:tcPr>
          <w:p w14:paraId="4A70D728" w14:textId="77777777" w:rsidR="00686EC7" w:rsidRPr="000C156A" w:rsidRDefault="00686EC7" w:rsidP="00141BAA">
            <w:pPr>
              <w:jc w:val="center"/>
              <w:rPr>
                <w:rFonts w:cs="Calibri"/>
                <w:sz w:val="22"/>
                <w:szCs w:val="22"/>
              </w:rPr>
            </w:pPr>
            <w:r w:rsidRPr="000C156A">
              <w:rPr>
                <w:rFonts w:cs="Calibri"/>
                <w:sz w:val="22"/>
                <w:szCs w:val="22"/>
              </w:rPr>
              <w:t>2010</w:t>
            </w:r>
          </w:p>
        </w:tc>
        <w:tc>
          <w:tcPr>
            <w:tcW w:w="1613" w:type="dxa"/>
            <w:tcBorders>
              <w:left w:val="single" w:sz="4" w:space="0" w:color="auto"/>
              <w:bottom w:val="nil"/>
              <w:right w:val="single" w:sz="4" w:space="0" w:color="auto"/>
            </w:tcBorders>
            <w:shd w:val="clear" w:color="auto" w:fill="auto"/>
            <w:noWrap/>
            <w:vAlign w:val="bottom"/>
            <w:hideMark/>
          </w:tcPr>
          <w:p w14:paraId="65FAF04C" w14:textId="11B956AA" w:rsidR="00686EC7" w:rsidRPr="000C156A" w:rsidRDefault="00686EC7" w:rsidP="00141BAA">
            <w:pPr>
              <w:jc w:val="right"/>
              <w:rPr>
                <w:rFonts w:cs="Calibri"/>
                <w:sz w:val="22"/>
                <w:szCs w:val="22"/>
              </w:rPr>
            </w:pPr>
            <w:r w:rsidRPr="000C156A">
              <w:rPr>
                <w:rFonts w:cs="Calibri"/>
                <w:sz w:val="22"/>
                <w:szCs w:val="22"/>
              </w:rPr>
              <w:t>19</w:t>
            </w:r>
            <w:r w:rsidR="003F0401" w:rsidRPr="000C156A">
              <w:rPr>
                <w:rFonts w:cs="Calibri"/>
                <w:sz w:val="22"/>
                <w:szCs w:val="22"/>
              </w:rPr>
              <w:t xml:space="preserve"> </w:t>
            </w:r>
            <w:r w:rsidRPr="000C156A">
              <w:rPr>
                <w:rFonts w:cs="Calibri"/>
                <w:sz w:val="22"/>
                <w:szCs w:val="22"/>
              </w:rPr>
              <w:t>694.85</w:t>
            </w:r>
          </w:p>
        </w:tc>
        <w:tc>
          <w:tcPr>
            <w:tcW w:w="1434" w:type="dxa"/>
            <w:tcBorders>
              <w:left w:val="single" w:sz="4" w:space="0" w:color="auto"/>
              <w:bottom w:val="nil"/>
              <w:right w:val="single" w:sz="4" w:space="0" w:color="auto"/>
            </w:tcBorders>
            <w:shd w:val="clear" w:color="auto" w:fill="auto"/>
            <w:noWrap/>
            <w:vAlign w:val="bottom"/>
            <w:hideMark/>
          </w:tcPr>
          <w:p w14:paraId="66E17A7C"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left w:val="single" w:sz="4" w:space="0" w:color="auto"/>
              <w:bottom w:val="nil"/>
              <w:right w:val="single" w:sz="4" w:space="0" w:color="auto"/>
            </w:tcBorders>
            <w:shd w:val="clear" w:color="auto" w:fill="auto"/>
            <w:noWrap/>
            <w:vAlign w:val="bottom"/>
            <w:hideMark/>
          </w:tcPr>
          <w:p w14:paraId="7324CFF2" w14:textId="3F3C3D0B" w:rsidR="00686EC7" w:rsidRPr="000C156A" w:rsidRDefault="00686EC7" w:rsidP="00141BAA">
            <w:pPr>
              <w:jc w:val="right"/>
              <w:rPr>
                <w:rFonts w:cs="Calibri"/>
                <w:sz w:val="22"/>
                <w:szCs w:val="22"/>
              </w:rPr>
            </w:pPr>
            <w:r w:rsidRPr="000C156A">
              <w:rPr>
                <w:rFonts w:cs="Calibri"/>
                <w:sz w:val="22"/>
                <w:szCs w:val="22"/>
              </w:rPr>
              <w:t>19</w:t>
            </w:r>
            <w:r w:rsidR="003F0401" w:rsidRPr="000C156A">
              <w:rPr>
                <w:rFonts w:cs="Calibri"/>
                <w:sz w:val="22"/>
                <w:szCs w:val="22"/>
              </w:rPr>
              <w:t xml:space="preserve"> </w:t>
            </w:r>
            <w:r w:rsidRPr="000C156A">
              <w:rPr>
                <w:rFonts w:cs="Calibri"/>
                <w:sz w:val="22"/>
                <w:szCs w:val="22"/>
              </w:rPr>
              <w:t>694.85</w:t>
            </w:r>
          </w:p>
        </w:tc>
      </w:tr>
      <w:tr w:rsidR="00686EC7" w:rsidRPr="000C156A" w14:paraId="2B218DC7"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4DBDBA34" w14:textId="61461807"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Space Systems Loral</w:t>
            </w:r>
            <w:r w:rsidR="00686EC7" w:rsidRPr="000C156A">
              <w:rPr>
                <w:rFonts w:cs="Calibri" w:hint="eastAsia"/>
                <w:sz w:val="22"/>
                <w:szCs w:val="22"/>
                <w:lang w:val="fr-FR"/>
              </w:rPr>
              <w:t>，帕洛阿尔托</w:t>
            </w:r>
          </w:p>
        </w:tc>
        <w:tc>
          <w:tcPr>
            <w:tcW w:w="1548" w:type="dxa"/>
            <w:tcBorders>
              <w:top w:val="nil"/>
              <w:left w:val="single" w:sz="4" w:space="0" w:color="auto"/>
              <w:bottom w:val="nil"/>
              <w:right w:val="single" w:sz="4" w:space="0" w:color="auto"/>
            </w:tcBorders>
            <w:shd w:val="clear" w:color="auto" w:fill="auto"/>
            <w:noWrap/>
            <w:vAlign w:val="bottom"/>
            <w:hideMark/>
          </w:tcPr>
          <w:p w14:paraId="029D30AA" w14:textId="77777777" w:rsidR="00686EC7" w:rsidRPr="000C156A" w:rsidRDefault="00686EC7" w:rsidP="00141BAA">
            <w:pPr>
              <w:jc w:val="center"/>
              <w:rPr>
                <w:rFonts w:cs="Calibri"/>
                <w:sz w:val="22"/>
                <w:szCs w:val="22"/>
              </w:rPr>
            </w:pPr>
            <w:r w:rsidRPr="000C156A">
              <w:rPr>
                <w:rFonts w:cs="Calibri"/>
                <w:sz w:val="22"/>
                <w:szCs w:val="22"/>
              </w:rPr>
              <w:t>2019</w:t>
            </w:r>
          </w:p>
        </w:tc>
        <w:tc>
          <w:tcPr>
            <w:tcW w:w="1613" w:type="dxa"/>
            <w:tcBorders>
              <w:top w:val="nil"/>
              <w:left w:val="single" w:sz="4" w:space="0" w:color="auto"/>
              <w:bottom w:val="nil"/>
              <w:right w:val="single" w:sz="4" w:space="0" w:color="auto"/>
            </w:tcBorders>
            <w:shd w:val="clear" w:color="auto" w:fill="auto"/>
            <w:noWrap/>
            <w:vAlign w:val="bottom"/>
            <w:hideMark/>
          </w:tcPr>
          <w:p w14:paraId="6360A014" w14:textId="193CE79E" w:rsidR="00686EC7" w:rsidRPr="000C156A" w:rsidRDefault="00686EC7" w:rsidP="00141BAA">
            <w:pPr>
              <w:jc w:val="right"/>
              <w:rPr>
                <w:rFonts w:cs="Calibri"/>
                <w:sz w:val="22"/>
                <w:szCs w:val="22"/>
              </w:rPr>
            </w:pPr>
            <w:r w:rsidRPr="000C156A">
              <w:rPr>
                <w:rFonts w:cs="Calibri"/>
                <w:sz w:val="22"/>
                <w:szCs w:val="22"/>
              </w:rPr>
              <w:t>11</w:t>
            </w:r>
            <w:r w:rsidR="003F0401" w:rsidRPr="000C156A">
              <w:rPr>
                <w:rFonts w:cs="Calibri"/>
                <w:sz w:val="22"/>
                <w:szCs w:val="22"/>
              </w:rPr>
              <w:t xml:space="preserve"> </w:t>
            </w:r>
            <w:r w:rsidRPr="000C156A">
              <w:rPr>
                <w:rFonts w:cs="Calibri"/>
                <w:sz w:val="22"/>
                <w:szCs w:val="22"/>
              </w:rPr>
              <w:t>657.35</w:t>
            </w:r>
          </w:p>
        </w:tc>
        <w:tc>
          <w:tcPr>
            <w:tcW w:w="1434" w:type="dxa"/>
            <w:tcBorders>
              <w:top w:val="nil"/>
              <w:left w:val="single" w:sz="4" w:space="0" w:color="auto"/>
              <w:bottom w:val="nil"/>
              <w:right w:val="single" w:sz="4" w:space="0" w:color="auto"/>
            </w:tcBorders>
            <w:shd w:val="clear" w:color="auto" w:fill="auto"/>
            <w:noWrap/>
            <w:vAlign w:val="bottom"/>
            <w:hideMark/>
          </w:tcPr>
          <w:p w14:paraId="0CEA138F"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0AFD1BD6" w14:textId="128B1E0A" w:rsidR="00686EC7" w:rsidRPr="000C156A" w:rsidRDefault="00686EC7" w:rsidP="00141BAA">
            <w:pPr>
              <w:jc w:val="right"/>
              <w:rPr>
                <w:rFonts w:cs="Calibri"/>
                <w:sz w:val="22"/>
                <w:szCs w:val="22"/>
              </w:rPr>
            </w:pPr>
            <w:r w:rsidRPr="000C156A">
              <w:rPr>
                <w:rFonts w:cs="Calibri"/>
                <w:sz w:val="22"/>
                <w:szCs w:val="22"/>
              </w:rPr>
              <w:t>11</w:t>
            </w:r>
            <w:r w:rsidR="003F0401" w:rsidRPr="000C156A">
              <w:rPr>
                <w:rFonts w:cs="Calibri"/>
                <w:sz w:val="22"/>
                <w:szCs w:val="22"/>
              </w:rPr>
              <w:t xml:space="preserve"> </w:t>
            </w:r>
            <w:r w:rsidRPr="000C156A">
              <w:rPr>
                <w:rFonts w:cs="Calibri"/>
                <w:sz w:val="22"/>
                <w:szCs w:val="22"/>
              </w:rPr>
              <w:t>657.35</w:t>
            </w:r>
          </w:p>
        </w:tc>
      </w:tr>
      <w:tr w:rsidR="00686EC7" w:rsidRPr="000C156A" w14:paraId="72A7746E"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4148C523" w14:textId="6861A45C"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Tektronix</w:t>
            </w:r>
            <w:r w:rsidR="00686EC7" w:rsidRPr="000C156A">
              <w:rPr>
                <w:rFonts w:cs="Calibri" w:hint="eastAsia"/>
                <w:sz w:val="22"/>
                <w:szCs w:val="22"/>
                <w:lang w:val="fr-FR"/>
              </w:rPr>
              <w:t>公司，</w:t>
            </w:r>
            <w:r w:rsidR="00686EC7" w:rsidRPr="000C156A">
              <w:rPr>
                <w:rFonts w:cs="Calibri"/>
                <w:sz w:val="22"/>
                <w:szCs w:val="22"/>
                <w:lang w:val="fr-FR"/>
              </w:rPr>
              <w:t>Beaverton</w:t>
            </w:r>
          </w:p>
        </w:tc>
        <w:tc>
          <w:tcPr>
            <w:tcW w:w="1548" w:type="dxa"/>
            <w:tcBorders>
              <w:top w:val="nil"/>
              <w:left w:val="single" w:sz="4" w:space="0" w:color="auto"/>
              <w:bottom w:val="nil"/>
              <w:right w:val="single" w:sz="4" w:space="0" w:color="auto"/>
            </w:tcBorders>
            <w:shd w:val="clear" w:color="auto" w:fill="auto"/>
            <w:noWrap/>
            <w:vAlign w:val="bottom"/>
            <w:hideMark/>
          </w:tcPr>
          <w:p w14:paraId="1FBFB23F" w14:textId="77777777" w:rsidR="00686EC7" w:rsidRPr="000C156A" w:rsidRDefault="00686EC7" w:rsidP="00141BAA">
            <w:pPr>
              <w:jc w:val="center"/>
              <w:rPr>
                <w:rFonts w:cs="Calibri"/>
                <w:sz w:val="22"/>
                <w:szCs w:val="22"/>
              </w:rPr>
            </w:pPr>
            <w:r w:rsidRPr="000C156A">
              <w:rPr>
                <w:rFonts w:cs="Calibri"/>
                <w:sz w:val="22"/>
                <w:szCs w:val="22"/>
              </w:rPr>
              <w:t>2017-2019</w:t>
            </w:r>
          </w:p>
        </w:tc>
        <w:tc>
          <w:tcPr>
            <w:tcW w:w="1613" w:type="dxa"/>
            <w:tcBorders>
              <w:top w:val="nil"/>
              <w:left w:val="single" w:sz="4" w:space="0" w:color="auto"/>
              <w:bottom w:val="nil"/>
              <w:right w:val="single" w:sz="4" w:space="0" w:color="auto"/>
            </w:tcBorders>
            <w:shd w:val="clear" w:color="auto" w:fill="auto"/>
            <w:noWrap/>
            <w:vAlign w:val="bottom"/>
            <w:hideMark/>
          </w:tcPr>
          <w:p w14:paraId="1825EF42" w14:textId="5E3669B3" w:rsidR="00686EC7" w:rsidRPr="000C156A" w:rsidRDefault="00686EC7" w:rsidP="00141BAA">
            <w:pPr>
              <w:jc w:val="right"/>
              <w:rPr>
                <w:rFonts w:cs="Calibri"/>
                <w:sz w:val="22"/>
                <w:szCs w:val="22"/>
              </w:rPr>
            </w:pPr>
            <w:r w:rsidRPr="000C156A">
              <w:rPr>
                <w:rFonts w:cs="Calibri"/>
                <w:sz w:val="22"/>
                <w:szCs w:val="22"/>
              </w:rPr>
              <w:t>12</w:t>
            </w:r>
            <w:r w:rsidR="003F0401" w:rsidRPr="000C156A">
              <w:rPr>
                <w:rFonts w:cs="Calibri"/>
                <w:sz w:val="22"/>
                <w:szCs w:val="22"/>
              </w:rPr>
              <w:t xml:space="preserve"> </w:t>
            </w:r>
            <w:r w:rsidRPr="000C156A">
              <w:rPr>
                <w:rFonts w:cs="Calibri"/>
                <w:sz w:val="22"/>
                <w:szCs w:val="22"/>
              </w:rPr>
              <w:t>280.95</w:t>
            </w:r>
          </w:p>
        </w:tc>
        <w:tc>
          <w:tcPr>
            <w:tcW w:w="1434" w:type="dxa"/>
            <w:tcBorders>
              <w:top w:val="nil"/>
              <w:left w:val="single" w:sz="4" w:space="0" w:color="auto"/>
              <w:bottom w:val="nil"/>
              <w:right w:val="single" w:sz="4" w:space="0" w:color="auto"/>
            </w:tcBorders>
            <w:shd w:val="clear" w:color="auto" w:fill="auto"/>
            <w:noWrap/>
            <w:vAlign w:val="bottom"/>
            <w:hideMark/>
          </w:tcPr>
          <w:p w14:paraId="02587EB0"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1800D2E6" w14:textId="479C9E14" w:rsidR="00686EC7" w:rsidRPr="000C156A" w:rsidRDefault="00686EC7" w:rsidP="00141BAA">
            <w:pPr>
              <w:jc w:val="right"/>
              <w:rPr>
                <w:rFonts w:cs="Calibri"/>
                <w:sz w:val="22"/>
                <w:szCs w:val="22"/>
              </w:rPr>
            </w:pPr>
            <w:r w:rsidRPr="000C156A">
              <w:rPr>
                <w:rFonts w:cs="Calibri"/>
                <w:sz w:val="22"/>
                <w:szCs w:val="22"/>
              </w:rPr>
              <w:t>12</w:t>
            </w:r>
            <w:r w:rsidR="003F0401" w:rsidRPr="000C156A">
              <w:rPr>
                <w:rFonts w:cs="Calibri"/>
                <w:sz w:val="22"/>
                <w:szCs w:val="22"/>
              </w:rPr>
              <w:t xml:space="preserve"> </w:t>
            </w:r>
            <w:r w:rsidRPr="000C156A">
              <w:rPr>
                <w:rFonts w:cs="Calibri"/>
                <w:sz w:val="22"/>
                <w:szCs w:val="22"/>
              </w:rPr>
              <w:t>280.95</w:t>
            </w:r>
          </w:p>
        </w:tc>
      </w:tr>
      <w:tr w:rsidR="00686EC7" w:rsidRPr="000C156A" w14:paraId="1B090871"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1D2A9D9E" w14:textId="686CD6FC"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村庄集团公司，沃尔瑟姆</w:t>
            </w:r>
          </w:p>
        </w:tc>
        <w:tc>
          <w:tcPr>
            <w:tcW w:w="1548" w:type="dxa"/>
            <w:tcBorders>
              <w:top w:val="nil"/>
              <w:left w:val="single" w:sz="4" w:space="0" w:color="auto"/>
              <w:bottom w:val="nil"/>
              <w:right w:val="single" w:sz="4" w:space="0" w:color="auto"/>
            </w:tcBorders>
            <w:shd w:val="clear" w:color="auto" w:fill="auto"/>
            <w:noWrap/>
            <w:vAlign w:val="bottom"/>
            <w:hideMark/>
          </w:tcPr>
          <w:p w14:paraId="06ED8168" w14:textId="77777777" w:rsidR="00686EC7" w:rsidRPr="000C156A" w:rsidRDefault="00686EC7" w:rsidP="00141BAA">
            <w:pPr>
              <w:jc w:val="center"/>
              <w:rPr>
                <w:rFonts w:cs="Calibri"/>
                <w:sz w:val="22"/>
                <w:szCs w:val="22"/>
              </w:rPr>
            </w:pPr>
            <w:r w:rsidRPr="000C156A">
              <w:rPr>
                <w:rFonts w:cs="Calibri"/>
                <w:sz w:val="22"/>
                <w:szCs w:val="22"/>
              </w:rPr>
              <w:t>2007-2008</w:t>
            </w:r>
          </w:p>
        </w:tc>
        <w:tc>
          <w:tcPr>
            <w:tcW w:w="1613" w:type="dxa"/>
            <w:tcBorders>
              <w:top w:val="nil"/>
              <w:left w:val="single" w:sz="4" w:space="0" w:color="auto"/>
              <w:bottom w:val="nil"/>
              <w:right w:val="single" w:sz="4" w:space="0" w:color="auto"/>
            </w:tcBorders>
            <w:shd w:val="clear" w:color="auto" w:fill="auto"/>
            <w:noWrap/>
            <w:vAlign w:val="bottom"/>
            <w:hideMark/>
          </w:tcPr>
          <w:p w14:paraId="608A1F70" w14:textId="54F1A915" w:rsidR="00686EC7" w:rsidRPr="000C156A" w:rsidRDefault="00686EC7" w:rsidP="00141BAA">
            <w:pPr>
              <w:jc w:val="right"/>
              <w:rPr>
                <w:rFonts w:cs="Calibri"/>
                <w:sz w:val="22"/>
                <w:szCs w:val="22"/>
              </w:rPr>
            </w:pPr>
            <w:r w:rsidRPr="000C156A">
              <w:rPr>
                <w:rFonts w:cs="Calibri"/>
                <w:sz w:val="22"/>
                <w:szCs w:val="22"/>
              </w:rPr>
              <w:t>16</w:t>
            </w:r>
            <w:r w:rsidR="003F0401" w:rsidRPr="000C156A">
              <w:rPr>
                <w:rFonts w:cs="Calibri"/>
                <w:sz w:val="22"/>
                <w:szCs w:val="22"/>
              </w:rPr>
              <w:t xml:space="preserve"> </w:t>
            </w:r>
            <w:r w:rsidRPr="000C156A">
              <w:rPr>
                <w:rFonts w:cs="Calibri"/>
                <w:sz w:val="22"/>
                <w:szCs w:val="22"/>
              </w:rPr>
              <w:t>633.90</w:t>
            </w:r>
          </w:p>
        </w:tc>
        <w:tc>
          <w:tcPr>
            <w:tcW w:w="1434" w:type="dxa"/>
            <w:tcBorders>
              <w:top w:val="nil"/>
              <w:left w:val="single" w:sz="4" w:space="0" w:color="auto"/>
              <w:bottom w:val="nil"/>
              <w:right w:val="single" w:sz="4" w:space="0" w:color="auto"/>
            </w:tcBorders>
            <w:shd w:val="clear" w:color="auto" w:fill="auto"/>
            <w:noWrap/>
            <w:vAlign w:val="bottom"/>
            <w:hideMark/>
          </w:tcPr>
          <w:p w14:paraId="2DE4EF6B"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42C1ACA5" w14:textId="7B6225C7" w:rsidR="00686EC7" w:rsidRPr="000C156A" w:rsidRDefault="00686EC7" w:rsidP="00141BAA">
            <w:pPr>
              <w:jc w:val="right"/>
              <w:rPr>
                <w:rFonts w:cs="Calibri"/>
                <w:sz w:val="22"/>
                <w:szCs w:val="22"/>
              </w:rPr>
            </w:pPr>
            <w:r w:rsidRPr="000C156A">
              <w:rPr>
                <w:rFonts w:cs="Calibri"/>
                <w:sz w:val="22"/>
                <w:szCs w:val="22"/>
              </w:rPr>
              <w:t>16</w:t>
            </w:r>
            <w:r w:rsidR="003F0401" w:rsidRPr="000C156A">
              <w:rPr>
                <w:rFonts w:cs="Calibri"/>
                <w:sz w:val="22"/>
                <w:szCs w:val="22"/>
              </w:rPr>
              <w:t xml:space="preserve"> </w:t>
            </w:r>
            <w:r w:rsidRPr="000C156A">
              <w:rPr>
                <w:rFonts w:cs="Calibri"/>
                <w:sz w:val="22"/>
                <w:szCs w:val="22"/>
              </w:rPr>
              <w:t>633.90</w:t>
            </w:r>
          </w:p>
        </w:tc>
      </w:tr>
      <w:tr w:rsidR="00686EC7" w:rsidRPr="000C156A" w14:paraId="217E83A4"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44958A01" w14:textId="0DAAD2EA"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Toda</w:t>
            </w:r>
            <w:r w:rsidR="00686EC7" w:rsidRPr="000C156A">
              <w:rPr>
                <w:rFonts w:cs="Calibri" w:hint="eastAsia"/>
                <w:sz w:val="22"/>
                <w:szCs w:val="22"/>
                <w:lang w:val="fr-FR"/>
              </w:rPr>
              <w:t>网络公司，旧金山</w:t>
            </w:r>
          </w:p>
        </w:tc>
        <w:tc>
          <w:tcPr>
            <w:tcW w:w="1548" w:type="dxa"/>
            <w:tcBorders>
              <w:top w:val="nil"/>
              <w:left w:val="single" w:sz="4" w:space="0" w:color="auto"/>
              <w:bottom w:val="nil"/>
              <w:right w:val="single" w:sz="4" w:space="0" w:color="auto"/>
            </w:tcBorders>
            <w:shd w:val="clear" w:color="auto" w:fill="auto"/>
            <w:noWrap/>
            <w:vAlign w:val="bottom"/>
            <w:hideMark/>
          </w:tcPr>
          <w:p w14:paraId="37DC0F9F" w14:textId="77777777" w:rsidR="00686EC7" w:rsidRPr="000C156A" w:rsidRDefault="00686EC7" w:rsidP="00141BAA">
            <w:pPr>
              <w:jc w:val="center"/>
              <w:rPr>
                <w:rFonts w:cs="Calibri"/>
                <w:sz w:val="22"/>
                <w:szCs w:val="22"/>
              </w:rPr>
            </w:pPr>
            <w:r w:rsidRPr="000C156A">
              <w:rPr>
                <w:rFonts w:cs="Calibri"/>
                <w:sz w:val="22"/>
                <w:szCs w:val="22"/>
              </w:rPr>
              <w:t>2019</w:t>
            </w:r>
          </w:p>
        </w:tc>
        <w:tc>
          <w:tcPr>
            <w:tcW w:w="1613" w:type="dxa"/>
            <w:tcBorders>
              <w:top w:val="nil"/>
              <w:left w:val="single" w:sz="4" w:space="0" w:color="auto"/>
              <w:bottom w:val="nil"/>
              <w:right w:val="single" w:sz="4" w:space="0" w:color="auto"/>
            </w:tcBorders>
            <w:shd w:val="clear" w:color="auto" w:fill="auto"/>
            <w:noWrap/>
            <w:vAlign w:val="bottom"/>
            <w:hideMark/>
          </w:tcPr>
          <w:p w14:paraId="105016A3" w14:textId="6A9BBAC1" w:rsidR="00686EC7" w:rsidRPr="000C156A" w:rsidRDefault="00686EC7" w:rsidP="00141BAA">
            <w:pPr>
              <w:jc w:val="right"/>
              <w:rPr>
                <w:rFonts w:cs="Calibri"/>
                <w:sz w:val="22"/>
                <w:szCs w:val="22"/>
              </w:rPr>
            </w:pPr>
            <w:r w:rsidRPr="000C156A">
              <w:rPr>
                <w:rFonts w:cs="Calibri"/>
                <w:sz w:val="22"/>
                <w:szCs w:val="22"/>
              </w:rPr>
              <w:t>5</w:t>
            </w:r>
            <w:r w:rsidR="003F0401" w:rsidRPr="000C156A">
              <w:rPr>
                <w:rFonts w:cs="Calibri"/>
                <w:sz w:val="22"/>
                <w:szCs w:val="22"/>
              </w:rPr>
              <w:t xml:space="preserve"> </w:t>
            </w:r>
            <w:r w:rsidRPr="000C156A">
              <w:rPr>
                <w:rFonts w:cs="Calibri"/>
                <w:sz w:val="22"/>
                <w:szCs w:val="22"/>
              </w:rPr>
              <w:t>828.70</w:t>
            </w:r>
          </w:p>
        </w:tc>
        <w:tc>
          <w:tcPr>
            <w:tcW w:w="1434" w:type="dxa"/>
            <w:tcBorders>
              <w:top w:val="nil"/>
              <w:left w:val="single" w:sz="4" w:space="0" w:color="auto"/>
              <w:bottom w:val="nil"/>
              <w:right w:val="single" w:sz="4" w:space="0" w:color="auto"/>
            </w:tcBorders>
            <w:shd w:val="clear" w:color="auto" w:fill="auto"/>
            <w:noWrap/>
            <w:vAlign w:val="bottom"/>
            <w:hideMark/>
          </w:tcPr>
          <w:p w14:paraId="6B8136D1"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5720D454" w14:textId="48AD4DCD" w:rsidR="00686EC7" w:rsidRPr="000C156A" w:rsidRDefault="00686EC7" w:rsidP="00141BAA">
            <w:pPr>
              <w:jc w:val="right"/>
              <w:rPr>
                <w:rFonts w:cs="Calibri"/>
                <w:sz w:val="22"/>
                <w:szCs w:val="22"/>
              </w:rPr>
            </w:pPr>
            <w:r w:rsidRPr="000C156A">
              <w:rPr>
                <w:rFonts w:cs="Calibri"/>
                <w:sz w:val="22"/>
                <w:szCs w:val="22"/>
              </w:rPr>
              <w:t>5</w:t>
            </w:r>
            <w:r w:rsidR="003F0401" w:rsidRPr="000C156A">
              <w:rPr>
                <w:rFonts w:cs="Calibri"/>
                <w:sz w:val="22"/>
                <w:szCs w:val="22"/>
              </w:rPr>
              <w:t xml:space="preserve"> </w:t>
            </w:r>
            <w:r w:rsidRPr="000C156A">
              <w:rPr>
                <w:rFonts w:cs="Calibri"/>
                <w:sz w:val="22"/>
                <w:szCs w:val="22"/>
              </w:rPr>
              <w:t>828.70</w:t>
            </w:r>
          </w:p>
        </w:tc>
      </w:tr>
      <w:tr w:rsidR="00686EC7" w:rsidRPr="000C156A" w14:paraId="3B8674A4"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0D8CFE5A" w14:textId="0F40FAC6"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UTStarcom</w:t>
            </w:r>
            <w:r w:rsidR="00686EC7" w:rsidRPr="000C156A">
              <w:rPr>
                <w:rFonts w:cs="Calibri" w:hint="eastAsia"/>
                <w:sz w:val="22"/>
                <w:szCs w:val="22"/>
                <w:lang w:val="fr-FR"/>
              </w:rPr>
              <w:t>公司，弗里蒙特</w:t>
            </w:r>
          </w:p>
        </w:tc>
        <w:tc>
          <w:tcPr>
            <w:tcW w:w="1548" w:type="dxa"/>
            <w:tcBorders>
              <w:top w:val="nil"/>
              <w:left w:val="single" w:sz="4" w:space="0" w:color="auto"/>
              <w:bottom w:val="nil"/>
              <w:right w:val="single" w:sz="4" w:space="0" w:color="auto"/>
            </w:tcBorders>
            <w:shd w:val="clear" w:color="auto" w:fill="auto"/>
            <w:noWrap/>
            <w:vAlign w:val="bottom"/>
            <w:hideMark/>
          </w:tcPr>
          <w:p w14:paraId="75067904" w14:textId="77777777" w:rsidR="00686EC7" w:rsidRPr="000C156A" w:rsidRDefault="00686EC7" w:rsidP="00141BAA">
            <w:pPr>
              <w:jc w:val="center"/>
              <w:rPr>
                <w:rFonts w:cs="Calibri"/>
                <w:sz w:val="22"/>
                <w:szCs w:val="22"/>
              </w:rPr>
            </w:pPr>
            <w:r w:rsidRPr="000C156A">
              <w:rPr>
                <w:rFonts w:cs="Calibri"/>
                <w:sz w:val="22"/>
                <w:szCs w:val="22"/>
              </w:rPr>
              <w:t>2004-2010</w:t>
            </w:r>
          </w:p>
        </w:tc>
        <w:tc>
          <w:tcPr>
            <w:tcW w:w="1613" w:type="dxa"/>
            <w:tcBorders>
              <w:top w:val="nil"/>
              <w:left w:val="single" w:sz="4" w:space="0" w:color="auto"/>
              <w:bottom w:val="nil"/>
              <w:right w:val="single" w:sz="4" w:space="0" w:color="auto"/>
            </w:tcBorders>
            <w:shd w:val="clear" w:color="auto" w:fill="auto"/>
            <w:noWrap/>
            <w:vAlign w:val="bottom"/>
            <w:hideMark/>
          </w:tcPr>
          <w:p w14:paraId="145D82BF" w14:textId="66A2F420" w:rsidR="00686EC7" w:rsidRPr="000C156A" w:rsidRDefault="00686EC7" w:rsidP="00141BAA">
            <w:pPr>
              <w:jc w:val="right"/>
              <w:rPr>
                <w:rFonts w:cs="Calibri"/>
                <w:sz w:val="22"/>
                <w:szCs w:val="22"/>
              </w:rPr>
            </w:pPr>
            <w:r w:rsidRPr="000C156A">
              <w:rPr>
                <w:rFonts w:cs="Calibri"/>
                <w:sz w:val="22"/>
                <w:szCs w:val="22"/>
              </w:rPr>
              <w:t>66</w:t>
            </w:r>
            <w:r w:rsidR="003F0401" w:rsidRPr="000C156A">
              <w:rPr>
                <w:rFonts w:cs="Calibri"/>
                <w:sz w:val="22"/>
                <w:szCs w:val="22"/>
              </w:rPr>
              <w:t xml:space="preserve"> </w:t>
            </w:r>
            <w:r w:rsidRPr="000C156A">
              <w:rPr>
                <w:rFonts w:cs="Calibri"/>
                <w:sz w:val="22"/>
                <w:szCs w:val="22"/>
              </w:rPr>
              <w:t>481.85</w:t>
            </w:r>
          </w:p>
        </w:tc>
        <w:tc>
          <w:tcPr>
            <w:tcW w:w="1434" w:type="dxa"/>
            <w:tcBorders>
              <w:top w:val="nil"/>
              <w:left w:val="single" w:sz="4" w:space="0" w:color="auto"/>
              <w:bottom w:val="nil"/>
              <w:right w:val="single" w:sz="4" w:space="0" w:color="auto"/>
            </w:tcBorders>
            <w:shd w:val="clear" w:color="auto" w:fill="auto"/>
            <w:noWrap/>
            <w:vAlign w:val="bottom"/>
            <w:hideMark/>
          </w:tcPr>
          <w:p w14:paraId="626D8944"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1F37D22B" w14:textId="5DF29131" w:rsidR="00686EC7" w:rsidRPr="000C156A" w:rsidRDefault="00686EC7" w:rsidP="00141BAA">
            <w:pPr>
              <w:jc w:val="right"/>
              <w:rPr>
                <w:rFonts w:cs="Calibri"/>
                <w:sz w:val="22"/>
                <w:szCs w:val="22"/>
              </w:rPr>
            </w:pPr>
            <w:r w:rsidRPr="000C156A">
              <w:rPr>
                <w:rFonts w:cs="Calibri"/>
                <w:sz w:val="22"/>
                <w:szCs w:val="22"/>
              </w:rPr>
              <w:t>66</w:t>
            </w:r>
            <w:r w:rsidR="003F0401" w:rsidRPr="000C156A">
              <w:rPr>
                <w:rFonts w:cs="Calibri"/>
                <w:sz w:val="22"/>
                <w:szCs w:val="22"/>
              </w:rPr>
              <w:t xml:space="preserve"> </w:t>
            </w:r>
            <w:r w:rsidRPr="000C156A">
              <w:rPr>
                <w:rFonts w:cs="Calibri"/>
                <w:sz w:val="22"/>
                <w:szCs w:val="22"/>
              </w:rPr>
              <w:t>481.85</w:t>
            </w:r>
          </w:p>
        </w:tc>
      </w:tr>
      <w:tr w:rsidR="00686EC7" w:rsidRPr="000C156A" w14:paraId="6E34BD1E"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30359A2F" w14:textId="52A402D1"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Visible</w:t>
            </w:r>
            <w:r w:rsidR="00686EC7" w:rsidRPr="000C156A">
              <w:rPr>
                <w:rFonts w:cs="Calibri" w:hint="eastAsia"/>
                <w:sz w:val="22"/>
                <w:szCs w:val="22"/>
                <w:lang w:val="fr-FR"/>
              </w:rPr>
              <w:t>能源公司，帕洛阿尔托</w:t>
            </w:r>
          </w:p>
        </w:tc>
        <w:tc>
          <w:tcPr>
            <w:tcW w:w="1548" w:type="dxa"/>
            <w:tcBorders>
              <w:top w:val="nil"/>
              <w:left w:val="single" w:sz="4" w:space="0" w:color="auto"/>
              <w:bottom w:val="nil"/>
              <w:right w:val="single" w:sz="4" w:space="0" w:color="auto"/>
            </w:tcBorders>
            <w:shd w:val="clear" w:color="auto" w:fill="auto"/>
            <w:noWrap/>
            <w:vAlign w:val="bottom"/>
            <w:hideMark/>
          </w:tcPr>
          <w:p w14:paraId="1368D86A" w14:textId="77777777" w:rsidR="00686EC7" w:rsidRPr="000C156A" w:rsidRDefault="00686EC7" w:rsidP="00141BAA">
            <w:pPr>
              <w:jc w:val="center"/>
              <w:rPr>
                <w:rFonts w:cs="Calibri"/>
                <w:sz w:val="22"/>
                <w:szCs w:val="22"/>
              </w:rPr>
            </w:pPr>
            <w:r w:rsidRPr="000C156A">
              <w:rPr>
                <w:rFonts w:cs="Calibri"/>
                <w:sz w:val="22"/>
                <w:szCs w:val="22"/>
              </w:rPr>
              <w:t>2010</w:t>
            </w:r>
          </w:p>
        </w:tc>
        <w:tc>
          <w:tcPr>
            <w:tcW w:w="1613" w:type="dxa"/>
            <w:tcBorders>
              <w:top w:val="nil"/>
              <w:left w:val="single" w:sz="4" w:space="0" w:color="auto"/>
              <w:bottom w:val="nil"/>
              <w:right w:val="single" w:sz="4" w:space="0" w:color="auto"/>
            </w:tcBorders>
            <w:shd w:val="clear" w:color="auto" w:fill="auto"/>
            <w:noWrap/>
            <w:vAlign w:val="bottom"/>
            <w:hideMark/>
          </w:tcPr>
          <w:p w14:paraId="38431E18" w14:textId="3D845D6F" w:rsidR="00686EC7" w:rsidRPr="000C156A" w:rsidRDefault="00686EC7" w:rsidP="00141BAA">
            <w:pPr>
              <w:jc w:val="right"/>
              <w:rPr>
                <w:rFonts w:cs="Calibri"/>
                <w:sz w:val="22"/>
                <w:szCs w:val="22"/>
              </w:rPr>
            </w:pPr>
            <w:r w:rsidRPr="000C156A">
              <w:rPr>
                <w:rFonts w:cs="Calibri"/>
                <w:sz w:val="22"/>
                <w:szCs w:val="22"/>
              </w:rPr>
              <w:t>18</w:t>
            </w:r>
            <w:r w:rsidR="003F0401" w:rsidRPr="000C156A">
              <w:rPr>
                <w:rFonts w:cs="Calibri"/>
                <w:sz w:val="22"/>
                <w:szCs w:val="22"/>
              </w:rPr>
              <w:t xml:space="preserve"> </w:t>
            </w:r>
            <w:r w:rsidRPr="000C156A">
              <w:rPr>
                <w:rFonts w:cs="Calibri"/>
                <w:sz w:val="22"/>
                <w:szCs w:val="22"/>
              </w:rPr>
              <w:t>053.00</w:t>
            </w:r>
          </w:p>
        </w:tc>
        <w:tc>
          <w:tcPr>
            <w:tcW w:w="1434" w:type="dxa"/>
            <w:tcBorders>
              <w:top w:val="nil"/>
              <w:left w:val="single" w:sz="4" w:space="0" w:color="auto"/>
              <w:bottom w:val="nil"/>
              <w:right w:val="single" w:sz="4" w:space="0" w:color="auto"/>
            </w:tcBorders>
            <w:shd w:val="clear" w:color="auto" w:fill="auto"/>
            <w:noWrap/>
            <w:vAlign w:val="bottom"/>
            <w:hideMark/>
          </w:tcPr>
          <w:p w14:paraId="01E6526B"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7BF48239" w14:textId="37AEFCD9" w:rsidR="00686EC7" w:rsidRPr="000C156A" w:rsidRDefault="00686EC7" w:rsidP="00141BAA">
            <w:pPr>
              <w:jc w:val="right"/>
              <w:rPr>
                <w:rFonts w:cs="Calibri"/>
                <w:sz w:val="22"/>
                <w:szCs w:val="22"/>
              </w:rPr>
            </w:pPr>
            <w:r w:rsidRPr="000C156A">
              <w:rPr>
                <w:rFonts w:cs="Calibri"/>
                <w:sz w:val="22"/>
                <w:szCs w:val="22"/>
              </w:rPr>
              <w:t>18</w:t>
            </w:r>
            <w:r w:rsidR="003F0401" w:rsidRPr="000C156A">
              <w:rPr>
                <w:rFonts w:cs="Calibri"/>
                <w:sz w:val="22"/>
                <w:szCs w:val="22"/>
              </w:rPr>
              <w:t xml:space="preserve"> </w:t>
            </w:r>
            <w:r w:rsidRPr="000C156A">
              <w:rPr>
                <w:rFonts w:cs="Calibri"/>
                <w:sz w:val="22"/>
                <w:szCs w:val="22"/>
              </w:rPr>
              <w:t>053.00</w:t>
            </w:r>
          </w:p>
        </w:tc>
      </w:tr>
      <w:tr w:rsidR="00686EC7" w:rsidRPr="000C156A" w14:paraId="264DCE08"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784814C4" w14:textId="79E1A302"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Vocal</w:t>
            </w:r>
            <w:r w:rsidR="00686EC7" w:rsidRPr="000C156A">
              <w:rPr>
                <w:rFonts w:cs="Calibri" w:hint="eastAsia"/>
                <w:sz w:val="22"/>
                <w:szCs w:val="22"/>
                <w:lang w:val="fr-FR"/>
              </w:rPr>
              <w:t>技术公司，艾姆赫斯特</w:t>
            </w:r>
          </w:p>
        </w:tc>
        <w:tc>
          <w:tcPr>
            <w:tcW w:w="1548" w:type="dxa"/>
            <w:tcBorders>
              <w:top w:val="nil"/>
              <w:left w:val="single" w:sz="4" w:space="0" w:color="auto"/>
              <w:bottom w:val="nil"/>
              <w:right w:val="single" w:sz="4" w:space="0" w:color="auto"/>
            </w:tcBorders>
            <w:shd w:val="clear" w:color="auto" w:fill="auto"/>
            <w:noWrap/>
            <w:vAlign w:val="bottom"/>
            <w:hideMark/>
          </w:tcPr>
          <w:p w14:paraId="0051A090" w14:textId="77777777" w:rsidR="00686EC7" w:rsidRPr="000C156A" w:rsidRDefault="00686EC7" w:rsidP="00141BAA">
            <w:pPr>
              <w:jc w:val="center"/>
              <w:rPr>
                <w:rFonts w:cs="Calibri"/>
                <w:sz w:val="22"/>
                <w:szCs w:val="22"/>
              </w:rPr>
            </w:pPr>
            <w:r w:rsidRPr="000C156A">
              <w:rPr>
                <w:rFonts w:cs="Calibri"/>
                <w:sz w:val="22"/>
                <w:szCs w:val="22"/>
              </w:rPr>
              <w:t>1998-2002</w:t>
            </w:r>
          </w:p>
        </w:tc>
        <w:tc>
          <w:tcPr>
            <w:tcW w:w="1613" w:type="dxa"/>
            <w:tcBorders>
              <w:top w:val="nil"/>
              <w:left w:val="single" w:sz="4" w:space="0" w:color="auto"/>
              <w:bottom w:val="nil"/>
              <w:right w:val="single" w:sz="4" w:space="0" w:color="auto"/>
            </w:tcBorders>
            <w:shd w:val="clear" w:color="auto" w:fill="auto"/>
            <w:noWrap/>
            <w:vAlign w:val="bottom"/>
            <w:hideMark/>
          </w:tcPr>
          <w:p w14:paraId="56896371" w14:textId="6499AA82" w:rsidR="00686EC7" w:rsidRPr="000C156A" w:rsidRDefault="00686EC7" w:rsidP="00141BAA">
            <w:pPr>
              <w:jc w:val="right"/>
              <w:rPr>
                <w:rFonts w:cs="Calibri"/>
                <w:sz w:val="22"/>
                <w:szCs w:val="22"/>
              </w:rPr>
            </w:pPr>
            <w:r w:rsidRPr="000C156A">
              <w:rPr>
                <w:rFonts w:cs="Calibri"/>
                <w:sz w:val="22"/>
                <w:szCs w:val="22"/>
              </w:rPr>
              <w:t>474</w:t>
            </w:r>
            <w:r w:rsidR="003F0401" w:rsidRPr="000C156A">
              <w:rPr>
                <w:rFonts w:cs="Calibri"/>
                <w:sz w:val="22"/>
                <w:szCs w:val="22"/>
              </w:rPr>
              <w:t xml:space="preserve"> </w:t>
            </w:r>
            <w:r w:rsidRPr="000C156A">
              <w:rPr>
                <w:rFonts w:cs="Calibri"/>
                <w:sz w:val="22"/>
                <w:szCs w:val="22"/>
              </w:rPr>
              <w:t>989.70</w:t>
            </w:r>
          </w:p>
        </w:tc>
        <w:tc>
          <w:tcPr>
            <w:tcW w:w="1434" w:type="dxa"/>
            <w:tcBorders>
              <w:top w:val="nil"/>
              <w:left w:val="single" w:sz="4" w:space="0" w:color="auto"/>
              <w:bottom w:val="nil"/>
              <w:right w:val="single" w:sz="4" w:space="0" w:color="auto"/>
            </w:tcBorders>
            <w:shd w:val="clear" w:color="auto" w:fill="auto"/>
            <w:noWrap/>
            <w:vAlign w:val="bottom"/>
            <w:hideMark/>
          </w:tcPr>
          <w:p w14:paraId="6FB8C98E"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1F193D35" w14:textId="34E1FDF9" w:rsidR="00686EC7" w:rsidRPr="000C156A" w:rsidRDefault="00686EC7" w:rsidP="00141BAA">
            <w:pPr>
              <w:jc w:val="right"/>
              <w:rPr>
                <w:rFonts w:cs="Calibri"/>
                <w:sz w:val="22"/>
                <w:szCs w:val="22"/>
              </w:rPr>
            </w:pPr>
            <w:r w:rsidRPr="000C156A">
              <w:rPr>
                <w:rFonts w:cs="Calibri"/>
                <w:sz w:val="22"/>
                <w:szCs w:val="22"/>
              </w:rPr>
              <w:t>474</w:t>
            </w:r>
            <w:r w:rsidR="003F0401" w:rsidRPr="000C156A">
              <w:rPr>
                <w:rFonts w:cs="Calibri"/>
                <w:sz w:val="22"/>
                <w:szCs w:val="22"/>
              </w:rPr>
              <w:t xml:space="preserve"> </w:t>
            </w:r>
            <w:r w:rsidRPr="000C156A">
              <w:rPr>
                <w:rFonts w:cs="Calibri"/>
                <w:sz w:val="22"/>
                <w:szCs w:val="22"/>
              </w:rPr>
              <w:t>989.70</w:t>
            </w:r>
          </w:p>
        </w:tc>
      </w:tr>
      <w:tr w:rsidR="00686EC7" w:rsidRPr="000C156A" w14:paraId="730E1046"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11E5D017" w14:textId="6C9C7A18"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sz w:val="22"/>
                <w:szCs w:val="22"/>
                <w:lang w:val="fr-FR" w:eastAsia="zh-CN"/>
              </w:rPr>
              <w:t>Xerox</w:t>
            </w:r>
            <w:r w:rsidR="00686EC7" w:rsidRPr="000C156A">
              <w:rPr>
                <w:rFonts w:cs="Calibri" w:hint="eastAsia"/>
                <w:sz w:val="22"/>
                <w:szCs w:val="22"/>
                <w:lang w:val="fr-FR" w:eastAsia="zh-CN"/>
              </w:rPr>
              <w:t>公司，华盛顿</w:t>
            </w:r>
          </w:p>
        </w:tc>
        <w:tc>
          <w:tcPr>
            <w:tcW w:w="1548" w:type="dxa"/>
            <w:tcBorders>
              <w:top w:val="nil"/>
              <w:left w:val="single" w:sz="4" w:space="0" w:color="auto"/>
              <w:bottom w:val="nil"/>
              <w:right w:val="single" w:sz="4" w:space="0" w:color="auto"/>
            </w:tcBorders>
            <w:shd w:val="clear" w:color="auto" w:fill="auto"/>
            <w:noWrap/>
            <w:vAlign w:val="bottom"/>
            <w:hideMark/>
          </w:tcPr>
          <w:p w14:paraId="386CCB43" w14:textId="77777777" w:rsidR="00686EC7" w:rsidRPr="000C156A" w:rsidRDefault="00686EC7" w:rsidP="00141BAA">
            <w:pPr>
              <w:jc w:val="center"/>
              <w:rPr>
                <w:rFonts w:cs="Calibri"/>
                <w:sz w:val="22"/>
                <w:szCs w:val="22"/>
              </w:rPr>
            </w:pPr>
            <w:r w:rsidRPr="000C156A">
              <w:rPr>
                <w:rFonts w:cs="Calibri"/>
                <w:sz w:val="22"/>
                <w:szCs w:val="22"/>
              </w:rPr>
              <w:t>2004-2007</w:t>
            </w:r>
          </w:p>
        </w:tc>
        <w:tc>
          <w:tcPr>
            <w:tcW w:w="1613" w:type="dxa"/>
            <w:tcBorders>
              <w:top w:val="nil"/>
              <w:left w:val="single" w:sz="4" w:space="0" w:color="auto"/>
              <w:bottom w:val="nil"/>
              <w:right w:val="single" w:sz="4" w:space="0" w:color="auto"/>
            </w:tcBorders>
            <w:shd w:val="clear" w:color="auto" w:fill="auto"/>
            <w:noWrap/>
            <w:vAlign w:val="bottom"/>
            <w:hideMark/>
          </w:tcPr>
          <w:p w14:paraId="40BE9910" w14:textId="7B04C83F" w:rsidR="00686EC7" w:rsidRPr="000C156A" w:rsidRDefault="00686EC7" w:rsidP="00141BAA">
            <w:pPr>
              <w:jc w:val="right"/>
              <w:rPr>
                <w:rFonts w:cs="Calibri"/>
                <w:sz w:val="22"/>
                <w:szCs w:val="22"/>
              </w:rPr>
            </w:pPr>
            <w:r w:rsidRPr="000C156A">
              <w:rPr>
                <w:rFonts w:cs="Calibri"/>
                <w:sz w:val="22"/>
                <w:szCs w:val="22"/>
              </w:rPr>
              <w:t>90</w:t>
            </w:r>
            <w:r w:rsidR="003F0401" w:rsidRPr="000C156A">
              <w:rPr>
                <w:rFonts w:cs="Calibri"/>
                <w:sz w:val="22"/>
                <w:szCs w:val="22"/>
              </w:rPr>
              <w:t xml:space="preserve"> </w:t>
            </w:r>
            <w:r w:rsidRPr="000C156A">
              <w:rPr>
                <w:rFonts w:cs="Calibri"/>
                <w:sz w:val="22"/>
                <w:szCs w:val="22"/>
              </w:rPr>
              <w:t>261.10</w:t>
            </w:r>
          </w:p>
        </w:tc>
        <w:tc>
          <w:tcPr>
            <w:tcW w:w="1434" w:type="dxa"/>
            <w:tcBorders>
              <w:top w:val="nil"/>
              <w:left w:val="single" w:sz="4" w:space="0" w:color="auto"/>
              <w:bottom w:val="nil"/>
              <w:right w:val="single" w:sz="4" w:space="0" w:color="auto"/>
            </w:tcBorders>
            <w:shd w:val="clear" w:color="auto" w:fill="auto"/>
            <w:noWrap/>
            <w:vAlign w:val="bottom"/>
            <w:hideMark/>
          </w:tcPr>
          <w:p w14:paraId="6B02DED7"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682BCAC0" w14:textId="4CA6336B" w:rsidR="00686EC7" w:rsidRPr="000C156A" w:rsidRDefault="00686EC7" w:rsidP="00141BAA">
            <w:pPr>
              <w:jc w:val="right"/>
              <w:rPr>
                <w:rFonts w:cs="Calibri"/>
                <w:sz w:val="22"/>
                <w:szCs w:val="22"/>
              </w:rPr>
            </w:pPr>
            <w:r w:rsidRPr="000C156A">
              <w:rPr>
                <w:rFonts w:cs="Calibri"/>
                <w:sz w:val="22"/>
                <w:szCs w:val="22"/>
              </w:rPr>
              <w:t>90</w:t>
            </w:r>
            <w:r w:rsidR="003F0401" w:rsidRPr="000C156A">
              <w:rPr>
                <w:rFonts w:cs="Calibri"/>
                <w:sz w:val="22"/>
                <w:szCs w:val="22"/>
              </w:rPr>
              <w:t xml:space="preserve"> </w:t>
            </w:r>
            <w:r w:rsidRPr="000C156A">
              <w:rPr>
                <w:rFonts w:cs="Calibri"/>
                <w:sz w:val="22"/>
                <w:szCs w:val="22"/>
              </w:rPr>
              <w:t>261.10</w:t>
            </w:r>
          </w:p>
        </w:tc>
      </w:tr>
      <w:tr w:rsidR="00686EC7" w:rsidRPr="000C156A" w14:paraId="3D65BCF3"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7D93362D" w14:textId="77777777" w:rsidR="00686EC7" w:rsidRPr="000C156A" w:rsidRDefault="00686EC7" w:rsidP="00141BAA">
            <w:pPr>
              <w:spacing w:before="0"/>
              <w:rPr>
                <w:b/>
                <w:bCs/>
                <w:sz w:val="22"/>
                <w:szCs w:val="22"/>
              </w:rPr>
            </w:pPr>
            <w:r w:rsidRPr="000C156A">
              <w:rPr>
                <w:rFonts w:hint="eastAsia"/>
                <w:b/>
                <w:bCs/>
                <w:sz w:val="22"/>
                <w:szCs w:val="22"/>
              </w:rPr>
              <w:t>乌兹别克斯坦</w:t>
            </w:r>
          </w:p>
        </w:tc>
        <w:tc>
          <w:tcPr>
            <w:tcW w:w="1548" w:type="dxa"/>
            <w:tcBorders>
              <w:top w:val="nil"/>
              <w:left w:val="single" w:sz="4" w:space="0" w:color="auto"/>
              <w:bottom w:val="nil"/>
              <w:right w:val="single" w:sz="4" w:space="0" w:color="auto"/>
            </w:tcBorders>
            <w:shd w:val="clear" w:color="auto" w:fill="auto"/>
            <w:noWrap/>
            <w:vAlign w:val="bottom"/>
            <w:hideMark/>
          </w:tcPr>
          <w:p w14:paraId="13925A28"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7099631B"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477BF3F3"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794A95E7" w14:textId="77777777" w:rsidR="00686EC7" w:rsidRPr="000C156A" w:rsidRDefault="00686EC7" w:rsidP="00141BAA">
            <w:pPr>
              <w:rPr>
                <w:rFonts w:ascii="Times New Roman" w:hAnsi="Times New Roman"/>
                <w:sz w:val="22"/>
                <w:szCs w:val="22"/>
              </w:rPr>
            </w:pPr>
          </w:p>
        </w:tc>
      </w:tr>
      <w:tr w:rsidR="00686EC7" w:rsidRPr="000C156A" w14:paraId="330D7FE9" w14:textId="77777777" w:rsidTr="00141BAA">
        <w:trPr>
          <w:trHeight w:val="235"/>
          <w:jc w:val="center"/>
        </w:trPr>
        <w:tc>
          <w:tcPr>
            <w:tcW w:w="4106" w:type="dxa"/>
            <w:tcBorders>
              <w:top w:val="nil"/>
              <w:left w:val="single" w:sz="4" w:space="0" w:color="auto"/>
              <w:bottom w:val="nil"/>
              <w:right w:val="single" w:sz="4" w:space="0" w:color="auto"/>
            </w:tcBorders>
            <w:shd w:val="clear" w:color="auto" w:fill="auto"/>
            <w:vAlign w:val="bottom"/>
            <w:hideMark/>
          </w:tcPr>
          <w:p w14:paraId="030E7DD7" w14:textId="16CBE240" w:rsidR="00686EC7" w:rsidRPr="000C156A" w:rsidRDefault="00D93F72" w:rsidP="00D93F72">
            <w:pPr>
              <w:tabs>
                <w:tab w:val="clear" w:pos="567"/>
              </w:tabs>
              <w:spacing w:before="0"/>
              <w:ind w:left="317" w:hanging="317"/>
              <w:rPr>
                <w:sz w:val="22"/>
                <w:szCs w:val="22"/>
                <w:lang w:eastAsia="zh-CN"/>
              </w:rPr>
            </w:pPr>
            <w:r w:rsidRPr="000C156A">
              <w:rPr>
                <w:sz w:val="22"/>
                <w:szCs w:val="22"/>
                <w:lang w:eastAsia="zh-CN"/>
              </w:rPr>
              <w:t>–</w:t>
            </w:r>
            <w:r w:rsidRPr="000C156A">
              <w:rPr>
                <w:sz w:val="22"/>
                <w:szCs w:val="22"/>
                <w:lang w:eastAsia="zh-CN"/>
              </w:rPr>
              <w:tab/>
            </w:r>
            <w:r w:rsidR="00686EC7" w:rsidRPr="000C156A">
              <w:rPr>
                <w:rFonts w:hint="eastAsia"/>
                <w:sz w:val="22"/>
                <w:szCs w:val="22"/>
                <w:lang w:eastAsia="zh-CN"/>
              </w:rPr>
              <w:t>塔什干信息技术大学，塔什干</w:t>
            </w:r>
          </w:p>
        </w:tc>
        <w:tc>
          <w:tcPr>
            <w:tcW w:w="1548" w:type="dxa"/>
            <w:tcBorders>
              <w:top w:val="nil"/>
              <w:left w:val="single" w:sz="4" w:space="0" w:color="auto"/>
              <w:bottom w:val="nil"/>
              <w:right w:val="single" w:sz="4" w:space="0" w:color="auto"/>
            </w:tcBorders>
            <w:shd w:val="clear" w:color="auto" w:fill="auto"/>
            <w:noWrap/>
            <w:vAlign w:val="bottom"/>
            <w:hideMark/>
          </w:tcPr>
          <w:p w14:paraId="5DFE4020" w14:textId="77777777" w:rsidR="00686EC7" w:rsidRPr="000C156A" w:rsidRDefault="00686EC7" w:rsidP="00141BAA">
            <w:pPr>
              <w:jc w:val="center"/>
              <w:rPr>
                <w:rFonts w:cs="Calibri"/>
                <w:sz w:val="22"/>
                <w:szCs w:val="22"/>
              </w:rPr>
            </w:pPr>
            <w:r w:rsidRPr="000C156A">
              <w:rPr>
                <w:rFonts w:cs="Calibri"/>
                <w:sz w:val="22"/>
                <w:szCs w:val="22"/>
              </w:rPr>
              <w:t>2014</w:t>
            </w:r>
          </w:p>
        </w:tc>
        <w:tc>
          <w:tcPr>
            <w:tcW w:w="1613" w:type="dxa"/>
            <w:tcBorders>
              <w:top w:val="nil"/>
              <w:left w:val="single" w:sz="4" w:space="0" w:color="auto"/>
              <w:bottom w:val="nil"/>
              <w:right w:val="single" w:sz="4" w:space="0" w:color="auto"/>
            </w:tcBorders>
            <w:shd w:val="clear" w:color="auto" w:fill="auto"/>
            <w:noWrap/>
            <w:vAlign w:val="bottom"/>
            <w:hideMark/>
          </w:tcPr>
          <w:p w14:paraId="7DEEED1B" w14:textId="2A3D3EB9"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925.00</w:t>
            </w:r>
          </w:p>
        </w:tc>
        <w:tc>
          <w:tcPr>
            <w:tcW w:w="1434" w:type="dxa"/>
            <w:tcBorders>
              <w:top w:val="nil"/>
              <w:left w:val="single" w:sz="4" w:space="0" w:color="auto"/>
              <w:bottom w:val="nil"/>
              <w:right w:val="single" w:sz="4" w:space="0" w:color="auto"/>
            </w:tcBorders>
            <w:shd w:val="clear" w:color="auto" w:fill="auto"/>
            <w:noWrap/>
            <w:vAlign w:val="bottom"/>
            <w:hideMark/>
          </w:tcPr>
          <w:p w14:paraId="520B21B7"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10193B88" w14:textId="20107049" w:rsidR="00686EC7" w:rsidRPr="000C156A" w:rsidRDefault="00686EC7" w:rsidP="00141BAA">
            <w:pPr>
              <w:jc w:val="right"/>
              <w:rPr>
                <w:rFonts w:cs="Calibri"/>
                <w:sz w:val="22"/>
                <w:szCs w:val="22"/>
              </w:rPr>
            </w:pPr>
            <w:r w:rsidRPr="000C156A">
              <w:rPr>
                <w:rFonts w:cs="Calibri"/>
                <w:sz w:val="22"/>
                <w:szCs w:val="22"/>
              </w:rPr>
              <w:t>2</w:t>
            </w:r>
            <w:r w:rsidR="003F0401" w:rsidRPr="000C156A">
              <w:rPr>
                <w:rFonts w:cs="Calibri"/>
                <w:sz w:val="22"/>
                <w:szCs w:val="22"/>
              </w:rPr>
              <w:t xml:space="preserve"> </w:t>
            </w:r>
            <w:r w:rsidRPr="000C156A">
              <w:rPr>
                <w:rFonts w:cs="Calibri"/>
                <w:sz w:val="22"/>
                <w:szCs w:val="22"/>
              </w:rPr>
              <w:t>925.00</w:t>
            </w:r>
          </w:p>
        </w:tc>
      </w:tr>
      <w:tr w:rsidR="00686EC7" w:rsidRPr="000C156A" w14:paraId="446ACCBE"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27F0EDA1" w14:textId="77777777" w:rsidR="00686EC7" w:rsidRPr="000C156A" w:rsidRDefault="00686EC7" w:rsidP="00141BAA">
            <w:pPr>
              <w:rPr>
                <w:rFonts w:cs="Calibri"/>
                <w:b/>
                <w:bCs/>
                <w:sz w:val="22"/>
                <w:szCs w:val="22"/>
              </w:rPr>
            </w:pPr>
            <w:r w:rsidRPr="000C156A">
              <w:rPr>
                <w:rFonts w:cs="Calibri"/>
                <w:b/>
                <w:bCs/>
                <w:sz w:val="22"/>
                <w:szCs w:val="22"/>
              </w:rPr>
              <w:t>委内瑞拉</w:t>
            </w:r>
          </w:p>
        </w:tc>
        <w:tc>
          <w:tcPr>
            <w:tcW w:w="1548" w:type="dxa"/>
            <w:tcBorders>
              <w:top w:val="nil"/>
              <w:left w:val="single" w:sz="4" w:space="0" w:color="auto"/>
              <w:bottom w:val="nil"/>
              <w:right w:val="single" w:sz="4" w:space="0" w:color="auto"/>
            </w:tcBorders>
            <w:shd w:val="clear" w:color="auto" w:fill="auto"/>
            <w:noWrap/>
            <w:vAlign w:val="bottom"/>
            <w:hideMark/>
          </w:tcPr>
          <w:p w14:paraId="60D9071D"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00F2C446"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7C6051A5"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16292B32" w14:textId="77777777" w:rsidR="00686EC7" w:rsidRPr="000C156A" w:rsidRDefault="00686EC7" w:rsidP="00141BAA">
            <w:pPr>
              <w:rPr>
                <w:rFonts w:ascii="Times New Roman" w:hAnsi="Times New Roman"/>
                <w:sz w:val="22"/>
                <w:szCs w:val="22"/>
              </w:rPr>
            </w:pPr>
          </w:p>
        </w:tc>
      </w:tr>
      <w:tr w:rsidR="00686EC7" w:rsidRPr="000C156A" w14:paraId="38C3A03B"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503D7BF9" w14:textId="30E785B9" w:rsidR="00686EC7" w:rsidRPr="000C156A" w:rsidRDefault="00D93F72" w:rsidP="00D93F72">
            <w:pPr>
              <w:tabs>
                <w:tab w:val="clear" w:pos="567"/>
              </w:tabs>
              <w:spacing w:before="0"/>
              <w:ind w:left="317" w:hanging="317"/>
              <w:rPr>
                <w:rFonts w:cs="Calibri"/>
                <w:sz w:val="22"/>
                <w:szCs w:val="22"/>
              </w:rPr>
            </w:pPr>
            <w:r w:rsidRPr="000C156A">
              <w:rPr>
                <w:rFonts w:cs="Calibri"/>
                <w:sz w:val="22"/>
                <w:szCs w:val="22"/>
              </w:rPr>
              <w:t>–</w:t>
            </w:r>
            <w:r w:rsidRPr="000C156A">
              <w:rPr>
                <w:rFonts w:cs="Calibri"/>
                <w:sz w:val="22"/>
                <w:szCs w:val="22"/>
              </w:rPr>
              <w:tab/>
            </w:r>
            <w:r w:rsidR="00686EC7" w:rsidRPr="000C156A">
              <w:rPr>
                <w:rFonts w:cs="Calibri"/>
                <w:sz w:val="22"/>
                <w:szCs w:val="22"/>
                <w:lang w:val="fr-FR"/>
              </w:rPr>
              <w:t>CANTV</w:t>
            </w:r>
            <w:r w:rsidR="00686EC7" w:rsidRPr="000C156A">
              <w:rPr>
                <w:rFonts w:cs="Calibri" w:hint="eastAsia"/>
                <w:sz w:val="22"/>
                <w:szCs w:val="22"/>
                <w:lang w:eastAsia="zh-CN"/>
              </w:rPr>
              <w:t>，</w:t>
            </w:r>
            <w:r w:rsidR="00686EC7" w:rsidRPr="000C156A">
              <w:rPr>
                <w:rFonts w:cs="Calibri" w:hint="eastAsia"/>
                <w:sz w:val="22"/>
                <w:szCs w:val="22"/>
              </w:rPr>
              <w:t>加拉加斯</w:t>
            </w:r>
          </w:p>
        </w:tc>
        <w:tc>
          <w:tcPr>
            <w:tcW w:w="1548" w:type="dxa"/>
            <w:tcBorders>
              <w:top w:val="nil"/>
              <w:left w:val="single" w:sz="4" w:space="0" w:color="auto"/>
              <w:bottom w:val="nil"/>
              <w:right w:val="single" w:sz="4" w:space="0" w:color="auto"/>
            </w:tcBorders>
            <w:shd w:val="clear" w:color="auto" w:fill="auto"/>
            <w:noWrap/>
            <w:vAlign w:val="bottom"/>
            <w:hideMark/>
          </w:tcPr>
          <w:p w14:paraId="61C9EF53" w14:textId="77777777" w:rsidR="00686EC7" w:rsidRPr="000C156A" w:rsidRDefault="00686EC7" w:rsidP="00141BAA">
            <w:pPr>
              <w:jc w:val="center"/>
              <w:rPr>
                <w:rFonts w:cs="Calibri"/>
                <w:sz w:val="22"/>
                <w:szCs w:val="22"/>
              </w:rPr>
            </w:pPr>
            <w:r w:rsidRPr="000C156A">
              <w:rPr>
                <w:rFonts w:cs="Calibri"/>
                <w:sz w:val="22"/>
                <w:szCs w:val="22"/>
              </w:rPr>
              <w:t>2018-2019</w:t>
            </w:r>
          </w:p>
        </w:tc>
        <w:tc>
          <w:tcPr>
            <w:tcW w:w="1613" w:type="dxa"/>
            <w:tcBorders>
              <w:top w:val="nil"/>
              <w:left w:val="single" w:sz="4" w:space="0" w:color="auto"/>
              <w:bottom w:val="nil"/>
              <w:right w:val="single" w:sz="4" w:space="0" w:color="auto"/>
            </w:tcBorders>
            <w:shd w:val="clear" w:color="auto" w:fill="auto"/>
            <w:noWrap/>
            <w:vAlign w:val="bottom"/>
            <w:hideMark/>
          </w:tcPr>
          <w:p w14:paraId="1AEF2443" w14:textId="7C4A13C5" w:rsidR="00686EC7" w:rsidRPr="000C156A" w:rsidRDefault="00686EC7" w:rsidP="00141BAA">
            <w:pPr>
              <w:jc w:val="right"/>
              <w:rPr>
                <w:rFonts w:cs="Calibri"/>
                <w:sz w:val="22"/>
                <w:szCs w:val="22"/>
              </w:rPr>
            </w:pPr>
            <w:r w:rsidRPr="000C156A">
              <w:rPr>
                <w:rFonts w:cs="Calibri"/>
                <w:sz w:val="22"/>
                <w:szCs w:val="22"/>
              </w:rPr>
              <w:t>88</w:t>
            </w:r>
            <w:r w:rsidR="001A59E5" w:rsidRPr="000C156A">
              <w:rPr>
                <w:rFonts w:cs="Calibri"/>
                <w:sz w:val="22"/>
                <w:szCs w:val="22"/>
              </w:rPr>
              <w:t xml:space="preserve"> </w:t>
            </w:r>
            <w:r w:rsidRPr="000C156A">
              <w:rPr>
                <w:rFonts w:cs="Calibri"/>
                <w:sz w:val="22"/>
                <w:szCs w:val="22"/>
              </w:rPr>
              <w:t>092.65</w:t>
            </w:r>
          </w:p>
        </w:tc>
        <w:tc>
          <w:tcPr>
            <w:tcW w:w="1434" w:type="dxa"/>
            <w:tcBorders>
              <w:top w:val="nil"/>
              <w:left w:val="single" w:sz="4" w:space="0" w:color="auto"/>
              <w:bottom w:val="nil"/>
              <w:right w:val="single" w:sz="4" w:space="0" w:color="auto"/>
            </w:tcBorders>
            <w:shd w:val="clear" w:color="auto" w:fill="auto"/>
            <w:noWrap/>
            <w:vAlign w:val="bottom"/>
            <w:hideMark/>
          </w:tcPr>
          <w:p w14:paraId="634EE166"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6429F5B2" w14:textId="7A421871" w:rsidR="00686EC7" w:rsidRPr="000C156A" w:rsidRDefault="00686EC7" w:rsidP="00141BAA">
            <w:pPr>
              <w:jc w:val="right"/>
              <w:rPr>
                <w:rFonts w:cs="Calibri"/>
                <w:sz w:val="22"/>
                <w:szCs w:val="22"/>
              </w:rPr>
            </w:pPr>
            <w:r w:rsidRPr="000C156A">
              <w:rPr>
                <w:rFonts w:cs="Calibri"/>
                <w:sz w:val="22"/>
                <w:szCs w:val="22"/>
              </w:rPr>
              <w:t>88</w:t>
            </w:r>
            <w:r w:rsidR="001A59E5" w:rsidRPr="000C156A">
              <w:rPr>
                <w:rFonts w:cs="Calibri"/>
                <w:sz w:val="22"/>
                <w:szCs w:val="22"/>
              </w:rPr>
              <w:t xml:space="preserve"> </w:t>
            </w:r>
            <w:r w:rsidRPr="000C156A">
              <w:rPr>
                <w:rFonts w:cs="Calibri"/>
                <w:sz w:val="22"/>
                <w:szCs w:val="22"/>
              </w:rPr>
              <w:t>092.65</w:t>
            </w:r>
          </w:p>
        </w:tc>
      </w:tr>
      <w:tr w:rsidR="00686EC7" w:rsidRPr="000C156A" w14:paraId="6FC8C6D0"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43E6C6DC" w14:textId="77777777" w:rsidR="00686EC7" w:rsidRPr="000C156A" w:rsidRDefault="00686EC7" w:rsidP="00141BAA">
            <w:pPr>
              <w:spacing w:before="0"/>
              <w:rPr>
                <w:b/>
                <w:bCs/>
                <w:sz w:val="22"/>
                <w:szCs w:val="22"/>
              </w:rPr>
            </w:pPr>
            <w:r w:rsidRPr="000C156A">
              <w:rPr>
                <w:rFonts w:hint="eastAsia"/>
                <w:b/>
                <w:bCs/>
                <w:sz w:val="22"/>
                <w:szCs w:val="22"/>
              </w:rPr>
              <w:t>赞比亚</w:t>
            </w:r>
          </w:p>
        </w:tc>
        <w:tc>
          <w:tcPr>
            <w:tcW w:w="1548" w:type="dxa"/>
            <w:tcBorders>
              <w:top w:val="nil"/>
              <w:left w:val="single" w:sz="4" w:space="0" w:color="auto"/>
              <w:bottom w:val="nil"/>
              <w:right w:val="single" w:sz="4" w:space="0" w:color="auto"/>
            </w:tcBorders>
            <w:shd w:val="clear" w:color="auto" w:fill="auto"/>
            <w:noWrap/>
            <w:vAlign w:val="bottom"/>
            <w:hideMark/>
          </w:tcPr>
          <w:p w14:paraId="0767AE15"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2F8E0C09"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777075C8"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3063628F" w14:textId="77777777" w:rsidR="00686EC7" w:rsidRPr="000C156A" w:rsidRDefault="00686EC7" w:rsidP="00141BAA">
            <w:pPr>
              <w:rPr>
                <w:rFonts w:ascii="Times New Roman" w:hAnsi="Times New Roman"/>
                <w:sz w:val="22"/>
                <w:szCs w:val="22"/>
              </w:rPr>
            </w:pPr>
          </w:p>
        </w:tc>
      </w:tr>
      <w:tr w:rsidR="00686EC7" w:rsidRPr="000C156A" w14:paraId="0BEAAC1C"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0480029E" w14:textId="0BFC0885" w:rsidR="00686EC7" w:rsidRPr="000C156A" w:rsidRDefault="00D93F72" w:rsidP="00D93F72">
            <w:pPr>
              <w:tabs>
                <w:tab w:val="clear" w:pos="567"/>
              </w:tabs>
              <w:spacing w:before="0"/>
              <w:ind w:left="317" w:hanging="317"/>
              <w:rPr>
                <w:sz w:val="22"/>
                <w:szCs w:val="22"/>
                <w:lang w:eastAsia="zh-CN"/>
              </w:rPr>
            </w:pPr>
            <w:r w:rsidRPr="000C156A">
              <w:rPr>
                <w:sz w:val="22"/>
                <w:szCs w:val="22"/>
                <w:lang w:eastAsia="zh-CN"/>
              </w:rPr>
              <w:t>–</w:t>
            </w:r>
            <w:r w:rsidRPr="000C156A">
              <w:rPr>
                <w:sz w:val="22"/>
                <w:szCs w:val="22"/>
                <w:lang w:eastAsia="zh-CN"/>
              </w:rPr>
              <w:tab/>
            </w:r>
            <w:r w:rsidR="00686EC7" w:rsidRPr="000C156A">
              <w:rPr>
                <w:rFonts w:cs="Calibri"/>
                <w:sz w:val="22"/>
                <w:szCs w:val="22"/>
                <w:lang w:val="fr-FR" w:eastAsia="zh-CN"/>
              </w:rPr>
              <w:t>Airtel</w:t>
            </w:r>
            <w:r w:rsidR="00686EC7" w:rsidRPr="000C156A">
              <w:rPr>
                <w:sz w:val="22"/>
                <w:szCs w:val="22"/>
                <w:lang w:eastAsia="zh-CN"/>
              </w:rPr>
              <w:t>赞比亚，</w:t>
            </w:r>
            <w:r w:rsidR="00686EC7" w:rsidRPr="000C156A">
              <w:rPr>
                <w:rFonts w:hint="eastAsia"/>
                <w:sz w:val="22"/>
                <w:szCs w:val="22"/>
                <w:lang w:eastAsia="zh-CN"/>
              </w:rPr>
              <w:t>卢萨卡</w:t>
            </w:r>
          </w:p>
        </w:tc>
        <w:tc>
          <w:tcPr>
            <w:tcW w:w="1548" w:type="dxa"/>
            <w:tcBorders>
              <w:top w:val="nil"/>
              <w:left w:val="single" w:sz="4" w:space="0" w:color="auto"/>
              <w:bottom w:val="nil"/>
              <w:right w:val="single" w:sz="4" w:space="0" w:color="auto"/>
            </w:tcBorders>
            <w:shd w:val="clear" w:color="auto" w:fill="auto"/>
            <w:noWrap/>
            <w:vAlign w:val="bottom"/>
            <w:hideMark/>
          </w:tcPr>
          <w:p w14:paraId="3DF10DFD" w14:textId="77777777" w:rsidR="00686EC7" w:rsidRPr="000C156A" w:rsidRDefault="00686EC7" w:rsidP="00141BAA">
            <w:pPr>
              <w:jc w:val="center"/>
              <w:rPr>
                <w:rFonts w:cs="Calibri"/>
                <w:sz w:val="22"/>
                <w:szCs w:val="22"/>
              </w:rPr>
            </w:pPr>
            <w:r w:rsidRPr="000C156A">
              <w:rPr>
                <w:rFonts w:cs="Calibri"/>
                <w:sz w:val="22"/>
                <w:szCs w:val="22"/>
              </w:rPr>
              <w:t>2014</w:t>
            </w:r>
          </w:p>
        </w:tc>
        <w:tc>
          <w:tcPr>
            <w:tcW w:w="1613" w:type="dxa"/>
            <w:tcBorders>
              <w:top w:val="nil"/>
              <w:left w:val="single" w:sz="4" w:space="0" w:color="auto"/>
              <w:bottom w:val="nil"/>
              <w:right w:val="single" w:sz="4" w:space="0" w:color="auto"/>
            </w:tcBorders>
            <w:shd w:val="clear" w:color="auto" w:fill="auto"/>
            <w:noWrap/>
            <w:vAlign w:val="bottom"/>
            <w:hideMark/>
          </w:tcPr>
          <w:p w14:paraId="63B26B4A" w14:textId="160153F2" w:rsidR="00686EC7" w:rsidRPr="000C156A" w:rsidRDefault="00686EC7" w:rsidP="00141BAA">
            <w:pPr>
              <w:jc w:val="right"/>
              <w:rPr>
                <w:rFonts w:cs="Calibri"/>
                <w:sz w:val="22"/>
                <w:szCs w:val="22"/>
              </w:rPr>
            </w:pPr>
            <w:r w:rsidRPr="000C156A">
              <w:rPr>
                <w:rFonts w:cs="Calibri"/>
                <w:sz w:val="22"/>
                <w:szCs w:val="22"/>
              </w:rPr>
              <w:t>95</w:t>
            </w:r>
            <w:r w:rsidR="001A59E5" w:rsidRPr="000C156A">
              <w:rPr>
                <w:rFonts w:cs="Calibri"/>
                <w:sz w:val="22"/>
                <w:szCs w:val="22"/>
              </w:rPr>
              <w:t xml:space="preserve"> </w:t>
            </w:r>
            <w:r w:rsidRPr="000C156A">
              <w:rPr>
                <w:rFonts w:cs="Calibri"/>
                <w:sz w:val="22"/>
                <w:szCs w:val="22"/>
              </w:rPr>
              <w:t>072.30</w:t>
            </w:r>
          </w:p>
        </w:tc>
        <w:tc>
          <w:tcPr>
            <w:tcW w:w="1434" w:type="dxa"/>
            <w:tcBorders>
              <w:top w:val="nil"/>
              <w:left w:val="single" w:sz="4" w:space="0" w:color="auto"/>
              <w:bottom w:val="nil"/>
              <w:right w:val="single" w:sz="4" w:space="0" w:color="auto"/>
            </w:tcBorders>
            <w:shd w:val="clear" w:color="auto" w:fill="auto"/>
            <w:noWrap/>
            <w:vAlign w:val="bottom"/>
            <w:hideMark/>
          </w:tcPr>
          <w:p w14:paraId="4ECAE18E"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583BDF19" w14:textId="39463414" w:rsidR="00686EC7" w:rsidRPr="000C156A" w:rsidRDefault="00686EC7" w:rsidP="00141BAA">
            <w:pPr>
              <w:jc w:val="right"/>
              <w:rPr>
                <w:rFonts w:cs="Calibri"/>
                <w:sz w:val="22"/>
                <w:szCs w:val="22"/>
              </w:rPr>
            </w:pPr>
            <w:r w:rsidRPr="000C156A">
              <w:rPr>
                <w:rFonts w:cs="Calibri"/>
                <w:sz w:val="22"/>
                <w:szCs w:val="22"/>
              </w:rPr>
              <w:t>95</w:t>
            </w:r>
            <w:r w:rsidR="001A59E5" w:rsidRPr="000C156A">
              <w:rPr>
                <w:rFonts w:cs="Calibri"/>
                <w:sz w:val="22"/>
                <w:szCs w:val="22"/>
              </w:rPr>
              <w:t xml:space="preserve"> </w:t>
            </w:r>
            <w:r w:rsidRPr="000C156A">
              <w:rPr>
                <w:rFonts w:cs="Calibri"/>
                <w:sz w:val="22"/>
                <w:szCs w:val="22"/>
              </w:rPr>
              <w:t>072.30</w:t>
            </w:r>
          </w:p>
        </w:tc>
      </w:tr>
      <w:tr w:rsidR="00686EC7" w:rsidRPr="000C156A" w14:paraId="5F8A23CE"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44D96279" w14:textId="77777777" w:rsidR="00686EC7" w:rsidRPr="000C156A" w:rsidRDefault="00686EC7" w:rsidP="00141BAA">
            <w:pPr>
              <w:overflowPunct/>
              <w:autoSpaceDE/>
              <w:autoSpaceDN/>
              <w:adjustRightInd/>
              <w:spacing w:before="0"/>
              <w:textAlignment w:val="auto"/>
              <w:rPr>
                <w:rFonts w:cs="Calibri"/>
                <w:b/>
                <w:bCs/>
                <w:sz w:val="22"/>
                <w:szCs w:val="22"/>
                <w:lang w:val="en-US" w:eastAsia="zh-CN"/>
              </w:rPr>
            </w:pPr>
            <w:r w:rsidRPr="000C156A">
              <w:rPr>
                <w:rFonts w:cs="Calibri" w:hint="eastAsia"/>
                <w:b/>
                <w:bCs/>
                <w:sz w:val="22"/>
                <w:szCs w:val="22"/>
                <w:lang w:val="en-US" w:eastAsia="zh-CN"/>
              </w:rPr>
              <w:t>津巴布韦</w:t>
            </w:r>
          </w:p>
        </w:tc>
        <w:tc>
          <w:tcPr>
            <w:tcW w:w="1548" w:type="dxa"/>
            <w:tcBorders>
              <w:top w:val="nil"/>
              <w:left w:val="single" w:sz="4" w:space="0" w:color="auto"/>
              <w:bottom w:val="nil"/>
              <w:right w:val="single" w:sz="4" w:space="0" w:color="auto"/>
            </w:tcBorders>
            <w:shd w:val="clear" w:color="auto" w:fill="auto"/>
            <w:noWrap/>
            <w:vAlign w:val="bottom"/>
            <w:hideMark/>
          </w:tcPr>
          <w:p w14:paraId="62A38D8D" w14:textId="77777777" w:rsidR="00686EC7" w:rsidRPr="000C156A" w:rsidRDefault="00686EC7" w:rsidP="00141BAA">
            <w:pPr>
              <w:rPr>
                <w:rFonts w:cs="Calibri"/>
                <w:b/>
                <w:bCs/>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377A5302" w14:textId="77777777" w:rsidR="00686EC7" w:rsidRPr="000C156A" w:rsidRDefault="00686EC7" w:rsidP="00141BAA">
            <w:pPr>
              <w:jc w:val="cente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6ACF4612"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2CC01248" w14:textId="77777777" w:rsidR="00686EC7" w:rsidRPr="000C156A" w:rsidRDefault="00686EC7" w:rsidP="00141BAA">
            <w:pPr>
              <w:rPr>
                <w:rFonts w:ascii="Times New Roman" w:hAnsi="Times New Roman"/>
                <w:sz w:val="22"/>
                <w:szCs w:val="22"/>
              </w:rPr>
            </w:pPr>
          </w:p>
        </w:tc>
      </w:tr>
      <w:tr w:rsidR="00686EC7" w:rsidRPr="000C156A" w14:paraId="7C25A123"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518C72E5" w14:textId="2DB93870" w:rsidR="00686EC7" w:rsidRPr="008A1B23" w:rsidRDefault="00D93F72" w:rsidP="00D93F72">
            <w:pPr>
              <w:tabs>
                <w:tab w:val="clear" w:pos="567"/>
              </w:tabs>
              <w:spacing w:before="0"/>
              <w:ind w:left="317" w:hanging="317"/>
              <w:rPr>
                <w:rFonts w:cs="Calibri"/>
                <w:sz w:val="22"/>
                <w:szCs w:val="22"/>
              </w:rPr>
            </w:pPr>
            <w:r w:rsidRPr="008A1B23">
              <w:rPr>
                <w:rFonts w:cs="Calibri"/>
                <w:sz w:val="22"/>
                <w:szCs w:val="22"/>
              </w:rPr>
              <w:t>–</w:t>
            </w:r>
            <w:r w:rsidRPr="008A1B23">
              <w:rPr>
                <w:rFonts w:cs="Calibri"/>
                <w:sz w:val="22"/>
                <w:szCs w:val="22"/>
              </w:rPr>
              <w:tab/>
            </w:r>
            <w:r w:rsidR="00686EC7" w:rsidRPr="008A1B23">
              <w:rPr>
                <w:rFonts w:cs="Calibri"/>
                <w:sz w:val="22"/>
                <w:szCs w:val="22"/>
              </w:rPr>
              <w:t>Econet Wireless (PVT) Ltd.</w:t>
            </w:r>
            <w:r w:rsidR="00686EC7" w:rsidRPr="008A1B23">
              <w:rPr>
                <w:rFonts w:cs="Calibri" w:hint="eastAsia"/>
                <w:sz w:val="22"/>
                <w:szCs w:val="22"/>
              </w:rPr>
              <w:t>，</w:t>
            </w:r>
            <w:r w:rsidR="00686EC7" w:rsidRPr="000C156A">
              <w:rPr>
                <w:rFonts w:cs="Calibri" w:hint="eastAsia"/>
                <w:sz w:val="22"/>
                <w:szCs w:val="22"/>
                <w:lang w:val="fr-FR"/>
              </w:rPr>
              <w:t>哈拉雷</w:t>
            </w:r>
          </w:p>
        </w:tc>
        <w:tc>
          <w:tcPr>
            <w:tcW w:w="1548" w:type="dxa"/>
            <w:tcBorders>
              <w:top w:val="nil"/>
              <w:left w:val="single" w:sz="4" w:space="0" w:color="auto"/>
              <w:bottom w:val="nil"/>
              <w:right w:val="single" w:sz="4" w:space="0" w:color="auto"/>
            </w:tcBorders>
            <w:shd w:val="clear" w:color="auto" w:fill="auto"/>
            <w:noWrap/>
            <w:vAlign w:val="bottom"/>
            <w:hideMark/>
          </w:tcPr>
          <w:p w14:paraId="1420ABF6" w14:textId="77777777" w:rsidR="00686EC7" w:rsidRPr="000C156A" w:rsidRDefault="00686EC7" w:rsidP="00141BAA">
            <w:pPr>
              <w:jc w:val="center"/>
              <w:rPr>
                <w:rFonts w:cs="Calibri"/>
                <w:sz w:val="22"/>
                <w:szCs w:val="22"/>
              </w:rPr>
            </w:pPr>
            <w:r w:rsidRPr="000C156A">
              <w:rPr>
                <w:rFonts w:cs="Calibri"/>
                <w:sz w:val="22"/>
                <w:szCs w:val="22"/>
              </w:rPr>
              <w:t>2018-2019</w:t>
            </w:r>
          </w:p>
        </w:tc>
        <w:tc>
          <w:tcPr>
            <w:tcW w:w="1613" w:type="dxa"/>
            <w:tcBorders>
              <w:top w:val="nil"/>
              <w:left w:val="single" w:sz="4" w:space="0" w:color="auto"/>
              <w:bottom w:val="nil"/>
              <w:right w:val="single" w:sz="4" w:space="0" w:color="auto"/>
            </w:tcBorders>
            <w:shd w:val="clear" w:color="auto" w:fill="auto"/>
            <w:noWrap/>
            <w:vAlign w:val="bottom"/>
            <w:hideMark/>
          </w:tcPr>
          <w:p w14:paraId="4471BE01" w14:textId="03BEEF2D" w:rsidR="00686EC7" w:rsidRPr="000C156A" w:rsidRDefault="00686EC7" w:rsidP="00141BAA">
            <w:pPr>
              <w:jc w:val="right"/>
              <w:rPr>
                <w:rFonts w:cs="Calibri"/>
                <w:sz w:val="22"/>
                <w:szCs w:val="22"/>
              </w:rPr>
            </w:pPr>
            <w:r w:rsidRPr="000C156A">
              <w:rPr>
                <w:rFonts w:cs="Calibri"/>
                <w:sz w:val="22"/>
                <w:szCs w:val="22"/>
              </w:rPr>
              <w:t>9</w:t>
            </w:r>
            <w:r w:rsidR="001A59E5" w:rsidRPr="000C156A">
              <w:rPr>
                <w:rFonts w:cs="Calibri"/>
                <w:sz w:val="22"/>
                <w:szCs w:val="22"/>
              </w:rPr>
              <w:t xml:space="preserve"> </w:t>
            </w:r>
            <w:r w:rsidRPr="000C156A">
              <w:rPr>
                <w:rFonts w:cs="Calibri"/>
                <w:sz w:val="22"/>
                <w:szCs w:val="22"/>
              </w:rPr>
              <w:t>172.35</w:t>
            </w:r>
          </w:p>
        </w:tc>
        <w:tc>
          <w:tcPr>
            <w:tcW w:w="1434" w:type="dxa"/>
            <w:tcBorders>
              <w:top w:val="nil"/>
              <w:left w:val="single" w:sz="4" w:space="0" w:color="auto"/>
              <w:bottom w:val="nil"/>
              <w:right w:val="single" w:sz="4" w:space="0" w:color="auto"/>
            </w:tcBorders>
            <w:shd w:val="clear" w:color="auto" w:fill="auto"/>
            <w:noWrap/>
            <w:vAlign w:val="bottom"/>
            <w:hideMark/>
          </w:tcPr>
          <w:p w14:paraId="5A930AB2"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560E42CD" w14:textId="1BF7F8B6" w:rsidR="00686EC7" w:rsidRPr="000C156A" w:rsidRDefault="00686EC7" w:rsidP="00141BAA">
            <w:pPr>
              <w:jc w:val="right"/>
              <w:rPr>
                <w:rFonts w:cs="Calibri"/>
                <w:sz w:val="22"/>
                <w:szCs w:val="22"/>
              </w:rPr>
            </w:pPr>
            <w:r w:rsidRPr="000C156A">
              <w:rPr>
                <w:rFonts w:cs="Calibri"/>
                <w:sz w:val="22"/>
                <w:szCs w:val="22"/>
              </w:rPr>
              <w:t>9</w:t>
            </w:r>
            <w:r w:rsidR="001A59E5" w:rsidRPr="000C156A">
              <w:rPr>
                <w:rFonts w:cs="Calibri"/>
                <w:sz w:val="22"/>
                <w:szCs w:val="22"/>
              </w:rPr>
              <w:t xml:space="preserve"> </w:t>
            </w:r>
            <w:r w:rsidRPr="000C156A">
              <w:rPr>
                <w:rFonts w:cs="Calibri"/>
                <w:sz w:val="22"/>
                <w:szCs w:val="22"/>
              </w:rPr>
              <w:t>172.35</w:t>
            </w:r>
          </w:p>
        </w:tc>
      </w:tr>
      <w:tr w:rsidR="00686EC7" w:rsidRPr="000C156A" w14:paraId="1B976700"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4AA3C6C8" w14:textId="424C5286" w:rsidR="00686EC7" w:rsidRPr="000C156A" w:rsidRDefault="00D93F72" w:rsidP="00D93F72">
            <w:pPr>
              <w:tabs>
                <w:tab w:val="clear" w:pos="567"/>
              </w:tabs>
              <w:spacing w:before="0"/>
              <w:ind w:left="317" w:hanging="317"/>
              <w:rPr>
                <w:rFonts w:cs="Calibri"/>
                <w:sz w:val="22"/>
                <w:szCs w:val="22"/>
                <w:lang w:val="fr-FR"/>
              </w:rPr>
            </w:pPr>
            <w:r w:rsidRPr="000C156A">
              <w:rPr>
                <w:rFonts w:cs="Calibri"/>
                <w:sz w:val="22"/>
                <w:szCs w:val="22"/>
                <w:lang w:val="fr-FR"/>
              </w:rPr>
              <w:t>–</w:t>
            </w:r>
            <w:r w:rsidRPr="000C156A">
              <w:rPr>
                <w:rFonts w:cs="Calibri"/>
                <w:sz w:val="22"/>
                <w:szCs w:val="22"/>
                <w:lang w:val="fr-FR"/>
              </w:rPr>
              <w:tab/>
            </w:r>
            <w:r w:rsidR="00686EC7" w:rsidRPr="000C156A">
              <w:rPr>
                <w:rFonts w:cs="Calibri"/>
                <w:sz w:val="22"/>
                <w:szCs w:val="22"/>
                <w:lang w:val="fr-FR"/>
              </w:rPr>
              <w:t>NetOne</w:t>
            </w:r>
            <w:r w:rsidR="00686EC7" w:rsidRPr="000C156A">
              <w:rPr>
                <w:rFonts w:cs="Calibri" w:hint="eastAsia"/>
                <w:sz w:val="22"/>
                <w:szCs w:val="22"/>
                <w:lang w:val="fr-FR"/>
              </w:rPr>
              <w:t>蜂窝公司，哈拉雷</w:t>
            </w:r>
          </w:p>
        </w:tc>
        <w:tc>
          <w:tcPr>
            <w:tcW w:w="1548" w:type="dxa"/>
            <w:tcBorders>
              <w:top w:val="nil"/>
              <w:left w:val="single" w:sz="4" w:space="0" w:color="auto"/>
              <w:bottom w:val="nil"/>
              <w:right w:val="single" w:sz="4" w:space="0" w:color="auto"/>
            </w:tcBorders>
            <w:shd w:val="clear" w:color="auto" w:fill="auto"/>
            <w:noWrap/>
            <w:vAlign w:val="bottom"/>
            <w:hideMark/>
          </w:tcPr>
          <w:p w14:paraId="080DC54B" w14:textId="77777777" w:rsidR="00686EC7" w:rsidRPr="000C156A" w:rsidRDefault="00686EC7" w:rsidP="00141BAA">
            <w:pPr>
              <w:jc w:val="center"/>
              <w:rPr>
                <w:rFonts w:cs="Calibri"/>
                <w:sz w:val="22"/>
                <w:szCs w:val="22"/>
              </w:rPr>
            </w:pPr>
            <w:r w:rsidRPr="000C156A">
              <w:rPr>
                <w:rFonts w:cs="Calibri"/>
                <w:sz w:val="22"/>
                <w:szCs w:val="22"/>
              </w:rPr>
              <w:t>2003-2006</w:t>
            </w:r>
          </w:p>
        </w:tc>
        <w:tc>
          <w:tcPr>
            <w:tcW w:w="1613" w:type="dxa"/>
            <w:tcBorders>
              <w:top w:val="nil"/>
              <w:left w:val="single" w:sz="4" w:space="0" w:color="auto"/>
              <w:bottom w:val="nil"/>
              <w:right w:val="single" w:sz="4" w:space="0" w:color="auto"/>
            </w:tcBorders>
            <w:shd w:val="clear" w:color="auto" w:fill="auto"/>
            <w:noWrap/>
            <w:vAlign w:val="bottom"/>
            <w:hideMark/>
          </w:tcPr>
          <w:p w14:paraId="13569189" w14:textId="148ED3AF" w:rsidR="00686EC7" w:rsidRPr="000C156A" w:rsidRDefault="00686EC7" w:rsidP="00141BAA">
            <w:pPr>
              <w:jc w:val="right"/>
              <w:rPr>
                <w:rFonts w:cs="Calibri"/>
                <w:sz w:val="22"/>
                <w:szCs w:val="22"/>
              </w:rPr>
            </w:pPr>
            <w:r w:rsidRPr="000C156A">
              <w:rPr>
                <w:rFonts w:cs="Calibri"/>
                <w:sz w:val="22"/>
                <w:szCs w:val="22"/>
              </w:rPr>
              <w:t>351</w:t>
            </w:r>
            <w:r w:rsidR="001A59E5" w:rsidRPr="000C156A">
              <w:rPr>
                <w:rFonts w:cs="Calibri"/>
                <w:sz w:val="22"/>
                <w:szCs w:val="22"/>
              </w:rPr>
              <w:t xml:space="preserve"> </w:t>
            </w:r>
            <w:r w:rsidRPr="000C156A">
              <w:rPr>
                <w:rFonts w:cs="Calibri"/>
                <w:sz w:val="22"/>
                <w:szCs w:val="22"/>
              </w:rPr>
              <w:t>715.18</w:t>
            </w:r>
          </w:p>
        </w:tc>
        <w:tc>
          <w:tcPr>
            <w:tcW w:w="1434" w:type="dxa"/>
            <w:tcBorders>
              <w:top w:val="nil"/>
              <w:left w:val="single" w:sz="4" w:space="0" w:color="auto"/>
              <w:bottom w:val="nil"/>
              <w:right w:val="single" w:sz="4" w:space="0" w:color="auto"/>
            </w:tcBorders>
            <w:shd w:val="clear" w:color="auto" w:fill="auto"/>
            <w:noWrap/>
            <w:vAlign w:val="bottom"/>
            <w:hideMark/>
          </w:tcPr>
          <w:p w14:paraId="7B19EC96"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2C96430F" w14:textId="70BE1817" w:rsidR="00686EC7" w:rsidRPr="000C156A" w:rsidRDefault="00686EC7" w:rsidP="00141BAA">
            <w:pPr>
              <w:jc w:val="right"/>
              <w:rPr>
                <w:rFonts w:cs="Calibri"/>
                <w:sz w:val="22"/>
                <w:szCs w:val="22"/>
              </w:rPr>
            </w:pPr>
            <w:r w:rsidRPr="000C156A">
              <w:rPr>
                <w:rFonts w:cs="Calibri"/>
                <w:sz w:val="22"/>
                <w:szCs w:val="22"/>
              </w:rPr>
              <w:t>351</w:t>
            </w:r>
            <w:r w:rsidR="001A59E5" w:rsidRPr="000C156A">
              <w:rPr>
                <w:rFonts w:cs="Calibri"/>
                <w:sz w:val="22"/>
                <w:szCs w:val="22"/>
              </w:rPr>
              <w:t xml:space="preserve"> </w:t>
            </w:r>
            <w:r w:rsidRPr="000C156A">
              <w:rPr>
                <w:rFonts w:cs="Calibri"/>
                <w:sz w:val="22"/>
                <w:szCs w:val="22"/>
              </w:rPr>
              <w:t>715.18</w:t>
            </w:r>
          </w:p>
        </w:tc>
      </w:tr>
      <w:tr w:rsidR="00686EC7" w:rsidRPr="000C156A" w14:paraId="193E0C79"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1A572898" w14:textId="125EBFDC" w:rsidR="00686EC7" w:rsidRPr="008A1B23" w:rsidRDefault="00D93F72" w:rsidP="00D93F72">
            <w:pPr>
              <w:tabs>
                <w:tab w:val="clear" w:pos="567"/>
              </w:tabs>
              <w:spacing w:before="0"/>
              <w:ind w:left="317" w:hanging="317"/>
              <w:rPr>
                <w:rFonts w:cs="Calibri"/>
                <w:sz w:val="22"/>
                <w:szCs w:val="22"/>
              </w:rPr>
            </w:pPr>
            <w:r w:rsidRPr="008A1B23">
              <w:rPr>
                <w:rFonts w:cs="Calibri"/>
                <w:sz w:val="22"/>
                <w:szCs w:val="22"/>
              </w:rPr>
              <w:t>–</w:t>
            </w:r>
            <w:r w:rsidRPr="008A1B23">
              <w:rPr>
                <w:rFonts w:cs="Calibri"/>
                <w:sz w:val="22"/>
                <w:szCs w:val="22"/>
              </w:rPr>
              <w:tab/>
            </w:r>
            <w:r w:rsidR="00686EC7" w:rsidRPr="008A1B23">
              <w:rPr>
                <w:rFonts w:cs="Calibri"/>
                <w:sz w:val="22"/>
                <w:szCs w:val="22"/>
              </w:rPr>
              <w:t>TelOne (Pvt)</w:t>
            </w:r>
            <w:r w:rsidR="00686EC7" w:rsidRPr="000C156A">
              <w:rPr>
                <w:rFonts w:cs="Calibri" w:hint="eastAsia"/>
                <w:sz w:val="22"/>
                <w:szCs w:val="22"/>
                <w:lang w:val="fr-FR"/>
              </w:rPr>
              <w:t>有限公司</w:t>
            </w:r>
            <w:r w:rsidR="00686EC7" w:rsidRPr="008A1B23">
              <w:rPr>
                <w:rFonts w:cs="Calibri" w:hint="eastAsia"/>
                <w:sz w:val="22"/>
                <w:szCs w:val="22"/>
              </w:rPr>
              <w:t>，</w:t>
            </w:r>
            <w:r w:rsidR="00686EC7" w:rsidRPr="000C156A">
              <w:rPr>
                <w:rFonts w:cs="Calibri" w:hint="eastAsia"/>
                <w:sz w:val="22"/>
                <w:szCs w:val="22"/>
                <w:lang w:val="fr-FR"/>
              </w:rPr>
              <w:t>哈拉雷</w:t>
            </w:r>
          </w:p>
        </w:tc>
        <w:tc>
          <w:tcPr>
            <w:tcW w:w="1548" w:type="dxa"/>
            <w:tcBorders>
              <w:top w:val="nil"/>
              <w:left w:val="single" w:sz="4" w:space="0" w:color="auto"/>
              <w:bottom w:val="nil"/>
              <w:right w:val="single" w:sz="4" w:space="0" w:color="auto"/>
            </w:tcBorders>
            <w:shd w:val="clear" w:color="auto" w:fill="auto"/>
            <w:noWrap/>
            <w:vAlign w:val="bottom"/>
            <w:hideMark/>
          </w:tcPr>
          <w:p w14:paraId="1CBD0E89" w14:textId="77777777" w:rsidR="00686EC7" w:rsidRPr="000C156A" w:rsidRDefault="00686EC7" w:rsidP="00141BAA">
            <w:pPr>
              <w:jc w:val="center"/>
              <w:rPr>
                <w:rFonts w:cs="Calibri"/>
                <w:sz w:val="22"/>
                <w:szCs w:val="22"/>
              </w:rPr>
            </w:pPr>
            <w:r w:rsidRPr="000C156A">
              <w:rPr>
                <w:rFonts w:cs="Calibri"/>
                <w:sz w:val="22"/>
                <w:szCs w:val="22"/>
              </w:rPr>
              <w:t>2016-2018</w:t>
            </w:r>
          </w:p>
        </w:tc>
        <w:tc>
          <w:tcPr>
            <w:tcW w:w="1613" w:type="dxa"/>
            <w:tcBorders>
              <w:top w:val="nil"/>
              <w:left w:val="single" w:sz="4" w:space="0" w:color="auto"/>
              <w:bottom w:val="nil"/>
              <w:right w:val="single" w:sz="4" w:space="0" w:color="auto"/>
            </w:tcBorders>
            <w:shd w:val="clear" w:color="auto" w:fill="auto"/>
            <w:noWrap/>
            <w:vAlign w:val="bottom"/>
            <w:hideMark/>
          </w:tcPr>
          <w:p w14:paraId="1BE363E8" w14:textId="78EC9006" w:rsidR="00686EC7" w:rsidRPr="000C156A" w:rsidRDefault="00686EC7" w:rsidP="00141BAA">
            <w:pPr>
              <w:jc w:val="right"/>
              <w:rPr>
                <w:rFonts w:cs="Calibri"/>
                <w:sz w:val="22"/>
                <w:szCs w:val="22"/>
              </w:rPr>
            </w:pPr>
            <w:r w:rsidRPr="000C156A">
              <w:rPr>
                <w:rFonts w:cs="Calibri"/>
                <w:sz w:val="22"/>
                <w:szCs w:val="22"/>
              </w:rPr>
              <w:t>80</w:t>
            </w:r>
            <w:r w:rsidR="001A59E5" w:rsidRPr="000C156A">
              <w:rPr>
                <w:rFonts w:cs="Calibri"/>
                <w:sz w:val="22"/>
                <w:szCs w:val="22"/>
              </w:rPr>
              <w:t xml:space="preserve"> </w:t>
            </w:r>
            <w:r w:rsidRPr="000C156A">
              <w:rPr>
                <w:rFonts w:cs="Calibri"/>
                <w:sz w:val="22"/>
                <w:szCs w:val="22"/>
              </w:rPr>
              <w:t>282.40</w:t>
            </w:r>
          </w:p>
        </w:tc>
        <w:tc>
          <w:tcPr>
            <w:tcW w:w="1434" w:type="dxa"/>
            <w:tcBorders>
              <w:top w:val="nil"/>
              <w:left w:val="single" w:sz="4" w:space="0" w:color="auto"/>
              <w:bottom w:val="nil"/>
              <w:right w:val="single" w:sz="4" w:space="0" w:color="auto"/>
            </w:tcBorders>
            <w:shd w:val="clear" w:color="auto" w:fill="auto"/>
            <w:noWrap/>
            <w:vAlign w:val="bottom"/>
            <w:hideMark/>
          </w:tcPr>
          <w:p w14:paraId="7D7C6F5A"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29C8D91E" w14:textId="004421FD" w:rsidR="00686EC7" w:rsidRPr="000C156A" w:rsidRDefault="00686EC7" w:rsidP="00141BAA">
            <w:pPr>
              <w:jc w:val="right"/>
              <w:rPr>
                <w:rFonts w:cs="Calibri"/>
                <w:sz w:val="22"/>
                <w:szCs w:val="22"/>
              </w:rPr>
            </w:pPr>
            <w:r w:rsidRPr="000C156A">
              <w:rPr>
                <w:rFonts w:cs="Calibri"/>
                <w:sz w:val="22"/>
                <w:szCs w:val="22"/>
              </w:rPr>
              <w:t>80</w:t>
            </w:r>
            <w:r w:rsidR="001A59E5" w:rsidRPr="000C156A">
              <w:rPr>
                <w:rFonts w:cs="Calibri"/>
                <w:sz w:val="22"/>
                <w:szCs w:val="22"/>
              </w:rPr>
              <w:t xml:space="preserve"> </w:t>
            </w:r>
            <w:r w:rsidRPr="000C156A">
              <w:rPr>
                <w:rFonts w:cs="Calibri"/>
                <w:sz w:val="22"/>
                <w:szCs w:val="22"/>
              </w:rPr>
              <w:t>282.40</w:t>
            </w:r>
          </w:p>
        </w:tc>
      </w:tr>
      <w:tr w:rsidR="00686EC7" w:rsidRPr="000C156A" w14:paraId="128F1B54"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7C7136C0" w14:textId="715FE038"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津巴布韦大学，哈拉雷</w:t>
            </w:r>
          </w:p>
        </w:tc>
        <w:tc>
          <w:tcPr>
            <w:tcW w:w="1548" w:type="dxa"/>
            <w:tcBorders>
              <w:top w:val="nil"/>
              <w:left w:val="single" w:sz="4" w:space="0" w:color="auto"/>
              <w:bottom w:val="nil"/>
              <w:right w:val="single" w:sz="4" w:space="0" w:color="auto"/>
            </w:tcBorders>
            <w:shd w:val="clear" w:color="auto" w:fill="auto"/>
            <w:noWrap/>
            <w:vAlign w:val="bottom"/>
            <w:hideMark/>
          </w:tcPr>
          <w:p w14:paraId="1E4E57D1" w14:textId="77777777" w:rsidR="00686EC7" w:rsidRPr="000C156A" w:rsidRDefault="00686EC7" w:rsidP="00141BAA">
            <w:pPr>
              <w:jc w:val="center"/>
              <w:rPr>
                <w:rFonts w:cs="Calibri"/>
                <w:sz w:val="22"/>
                <w:szCs w:val="22"/>
              </w:rPr>
            </w:pPr>
            <w:r w:rsidRPr="000C156A">
              <w:rPr>
                <w:rFonts w:cs="Calibri"/>
                <w:sz w:val="22"/>
                <w:szCs w:val="22"/>
              </w:rPr>
              <w:t>2008-2009</w:t>
            </w:r>
          </w:p>
        </w:tc>
        <w:tc>
          <w:tcPr>
            <w:tcW w:w="1613" w:type="dxa"/>
            <w:tcBorders>
              <w:top w:val="nil"/>
              <w:left w:val="single" w:sz="4" w:space="0" w:color="auto"/>
              <w:bottom w:val="nil"/>
              <w:right w:val="single" w:sz="4" w:space="0" w:color="auto"/>
            </w:tcBorders>
            <w:shd w:val="clear" w:color="auto" w:fill="auto"/>
            <w:noWrap/>
            <w:vAlign w:val="bottom"/>
            <w:hideMark/>
          </w:tcPr>
          <w:p w14:paraId="3E8BAE57" w14:textId="2FBA093B" w:rsidR="00686EC7" w:rsidRPr="000C156A" w:rsidRDefault="00686EC7" w:rsidP="00141BAA">
            <w:pPr>
              <w:jc w:val="right"/>
              <w:rPr>
                <w:rFonts w:cs="Calibri"/>
                <w:sz w:val="22"/>
                <w:szCs w:val="22"/>
              </w:rPr>
            </w:pPr>
            <w:r w:rsidRPr="000C156A">
              <w:rPr>
                <w:rFonts w:cs="Calibri"/>
                <w:sz w:val="22"/>
                <w:szCs w:val="22"/>
              </w:rPr>
              <w:t>25</w:t>
            </w:r>
            <w:r w:rsidR="001A59E5" w:rsidRPr="000C156A">
              <w:rPr>
                <w:rFonts w:cs="Calibri"/>
                <w:sz w:val="22"/>
                <w:szCs w:val="22"/>
              </w:rPr>
              <w:t xml:space="preserve"> </w:t>
            </w:r>
            <w:r w:rsidRPr="000C156A">
              <w:rPr>
                <w:rFonts w:cs="Calibri"/>
                <w:sz w:val="22"/>
                <w:szCs w:val="22"/>
              </w:rPr>
              <w:t>209.85</w:t>
            </w:r>
          </w:p>
        </w:tc>
        <w:tc>
          <w:tcPr>
            <w:tcW w:w="1434" w:type="dxa"/>
            <w:tcBorders>
              <w:top w:val="nil"/>
              <w:left w:val="single" w:sz="4" w:space="0" w:color="auto"/>
              <w:bottom w:val="nil"/>
              <w:right w:val="single" w:sz="4" w:space="0" w:color="auto"/>
            </w:tcBorders>
            <w:shd w:val="clear" w:color="auto" w:fill="auto"/>
            <w:noWrap/>
            <w:vAlign w:val="bottom"/>
            <w:hideMark/>
          </w:tcPr>
          <w:p w14:paraId="0FAC090A"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55E37868" w14:textId="41E455A4" w:rsidR="00686EC7" w:rsidRPr="000C156A" w:rsidRDefault="00686EC7" w:rsidP="00141BAA">
            <w:pPr>
              <w:jc w:val="right"/>
              <w:rPr>
                <w:rFonts w:cs="Calibri"/>
                <w:sz w:val="22"/>
                <w:szCs w:val="22"/>
              </w:rPr>
            </w:pPr>
            <w:r w:rsidRPr="000C156A">
              <w:rPr>
                <w:rFonts w:cs="Calibri"/>
                <w:sz w:val="22"/>
                <w:szCs w:val="22"/>
              </w:rPr>
              <w:t>25</w:t>
            </w:r>
            <w:r w:rsidR="001A59E5" w:rsidRPr="000C156A">
              <w:rPr>
                <w:rFonts w:cs="Calibri"/>
                <w:sz w:val="22"/>
                <w:szCs w:val="22"/>
              </w:rPr>
              <w:t xml:space="preserve"> </w:t>
            </w:r>
            <w:r w:rsidRPr="000C156A">
              <w:rPr>
                <w:rFonts w:cs="Calibri"/>
                <w:sz w:val="22"/>
                <w:szCs w:val="22"/>
              </w:rPr>
              <w:t>209.85</w:t>
            </w:r>
          </w:p>
        </w:tc>
      </w:tr>
      <w:tr w:rsidR="00686EC7" w:rsidRPr="000C156A" w14:paraId="4DE85F65"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17182E6C" w14:textId="77777777" w:rsidR="00686EC7" w:rsidRPr="000C156A" w:rsidRDefault="00686EC7" w:rsidP="00141BAA">
            <w:pPr>
              <w:spacing w:before="0"/>
              <w:rPr>
                <w:b/>
                <w:bCs/>
                <w:sz w:val="22"/>
                <w:szCs w:val="22"/>
                <w:lang w:eastAsia="zh-CN"/>
              </w:rPr>
            </w:pPr>
            <w:r w:rsidRPr="000C156A">
              <w:rPr>
                <w:rFonts w:hint="eastAsia"/>
                <w:b/>
                <w:bCs/>
                <w:sz w:val="22"/>
                <w:szCs w:val="22"/>
                <w:lang w:eastAsia="zh-CN"/>
              </w:rPr>
              <w:t>第</w:t>
            </w:r>
            <w:r w:rsidRPr="000C156A">
              <w:rPr>
                <w:rFonts w:hint="eastAsia"/>
                <w:b/>
                <w:bCs/>
                <w:sz w:val="22"/>
                <w:szCs w:val="22"/>
                <w:lang w:eastAsia="zh-CN"/>
              </w:rPr>
              <w:t>99</w:t>
            </w:r>
            <w:r w:rsidRPr="000C156A">
              <w:rPr>
                <w:rFonts w:hint="eastAsia"/>
                <w:b/>
                <w:bCs/>
                <w:sz w:val="22"/>
                <w:szCs w:val="22"/>
                <w:lang w:eastAsia="zh-CN"/>
              </w:rPr>
              <w:t>号</w:t>
            </w:r>
            <w:r w:rsidRPr="000C156A">
              <w:rPr>
                <w:b/>
                <w:bCs/>
                <w:sz w:val="22"/>
                <w:szCs w:val="22"/>
                <w:lang w:eastAsia="zh-CN"/>
              </w:rPr>
              <w:t>决议（</w:t>
            </w:r>
            <w:r w:rsidRPr="000C156A">
              <w:rPr>
                <w:rFonts w:hint="eastAsia"/>
                <w:b/>
                <w:bCs/>
                <w:sz w:val="22"/>
                <w:szCs w:val="22"/>
                <w:lang w:eastAsia="zh-CN"/>
              </w:rPr>
              <w:t>2018</w:t>
            </w:r>
            <w:r w:rsidRPr="000C156A">
              <w:rPr>
                <w:rFonts w:hint="eastAsia"/>
                <w:b/>
                <w:bCs/>
                <w:sz w:val="22"/>
                <w:szCs w:val="22"/>
                <w:lang w:eastAsia="zh-CN"/>
              </w:rPr>
              <w:t>年，迪拜</w:t>
            </w:r>
            <w:r w:rsidRPr="000C156A">
              <w:rPr>
                <w:b/>
                <w:bCs/>
                <w:sz w:val="22"/>
                <w:szCs w:val="22"/>
                <w:lang w:eastAsia="zh-CN"/>
              </w:rPr>
              <w:t>，修订版）</w:t>
            </w:r>
          </w:p>
        </w:tc>
        <w:tc>
          <w:tcPr>
            <w:tcW w:w="1548" w:type="dxa"/>
            <w:tcBorders>
              <w:top w:val="nil"/>
              <w:left w:val="single" w:sz="4" w:space="0" w:color="auto"/>
              <w:bottom w:val="nil"/>
              <w:right w:val="single" w:sz="4" w:space="0" w:color="auto"/>
            </w:tcBorders>
            <w:shd w:val="clear" w:color="auto" w:fill="auto"/>
            <w:noWrap/>
            <w:vAlign w:val="bottom"/>
            <w:hideMark/>
          </w:tcPr>
          <w:p w14:paraId="15B9B4F6" w14:textId="77777777" w:rsidR="00686EC7" w:rsidRPr="000C156A" w:rsidRDefault="00686EC7" w:rsidP="00141BAA">
            <w:pPr>
              <w:rPr>
                <w:rFonts w:cs="Calibri"/>
                <w:b/>
                <w:bCs/>
                <w:sz w:val="22"/>
                <w:szCs w:val="22"/>
                <w:lang w:eastAsia="zh-CN"/>
              </w:rPr>
            </w:pPr>
          </w:p>
        </w:tc>
        <w:tc>
          <w:tcPr>
            <w:tcW w:w="1613" w:type="dxa"/>
            <w:tcBorders>
              <w:top w:val="nil"/>
              <w:left w:val="single" w:sz="4" w:space="0" w:color="auto"/>
              <w:bottom w:val="nil"/>
              <w:right w:val="single" w:sz="4" w:space="0" w:color="auto"/>
            </w:tcBorders>
            <w:shd w:val="clear" w:color="auto" w:fill="auto"/>
            <w:noWrap/>
            <w:vAlign w:val="bottom"/>
            <w:hideMark/>
          </w:tcPr>
          <w:p w14:paraId="105FFF09" w14:textId="77777777" w:rsidR="00686EC7" w:rsidRPr="000C156A" w:rsidRDefault="00686EC7" w:rsidP="00141BAA">
            <w:pPr>
              <w:jc w:val="center"/>
              <w:rPr>
                <w:rFonts w:ascii="Times New Roman" w:hAnsi="Times New Roman"/>
                <w:sz w:val="22"/>
                <w:szCs w:val="22"/>
                <w:lang w:eastAsia="zh-CN"/>
              </w:rPr>
            </w:pPr>
          </w:p>
        </w:tc>
        <w:tc>
          <w:tcPr>
            <w:tcW w:w="1434" w:type="dxa"/>
            <w:tcBorders>
              <w:top w:val="nil"/>
              <w:left w:val="single" w:sz="4" w:space="0" w:color="auto"/>
              <w:bottom w:val="nil"/>
              <w:right w:val="single" w:sz="4" w:space="0" w:color="auto"/>
            </w:tcBorders>
            <w:shd w:val="clear" w:color="auto" w:fill="auto"/>
            <w:noWrap/>
            <w:vAlign w:val="bottom"/>
            <w:hideMark/>
          </w:tcPr>
          <w:p w14:paraId="4DC7C28D" w14:textId="77777777" w:rsidR="00686EC7" w:rsidRPr="000C156A" w:rsidRDefault="00686EC7" w:rsidP="00141BAA">
            <w:pPr>
              <w:rPr>
                <w:rFonts w:ascii="Times New Roman" w:hAnsi="Times New Roman"/>
                <w:sz w:val="22"/>
                <w:szCs w:val="22"/>
                <w:lang w:eastAsia="zh-CN"/>
              </w:rPr>
            </w:pPr>
          </w:p>
        </w:tc>
        <w:tc>
          <w:tcPr>
            <w:tcW w:w="1613" w:type="dxa"/>
            <w:tcBorders>
              <w:top w:val="nil"/>
              <w:left w:val="single" w:sz="4" w:space="0" w:color="auto"/>
              <w:bottom w:val="nil"/>
              <w:right w:val="single" w:sz="4" w:space="0" w:color="auto"/>
            </w:tcBorders>
            <w:shd w:val="clear" w:color="auto" w:fill="auto"/>
            <w:noWrap/>
            <w:vAlign w:val="bottom"/>
            <w:hideMark/>
          </w:tcPr>
          <w:p w14:paraId="037F839A" w14:textId="77777777" w:rsidR="00686EC7" w:rsidRPr="000C156A" w:rsidRDefault="00686EC7" w:rsidP="00141BAA">
            <w:pPr>
              <w:rPr>
                <w:rFonts w:ascii="Times New Roman" w:hAnsi="Times New Roman"/>
                <w:sz w:val="22"/>
                <w:szCs w:val="22"/>
                <w:lang w:eastAsia="zh-CN"/>
              </w:rPr>
            </w:pPr>
          </w:p>
        </w:tc>
      </w:tr>
      <w:tr w:rsidR="00686EC7" w:rsidRPr="000C156A" w14:paraId="7265C2CC" w14:textId="77777777" w:rsidTr="00141BAA">
        <w:trPr>
          <w:trHeight w:val="300"/>
          <w:jc w:val="center"/>
        </w:trPr>
        <w:tc>
          <w:tcPr>
            <w:tcW w:w="4106" w:type="dxa"/>
            <w:tcBorders>
              <w:top w:val="nil"/>
              <w:left w:val="single" w:sz="4" w:space="0" w:color="auto"/>
              <w:bottom w:val="nil"/>
              <w:right w:val="single" w:sz="4" w:space="0" w:color="auto"/>
            </w:tcBorders>
            <w:shd w:val="clear" w:color="auto" w:fill="auto"/>
            <w:vAlign w:val="bottom"/>
            <w:hideMark/>
          </w:tcPr>
          <w:p w14:paraId="66A08539" w14:textId="232DA190"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sz w:val="22"/>
                <w:szCs w:val="22"/>
                <w:lang w:val="fr-FR" w:eastAsia="zh-CN"/>
              </w:rPr>
              <w:t>BCI</w:t>
            </w:r>
            <w:r w:rsidR="00686EC7" w:rsidRPr="000C156A">
              <w:rPr>
                <w:rFonts w:cs="Calibri" w:hint="eastAsia"/>
                <w:sz w:val="22"/>
                <w:szCs w:val="22"/>
                <w:lang w:val="fr-FR" w:eastAsia="zh-CN"/>
              </w:rPr>
              <w:t>通信和先进技术</w:t>
            </w:r>
            <w:r w:rsidR="00686EC7" w:rsidRPr="000C156A">
              <w:rPr>
                <w:rFonts w:cs="Calibri"/>
                <w:sz w:val="22"/>
                <w:szCs w:val="22"/>
                <w:lang w:val="fr-FR" w:eastAsia="zh-CN"/>
              </w:rPr>
              <w:t>，</w:t>
            </w:r>
            <w:r w:rsidR="00686EC7" w:rsidRPr="000C156A">
              <w:rPr>
                <w:rFonts w:cs="Calibri" w:hint="eastAsia"/>
                <w:sz w:val="22"/>
                <w:szCs w:val="22"/>
                <w:lang w:val="fr-FR" w:eastAsia="zh-CN"/>
              </w:rPr>
              <w:t>拉马拉</w:t>
            </w:r>
          </w:p>
        </w:tc>
        <w:tc>
          <w:tcPr>
            <w:tcW w:w="1548" w:type="dxa"/>
            <w:tcBorders>
              <w:top w:val="nil"/>
              <w:left w:val="single" w:sz="4" w:space="0" w:color="auto"/>
              <w:bottom w:val="nil"/>
              <w:right w:val="single" w:sz="4" w:space="0" w:color="auto"/>
            </w:tcBorders>
            <w:shd w:val="clear" w:color="auto" w:fill="auto"/>
            <w:noWrap/>
            <w:vAlign w:val="bottom"/>
            <w:hideMark/>
          </w:tcPr>
          <w:p w14:paraId="3723CC40" w14:textId="77777777" w:rsidR="00686EC7" w:rsidRPr="000C156A" w:rsidRDefault="00686EC7" w:rsidP="00141BAA">
            <w:pPr>
              <w:jc w:val="center"/>
              <w:rPr>
                <w:rFonts w:cs="Calibri"/>
                <w:sz w:val="22"/>
                <w:szCs w:val="22"/>
              </w:rPr>
            </w:pPr>
            <w:r w:rsidRPr="000C156A">
              <w:rPr>
                <w:rFonts w:cs="Calibri"/>
                <w:sz w:val="22"/>
                <w:szCs w:val="22"/>
              </w:rPr>
              <w:t>2007-2008</w:t>
            </w:r>
          </w:p>
        </w:tc>
        <w:tc>
          <w:tcPr>
            <w:tcW w:w="1613" w:type="dxa"/>
            <w:tcBorders>
              <w:top w:val="nil"/>
              <w:left w:val="single" w:sz="4" w:space="0" w:color="auto"/>
              <w:bottom w:val="nil"/>
              <w:right w:val="single" w:sz="4" w:space="0" w:color="auto"/>
            </w:tcBorders>
            <w:shd w:val="clear" w:color="auto" w:fill="auto"/>
            <w:noWrap/>
            <w:vAlign w:val="bottom"/>
            <w:hideMark/>
          </w:tcPr>
          <w:p w14:paraId="735F8658" w14:textId="29E3B8EA" w:rsidR="00686EC7" w:rsidRPr="000C156A" w:rsidRDefault="00686EC7" w:rsidP="00141BAA">
            <w:pPr>
              <w:jc w:val="right"/>
              <w:rPr>
                <w:rFonts w:cs="Calibri"/>
                <w:sz w:val="22"/>
                <w:szCs w:val="22"/>
              </w:rPr>
            </w:pPr>
            <w:r w:rsidRPr="000C156A">
              <w:rPr>
                <w:rFonts w:cs="Calibri"/>
                <w:sz w:val="22"/>
                <w:szCs w:val="22"/>
              </w:rPr>
              <w:t>10</w:t>
            </w:r>
            <w:r w:rsidR="001A59E5" w:rsidRPr="000C156A">
              <w:rPr>
                <w:rFonts w:cs="Calibri"/>
                <w:sz w:val="22"/>
                <w:szCs w:val="22"/>
              </w:rPr>
              <w:t xml:space="preserve"> </w:t>
            </w:r>
            <w:r w:rsidRPr="000C156A">
              <w:rPr>
                <w:rFonts w:cs="Calibri"/>
                <w:sz w:val="22"/>
                <w:szCs w:val="22"/>
              </w:rPr>
              <w:t>418.25</w:t>
            </w:r>
          </w:p>
        </w:tc>
        <w:tc>
          <w:tcPr>
            <w:tcW w:w="1434" w:type="dxa"/>
            <w:tcBorders>
              <w:top w:val="nil"/>
              <w:left w:val="single" w:sz="4" w:space="0" w:color="auto"/>
              <w:bottom w:val="nil"/>
              <w:right w:val="single" w:sz="4" w:space="0" w:color="auto"/>
            </w:tcBorders>
            <w:shd w:val="clear" w:color="auto" w:fill="auto"/>
            <w:noWrap/>
            <w:vAlign w:val="bottom"/>
            <w:hideMark/>
          </w:tcPr>
          <w:p w14:paraId="32B1C8AB"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nil"/>
              <w:right w:val="single" w:sz="4" w:space="0" w:color="auto"/>
            </w:tcBorders>
            <w:shd w:val="clear" w:color="auto" w:fill="auto"/>
            <w:noWrap/>
            <w:vAlign w:val="bottom"/>
            <w:hideMark/>
          </w:tcPr>
          <w:p w14:paraId="696C14C5" w14:textId="7D5DB3DD" w:rsidR="00686EC7" w:rsidRPr="000C156A" w:rsidRDefault="00686EC7" w:rsidP="00141BAA">
            <w:pPr>
              <w:jc w:val="right"/>
              <w:rPr>
                <w:rFonts w:cs="Calibri"/>
                <w:sz w:val="22"/>
                <w:szCs w:val="22"/>
              </w:rPr>
            </w:pPr>
            <w:r w:rsidRPr="000C156A">
              <w:rPr>
                <w:rFonts w:cs="Calibri"/>
                <w:sz w:val="22"/>
                <w:szCs w:val="22"/>
              </w:rPr>
              <w:t>10</w:t>
            </w:r>
            <w:r w:rsidR="001A59E5" w:rsidRPr="000C156A">
              <w:rPr>
                <w:rFonts w:cs="Calibri"/>
                <w:sz w:val="22"/>
                <w:szCs w:val="22"/>
              </w:rPr>
              <w:t xml:space="preserve"> </w:t>
            </w:r>
            <w:r w:rsidRPr="000C156A">
              <w:rPr>
                <w:rFonts w:cs="Calibri"/>
                <w:sz w:val="22"/>
                <w:szCs w:val="22"/>
              </w:rPr>
              <w:t>418.25</w:t>
            </w:r>
          </w:p>
        </w:tc>
      </w:tr>
      <w:tr w:rsidR="00686EC7" w:rsidRPr="000C156A" w14:paraId="2B26B55C" w14:textId="77777777" w:rsidTr="00141BAA">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4EF0844" w14:textId="22A55445" w:rsidR="00686EC7" w:rsidRPr="000C156A" w:rsidRDefault="00D93F72" w:rsidP="00D93F72">
            <w:pPr>
              <w:tabs>
                <w:tab w:val="clear" w:pos="567"/>
              </w:tabs>
              <w:spacing w:before="0"/>
              <w:ind w:left="317" w:hanging="317"/>
              <w:rPr>
                <w:rFonts w:cs="Calibri"/>
                <w:sz w:val="22"/>
                <w:szCs w:val="22"/>
                <w:lang w:val="fr-FR" w:eastAsia="zh-CN"/>
              </w:rPr>
            </w:pPr>
            <w:r w:rsidRPr="000C156A">
              <w:rPr>
                <w:rFonts w:cs="Calibri"/>
                <w:sz w:val="22"/>
                <w:szCs w:val="22"/>
                <w:lang w:val="fr-FR" w:eastAsia="zh-CN"/>
              </w:rPr>
              <w:t>–</w:t>
            </w:r>
            <w:r w:rsidRPr="000C156A">
              <w:rPr>
                <w:rFonts w:cs="Calibri"/>
                <w:sz w:val="22"/>
                <w:szCs w:val="22"/>
                <w:lang w:val="fr-FR" w:eastAsia="zh-CN"/>
              </w:rPr>
              <w:tab/>
            </w:r>
            <w:r w:rsidR="00686EC7" w:rsidRPr="000C156A">
              <w:rPr>
                <w:rFonts w:cs="Calibri" w:hint="eastAsia"/>
                <w:sz w:val="22"/>
                <w:szCs w:val="22"/>
                <w:lang w:val="fr-FR" w:eastAsia="zh-CN"/>
              </w:rPr>
              <w:t>巴勒斯坦技术大学，图勒凯尔姆</w:t>
            </w:r>
          </w:p>
        </w:tc>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211CF1CC" w14:textId="77777777" w:rsidR="00686EC7" w:rsidRPr="000C156A" w:rsidRDefault="00686EC7" w:rsidP="00141BAA">
            <w:pPr>
              <w:jc w:val="center"/>
              <w:rPr>
                <w:rFonts w:cs="Calibri"/>
                <w:sz w:val="22"/>
                <w:szCs w:val="22"/>
              </w:rPr>
            </w:pPr>
            <w:r w:rsidRPr="000C156A">
              <w:rPr>
                <w:rFonts w:cs="Calibri"/>
                <w:sz w:val="22"/>
                <w:szCs w:val="22"/>
              </w:rPr>
              <w:t>2019</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14:paraId="6E74D175" w14:textId="5C314B54" w:rsidR="00686EC7" w:rsidRPr="000C156A" w:rsidRDefault="00686EC7" w:rsidP="00141BAA">
            <w:pPr>
              <w:jc w:val="right"/>
              <w:rPr>
                <w:rFonts w:cs="Calibri"/>
                <w:sz w:val="22"/>
                <w:szCs w:val="22"/>
              </w:rPr>
            </w:pPr>
            <w:r w:rsidRPr="000C156A">
              <w:rPr>
                <w:rFonts w:cs="Calibri"/>
                <w:sz w:val="22"/>
                <w:szCs w:val="22"/>
              </w:rPr>
              <w:t>2</w:t>
            </w:r>
            <w:r w:rsidR="001A59E5" w:rsidRPr="000C156A">
              <w:rPr>
                <w:rFonts w:cs="Calibri"/>
                <w:sz w:val="22"/>
                <w:szCs w:val="22"/>
              </w:rPr>
              <w:t xml:space="preserve"> </w:t>
            </w:r>
            <w:r w:rsidRPr="000C156A">
              <w:rPr>
                <w:rFonts w:cs="Calibri"/>
                <w:sz w:val="22"/>
                <w:szCs w:val="22"/>
              </w:rPr>
              <w:t>185.75</w:t>
            </w:r>
          </w:p>
        </w:tc>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1294781B"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14:paraId="64D06E5C" w14:textId="61BAF50A" w:rsidR="00686EC7" w:rsidRPr="000C156A" w:rsidRDefault="00686EC7" w:rsidP="00141BAA">
            <w:pPr>
              <w:jc w:val="right"/>
              <w:rPr>
                <w:rFonts w:cs="Calibri"/>
                <w:sz w:val="22"/>
                <w:szCs w:val="22"/>
              </w:rPr>
            </w:pPr>
            <w:r w:rsidRPr="000C156A">
              <w:rPr>
                <w:rFonts w:cs="Calibri"/>
                <w:sz w:val="22"/>
                <w:szCs w:val="22"/>
              </w:rPr>
              <w:t>2</w:t>
            </w:r>
            <w:r w:rsidR="001A59E5" w:rsidRPr="000C156A">
              <w:rPr>
                <w:rFonts w:cs="Calibri"/>
                <w:sz w:val="22"/>
                <w:szCs w:val="22"/>
              </w:rPr>
              <w:t xml:space="preserve"> </w:t>
            </w:r>
            <w:r w:rsidRPr="000C156A">
              <w:rPr>
                <w:rFonts w:cs="Calibri"/>
                <w:sz w:val="22"/>
                <w:szCs w:val="22"/>
              </w:rPr>
              <w:t>185.75</w:t>
            </w:r>
          </w:p>
        </w:tc>
      </w:tr>
      <w:tr w:rsidR="00686EC7" w:rsidRPr="000C156A" w14:paraId="0E52E9B7" w14:textId="77777777" w:rsidTr="00141BAA">
        <w:trPr>
          <w:trHeight w:val="300"/>
          <w:jc w:val="center"/>
        </w:trPr>
        <w:tc>
          <w:tcPr>
            <w:tcW w:w="4106" w:type="dxa"/>
            <w:tcBorders>
              <w:top w:val="single" w:sz="4" w:space="0" w:color="auto"/>
              <w:left w:val="single" w:sz="4" w:space="0" w:color="auto"/>
              <w:bottom w:val="single" w:sz="4" w:space="0" w:color="auto"/>
              <w:right w:val="nil"/>
            </w:tcBorders>
            <w:shd w:val="clear" w:color="auto" w:fill="auto"/>
            <w:vAlign w:val="bottom"/>
            <w:hideMark/>
          </w:tcPr>
          <w:p w14:paraId="07086085" w14:textId="77777777" w:rsidR="00686EC7" w:rsidRPr="000C156A" w:rsidRDefault="00686EC7" w:rsidP="00141BAA">
            <w:pPr>
              <w:jc w:val="right"/>
              <w:rPr>
                <w:rFonts w:cs="Calibri"/>
                <w:sz w:val="22"/>
                <w:szCs w:val="22"/>
              </w:rPr>
            </w:pP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676B767A" w14:textId="77777777" w:rsidR="00686EC7" w:rsidRPr="000C156A" w:rsidRDefault="00686EC7" w:rsidP="00141BAA">
            <w:pPr>
              <w:rPr>
                <w:rFonts w:ascii="Times New Roman" w:hAnsi="Times New Roman"/>
                <w:sz w:val="22"/>
                <w:szCs w:val="22"/>
              </w:rPr>
            </w:pP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D0DF3" w14:textId="48E22AAC" w:rsidR="00686EC7" w:rsidRPr="000C156A" w:rsidRDefault="00686EC7" w:rsidP="00141BAA">
            <w:pPr>
              <w:jc w:val="right"/>
              <w:rPr>
                <w:rFonts w:cs="Calibri"/>
                <w:sz w:val="22"/>
                <w:szCs w:val="22"/>
              </w:rPr>
            </w:pPr>
            <w:r w:rsidRPr="000C156A">
              <w:rPr>
                <w:rFonts w:cs="Calibri"/>
                <w:sz w:val="22"/>
                <w:szCs w:val="22"/>
              </w:rPr>
              <w:t>9</w:t>
            </w:r>
            <w:r w:rsidR="001A59E5" w:rsidRPr="000C156A">
              <w:rPr>
                <w:rFonts w:cs="Calibri"/>
                <w:sz w:val="22"/>
                <w:szCs w:val="22"/>
              </w:rPr>
              <w:t xml:space="preserve"> </w:t>
            </w:r>
            <w:r w:rsidRPr="000C156A">
              <w:rPr>
                <w:rFonts w:cs="Calibri"/>
                <w:sz w:val="22"/>
                <w:szCs w:val="22"/>
              </w:rPr>
              <w:t>339</w:t>
            </w:r>
            <w:r w:rsidR="001A59E5" w:rsidRPr="000C156A">
              <w:rPr>
                <w:rFonts w:cs="Calibri"/>
                <w:sz w:val="22"/>
                <w:szCs w:val="22"/>
              </w:rPr>
              <w:t xml:space="preserve"> </w:t>
            </w:r>
            <w:r w:rsidRPr="000C156A">
              <w:rPr>
                <w:rFonts w:cs="Calibri"/>
                <w:sz w:val="22"/>
                <w:szCs w:val="22"/>
              </w:rPr>
              <w:t>206.35</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CDEC6" w14:textId="77777777" w:rsidR="00686EC7" w:rsidRPr="000C156A" w:rsidRDefault="00686EC7" w:rsidP="00141BAA">
            <w:pPr>
              <w:jc w:val="right"/>
              <w:rPr>
                <w:rFonts w:cs="Calibri"/>
                <w:sz w:val="22"/>
                <w:szCs w:val="22"/>
              </w:rPr>
            </w:pPr>
            <w:r w:rsidRPr="000C156A">
              <w:rPr>
                <w:rFonts w:cs="Calibri"/>
                <w:sz w:val="22"/>
                <w:szCs w:val="22"/>
              </w:rPr>
              <w:t>0.00</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B0DF2" w14:textId="03AC485F" w:rsidR="00686EC7" w:rsidRPr="000C156A" w:rsidRDefault="00686EC7" w:rsidP="00141BAA">
            <w:pPr>
              <w:jc w:val="right"/>
              <w:rPr>
                <w:rFonts w:cs="Calibri"/>
                <w:sz w:val="22"/>
                <w:szCs w:val="22"/>
              </w:rPr>
            </w:pPr>
            <w:r w:rsidRPr="000C156A">
              <w:rPr>
                <w:rFonts w:cs="Calibri"/>
                <w:sz w:val="22"/>
                <w:szCs w:val="22"/>
              </w:rPr>
              <w:t>9</w:t>
            </w:r>
            <w:r w:rsidR="001A59E5" w:rsidRPr="000C156A">
              <w:rPr>
                <w:rFonts w:cs="Calibri"/>
                <w:sz w:val="22"/>
                <w:szCs w:val="22"/>
              </w:rPr>
              <w:t xml:space="preserve"> </w:t>
            </w:r>
            <w:r w:rsidRPr="000C156A">
              <w:rPr>
                <w:rFonts w:cs="Calibri"/>
                <w:sz w:val="22"/>
                <w:szCs w:val="22"/>
              </w:rPr>
              <w:t>339</w:t>
            </w:r>
            <w:r w:rsidR="001A59E5" w:rsidRPr="000C156A">
              <w:rPr>
                <w:rFonts w:cs="Calibri"/>
                <w:sz w:val="22"/>
                <w:szCs w:val="22"/>
              </w:rPr>
              <w:t xml:space="preserve"> </w:t>
            </w:r>
            <w:r w:rsidRPr="000C156A">
              <w:rPr>
                <w:rFonts w:cs="Calibri"/>
                <w:sz w:val="22"/>
                <w:szCs w:val="22"/>
              </w:rPr>
              <w:t>206.35</w:t>
            </w:r>
          </w:p>
        </w:tc>
      </w:tr>
    </w:tbl>
    <w:p w14:paraId="1DDCBB11" w14:textId="77777777" w:rsidR="00686EC7" w:rsidRPr="000C156A" w:rsidRDefault="00686EC7" w:rsidP="00686EC7">
      <w:r w:rsidRPr="000C156A">
        <w:rPr>
          <w:sz w:val="22"/>
          <w:szCs w:val="22"/>
        </w:rPr>
        <w:br w:type="page"/>
      </w:r>
    </w:p>
    <w:tbl>
      <w:tblPr>
        <w:tblW w:w="10319" w:type="dxa"/>
        <w:jc w:val="center"/>
        <w:tblLook w:val="04A0" w:firstRow="1" w:lastRow="0" w:firstColumn="1" w:lastColumn="0" w:noHBand="0" w:noVBand="1"/>
      </w:tblPr>
      <w:tblGrid>
        <w:gridCol w:w="3934"/>
        <w:gridCol w:w="1720"/>
        <w:gridCol w:w="1613"/>
        <w:gridCol w:w="1434"/>
        <w:gridCol w:w="1618"/>
      </w:tblGrid>
      <w:tr w:rsidR="00686EC7" w:rsidRPr="000C156A" w14:paraId="0EFF3FF0" w14:textId="77777777" w:rsidTr="00090EF1">
        <w:trPr>
          <w:trHeight w:val="410"/>
          <w:jc w:val="center"/>
        </w:trPr>
        <w:tc>
          <w:tcPr>
            <w:tcW w:w="39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014DBF" w14:textId="77777777" w:rsidR="00686EC7" w:rsidRPr="000C156A" w:rsidRDefault="00686EC7" w:rsidP="00141BAA">
            <w:pPr>
              <w:overflowPunct/>
              <w:autoSpaceDE/>
              <w:autoSpaceDN/>
              <w:adjustRightInd/>
              <w:spacing w:before="0"/>
              <w:textAlignment w:val="auto"/>
              <w:rPr>
                <w:rFonts w:eastAsiaTheme="minorEastAsia" w:cs="Calibri"/>
                <w:sz w:val="22"/>
                <w:szCs w:val="22"/>
                <w:lang w:val="en-US" w:eastAsia="zh-CN"/>
              </w:rPr>
            </w:pPr>
            <w:r w:rsidRPr="000C156A">
              <w:rPr>
                <w:rFonts w:eastAsiaTheme="minorEastAsia" w:cs="Calibri"/>
                <w:b/>
                <w:bCs/>
                <w:sz w:val="22"/>
                <w:szCs w:val="22"/>
              </w:rPr>
              <w:lastRenderedPageBreak/>
              <w:t>C.</w:t>
            </w:r>
            <w:r w:rsidRPr="000C156A">
              <w:rPr>
                <w:rFonts w:eastAsiaTheme="minorEastAsia" w:cs="Calibri"/>
                <w:b/>
                <w:bCs/>
                <w:sz w:val="22"/>
                <w:szCs w:val="22"/>
              </w:rPr>
              <w:t>其他债务方</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078AC" w14:textId="77777777" w:rsidR="00686EC7" w:rsidRPr="000C156A" w:rsidRDefault="00686EC7" w:rsidP="00141BAA">
            <w:pPr>
              <w:overflowPunct/>
              <w:autoSpaceDE/>
              <w:autoSpaceDN/>
              <w:adjustRightInd/>
              <w:spacing w:before="0"/>
              <w:jc w:val="center"/>
              <w:textAlignment w:val="auto"/>
              <w:rPr>
                <w:rFonts w:eastAsiaTheme="minorEastAsia" w:cs="Calibri"/>
                <w:sz w:val="22"/>
                <w:szCs w:val="22"/>
                <w:lang w:val="en-US" w:eastAsia="zh-CN"/>
              </w:rPr>
            </w:pPr>
            <w:r w:rsidRPr="000C156A">
              <w:rPr>
                <w:rFonts w:eastAsiaTheme="minorEastAsia" w:cs="Calibri"/>
                <w:b/>
                <w:bCs/>
                <w:sz w:val="22"/>
                <w:szCs w:val="22"/>
              </w:rPr>
              <w:t>年</w:t>
            </w:r>
            <w:r w:rsidRPr="000C156A">
              <w:rPr>
                <w:rFonts w:eastAsiaTheme="minorEastAsia" w:cs="Calibri"/>
                <w:b/>
                <w:bCs/>
                <w:sz w:val="22"/>
                <w:szCs w:val="22"/>
                <w:lang w:eastAsia="zh-CN"/>
              </w:rPr>
              <w:t>份</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221A0" w14:textId="77777777" w:rsidR="00686EC7" w:rsidRPr="000C156A" w:rsidRDefault="00686EC7" w:rsidP="00141BAA">
            <w:pPr>
              <w:overflowPunct/>
              <w:autoSpaceDE/>
              <w:autoSpaceDN/>
              <w:adjustRightInd/>
              <w:spacing w:before="0"/>
              <w:jc w:val="center"/>
              <w:textAlignment w:val="auto"/>
              <w:rPr>
                <w:rFonts w:eastAsiaTheme="minorEastAsia" w:cs="Calibri"/>
                <w:sz w:val="22"/>
                <w:szCs w:val="22"/>
                <w:lang w:val="en-US" w:eastAsia="zh-CN"/>
              </w:rPr>
            </w:pPr>
            <w:r w:rsidRPr="000C156A">
              <w:rPr>
                <w:rFonts w:eastAsiaTheme="minorEastAsia" w:cs="Calibri"/>
                <w:b/>
                <w:bCs/>
                <w:sz w:val="22"/>
                <w:szCs w:val="22"/>
              </w:rPr>
              <w:t>会费</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0A102" w14:textId="77777777" w:rsidR="00686EC7" w:rsidRPr="000C156A" w:rsidRDefault="00686EC7" w:rsidP="00141BAA">
            <w:pPr>
              <w:overflowPunct/>
              <w:autoSpaceDE/>
              <w:autoSpaceDN/>
              <w:adjustRightInd/>
              <w:spacing w:before="0"/>
              <w:jc w:val="center"/>
              <w:textAlignment w:val="auto"/>
              <w:rPr>
                <w:rFonts w:eastAsiaTheme="minorEastAsia" w:cs="Calibri"/>
                <w:sz w:val="22"/>
                <w:szCs w:val="22"/>
                <w:lang w:val="en-US" w:eastAsia="zh-CN"/>
              </w:rPr>
            </w:pPr>
            <w:r w:rsidRPr="000C156A">
              <w:rPr>
                <w:rFonts w:eastAsiaTheme="minorEastAsia" w:cs="Calibri"/>
                <w:b/>
                <w:bCs/>
                <w:sz w:val="22"/>
                <w:szCs w:val="22"/>
              </w:rPr>
              <w:t>出版物</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DB82B" w14:textId="77777777" w:rsidR="00686EC7" w:rsidRPr="000C156A" w:rsidRDefault="00686EC7" w:rsidP="00141BAA">
            <w:pPr>
              <w:overflowPunct/>
              <w:autoSpaceDE/>
              <w:autoSpaceDN/>
              <w:adjustRightInd/>
              <w:spacing w:before="0"/>
              <w:jc w:val="center"/>
              <w:textAlignment w:val="auto"/>
              <w:rPr>
                <w:rFonts w:eastAsiaTheme="minorEastAsia" w:cs="Calibri"/>
                <w:sz w:val="22"/>
                <w:szCs w:val="22"/>
                <w:lang w:val="en-US" w:eastAsia="zh-CN"/>
              </w:rPr>
            </w:pPr>
            <w:r w:rsidRPr="000C156A">
              <w:rPr>
                <w:rFonts w:eastAsiaTheme="minorEastAsia" w:cs="Calibri"/>
                <w:b/>
                <w:bCs/>
                <w:sz w:val="22"/>
                <w:szCs w:val="22"/>
              </w:rPr>
              <w:t>合计</w:t>
            </w:r>
          </w:p>
        </w:tc>
      </w:tr>
      <w:tr w:rsidR="00686EC7" w:rsidRPr="000C156A" w14:paraId="083B538F" w14:textId="77777777" w:rsidTr="00141BAA">
        <w:trPr>
          <w:trHeight w:val="300"/>
          <w:jc w:val="center"/>
        </w:trPr>
        <w:tc>
          <w:tcPr>
            <w:tcW w:w="3934" w:type="dxa"/>
            <w:tcBorders>
              <w:top w:val="single" w:sz="4" w:space="0" w:color="auto"/>
              <w:left w:val="single" w:sz="4" w:space="0" w:color="auto"/>
              <w:bottom w:val="nil"/>
              <w:right w:val="single" w:sz="4" w:space="0" w:color="auto"/>
            </w:tcBorders>
            <w:shd w:val="clear" w:color="auto" w:fill="auto"/>
            <w:vAlign w:val="bottom"/>
            <w:hideMark/>
          </w:tcPr>
          <w:p w14:paraId="71448664" w14:textId="77777777" w:rsidR="00686EC7" w:rsidRPr="000C156A" w:rsidRDefault="00686EC7" w:rsidP="00141BAA">
            <w:pPr>
              <w:jc w:val="center"/>
              <w:rPr>
                <w:rFonts w:cs="Calibri"/>
                <w:b/>
                <w:bCs/>
                <w:sz w:val="22"/>
                <w:szCs w:val="22"/>
              </w:rPr>
            </w:pPr>
          </w:p>
        </w:tc>
        <w:tc>
          <w:tcPr>
            <w:tcW w:w="1720" w:type="dxa"/>
            <w:tcBorders>
              <w:top w:val="single" w:sz="4" w:space="0" w:color="auto"/>
              <w:left w:val="single" w:sz="4" w:space="0" w:color="auto"/>
              <w:bottom w:val="nil"/>
              <w:right w:val="single" w:sz="4" w:space="0" w:color="auto"/>
            </w:tcBorders>
            <w:shd w:val="clear" w:color="auto" w:fill="auto"/>
            <w:noWrap/>
            <w:vAlign w:val="bottom"/>
            <w:hideMark/>
          </w:tcPr>
          <w:p w14:paraId="6CE4B0F9" w14:textId="77777777" w:rsidR="00686EC7" w:rsidRPr="000C156A" w:rsidRDefault="00686EC7" w:rsidP="00141BAA">
            <w:pPr>
              <w:rPr>
                <w:rFonts w:ascii="Times New Roman" w:hAnsi="Times New Roman"/>
                <w:sz w:val="22"/>
                <w:szCs w:val="22"/>
              </w:rPr>
            </w:pPr>
          </w:p>
        </w:tc>
        <w:tc>
          <w:tcPr>
            <w:tcW w:w="1613" w:type="dxa"/>
            <w:tcBorders>
              <w:top w:val="single" w:sz="4" w:space="0" w:color="auto"/>
              <w:left w:val="single" w:sz="4" w:space="0" w:color="auto"/>
              <w:bottom w:val="nil"/>
              <w:right w:val="single" w:sz="4" w:space="0" w:color="auto"/>
            </w:tcBorders>
            <w:shd w:val="clear" w:color="auto" w:fill="auto"/>
            <w:noWrap/>
            <w:vAlign w:val="bottom"/>
            <w:hideMark/>
          </w:tcPr>
          <w:p w14:paraId="1C662A09" w14:textId="77777777" w:rsidR="00686EC7" w:rsidRPr="000C156A" w:rsidRDefault="00686EC7" w:rsidP="00141BAA">
            <w:pPr>
              <w:rPr>
                <w:rFonts w:ascii="Times New Roman" w:hAnsi="Times New Roman"/>
                <w:sz w:val="22"/>
                <w:szCs w:val="22"/>
              </w:rPr>
            </w:pPr>
          </w:p>
        </w:tc>
        <w:tc>
          <w:tcPr>
            <w:tcW w:w="1434" w:type="dxa"/>
            <w:tcBorders>
              <w:top w:val="single" w:sz="4" w:space="0" w:color="auto"/>
              <w:left w:val="single" w:sz="4" w:space="0" w:color="auto"/>
              <w:bottom w:val="nil"/>
              <w:right w:val="single" w:sz="4" w:space="0" w:color="auto"/>
            </w:tcBorders>
            <w:shd w:val="clear" w:color="auto" w:fill="auto"/>
            <w:noWrap/>
            <w:vAlign w:val="bottom"/>
            <w:hideMark/>
          </w:tcPr>
          <w:p w14:paraId="16674C33" w14:textId="77777777" w:rsidR="00686EC7" w:rsidRPr="000C156A" w:rsidRDefault="00686EC7" w:rsidP="00141BAA">
            <w:pPr>
              <w:rPr>
                <w:rFonts w:ascii="Times New Roman" w:hAnsi="Times New Roman"/>
                <w:sz w:val="22"/>
                <w:szCs w:val="22"/>
              </w:rPr>
            </w:pPr>
          </w:p>
        </w:tc>
        <w:tc>
          <w:tcPr>
            <w:tcW w:w="1618" w:type="dxa"/>
            <w:tcBorders>
              <w:top w:val="single" w:sz="4" w:space="0" w:color="auto"/>
              <w:left w:val="single" w:sz="4" w:space="0" w:color="auto"/>
              <w:bottom w:val="nil"/>
              <w:right w:val="single" w:sz="4" w:space="0" w:color="auto"/>
            </w:tcBorders>
            <w:shd w:val="clear" w:color="auto" w:fill="auto"/>
            <w:noWrap/>
            <w:vAlign w:val="bottom"/>
            <w:hideMark/>
          </w:tcPr>
          <w:p w14:paraId="13E30B75" w14:textId="77777777" w:rsidR="00686EC7" w:rsidRPr="000C156A" w:rsidRDefault="00686EC7" w:rsidP="00141BAA">
            <w:pPr>
              <w:rPr>
                <w:rFonts w:ascii="Times New Roman" w:hAnsi="Times New Roman"/>
                <w:sz w:val="22"/>
                <w:szCs w:val="22"/>
              </w:rPr>
            </w:pPr>
          </w:p>
        </w:tc>
      </w:tr>
      <w:tr w:rsidR="00686EC7" w:rsidRPr="000C156A" w14:paraId="7484ED6B"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vAlign w:val="bottom"/>
            <w:hideMark/>
          </w:tcPr>
          <w:p w14:paraId="6701566F" w14:textId="6AD7CB05" w:rsidR="00686EC7" w:rsidRPr="000C156A" w:rsidRDefault="00D93F72" w:rsidP="00D93F72">
            <w:pPr>
              <w:tabs>
                <w:tab w:val="clear" w:pos="567"/>
              </w:tabs>
              <w:spacing w:before="0"/>
              <w:ind w:left="317" w:hanging="317"/>
              <w:rPr>
                <w:rFonts w:cs="Calibri"/>
                <w:sz w:val="22"/>
                <w:szCs w:val="22"/>
                <w:lang w:eastAsia="zh-CN"/>
              </w:rPr>
            </w:pPr>
            <w:r w:rsidRPr="000C156A">
              <w:rPr>
                <w:rFonts w:cs="Calibri"/>
                <w:sz w:val="22"/>
                <w:szCs w:val="22"/>
                <w:lang w:eastAsia="zh-CN"/>
              </w:rPr>
              <w:t>–</w:t>
            </w:r>
            <w:r w:rsidRPr="000C156A">
              <w:rPr>
                <w:rFonts w:cs="Calibri"/>
                <w:sz w:val="22"/>
                <w:szCs w:val="22"/>
                <w:lang w:eastAsia="zh-CN"/>
              </w:rPr>
              <w:tab/>
            </w:r>
            <w:r w:rsidR="00686EC7" w:rsidRPr="000C156A">
              <w:rPr>
                <w:rFonts w:cs="Calibri" w:hint="eastAsia"/>
                <w:sz w:val="22"/>
                <w:szCs w:val="22"/>
                <w:lang w:eastAsia="zh-CN"/>
              </w:rPr>
              <w:t>C&amp;C</w:t>
            </w:r>
            <w:r w:rsidR="00686EC7" w:rsidRPr="000C156A">
              <w:rPr>
                <w:rFonts w:cs="Calibri" w:hint="eastAsia"/>
                <w:sz w:val="22"/>
                <w:szCs w:val="22"/>
                <w:lang w:eastAsia="zh-CN"/>
              </w:rPr>
              <w:t>海洋联合公司，孟买</w:t>
            </w:r>
          </w:p>
        </w:tc>
        <w:tc>
          <w:tcPr>
            <w:tcW w:w="1720" w:type="dxa"/>
            <w:tcBorders>
              <w:top w:val="nil"/>
              <w:left w:val="single" w:sz="4" w:space="0" w:color="auto"/>
              <w:bottom w:val="nil"/>
              <w:right w:val="single" w:sz="4" w:space="0" w:color="auto"/>
            </w:tcBorders>
            <w:shd w:val="clear" w:color="auto" w:fill="auto"/>
            <w:noWrap/>
            <w:vAlign w:val="bottom"/>
            <w:hideMark/>
          </w:tcPr>
          <w:p w14:paraId="395DD716" w14:textId="77777777" w:rsidR="00686EC7" w:rsidRPr="000C156A" w:rsidRDefault="00686EC7" w:rsidP="00141BAA">
            <w:pPr>
              <w:jc w:val="center"/>
              <w:rPr>
                <w:rFonts w:cs="Calibri"/>
                <w:sz w:val="22"/>
                <w:szCs w:val="22"/>
              </w:rPr>
            </w:pPr>
            <w:r w:rsidRPr="000C156A">
              <w:rPr>
                <w:rFonts w:cs="Calibri"/>
                <w:sz w:val="22"/>
                <w:szCs w:val="22"/>
              </w:rPr>
              <w:t>2017</w:t>
            </w:r>
          </w:p>
        </w:tc>
        <w:tc>
          <w:tcPr>
            <w:tcW w:w="1613" w:type="dxa"/>
            <w:tcBorders>
              <w:top w:val="nil"/>
              <w:left w:val="single" w:sz="4" w:space="0" w:color="auto"/>
              <w:bottom w:val="nil"/>
              <w:right w:val="single" w:sz="4" w:space="0" w:color="auto"/>
            </w:tcBorders>
            <w:shd w:val="clear" w:color="auto" w:fill="auto"/>
            <w:noWrap/>
            <w:vAlign w:val="bottom"/>
            <w:hideMark/>
          </w:tcPr>
          <w:p w14:paraId="60113D02" w14:textId="77777777" w:rsidR="00686EC7" w:rsidRPr="000C156A" w:rsidRDefault="00686EC7" w:rsidP="00141BAA">
            <w:pPr>
              <w:jc w:val="right"/>
              <w:rPr>
                <w:rFonts w:cs="Calibri"/>
                <w:sz w:val="22"/>
                <w:szCs w:val="22"/>
              </w:rPr>
            </w:pPr>
            <w:r w:rsidRPr="000C156A">
              <w:rPr>
                <w:rFonts w:cs="Calibri"/>
                <w:sz w:val="22"/>
                <w:szCs w:val="22"/>
              </w:rPr>
              <w:t>0.00</w:t>
            </w:r>
          </w:p>
        </w:tc>
        <w:tc>
          <w:tcPr>
            <w:tcW w:w="1434" w:type="dxa"/>
            <w:tcBorders>
              <w:top w:val="nil"/>
              <w:left w:val="single" w:sz="4" w:space="0" w:color="auto"/>
              <w:bottom w:val="nil"/>
              <w:right w:val="single" w:sz="4" w:space="0" w:color="auto"/>
            </w:tcBorders>
            <w:shd w:val="clear" w:color="auto" w:fill="auto"/>
            <w:noWrap/>
            <w:vAlign w:val="bottom"/>
            <w:hideMark/>
          </w:tcPr>
          <w:p w14:paraId="105E63A6" w14:textId="552ED31E" w:rsidR="00686EC7" w:rsidRPr="000C156A" w:rsidRDefault="00686EC7" w:rsidP="00141BAA">
            <w:pPr>
              <w:jc w:val="right"/>
              <w:rPr>
                <w:rFonts w:cs="Calibri"/>
                <w:sz w:val="22"/>
                <w:szCs w:val="22"/>
              </w:rPr>
            </w:pPr>
            <w:r w:rsidRPr="000C156A">
              <w:rPr>
                <w:rFonts w:cs="Calibri"/>
                <w:sz w:val="22"/>
                <w:szCs w:val="22"/>
              </w:rPr>
              <w:t>50</w:t>
            </w:r>
            <w:r w:rsidR="001A59E5" w:rsidRPr="000C156A">
              <w:rPr>
                <w:rFonts w:cs="Calibri"/>
                <w:sz w:val="22"/>
                <w:szCs w:val="22"/>
              </w:rPr>
              <w:t xml:space="preserve"> </w:t>
            </w:r>
            <w:r w:rsidRPr="000C156A">
              <w:rPr>
                <w:rFonts w:cs="Calibri"/>
                <w:sz w:val="22"/>
                <w:szCs w:val="22"/>
              </w:rPr>
              <w:t>378.20</w:t>
            </w:r>
          </w:p>
        </w:tc>
        <w:tc>
          <w:tcPr>
            <w:tcW w:w="1618" w:type="dxa"/>
            <w:tcBorders>
              <w:top w:val="nil"/>
              <w:left w:val="single" w:sz="4" w:space="0" w:color="auto"/>
              <w:bottom w:val="nil"/>
              <w:right w:val="single" w:sz="4" w:space="0" w:color="auto"/>
            </w:tcBorders>
            <w:shd w:val="clear" w:color="auto" w:fill="auto"/>
            <w:noWrap/>
            <w:vAlign w:val="bottom"/>
            <w:hideMark/>
          </w:tcPr>
          <w:p w14:paraId="10219CB1" w14:textId="7AA505BA" w:rsidR="00686EC7" w:rsidRPr="000C156A" w:rsidRDefault="00686EC7" w:rsidP="00141BAA">
            <w:pPr>
              <w:jc w:val="right"/>
              <w:rPr>
                <w:rFonts w:cs="Calibri"/>
                <w:sz w:val="22"/>
                <w:szCs w:val="22"/>
              </w:rPr>
            </w:pPr>
            <w:r w:rsidRPr="000C156A">
              <w:rPr>
                <w:rFonts w:cs="Calibri"/>
                <w:sz w:val="22"/>
                <w:szCs w:val="22"/>
              </w:rPr>
              <w:t>50</w:t>
            </w:r>
            <w:r w:rsidR="001A59E5" w:rsidRPr="000C156A">
              <w:rPr>
                <w:rFonts w:cs="Calibri"/>
                <w:sz w:val="22"/>
                <w:szCs w:val="22"/>
              </w:rPr>
              <w:t xml:space="preserve"> </w:t>
            </w:r>
            <w:r w:rsidRPr="000C156A">
              <w:rPr>
                <w:rFonts w:cs="Calibri"/>
                <w:sz w:val="22"/>
                <w:szCs w:val="22"/>
              </w:rPr>
              <w:t>378.20</w:t>
            </w:r>
          </w:p>
        </w:tc>
      </w:tr>
      <w:tr w:rsidR="00686EC7" w:rsidRPr="000C156A" w14:paraId="0629984F" w14:textId="77777777" w:rsidTr="00141BAA">
        <w:trPr>
          <w:trHeight w:val="300"/>
          <w:jc w:val="center"/>
        </w:trPr>
        <w:tc>
          <w:tcPr>
            <w:tcW w:w="3934" w:type="dxa"/>
            <w:tcBorders>
              <w:left w:val="single" w:sz="4" w:space="0" w:color="auto"/>
              <w:right w:val="single" w:sz="4" w:space="0" w:color="auto"/>
            </w:tcBorders>
            <w:shd w:val="clear" w:color="auto" w:fill="auto"/>
            <w:vAlign w:val="bottom"/>
            <w:hideMark/>
          </w:tcPr>
          <w:p w14:paraId="2A9507C6" w14:textId="77777777" w:rsidR="00686EC7" w:rsidRPr="000C156A" w:rsidRDefault="00686EC7" w:rsidP="00141BAA">
            <w:pPr>
              <w:jc w:val="right"/>
              <w:rPr>
                <w:rFonts w:cs="Calibri"/>
                <w:sz w:val="22"/>
                <w:szCs w:val="22"/>
              </w:rPr>
            </w:pPr>
          </w:p>
        </w:tc>
        <w:tc>
          <w:tcPr>
            <w:tcW w:w="1720" w:type="dxa"/>
            <w:tcBorders>
              <w:left w:val="single" w:sz="4" w:space="0" w:color="auto"/>
              <w:right w:val="single" w:sz="4" w:space="0" w:color="auto"/>
            </w:tcBorders>
            <w:shd w:val="clear" w:color="auto" w:fill="auto"/>
            <w:noWrap/>
            <w:vAlign w:val="bottom"/>
            <w:hideMark/>
          </w:tcPr>
          <w:p w14:paraId="325811F8" w14:textId="77777777" w:rsidR="00686EC7" w:rsidRPr="000C156A" w:rsidRDefault="00686EC7" w:rsidP="00141BAA">
            <w:pPr>
              <w:rPr>
                <w:rFonts w:ascii="Times New Roman" w:hAnsi="Times New Roman"/>
                <w:sz w:val="22"/>
                <w:szCs w:val="22"/>
              </w:rPr>
            </w:pPr>
          </w:p>
        </w:tc>
        <w:tc>
          <w:tcPr>
            <w:tcW w:w="1613" w:type="dxa"/>
            <w:tcBorders>
              <w:left w:val="single" w:sz="4" w:space="0" w:color="auto"/>
              <w:right w:val="single" w:sz="4" w:space="0" w:color="auto"/>
            </w:tcBorders>
            <w:shd w:val="clear" w:color="auto" w:fill="auto"/>
            <w:noWrap/>
            <w:vAlign w:val="bottom"/>
            <w:hideMark/>
          </w:tcPr>
          <w:p w14:paraId="77B6252A" w14:textId="77777777" w:rsidR="00686EC7" w:rsidRPr="000C156A" w:rsidRDefault="00686EC7" w:rsidP="00141BAA">
            <w:pPr>
              <w:jc w:val="right"/>
              <w:rPr>
                <w:rFonts w:cs="Calibri"/>
                <w:sz w:val="22"/>
                <w:szCs w:val="22"/>
              </w:rPr>
            </w:pPr>
            <w:r w:rsidRPr="000C156A">
              <w:rPr>
                <w:rFonts w:cs="Calibri"/>
                <w:sz w:val="22"/>
                <w:szCs w:val="22"/>
              </w:rPr>
              <w:t>0.00</w:t>
            </w:r>
          </w:p>
        </w:tc>
        <w:tc>
          <w:tcPr>
            <w:tcW w:w="1434" w:type="dxa"/>
            <w:tcBorders>
              <w:left w:val="single" w:sz="4" w:space="0" w:color="auto"/>
              <w:right w:val="single" w:sz="4" w:space="0" w:color="auto"/>
            </w:tcBorders>
            <w:shd w:val="clear" w:color="auto" w:fill="auto"/>
            <w:noWrap/>
            <w:vAlign w:val="bottom"/>
            <w:hideMark/>
          </w:tcPr>
          <w:p w14:paraId="21BCC6CD" w14:textId="1152F1CE" w:rsidR="00686EC7" w:rsidRPr="000C156A" w:rsidRDefault="00686EC7" w:rsidP="00141BAA">
            <w:pPr>
              <w:jc w:val="right"/>
              <w:rPr>
                <w:rFonts w:cs="Calibri"/>
                <w:sz w:val="22"/>
                <w:szCs w:val="22"/>
              </w:rPr>
            </w:pPr>
            <w:r w:rsidRPr="000C156A">
              <w:rPr>
                <w:rFonts w:cs="Calibri"/>
                <w:sz w:val="22"/>
                <w:szCs w:val="22"/>
              </w:rPr>
              <w:t>50</w:t>
            </w:r>
            <w:r w:rsidR="001A59E5" w:rsidRPr="000C156A">
              <w:rPr>
                <w:rFonts w:cs="Calibri"/>
                <w:sz w:val="22"/>
                <w:szCs w:val="22"/>
              </w:rPr>
              <w:t xml:space="preserve"> </w:t>
            </w:r>
            <w:r w:rsidRPr="000C156A">
              <w:rPr>
                <w:rFonts w:cs="Calibri"/>
                <w:sz w:val="22"/>
                <w:szCs w:val="22"/>
              </w:rPr>
              <w:t>378.20</w:t>
            </w:r>
          </w:p>
        </w:tc>
        <w:tc>
          <w:tcPr>
            <w:tcW w:w="1618" w:type="dxa"/>
            <w:tcBorders>
              <w:left w:val="single" w:sz="4" w:space="0" w:color="auto"/>
              <w:right w:val="single" w:sz="4" w:space="0" w:color="auto"/>
            </w:tcBorders>
            <w:shd w:val="clear" w:color="auto" w:fill="auto"/>
            <w:noWrap/>
            <w:vAlign w:val="bottom"/>
            <w:hideMark/>
          </w:tcPr>
          <w:p w14:paraId="62237AC4" w14:textId="09A672E0" w:rsidR="00686EC7" w:rsidRPr="000C156A" w:rsidRDefault="00686EC7" w:rsidP="00141BAA">
            <w:pPr>
              <w:jc w:val="right"/>
              <w:rPr>
                <w:rFonts w:cs="Calibri"/>
                <w:sz w:val="22"/>
                <w:szCs w:val="22"/>
              </w:rPr>
            </w:pPr>
            <w:r w:rsidRPr="000C156A">
              <w:rPr>
                <w:rFonts w:cs="Calibri"/>
                <w:sz w:val="22"/>
                <w:szCs w:val="22"/>
              </w:rPr>
              <w:t>50</w:t>
            </w:r>
            <w:r w:rsidR="001A59E5" w:rsidRPr="000C156A">
              <w:rPr>
                <w:rFonts w:cs="Calibri"/>
                <w:sz w:val="22"/>
                <w:szCs w:val="22"/>
              </w:rPr>
              <w:t xml:space="preserve"> </w:t>
            </w:r>
            <w:r w:rsidRPr="000C156A">
              <w:rPr>
                <w:rFonts w:cs="Calibri"/>
                <w:sz w:val="22"/>
                <w:szCs w:val="22"/>
              </w:rPr>
              <w:t>378.20</w:t>
            </w:r>
          </w:p>
        </w:tc>
      </w:tr>
      <w:tr w:rsidR="00686EC7" w:rsidRPr="000C156A" w14:paraId="20EA67A9" w14:textId="77777777" w:rsidTr="00141BAA">
        <w:trPr>
          <w:trHeight w:val="300"/>
          <w:jc w:val="center"/>
        </w:trPr>
        <w:tc>
          <w:tcPr>
            <w:tcW w:w="3934" w:type="dxa"/>
            <w:tcBorders>
              <w:left w:val="single" w:sz="4" w:space="0" w:color="auto"/>
              <w:bottom w:val="nil"/>
              <w:right w:val="single" w:sz="4" w:space="0" w:color="auto"/>
            </w:tcBorders>
            <w:shd w:val="clear" w:color="auto" w:fill="auto"/>
            <w:vAlign w:val="bottom"/>
            <w:hideMark/>
          </w:tcPr>
          <w:p w14:paraId="04C4BFC8" w14:textId="77777777" w:rsidR="00686EC7" w:rsidRPr="000C156A" w:rsidRDefault="00686EC7" w:rsidP="00141BAA">
            <w:pPr>
              <w:overflowPunct/>
              <w:autoSpaceDE/>
              <w:autoSpaceDN/>
              <w:adjustRightInd/>
              <w:spacing w:before="0"/>
              <w:textAlignment w:val="auto"/>
              <w:rPr>
                <w:rFonts w:eastAsiaTheme="minorEastAsia" w:cs="Calibri"/>
                <w:sz w:val="22"/>
                <w:szCs w:val="22"/>
                <w:lang w:val="en-US" w:eastAsia="zh-CN"/>
              </w:rPr>
            </w:pPr>
            <w:r w:rsidRPr="000C156A">
              <w:rPr>
                <w:rFonts w:eastAsiaTheme="minorEastAsia" w:cs="Calibri"/>
                <w:b/>
                <w:bCs/>
                <w:sz w:val="22"/>
                <w:szCs w:val="22"/>
                <w:lang w:eastAsia="zh-CN"/>
              </w:rPr>
              <w:t>D.</w:t>
            </w:r>
            <w:r w:rsidRPr="000C156A">
              <w:rPr>
                <w:rFonts w:eastAsiaTheme="minorEastAsia" w:cs="Calibri"/>
                <w:b/>
                <w:bCs/>
                <w:sz w:val="22"/>
                <w:szCs w:val="22"/>
                <w:lang w:eastAsia="zh-CN"/>
              </w:rPr>
              <w:t>其他债务方（杂项）</w:t>
            </w:r>
            <w:r w:rsidRPr="000C156A">
              <w:rPr>
                <w:rFonts w:eastAsiaTheme="minorEastAsia" w:cs="Calibri"/>
                <w:b/>
                <w:bCs/>
                <w:sz w:val="22"/>
                <w:szCs w:val="22"/>
                <w:lang w:eastAsia="zh-CN"/>
              </w:rPr>
              <w:t>*</w:t>
            </w:r>
          </w:p>
        </w:tc>
        <w:tc>
          <w:tcPr>
            <w:tcW w:w="1720" w:type="dxa"/>
            <w:tcBorders>
              <w:left w:val="single" w:sz="4" w:space="0" w:color="auto"/>
              <w:bottom w:val="nil"/>
              <w:right w:val="single" w:sz="4" w:space="0" w:color="auto"/>
            </w:tcBorders>
            <w:shd w:val="clear" w:color="auto" w:fill="auto"/>
            <w:noWrap/>
            <w:vAlign w:val="bottom"/>
            <w:hideMark/>
          </w:tcPr>
          <w:p w14:paraId="0AFE0E29" w14:textId="77777777" w:rsidR="00686EC7" w:rsidRPr="000C156A" w:rsidRDefault="00686EC7" w:rsidP="00141BAA">
            <w:pPr>
              <w:rPr>
                <w:rFonts w:cs="Calibri"/>
                <w:b/>
                <w:bCs/>
                <w:sz w:val="22"/>
                <w:szCs w:val="22"/>
                <w:lang w:eastAsia="zh-CN"/>
              </w:rPr>
            </w:pPr>
          </w:p>
        </w:tc>
        <w:tc>
          <w:tcPr>
            <w:tcW w:w="1613" w:type="dxa"/>
            <w:tcBorders>
              <w:left w:val="single" w:sz="4" w:space="0" w:color="auto"/>
              <w:bottom w:val="single" w:sz="4" w:space="0" w:color="auto"/>
              <w:right w:val="single" w:sz="4" w:space="0" w:color="auto"/>
            </w:tcBorders>
            <w:shd w:val="clear" w:color="auto" w:fill="auto"/>
            <w:noWrap/>
            <w:vAlign w:val="bottom"/>
            <w:hideMark/>
          </w:tcPr>
          <w:p w14:paraId="4F71FEB4" w14:textId="5EBD820A" w:rsidR="00686EC7" w:rsidRPr="000C156A" w:rsidRDefault="00686EC7" w:rsidP="00141BAA">
            <w:pPr>
              <w:jc w:val="right"/>
              <w:rPr>
                <w:rFonts w:cs="Calibri"/>
                <w:sz w:val="22"/>
                <w:szCs w:val="22"/>
              </w:rPr>
            </w:pPr>
            <w:r w:rsidRPr="000C156A">
              <w:rPr>
                <w:rFonts w:cs="Calibri"/>
                <w:sz w:val="22"/>
                <w:szCs w:val="22"/>
              </w:rPr>
              <w:t>45</w:t>
            </w:r>
            <w:r w:rsidR="001A59E5" w:rsidRPr="000C156A">
              <w:rPr>
                <w:rFonts w:cs="Calibri"/>
                <w:sz w:val="22"/>
                <w:szCs w:val="22"/>
              </w:rPr>
              <w:t xml:space="preserve"> </w:t>
            </w:r>
            <w:r w:rsidRPr="000C156A">
              <w:rPr>
                <w:rFonts w:cs="Calibri"/>
                <w:sz w:val="22"/>
                <w:szCs w:val="22"/>
              </w:rPr>
              <w:t>297.49</w:t>
            </w:r>
          </w:p>
        </w:tc>
        <w:tc>
          <w:tcPr>
            <w:tcW w:w="1434" w:type="dxa"/>
            <w:tcBorders>
              <w:left w:val="single" w:sz="4" w:space="0" w:color="auto"/>
              <w:bottom w:val="single" w:sz="4" w:space="0" w:color="auto"/>
              <w:right w:val="single" w:sz="4" w:space="0" w:color="auto"/>
            </w:tcBorders>
            <w:shd w:val="clear" w:color="auto" w:fill="auto"/>
            <w:noWrap/>
            <w:vAlign w:val="bottom"/>
            <w:hideMark/>
          </w:tcPr>
          <w:p w14:paraId="634527FD" w14:textId="185BAF9A" w:rsidR="00686EC7" w:rsidRPr="000C156A" w:rsidRDefault="00686EC7" w:rsidP="00141BAA">
            <w:pPr>
              <w:jc w:val="right"/>
              <w:rPr>
                <w:rFonts w:cs="Calibri"/>
                <w:sz w:val="22"/>
                <w:szCs w:val="22"/>
              </w:rPr>
            </w:pPr>
            <w:r w:rsidRPr="000C156A">
              <w:rPr>
                <w:rFonts w:cs="Calibri"/>
                <w:sz w:val="22"/>
                <w:szCs w:val="22"/>
              </w:rPr>
              <w:t>3</w:t>
            </w:r>
            <w:r w:rsidR="001A59E5" w:rsidRPr="000C156A">
              <w:rPr>
                <w:rFonts w:cs="Calibri"/>
                <w:sz w:val="22"/>
                <w:szCs w:val="22"/>
              </w:rPr>
              <w:t xml:space="preserve"> </w:t>
            </w:r>
            <w:r w:rsidRPr="000C156A">
              <w:rPr>
                <w:rFonts w:cs="Calibri"/>
                <w:sz w:val="22"/>
                <w:szCs w:val="22"/>
              </w:rPr>
              <w:t>085.00</w:t>
            </w:r>
          </w:p>
        </w:tc>
        <w:tc>
          <w:tcPr>
            <w:tcW w:w="1618" w:type="dxa"/>
            <w:tcBorders>
              <w:left w:val="single" w:sz="4" w:space="0" w:color="auto"/>
              <w:bottom w:val="single" w:sz="4" w:space="0" w:color="auto"/>
              <w:right w:val="single" w:sz="4" w:space="0" w:color="auto"/>
            </w:tcBorders>
            <w:shd w:val="clear" w:color="auto" w:fill="auto"/>
            <w:noWrap/>
            <w:vAlign w:val="bottom"/>
            <w:hideMark/>
          </w:tcPr>
          <w:p w14:paraId="6F1C04A0" w14:textId="5A778DF5" w:rsidR="00686EC7" w:rsidRPr="000C156A" w:rsidRDefault="00686EC7" w:rsidP="00141BAA">
            <w:pPr>
              <w:jc w:val="right"/>
              <w:rPr>
                <w:rFonts w:cs="Calibri"/>
                <w:sz w:val="22"/>
                <w:szCs w:val="22"/>
              </w:rPr>
            </w:pPr>
            <w:r w:rsidRPr="000C156A">
              <w:rPr>
                <w:rFonts w:cs="Calibri"/>
                <w:sz w:val="22"/>
                <w:szCs w:val="22"/>
              </w:rPr>
              <w:t>48</w:t>
            </w:r>
            <w:r w:rsidR="001A59E5" w:rsidRPr="000C156A">
              <w:rPr>
                <w:rFonts w:cs="Calibri"/>
                <w:sz w:val="22"/>
                <w:szCs w:val="22"/>
              </w:rPr>
              <w:t xml:space="preserve"> </w:t>
            </w:r>
            <w:r w:rsidRPr="000C156A">
              <w:rPr>
                <w:rFonts w:cs="Calibri"/>
                <w:sz w:val="22"/>
                <w:szCs w:val="22"/>
              </w:rPr>
              <w:t>382.49</w:t>
            </w:r>
          </w:p>
        </w:tc>
      </w:tr>
      <w:tr w:rsidR="00686EC7" w:rsidRPr="000C156A" w14:paraId="6495C683" w14:textId="77777777" w:rsidTr="00141BAA">
        <w:trPr>
          <w:trHeight w:val="300"/>
          <w:jc w:val="center"/>
        </w:trPr>
        <w:tc>
          <w:tcPr>
            <w:tcW w:w="3934" w:type="dxa"/>
            <w:tcBorders>
              <w:top w:val="nil"/>
              <w:left w:val="single" w:sz="4" w:space="0" w:color="auto"/>
              <w:bottom w:val="nil"/>
              <w:right w:val="single" w:sz="4" w:space="0" w:color="auto"/>
            </w:tcBorders>
            <w:shd w:val="clear" w:color="auto" w:fill="auto"/>
            <w:noWrap/>
            <w:vAlign w:val="bottom"/>
            <w:hideMark/>
          </w:tcPr>
          <w:p w14:paraId="5B9789D9" w14:textId="77777777" w:rsidR="00686EC7" w:rsidRPr="000C156A" w:rsidRDefault="00686EC7" w:rsidP="00141BAA">
            <w:pPr>
              <w:jc w:val="right"/>
              <w:rPr>
                <w:rFonts w:cs="Calibri"/>
                <w:sz w:val="22"/>
                <w:szCs w:val="22"/>
              </w:rPr>
            </w:pPr>
          </w:p>
        </w:tc>
        <w:tc>
          <w:tcPr>
            <w:tcW w:w="1720" w:type="dxa"/>
            <w:tcBorders>
              <w:top w:val="nil"/>
              <w:left w:val="single" w:sz="4" w:space="0" w:color="auto"/>
              <w:bottom w:val="nil"/>
              <w:right w:val="single" w:sz="4" w:space="0" w:color="auto"/>
            </w:tcBorders>
            <w:shd w:val="clear" w:color="auto" w:fill="auto"/>
            <w:noWrap/>
            <w:vAlign w:val="bottom"/>
            <w:hideMark/>
          </w:tcPr>
          <w:p w14:paraId="5F90204C" w14:textId="77777777" w:rsidR="00686EC7" w:rsidRPr="000C156A" w:rsidRDefault="00686EC7" w:rsidP="00141BAA">
            <w:pPr>
              <w:rPr>
                <w:rFonts w:ascii="Times New Roman" w:hAnsi="Times New Roman"/>
                <w:sz w:val="22"/>
                <w:szCs w:val="22"/>
              </w:rPr>
            </w:pPr>
          </w:p>
        </w:tc>
        <w:tc>
          <w:tcPr>
            <w:tcW w:w="1613" w:type="dxa"/>
            <w:tcBorders>
              <w:top w:val="nil"/>
              <w:left w:val="single" w:sz="4" w:space="0" w:color="auto"/>
              <w:bottom w:val="nil"/>
              <w:right w:val="single" w:sz="4" w:space="0" w:color="auto"/>
            </w:tcBorders>
            <w:shd w:val="clear" w:color="auto" w:fill="auto"/>
            <w:noWrap/>
            <w:vAlign w:val="bottom"/>
            <w:hideMark/>
          </w:tcPr>
          <w:p w14:paraId="3733F4FA" w14:textId="77777777" w:rsidR="00686EC7" w:rsidRPr="000C156A" w:rsidRDefault="00686EC7" w:rsidP="00141BAA">
            <w:pPr>
              <w:rPr>
                <w:rFonts w:ascii="Times New Roman" w:hAnsi="Times New Roman"/>
                <w:sz w:val="22"/>
                <w:szCs w:val="22"/>
              </w:rPr>
            </w:pPr>
          </w:p>
        </w:tc>
        <w:tc>
          <w:tcPr>
            <w:tcW w:w="1434" w:type="dxa"/>
            <w:tcBorders>
              <w:top w:val="nil"/>
              <w:left w:val="single" w:sz="4" w:space="0" w:color="auto"/>
              <w:bottom w:val="nil"/>
              <w:right w:val="single" w:sz="4" w:space="0" w:color="auto"/>
            </w:tcBorders>
            <w:shd w:val="clear" w:color="auto" w:fill="auto"/>
            <w:noWrap/>
            <w:vAlign w:val="bottom"/>
            <w:hideMark/>
          </w:tcPr>
          <w:p w14:paraId="5F49EDD7" w14:textId="77777777" w:rsidR="00686EC7" w:rsidRPr="000C156A" w:rsidRDefault="00686EC7" w:rsidP="00141BAA">
            <w:pPr>
              <w:rPr>
                <w:rFonts w:ascii="Times New Roman" w:hAnsi="Times New Roman"/>
                <w:sz w:val="22"/>
                <w:szCs w:val="22"/>
              </w:rPr>
            </w:pPr>
          </w:p>
        </w:tc>
        <w:tc>
          <w:tcPr>
            <w:tcW w:w="1618" w:type="dxa"/>
            <w:tcBorders>
              <w:top w:val="nil"/>
              <w:left w:val="single" w:sz="4" w:space="0" w:color="auto"/>
              <w:bottom w:val="nil"/>
              <w:right w:val="single" w:sz="4" w:space="0" w:color="auto"/>
            </w:tcBorders>
            <w:shd w:val="clear" w:color="auto" w:fill="auto"/>
            <w:noWrap/>
            <w:vAlign w:val="bottom"/>
            <w:hideMark/>
          </w:tcPr>
          <w:p w14:paraId="323634D6" w14:textId="77777777" w:rsidR="00686EC7" w:rsidRPr="000C156A" w:rsidRDefault="00686EC7" w:rsidP="00141BAA">
            <w:pPr>
              <w:rPr>
                <w:rFonts w:ascii="Times New Roman" w:hAnsi="Times New Roman"/>
                <w:sz w:val="22"/>
                <w:szCs w:val="22"/>
              </w:rPr>
            </w:pPr>
          </w:p>
        </w:tc>
      </w:tr>
      <w:tr w:rsidR="00686EC7" w:rsidRPr="000C156A" w14:paraId="1EB78B1C" w14:textId="77777777" w:rsidTr="00141BAA">
        <w:trPr>
          <w:trHeight w:val="330"/>
          <w:jc w:val="center"/>
        </w:trPr>
        <w:tc>
          <w:tcPr>
            <w:tcW w:w="3934" w:type="dxa"/>
            <w:tcBorders>
              <w:top w:val="nil"/>
              <w:left w:val="single" w:sz="4" w:space="0" w:color="auto"/>
              <w:bottom w:val="single" w:sz="4" w:space="0" w:color="auto"/>
              <w:right w:val="single" w:sz="4" w:space="0" w:color="auto"/>
            </w:tcBorders>
            <w:shd w:val="clear" w:color="auto" w:fill="auto"/>
            <w:vAlign w:val="bottom"/>
            <w:hideMark/>
          </w:tcPr>
          <w:p w14:paraId="60ED8873" w14:textId="77777777" w:rsidR="00686EC7" w:rsidRPr="000C156A" w:rsidRDefault="00686EC7" w:rsidP="00141BAA">
            <w:pPr>
              <w:overflowPunct/>
              <w:autoSpaceDE/>
              <w:autoSpaceDN/>
              <w:adjustRightInd/>
              <w:spacing w:before="0"/>
              <w:textAlignment w:val="auto"/>
              <w:rPr>
                <w:rFonts w:eastAsiaTheme="minorEastAsia" w:cs="Calibri"/>
                <w:sz w:val="22"/>
                <w:szCs w:val="22"/>
                <w:lang w:val="en-US" w:eastAsia="zh-CN"/>
              </w:rPr>
            </w:pPr>
            <w:r w:rsidRPr="000C156A">
              <w:rPr>
                <w:rFonts w:eastAsiaTheme="minorEastAsia" w:cs="Calibri"/>
                <w:b/>
                <w:bCs/>
                <w:sz w:val="22"/>
                <w:szCs w:val="22"/>
                <w:lang w:eastAsia="en-GB"/>
              </w:rPr>
              <w:t>截至</w:t>
            </w:r>
            <w:r w:rsidRPr="000C156A">
              <w:rPr>
                <w:rFonts w:eastAsiaTheme="minorEastAsia" w:cs="Calibri"/>
                <w:b/>
                <w:bCs/>
                <w:sz w:val="22"/>
                <w:szCs w:val="22"/>
                <w:lang w:eastAsia="en-GB"/>
              </w:rPr>
              <w:t>20</w:t>
            </w:r>
            <w:r w:rsidRPr="000C156A">
              <w:rPr>
                <w:rFonts w:eastAsiaTheme="minorEastAsia" w:cs="Calibri" w:hint="eastAsia"/>
                <w:b/>
                <w:bCs/>
                <w:sz w:val="22"/>
                <w:szCs w:val="22"/>
                <w:lang w:eastAsia="zh-CN"/>
              </w:rPr>
              <w:t>20</w:t>
            </w:r>
            <w:r w:rsidRPr="000C156A">
              <w:rPr>
                <w:rFonts w:eastAsiaTheme="minorEastAsia" w:cs="Calibri"/>
                <w:b/>
                <w:bCs/>
                <w:sz w:val="22"/>
                <w:szCs w:val="22"/>
                <w:lang w:eastAsia="en-GB"/>
              </w:rPr>
              <w:t>年</w:t>
            </w:r>
            <w:r w:rsidRPr="000C156A">
              <w:rPr>
                <w:rFonts w:eastAsiaTheme="minorEastAsia" w:cs="Calibri"/>
                <w:b/>
                <w:bCs/>
                <w:sz w:val="22"/>
                <w:szCs w:val="22"/>
                <w:lang w:eastAsia="en-GB"/>
              </w:rPr>
              <w:t>12</w:t>
            </w:r>
            <w:r w:rsidRPr="000C156A">
              <w:rPr>
                <w:rFonts w:eastAsiaTheme="minorEastAsia" w:cs="Calibri"/>
                <w:b/>
                <w:bCs/>
                <w:sz w:val="22"/>
                <w:szCs w:val="22"/>
                <w:lang w:eastAsia="en-GB"/>
              </w:rPr>
              <w:t>月</w:t>
            </w:r>
            <w:r w:rsidRPr="000C156A">
              <w:rPr>
                <w:rFonts w:eastAsiaTheme="minorEastAsia" w:cs="Calibri"/>
                <w:b/>
                <w:bCs/>
                <w:sz w:val="22"/>
                <w:szCs w:val="22"/>
                <w:lang w:eastAsia="en-GB"/>
              </w:rPr>
              <w:t>31</w:t>
            </w:r>
            <w:r w:rsidRPr="000C156A">
              <w:rPr>
                <w:rFonts w:eastAsiaTheme="minorEastAsia" w:cs="Calibri"/>
                <w:b/>
                <w:bCs/>
                <w:sz w:val="22"/>
                <w:szCs w:val="22"/>
                <w:lang w:eastAsia="en-GB"/>
              </w:rPr>
              <w:t>日的合计</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3987D18" w14:textId="77777777" w:rsidR="00686EC7" w:rsidRPr="000C156A" w:rsidRDefault="00686EC7" w:rsidP="00141BAA">
            <w:pPr>
              <w:rPr>
                <w:rFonts w:cs="Calibri"/>
                <w:b/>
                <w:bCs/>
                <w:sz w:val="22"/>
                <w:szCs w:val="22"/>
              </w:rPr>
            </w:pP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14:paraId="5C03C8F9" w14:textId="6C4CBD90" w:rsidR="00686EC7" w:rsidRPr="000C156A" w:rsidRDefault="00686EC7" w:rsidP="00141BAA">
            <w:pPr>
              <w:jc w:val="right"/>
              <w:rPr>
                <w:rFonts w:cs="Calibri"/>
                <w:sz w:val="22"/>
                <w:szCs w:val="22"/>
              </w:rPr>
            </w:pPr>
            <w:r w:rsidRPr="000C156A">
              <w:rPr>
                <w:rFonts w:cs="Calibri"/>
                <w:sz w:val="22"/>
                <w:szCs w:val="22"/>
              </w:rPr>
              <w:t>20</w:t>
            </w:r>
            <w:r w:rsidR="001A59E5" w:rsidRPr="000C156A">
              <w:rPr>
                <w:rFonts w:cs="Calibri"/>
                <w:sz w:val="22"/>
                <w:szCs w:val="22"/>
              </w:rPr>
              <w:t xml:space="preserve"> </w:t>
            </w:r>
            <w:r w:rsidRPr="000C156A">
              <w:rPr>
                <w:rFonts w:cs="Calibri"/>
                <w:sz w:val="22"/>
                <w:szCs w:val="22"/>
              </w:rPr>
              <w:t>423</w:t>
            </w:r>
            <w:r w:rsidR="001A59E5" w:rsidRPr="000C156A">
              <w:rPr>
                <w:rFonts w:cs="Calibri"/>
                <w:sz w:val="22"/>
                <w:szCs w:val="22"/>
              </w:rPr>
              <w:t xml:space="preserve"> </w:t>
            </w:r>
            <w:r w:rsidRPr="000C156A">
              <w:rPr>
                <w:rFonts w:cs="Calibri"/>
                <w:sz w:val="22"/>
                <w:szCs w:val="22"/>
              </w:rPr>
              <w:t>664.58</w:t>
            </w:r>
          </w:p>
        </w:tc>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1841EEB2" w14:textId="1DCABEAD" w:rsidR="00686EC7" w:rsidRPr="000C156A" w:rsidRDefault="00686EC7" w:rsidP="00141BAA">
            <w:pPr>
              <w:jc w:val="right"/>
              <w:rPr>
                <w:rFonts w:cs="Calibri"/>
                <w:sz w:val="22"/>
                <w:szCs w:val="22"/>
              </w:rPr>
            </w:pPr>
            <w:r w:rsidRPr="000C156A">
              <w:rPr>
                <w:rFonts w:cs="Calibri"/>
                <w:sz w:val="22"/>
                <w:szCs w:val="22"/>
              </w:rPr>
              <w:t>97</w:t>
            </w:r>
            <w:r w:rsidR="001A59E5" w:rsidRPr="000C156A">
              <w:rPr>
                <w:rFonts w:cs="Calibri"/>
                <w:sz w:val="22"/>
                <w:szCs w:val="22"/>
              </w:rPr>
              <w:t xml:space="preserve"> </w:t>
            </w:r>
            <w:r w:rsidRPr="000C156A">
              <w:rPr>
                <w:rFonts w:cs="Calibri"/>
                <w:sz w:val="22"/>
                <w:szCs w:val="22"/>
              </w:rPr>
              <w:t>170.30</w:t>
            </w:r>
          </w:p>
        </w:tc>
        <w:tc>
          <w:tcPr>
            <w:tcW w:w="1618" w:type="dxa"/>
            <w:tcBorders>
              <w:top w:val="nil"/>
              <w:left w:val="single" w:sz="4" w:space="0" w:color="auto"/>
              <w:bottom w:val="single" w:sz="4" w:space="0" w:color="auto"/>
              <w:right w:val="single" w:sz="4" w:space="0" w:color="auto"/>
            </w:tcBorders>
            <w:shd w:val="clear" w:color="auto" w:fill="auto"/>
            <w:noWrap/>
            <w:vAlign w:val="bottom"/>
            <w:hideMark/>
          </w:tcPr>
          <w:p w14:paraId="346EEE45" w14:textId="546C00EE" w:rsidR="00686EC7" w:rsidRPr="000C156A" w:rsidRDefault="00686EC7" w:rsidP="00141BAA">
            <w:pPr>
              <w:jc w:val="right"/>
              <w:rPr>
                <w:rFonts w:cs="Calibri"/>
                <w:sz w:val="22"/>
                <w:szCs w:val="22"/>
              </w:rPr>
            </w:pPr>
            <w:r w:rsidRPr="000C156A">
              <w:rPr>
                <w:rFonts w:cs="Calibri"/>
                <w:sz w:val="22"/>
                <w:szCs w:val="22"/>
              </w:rPr>
              <w:t>20</w:t>
            </w:r>
            <w:r w:rsidR="001A59E5" w:rsidRPr="000C156A">
              <w:rPr>
                <w:rFonts w:cs="Calibri"/>
                <w:sz w:val="22"/>
                <w:szCs w:val="22"/>
              </w:rPr>
              <w:t xml:space="preserve"> </w:t>
            </w:r>
            <w:r w:rsidRPr="000C156A">
              <w:rPr>
                <w:rFonts w:cs="Calibri"/>
                <w:sz w:val="22"/>
                <w:szCs w:val="22"/>
              </w:rPr>
              <w:t>520</w:t>
            </w:r>
            <w:r w:rsidR="001A59E5" w:rsidRPr="000C156A">
              <w:rPr>
                <w:rFonts w:cs="Calibri"/>
                <w:sz w:val="22"/>
                <w:szCs w:val="22"/>
              </w:rPr>
              <w:t xml:space="preserve"> </w:t>
            </w:r>
            <w:r w:rsidRPr="000C156A">
              <w:rPr>
                <w:rFonts w:cs="Calibri"/>
                <w:sz w:val="22"/>
                <w:szCs w:val="22"/>
              </w:rPr>
              <w:t>834.88</w:t>
            </w:r>
          </w:p>
        </w:tc>
      </w:tr>
      <w:tr w:rsidR="00686EC7" w:rsidRPr="000C156A" w14:paraId="494C6B98" w14:textId="77777777" w:rsidTr="00141BAA">
        <w:trPr>
          <w:trHeight w:val="210"/>
          <w:jc w:val="center"/>
        </w:trPr>
        <w:tc>
          <w:tcPr>
            <w:tcW w:w="10319" w:type="dxa"/>
            <w:gridSpan w:val="5"/>
            <w:tcBorders>
              <w:top w:val="nil"/>
              <w:left w:val="nil"/>
              <w:bottom w:val="nil"/>
              <w:right w:val="nil"/>
            </w:tcBorders>
            <w:shd w:val="clear" w:color="auto" w:fill="auto"/>
            <w:noWrap/>
            <w:hideMark/>
          </w:tcPr>
          <w:p w14:paraId="026073F0" w14:textId="77777777" w:rsidR="00686EC7" w:rsidRPr="000C156A" w:rsidRDefault="00686EC7" w:rsidP="00141BAA">
            <w:pPr>
              <w:rPr>
                <w:sz w:val="22"/>
                <w:szCs w:val="22"/>
                <w:lang w:eastAsia="zh-CN"/>
              </w:rPr>
            </w:pPr>
            <w:r w:rsidRPr="000C156A">
              <w:rPr>
                <w:rFonts w:cs="Calibri"/>
                <w:sz w:val="22"/>
                <w:szCs w:val="22"/>
                <w:lang w:eastAsia="zh-CN"/>
              </w:rPr>
              <w:t xml:space="preserve">* </w:t>
            </w:r>
            <w:r w:rsidRPr="000C156A">
              <w:rPr>
                <w:rFonts w:asciiTheme="minorHAnsi" w:eastAsiaTheme="minorEastAsia" w:hAnsiTheme="minorHAnsi" w:cstheme="minorHAnsi"/>
                <w:sz w:val="22"/>
                <w:szCs w:val="22"/>
                <w:lang w:eastAsia="zh-CN"/>
              </w:rPr>
              <w:t>包括欠款额低于</w:t>
            </w:r>
            <w:r w:rsidRPr="000C156A">
              <w:rPr>
                <w:rFonts w:asciiTheme="minorHAnsi" w:eastAsiaTheme="minorEastAsia" w:hAnsiTheme="minorHAnsi" w:cstheme="minorHAnsi"/>
                <w:sz w:val="22"/>
                <w:szCs w:val="22"/>
                <w:lang w:eastAsia="zh-CN"/>
              </w:rPr>
              <w:t>5 000</w:t>
            </w:r>
            <w:r w:rsidRPr="000C156A">
              <w:rPr>
                <w:rFonts w:asciiTheme="minorHAnsi" w:eastAsiaTheme="minorEastAsia" w:hAnsiTheme="minorHAnsi" w:cstheme="minorHAnsi"/>
                <w:sz w:val="22"/>
                <w:szCs w:val="22"/>
                <w:lang w:eastAsia="zh-CN"/>
              </w:rPr>
              <w:t>瑞郎的国际电联成员国债务方和欠款额低于</w:t>
            </w:r>
            <w:r w:rsidRPr="000C156A">
              <w:rPr>
                <w:rFonts w:asciiTheme="minorHAnsi" w:eastAsiaTheme="minorEastAsia" w:hAnsiTheme="minorHAnsi" w:cstheme="minorHAnsi"/>
                <w:sz w:val="22"/>
                <w:szCs w:val="22"/>
                <w:lang w:eastAsia="zh-CN"/>
              </w:rPr>
              <w:t>2 000</w:t>
            </w:r>
            <w:r w:rsidRPr="000C156A">
              <w:rPr>
                <w:rFonts w:asciiTheme="minorHAnsi" w:eastAsiaTheme="minorEastAsia" w:hAnsiTheme="minorHAnsi" w:cstheme="minorHAnsi"/>
                <w:sz w:val="22"/>
                <w:szCs w:val="22"/>
                <w:lang w:eastAsia="zh-CN"/>
              </w:rPr>
              <w:t>瑞郎的部门成员、其它实体或组织及其它债务方。</w:t>
            </w:r>
          </w:p>
        </w:tc>
      </w:tr>
    </w:tbl>
    <w:p w14:paraId="13C882E9" w14:textId="77777777" w:rsidR="00686EC7" w:rsidRPr="000C156A" w:rsidRDefault="00686EC7" w:rsidP="00686EC7">
      <w:pPr>
        <w:rPr>
          <w:rFonts w:eastAsia="Times New Roman"/>
          <w:lang w:eastAsia="zh-CN"/>
        </w:rPr>
      </w:pPr>
    </w:p>
    <w:p w14:paraId="0E52E337" w14:textId="77777777" w:rsidR="00686EC7" w:rsidRPr="000C156A" w:rsidRDefault="00686EC7" w:rsidP="00686EC7">
      <w:pPr>
        <w:rPr>
          <w:lang w:eastAsia="zh-CN"/>
        </w:rPr>
        <w:sectPr w:rsidR="00686EC7" w:rsidRPr="000C156A" w:rsidSect="00141BAA">
          <w:pgSz w:w="11907" w:h="16834"/>
          <w:pgMar w:top="1418" w:right="1134" w:bottom="1418" w:left="1134" w:header="720" w:footer="720" w:gutter="0"/>
          <w:paperSrc w:first="15" w:other="15"/>
          <w:cols w:space="720"/>
          <w:titlePg/>
          <w:docGrid w:linePitch="326"/>
        </w:sectPr>
      </w:pPr>
    </w:p>
    <w:p w14:paraId="1CE35BCC" w14:textId="77777777" w:rsidR="00686EC7" w:rsidRPr="000C156A" w:rsidRDefault="00686EC7" w:rsidP="005D4CA4">
      <w:pPr>
        <w:pStyle w:val="Tabletitle"/>
        <w:spacing w:before="120" w:after="240"/>
        <w:rPr>
          <w:sz w:val="28"/>
          <w:szCs w:val="28"/>
          <w:lang w:val="fr-FR" w:eastAsia="zh-CN"/>
        </w:rPr>
      </w:pPr>
      <w:r w:rsidRPr="000C156A">
        <w:rPr>
          <w:rFonts w:cs="Microsoft YaHei" w:hint="eastAsia"/>
          <w:sz w:val="28"/>
          <w:szCs w:val="28"/>
          <w:lang w:val="fr-FR" w:eastAsia="zh-CN"/>
        </w:rPr>
        <w:lastRenderedPageBreak/>
        <w:t>欠款专账欠款金额（还款协议）</w:t>
      </w:r>
    </w:p>
    <w:tbl>
      <w:tblPr>
        <w:tblW w:w="5000" w:type="pct"/>
        <w:tblLook w:val="04A0" w:firstRow="1" w:lastRow="0" w:firstColumn="1" w:lastColumn="0" w:noHBand="0" w:noVBand="1"/>
      </w:tblPr>
      <w:tblGrid>
        <w:gridCol w:w="3024"/>
        <w:gridCol w:w="2220"/>
        <w:gridCol w:w="1374"/>
        <w:gridCol w:w="2333"/>
        <w:gridCol w:w="1377"/>
        <w:gridCol w:w="1148"/>
        <w:gridCol w:w="1187"/>
        <w:gridCol w:w="1325"/>
      </w:tblGrid>
      <w:tr w:rsidR="00686EC7" w:rsidRPr="000C156A" w14:paraId="121C9734" w14:textId="77777777" w:rsidTr="00141BAA">
        <w:trPr>
          <w:trHeight w:val="510"/>
        </w:trPr>
        <w:tc>
          <w:tcPr>
            <w:tcW w:w="1098" w:type="pct"/>
            <w:tcBorders>
              <w:top w:val="single" w:sz="4" w:space="0" w:color="auto"/>
              <w:left w:val="single" w:sz="4" w:space="0" w:color="auto"/>
              <w:bottom w:val="nil"/>
              <w:right w:val="nil"/>
            </w:tcBorders>
            <w:shd w:val="clear" w:color="auto" w:fill="auto"/>
            <w:noWrap/>
            <w:vAlign w:val="bottom"/>
            <w:hideMark/>
          </w:tcPr>
          <w:p w14:paraId="59455808" w14:textId="77777777" w:rsidR="00686EC7" w:rsidRPr="000C156A" w:rsidRDefault="00686EC7" w:rsidP="00141BAA">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en-GB"/>
              </w:rPr>
              <w:t>成员国</w:t>
            </w:r>
            <w:r w:rsidRPr="000C156A">
              <w:rPr>
                <w:rFonts w:eastAsiaTheme="minorEastAsia" w:cs="Calibri"/>
                <w:b/>
                <w:bCs/>
                <w:sz w:val="20"/>
                <w:lang w:eastAsia="en-GB"/>
              </w:rPr>
              <w:t>/</w:t>
            </w:r>
            <w:r w:rsidRPr="000C156A">
              <w:rPr>
                <w:rFonts w:eastAsiaTheme="minorEastAsia" w:cs="Calibri"/>
                <w:b/>
                <w:bCs/>
                <w:sz w:val="20"/>
                <w:lang w:eastAsia="en-GB"/>
              </w:rPr>
              <w:t>部门成员</w:t>
            </w:r>
            <w:r w:rsidRPr="000C156A">
              <w:rPr>
                <w:rFonts w:eastAsiaTheme="minorEastAsia" w:cs="Calibri"/>
                <w:b/>
                <w:bCs/>
                <w:sz w:val="20"/>
                <w:lang w:eastAsia="en-GB"/>
              </w:rPr>
              <w:t>/</w:t>
            </w:r>
          </w:p>
        </w:tc>
        <w:tc>
          <w:tcPr>
            <w:tcW w:w="728" w:type="pct"/>
            <w:tcBorders>
              <w:top w:val="single" w:sz="4" w:space="0" w:color="auto"/>
              <w:left w:val="single" w:sz="4" w:space="0" w:color="auto"/>
              <w:bottom w:val="nil"/>
              <w:right w:val="single" w:sz="4" w:space="0" w:color="auto"/>
            </w:tcBorders>
            <w:shd w:val="clear" w:color="auto" w:fill="auto"/>
            <w:noWrap/>
            <w:vAlign w:val="bottom"/>
            <w:hideMark/>
          </w:tcPr>
          <w:p w14:paraId="544F0A37" w14:textId="77777777" w:rsidR="00686EC7" w:rsidRPr="000C156A" w:rsidRDefault="00686EC7" w:rsidP="00141BAA">
            <w:pPr>
              <w:overflowPunct/>
              <w:autoSpaceDE/>
              <w:autoSpaceDN/>
              <w:adjustRightInd/>
              <w:spacing w:before="0"/>
              <w:jc w:val="center"/>
              <w:textAlignment w:val="auto"/>
              <w:rPr>
                <w:rFonts w:eastAsiaTheme="minorEastAsia" w:cs="Calibri"/>
                <w:b/>
                <w:bCs/>
                <w:sz w:val="20"/>
                <w:lang w:eastAsia="zh-CN"/>
              </w:rPr>
            </w:pPr>
            <w:r w:rsidRPr="000C156A">
              <w:rPr>
                <w:rFonts w:eastAsiaTheme="minorEastAsia" w:cs="Calibri"/>
                <w:b/>
                <w:bCs/>
                <w:sz w:val="20"/>
                <w:lang w:eastAsia="zh-CN"/>
              </w:rPr>
              <w:t>全权代表大会（</w:t>
            </w:r>
            <w:r w:rsidRPr="000C156A">
              <w:rPr>
                <w:rFonts w:eastAsiaTheme="minorEastAsia" w:cs="Calibri"/>
                <w:b/>
                <w:bCs/>
                <w:sz w:val="20"/>
                <w:lang w:eastAsia="zh-CN"/>
              </w:rPr>
              <w:t>PP</w:t>
            </w:r>
            <w:r w:rsidRPr="000C156A">
              <w:rPr>
                <w:rFonts w:eastAsiaTheme="minorEastAsia" w:cs="Calibri"/>
                <w:b/>
                <w:bCs/>
                <w:sz w:val="20"/>
                <w:lang w:eastAsia="zh-CN"/>
              </w:rPr>
              <w:t>）</w:t>
            </w:r>
          </w:p>
        </w:tc>
        <w:tc>
          <w:tcPr>
            <w:tcW w:w="496" w:type="pct"/>
            <w:tcBorders>
              <w:top w:val="single" w:sz="4" w:space="0" w:color="auto"/>
              <w:left w:val="nil"/>
              <w:bottom w:val="nil"/>
              <w:right w:val="nil"/>
            </w:tcBorders>
            <w:shd w:val="clear" w:color="auto" w:fill="auto"/>
            <w:noWrap/>
            <w:vAlign w:val="bottom"/>
            <w:hideMark/>
          </w:tcPr>
          <w:p w14:paraId="7747BB9D" w14:textId="77777777" w:rsidR="00686EC7" w:rsidRPr="000C156A" w:rsidRDefault="00686EC7" w:rsidP="00141BAA">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en-GB"/>
              </w:rPr>
              <w:t>转至欠款</w:t>
            </w:r>
          </w:p>
        </w:tc>
        <w:tc>
          <w:tcPr>
            <w:tcW w:w="834" w:type="pct"/>
            <w:tcBorders>
              <w:top w:val="single" w:sz="4" w:space="0" w:color="auto"/>
              <w:left w:val="single" w:sz="4" w:space="0" w:color="auto"/>
              <w:bottom w:val="nil"/>
              <w:right w:val="single" w:sz="4" w:space="0" w:color="auto"/>
            </w:tcBorders>
            <w:shd w:val="clear" w:color="auto" w:fill="auto"/>
            <w:noWrap/>
            <w:vAlign w:val="bottom"/>
            <w:hideMark/>
          </w:tcPr>
          <w:p w14:paraId="15F57BDC" w14:textId="77777777" w:rsidR="00686EC7" w:rsidRPr="000C156A" w:rsidRDefault="00686EC7" w:rsidP="00141BAA">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en-GB"/>
              </w:rPr>
              <w:t>截至</w:t>
            </w:r>
            <w:r w:rsidRPr="000C156A">
              <w:rPr>
                <w:rFonts w:eastAsiaTheme="minorEastAsia" w:cs="Calibri"/>
                <w:b/>
                <w:bCs/>
                <w:sz w:val="20"/>
                <w:lang w:eastAsia="en-GB"/>
              </w:rPr>
              <w:t>2019</w:t>
            </w:r>
            <w:r w:rsidRPr="000C156A">
              <w:rPr>
                <w:rFonts w:eastAsiaTheme="minorEastAsia" w:cs="Calibri"/>
                <w:b/>
                <w:bCs/>
                <w:sz w:val="20"/>
                <w:lang w:eastAsia="en-GB"/>
              </w:rPr>
              <w:t>年</w:t>
            </w:r>
            <w:r w:rsidRPr="000C156A">
              <w:rPr>
                <w:rFonts w:eastAsiaTheme="minorEastAsia" w:cs="Calibri"/>
                <w:b/>
                <w:bCs/>
                <w:sz w:val="20"/>
                <w:lang w:eastAsia="en-GB"/>
              </w:rPr>
              <w:t>12</w:t>
            </w:r>
            <w:r w:rsidRPr="000C156A">
              <w:rPr>
                <w:rFonts w:eastAsiaTheme="minorEastAsia" w:cs="Calibri"/>
                <w:b/>
                <w:bCs/>
                <w:sz w:val="20"/>
                <w:lang w:eastAsia="en-GB"/>
              </w:rPr>
              <w:t>月</w:t>
            </w:r>
            <w:r w:rsidRPr="000C156A">
              <w:rPr>
                <w:rFonts w:eastAsiaTheme="minorEastAsia" w:cs="Calibri"/>
                <w:b/>
                <w:bCs/>
                <w:sz w:val="20"/>
                <w:lang w:eastAsia="en-GB"/>
              </w:rPr>
              <w:t>31</w:t>
            </w:r>
            <w:r w:rsidRPr="000C156A">
              <w:rPr>
                <w:rFonts w:eastAsiaTheme="minorEastAsia" w:cs="Calibri"/>
                <w:b/>
                <w:bCs/>
                <w:sz w:val="20"/>
                <w:lang w:eastAsia="en-GB"/>
              </w:rPr>
              <w:t>日</w:t>
            </w:r>
          </w:p>
        </w:tc>
        <w:tc>
          <w:tcPr>
            <w:tcW w:w="518" w:type="pct"/>
            <w:tcBorders>
              <w:top w:val="single" w:sz="4" w:space="0" w:color="auto"/>
              <w:left w:val="nil"/>
              <w:bottom w:val="nil"/>
              <w:right w:val="nil"/>
            </w:tcBorders>
            <w:shd w:val="clear" w:color="auto" w:fill="auto"/>
            <w:vAlign w:val="bottom"/>
            <w:hideMark/>
          </w:tcPr>
          <w:p w14:paraId="059D6A49" w14:textId="77777777" w:rsidR="00686EC7" w:rsidRPr="000C156A" w:rsidRDefault="00686EC7" w:rsidP="00141BAA">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en-GB"/>
              </w:rPr>
              <w:t>2020</w:t>
            </w:r>
            <w:r w:rsidRPr="000C156A">
              <w:rPr>
                <w:rFonts w:eastAsiaTheme="minorEastAsia" w:cs="Calibri"/>
                <w:b/>
                <w:bCs/>
                <w:sz w:val="20"/>
                <w:lang w:eastAsia="en-GB"/>
              </w:rPr>
              <w:t>年</w:t>
            </w:r>
          </w:p>
        </w:tc>
        <w:tc>
          <w:tcPr>
            <w:tcW w:w="427" w:type="pct"/>
            <w:tcBorders>
              <w:top w:val="single" w:sz="4" w:space="0" w:color="auto"/>
              <w:left w:val="single" w:sz="4" w:space="0" w:color="auto"/>
              <w:bottom w:val="nil"/>
              <w:right w:val="single" w:sz="4" w:space="0" w:color="auto"/>
            </w:tcBorders>
            <w:shd w:val="clear" w:color="auto" w:fill="auto"/>
            <w:vAlign w:val="bottom"/>
            <w:hideMark/>
          </w:tcPr>
          <w:p w14:paraId="03033150" w14:textId="77777777" w:rsidR="00686EC7" w:rsidRPr="000C156A" w:rsidRDefault="00686EC7" w:rsidP="00141BAA">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en-GB"/>
              </w:rPr>
              <w:t>2020</w:t>
            </w:r>
            <w:r w:rsidRPr="000C156A">
              <w:rPr>
                <w:rFonts w:eastAsiaTheme="minorEastAsia" w:cs="Calibri"/>
                <w:b/>
                <w:bCs/>
                <w:sz w:val="20"/>
                <w:lang w:eastAsia="en-GB"/>
              </w:rPr>
              <w:t>年</w:t>
            </w:r>
          </w:p>
        </w:tc>
        <w:tc>
          <w:tcPr>
            <w:tcW w:w="427" w:type="pct"/>
            <w:tcBorders>
              <w:top w:val="single" w:sz="4" w:space="0" w:color="auto"/>
              <w:left w:val="nil"/>
              <w:bottom w:val="nil"/>
              <w:right w:val="nil"/>
            </w:tcBorders>
            <w:shd w:val="clear" w:color="auto" w:fill="auto"/>
            <w:noWrap/>
            <w:vAlign w:val="bottom"/>
            <w:hideMark/>
          </w:tcPr>
          <w:p w14:paraId="2C8785C8" w14:textId="77777777" w:rsidR="00686EC7" w:rsidRPr="000C156A" w:rsidRDefault="00686EC7" w:rsidP="00141BAA">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en-GB"/>
              </w:rPr>
              <w:t>2020</w:t>
            </w:r>
            <w:r w:rsidRPr="000C156A">
              <w:rPr>
                <w:rFonts w:eastAsiaTheme="minorEastAsia" w:cs="Calibri"/>
                <w:b/>
                <w:bCs/>
                <w:sz w:val="20"/>
                <w:lang w:eastAsia="en-GB"/>
              </w:rPr>
              <w:t>年</w:t>
            </w:r>
          </w:p>
        </w:tc>
        <w:tc>
          <w:tcPr>
            <w:tcW w:w="474" w:type="pct"/>
            <w:tcBorders>
              <w:top w:val="single" w:sz="4" w:space="0" w:color="auto"/>
              <w:left w:val="single" w:sz="4" w:space="0" w:color="auto"/>
              <w:bottom w:val="nil"/>
              <w:right w:val="single" w:sz="4" w:space="0" w:color="auto"/>
            </w:tcBorders>
            <w:shd w:val="clear" w:color="auto" w:fill="auto"/>
            <w:noWrap/>
            <w:vAlign w:val="bottom"/>
            <w:hideMark/>
          </w:tcPr>
          <w:p w14:paraId="66241A94" w14:textId="77777777" w:rsidR="00686EC7" w:rsidRPr="000C156A" w:rsidRDefault="00686EC7" w:rsidP="00141BAA">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en-GB"/>
              </w:rPr>
              <w:t>截至</w:t>
            </w:r>
            <w:r w:rsidRPr="000C156A">
              <w:rPr>
                <w:rFonts w:eastAsiaTheme="minorEastAsia" w:cs="Calibri"/>
                <w:b/>
                <w:bCs/>
                <w:sz w:val="20"/>
                <w:lang w:eastAsia="en-GB"/>
              </w:rPr>
              <w:t>2020</w:t>
            </w:r>
            <w:r w:rsidRPr="000C156A">
              <w:rPr>
                <w:rFonts w:eastAsiaTheme="minorEastAsia" w:cs="Calibri"/>
                <w:b/>
                <w:bCs/>
                <w:sz w:val="20"/>
                <w:lang w:eastAsia="en-GB"/>
              </w:rPr>
              <w:t>年</w:t>
            </w:r>
          </w:p>
        </w:tc>
      </w:tr>
      <w:tr w:rsidR="00686EC7" w:rsidRPr="000C156A" w14:paraId="7BAD800D" w14:textId="77777777" w:rsidTr="00141BAA">
        <w:trPr>
          <w:trHeight w:val="255"/>
        </w:trPr>
        <w:tc>
          <w:tcPr>
            <w:tcW w:w="1098" w:type="pct"/>
            <w:tcBorders>
              <w:top w:val="nil"/>
              <w:left w:val="single" w:sz="4" w:space="0" w:color="auto"/>
              <w:bottom w:val="nil"/>
              <w:right w:val="nil"/>
            </w:tcBorders>
            <w:shd w:val="clear" w:color="auto" w:fill="auto"/>
            <w:noWrap/>
            <w:vAlign w:val="bottom"/>
            <w:hideMark/>
          </w:tcPr>
          <w:p w14:paraId="6DE16DE5" w14:textId="77777777" w:rsidR="00686EC7" w:rsidRPr="000C156A" w:rsidRDefault="00686EC7" w:rsidP="00141BAA">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en-GB"/>
              </w:rPr>
              <w:t>公司</w:t>
            </w:r>
          </w:p>
        </w:tc>
        <w:tc>
          <w:tcPr>
            <w:tcW w:w="728" w:type="pct"/>
            <w:tcBorders>
              <w:top w:val="nil"/>
              <w:left w:val="single" w:sz="4" w:space="0" w:color="auto"/>
              <w:bottom w:val="nil"/>
              <w:right w:val="single" w:sz="4" w:space="0" w:color="auto"/>
            </w:tcBorders>
            <w:shd w:val="clear" w:color="auto" w:fill="auto"/>
            <w:noWrap/>
            <w:vAlign w:val="bottom"/>
            <w:hideMark/>
          </w:tcPr>
          <w:p w14:paraId="7C41D962" w14:textId="77777777" w:rsidR="00686EC7" w:rsidRPr="000C156A" w:rsidRDefault="00686EC7" w:rsidP="00141BAA">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zh-CN"/>
              </w:rPr>
              <w:t>决议</w:t>
            </w:r>
            <w:r w:rsidRPr="000C156A">
              <w:rPr>
                <w:rFonts w:eastAsiaTheme="minorEastAsia" w:cs="Calibri"/>
                <w:b/>
                <w:bCs/>
                <w:sz w:val="20"/>
                <w:lang w:eastAsia="en-GB"/>
              </w:rPr>
              <w:t> </w:t>
            </w:r>
          </w:p>
        </w:tc>
        <w:tc>
          <w:tcPr>
            <w:tcW w:w="496" w:type="pct"/>
            <w:tcBorders>
              <w:top w:val="nil"/>
              <w:left w:val="nil"/>
              <w:bottom w:val="nil"/>
              <w:right w:val="nil"/>
            </w:tcBorders>
            <w:shd w:val="clear" w:color="auto" w:fill="auto"/>
            <w:noWrap/>
            <w:vAlign w:val="bottom"/>
            <w:hideMark/>
          </w:tcPr>
          <w:p w14:paraId="053D73B9" w14:textId="77777777" w:rsidR="00686EC7" w:rsidRPr="000C156A" w:rsidRDefault="00686EC7" w:rsidP="00141BAA">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en-GB"/>
              </w:rPr>
              <w:t>专账的金额</w:t>
            </w:r>
          </w:p>
        </w:tc>
        <w:tc>
          <w:tcPr>
            <w:tcW w:w="834" w:type="pct"/>
            <w:tcBorders>
              <w:top w:val="nil"/>
              <w:left w:val="single" w:sz="4" w:space="0" w:color="auto"/>
              <w:bottom w:val="nil"/>
              <w:right w:val="single" w:sz="4" w:space="0" w:color="auto"/>
            </w:tcBorders>
            <w:shd w:val="clear" w:color="auto" w:fill="auto"/>
            <w:noWrap/>
            <w:vAlign w:val="bottom"/>
            <w:hideMark/>
          </w:tcPr>
          <w:p w14:paraId="218D4212" w14:textId="77777777" w:rsidR="00686EC7" w:rsidRPr="000C156A" w:rsidRDefault="00686EC7" w:rsidP="00141BAA">
            <w:pPr>
              <w:overflowPunct/>
              <w:autoSpaceDE/>
              <w:autoSpaceDN/>
              <w:adjustRightInd/>
              <w:spacing w:before="0"/>
              <w:jc w:val="center"/>
              <w:textAlignment w:val="auto"/>
              <w:rPr>
                <w:rFonts w:eastAsiaTheme="minorEastAsia" w:cs="Calibri"/>
                <w:b/>
                <w:bCs/>
                <w:color w:val="000000"/>
                <w:sz w:val="20"/>
                <w:lang w:eastAsia="en-GB"/>
              </w:rPr>
            </w:pPr>
            <w:r w:rsidRPr="000C156A">
              <w:rPr>
                <w:rFonts w:eastAsiaTheme="minorEastAsia" w:cs="Calibri"/>
                <w:b/>
                <w:bCs/>
                <w:color w:val="000000"/>
                <w:sz w:val="20"/>
                <w:lang w:eastAsia="en-GB"/>
              </w:rPr>
              <w:t>余额</w:t>
            </w:r>
          </w:p>
        </w:tc>
        <w:tc>
          <w:tcPr>
            <w:tcW w:w="518" w:type="pct"/>
            <w:tcBorders>
              <w:top w:val="nil"/>
              <w:left w:val="nil"/>
              <w:bottom w:val="nil"/>
              <w:right w:val="nil"/>
            </w:tcBorders>
            <w:shd w:val="clear" w:color="auto" w:fill="auto"/>
            <w:noWrap/>
            <w:vAlign w:val="bottom"/>
            <w:hideMark/>
          </w:tcPr>
          <w:p w14:paraId="432C796A" w14:textId="77777777" w:rsidR="00686EC7" w:rsidRPr="000C156A" w:rsidRDefault="00686EC7" w:rsidP="00141BAA">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en-GB"/>
              </w:rPr>
              <w:t>变动</w:t>
            </w:r>
          </w:p>
        </w:tc>
        <w:tc>
          <w:tcPr>
            <w:tcW w:w="427" w:type="pct"/>
            <w:tcBorders>
              <w:top w:val="nil"/>
              <w:left w:val="single" w:sz="4" w:space="0" w:color="auto"/>
              <w:bottom w:val="nil"/>
              <w:right w:val="single" w:sz="4" w:space="0" w:color="auto"/>
            </w:tcBorders>
            <w:shd w:val="clear" w:color="auto" w:fill="auto"/>
            <w:noWrap/>
            <w:vAlign w:val="bottom"/>
            <w:hideMark/>
          </w:tcPr>
          <w:p w14:paraId="1C3ABF49" w14:textId="77777777" w:rsidR="00686EC7" w:rsidRPr="000C156A" w:rsidRDefault="00686EC7" w:rsidP="00141BAA">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en-GB"/>
              </w:rPr>
              <w:t>利息</w:t>
            </w:r>
            <w:r w:rsidRPr="000C156A">
              <w:rPr>
                <w:rFonts w:eastAsiaTheme="minorEastAsia" w:cs="Calibri"/>
                <w:b/>
                <w:bCs/>
                <w:sz w:val="20"/>
                <w:lang w:eastAsia="en-GB"/>
              </w:rPr>
              <w:t>/</w:t>
            </w:r>
            <w:r w:rsidRPr="000C156A">
              <w:rPr>
                <w:rFonts w:eastAsiaTheme="minorEastAsia" w:cs="Calibri"/>
                <w:b/>
                <w:bCs/>
                <w:sz w:val="20"/>
                <w:lang w:eastAsia="en-GB"/>
              </w:rPr>
              <w:t>注销</w:t>
            </w:r>
          </w:p>
        </w:tc>
        <w:tc>
          <w:tcPr>
            <w:tcW w:w="427" w:type="pct"/>
            <w:tcBorders>
              <w:top w:val="nil"/>
              <w:left w:val="nil"/>
              <w:bottom w:val="nil"/>
              <w:right w:val="nil"/>
            </w:tcBorders>
            <w:shd w:val="clear" w:color="auto" w:fill="auto"/>
            <w:noWrap/>
            <w:vAlign w:val="bottom"/>
            <w:hideMark/>
          </w:tcPr>
          <w:p w14:paraId="14C91CF4" w14:textId="77777777" w:rsidR="00686EC7" w:rsidRPr="000C156A" w:rsidRDefault="00686EC7" w:rsidP="00141BAA">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en-GB"/>
              </w:rPr>
              <w:t>支付</w:t>
            </w:r>
          </w:p>
        </w:tc>
        <w:tc>
          <w:tcPr>
            <w:tcW w:w="474" w:type="pct"/>
            <w:tcBorders>
              <w:top w:val="nil"/>
              <w:left w:val="single" w:sz="4" w:space="0" w:color="auto"/>
              <w:bottom w:val="nil"/>
              <w:right w:val="single" w:sz="4" w:space="0" w:color="auto"/>
            </w:tcBorders>
            <w:shd w:val="clear" w:color="auto" w:fill="auto"/>
            <w:noWrap/>
            <w:vAlign w:val="bottom"/>
            <w:hideMark/>
          </w:tcPr>
          <w:p w14:paraId="0268706C" w14:textId="77777777" w:rsidR="00686EC7" w:rsidRPr="000C156A" w:rsidRDefault="00686EC7" w:rsidP="00141BAA">
            <w:pPr>
              <w:overflowPunct/>
              <w:autoSpaceDE/>
              <w:autoSpaceDN/>
              <w:adjustRightInd/>
              <w:spacing w:before="0"/>
              <w:jc w:val="center"/>
              <w:textAlignment w:val="auto"/>
              <w:rPr>
                <w:rFonts w:eastAsiaTheme="minorEastAsia" w:cs="Calibri"/>
                <w:b/>
                <w:bCs/>
                <w:color w:val="000000"/>
                <w:sz w:val="20"/>
                <w:lang w:eastAsia="en-GB"/>
              </w:rPr>
            </w:pPr>
            <w:r w:rsidRPr="000C156A">
              <w:rPr>
                <w:rFonts w:eastAsiaTheme="minorEastAsia" w:cs="Calibri"/>
                <w:b/>
                <w:bCs/>
                <w:sz w:val="20"/>
                <w:lang w:eastAsia="en-GB"/>
              </w:rPr>
              <w:t>12</w:t>
            </w:r>
            <w:r w:rsidRPr="000C156A">
              <w:rPr>
                <w:rFonts w:eastAsiaTheme="minorEastAsia" w:cs="Calibri"/>
                <w:b/>
                <w:bCs/>
                <w:sz w:val="20"/>
                <w:lang w:eastAsia="en-GB"/>
              </w:rPr>
              <w:t>月</w:t>
            </w:r>
            <w:r w:rsidRPr="000C156A">
              <w:rPr>
                <w:rFonts w:eastAsiaTheme="minorEastAsia" w:cs="Calibri"/>
                <w:b/>
                <w:bCs/>
                <w:sz w:val="20"/>
                <w:lang w:eastAsia="en-GB"/>
              </w:rPr>
              <w:t>31</w:t>
            </w:r>
            <w:r w:rsidRPr="000C156A">
              <w:rPr>
                <w:rFonts w:eastAsiaTheme="minorEastAsia" w:cs="Calibri"/>
                <w:b/>
                <w:bCs/>
                <w:sz w:val="20"/>
                <w:lang w:eastAsia="en-GB"/>
              </w:rPr>
              <w:t>日</w:t>
            </w:r>
          </w:p>
        </w:tc>
      </w:tr>
      <w:tr w:rsidR="00686EC7" w:rsidRPr="000C156A" w14:paraId="204F8490" w14:textId="77777777" w:rsidTr="00141BAA">
        <w:trPr>
          <w:trHeight w:val="255"/>
        </w:trPr>
        <w:tc>
          <w:tcPr>
            <w:tcW w:w="1098" w:type="pct"/>
            <w:tcBorders>
              <w:top w:val="nil"/>
              <w:left w:val="single" w:sz="4" w:space="0" w:color="auto"/>
              <w:bottom w:val="single" w:sz="4" w:space="0" w:color="auto"/>
              <w:right w:val="nil"/>
            </w:tcBorders>
            <w:shd w:val="clear" w:color="auto" w:fill="auto"/>
            <w:noWrap/>
            <w:vAlign w:val="bottom"/>
            <w:hideMark/>
          </w:tcPr>
          <w:p w14:paraId="4A1661FE" w14:textId="77777777" w:rsidR="00686EC7" w:rsidRPr="000C156A" w:rsidRDefault="00686EC7" w:rsidP="00141BAA">
            <w:pPr>
              <w:overflowPunct/>
              <w:autoSpaceDE/>
              <w:autoSpaceDN/>
              <w:adjustRightInd/>
              <w:spacing w:before="0"/>
              <w:textAlignment w:val="auto"/>
              <w:rPr>
                <w:rFonts w:eastAsiaTheme="minorEastAsia" w:cs="Calibri"/>
                <w:b/>
                <w:bCs/>
                <w:sz w:val="20"/>
                <w:lang w:eastAsia="en-GB"/>
              </w:rPr>
            </w:pPr>
            <w:r w:rsidRPr="000C156A">
              <w:rPr>
                <w:rFonts w:eastAsiaTheme="minorEastAsia" w:cs="Calibri"/>
                <w:b/>
                <w:bCs/>
                <w:sz w:val="20"/>
                <w:lang w:eastAsia="en-GB"/>
              </w:rPr>
              <w:t> </w:t>
            </w:r>
          </w:p>
        </w:tc>
        <w:tc>
          <w:tcPr>
            <w:tcW w:w="728" w:type="pct"/>
            <w:tcBorders>
              <w:top w:val="nil"/>
              <w:left w:val="single" w:sz="4" w:space="0" w:color="auto"/>
              <w:bottom w:val="single" w:sz="4" w:space="0" w:color="auto"/>
              <w:right w:val="single" w:sz="4" w:space="0" w:color="auto"/>
            </w:tcBorders>
            <w:shd w:val="clear" w:color="auto" w:fill="auto"/>
            <w:noWrap/>
            <w:vAlign w:val="bottom"/>
            <w:hideMark/>
          </w:tcPr>
          <w:p w14:paraId="57BA3400" w14:textId="77777777" w:rsidR="00686EC7" w:rsidRPr="000C156A" w:rsidRDefault="00686EC7" w:rsidP="00141BAA">
            <w:pPr>
              <w:overflowPunct/>
              <w:autoSpaceDE/>
              <w:autoSpaceDN/>
              <w:adjustRightInd/>
              <w:spacing w:before="0"/>
              <w:textAlignment w:val="auto"/>
              <w:rPr>
                <w:rFonts w:eastAsiaTheme="minorEastAsia" w:cs="Calibri"/>
                <w:b/>
                <w:bCs/>
                <w:sz w:val="20"/>
                <w:lang w:eastAsia="en-GB"/>
              </w:rPr>
            </w:pPr>
          </w:p>
        </w:tc>
        <w:tc>
          <w:tcPr>
            <w:tcW w:w="496" w:type="pct"/>
            <w:tcBorders>
              <w:top w:val="nil"/>
              <w:left w:val="nil"/>
              <w:bottom w:val="single" w:sz="4" w:space="0" w:color="auto"/>
              <w:right w:val="nil"/>
            </w:tcBorders>
            <w:shd w:val="clear" w:color="auto" w:fill="auto"/>
            <w:noWrap/>
            <w:vAlign w:val="bottom"/>
          </w:tcPr>
          <w:p w14:paraId="1D69BEF7" w14:textId="77777777" w:rsidR="00686EC7" w:rsidRPr="000C156A" w:rsidRDefault="00686EC7" w:rsidP="00141BAA">
            <w:pPr>
              <w:overflowPunct/>
              <w:autoSpaceDE/>
              <w:autoSpaceDN/>
              <w:adjustRightInd/>
              <w:spacing w:before="0"/>
              <w:jc w:val="center"/>
              <w:textAlignment w:val="auto"/>
              <w:rPr>
                <w:rFonts w:eastAsiaTheme="minorEastAsia" w:cs="Calibri"/>
                <w:b/>
                <w:bCs/>
                <w:sz w:val="20"/>
                <w:lang w:eastAsia="en-GB"/>
              </w:rPr>
            </w:pPr>
          </w:p>
        </w:tc>
        <w:tc>
          <w:tcPr>
            <w:tcW w:w="834" w:type="pct"/>
            <w:tcBorders>
              <w:top w:val="nil"/>
              <w:left w:val="single" w:sz="4" w:space="0" w:color="auto"/>
              <w:bottom w:val="single" w:sz="4" w:space="0" w:color="auto"/>
              <w:right w:val="single" w:sz="4" w:space="0" w:color="auto"/>
            </w:tcBorders>
            <w:shd w:val="clear" w:color="auto" w:fill="auto"/>
            <w:noWrap/>
            <w:vAlign w:val="bottom"/>
            <w:hideMark/>
          </w:tcPr>
          <w:p w14:paraId="7CCFD0D6" w14:textId="77777777" w:rsidR="00686EC7" w:rsidRPr="000C156A" w:rsidRDefault="00686EC7" w:rsidP="00141BAA">
            <w:pPr>
              <w:overflowPunct/>
              <w:autoSpaceDE/>
              <w:autoSpaceDN/>
              <w:adjustRightInd/>
              <w:spacing w:before="0"/>
              <w:textAlignment w:val="auto"/>
              <w:rPr>
                <w:rFonts w:eastAsiaTheme="minorEastAsia" w:cs="Calibri"/>
                <w:sz w:val="20"/>
                <w:lang w:eastAsia="en-GB"/>
              </w:rPr>
            </w:pPr>
            <w:r w:rsidRPr="000C156A">
              <w:rPr>
                <w:rFonts w:eastAsiaTheme="minorEastAsia" w:cs="Calibri"/>
                <w:sz w:val="20"/>
                <w:lang w:eastAsia="en-GB"/>
              </w:rPr>
              <w:t> </w:t>
            </w:r>
          </w:p>
        </w:tc>
        <w:tc>
          <w:tcPr>
            <w:tcW w:w="518" w:type="pct"/>
            <w:tcBorders>
              <w:top w:val="nil"/>
              <w:left w:val="nil"/>
              <w:bottom w:val="single" w:sz="4" w:space="0" w:color="auto"/>
              <w:right w:val="nil"/>
            </w:tcBorders>
            <w:shd w:val="clear" w:color="auto" w:fill="auto"/>
            <w:noWrap/>
            <w:vAlign w:val="bottom"/>
            <w:hideMark/>
          </w:tcPr>
          <w:p w14:paraId="4B8B8A0B" w14:textId="77777777" w:rsidR="00686EC7" w:rsidRPr="000C156A" w:rsidRDefault="00686EC7" w:rsidP="00141BAA">
            <w:pPr>
              <w:overflowPunct/>
              <w:autoSpaceDE/>
              <w:autoSpaceDN/>
              <w:adjustRightInd/>
              <w:spacing w:before="0"/>
              <w:textAlignment w:val="auto"/>
              <w:rPr>
                <w:rFonts w:eastAsiaTheme="minorEastAsia" w:cs="Calibri"/>
                <w:sz w:val="20"/>
                <w:lang w:eastAsia="en-GB"/>
              </w:rPr>
            </w:pPr>
            <w:r w:rsidRPr="000C156A">
              <w:rPr>
                <w:rFonts w:eastAsiaTheme="minorEastAsia" w:cs="Calibri"/>
                <w:sz w:val="20"/>
                <w:lang w:eastAsia="en-GB"/>
              </w:rPr>
              <w:t> </w:t>
            </w:r>
          </w:p>
        </w:tc>
        <w:tc>
          <w:tcPr>
            <w:tcW w:w="427" w:type="pct"/>
            <w:tcBorders>
              <w:top w:val="nil"/>
              <w:left w:val="single" w:sz="4" w:space="0" w:color="auto"/>
              <w:bottom w:val="single" w:sz="4" w:space="0" w:color="auto"/>
              <w:right w:val="single" w:sz="4" w:space="0" w:color="auto"/>
            </w:tcBorders>
            <w:shd w:val="clear" w:color="auto" w:fill="auto"/>
            <w:noWrap/>
            <w:vAlign w:val="bottom"/>
            <w:hideMark/>
          </w:tcPr>
          <w:p w14:paraId="433B9BD7" w14:textId="77777777" w:rsidR="00686EC7" w:rsidRPr="000C156A" w:rsidRDefault="00686EC7" w:rsidP="00141BAA">
            <w:pPr>
              <w:overflowPunct/>
              <w:autoSpaceDE/>
              <w:autoSpaceDN/>
              <w:adjustRightInd/>
              <w:spacing w:before="0"/>
              <w:textAlignment w:val="auto"/>
              <w:rPr>
                <w:rFonts w:eastAsiaTheme="minorEastAsia" w:cs="Calibri"/>
                <w:sz w:val="20"/>
                <w:lang w:eastAsia="en-GB"/>
              </w:rPr>
            </w:pPr>
            <w:r w:rsidRPr="000C156A">
              <w:rPr>
                <w:rFonts w:eastAsiaTheme="minorEastAsia" w:cs="Calibri"/>
                <w:sz w:val="20"/>
                <w:lang w:eastAsia="en-GB"/>
              </w:rPr>
              <w:t> </w:t>
            </w:r>
          </w:p>
        </w:tc>
        <w:tc>
          <w:tcPr>
            <w:tcW w:w="427" w:type="pct"/>
            <w:tcBorders>
              <w:top w:val="nil"/>
              <w:left w:val="nil"/>
              <w:bottom w:val="single" w:sz="4" w:space="0" w:color="auto"/>
              <w:right w:val="nil"/>
            </w:tcBorders>
            <w:shd w:val="clear" w:color="auto" w:fill="auto"/>
            <w:noWrap/>
            <w:vAlign w:val="bottom"/>
            <w:hideMark/>
          </w:tcPr>
          <w:p w14:paraId="60D66AC2" w14:textId="77777777" w:rsidR="00686EC7" w:rsidRPr="000C156A" w:rsidRDefault="00686EC7" w:rsidP="00141BAA">
            <w:pPr>
              <w:overflowPunct/>
              <w:autoSpaceDE/>
              <w:autoSpaceDN/>
              <w:adjustRightInd/>
              <w:spacing w:before="0"/>
              <w:textAlignment w:val="auto"/>
              <w:rPr>
                <w:rFonts w:eastAsiaTheme="minorEastAsia" w:cs="Calibri"/>
                <w:sz w:val="20"/>
                <w:lang w:eastAsia="en-GB"/>
              </w:rPr>
            </w:pPr>
            <w:r w:rsidRPr="000C156A">
              <w:rPr>
                <w:rFonts w:eastAsiaTheme="minorEastAsia" w:cs="Calibri"/>
                <w:sz w:val="20"/>
                <w:lang w:eastAsia="en-GB"/>
              </w:rPr>
              <w:t> </w:t>
            </w:r>
          </w:p>
        </w:tc>
        <w:tc>
          <w:tcPr>
            <w:tcW w:w="474" w:type="pct"/>
            <w:tcBorders>
              <w:top w:val="nil"/>
              <w:left w:val="single" w:sz="4" w:space="0" w:color="auto"/>
              <w:bottom w:val="single" w:sz="4" w:space="0" w:color="auto"/>
              <w:right w:val="single" w:sz="4" w:space="0" w:color="auto"/>
            </w:tcBorders>
            <w:shd w:val="clear" w:color="auto" w:fill="auto"/>
            <w:noWrap/>
            <w:vAlign w:val="bottom"/>
            <w:hideMark/>
          </w:tcPr>
          <w:p w14:paraId="1CCA84A6" w14:textId="77777777" w:rsidR="00686EC7" w:rsidRPr="000C156A" w:rsidRDefault="00686EC7" w:rsidP="00141BAA">
            <w:pPr>
              <w:overflowPunct/>
              <w:autoSpaceDE/>
              <w:autoSpaceDN/>
              <w:adjustRightInd/>
              <w:spacing w:before="0"/>
              <w:jc w:val="center"/>
              <w:textAlignment w:val="auto"/>
              <w:rPr>
                <w:rFonts w:eastAsiaTheme="minorEastAsia" w:cs="Calibri"/>
                <w:sz w:val="20"/>
                <w:lang w:eastAsia="en-GB"/>
              </w:rPr>
            </w:pPr>
            <w:r w:rsidRPr="000C156A">
              <w:rPr>
                <w:rFonts w:eastAsiaTheme="minorEastAsia" w:cs="Calibri"/>
                <w:b/>
                <w:bCs/>
                <w:sz w:val="20"/>
                <w:lang w:eastAsia="en-GB"/>
              </w:rPr>
              <w:t>余额</w:t>
            </w:r>
          </w:p>
        </w:tc>
      </w:tr>
      <w:tr w:rsidR="00686EC7" w:rsidRPr="000C156A" w14:paraId="7A778711" w14:textId="77777777" w:rsidTr="00141BAA">
        <w:trPr>
          <w:trHeight w:val="255"/>
        </w:trPr>
        <w:tc>
          <w:tcPr>
            <w:tcW w:w="1098" w:type="pct"/>
            <w:tcBorders>
              <w:top w:val="nil"/>
              <w:left w:val="single" w:sz="4" w:space="0" w:color="auto"/>
              <w:bottom w:val="nil"/>
              <w:right w:val="nil"/>
            </w:tcBorders>
            <w:shd w:val="clear" w:color="auto" w:fill="auto"/>
            <w:noWrap/>
            <w:vAlign w:val="bottom"/>
            <w:hideMark/>
          </w:tcPr>
          <w:p w14:paraId="259D3AE4" w14:textId="77777777" w:rsidR="00686EC7" w:rsidRPr="000C156A" w:rsidRDefault="00686EC7" w:rsidP="00141BAA">
            <w:pPr>
              <w:overflowPunct/>
              <w:autoSpaceDE/>
              <w:autoSpaceDN/>
              <w:adjustRightInd/>
              <w:spacing w:before="0"/>
              <w:jc w:val="center"/>
              <w:textAlignment w:val="auto"/>
              <w:rPr>
                <w:rFonts w:cs="Calibri"/>
                <w:b/>
                <w:bCs/>
                <w:sz w:val="20"/>
                <w:lang w:eastAsia="en-GB"/>
              </w:rPr>
            </w:pPr>
            <w:r w:rsidRPr="000C156A">
              <w:rPr>
                <w:rFonts w:cs="Calibri" w:hint="eastAsia"/>
                <w:b/>
                <w:bCs/>
                <w:sz w:val="20"/>
                <w:lang w:eastAsia="en-GB"/>
              </w:rPr>
              <w:t>成员国</w:t>
            </w:r>
          </w:p>
        </w:tc>
        <w:tc>
          <w:tcPr>
            <w:tcW w:w="728" w:type="pct"/>
            <w:tcBorders>
              <w:top w:val="nil"/>
              <w:left w:val="single" w:sz="4" w:space="0" w:color="auto"/>
              <w:bottom w:val="nil"/>
              <w:right w:val="single" w:sz="4" w:space="0" w:color="auto"/>
            </w:tcBorders>
            <w:shd w:val="clear" w:color="auto" w:fill="auto"/>
            <w:noWrap/>
            <w:vAlign w:val="bottom"/>
            <w:hideMark/>
          </w:tcPr>
          <w:p w14:paraId="1BE9079C"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96" w:type="pct"/>
            <w:tcBorders>
              <w:top w:val="nil"/>
              <w:left w:val="nil"/>
              <w:bottom w:val="nil"/>
              <w:right w:val="nil"/>
            </w:tcBorders>
            <w:shd w:val="clear" w:color="auto" w:fill="auto"/>
            <w:noWrap/>
            <w:vAlign w:val="bottom"/>
            <w:hideMark/>
          </w:tcPr>
          <w:p w14:paraId="55D5A9C9" w14:textId="77777777" w:rsidR="00686EC7" w:rsidRPr="000C156A" w:rsidRDefault="00686EC7" w:rsidP="00141BAA">
            <w:pPr>
              <w:overflowPunct/>
              <w:autoSpaceDE/>
              <w:autoSpaceDN/>
              <w:adjustRightInd/>
              <w:spacing w:before="0"/>
              <w:textAlignment w:val="auto"/>
              <w:rPr>
                <w:rFonts w:cs="Calibri"/>
                <w:sz w:val="20"/>
                <w:lang w:eastAsia="en-GB"/>
              </w:rPr>
            </w:pPr>
          </w:p>
        </w:tc>
        <w:tc>
          <w:tcPr>
            <w:tcW w:w="834" w:type="pct"/>
            <w:tcBorders>
              <w:top w:val="nil"/>
              <w:left w:val="single" w:sz="4" w:space="0" w:color="auto"/>
              <w:bottom w:val="nil"/>
              <w:right w:val="single" w:sz="4" w:space="0" w:color="auto"/>
            </w:tcBorders>
            <w:shd w:val="clear" w:color="auto" w:fill="auto"/>
            <w:noWrap/>
            <w:vAlign w:val="bottom"/>
            <w:hideMark/>
          </w:tcPr>
          <w:p w14:paraId="00DF741E"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518" w:type="pct"/>
            <w:tcBorders>
              <w:top w:val="nil"/>
              <w:left w:val="nil"/>
              <w:bottom w:val="nil"/>
              <w:right w:val="nil"/>
            </w:tcBorders>
            <w:shd w:val="clear" w:color="auto" w:fill="auto"/>
            <w:noWrap/>
            <w:vAlign w:val="bottom"/>
            <w:hideMark/>
          </w:tcPr>
          <w:p w14:paraId="17764C30" w14:textId="77777777" w:rsidR="00686EC7" w:rsidRPr="000C156A" w:rsidRDefault="00686EC7" w:rsidP="00141BAA">
            <w:pPr>
              <w:overflowPunct/>
              <w:autoSpaceDE/>
              <w:autoSpaceDN/>
              <w:adjustRightInd/>
              <w:spacing w:before="0"/>
              <w:textAlignment w:val="auto"/>
              <w:rPr>
                <w:rFonts w:cs="Calibri"/>
                <w:sz w:val="20"/>
                <w:lang w:eastAsia="en-GB"/>
              </w:rPr>
            </w:pPr>
          </w:p>
        </w:tc>
        <w:tc>
          <w:tcPr>
            <w:tcW w:w="427" w:type="pct"/>
            <w:tcBorders>
              <w:top w:val="nil"/>
              <w:left w:val="single" w:sz="4" w:space="0" w:color="auto"/>
              <w:bottom w:val="nil"/>
              <w:right w:val="single" w:sz="4" w:space="0" w:color="auto"/>
            </w:tcBorders>
            <w:shd w:val="clear" w:color="auto" w:fill="auto"/>
            <w:noWrap/>
            <w:vAlign w:val="bottom"/>
            <w:hideMark/>
          </w:tcPr>
          <w:p w14:paraId="30558423"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27" w:type="pct"/>
            <w:tcBorders>
              <w:top w:val="nil"/>
              <w:left w:val="nil"/>
              <w:bottom w:val="nil"/>
              <w:right w:val="nil"/>
            </w:tcBorders>
            <w:shd w:val="clear" w:color="auto" w:fill="auto"/>
            <w:noWrap/>
            <w:vAlign w:val="bottom"/>
            <w:hideMark/>
          </w:tcPr>
          <w:p w14:paraId="5BBB089E" w14:textId="77777777" w:rsidR="00686EC7" w:rsidRPr="000C156A" w:rsidRDefault="00686EC7" w:rsidP="00141BAA">
            <w:pPr>
              <w:overflowPunct/>
              <w:autoSpaceDE/>
              <w:autoSpaceDN/>
              <w:adjustRightInd/>
              <w:spacing w:before="0"/>
              <w:textAlignment w:val="auto"/>
              <w:rPr>
                <w:rFonts w:cs="Calibri"/>
                <w:sz w:val="20"/>
                <w:lang w:eastAsia="en-GB"/>
              </w:rPr>
            </w:pPr>
          </w:p>
        </w:tc>
        <w:tc>
          <w:tcPr>
            <w:tcW w:w="474" w:type="pct"/>
            <w:tcBorders>
              <w:top w:val="nil"/>
              <w:left w:val="single" w:sz="4" w:space="0" w:color="auto"/>
              <w:bottom w:val="nil"/>
              <w:right w:val="single" w:sz="4" w:space="0" w:color="auto"/>
            </w:tcBorders>
            <w:shd w:val="clear" w:color="auto" w:fill="auto"/>
            <w:noWrap/>
            <w:vAlign w:val="bottom"/>
            <w:hideMark/>
          </w:tcPr>
          <w:p w14:paraId="31468C0C"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r>
      <w:tr w:rsidR="00686EC7" w:rsidRPr="000C156A" w14:paraId="6F16C766" w14:textId="77777777" w:rsidTr="00141BAA">
        <w:trPr>
          <w:trHeight w:val="255"/>
        </w:trPr>
        <w:tc>
          <w:tcPr>
            <w:tcW w:w="1098" w:type="pct"/>
            <w:tcBorders>
              <w:top w:val="nil"/>
              <w:left w:val="single" w:sz="4" w:space="0" w:color="auto"/>
              <w:bottom w:val="nil"/>
              <w:right w:val="nil"/>
            </w:tcBorders>
            <w:shd w:val="clear" w:color="auto" w:fill="auto"/>
            <w:noWrap/>
            <w:vAlign w:val="bottom"/>
            <w:hideMark/>
          </w:tcPr>
          <w:p w14:paraId="568587CB"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Microsoft YaHei" w:hint="eastAsia"/>
                <w:sz w:val="20"/>
              </w:rPr>
              <w:t>苏丹</w:t>
            </w:r>
          </w:p>
        </w:tc>
        <w:tc>
          <w:tcPr>
            <w:tcW w:w="728" w:type="pct"/>
            <w:tcBorders>
              <w:top w:val="nil"/>
              <w:left w:val="single" w:sz="4" w:space="0" w:color="auto"/>
              <w:bottom w:val="nil"/>
              <w:right w:val="single" w:sz="4" w:space="0" w:color="auto"/>
            </w:tcBorders>
            <w:shd w:val="clear" w:color="auto" w:fill="auto"/>
            <w:noWrap/>
            <w:vAlign w:val="bottom"/>
            <w:hideMark/>
          </w:tcPr>
          <w:p w14:paraId="5BB750E2"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38</w:t>
            </w:r>
            <w:r w:rsidRPr="000C156A">
              <w:rPr>
                <w:rFonts w:hint="eastAsia"/>
                <w:sz w:val="20"/>
                <w:lang w:eastAsia="zh-CN"/>
              </w:rPr>
              <w:t>号决议</w:t>
            </w:r>
            <w:r w:rsidRPr="000C156A">
              <w:rPr>
                <w:sz w:val="20"/>
              </w:rPr>
              <w:t xml:space="preserve"> – 1989</w:t>
            </w:r>
            <w:r w:rsidRPr="000C156A">
              <w:rPr>
                <w:rFonts w:hint="eastAsia"/>
                <w:sz w:val="20"/>
                <w:lang w:eastAsia="zh-CN"/>
              </w:rPr>
              <w:t>年</w:t>
            </w:r>
          </w:p>
        </w:tc>
        <w:tc>
          <w:tcPr>
            <w:tcW w:w="496" w:type="pct"/>
            <w:tcBorders>
              <w:top w:val="nil"/>
              <w:left w:val="nil"/>
              <w:bottom w:val="nil"/>
              <w:right w:val="nil"/>
            </w:tcBorders>
            <w:shd w:val="clear" w:color="auto" w:fill="auto"/>
            <w:noWrap/>
            <w:vAlign w:val="bottom"/>
            <w:hideMark/>
          </w:tcPr>
          <w:p w14:paraId="22A6DBA6" w14:textId="345A8231" w:rsidR="00686EC7" w:rsidRPr="000C156A" w:rsidRDefault="00686EC7" w:rsidP="00141BAA">
            <w:pPr>
              <w:jc w:val="right"/>
              <w:rPr>
                <w:rFonts w:cs="Calibri"/>
                <w:sz w:val="20"/>
                <w:lang w:eastAsia="en-GB"/>
              </w:rPr>
            </w:pPr>
            <w:r w:rsidRPr="000C156A">
              <w:rPr>
                <w:rFonts w:cs="Calibri"/>
                <w:sz w:val="20"/>
                <w:lang w:eastAsia="en-GB"/>
              </w:rPr>
              <w:t>567</w:t>
            </w:r>
            <w:r w:rsidR="001A59E5" w:rsidRPr="000C156A">
              <w:rPr>
                <w:rFonts w:cs="Calibri"/>
                <w:sz w:val="20"/>
                <w:lang w:eastAsia="en-GB"/>
              </w:rPr>
              <w:t xml:space="preserve"> </w:t>
            </w:r>
            <w:r w:rsidRPr="000C156A">
              <w:rPr>
                <w:rFonts w:cs="Calibri"/>
                <w:sz w:val="20"/>
                <w:lang w:eastAsia="en-GB"/>
              </w:rPr>
              <w:t>047.95</w:t>
            </w:r>
          </w:p>
        </w:tc>
        <w:tc>
          <w:tcPr>
            <w:tcW w:w="834" w:type="pct"/>
            <w:tcBorders>
              <w:top w:val="nil"/>
              <w:left w:val="single" w:sz="4" w:space="0" w:color="auto"/>
              <w:bottom w:val="nil"/>
              <w:right w:val="single" w:sz="4" w:space="0" w:color="auto"/>
            </w:tcBorders>
            <w:shd w:val="clear" w:color="auto" w:fill="auto"/>
            <w:noWrap/>
            <w:vAlign w:val="bottom"/>
            <w:hideMark/>
          </w:tcPr>
          <w:p w14:paraId="76453835" w14:textId="3BE051D2" w:rsidR="00686EC7" w:rsidRPr="000C156A" w:rsidRDefault="00686EC7" w:rsidP="00141BAA">
            <w:pPr>
              <w:jc w:val="right"/>
              <w:rPr>
                <w:rFonts w:cs="Calibri"/>
                <w:sz w:val="20"/>
                <w:lang w:eastAsia="en-GB"/>
              </w:rPr>
            </w:pPr>
            <w:r w:rsidRPr="000C156A">
              <w:rPr>
                <w:rFonts w:cs="Calibri"/>
                <w:sz w:val="20"/>
                <w:lang w:eastAsia="en-GB"/>
              </w:rPr>
              <w:t>6</w:t>
            </w:r>
            <w:r w:rsidR="001A59E5" w:rsidRPr="000C156A">
              <w:rPr>
                <w:rFonts w:cs="Calibri"/>
                <w:sz w:val="20"/>
                <w:lang w:eastAsia="en-GB"/>
              </w:rPr>
              <w:t xml:space="preserve"> </w:t>
            </w:r>
            <w:r w:rsidRPr="000C156A">
              <w:rPr>
                <w:rFonts w:cs="Calibri"/>
                <w:sz w:val="20"/>
                <w:lang w:eastAsia="en-GB"/>
              </w:rPr>
              <w:t>028.45</w:t>
            </w:r>
          </w:p>
        </w:tc>
        <w:tc>
          <w:tcPr>
            <w:tcW w:w="518" w:type="pct"/>
            <w:tcBorders>
              <w:top w:val="nil"/>
              <w:left w:val="nil"/>
              <w:bottom w:val="nil"/>
              <w:right w:val="nil"/>
            </w:tcBorders>
            <w:shd w:val="clear" w:color="auto" w:fill="auto"/>
            <w:noWrap/>
            <w:vAlign w:val="bottom"/>
            <w:hideMark/>
          </w:tcPr>
          <w:p w14:paraId="588A3F57"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27" w:type="pct"/>
            <w:tcBorders>
              <w:top w:val="nil"/>
              <w:left w:val="single" w:sz="4" w:space="0" w:color="auto"/>
              <w:bottom w:val="nil"/>
              <w:right w:val="single" w:sz="4" w:space="0" w:color="auto"/>
            </w:tcBorders>
            <w:shd w:val="clear" w:color="auto" w:fill="auto"/>
            <w:noWrap/>
            <w:vAlign w:val="bottom"/>
            <w:hideMark/>
          </w:tcPr>
          <w:p w14:paraId="4AACD0A2"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27" w:type="pct"/>
            <w:tcBorders>
              <w:top w:val="nil"/>
              <w:left w:val="nil"/>
              <w:bottom w:val="nil"/>
              <w:right w:val="nil"/>
            </w:tcBorders>
            <w:shd w:val="clear" w:color="auto" w:fill="auto"/>
            <w:noWrap/>
            <w:vAlign w:val="bottom"/>
            <w:hideMark/>
          </w:tcPr>
          <w:p w14:paraId="62CCC37F"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74" w:type="pct"/>
            <w:tcBorders>
              <w:top w:val="nil"/>
              <w:left w:val="single" w:sz="4" w:space="0" w:color="auto"/>
              <w:bottom w:val="nil"/>
              <w:right w:val="single" w:sz="4" w:space="0" w:color="auto"/>
            </w:tcBorders>
            <w:shd w:val="clear" w:color="auto" w:fill="auto"/>
            <w:noWrap/>
            <w:vAlign w:val="bottom"/>
            <w:hideMark/>
          </w:tcPr>
          <w:p w14:paraId="6474C783" w14:textId="70D5F9BF" w:rsidR="00686EC7" w:rsidRPr="000C156A" w:rsidRDefault="00686EC7" w:rsidP="00141BAA">
            <w:pPr>
              <w:jc w:val="right"/>
              <w:rPr>
                <w:rFonts w:cs="Calibri"/>
                <w:sz w:val="20"/>
                <w:lang w:eastAsia="en-GB"/>
              </w:rPr>
            </w:pPr>
            <w:r w:rsidRPr="000C156A">
              <w:rPr>
                <w:rFonts w:cs="Calibri"/>
                <w:sz w:val="20"/>
                <w:lang w:eastAsia="en-GB"/>
              </w:rPr>
              <w:t>6</w:t>
            </w:r>
            <w:r w:rsidR="001A59E5" w:rsidRPr="000C156A">
              <w:rPr>
                <w:rFonts w:cs="Calibri"/>
                <w:sz w:val="20"/>
                <w:lang w:eastAsia="en-GB"/>
              </w:rPr>
              <w:t xml:space="preserve"> </w:t>
            </w:r>
            <w:r w:rsidRPr="000C156A">
              <w:rPr>
                <w:rFonts w:cs="Calibri"/>
                <w:sz w:val="20"/>
                <w:lang w:eastAsia="en-GB"/>
              </w:rPr>
              <w:t>028.45</w:t>
            </w:r>
          </w:p>
        </w:tc>
      </w:tr>
      <w:tr w:rsidR="00686EC7" w:rsidRPr="000C156A" w14:paraId="54C80188" w14:textId="77777777" w:rsidTr="00141BAA">
        <w:trPr>
          <w:trHeight w:val="255"/>
        </w:trPr>
        <w:tc>
          <w:tcPr>
            <w:tcW w:w="1098" w:type="pct"/>
            <w:tcBorders>
              <w:top w:val="nil"/>
              <w:left w:val="single" w:sz="4" w:space="0" w:color="auto"/>
              <w:bottom w:val="nil"/>
              <w:right w:val="nil"/>
            </w:tcBorders>
            <w:shd w:val="clear" w:color="auto" w:fill="auto"/>
            <w:noWrap/>
            <w:vAlign w:val="bottom"/>
            <w:hideMark/>
          </w:tcPr>
          <w:p w14:paraId="57EC99F3"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hint="eastAsia"/>
                <w:sz w:val="20"/>
                <w:lang w:eastAsia="en-GB"/>
              </w:rPr>
              <w:t>塔吉克斯坦</w:t>
            </w:r>
          </w:p>
        </w:tc>
        <w:tc>
          <w:tcPr>
            <w:tcW w:w="728" w:type="pct"/>
            <w:tcBorders>
              <w:top w:val="nil"/>
              <w:left w:val="single" w:sz="4" w:space="0" w:color="auto"/>
              <w:bottom w:val="nil"/>
              <w:right w:val="single" w:sz="4" w:space="0" w:color="auto"/>
            </w:tcBorders>
            <w:shd w:val="clear" w:color="auto" w:fill="auto"/>
            <w:noWrap/>
            <w:vAlign w:val="bottom"/>
            <w:hideMark/>
          </w:tcPr>
          <w:p w14:paraId="2ADAEFE5"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rPr>
              <w:t>– 2011</w:t>
            </w:r>
            <w:r w:rsidRPr="000C156A">
              <w:rPr>
                <w:rFonts w:hint="eastAsia"/>
                <w:sz w:val="20"/>
                <w:lang w:eastAsia="zh-CN"/>
              </w:rPr>
              <w:t>年</w:t>
            </w:r>
          </w:p>
        </w:tc>
        <w:tc>
          <w:tcPr>
            <w:tcW w:w="496" w:type="pct"/>
            <w:tcBorders>
              <w:top w:val="nil"/>
              <w:left w:val="nil"/>
              <w:bottom w:val="nil"/>
              <w:right w:val="nil"/>
            </w:tcBorders>
            <w:shd w:val="clear" w:color="auto" w:fill="auto"/>
            <w:noWrap/>
            <w:vAlign w:val="bottom"/>
            <w:hideMark/>
          </w:tcPr>
          <w:p w14:paraId="2C31FE42" w14:textId="1B3868BD" w:rsidR="00686EC7" w:rsidRPr="000C156A" w:rsidRDefault="00686EC7" w:rsidP="00141BAA">
            <w:pPr>
              <w:jc w:val="right"/>
              <w:rPr>
                <w:rFonts w:cs="Calibri"/>
                <w:sz w:val="20"/>
                <w:lang w:eastAsia="en-GB"/>
              </w:rPr>
            </w:pPr>
            <w:r w:rsidRPr="000C156A">
              <w:rPr>
                <w:rFonts w:cs="Calibri"/>
                <w:sz w:val="20"/>
                <w:lang w:eastAsia="en-GB"/>
              </w:rPr>
              <w:t>745</w:t>
            </w:r>
            <w:r w:rsidR="001A59E5" w:rsidRPr="000C156A">
              <w:rPr>
                <w:rFonts w:cs="Calibri"/>
                <w:sz w:val="20"/>
                <w:lang w:eastAsia="en-GB"/>
              </w:rPr>
              <w:t xml:space="preserve"> </w:t>
            </w:r>
            <w:r w:rsidRPr="000C156A">
              <w:rPr>
                <w:rFonts w:cs="Calibri"/>
                <w:sz w:val="20"/>
                <w:lang w:eastAsia="en-GB"/>
              </w:rPr>
              <w:t>617.40</w:t>
            </w:r>
          </w:p>
        </w:tc>
        <w:tc>
          <w:tcPr>
            <w:tcW w:w="834" w:type="pct"/>
            <w:tcBorders>
              <w:top w:val="nil"/>
              <w:left w:val="single" w:sz="4" w:space="0" w:color="auto"/>
              <w:bottom w:val="nil"/>
              <w:right w:val="single" w:sz="4" w:space="0" w:color="auto"/>
            </w:tcBorders>
            <w:shd w:val="clear" w:color="auto" w:fill="auto"/>
            <w:noWrap/>
            <w:vAlign w:val="bottom"/>
            <w:hideMark/>
          </w:tcPr>
          <w:p w14:paraId="14F3EA31" w14:textId="24A7F6BF" w:rsidR="00686EC7" w:rsidRPr="000C156A" w:rsidRDefault="00686EC7" w:rsidP="00141BAA">
            <w:pPr>
              <w:jc w:val="right"/>
              <w:rPr>
                <w:rFonts w:cs="Calibri"/>
                <w:sz w:val="20"/>
                <w:lang w:eastAsia="en-GB"/>
              </w:rPr>
            </w:pPr>
            <w:r w:rsidRPr="000C156A">
              <w:rPr>
                <w:rFonts w:cs="Calibri"/>
                <w:sz w:val="20"/>
                <w:lang w:eastAsia="en-GB"/>
              </w:rPr>
              <w:t>511</w:t>
            </w:r>
            <w:r w:rsidR="001A59E5" w:rsidRPr="000C156A">
              <w:rPr>
                <w:rFonts w:cs="Calibri"/>
                <w:sz w:val="20"/>
                <w:lang w:eastAsia="en-GB"/>
              </w:rPr>
              <w:t xml:space="preserve"> </w:t>
            </w:r>
            <w:r w:rsidRPr="000C156A">
              <w:rPr>
                <w:rFonts w:cs="Calibri"/>
                <w:sz w:val="20"/>
                <w:lang w:eastAsia="en-GB"/>
              </w:rPr>
              <w:t>822.30</w:t>
            </w:r>
          </w:p>
        </w:tc>
        <w:tc>
          <w:tcPr>
            <w:tcW w:w="518" w:type="pct"/>
            <w:tcBorders>
              <w:top w:val="nil"/>
              <w:left w:val="nil"/>
              <w:bottom w:val="nil"/>
              <w:right w:val="nil"/>
            </w:tcBorders>
            <w:shd w:val="clear" w:color="auto" w:fill="auto"/>
            <w:noWrap/>
            <w:vAlign w:val="bottom"/>
            <w:hideMark/>
          </w:tcPr>
          <w:p w14:paraId="6C6C26D3"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27" w:type="pct"/>
            <w:tcBorders>
              <w:top w:val="nil"/>
              <w:left w:val="single" w:sz="4" w:space="0" w:color="auto"/>
              <w:bottom w:val="nil"/>
              <w:right w:val="single" w:sz="4" w:space="0" w:color="auto"/>
            </w:tcBorders>
            <w:shd w:val="clear" w:color="auto" w:fill="auto"/>
            <w:noWrap/>
            <w:vAlign w:val="bottom"/>
            <w:hideMark/>
          </w:tcPr>
          <w:p w14:paraId="0C1A625E"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27" w:type="pct"/>
            <w:tcBorders>
              <w:top w:val="nil"/>
              <w:left w:val="nil"/>
              <w:bottom w:val="nil"/>
              <w:right w:val="nil"/>
            </w:tcBorders>
            <w:shd w:val="clear" w:color="auto" w:fill="auto"/>
            <w:noWrap/>
            <w:vAlign w:val="bottom"/>
            <w:hideMark/>
          </w:tcPr>
          <w:p w14:paraId="6B3C7169"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74" w:type="pct"/>
            <w:tcBorders>
              <w:top w:val="nil"/>
              <w:left w:val="single" w:sz="4" w:space="0" w:color="auto"/>
              <w:bottom w:val="nil"/>
              <w:right w:val="single" w:sz="4" w:space="0" w:color="auto"/>
            </w:tcBorders>
            <w:shd w:val="clear" w:color="auto" w:fill="auto"/>
            <w:noWrap/>
            <w:vAlign w:val="bottom"/>
            <w:hideMark/>
          </w:tcPr>
          <w:p w14:paraId="08D7AB01" w14:textId="6E70AA42" w:rsidR="00686EC7" w:rsidRPr="000C156A" w:rsidRDefault="00686EC7" w:rsidP="00141BAA">
            <w:pPr>
              <w:jc w:val="right"/>
              <w:rPr>
                <w:rFonts w:cs="Calibri"/>
                <w:sz w:val="20"/>
                <w:lang w:eastAsia="en-GB"/>
              </w:rPr>
            </w:pPr>
            <w:r w:rsidRPr="000C156A">
              <w:rPr>
                <w:rFonts w:cs="Calibri"/>
                <w:sz w:val="20"/>
                <w:lang w:eastAsia="en-GB"/>
              </w:rPr>
              <w:t>511</w:t>
            </w:r>
            <w:r w:rsidR="001A59E5" w:rsidRPr="000C156A">
              <w:rPr>
                <w:rFonts w:cs="Calibri"/>
                <w:sz w:val="20"/>
                <w:lang w:eastAsia="en-GB"/>
              </w:rPr>
              <w:t xml:space="preserve"> </w:t>
            </w:r>
            <w:r w:rsidRPr="000C156A">
              <w:rPr>
                <w:rFonts w:cs="Calibri"/>
                <w:sz w:val="20"/>
                <w:lang w:eastAsia="en-GB"/>
              </w:rPr>
              <w:t>822.30</w:t>
            </w:r>
          </w:p>
        </w:tc>
      </w:tr>
      <w:tr w:rsidR="00686EC7" w:rsidRPr="000C156A" w14:paraId="4730C536" w14:textId="77777777" w:rsidTr="00141BAA">
        <w:trPr>
          <w:trHeight w:val="255"/>
        </w:trPr>
        <w:tc>
          <w:tcPr>
            <w:tcW w:w="1098" w:type="pct"/>
            <w:tcBorders>
              <w:top w:val="nil"/>
              <w:left w:val="single" w:sz="4" w:space="0" w:color="auto"/>
              <w:bottom w:val="nil"/>
              <w:right w:val="nil"/>
            </w:tcBorders>
            <w:shd w:val="clear" w:color="auto" w:fill="auto"/>
            <w:noWrap/>
            <w:vAlign w:val="bottom"/>
            <w:hideMark/>
          </w:tcPr>
          <w:p w14:paraId="17EF92C7"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Microsoft YaHei" w:hint="eastAsia"/>
                <w:sz w:val="20"/>
              </w:rPr>
              <w:t>中非共和国</w:t>
            </w:r>
          </w:p>
        </w:tc>
        <w:tc>
          <w:tcPr>
            <w:tcW w:w="728" w:type="pct"/>
            <w:tcBorders>
              <w:top w:val="nil"/>
              <w:left w:val="single" w:sz="4" w:space="0" w:color="auto"/>
              <w:bottom w:val="nil"/>
              <w:right w:val="single" w:sz="4" w:space="0" w:color="auto"/>
            </w:tcBorders>
            <w:shd w:val="clear" w:color="auto" w:fill="auto"/>
            <w:noWrap/>
            <w:vAlign w:val="bottom"/>
            <w:hideMark/>
          </w:tcPr>
          <w:p w14:paraId="5CDEA3FF"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rPr>
              <w:t>– 2014</w:t>
            </w:r>
            <w:r w:rsidRPr="000C156A">
              <w:rPr>
                <w:rFonts w:hint="eastAsia"/>
                <w:sz w:val="20"/>
                <w:lang w:eastAsia="zh-CN"/>
              </w:rPr>
              <w:t>年</w:t>
            </w:r>
          </w:p>
        </w:tc>
        <w:tc>
          <w:tcPr>
            <w:tcW w:w="496" w:type="pct"/>
            <w:tcBorders>
              <w:top w:val="nil"/>
              <w:left w:val="nil"/>
              <w:bottom w:val="nil"/>
              <w:right w:val="nil"/>
            </w:tcBorders>
            <w:shd w:val="clear" w:color="auto" w:fill="auto"/>
            <w:noWrap/>
            <w:vAlign w:val="bottom"/>
            <w:hideMark/>
          </w:tcPr>
          <w:p w14:paraId="64466752" w14:textId="429CEF94" w:rsidR="00686EC7" w:rsidRPr="000C156A" w:rsidRDefault="00686EC7" w:rsidP="00141BAA">
            <w:pPr>
              <w:jc w:val="right"/>
              <w:rPr>
                <w:rFonts w:cs="Calibri"/>
                <w:sz w:val="20"/>
                <w:lang w:eastAsia="en-GB"/>
              </w:rPr>
            </w:pPr>
            <w:r w:rsidRPr="000C156A">
              <w:rPr>
                <w:rFonts w:cs="Calibri"/>
                <w:sz w:val="20"/>
                <w:lang w:eastAsia="en-GB"/>
              </w:rPr>
              <w:t>159</w:t>
            </w:r>
            <w:r w:rsidR="001A59E5" w:rsidRPr="000C156A">
              <w:rPr>
                <w:rFonts w:cs="Calibri"/>
                <w:sz w:val="20"/>
                <w:lang w:eastAsia="en-GB"/>
              </w:rPr>
              <w:t xml:space="preserve"> </w:t>
            </w:r>
            <w:r w:rsidRPr="000C156A">
              <w:rPr>
                <w:rFonts w:cs="Calibri"/>
                <w:sz w:val="20"/>
                <w:lang w:eastAsia="en-GB"/>
              </w:rPr>
              <w:t>474.68</w:t>
            </w:r>
          </w:p>
        </w:tc>
        <w:tc>
          <w:tcPr>
            <w:tcW w:w="834" w:type="pct"/>
            <w:tcBorders>
              <w:top w:val="nil"/>
              <w:left w:val="single" w:sz="4" w:space="0" w:color="auto"/>
              <w:bottom w:val="nil"/>
              <w:right w:val="single" w:sz="4" w:space="0" w:color="auto"/>
            </w:tcBorders>
            <w:shd w:val="clear" w:color="auto" w:fill="auto"/>
            <w:noWrap/>
            <w:vAlign w:val="bottom"/>
            <w:hideMark/>
          </w:tcPr>
          <w:p w14:paraId="7BF68E06" w14:textId="539B35CB" w:rsidR="00686EC7" w:rsidRPr="000C156A" w:rsidRDefault="00686EC7" w:rsidP="00141BAA">
            <w:pPr>
              <w:jc w:val="right"/>
              <w:rPr>
                <w:rFonts w:cs="Calibri"/>
                <w:sz w:val="20"/>
                <w:lang w:eastAsia="en-GB"/>
              </w:rPr>
            </w:pPr>
            <w:r w:rsidRPr="000C156A">
              <w:rPr>
                <w:rFonts w:cs="Calibri"/>
                <w:sz w:val="20"/>
                <w:lang w:eastAsia="en-GB"/>
              </w:rPr>
              <w:t>109</w:t>
            </w:r>
            <w:r w:rsidR="001A59E5" w:rsidRPr="000C156A">
              <w:rPr>
                <w:rFonts w:cs="Calibri"/>
                <w:sz w:val="20"/>
                <w:lang w:eastAsia="en-GB"/>
              </w:rPr>
              <w:t xml:space="preserve"> </w:t>
            </w:r>
            <w:r w:rsidRPr="000C156A">
              <w:rPr>
                <w:rFonts w:cs="Calibri"/>
                <w:sz w:val="20"/>
                <w:lang w:eastAsia="en-GB"/>
              </w:rPr>
              <w:t>952.30</w:t>
            </w:r>
          </w:p>
        </w:tc>
        <w:tc>
          <w:tcPr>
            <w:tcW w:w="518" w:type="pct"/>
            <w:tcBorders>
              <w:top w:val="nil"/>
              <w:left w:val="nil"/>
              <w:bottom w:val="nil"/>
              <w:right w:val="nil"/>
            </w:tcBorders>
            <w:shd w:val="clear" w:color="auto" w:fill="auto"/>
            <w:noWrap/>
            <w:vAlign w:val="bottom"/>
            <w:hideMark/>
          </w:tcPr>
          <w:p w14:paraId="3CB38932" w14:textId="0215E461" w:rsidR="00686EC7" w:rsidRPr="000C156A" w:rsidRDefault="00686EC7" w:rsidP="00141BAA">
            <w:pPr>
              <w:jc w:val="right"/>
              <w:rPr>
                <w:rFonts w:cs="Calibri"/>
                <w:sz w:val="20"/>
                <w:lang w:eastAsia="en-GB"/>
              </w:rPr>
            </w:pPr>
            <w:r w:rsidRPr="000C156A">
              <w:rPr>
                <w:rFonts w:cs="Calibri"/>
                <w:sz w:val="20"/>
                <w:lang w:eastAsia="en-GB"/>
              </w:rPr>
              <w:t>-109</w:t>
            </w:r>
            <w:r w:rsidR="001A59E5" w:rsidRPr="000C156A">
              <w:rPr>
                <w:rFonts w:cs="Calibri"/>
                <w:sz w:val="20"/>
                <w:lang w:eastAsia="en-GB"/>
              </w:rPr>
              <w:t xml:space="preserve"> </w:t>
            </w:r>
            <w:r w:rsidRPr="000C156A">
              <w:rPr>
                <w:rFonts w:cs="Calibri"/>
                <w:sz w:val="20"/>
                <w:lang w:eastAsia="en-GB"/>
              </w:rPr>
              <w:t>952.30</w:t>
            </w:r>
          </w:p>
        </w:tc>
        <w:tc>
          <w:tcPr>
            <w:tcW w:w="427" w:type="pct"/>
            <w:tcBorders>
              <w:top w:val="nil"/>
              <w:left w:val="single" w:sz="4" w:space="0" w:color="auto"/>
              <w:bottom w:val="nil"/>
              <w:right w:val="single" w:sz="4" w:space="0" w:color="auto"/>
            </w:tcBorders>
            <w:shd w:val="clear" w:color="auto" w:fill="auto"/>
            <w:noWrap/>
            <w:vAlign w:val="bottom"/>
            <w:hideMark/>
          </w:tcPr>
          <w:p w14:paraId="4EA3174F"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27" w:type="pct"/>
            <w:tcBorders>
              <w:top w:val="nil"/>
              <w:left w:val="nil"/>
              <w:bottom w:val="nil"/>
              <w:right w:val="nil"/>
            </w:tcBorders>
            <w:shd w:val="clear" w:color="auto" w:fill="auto"/>
            <w:noWrap/>
            <w:vAlign w:val="bottom"/>
            <w:hideMark/>
          </w:tcPr>
          <w:p w14:paraId="61C20ADD"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74" w:type="pct"/>
            <w:tcBorders>
              <w:top w:val="nil"/>
              <w:left w:val="single" w:sz="4" w:space="0" w:color="auto"/>
              <w:bottom w:val="nil"/>
              <w:right w:val="single" w:sz="4" w:space="0" w:color="auto"/>
            </w:tcBorders>
            <w:shd w:val="clear" w:color="auto" w:fill="auto"/>
            <w:noWrap/>
            <w:vAlign w:val="bottom"/>
            <w:hideMark/>
          </w:tcPr>
          <w:p w14:paraId="6C279FF7" w14:textId="77777777" w:rsidR="00686EC7" w:rsidRPr="000C156A" w:rsidRDefault="00686EC7" w:rsidP="00141BAA">
            <w:pPr>
              <w:jc w:val="right"/>
              <w:rPr>
                <w:rFonts w:cs="Calibri"/>
                <w:sz w:val="20"/>
                <w:lang w:eastAsia="en-GB"/>
              </w:rPr>
            </w:pPr>
            <w:r w:rsidRPr="000C156A">
              <w:rPr>
                <w:rFonts w:cs="Calibri"/>
                <w:sz w:val="20"/>
                <w:lang w:eastAsia="en-GB"/>
              </w:rPr>
              <w:t>0.00</w:t>
            </w:r>
          </w:p>
        </w:tc>
      </w:tr>
      <w:tr w:rsidR="00686EC7" w:rsidRPr="000C156A" w14:paraId="5B828D1B" w14:textId="77777777" w:rsidTr="00141BAA">
        <w:trPr>
          <w:trHeight w:val="255"/>
        </w:trPr>
        <w:tc>
          <w:tcPr>
            <w:tcW w:w="1098" w:type="pct"/>
            <w:tcBorders>
              <w:top w:val="nil"/>
              <w:left w:val="single" w:sz="4" w:space="0" w:color="auto"/>
              <w:bottom w:val="nil"/>
              <w:right w:val="nil"/>
            </w:tcBorders>
            <w:shd w:val="clear" w:color="auto" w:fill="auto"/>
            <w:noWrap/>
            <w:vAlign w:val="bottom"/>
            <w:hideMark/>
          </w:tcPr>
          <w:p w14:paraId="350A7379"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rPr>
              <w:t>索马里</w:t>
            </w:r>
          </w:p>
        </w:tc>
        <w:tc>
          <w:tcPr>
            <w:tcW w:w="728" w:type="pct"/>
            <w:tcBorders>
              <w:top w:val="nil"/>
              <w:left w:val="single" w:sz="4" w:space="0" w:color="auto"/>
              <w:bottom w:val="nil"/>
              <w:right w:val="single" w:sz="4" w:space="0" w:color="auto"/>
            </w:tcBorders>
            <w:shd w:val="clear" w:color="auto" w:fill="auto"/>
            <w:noWrap/>
            <w:vAlign w:val="bottom"/>
            <w:hideMark/>
          </w:tcPr>
          <w:p w14:paraId="6CFCAE0A"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rPr>
              <w:t>– 2017</w:t>
            </w:r>
            <w:r w:rsidRPr="000C156A">
              <w:rPr>
                <w:rFonts w:hint="eastAsia"/>
                <w:sz w:val="20"/>
                <w:lang w:eastAsia="zh-CN"/>
              </w:rPr>
              <w:t>年</w:t>
            </w:r>
          </w:p>
        </w:tc>
        <w:tc>
          <w:tcPr>
            <w:tcW w:w="496" w:type="pct"/>
            <w:tcBorders>
              <w:top w:val="nil"/>
              <w:left w:val="nil"/>
              <w:bottom w:val="nil"/>
              <w:right w:val="nil"/>
            </w:tcBorders>
            <w:shd w:val="clear" w:color="auto" w:fill="auto"/>
            <w:noWrap/>
            <w:vAlign w:val="bottom"/>
            <w:hideMark/>
          </w:tcPr>
          <w:p w14:paraId="34ADA19B" w14:textId="63CD762E" w:rsidR="00686EC7" w:rsidRPr="000C156A" w:rsidRDefault="00686EC7" w:rsidP="00141BAA">
            <w:pPr>
              <w:jc w:val="right"/>
              <w:rPr>
                <w:rFonts w:cs="Calibri"/>
                <w:sz w:val="20"/>
                <w:lang w:eastAsia="en-GB"/>
              </w:rPr>
            </w:pPr>
            <w:r w:rsidRPr="000C156A">
              <w:rPr>
                <w:rFonts w:cs="Calibri"/>
                <w:sz w:val="20"/>
                <w:lang w:eastAsia="en-GB"/>
              </w:rPr>
              <w:t>2</w:t>
            </w:r>
            <w:r w:rsidR="001A59E5" w:rsidRPr="000C156A">
              <w:rPr>
                <w:rFonts w:cs="Calibri"/>
                <w:sz w:val="20"/>
                <w:lang w:eastAsia="en-GB"/>
              </w:rPr>
              <w:t xml:space="preserve"> </w:t>
            </w:r>
            <w:r w:rsidRPr="000C156A">
              <w:rPr>
                <w:rFonts w:cs="Calibri"/>
                <w:sz w:val="20"/>
                <w:lang w:eastAsia="en-GB"/>
              </w:rPr>
              <w:t>281</w:t>
            </w:r>
            <w:r w:rsidR="001A59E5" w:rsidRPr="000C156A">
              <w:rPr>
                <w:rFonts w:cs="Calibri"/>
                <w:sz w:val="20"/>
                <w:lang w:eastAsia="en-GB"/>
              </w:rPr>
              <w:t xml:space="preserve"> </w:t>
            </w:r>
            <w:r w:rsidRPr="000C156A">
              <w:rPr>
                <w:rFonts w:cs="Calibri"/>
                <w:sz w:val="20"/>
                <w:lang w:eastAsia="en-GB"/>
              </w:rPr>
              <w:t>017.16</w:t>
            </w:r>
          </w:p>
        </w:tc>
        <w:tc>
          <w:tcPr>
            <w:tcW w:w="834" w:type="pct"/>
            <w:tcBorders>
              <w:top w:val="nil"/>
              <w:left w:val="single" w:sz="4" w:space="0" w:color="auto"/>
              <w:bottom w:val="nil"/>
              <w:right w:val="single" w:sz="4" w:space="0" w:color="auto"/>
            </w:tcBorders>
            <w:shd w:val="clear" w:color="auto" w:fill="auto"/>
            <w:noWrap/>
            <w:vAlign w:val="bottom"/>
            <w:hideMark/>
          </w:tcPr>
          <w:p w14:paraId="041D8769" w14:textId="7901B112" w:rsidR="00686EC7" w:rsidRPr="000C156A" w:rsidRDefault="00686EC7" w:rsidP="00141BAA">
            <w:pPr>
              <w:jc w:val="right"/>
              <w:rPr>
                <w:rFonts w:cs="Calibri"/>
                <w:sz w:val="20"/>
                <w:lang w:eastAsia="en-GB"/>
              </w:rPr>
            </w:pPr>
            <w:r w:rsidRPr="000C156A">
              <w:rPr>
                <w:rFonts w:cs="Calibri"/>
                <w:sz w:val="20"/>
                <w:lang w:eastAsia="en-GB"/>
              </w:rPr>
              <w:t>2</w:t>
            </w:r>
            <w:r w:rsidR="001A59E5" w:rsidRPr="000C156A">
              <w:rPr>
                <w:rFonts w:cs="Calibri"/>
                <w:sz w:val="20"/>
                <w:lang w:eastAsia="en-GB"/>
              </w:rPr>
              <w:t xml:space="preserve"> </w:t>
            </w:r>
            <w:r w:rsidRPr="000C156A">
              <w:rPr>
                <w:rFonts w:cs="Calibri"/>
                <w:sz w:val="20"/>
                <w:lang w:eastAsia="en-GB"/>
              </w:rPr>
              <w:t>093</w:t>
            </w:r>
            <w:r w:rsidR="001A59E5" w:rsidRPr="000C156A">
              <w:rPr>
                <w:rFonts w:cs="Calibri"/>
                <w:sz w:val="20"/>
                <w:lang w:eastAsia="en-GB"/>
              </w:rPr>
              <w:t xml:space="preserve"> </w:t>
            </w:r>
            <w:r w:rsidRPr="000C156A">
              <w:rPr>
                <w:rFonts w:cs="Calibri"/>
                <w:sz w:val="20"/>
                <w:lang w:eastAsia="en-GB"/>
              </w:rPr>
              <w:t>262.73</w:t>
            </w:r>
          </w:p>
        </w:tc>
        <w:tc>
          <w:tcPr>
            <w:tcW w:w="518" w:type="pct"/>
            <w:tcBorders>
              <w:top w:val="nil"/>
              <w:left w:val="nil"/>
              <w:bottom w:val="nil"/>
              <w:right w:val="nil"/>
            </w:tcBorders>
            <w:shd w:val="clear" w:color="auto" w:fill="auto"/>
            <w:noWrap/>
            <w:vAlign w:val="bottom"/>
            <w:hideMark/>
          </w:tcPr>
          <w:p w14:paraId="7BE08149" w14:textId="594823A1" w:rsidR="00686EC7" w:rsidRPr="000C156A" w:rsidRDefault="00686EC7" w:rsidP="00141BAA">
            <w:pPr>
              <w:jc w:val="right"/>
              <w:rPr>
                <w:rFonts w:cs="Calibri"/>
                <w:sz w:val="20"/>
                <w:lang w:eastAsia="en-GB"/>
              </w:rPr>
            </w:pPr>
            <w:r w:rsidRPr="000C156A">
              <w:rPr>
                <w:rFonts w:cs="Calibri"/>
                <w:sz w:val="20"/>
                <w:lang w:eastAsia="en-GB"/>
              </w:rPr>
              <w:t>-2</w:t>
            </w:r>
            <w:r w:rsidR="001A59E5" w:rsidRPr="000C156A">
              <w:rPr>
                <w:rFonts w:cs="Calibri"/>
                <w:sz w:val="20"/>
                <w:lang w:eastAsia="en-GB"/>
              </w:rPr>
              <w:t xml:space="preserve"> </w:t>
            </w:r>
            <w:r w:rsidRPr="000C156A">
              <w:rPr>
                <w:rFonts w:cs="Calibri"/>
                <w:sz w:val="20"/>
                <w:lang w:eastAsia="en-GB"/>
              </w:rPr>
              <w:t>093</w:t>
            </w:r>
            <w:r w:rsidR="001A59E5" w:rsidRPr="000C156A">
              <w:rPr>
                <w:rFonts w:cs="Calibri"/>
                <w:sz w:val="20"/>
                <w:lang w:eastAsia="en-GB"/>
              </w:rPr>
              <w:t xml:space="preserve"> </w:t>
            </w:r>
            <w:r w:rsidRPr="000C156A">
              <w:rPr>
                <w:rFonts w:cs="Calibri"/>
                <w:sz w:val="20"/>
                <w:lang w:eastAsia="en-GB"/>
              </w:rPr>
              <w:t>262.73</w:t>
            </w:r>
          </w:p>
        </w:tc>
        <w:tc>
          <w:tcPr>
            <w:tcW w:w="427" w:type="pct"/>
            <w:tcBorders>
              <w:top w:val="nil"/>
              <w:left w:val="single" w:sz="4" w:space="0" w:color="auto"/>
              <w:bottom w:val="nil"/>
              <w:right w:val="single" w:sz="4" w:space="0" w:color="auto"/>
            </w:tcBorders>
            <w:shd w:val="clear" w:color="auto" w:fill="auto"/>
            <w:noWrap/>
            <w:vAlign w:val="bottom"/>
            <w:hideMark/>
          </w:tcPr>
          <w:p w14:paraId="6ECCCBEC"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27" w:type="pct"/>
            <w:tcBorders>
              <w:top w:val="nil"/>
              <w:left w:val="nil"/>
              <w:bottom w:val="nil"/>
              <w:right w:val="nil"/>
            </w:tcBorders>
            <w:shd w:val="clear" w:color="auto" w:fill="auto"/>
            <w:noWrap/>
            <w:vAlign w:val="bottom"/>
            <w:hideMark/>
          </w:tcPr>
          <w:p w14:paraId="41B8070F"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74" w:type="pct"/>
            <w:tcBorders>
              <w:top w:val="nil"/>
              <w:left w:val="single" w:sz="4" w:space="0" w:color="auto"/>
              <w:bottom w:val="nil"/>
              <w:right w:val="single" w:sz="4" w:space="0" w:color="auto"/>
            </w:tcBorders>
            <w:shd w:val="clear" w:color="auto" w:fill="auto"/>
            <w:noWrap/>
            <w:vAlign w:val="bottom"/>
            <w:hideMark/>
          </w:tcPr>
          <w:p w14:paraId="4BF39AB2" w14:textId="77777777" w:rsidR="00686EC7" w:rsidRPr="000C156A" w:rsidRDefault="00686EC7" w:rsidP="00141BAA">
            <w:pPr>
              <w:jc w:val="right"/>
              <w:rPr>
                <w:rFonts w:cs="Calibri"/>
                <w:sz w:val="20"/>
                <w:lang w:eastAsia="en-GB"/>
              </w:rPr>
            </w:pPr>
            <w:r w:rsidRPr="000C156A">
              <w:rPr>
                <w:rFonts w:cs="Calibri"/>
                <w:sz w:val="20"/>
                <w:lang w:eastAsia="en-GB"/>
              </w:rPr>
              <w:t>0.00</w:t>
            </w:r>
          </w:p>
        </w:tc>
      </w:tr>
      <w:tr w:rsidR="00686EC7" w:rsidRPr="000C156A" w14:paraId="2E091924" w14:textId="77777777" w:rsidTr="00141BAA">
        <w:trPr>
          <w:trHeight w:val="255"/>
        </w:trPr>
        <w:tc>
          <w:tcPr>
            <w:tcW w:w="1098" w:type="pct"/>
            <w:tcBorders>
              <w:top w:val="nil"/>
              <w:left w:val="single" w:sz="4" w:space="0" w:color="auto"/>
              <w:bottom w:val="nil"/>
              <w:right w:val="nil"/>
            </w:tcBorders>
            <w:shd w:val="clear" w:color="auto" w:fill="auto"/>
            <w:noWrap/>
            <w:vAlign w:val="bottom"/>
            <w:hideMark/>
          </w:tcPr>
          <w:p w14:paraId="3A6C3AF9"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sz w:val="20"/>
                <w:lang w:val="en-US" w:eastAsia="zh-CN"/>
              </w:rPr>
              <w:t>刚果（共和国）</w:t>
            </w:r>
          </w:p>
        </w:tc>
        <w:tc>
          <w:tcPr>
            <w:tcW w:w="728" w:type="pct"/>
            <w:tcBorders>
              <w:top w:val="nil"/>
              <w:left w:val="single" w:sz="4" w:space="0" w:color="auto"/>
              <w:bottom w:val="nil"/>
              <w:right w:val="single" w:sz="4" w:space="0" w:color="auto"/>
            </w:tcBorders>
            <w:shd w:val="clear" w:color="auto" w:fill="auto"/>
            <w:noWrap/>
            <w:vAlign w:val="bottom"/>
            <w:hideMark/>
          </w:tcPr>
          <w:p w14:paraId="651F2717"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rPr>
              <w:t>– 2018</w:t>
            </w:r>
            <w:r w:rsidRPr="000C156A">
              <w:rPr>
                <w:rFonts w:hint="eastAsia"/>
                <w:sz w:val="20"/>
                <w:lang w:eastAsia="zh-CN"/>
              </w:rPr>
              <w:t>年</w:t>
            </w:r>
          </w:p>
        </w:tc>
        <w:tc>
          <w:tcPr>
            <w:tcW w:w="496" w:type="pct"/>
            <w:tcBorders>
              <w:top w:val="nil"/>
              <w:left w:val="nil"/>
              <w:bottom w:val="nil"/>
              <w:right w:val="nil"/>
            </w:tcBorders>
            <w:shd w:val="clear" w:color="auto" w:fill="auto"/>
            <w:noWrap/>
            <w:vAlign w:val="bottom"/>
            <w:hideMark/>
          </w:tcPr>
          <w:p w14:paraId="772B85E1" w14:textId="71F5162C" w:rsidR="00686EC7" w:rsidRPr="000C156A" w:rsidRDefault="00686EC7" w:rsidP="00141BAA">
            <w:pPr>
              <w:jc w:val="right"/>
              <w:rPr>
                <w:rFonts w:cs="Calibri"/>
                <w:sz w:val="20"/>
                <w:lang w:eastAsia="en-GB"/>
              </w:rPr>
            </w:pPr>
            <w:r w:rsidRPr="000C156A">
              <w:rPr>
                <w:rFonts w:cs="Calibri"/>
                <w:sz w:val="20"/>
                <w:lang w:eastAsia="en-GB"/>
              </w:rPr>
              <w:t>1</w:t>
            </w:r>
            <w:r w:rsidR="001A59E5" w:rsidRPr="000C156A">
              <w:rPr>
                <w:rFonts w:cs="Calibri"/>
                <w:sz w:val="20"/>
                <w:lang w:eastAsia="en-GB"/>
              </w:rPr>
              <w:t xml:space="preserve"> </w:t>
            </w:r>
            <w:r w:rsidRPr="000C156A">
              <w:rPr>
                <w:rFonts w:cs="Calibri"/>
                <w:sz w:val="20"/>
                <w:lang w:eastAsia="en-GB"/>
              </w:rPr>
              <w:t>730</w:t>
            </w:r>
            <w:r w:rsidR="001A59E5" w:rsidRPr="000C156A">
              <w:rPr>
                <w:rFonts w:cs="Calibri"/>
                <w:sz w:val="20"/>
                <w:lang w:eastAsia="en-GB"/>
              </w:rPr>
              <w:t xml:space="preserve"> </w:t>
            </w:r>
            <w:r w:rsidRPr="000C156A">
              <w:rPr>
                <w:rFonts w:cs="Calibri"/>
                <w:sz w:val="20"/>
                <w:lang w:eastAsia="en-GB"/>
              </w:rPr>
              <w:t>027.81</w:t>
            </w:r>
          </w:p>
        </w:tc>
        <w:tc>
          <w:tcPr>
            <w:tcW w:w="834" w:type="pct"/>
            <w:tcBorders>
              <w:top w:val="nil"/>
              <w:left w:val="single" w:sz="4" w:space="0" w:color="auto"/>
              <w:bottom w:val="nil"/>
              <w:right w:val="single" w:sz="4" w:space="0" w:color="auto"/>
            </w:tcBorders>
            <w:shd w:val="clear" w:color="auto" w:fill="auto"/>
            <w:noWrap/>
            <w:vAlign w:val="bottom"/>
            <w:hideMark/>
          </w:tcPr>
          <w:p w14:paraId="5BBBF17D" w14:textId="0B27BC9B" w:rsidR="00686EC7" w:rsidRPr="000C156A" w:rsidRDefault="00686EC7" w:rsidP="00141BAA">
            <w:pPr>
              <w:jc w:val="right"/>
              <w:rPr>
                <w:rFonts w:cs="Calibri"/>
                <w:sz w:val="20"/>
                <w:lang w:eastAsia="en-GB"/>
              </w:rPr>
            </w:pPr>
            <w:r w:rsidRPr="000C156A">
              <w:rPr>
                <w:rFonts w:cs="Calibri"/>
                <w:sz w:val="20"/>
                <w:lang w:eastAsia="en-GB"/>
              </w:rPr>
              <w:t>1</w:t>
            </w:r>
            <w:r w:rsidR="001A59E5" w:rsidRPr="000C156A">
              <w:rPr>
                <w:rFonts w:cs="Calibri"/>
                <w:sz w:val="20"/>
                <w:lang w:eastAsia="en-GB"/>
              </w:rPr>
              <w:t xml:space="preserve"> </w:t>
            </w:r>
            <w:r w:rsidRPr="000C156A">
              <w:rPr>
                <w:rFonts w:cs="Calibri"/>
                <w:sz w:val="20"/>
                <w:lang w:eastAsia="en-GB"/>
              </w:rPr>
              <w:t>561</w:t>
            </w:r>
            <w:r w:rsidR="001A59E5" w:rsidRPr="000C156A">
              <w:rPr>
                <w:rFonts w:cs="Calibri"/>
                <w:sz w:val="20"/>
                <w:lang w:eastAsia="en-GB"/>
              </w:rPr>
              <w:t xml:space="preserve"> </w:t>
            </w:r>
            <w:r w:rsidRPr="000C156A">
              <w:rPr>
                <w:rFonts w:cs="Calibri"/>
                <w:sz w:val="20"/>
                <w:lang w:eastAsia="en-GB"/>
              </w:rPr>
              <w:t>500.97</w:t>
            </w:r>
          </w:p>
        </w:tc>
        <w:tc>
          <w:tcPr>
            <w:tcW w:w="518" w:type="pct"/>
            <w:tcBorders>
              <w:top w:val="nil"/>
              <w:left w:val="nil"/>
              <w:bottom w:val="nil"/>
              <w:right w:val="nil"/>
            </w:tcBorders>
            <w:shd w:val="clear" w:color="auto" w:fill="auto"/>
            <w:noWrap/>
            <w:vAlign w:val="bottom"/>
            <w:hideMark/>
          </w:tcPr>
          <w:p w14:paraId="542C1FDA"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27" w:type="pct"/>
            <w:tcBorders>
              <w:top w:val="nil"/>
              <w:left w:val="single" w:sz="4" w:space="0" w:color="auto"/>
              <w:bottom w:val="nil"/>
              <w:right w:val="single" w:sz="4" w:space="0" w:color="auto"/>
            </w:tcBorders>
            <w:shd w:val="clear" w:color="auto" w:fill="auto"/>
            <w:noWrap/>
            <w:vAlign w:val="bottom"/>
            <w:hideMark/>
          </w:tcPr>
          <w:p w14:paraId="3BCEC710"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27" w:type="pct"/>
            <w:tcBorders>
              <w:top w:val="nil"/>
              <w:left w:val="nil"/>
              <w:bottom w:val="nil"/>
              <w:right w:val="nil"/>
            </w:tcBorders>
            <w:shd w:val="clear" w:color="auto" w:fill="auto"/>
            <w:noWrap/>
            <w:vAlign w:val="bottom"/>
            <w:hideMark/>
          </w:tcPr>
          <w:p w14:paraId="06B774A0" w14:textId="0559524C" w:rsidR="00686EC7" w:rsidRPr="000C156A" w:rsidRDefault="00686EC7" w:rsidP="00141BAA">
            <w:pPr>
              <w:jc w:val="right"/>
              <w:rPr>
                <w:rFonts w:cs="Calibri"/>
                <w:sz w:val="20"/>
                <w:lang w:eastAsia="en-GB"/>
              </w:rPr>
            </w:pPr>
            <w:r w:rsidRPr="000C156A">
              <w:rPr>
                <w:rFonts w:cs="Calibri"/>
                <w:sz w:val="20"/>
                <w:lang w:eastAsia="en-GB"/>
              </w:rPr>
              <w:t>-84</w:t>
            </w:r>
            <w:r w:rsidR="001A59E5" w:rsidRPr="000C156A">
              <w:rPr>
                <w:rFonts w:cs="Calibri"/>
                <w:sz w:val="20"/>
                <w:lang w:eastAsia="en-GB"/>
              </w:rPr>
              <w:t xml:space="preserve"> </w:t>
            </w:r>
            <w:r w:rsidRPr="000C156A">
              <w:rPr>
                <w:rFonts w:cs="Calibri"/>
                <w:sz w:val="20"/>
                <w:lang w:eastAsia="en-GB"/>
              </w:rPr>
              <w:t>263.42</w:t>
            </w:r>
          </w:p>
        </w:tc>
        <w:tc>
          <w:tcPr>
            <w:tcW w:w="474" w:type="pct"/>
            <w:tcBorders>
              <w:top w:val="nil"/>
              <w:left w:val="single" w:sz="4" w:space="0" w:color="auto"/>
              <w:bottom w:val="nil"/>
              <w:right w:val="single" w:sz="4" w:space="0" w:color="auto"/>
            </w:tcBorders>
            <w:shd w:val="clear" w:color="auto" w:fill="auto"/>
            <w:noWrap/>
            <w:vAlign w:val="bottom"/>
            <w:hideMark/>
          </w:tcPr>
          <w:p w14:paraId="4701E05D" w14:textId="245F6085" w:rsidR="00686EC7" w:rsidRPr="000C156A" w:rsidRDefault="00686EC7" w:rsidP="00141BAA">
            <w:pPr>
              <w:jc w:val="right"/>
              <w:rPr>
                <w:rFonts w:cs="Calibri"/>
                <w:sz w:val="20"/>
                <w:lang w:eastAsia="en-GB"/>
              </w:rPr>
            </w:pPr>
            <w:r w:rsidRPr="000C156A">
              <w:rPr>
                <w:rFonts w:cs="Calibri"/>
                <w:sz w:val="20"/>
                <w:lang w:eastAsia="en-GB"/>
              </w:rPr>
              <w:t>1</w:t>
            </w:r>
            <w:r w:rsidR="001A59E5" w:rsidRPr="000C156A">
              <w:rPr>
                <w:rFonts w:cs="Calibri"/>
                <w:sz w:val="20"/>
                <w:lang w:eastAsia="en-GB"/>
              </w:rPr>
              <w:t xml:space="preserve"> </w:t>
            </w:r>
            <w:r w:rsidRPr="000C156A">
              <w:rPr>
                <w:rFonts w:cs="Calibri"/>
                <w:sz w:val="20"/>
                <w:lang w:eastAsia="en-GB"/>
              </w:rPr>
              <w:t>477</w:t>
            </w:r>
            <w:r w:rsidR="001A59E5" w:rsidRPr="000C156A">
              <w:rPr>
                <w:rFonts w:cs="Calibri"/>
                <w:sz w:val="20"/>
                <w:lang w:eastAsia="en-GB"/>
              </w:rPr>
              <w:t xml:space="preserve"> </w:t>
            </w:r>
            <w:r w:rsidRPr="000C156A">
              <w:rPr>
                <w:rFonts w:cs="Calibri"/>
                <w:sz w:val="20"/>
                <w:lang w:eastAsia="en-GB"/>
              </w:rPr>
              <w:t>237.55</w:t>
            </w:r>
          </w:p>
        </w:tc>
      </w:tr>
      <w:tr w:rsidR="00686EC7" w:rsidRPr="000C156A" w14:paraId="6A4AEF35" w14:textId="77777777" w:rsidTr="00141BAA">
        <w:trPr>
          <w:trHeight w:val="255"/>
        </w:trPr>
        <w:tc>
          <w:tcPr>
            <w:tcW w:w="1098" w:type="pct"/>
            <w:tcBorders>
              <w:top w:val="nil"/>
              <w:left w:val="single" w:sz="4" w:space="0" w:color="auto"/>
              <w:bottom w:val="nil"/>
              <w:right w:val="nil"/>
            </w:tcBorders>
            <w:shd w:val="clear" w:color="auto" w:fill="auto"/>
            <w:noWrap/>
            <w:vAlign w:val="bottom"/>
            <w:hideMark/>
          </w:tcPr>
          <w:p w14:paraId="2E164D40"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sz w:val="20"/>
                <w:lang w:val="en-US" w:eastAsia="zh-CN"/>
              </w:rPr>
              <w:t>加蓬</w:t>
            </w:r>
          </w:p>
        </w:tc>
        <w:tc>
          <w:tcPr>
            <w:tcW w:w="728" w:type="pct"/>
            <w:tcBorders>
              <w:top w:val="nil"/>
              <w:left w:val="single" w:sz="4" w:space="0" w:color="auto"/>
              <w:bottom w:val="nil"/>
              <w:right w:val="single" w:sz="4" w:space="0" w:color="auto"/>
            </w:tcBorders>
            <w:shd w:val="clear" w:color="auto" w:fill="auto"/>
            <w:noWrap/>
            <w:vAlign w:val="bottom"/>
            <w:hideMark/>
          </w:tcPr>
          <w:p w14:paraId="289E5B8E"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rPr>
              <w:t>– 2018</w:t>
            </w:r>
            <w:r w:rsidRPr="000C156A">
              <w:rPr>
                <w:rFonts w:hint="eastAsia"/>
                <w:sz w:val="20"/>
                <w:lang w:eastAsia="zh-CN"/>
              </w:rPr>
              <w:t>年</w:t>
            </w:r>
          </w:p>
        </w:tc>
        <w:tc>
          <w:tcPr>
            <w:tcW w:w="496" w:type="pct"/>
            <w:tcBorders>
              <w:top w:val="nil"/>
              <w:left w:val="nil"/>
              <w:bottom w:val="nil"/>
              <w:right w:val="nil"/>
            </w:tcBorders>
            <w:shd w:val="clear" w:color="auto" w:fill="auto"/>
            <w:noWrap/>
            <w:vAlign w:val="bottom"/>
            <w:hideMark/>
          </w:tcPr>
          <w:p w14:paraId="5E2B1F1D" w14:textId="059632AE" w:rsidR="00686EC7" w:rsidRPr="000C156A" w:rsidRDefault="00686EC7" w:rsidP="00141BAA">
            <w:pPr>
              <w:jc w:val="right"/>
              <w:rPr>
                <w:rFonts w:cs="Calibri"/>
                <w:sz w:val="20"/>
                <w:lang w:eastAsia="en-GB"/>
              </w:rPr>
            </w:pPr>
            <w:r w:rsidRPr="000C156A">
              <w:rPr>
                <w:rFonts w:cs="Calibri"/>
                <w:sz w:val="20"/>
                <w:lang w:eastAsia="en-GB"/>
              </w:rPr>
              <w:t>343</w:t>
            </w:r>
            <w:r w:rsidR="001A59E5" w:rsidRPr="000C156A">
              <w:rPr>
                <w:rFonts w:cs="Calibri"/>
                <w:sz w:val="20"/>
                <w:lang w:eastAsia="en-GB"/>
              </w:rPr>
              <w:t xml:space="preserve"> </w:t>
            </w:r>
            <w:r w:rsidRPr="000C156A">
              <w:rPr>
                <w:rFonts w:cs="Calibri"/>
                <w:sz w:val="20"/>
                <w:lang w:eastAsia="en-GB"/>
              </w:rPr>
              <w:t>052.55</w:t>
            </w:r>
          </w:p>
        </w:tc>
        <w:tc>
          <w:tcPr>
            <w:tcW w:w="834" w:type="pct"/>
            <w:tcBorders>
              <w:top w:val="nil"/>
              <w:left w:val="single" w:sz="4" w:space="0" w:color="auto"/>
              <w:bottom w:val="nil"/>
              <w:right w:val="single" w:sz="4" w:space="0" w:color="auto"/>
            </w:tcBorders>
            <w:shd w:val="clear" w:color="auto" w:fill="auto"/>
            <w:noWrap/>
            <w:vAlign w:val="bottom"/>
            <w:hideMark/>
          </w:tcPr>
          <w:p w14:paraId="37559525" w14:textId="72ABE279" w:rsidR="00686EC7" w:rsidRPr="000C156A" w:rsidRDefault="00686EC7" w:rsidP="00141BAA">
            <w:pPr>
              <w:jc w:val="right"/>
              <w:rPr>
                <w:rFonts w:cs="Calibri"/>
                <w:sz w:val="20"/>
                <w:lang w:eastAsia="en-GB"/>
              </w:rPr>
            </w:pPr>
            <w:r w:rsidRPr="000C156A">
              <w:rPr>
                <w:rFonts w:cs="Calibri"/>
                <w:sz w:val="20"/>
                <w:lang w:eastAsia="en-GB"/>
              </w:rPr>
              <w:t>267</w:t>
            </w:r>
            <w:r w:rsidR="001A59E5" w:rsidRPr="000C156A">
              <w:rPr>
                <w:rFonts w:cs="Calibri"/>
                <w:sz w:val="20"/>
                <w:lang w:eastAsia="en-GB"/>
              </w:rPr>
              <w:t xml:space="preserve"> </w:t>
            </w:r>
            <w:r w:rsidRPr="000C156A">
              <w:rPr>
                <w:rFonts w:cs="Calibri"/>
                <w:sz w:val="20"/>
                <w:lang w:eastAsia="en-GB"/>
              </w:rPr>
              <w:t>633.89</w:t>
            </w:r>
          </w:p>
        </w:tc>
        <w:tc>
          <w:tcPr>
            <w:tcW w:w="518" w:type="pct"/>
            <w:tcBorders>
              <w:top w:val="nil"/>
              <w:left w:val="nil"/>
              <w:bottom w:val="nil"/>
              <w:right w:val="nil"/>
            </w:tcBorders>
            <w:shd w:val="clear" w:color="auto" w:fill="auto"/>
            <w:noWrap/>
            <w:vAlign w:val="bottom"/>
            <w:hideMark/>
          </w:tcPr>
          <w:p w14:paraId="69477EB6" w14:textId="5D617774" w:rsidR="00686EC7" w:rsidRPr="000C156A" w:rsidRDefault="00686EC7" w:rsidP="00141BAA">
            <w:pPr>
              <w:jc w:val="right"/>
              <w:rPr>
                <w:rFonts w:cs="Calibri"/>
                <w:sz w:val="20"/>
                <w:lang w:eastAsia="en-GB"/>
              </w:rPr>
            </w:pPr>
            <w:r w:rsidRPr="000C156A">
              <w:rPr>
                <w:rFonts w:cs="Calibri"/>
                <w:sz w:val="20"/>
                <w:lang w:eastAsia="en-GB"/>
              </w:rPr>
              <w:t>-267</w:t>
            </w:r>
            <w:r w:rsidR="001A59E5" w:rsidRPr="000C156A">
              <w:rPr>
                <w:rFonts w:cs="Calibri"/>
                <w:sz w:val="20"/>
                <w:lang w:eastAsia="en-GB"/>
              </w:rPr>
              <w:t xml:space="preserve"> </w:t>
            </w:r>
            <w:r w:rsidRPr="000C156A">
              <w:rPr>
                <w:rFonts w:cs="Calibri"/>
                <w:sz w:val="20"/>
                <w:lang w:eastAsia="en-GB"/>
              </w:rPr>
              <w:t>633.89</w:t>
            </w:r>
          </w:p>
        </w:tc>
        <w:tc>
          <w:tcPr>
            <w:tcW w:w="427" w:type="pct"/>
            <w:tcBorders>
              <w:top w:val="nil"/>
              <w:left w:val="single" w:sz="4" w:space="0" w:color="auto"/>
              <w:bottom w:val="nil"/>
              <w:right w:val="single" w:sz="4" w:space="0" w:color="auto"/>
            </w:tcBorders>
            <w:shd w:val="clear" w:color="auto" w:fill="auto"/>
            <w:noWrap/>
            <w:vAlign w:val="bottom"/>
            <w:hideMark/>
          </w:tcPr>
          <w:p w14:paraId="76D4F6E3"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27" w:type="pct"/>
            <w:tcBorders>
              <w:top w:val="nil"/>
              <w:left w:val="nil"/>
              <w:bottom w:val="nil"/>
              <w:right w:val="nil"/>
            </w:tcBorders>
            <w:shd w:val="clear" w:color="auto" w:fill="auto"/>
            <w:noWrap/>
            <w:vAlign w:val="bottom"/>
            <w:hideMark/>
          </w:tcPr>
          <w:p w14:paraId="63105C72"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74" w:type="pct"/>
            <w:tcBorders>
              <w:top w:val="nil"/>
              <w:left w:val="single" w:sz="4" w:space="0" w:color="auto"/>
              <w:bottom w:val="nil"/>
              <w:right w:val="single" w:sz="4" w:space="0" w:color="auto"/>
            </w:tcBorders>
            <w:shd w:val="clear" w:color="auto" w:fill="auto"/>
            <w:noWrap/>
            <w:vAlign w:val="bottom"/>
            <w:hideMark/>
          </w:tcPr>
          <w:p w14:paraId="05B77688" w14:textId="77777777" w:rsidR="00686EC7" w:rsidRPr="000C156A" w:rsidRDefault="00686EC7" w:rsidP="00141BAA">
            <w:pPr>
              <w:jc w:val="right"/>
              <w:rPr>
                <w:rFonts w:cs="Calibri"/>
                <w:sz w:val="20"/>
                <w:lang w:eastAsia="en-GB"/>
              </w:rPr>
            </w:pPr>
            <w:r w:rsidRPr="000C156A">
              <w:rPr>
                <w:rFonts w:cs="Calibri"/>
                <w:sz w:val="20"/>
                <w:lang w:eastAsia="en-GB"/>
              </w:rPr>
              <w:t>0.00</w:t>
            </w:r>
          </w:p>
        </w:tc>
      </w:tr>
      <w:tr w:rsidR="00686EC7" w:rsidRPr="000C156A" w14:paraId="2310F9E2" w14:textId="77777777" w:rsidTr="00141BAA">
        <w:trPr>
          <w:trHeight w:val="255"/>
        </w:trPr>
        <w:tc>
          <w:tcPr>
            <w:tcW w:w="1098" w:type="pct"/>
            <w:tcBorders>
              <w:top w:val="nil"/>
              <w:left w:val="single" w:sz="4" w:space="0" w:color="auto"/>
              <w:bottom w:val="nil"/>
              <w:right w:val="nil"/>
            </w:tcBorders>
            <w:shd w:val="clear" w:color="auto" w:fill="auto"/>
            <w:noWrap/>
            <w:vAlign w:val="bottom"/>
            <w:hideMark/>
          </w:tcPr>
          <w:p w14:paraId="57C7C01C"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sz w:val="20"/>
                <w:lang w:val="en-US" w:eastAsia="zh-CN"/>
              </w:rPr>
              <w:t>利比里亚</w:t>
            </w:r>
          </w:p>
        </w:tc>
        <w:tc>
          <w:tcPr>
            <w:tcW w:w="728" w:type="pct"/>
            <w:tcBorders>
              <w:top w:val="nil"/>
              <w:left w:val="single" w:sz="4" w:space="0" w:color="auto"/>
              <w:bottom w:val="nil"/>
              <w:right w:val="single" w:sz="4" w:space="0" w:color="auto"/>
            </w:tcBorders>
            <w:shd w:val="clear" w:color="auto" w:fill="auto"/>
            <w:noWrap/>
            <w:vAlign w:val="bottom"/>
            <w:hideMark/>
          </w:tcPr>
          <w:p w14:paraId="2521D5AE"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rPr>
              <w:t>– 2018</w:t>
            </w:r>
            <w:r w:rsidRPr="000C156A">
              <w:rPr>
                <w:rFonts w:hint="eastAsia"/>
                <w:sz w:val="20"/>
                <w:lang w:eastAsia="zh-CN"/>
              </w:rPr>
              <w:t>年</w:t>
            </w:r>
          </w:p>
        </w:tc>
        <w:tc>
          <w:tcPr>
            <w:tcW w:w="496" w:type="pct"/>
            <w:tcBorders>
              <w:top w:val="nil"/>
              <w:left w:val="nil"/>
              <w:bottom w:val="nil"/>
              <w:right w:val="nil"/>
            </w:tcBorders>
            <w:shd w:val="clear" w:color="auto" w:fill="auto"/>
            <w:noWrap/>
            <w:vAlign w:val="bottom"/>
            <w:hideMark/>
          </w:tcPr>
          <w:p w14:paraId="1E0F3015" w14:textId="52B804DD" w:rsidR="00686EC7" w:rsidRPr="000C156A" w:rsidRDefault="00686EC7" w:rsidP="00141BAA">
            <w:pPr>
              <w:jc w:val="right"/>
              <w:rPr>
                <w:rFonts w:cs="Calibri"/>
                <w:sz w:val="20"/>
                <w:lang w:eastAsia="en-GB"/>
              </w:rPr>
            </w:pPr>
            <w:r w:rsidRPr="000C156A">
              <w:rPr>
                <w:rFonts w:cs="Calibri"/>
                <w:sz w:val="20"/>
                <w:lang w:eastAsia="en-GB"/>
              </w:rPr>
              <w:t>4</w:t>
            </w:r>
            <w:r w:rsidR="001A59E5" w:rsidRPr="000C156A">
              <w:rPr>
                <w:rFonts w:cs="Calibri"/>
                <w:sz w:val="20"/>
                <w:lang w:eastAsia="en-GB"/>
              </w:rPr>
              <w:t xml:space="preserve"> </w:t>
            </w:r>
            <w:r w:rsidRPr="000C156A">
              <w:rPr>
                <w:rFonts w:cs="Calibri"/>
                <w:sz w:val="20"/>
                <w:lang w:eastAsia="en-GB"/>
              </w:rPr>
              <w:t>833</w:t>
            </w:r>
            <w:r w:rsidR="001A59E5" w:rsidRPr="000C156A">
              <w:rPr>
                <w:rFonts w:cs="Calibri"/>
                <w:sz w:val="20"/>
                <w:lang w:eastAsia="en-GB"/>
              </w:rPr>
              <w:t xml:space="preserve"> </w:t>
            </w:r>
            <w:r w:rsidRPr="000C156A">
              <w:rPr>
                <w:rFonts w:cs="Calibri"/>
                <w:sz w:val="20"/>
                <w:lang w:eastAsia="en-GB"/>
              </w:rPr>
              <w:t>356.64</w:t>
            </w:r>
          </w:p>
        </w:tc>
        <w:tc>
          <w:tcPr>
            <w:tcW w:w="834" w:type="pct"/>
            <w:tcBorders>
              <w:top w:val="nil"/>
              <w:left w:val="single" w:sz="4" w:space="0" w:color="auto"/>
              <w:bottom w:val="nil"/>
              <w:right w:val="single" w:sz="4" w:space="0" w:color="auto"/>
            </w:tcBorders>
            <w:shd w:val="clear" w:color="auto" w:fill="auto"/>
            <w:noWrap/>
            <w:vAlign w:val="bottom"/>
            <w:hideMark/>
          </w:tcPr>
          <w:p w14:paraId="47B44E20"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518" w:type="pct"/>
            <w:tcBorders>
              <w:top w:val="nil"/>
              <w:left w:val="nil"/>
              <w:bottom w:val="nil"/>
              <w:right w:val="nil"/>
            </w:tcBorders>
            <w:shd w:val="clear" w:color="auto" w:fill="auto"/>
            <w:noWrap/>
            <w:vAlign w:val="bottom"/>
            <w:hideMark/>
          </w:tcPr>
          <w:p w14:paraId="6B25F9D0" w14:textId="14065252" w:rsidR="00686EC7" w:rsidRPr="000C156A" w:rsidRDefault="00686EC7" w:rsidP="00141BAA">
            <w:pPr>
              <w:jc w:val="right"/>
              <w:rPr>
                <w:rFonts w:cs="Calibri"/>
                <w:sz w:val="20"/>
                <w:lang w:eastAsia="en-GB"/>
              </w:rPr>
            </w:pPr>
            <w:r w:rsidRPr="000C156A">
              <w:rPr>
                <w:rFonts w:cs="Calibri"/>
                <w:sz w:val="20"/>
                <w:lang w:eastAsia="en-GB"/>
              </w:rPr>
              <w:t>4</w:t>
            </w:r>
            <w:r w:rsidR="001A59E5" w:rsidRPr="000C156A">
              <w:rPr>
                <w:rFonts w:cs="Calibri"/>
                <w:sz w:val="20"/>
                <w:lang w:eastAsia="en-GB"/>
              </w:rPr>
              <w:t xml:space="preserve"> </w:t>
            </w:r>
            <w:r w:rsidRPr="000C156A">
              <w:rPr>
                <w:rFonts w:cs="Calibri"/>
                <w:sz w:val="20"/>
                <w:lang w:eastAsia="en-GB"/>
              </w:rPr>
              <w:t>833</w:t>
            </w:r>
            <w:r w:rsidR="001A59E5" w:rsidRPr="000C156A">
              <w:rPr>
                <w:rFonts w:cs="Calibri"/>
                <w:sz w:val="20"/>
                <w:lang w:eastAsia="en-GB"/>
              </w:rPr>
              <w:t xml:space="preserve"> </w:t>
            </w:r>
            <w:r w:rsidRPr="000C156A">
              <w:rPr>
                <w:rFonts w:cs="Calibri"/>
                <w:sz w:val="20"/>
                <w:lang w:eastAsia="en-GB"/>
              </w:rPr>
              <w:t>356.64</w:t>
            </w:r>
          </w:p>
        </w:tc>
        <w:tc>
          <w:tcPr>
            <w:tcW w:w="427" w:type="pct"/>
            <w:tcBorders>
              <w:top w:val="nil"/>
              <w:left w:val="single" w:sz="4" w:space="0" w:color="auto"/>
              <w:bottom w:val="nil"/>
              <w:right w:val="single" w:sz="4" w:space="0" w:color="auto"/>
            </w:tcBorders>
            <w:shd w:val="clear" w:color="auto" w:fill="auto"/>
            <w:noWrap/>
            <w:vAlign w:val="bottom"/>
            <w:hideMark/>
          </w:tcPr>
          <w:p w14:paraId="2AED98C0"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27" w:type="pct"/>
            <w:tcBorders>
              <w:top w:val="nil"/>
              <w:left w:val="nil"/>
              <w:bottom w:val="nil"/>
              <w:right w:val="nil"/>
            </w:tcBorders>
            <w:shd w:val="clear" w:color="auto" w:fill="auto"/>
            <w:noWrap/>
            <w:vAlign w:val="bottom"/>
            <w:hideMark/>
          </w:tcPr>
          <w:p w14:paraId="7809BEB6" w14:textId="79F28C86" w:rsidR="00686EC7" w:rsidRPr="000C156A" w:rsidRDefault="00686EC7" w:rsidP="00141BAA">
            <w:pPr>
              <w:jc w:val="right"/>
              <w:rPr>
                <w:rFonts w:cs="Calibri"/>
                <w:sz w:val="20"/>
                <w:lang w:eastAsia="en-GB"/>
              </w:rPr>
            </w:pPr>
            <w:r w:rsidRPr="000C156A">
              <w:rPr>
                <w:rFonts w:cs="Calibri"/>
                <w:sz w:val="20"/>
                <w:lang w:eastAsia="en-GB"/>
              </w:rPr>
              <w:t>-116</w:t>
            </w:r>
            <w:r w:rsidR="001A59E5" w:rsidRPr="000C156A">
              <w:rPr>
                <w:rFonts w:cs="Calibri"/>
                <w:sz w:val="20"/>
                <w:lang w:eastAsia="en-GB"/>
              </w:rPr>
              <w:t xml:space="preserve"> </w:t>
            </w:r>
            <w:r w:rsidRPr="000C156A">
              <w:rPr>
                <w:rFonts w:cs="Calibri"/>
                <w:sz w:val="20"/>
                <w:lang w:eastAsia="en-GB"/>
              </w:rPr>
              <w:t>062.08</w:t>
            </w:r>
          </w:p>
        </w:tc>
        <w:tc>
          <w:tcPr>
            <w:tcW w:w="474" w:type="pct"/>
            <w:tcBorders>
              <w:top w:val="nil"/>
              <w:left w:val="single" w:sz="4" w:space="0" w:color="auto"/>
              <w:bottom w:val="nil"/>
              <w:right w:val="single" w:sz="4" w:space="0" w:color="auto"/>
            </w:tcBorders>
            <w:shd w:val="clear" w:color="auto" w:fill="auto"/>
            <w:noWrap/>
            <w:vAlign w:val="bottom"/>
            <w:hideMark/>
          </w:tcPr>
          <w:p w14:paraId="28E63877" w14:textId="3B02E9C5" w:rsidR="00686EC7" w:rsidRPr="000C156A" w:rsidRDefault="00686EC7" w:rsidP="00141BAA">
            <w:pPr>
              <w:jc w:val="right"/>
              <w:rPr>
                <w:rFonts w:cs="Calibri"/>
                <w:sz w:val="20"/>
                <w:lang w:eastAsia="en-GB"/>
              </w:rPr>
            </w:pPr>
            <w:r w:rsidRPr="000C156A">
              <w:rPr>
                <w:rFonts w:cs="Calibri"/>
                <w:sz w:val="20"/>
                <w:lang w:eastAsia="en-GB"/>
              </w:rPr>
              <w:t>4</w:t>
            </w:r>
            <w:r w:rsidR="001A59E5" w:rsidRPr="000C156A">
              <w:rPr>
                <w:rFonts w:cs="Calibri"/>
                <w:sz w:val="20"/>
                <w:lang w:eastAsia="en-GB"/>
              </w:rPr>
              <w:t xml:space="preserve"> </w:t>
            </w:r>
            <w:r w:rsidRPr="000C156A">
              <w:rPr>
                <w:rFonts w:cs="Calibri"/>
                <w:sz w:val="20"/>
                <w:lang w:eastAsia="en-GB"/>
              </w:rPr>
              <w:t>717</w:t>
            </w:r>
            <w:r w:rsidR="001A59E5" w:rsidRPr="000C156A">
              <w:rPr>
                <w:rFonts w:cs="Calibri"/>
                <w:sz w:val="20"/>
                <w:lang w:eastAsia="en-GB"/>
              </w:rPr>
              <w:t xml:space="preserve"> </w:t>
            </w:r>
            <w:r w:rsidRPr="000C156A">
              <w:rPr>
                <w:rFonts w:cs="Calibri"/>
                <w:sz w:val="20"/>
                <w:lang w:eastAsia="en-GB"/>
              </w:rPr>
              <w:t>294.56</w:t>
            </w:r>
          </w:p>
        </w:tc>
      </w:tr>
      <w:tr w:rsidR="00686EC7" w:rsidRPr="000C156A" w14:paraId="4E114EAF" w14:textId="77777777" w:rsidTr="00141BAA">
        <w:trPr>
          <w:trHeight w:val="262"/>
        </w:trPr>
        <w:tc>
          <w:tcPr>
            <w:tcW w:w="1098" w:type="pct"/>
            <w:tcBorders>
              <w:top w:val="nil"/>
              <w:left w:val="single" w:sz="4" w:space="0" w:color="auto"/>
              <w:bottom w:val="nil"/>
              <w:right w:val="nil"/>
            </w:tcBorders>
            <w:shd w:val="clear" w:color="auto" w:fill="auto"/>
            <w:noWrap/>
            <w:vAlign w:val="bottom"/>
          </w:tcPr>
          <w:p w14:paraId="5D4F25F9" w14:textId="77777777" w:rsidR="00686EC7" w:rsidRPr="000C156A" w:rsidRDefault="00686EC7" w:rsidP="00141BAA">
            <w:pPr>
              <w:overflowPunct/>
              <w:autoSpaceDE/>
              <w:autoSpaceDN/>
              <w:adjustRightInd/>
              <w:spacing w:before="0"/>
              <w:textAlignment w:val="auto"/>
              <w:rPr>
                <w:sz w:val="18"/>
                <w:szCs w:val="18"/>
                <w:lang w:val="en-US" w:eastAsia="zh-CN"/>
              </w:rPr>
            </w:pPr>
          </w:p>
        </w:tc>
        <w:tc>
          <w:tcPr>
            <w:tcW w:w="728" w:type="pct"/>
            <w:tcBorders>
              <w:top w:val="nil"/>
              <w:left w:val="single" w:sz="4" w:space="0" w:color="auto"/>
              <w:bottom w:val="nil"/>
              <w:right w:val="single" w:sz="4" w:space="0" w:color="auto"/>
            </w:tcBorders>
            <w:shd w:val="clear" w:color="auto" w:fill="auto"/>
            <w:noWrap/>
            <w:vAlign w:val="bottom"/>
          </w:tcPr>
          <w:p w14:paraId="40709740" w14:textId="77777777" w:rsidR="00686EC7" w:rsidRPr="000C156A" w:rsidRDefault="00686EC7" w:rsidP="00141BAA">
            <w:pPr>
              <w:overflowPunct/>
              <w:autoSpaceDE/>
              <w:autoSpaceDN/>
              <w:adjustRightInd/>
              <w:spacing w:before="0"/>
              <w:textAlignment w:val="auto"/>
              <w:rPr>
                <w:sz w:val="18"/>
                <w:szCs w:val="18"/>
                <w:lang w:eastAsia="zh-CN"/>
              </w:rPr>
            </w:pPr>
          </w:p>
        </w:tc>
        <w:tc>
          <w:tcPr>
            <w:tcW w:w="496" w:type="pct"/>
            <w:tcBorders>
              <w:top w:val="nil"/>
              <w:left w:val="nil"/>
              <w:bottom w:val="nil"/>
              <w:right w:val="nil"/>
            </w:tcBorders>
            <w:shd w:val="clear" w:color="auto" w:fill="auto"/>
            <w:noWrap/>
            <w:vAlign w:val="bottom"/>
          </w:tcPr>
          <w:p w14:paraId="3A674B44" w14:textId="77777777" w:rsidR="00686EC7" w:rsidRPr="000C156A" w:rsidRDefault="00686EC7" w:rsidP="00141BAA">
            <w:pPr>
              <w:jc w:val="right"/>
              <w:rPr>
                <w:rFonts w:cs="Calibri"/>
                <w:sz w:val="18"/>
                <w:szCs w:val="18"/>
                <w:lang w:eastAsia="en-GB"/>
              </w:rPr>
            </w:pPr>
          </w:p>
        </w:tc>
        <w:tc>
          <w:tcPr>
            <w:tcW w:w="834" w:type="pct"/>
            <w:tcBorders>
              <w:top w:val="nil"/>
              <w:left w:val="single" w:sz="4" w:space="0" w:color="auto"/>
              <w:bottom w:val="nil"/>
              <w:right w:val="single" w:sz="4" w:space="0" w:color="auto"/>
            </w:tcBorders>
            <w:shd w:val="clear" w:color="auto" w:fill="auto"/>
            <w:noWrap/>
            <w:vAlign w:val="bottom"/>
          </w:tcPr>
          <w:p w14:paraId="27BF4174" w14:textId="77777777" w:rsidR="00686EC7" w:rsidRPr="000C156A" w:rsidRDefault="00686EC7" w:rsidP="00141BAA">
            <w:pPr>
              <w:jc w:val="right"/>
              <w:rPr>
                <w:rFonts w:cs="Calibri"/>
                <w:sz w:val="18"/>
                <w:szCs w:val="18"/>
                <w:lang w:eastAsia="en-GB"/>
              </w:rPr>
            </w:pPr>
          </w:p>
        </w:tc>
        <w:tc>
          <w:tcPr>
            <w:tcW w:w="518" w:type="pct"/>
            <w:tcBorders>
              <w:top w:val="nil"/>
              <w:left w:val="nil"/>
              <w:bottom w:val="nil"/>
              <w:right w:val="nil"/>
            </w:tcBorders>
            <w:shd w:val="clear" w:color="auto" w:fill="auto"/>
            <w:noWrap/>
            <w:vAlign w:val="bottom"/>
          </w:tcPr>
          <w:p w14:paraId="6F3EB922" w14:textId="77777777" w:rsidR="00686EC7" w:rsidRPr="000C156A" w:rsidRDefault="00686EC7" w:rsidP="00141BAA">
            <w:pPr>
              <w:jc w:val="right"/>
              <w:rPr>
                <w:rFonts w:cs="Calibri"/>
                <w:sz w:val="18"/>
                <w:szCs w:val="18"/>
                <w:lang w:eastAsia="en-GB"/>
              </w:rPr>
            </w:pPr>
          </w:p>
        </w:tc>
        <w:tc>
          <w:tcPr>
            <w:tcW w:w="427" w:type="pct"/>
            <w:tcBorders>
              <w:top w:val="nil"/>
              <w:left w:val="single" w:sz="4" w:space="0" w:color="auto"/>
              <w:bottom w:val="nil"/>
              <w:right w:val="single" w:sz="4" w:space="0" w:color="auto"/>
            </w:tcBorders>
            <w:shd w:val="clear" w:color="auto" w:fill="auto"/>
            <w:noWrap/>
            <w:vAlign w:val="bottom"/>
          </w:tcPr>
          <w:p w14:paraId="54513DD1" w14:textId="77777777" w:rsidR="00686EC7" w:rsidRPr="000C156A" w:rsidRDefault="00686EC7" w:rsidP="00141BAA">
            <w:pPr>
              <w:jc w:val="right"/>
              <w:rPr>
                <w:rFonts w:cs="Calibri"/>
                <w:sz w:val="18"/>
                <w:szCs w:val="18"/>
                <w:lang w:eastAsia="en-GB"/>
              </w:rPr>
            </w:pPr>
          </w:p>
        </w:tc>
        <w:tc>
          <w:tcPr>
            <w:tcW w:w="427" w:type="pct"/>
            <w:tcBorders>
              <w:top w:val="nil"/>
              <w:left w:val="nil"/>
              <w:bottom w:val="nil"/>
              <w:right w:val="nil"/>
            </w:tcBorders>
            <w:shd w:val="clear" w:color="auto" w:fill="auto"/>
            <w:noWrap/>
            <w:vAlign w:val="bottom"/>
          </w:tcPr>
          <w:p w14:paraId="4BBD6D7E" w14:textId="77777777" w:rsidR="00686EC7" w:rsidRPr="000C156A" w:rsidRDefault="00686EC7" w:rsidP="00141BAA">
            <w:pPr>
              <w:jc w:val="right"/>
              <w:rPr>
                <w:rFonts w:cs="Calibri"/>
                <w:sz w:val="18"/>
                <w:szCs w:val="18"/>
                <w:lang w:eastAsia="en-GB"/>
              </w:rPr>
            </w:pPr>
          </w:p>
        </w:tc>
        <w:tc>
          <w:tcPr>
            <w:tcW w:w="474" w:type="pct"/>
            <w:tcBorders>
              <w:top w:val="nil"/>
              <w:left w:val="single" w:sz="4" w:space="0" w:color="auto"/>
              <w:bottom w:val="nil"/>
              <w:right w:val="single" w:sz="4" w:space="0" w:color="auto"/>
            </w:tcBorders>
            <w:shd w:val="clear" w:color="auto" w:fill="auto"/>
            <w:noWrap/>
            <w:vAlign w:val="bottom"/>
          </w:tcPr>
          <w:p w14:paraId="3D1E4A33" w14:textId="77777777" w:rsidR="00686EC7" w:rsidRPr="000C156A" w:rsidRDefault="00686EC7" w:rsidP="00141BAA">
            <w:pPr>
              <w:jc w:val="right"/>
              <w:rPr>
                <w:rFonts w:cs="Calibri"/>
                <w:sz w:val="18"/>
                <w:szCs w:val="18"/>
                <w:lang w:eastAsia="en-GB"/>
              </w:rPr>
            </w:pPr>
          </w:p>
        </w:tc>
      </w:tr>
      <w:tr w:rsidR="00686EC7" w:rsidRPr="000C156A" w14:paraId="67BBB260" w14:textId="77777777" w:rsidTr="00141BAA">
        <w:trPr>
          <w:trHeight w:val="255"/>
        </w:trPr>
        <w:tc>
          <w:tcPr>
            <w:tcW w:w="1098" w:type="pct"/>
            <w:tcBorders>
              <w:top w:val="nil"/>
              <w:left w:val="single" w:sz="4" w:space="0" w:color="auto"/>
              <w:bottom w:val="nil"/>
              <w:right w:val="nil"/>
            </w:tcBorders>
            <w:shd w:val="clear" w:color="auto" w:fill="auto"/>
            <w:noWrap/>
            <w:vAlign w:val="bottom"/>
          </w:tcPr>
          <w:p w14:paraId="09046658" w14:textId="77777777" w:rsidR="00686EC7" w:rsidRPr="000C156A" w:rsidRDefault="00686EC7" w:rsidP="00141BAA">
            <w:pPr>
              <w:overflowPunct/>
              <w:autoSpaceDE/>
              <w:autoSpaceDN/>
              <w:adjustRightInd/>
              <w:spacing w:before="0"/>
              <w:textAlignment w:val="auto"/>
              <w:rPr>
                <w:sz w:val="18"/>
                <w:szCs w:val="18"/>
                <w:lang w:val="en-US" w:eastAsia="zh-CN"/>
              </w:rPr>
            </w:pPr>
          </w:p>
        </w:tc>
        <w:tc>
          <w:tcPr>
            <w:tcW w:w="728" w:type="pct"/>
            <w:tcBorders>
              <w:top w:val="nil"/>
              <w:left w:val="single" w:sz="4" w:space="0" w:color="auto"/>
              <w:bottom w:val="nil"/>
              <w:right w:val="single" w:sz="4" w:space="0" w:color="auto"/>
            </w:tcBorders>
            <w:shd w:val="clear" w:color="auto" w:fill="auto"/>
            <w:noWrap/>
            <w:vAlign w:val="bottom"/>
          </w:tcPr>
          <w:p w14:paraId="08D6FE7C" w14:textId="77777777" w:rsidR="00686EC7" w:rsidRPr="000C156A" w:rsidRDefault="00686EC7" w:rsidP="00141BAA">
            <w:pPr>
              <w:overflowPunct/>
              <w:autoSpaceDE/>
              <w:autoSpaceDN/>
              <w:adjustRightInd/>
              <w:spacing w:before="0"/>
              <w:textAlignment w:val="auto"/>
              <w:rPr>
                <w:sz w:val="18"/>
                <w:szCs w:val="18"/>
                <w:lang w:eastAsia="zh-CN"/>
              </w:rPr>
            </w:pPr>
          </w:p>
        </w:tc>
        <w:tc>
          <w:tcPr>
            <w:tcW w:w="496" w:type="pct"/>
            <w:tcBorders>
              <w:top w:val="nil"/>
              <w:left w:val="nil"/>
              <w:bottom w:val="nil"/>
              <w:right w:val="nil"/>
            </w:tcBorders>
            <w:shd w:val="clear" w:color="auto" w:fill="auto"/>
            <w:noWrap/>
            <w:vAlign w:val="bottom"/>
          </w:tcPr>
          <w:p w14:paraId="3AED9D95" w14:textId="77777777" w:rsidR="00686EC7" w:rsidRPr="000C156A" w:rsidRDefault="00686EC7" w:rsidP="00141BAA">
            <w:pPr>
              <w:jc w:val="right"/>
              <w:rPr>
                <w:rFonts w:cs="Calibri"/>
                <w:sz w:val="18"/>
                <w:szCs w:val="18"/>
                <w:lang w:eastAsia="en-GB"/>
              </w:rPr>
            </w:pPr>
          </w:p>
        </w:tc>
        <w:tc>
          <w:tcPr>
            <w:tcW w:w="834" w:type="pct"/>
            <w:tcBorders>
              <w:top w:val="nil"/>
              <w:left w:val="single" w:sz="4" w:space="0" w:color="auto"/>
              <w:bottom w:val="nil"/>
              <w:right w:val="single" w:sz="4" w:space="0" w:color="auto"/>
            </w:tcBorders>
            <w:shd w:val="clear" w:color="auto" w:fill="auto"/>
            <w:noWrap/>
            <w:vAlign w:val="bottom"/>
          </w:tcPr>
          <w:p w14:paraId="48C3425B" w14:textId="77777777" w:rsidR="00686EC7" w:rsidRPr="000C156A" w:rsidRDefault="00686EC7" w:rsidP="00141BAA">
            <w:pPr>
              <w:jc w:val="right"/>
              <w:rPr>
                <w:rFonts w:cs="Calibri"/>
                <w:sz w:val="18"/>
                <w:szCs w:val="18"/>
                <w:lang w:eastAsia="en-GB"/>
              </w:rPr>
            </w:pPr>
          </w:p>
        </w:tc>
        <w:tc>
          <w:tcPr>
            <w:tcW w:w="518" w:type="pct"/>
            <w:tcBorders>
              <w:top w:val="nil"/>
              <w:left w:val="nil"/>
              <w:bottom w:val="nil"/>
              <w:right w:val="nil"/>
            </w:tcBorders>
            <w:shd w:val="clear" w:color="auto" w:fill="auto"/>
            <w:noWrap/>
            <w:vAlign w:val="bottom"/>
          </w:tcPr>
          <w:p w14:paraId="05D5861D" w14:textId="77777777" w:rsidR="00686EC7" w:rsidRPr="000C156A" w:rsidRDefault="00686EC7" w:rsidP="00141BAA">
            <w:pPr>
              <w:jc w:val="right"/>
              <w:rPr>
                <w:rFonts w:cs="Calibri"/>
                <w:sz w:val="18"/>
                <w:szCs w:val="18"/>
                <w:lang w:eastAsia="en-GB"/>
              </w:rPr>
            </w:pPr>
          </w:p>
        </w:tc>
        <w:tc>
          <w:tcPr>
            <w:tcW w:w="427" w:type="pct"/>
            <w:tcBorders>
              <w:top w:val="nil"/>
              <w:left w:val="single" w:sz="4" w:space="0" w:color="auto"/>
              <w:bottom w:val="nil"/>
              <w:right w:val="single" w:sz="4" w:space="0" w:color="auto"/>
            </w:tcBorders>
            <w:shd w:val="clear" w:color="auto" w:fill="auto"/>
            <w:noWrap/>
            <w:vAlign w:val="bottom"/>
          </w:tcPr>
          <w:p w14:paraId="6B86ACF9" w14:textId="77777777" w:rsidR="00686EC7" w:rsidRPr="000C156A" w:rsidRDefault="00686EC7" w:rsidP="00141BAA">
            <w:pPr>
              <w:jc w:val="right"/>
              <w:rPr>
                <w:rFonts w:cs="Calibri"/>
                <w:sz w:val="18"/>
                <w:szCs w:val="18"/>
                <w:lang w:eastAsia="en-GB"/>
              </w:rPr>
            </w:pPr>
          </w:p>
        </w:tc>
        <w:tc>
          <w:tcPr>
            <w:tcW w:w="427" w:type="pct"/>
            <w:tcBorders>
              <w:top w:val="nil"/>
              <w:left w:val="nil"/>
              <w:bottom w:val="nil"/>
              <w:right w:val="nil"/>
            </w:tcBorders>
            <w:shd w:val="clear" w:color="auto" w:fill="auto"/>
            <w:noWrap/>
            <w:vAlign w:val="bottom"/>
          </w:tcPr>
          <w:p w14:paraId="28A6AD44" w14:textId="77777777" w:rsidR="00686EC7" w:rsidRPr="000C156A" w:rsidRDefault="00686EC7" w:rsidP="00141BAA">
            <w:pPr>
              <w:jc w:val="right"/>
              <w:rPr>
                <w:rFonts w:cs="Calibri"/>
                <w:sz w:val="18"/>
                <w:szCs w:val="18"/>
                <w:lang w:eastAsia="en-GB"/>
              </w:rPr>
            </w:pPr>
          </w:p>
        </w:tc>
        <w:tc>
          <w:tcPr>
            <w:tcW w:w="474" w:type="pct"/>
            <w:tcBorders>
              <w:top w:val="nil"/>
              <w:left w:val="single" w:sz="4" w:space="0" w:color="auto"/>
              <w:bottom w:val="nil"/>
              <w:right w:val="single" w:sz="4" w:space="0" w:color="auto"/>
            </w:tcBorders>
            <w:shd w:val="clear" w:color="auto" w:fill="auto"/>
            <w:noWrap/>
            <w:vAlign w:val="bottom"/>
          </w:tcPr>
          <w:p w14:paraId="1D51D742" w14:textId="77777777" w:rsidR="00686EC7" w:rsidRPr="000C156A" w:rsidRDefault="00686EC7" w:rsidP="00141BAA">
            <w:pPr>
              <w:jc w:val="right"/>
              <w:rPr>
                <w:rFonts w:cs="Calibri"/>
                <w:sz w:val="18"/>
                <w:szCs w:val="18"/>
                <w:lang w:eastAsia="en-GB"/>
              </w:rPr>
            </w:pPr>
          </w:p>
        </w:tc>
      </w:tr>
      <w:tr w:rsidR="00686EC7" w:rsidRPr="000C156A" w14:paraId="6D6378D4" w14:textId="77777777" w:rsidTr="00141BAA">
        <w:trPr>
          <w:trHeight w:val="286"/>
        </w:trPr>
        <w:tc>
          <w:tcPr>
            <w:tcW w:w="1098" w:type="pct"/>
            <w:tcBorders>
              <w:top w:val="nil"/>
              <w:left w:val="single" w:sz="4" w:space="0" w:color="auto"/>
              <w:bottom w:val="single" w:sz="4" w:space="0" w:color="auto"/>
              <w:right w:val="nil"/>
            </w:tcBorders>
            <w:shd w:val="clear" w:color="auto" w:fill="auto"/>
            <w:vAlign w:val="bottom"/>
            <w:hideMark/>
          </w:tcPr>
          <w:p w14:paraId="26B6FDF2"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728" w:type="pct"/>
            <w:tcBorders>
              <w:top w:val="nil"/>
              <w:left w:val="single" w:sz="4" w:space="0" w:color="auto"/>
              <w:bottom w:val="single" w:sz="4" w:space="0" w:color="auto"/>
              <w:right w:val="single" w:sz="4" w:space="0" w:color="auto"/>
            </w:tcBorders>
            <w:shd w:val="clear" w:color="auto" w:fill="auto"/>
            <w:noWrap/>
            <w:vAlign w:val="bottom"/>
            <w:hideMark/>
          </w:tcPr>
          <w:p w14:paraId="5538E40F"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96" w:type="pct"/>
            <w:tcBorders>
              <w:top w:val="nil"/>
              <w:left w:val="nil"/>
              <w:bottom w:val="single" w:sz="4" w:space="0" w:color="auto"/>
              <w:right w:val="nil"/>
            </w:tcBorders>
            <w:shd w:val="clear" w:color="auto" w:fill="auto"/>
            <w:noWrap/>
            <w:vAlign w:val="bottom"/>
            <w:hideMark/>
          </w:tcPr>
          <w:p w14:paraId="029207AB"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834" w:type="pct"/>
            <w:tcBorders>
              <w:top w:val="nil"/>
              <w:left w:val="single" w:sz="4" w:space="0" w:color="auto"/>
              <w:bottom w:val="single" w:sz="4" w:space="0" w:color="auto"/>
              <w:right w:val="single" w:sz="4" w:space="0" w:color="auto"/>
            </w:tcBorders>
            <w:shd w:val="clear" w:color="auto" w:fill="auto"/>
            <w:noWrap/>
            <w:vAlign w:val="bottom"/>
            <w:hideMark/>
          </w:tcPr>
          <w:p w14:paraId="373CD408"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518" w:type="pct"/>
            <w:tcBorders>
              <w:top w:val="nil"/>
              <w:left w:val="nil"/>
              <w:bottom w:val="single" w:sz="4" w:space="0" w:color="auto"/>
              <w:right w:val="nil"/>
            </w:tcBorders>
            <w:shd w:val="clear" w:color="auto" w:fill="auto"/>
            <w:noWrap/>
            <w:vAlign w:val="bottom"/>
            <w:hideMark/>
          </w:tcPr>
          <w:p w14:paraId="339F177E"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27" w:type="pct"/>
            <w:tcBorders>
              <w:top w:val="nil"/>
              <w:left w:val="single" w:sz="4" w:space="0" w:color="auto"/>
              <w:bottom w:val="single" w:sz="4" w:space="0" w:color="auto"/>
              <w:right w:val="single" w:sz="4" w:space="0" w:color="auto"/>
            </w:tcBorders>
            <w:shd w:val="clear" w:color="auto" w:fill="auto"/>
            <w:noWrap/>
            <w:vAlign w:val="bottom"/>
            <w:hideMark/>
          </w:tcPr>
          <w:p w14:paraId="79550C6B"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27" w:type="pct"/>
            <w:tcBorders>
              <w:top w:val="nil"/>
              <w:left w:val="nil"/>
              <w:bottom w:val="single" w:sz="4" w:space="0" w:color="auto"/>
              <w:right w:val="nil"/>
            </w:tcBorders>
            <w:shd w:val="clear" w:color="auto" w:fill="auto"/>
            <w:noWrap/>
            <w:vAlign w:val="bottom"/>
            <w:hideMark/>
          </w:tcPr>
          <w:p w14:paraId="4ECA684B"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74" w:type="pct"/>
            <w:tcBorders>
              <w:top w:val="nil"/>
              <w:left w:val="single" w:sz="4" w:space="0" w:color="auto"/>
              <w:bottom w:val="single" w:sz="4" w:space="0" w:color="auto"/>
              <w:right w:val="single" w:sz="4" w:space="0" w:color="auto"/>
            </w:tcBorders>
            <w:shd w:val="clear" w:color="auto" w:fill="auto"/>
            <w:noWrap/>
            <w:vAlign w:val="bottom"/>
            <w:hideMark/>
          </w:tcPr>
          <w:p w14:paraId="460FF62A"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r>
      <w:tr w:rsidR="00686EC7" w:rsidRPr="000C156A" w14:paraId="3C14D991" w14:textId="77777777" w:rsidTr="00141BAA">
        <w:trPr>
          <w:trHeight w:val="255"/>
        </w:trPr>
        <w:tc>
          <w:tcPr>
            <w:tcW w:w="1098" w:type="pct"/>
            <w:tcBorders>
              <w:top w:val="nil"/>
              <w:left w:val="single" w:sz="4" w:space="0" w:color="auto"/>
              <w:bottom w:val="single" w:sz="4" w:space="0" w:color="auto"/>
              <w:right w:val="nil"/>
            </w:tcBorders>
            <w:shd w:val="clear" w:color="auto" w:fill="auto"/>
            <w:noWrap/>
            <w:vAlign w:val="bottom"/>
            <w:hideMark/>
          </w:tcPr>
          <w:p w14:paraId="1C1F5979" w14:textId="77777777" w:rsidR="00686EC7" w:rsidRPr="000C156A" w:rsidRDefault="00686EC7" w:rsidP="00590601">
            <w:pPr>
              <w:overflowPunct/>
              <w:autoSpaceDE/>
              <w:autoSpaceDN/>
              <w:adjustRightInd/>
              <w:spacing w:before="0"/>
              <w:textAlignment w:val="auto"/>
              <w:rPr>
                <w:rFonts w:cs="Calibri"/>
                <w:b/>
                <w:bCs/>
                <w:sz w:val="20"/>
                <w:lang w:eastAsia="en-GB"/>
              </w:rPr>
            </w:pPr>
            <w:r w:rsidRPr="000C156A">
              <w:rPr>
                <w:rFonts w:cs="Calibri"/>
                <w:b/>
                <w:bCs/>
                <w:sz w:val="20"/>
                <w:lang w:eastAsia="en-GB"/>
              </w:rPr>
              <w:t>2020</w:t>
            </w:r>
            <w:r w:rsidRPr="000C156A">
              <w:rPr>
                <w:rFonts w:cs="Calibri" w:hint="eastAsia"/>
                <w:b/>
                <w:bCs/>
                <w:sz w:val="20"/>
                <w:lang w:eastAsia="en-GB"/>
              </w:rPr>
              <w:t>年</w:t>
            </w:r>
            <w:r w:rsidRPr="000C156A">
              <w:rPr>
                <w:rFonts w:cs="Calibri"/>
                <w:b/>
                <w:bCs/>
                <w:sz w:val="20"/>
                <w:lang w:eastAsia="en-GB"/>
              </w:rPr>
              <w:t>12</w:t>
            </w:r>
            <w:r w:rsidRPr="000C156A">
              <w:rPr>
                <w:rFonts w:cs="Calibri" w:hint="eastAsia"/>
                <w:b/>
                <w:bCs/>
                <w:sz w:val="20"/>
                <w:lang w:eastAsia="en-GB"/>
              </w:rPr>
              <w:t>月</w:t>
            </w:r>
            <w:r w:rsidRPr="000C156A">
              <w:rPr>
                <w:rFonts w:cs="Calibri"/>
                <w:b/>
                <w:bCs/>
                <w:sz w:val="20"/>
                <w:lang w:eastAsia="en-GB"/>
              </w:rPr>
              <w:t>31</w:t>
            </w:r>
            <w:r w:rsidRPr="000C156A">
              <w:rPr>
                <w:rFonts w:cs="Calibri" w:hint="eastAsia"/>
                <w:b/>
                <w:bCs/>
                <w:sz w:val="20"/>
                <w:lang w:eastAsia="en-GB"/>
              </w:rPr>
              <w:t>日总计</w:t>
            </w:r>
          </w:p>
        </w:tc>
        <w:tc>
          <w:tcPr>
            <w:tcW w:w="728" w:type="pct"/>
            <w:tcBorders>
              <w:top w:val="nil"/>
              <w:left w:val="single" w:sz="4" w:space="0" w:color="auto"/>
              <w:bottom w:val="single" w:sz="4" w:space="0" w:color="auto"/>
              <w:right w:val="single" w:sz="4" w:space="0" w:color="auto"/>
            </w:tcBorders>
            <w:shd w:val="clear" w:color="auto" w:fill="auto"/>
            <w:noWrap/>
            <w:vAlign w:val="bottom"/>
            <w:hideMark/>
          </w:tcPr>
          <w:p w14:paraId="79B8458E" w14:textId="77777777" w:rsidR="00686EC7" w:rsidRPr="000C156A" w:rsidRDefault="00686EC7" w:rsidP="00141BAA">
            <w:pPr>
              <w:overflowPunct/>
              <w:autoSpaceDE/>
              <w:autoSpaceDN/>
              <w:adjustRightInd/>
              <w:spacing w:before="0"/>
              <w:jc w:val="right"/>
              <w:textAlignment w:val="auto"/>
              <w:rPr>
                <w:rFonts w:cs="Calibri"/>
                <w:sz w:val="20"/>
                <w:lang w:eastAsia="en-GB"/>
              </w:rPr>
            </w:pPr>
          </w:p>
        </w:tc>
        <w:tc>
          <w:tcPr>
            <w:tcW w:w="496" w:type="pct"/>
            <w:tcBorders>
              <w:top w:val="nil"/>
              <w:left w:val="nil"/>
              <w:bottom w:val="single" w:sz="4" w:space="0" w:color="auto"/>
              <w:right w:val="nil"/>
            </w:tcBorders>
            <w:shd w:val="clear" w:color="auto" w:fill="auto"/>
            <w:noWrap/>
            <w:vAlign w:val="bottom"/>
            <w:hideMark/>
          </w:tcPr>
          <w:p w14:paraId="2D51472E" w14:textId="24501FA8" w:rsidR="00686EC7" w:rsidRPr="000C156A" w:rsidRDefault="00686EC7" w:rsidP="00141BAA">
            <w:pPr>
              <w:jc w:val="right"/>
              <w:rPr>
                <w:rFonts w:cs="Calibri"/>
                <w:b/>
                <w:bCs/>
                <w:sz w:val="20"/>
                <w:u w:val="single"/>
                <w:lang w:eastAsia="en-GB"/>
              </w:rPr>
            </w:pPr>
            <w:r w:rsidRPr="000C156A">
              <w:rPr>
                <w:rFonts w:cs="Calibri"/>
                <w:b/>
                <w:bCs/>
                <w:sz w:val="20"/>
                <w:u w:val="single"/>
                <w:lang w:eastAsia="en-GB"/>
              </w:rPr>
              <w:t>10</w:t>
            </w:r>
            <w:r w:rsidR="001A59E5" w:rsidRPr="000C156A">
              <w:rPr>
                <w:rFonts w:cs="Calibri"/>
                <w:b/>
                <w:bCs/>
                <w:sz w:val="20"/>
                <w:u w:val="single"/>
                <w:lang w:eastAsia="en-GB"/>
              </w:rPr>
              <w:t xml:space="preserve"> </w:t>
            </w:r>
            <w:r w:rsidRPr="000C156A">
              <w:rPr>
                <w:rFonts w:cs="Calibri"/>
                <w:b/>
                <w:bCs/>
                <w:sz w:val="20"/>
                <w:u w:val="single"/>
                <w:lang w:eastAsia="en-GB"/>
              </w:rPr>
              <w:t>659</w:t>
            </w:r>
            <w:r w:rsidR="001A59E5" w:rsidRPr="000C156A">
              <w:rPr>
                <w:rFonts w:cs="Calibri"/>
                <w:b/>
                <w:bCs/>
                <w:sz w:val="20"/>
                <w:u w:val="single"/>
                <w:lang w:eastAsia="en-GB"/>
              </w:rPr>
              <w:t xml:space="preserve"> </w:t>
            </w:r>
            <w:r w:rsidRPr="000C156A">
              <w:rPr>
                <w:rFonts w:cs="Calibri"/>
                <w:b/>
                <w:bCs/>
                <w:sz w:val="20"/>
                <w:u w:val="single"/>
                <w:lang w:eastAsia="en-GB"/>
              </w:rPr>
              <w:t>594.19</w:t>
            </w:r>
          </w:p>
        </w:tc>
        <w:tc>
          <w:tcPr>
            <w:tcW w:w="834" w:type="pct"/>
            <w:tcBorders>
              <w:top w:val="nil"/>
              <w:left w:val="single" w:sz="4" w:space="0" w:color="auto"/>
              <w:bottom w:val="single" w:sz="4" w:space="0" w:color="auto"/>
              <w:right w:val="single" w:sz="4" w:space="0" w:color="auto"/>
            </w:tcBorders>
            <w:shd w:val="clear" w:color="auto" w:fill="auto"/>
            <w:noWrap/>
            <w:vAlign w:val="bottom"/>
            <w:hideMark/>
          </w:tcPr>
          <w:p w14:paraId="22248D73" w14:textId="3698BD53" w:rsidR="00686EC7" w:rsidRPr="000C156A" w:rsidRDefault="00686EC7" w:rsidP="00141BAA">
            <w:pPr>
              <w:jc w:val="right"/>
              <w:rPr>
                <w:rFonts w:cs="Calibri"/>
                <w:b/>
                <w:bCs/>
                <w:sz w:val="20"/>
                <w:u w:val="single"/>
                <w:lang w:eastAsia="en-GB"/>
              </w:rPr>
            </w:pPr>
            <w:r w:rsidRPr="000C156A">
              <w:rPr>
                <w:rFonts w:cs="Calibri"/>
                <w:b/>
                <w:bCs/>
                <w:sz w:val="20"/>
                <w:u w:val="single"/>
                <w:lang w:eastAsia="en-GB"/>
              </w:rPr>
              <w:t>4</w:t>
            </w:r>
            <w:r w:rsidR="001A59E5" w:rsidRPr="000C156A">
              <w:rPr>
                <w:rFonts w:cs="Calibri"/>
                <w:b/>
                <w:bCs/>
                <w:sz w:val="20"/>
                <w:u w:val="single"/>
                <w:lang w:eastAsia="en-GB"/>
              </w:rPr>
              <w:t xml:space="preserve"> </w:t>
            </w:r>
            <w:r w:rsidRPr="000C156A">
              <w:rPr>
                <w:rFonts w:cs="Calibri"/>
                <w:b/>
                <w:bCs/>
                <w:sz w:val="20"/>
                <w:u w:val="single"/>
                <w:lang w:eastAsia="en-GB"/>
              </w:rPr>
              <w:t>550</w:t>
            </w:r>
            <w:r w:rsidR="001A59E5" w:rsidRPr="000C156A">
              <w:rPr>
                <w:rFonts w:cs="Calibri"/>
                <w:b/>
                <w:bCs/>
                <w:sz w:val="20"/>
                <w:u w:val="single"/>
                <w:lang w:eastAsia="en-GB"/>
              </w:rPr>
              <w:t xml:space="preserve"> </w:t>
            </w:r>
            <w:r w:rsidRPr="000C156A">
              <w:rPr>
                <w:rFonts w:cs="Calibri"/>
                <w:b/>
                <w:bCs/>
                <w:sz w:val="20"/>
                <w:u w:val="single"/>
                <w:lang w:eastAsia="en-GB"/>
              </w:rPr>
              <w:t>200.64</w:t>
            </w:r>
          </w:p>
        </w:tc>
        <w:tc>
          <w:tcPr>
            <w:tcW w:w="518" w:type="pct"/>
            <w:tcBorders>
              <w:top w:val="nil"/>
              <w:left w:val="nil"/>
              <w:bottom w:val="single" w:sz="4" w:space="0" w:color="auto"/>
              <w:right w:val="nil"/>
            </w:tcBorders>
            <w:shd w:val="clear" w:color="auto" w:fill="auto"/>
            <w:noWrap/>
            <w:vAlign w:val="bottom"/>
            <w:hideMark/>
          </w:tcPr>
          <w:p w14:paraId="6F53312B" w14:textId="1F605081" w:rsidR="00686EC7" w:rsidRPr="000C156A" w:rsidRDefault="00686EC7" w:rsidP="00141BAA">
            <w:pPr>
              <w:jc w:val="right"/>
              <w:rPr>
                <w:rFonts w:cs="Calibri"/>
                <w:b/>
                <w:bCs/>
                <w:sz w:val="20"/>
                <w:u w:val="single"/>
                <w:lang w:eastAsia="en-GB"/>
              </w:rPr>
            </w:pPr>
            <w:r w:rsidRPr="000C156A">
              <w:rPr>
                <w:rFonts w:cs="Calibri"/>
                <w:b/>
                <w:bCs/>
                <w:sz w:val="20"/>
                <w:u w:val="single"/>
                <w:lang w:eastAsia="en-GB"/>
              </w:rPr>
              <w:t>2</w:t>
            </w:r>
            <w:r w:rsidR="001A59E5" w:rsidRPr="000C156A">
              <w:rPr>
                <w:rFonts w:cs="Calibri"/>
                <w:b/>
                <w:bCs/>
                <w:sz w:val="20"/>
                <w:u w:val="single"/>
                <w:lang w:eastAsia="en-GB"/>
              </w:rPr>
              <w:t xml:space="preserve"> </w:t>
            </w:r>
            <w:r w:rsidRPr="000C156A">
              <w:rPr>
                <w:rFonts w:cs="Calibri"/>
                <w:b/>
                <w:bCs/>
                <w:sz w:val="20"/>
                <w:u w:val="single"/>
                <w:lang w:eastAsia="en-GB"/>
              </w:rPr>
              <w:t>362</w:t>
            </w:r>
            <w:r w:rsidR="001A59E5" w:rsidRPr="000C156A">
              <w:rPr>
                <w:rFonts w:cs="Calibri"/>
                <w:b/>
                <w:bCs/>
                <w:sz w:val="20"/>
                <w:u w:val="single"/>
                <w:lang w:eastAsia="en-GB"/>
              </w:rPr>
              <w:t xml:space="preserve"> </w:t>
            </w:r>
            <w:r w:rsidRPr="000C156A">
              <w:rPr>
                <w:rFonts w:cs="Calibri"/>
                <w:b/>
                <w:bCs/>
                <w:sz w:val="20"/>
                <w:u w:val="single"/>
                <w:lang w:eastAsia="en-GB"/>
              </w:rPr>
              <w:t>507.72</w:t>
            </w:r>
          </w:p>
        </w:tc>
        <w:tc>
          <w:tcPr>
            <w:tcW w:w="427" w:type="pct"/>
            <w:tcBorders>
              <w:top w:val="nil"/>
              <w:left w:val="single" w:sz="4" w:space="0" w:color="auto"/>
              <w:bottom w:val="single" w:sz="4" w:space="0" w:color="auto"/>
              <w:right w:val="single" w:sz="4" w:space="0" w:color="auto"/>
            </w:tcBorders>
            <w:shd w:val="clear" w:color="auto" w:fill="auto"/>
            <w:noWrap/>
            <w:vAlign w:val="bottom"/>
            <w:hideMark/>
          </w:tcPr>
          <w:p w14:paraId="659227E5" w14:textId="77777777" w:rsidR="00686EC7" w:rsidRPr="000C156A" w:rsidRDefault="00686EC7" w:rsidP="00141BAA">
            <w:pPr>
              <w:jc w:val="right"/>
              <w:rPr>
                <w:rFonts w:cs="Calibri"/>
                <w:b/>
                <w:bCs/>
                <w:sz w:val="20"/>
                <w:u w:val="single"/>
                <w:lang w:eastAsia="en-GB"/>
              </w:rPr>
            </w:pPr>
            <w:r w:rsidRPr="000C156A">
              <w:rPr>
                <w:rFonts w:cs="Calibri"/>
                <w:b/>
                <w:bCs/>
                <w:sz w:val="20"/>
                <w:u w:val="single"/>
                <w:lang w:eastAsia="en-GB"/>
              </w:rPr>
              <w:t>0.00</w:t>
            </w:r>
          </w:p>
        </w:tc>
        <w:tc>
          <w:tcPr>
            <w:tcW w:w="427" w:type="pct"/>
            <w:tcBorders>
              <w:top w:val="nil"/>
              <w:left w:val="nil"/>
              <w:bottom w:val="single" w:sz="4" w:space="0" w:color="auto"/>
              <w:right w:val="nil"/>
            </w:tcBorders>
            <w:shd w:val="clear" w:color="auto" w:fill="auto"/>
            <w:noWrap/>
            <w:vAlign w:val="bottom"/>
            <w:hideMark/>
          </w:tcPr>
          <w:p w14:paraId="33115DF9" w14:textId="4BF25E00" w:rsidR="00686EC7" w:rsidRPr="000C156A" w:rsidRDefault="00686EC7" w:rsidP="00141BAA">
            <w:pPr>
              <w:jc w:val="right"/>
              <w:rPr>
                <w:rFonts w:cs="Calibri"/>
                <w:b/>
                <w:bCs/>
                <w:sz w:val="20"/>
                <w:u w:val="single"/>
                <w:lang w:eastAsia="en-GB"/>
              </w:rPr>
            </w:pPr>
            <w:r w:rsidRPr="000C156A">
              <w:rPr>
                <w:rFonts w:cs="Calibri"/>
                <w:b/>
                <w:bCs/>
                <w:sz w:val="20"/>
                <w:u w:val="single"/>
                <w:lang w:eastAsia="en-GB"/>
              </w:rPr>
              <w:t>-200</w:t>
            </w:r>
            <w:r w:rsidR="001A59E5" w:rsidRPr="000C156A">
              <w:rPr>
                <w:rFonts w:cs="Calibri"/>
                <w:b/>
                <w:bCs/>
                <w:sz w:val="20"/>
                <w:u w:val="single"/>
                <w:lang w:eastAsia="en-GB"/>
              </w:rPr>
              <w:t xml:space="preserve"> </w:t>
            </w:r>
            <w:r w:rsidRPr="000C156A">
              <w:rPr>
                <w:rFonts w:cs="Calibri"/>
                <w:b/>
                <w:bCs/>
                <w:sz w:val="20"/>
                <w:u w:val="single"/>
                <w:lang w:eastAsia="en-GB"/>
              </w:rPr>
              <w:t>325.50</w:t>
            </w:r>
          </w:p>
        </w:tc>
        <w:tc>
          <w:tcPr>
            <w:tcW w:w="474" w:type="pct"/>
            <w:tcBorders>
              <w:top w:val="nil"/>
              <w:left w:val="single" w:sz="4" w:space="0" w:color="auto"/>
              <w:bottom w:val="single" w:sz="4" w:space="0" w:color="auto"/>
              <w:right w:val="single" w:sz="4" w:space="0" w:color="auto"/>
            </w:tcBorders>
            <w:shd w:val="clear" w:color="auto" w:fill="auto"/>
            <w:noWrap/>
            <w:vAlign w:val="bottom"/>
            <w:hideMark/>
          </w:tcPr>
          <w:p w14:paraId="3C4EF4DF" w14:textId="582872F7" w:rsidR="00686EC7" w:rsidRPr="000C156A" w:rsidRDefault="00686EC7" w:rsidP="00141BAA">
            <w:pPr>
              <w:jc w:val="right"/>
              <w:rPr>
                <w:rFonts w:cs="Calibri"/>
                <w:b/>
                <w:bCs/>
                <w:sz w:val="20"/>
                <w:u w:val="single"/>
                <w:lang w:eastAsia="en-GB"/>
              </w:rPr>
            </w:pPr>
            <w:r w:rsidRPr="000C156A">
              <w:rPr>
                <w:rFonts w:cs="Calibri"/>
                <w:b/>
                <w:bCs/>
                <w:sz w:val="20"/>
                <w:u w:val="single"/>
                <w:lang w:eastAsia="en-GB"/>
              </w:rPr>
              <w:t>6</w:t>
            </w:r>
            <w:r w:rsidR="001A59E5" w:rsidRPr="000C156A">
              <w:rPr>
                <w:rFonts w:cs="Calibri"/>
                <w:b/>
                <w:bCs/>
                <w:sz w:val="20"/>
                <w:u w:val="single"/>
                <w:lang w:eastAsia="en-GB"/>
              </w:rPr>
              <w:t xml:space="preserve"> </w:t>
            </w:r>
            <w:r w:rsidRPr="000C156A">
              <w:rPr>
                <w:rFonts w:cs="Calibri"/>
                <w:b/>
                <w:bCs/>
                <w:sz w:val="20"/>
                <w:u w:val="single"/>
                <w:lang w:eastAsia="en-GB"/>
              </w:rPr>
              <w:t>712</w:t>
            </w:r>
            <w:r w:rsidR="001A59E5" w:rsidRPr="000C156A">
              <w:rPr>
                <w:rFonts w:cs="Calibri"/>
                <w:b/>
                <w:bCs/>
                <w:sz w:val="20"/>
                <w:u w:val="single"/>
                <w:lang w:eastAsia="en-GB"/>
              </w:rPr>
              <w:t xml:space="preserve"> </w:t>
            </w:r>
            <w:r w:rsidRPr="000C156A">
              <w:rPr>
                <w:rFonts w:cs="Calibri"/>
                <w:b/>
                <w:bCs/>
                <w:sz w:val="20"/>
                <w:u w:val="single"/>
                <w:lang w:eastAsia="en-GB"/>
              </w:rPr>
              <w:t>382.86</w:t>
            </w:r>
          </w:p>
        </w:tc>
      </w:tr>
    </w:tbl>
    <w:p w14:paraId="06EB5F41" w14:textId="77777777" w:rsidR="00686EC7" w:rsidRPr="000C156A" w:rsidRDefault="00686EC7" w:rsidP="00686EC7"/>
    <w:p w14:paraId="0EB1F059" w14:textId="77777777" w:rsidR="00686EC7" w:rsidRPr="000C156A" w:rsidRDefault="00686EC7" w:rsidP="00686EC7">
      <w:r w:rsidRPr="000C156A">
        <w:br w:type="page"/>
      </w:r>
    </w:p>
    <w:p w14:paraId="5B5E2E7E" w14:textId="77777777" w:rsidR="00686EC7" w:rsidRPr="000C156A" w:rsidRDefault="00686EC7" w:rsidP="004D1BDA">
      <w:pPr>
        <w:pStyle w:val="Tabletitle"/>
        <w:spacing w:before="120" w:after="240"/>
        <w:rPr>
          <w:rFonts w:cs="Microsoft YaHei"/>
          <w:sz w:val="28"/>
          <w:szCs w:val="28"/>
          <w:lang w:val="fr-FR" w:eastAsia="zh-CN"/>
        </w:rPr>
      </w:pPr>
      <w:r w:rsidRPr="000C156A">
        <w:rPr>
          <w:rFonts w:cs="Microsoft YaHei" w:hint="eastAsia"/>
          <w:sz w:val="28"/>
          <w:szCs w:val="28"/>
          <w:lang w:val="fr-FR" w:eastAsia="zh-CN"/>
        </w:rPr>
        <w:lastRenderedPageBreak/>
        <w:t>已注销欠款专账中的欠款金额（因未支付而注销的偿款协议）</w:t>
      </w:r>
    </w:p>
    <w:tbl>
      <w:tblPr>
        <w:tblW w:w="5000" w:type="pct"/>
        <w:tblLook w:val="04A0" w:firstRow="1" w:lastRow="0" w:firstColumn="1" w:lastColumn="0" w:noHBand="0" w:noVBand="1"/>
      </w:tblPr>
      <w:tblGrid>
        <w:gridCol w:w="3236"/>
        <w:gridCol w:w="2220"/>
        <w:gridCol w:w="1421"/>
        <w:gridCol w:w="2333"/>
        <w:gridCol w:w="1334"/>
        <w:gridCol w:w="1126"/>
        <w:gridCol w:w="944"/>
        <w:gridCol w:w="1374"/>
      </w:tblGrid>
      <w:tr w:rsidR="00686EC7" w:rsidRPr="000C156A" w14:paraId="04F2DAF8" w14:textId="77777777" w:rsidTr="00141BAA">
        <w:trPr>
          <w:trHeight w:val="255"/>
        </w:trPr>
        <w:tc>
          <w:tcPr>
            <w:tcW w:w="1171" w:type="pct"/>
            <w:tcBorders>
              <w:top w:val="single" w:sz="4" w:space="0" w:color="auto"/>
              <w:left w:val="single" w:sz="4" w:space="0" w:color="auto"/>
              <w:bottom w:val="nil"/>
              <w:right w:val="nil"/>
            </w:tcBorders>
            <w:shd w:val="clear" w:color="auto" w:fill="auto"/>
            <w:noWrap/>
            <w:vAlign w:val="bottom"/>
            <w:hideMark/>
          </w:tcPr>
          <w:p w14:paraId="472A7F66" w14:textId="77777777" w:rsidR="00686EC7" w:rsidRPr="000C156A" w:rsidRDefault="00686EC7" w:rsidP="00141BAA">
            <w:pPr>
              <w:overflowPunct/>
              <w:autoSpaceDE/>
              <w:autoSpaceDN/>
              <w:adjustRightInd/>
              <w:spacing w:before="0"/>
              <w:jc w:val="center"/>
              <w:textAlignment w:val="auto"/>
              <w:rPr>
                <w:rFonts w:cs="Calibri"/>
                <w:b/>
                <w:bCs/>
                <w:color w:val="000000"/>
                <w:sz w:val="20"/>
                <w:lang w:eastAsia="en-GB"/>
              </w:rPr>
            </w:pPr>
            <w:r w:rsidRPr="000C156A">
              <w:rPr>
                <w:rFonts w:eastAsiaTheme="minorEastAsia" w:cs="Calibri"/>
                <w:b/>
                <w:bCs/>
                <w:sz w:val="20"/>
                <w:lang w:eastAsia="en-GB"/>
              </w:rPr>
              <w:t>成员国</w:t>
            </w:r>
            <w:r w:rsidRPr="000C156A">
              <w:rPr>
                <w:rFonts w:eastAsiaTheme="minorEastAsia" w:cs="Calibri"/>
                <w:b/>
                <w:bCs/>
                <w:sz w:val="20"/>
                <w:lang w:eastAsia="en-GB"/>
              </w:rPr>
              <w:t>/</w:t>
            </w:r>
            <w:r w:rsidRPr="000C156A">
              <w:rPr>
                <w:rFonts w:eastAsiaTheme="minorEastAsia" w:cs="Calibri"/>
                <w:b/>
                <w:bCs/>
                <w:sz w:val="20"/>
                <w:lang w:eastAsia="en-GB"/>
              </w:rPr>
              <w:t>部门成员</w:t>
            </w:r>
            <w:r w:rsidRPr="000C156A">
              <w:rPr>
                <w:rFonts w:eastAsiaTheme="minorEastAsia" w:cs="Calibri"/>
                <w:b/>
                <w:bCs/>
                <w:sz w:val="20"/>
                <w:lang w:eastAsia="en-GB"/>
              </w:rPr>
              <w:t>/</w:t>
            </w:r>
          </w:p>
        </w:tc>
        <w:tc>
          <w:tcPr>
            <w:tcW w:w="741" w:type="pct"/>
            <w:tcBorders>
              <w:top w:val="single" w:sz="4" w:space="0" w:color="auto"/>
              <w:left w:val="single" w:sz="4" w:space="0" w:color="auto"/>
              <w:bottom w:val="nil"/>
              <w:right w:val="single" w:sz="4" w:space="0" w:color="auto"/>
            </w:tcBorders>
            <w:shd w:val="clear" w:color="auto" w:fill="auto"/>
            <w:noWrap/>
            <w:vAlign w:val="bottom"/>
            <w:hideMark/>
          </w:tcPr>
          <w:p w14:paraId="44664DE9" w14:textId="77777777" w:rsidR="00686EC7" w:rsidRPr="000C156A" w:rsidRDefault="00686EC7" w:rsidP="00141BAA">
            <w:pPr>
              <w:overflowPunct/>
              <w:autoSpaceDE/>
              <w:autoSpaceDN/>
              <w:adjustRightInd/>
              <w:spacing w:before="0"/>
              <w:jc w:val="center"/>
              <w:textAlignment w:val="auto"/>
              <w:rPr>
                <w:rFonts w:cs="Calibri"/>
                <w:b/>
                <w:bCs/>
                <w:color w:val="000000"/>
                <w:sz w:val="20"/>
                <w:lang w:eastAsia="zh-CN"/>
              </w:rPr>
            </w:pPr>
            <w:r w:rsidRPr="000C156A">
              <w:rPr>
                <w:rFonts w:eastAsiaTheme="minorEastAsia" w:cs="Calibri"/>
                <w:b/>
                <w:bCs/>
                <w:sz w:val="20"/>
                <w:lang w:eastAsia="zh-CN"/>
              </w:rPr>
              <w:t>全权代表大会（</w:t>
            </w:r>
            <w:r w:rsidRPr="000C156A">
              <w:rPr>
                <w:rFonts w:eastAsiaTheme="minorEastAsia" w:cs="Calibri"/>
                <w:b/>
                <w:bCs/>
                <w:sz w:val="20"/>
                <w:lang w:eastAsia="zh-CN"/>
              </w:rPr>
              <w:t>PP</w:t>
            </w:r>
            <w:r w:rsidRPr="000C156A">
              <w:rPr>
                <w:rFonts w:eastAsiaTheme="minorEastAsia" w:cs="Calibri"/>
                <w:b/>
                <w:bCs/>
                <w:sz w:val="20"/>
                <w:lang w:eastAsia="zh-CN"/>
              </w:rPr>
              <w:t>）</w:t>
            </w:r>
          </w:p>
        </w:tc>
        <w:tc>
          <w:tcPr>
            <w:tcW w:w="508" w:type="pct"/>
            <w:tcBorders>
              <w:top w:val="single" w:sz="4" w:space="0" w:color="auto"/>
              <w:left w:val="nil"/>
              <w:bottom w:val="nil"/>
              <w:right w:val="nil"/>
            </w:tcBorders>
            <w:shd w:val="clear" w:color="auto" w:fill="auto"/>
            <w:noWrap/>
            <w:vAlign w:val="bottom"/>
            <w:hideMark/>
          </w:tcPr>
          <w:p w14:paraId="23C7C607" w14:textId="77777777" w:rsidR="00686EC7" w:rsidRPr="000C156A" w:rsidRDefault="00686EC7" w:rsidP="00141BAA">
            <w:pPr>
              <w:overflowPunct/>
              <w:autoSpaceDE/>
              <w:autoSpaceDN/>
              <w:adjustRightInd/>
              <w:spacing w:before="0"/>
              <w:jc w:val="center"/>
              <w:textAlignment w:val="auto"/>
              <w:rPr>
                <w:rFonts w:cs="Calibri"/>
                <w:b/>
                <w:bCs/>
                <w:sz w:val="20"/>
                <w:lang w:eastAsia="en-GB"/>
              </w:rPr>
            </w:pPr>
            <w:r w:rsidRPr="000C156A">
              <w:rPr>
                <w:rFonts w:eastAsiaTheme="minorEastAsia" w:cs="Calibri"/>
                <w:b/>
                <w:bCs/>
                <w:sz w:val="20"/>
                <w:lang w:eastAsia="en-GB"/>
              </w:rPr>
              <w:t>转至</w:t>
            </w:r>
            <w:r w:rsidRPr="000C156A">
              <w:rPr>
                <w:rFonts w:eastAsiaTheme="minorEastAsia" w:cs="Calibri" w:hint="eastAsia"/>
                <w:b/>
                <w:bCs/>
                <w:sz w:val="20"/>
                <w:lang w:eastAsia="en-GB"/>
              </w:rPr>
              <w:t>注销</w:t>
            </w:r>
            <w:r w:rsidRPr="000C156A">
              <w:rPr>
                <w:rFonts w:eastAsiaTheme="minorEastAsia" w:cs="Calibri"/>
                <w:b/>
                <w:bCs/>
                <w:sz w:val="20"/>
                <w:lang w:eastAsia="en-GB"/>
              </w:rPr>
              <w:t>欠款</w:t>
            </w:r>
          </w:p>
        </w:tc>
        <w:tc>
          <w:tcPr>
            <w:tcW w:w="834" w:type="pct"/>
            <w:tcBorders>
              <w:top w:val="single" w:sz="4" w:space="0" w:color="auto"/>
              <w:left w:val="single" w:sz="4" w:space="0" w:color="auto"/>
              <w:bottom w:val="nil"/>
              <w:right w:val="single" w:sz="4" w:space="0" w:color="auto"/>
            </w:tcBorders>
            <w:shd w:val="clear" w:color="auto" w:fill="auto"/>
            <w:noWrap/>
            <w:vAlign w:val="bottom"/>
            <w:hideMark/>
          </w:tcPr>
          <w:p w14:paraId="4204C0FA" w14:textId="77777777" w:rsidR="00686EC7" w:rsidRPr="000C156A" w:rsidRDefault="00686EC7" w:rsidP="00141BAA">
            <w:pPr>
              <w:overflowPunct/>
              <w:autoSpaceDE/>
              <w:autoSpaceDN/>
              <w:adjustRightInd/>
              <w:spacing w:before="0"/>
              <w:jc w:val="center"/>
              <w:textAlignment w:val="auto"/>
              <w:rPr>
                <w:rFonts w:cs="Calibri"/>
                <w:b/>
                <w:bCs/>
                <w:color w:val="000000"/>
                <w:sz w:val="20"/>
                <w:lang w:eastAsia="en-GB"/>
              </w:rPr>
            </w:pPr>
            <w:r w:rsidRPr="000C156A">
              <w:rPr>
                <w:rFonts w:eastAsiaTheme="minorEastAsia" w:cs="Calibri"/>
                <w:b/>
                <w:bCs/>
                <w:sz w:val="20"/>
                <w:lang w:eastAsia="en-GB"/>
              </w:rPr>
              <w:t>截至</w:t>
            </w:r>
            <w:r w:rsidRPr="000C156A">
              <w:rPr>
                <w:rFonts w:eastAsiaTheme="minorEastAsia" w:cs="Calibri"/>
                <w:b/>
                <w:bCs/>
                <w:sz w:val="20"/>
                <w:lang w:eastAsia="en-GB"/>
              </w:rPr>
              <w:t>2019</w:t>
            </w:r>
            <w:r w:rsidRPr="000C156A">
              <w:rPr>
                <w:rFonts w:eastAsiaTheme="minorEastAsia" w:cs="Calibri"/>
                <w:b/>
                <w:bCs/>
                <w:sz w:val="20"/>
                <w:lang w:eastAsia="en-GB"/>
              </w:rPr>
              <w:t>年</w:t>
            </w:r>
            <w:r w:rsidRPr="000C156A">
              <w:rPr>
                <w:rFonts w:eastAsiaTheme="minorEastAsia" w:cs="Calibri"/>
                <w:b/>
                <w:bCs/>
                <w:sz w:val="20"/>
                <w:lang w:eastAsia="en-GB"/>
              </w:rPr>
              <w:t>12</w:t>
            </w:r>
            <w:r w:rsidRPr="000C156A">
              <w:rPr>
                <w:rFonts w:eastAsiaTheme="minorEastAsia" w:cs="Calibri"/>
                <w:b/>
                <w:bCs/>
                <w:sz w:val="20"/>
                <w:lang w:eastAsia="en-GB"/>
              </w:rPr>
              <w:t>月</w:t>
            </w:r>
            <w:r w:rsidRPr="000C156A">
              <w:rPr>
                <w:rFonts w:eastAsiaTheme="minorEastAsia" w:cs="Calibri"/>
                <w:b/>
                <w:bCs/>
                <w:sz w:val="20"/>
                <w:lang w:eastAsia="en-GB"/>
              </w:rPr>
              <w:t>31</w:t>
            </w:r>
            <w:r w:rsidRPr="000C156A">
              <w:rPr>
                <w:rFonts w:eastAsiaTheme="minorEastAsia" w:cs="Calibri"/>
                <w:b/>
                <w:bCs/>
                <w:sz w:val="20"/>
                <w:lang w:eastAsia="en-GB"/>
              </w:rPr>
              <w:t>日</w:t>
            </w:r>
          </w:p>
        </w:tc>
        <w:tc>
          <w:tcPr>
            <w:tcW w:w="479" w:type="pct"/>
            <w:tcBorders>
              <w:top w:val="single" w:sz="4" w:space="0" w:color="auto"/>
              <w:left w:val="nil"/>
              <w:bottom w:val="nil"/>
              <w:right w:val="nil"/>
            </w:tcBorders>
            <w:shd w:val="clear" w:color="auto" w:fill="auto"/>
            <w:vAlign w:val="bottom"/>
            <w:hideMark/>
          </w:tcPr>
          <w:p w14:paraId="4B6C06C5" w14:textId="77777777" w:rsidR="00686EC7" w:rsidRPr="000C156A" w:rsidRDefault="00686EC7" w:rsidP="00141BAA">
            <w:pPr>
              <w:overflowPunct/>
              <w:autoSpaceDE/>
              <w:autoSpaceDN/>
              <w:adjustRightInd/>
              <w:spacing w:before="0"/>
              <w:jc w:val="center"/>
              <w:textAlignment w:val="auto"/>
              <w:rPr>
                <w:rFonts w:cs="Calibri"/>
                <w:b/>
                <w:bCs/>
                <w:sz w:val="20"/>
                <w:lang w:eastAsia="en-GB"/>
              </w:rPr>
            </w:pPr>
            <w:r w:rsidRPr="000C156A">
              <w:rPr>
                <w:rFonts w:eastAsiaTheme="minorEastAsia" w:cs="Calibri"/>
                <w:b/>
                <w:bCs/>
                <w:sz w:val="20"/>
                <w:lang w:eastAsia="en-GB"/>
              </w:rPr>
              <w:t>2020</w:t>
            </w:r>
            <w:r w:rsidRPr="000C156A">
              <w:rPr>
                <w:rFonts w:eastAsiaTheme="minorEastAsia" w:cs="Calibri"/>
                <w:b/>
                <w:bCs/>
                <w:sz w:val="20"/>
                <w:lang w:eastAsia="en-GB"/>
              </w:rPr>
              <w:t>年</w:t>
            </w:r>
          </w:p>
        </w:tc>
        <w:tc>
          <w:tcPr>
            <w:tcW w:w="392" w:type="pct"/>
            <w:tcBorders>
              <w:top w:val="single" w:sz="4" w:space="0" w:color="auto"/>
              <w:left w:val="single" w:sz="4" w:space="0" w:color="auto"/>
              <w:bottom w:val="nil"/>
              <w:right w:val="single" w:sz="4" w:space="0" w:color="auto"/>
            </w:tcBorders>
            <w:shd w:val="clear" w:color="auto" w:fill="auto"/>
            <w:noWrap/>
            <w:vAlign w:val="bottom"/>
            <w:hideMark/>
          </w:tcPr>
          <w:p w14:paraId="0A4C8624" w14:textId="77777777" w:rsidR="00686EC7" w:rsidRPr="000C156A" w:rsidRDefault="00686EC7" w:rsidP="00141BAA">
            <w:pPr>
              <w:overflowPunct/>
              <w:autoSpaceDE/>
              <w:autoSpaceDN/>
              <w:adjustRightInd/>
              <w:spacing w:before="0"/>
              <w:jc w:val="center"/>
              <w:textAlignment w:val="auto"/>
              <w:rPr>
                <w:rFonts w:cs="Calibri"/>
                <w:b/>
                <w:bCs/>
                <w:sz w:val="20"/>
                <w:lang w:eastAsia="en-GB"/>
              </w:rPr>
            </w:pPr>
            <w:r w:rsidRPr="000C156A">
              <w:rPr>
                <w:rFonts w:eastAsiaTheme="minorEastAsia" w:cs="Calibri"/>
                <w:b/>
                <w:bCs/>
                <w:sz w:val="20"/>
                <w:lang w:eastAsia="en-GB"/>
              </w:rPr>
              <w:t>2020</w:t>
            </w:r>
            <w:r w:rsidRPr="000C156A">
              <w:rPr>
                <w:rFonts w:eastAsiaTheme="minorEastAsia" w:cs="Calibri"/>
                <w:b/>
                <w:bCs/>
                <w:sz w:val="20"/>
                <w:lang w:eastAsia="en-GB"/>
              </w:rPr>
              <w:t>年</w:t>
            </w:r>
          </w:p>
        </w:tc>
        <w:tc>
          <w:tcPr>
            <w:tcW w:w="402" w:type="pct"/>
            <w:tcBorders>
              <w:top w:val="single" w:sz="4" w:space="0" w:color="auto"/>
              <w:left w:val="nil"/>
              <w:bottom w:val="nil"/>
              <w:right w:val="single" w:sz="4" w:space="0" w:color="auto"/>
            </w:tcBorders>
            <w:shd w:val="clear" w:color="auto" w:fill="auto"/>
            <w:noWrap/>
            <w:vAlign w:val="bottom"/>
            <w:hideMark/>
          </w:tcPr>
          <w:p w14:paraId="34C2CD00" w14:textId="77777777" w:rsidR="00686EC7" w:rsidRPr="000C156A" w:rsidRDefault="00686EC7" w:rsidP="00141BAA">
            <w:pPr>
              <w:overflowPunct/>
              <w:autoSpaceDE/>
              <w:autoSpaceDN/>
              <w:adjustRightInd/>
              <w:spacing w:before="0"/>
              <w:jc w:val="center"/>
              <w:textAlignment w:val="auto"/>
              <w:rPr>
                <w:rFonts w:cs="Calibri"/>
                <w:b/>
                <w:bCs/>
                <w:sz w:val="20"/>
                <w:lang w:eastAsia="en-GB"/>
              </w:rPr>
            </w:pPr>
            <w:r w:rsidRPr="000C156A">
              <w:rPr>
                <w:rFonts w:eastAsiaTheme="minorEastAsia" w:cs="Calibri"/>
                <w:b/>
                <w:bCs/>
                <w:sz w:val="20"/>
                <w:lang w:eastAsia="en-GB"/>
              </w:rPr>
              <w:t>2020</w:t>
            </w:r>
            <w:r w:rsidRPr="000C156A">
              <w:rPr>
                <w:rFonts w:eastAsiaTheme="minorEastAsia" w:cs="Calibri"/>
                <w:b/>
                <w:bCs/>
                <w:sz w:val="20"/>
                <w:lang w:eastAsia="en-GB"/>
              </w:rPr>
              <w:t>年</w:t>
            </w:r>
          </w:p>
        </w:tc>
        <w:tc>
          <w:tcPr>
            <w:tcW w:w="474" w:type="pct"/>
            <w:tcBorders>
              <w:top w:val="single" w:sz="4" w:space="0" w:color="auto"/>
              <w:left w:val="nil"/>
              <w:bottom w:val="nil"/>
              <w:right w:val="single" w:sz="4" w:space="0" w:color="auto"/>
            </w:tcBorders>
            <w:shd w:val="clear" w:color="auto" w:fill="auto"/>
            <w:noWrap/>
            <w:vAlign w:val="bottom"/>
            <w:hideMark/>
          </w:tcPr>
          <w:p w14:paraId="303F3C23" w14:textId="77777777" w:rsidR="00686EC7" w:rsidRPr="000C156A" w:rsidRDefault="00686EC7" w:rsidP="00141BAA">
            <w:pPr>
              <w:overflowPunct/>
              <w:autoSpaceDE/>
              <w:autoSpaceDN/>
              <w:adjustRightInd/>
              <w:spacing w:before="0"/>
              <w:jc w:val="center"/>
              <w:textAlignment w:val="auto"/>
              <w:rPr>
                <w:rFonts w:cs="Calibri"/>
                <w:b/>
                <w:bCs/>
                <w:sz w:val="20"/>
                <w:lang w:eastAsia="en-GB"/>
              </w:rPr>
            </w:pPr>
            <w:r w:rsidRPr="000C156A">
              <w:rPr>
                <w:rFonts w:eastAsiaTheme="minorEastAsia" w:cs="Calibri"/>
                <w:b/>
                <w:bCs/>
                <w:sz w:val="20"/>
                <w:lang w:eastAsia="en-GB"/>
              </w:rPr>
              <w:t>截至</w:t>
            </w:r>
            <w:r w:rsidRPr="000C156A">
              <w:rPr>
                <w:rFonts w:eastAsiaTheme="minorEastAsia" w:cs="Calibri"/>
                <w:b/>
                <w:bCs/>
                <w:sz w:val="20"/>
                <w:lang w:eastAsia="en-GB"/>
              </w:rPr>
              <w:t>2020</w:t>
            </w:r>
            <w:r w:rsidRPr="000C156A">
              <w:rPr>
                <w:rFonts w:eastAsiaTheme="minorEastAsia" w:cs="Calibri"/>
                <w:b/>
                <w:bCs/>
                <w:sz w:val="20"/>
                <w:lang w:eastAsia="en-GB"/>
              </w:rPr>
              <w:t>年</w:t>
            </w:r>
          </w:p>
        </w:tc>
      </w:tr>
      <w:tr w:rsidR="00686EC7" w:rsidRPr="000C156A" w14:paraId="14C19519" w14:textId="77777777" w:rsidTr="00141BAA">
        <w:trPr>
          <w:trHeight w:val="255"/>
        </w:trPr>
        <w:tc>
          <w:tcPr>
            <w:tcW w:w="1171" w:type="pct"/>
            <w:tcBorders>
              <w:top w:val="nil"/>
              <w:left w:val="single" w:sz="4" w:space="0" w:color="auto"/>
              <w:bottom w:val="nil"/>
              <w:right w:val="nil"/>
            </w:tcBorders>
            <w:shd w:val="clear" w:color="auto" w:fill="auto"/>
            <w:noWrap/>
            <w:vAlign w:val="bottom"/>
            <w:hideMark/>
          </w:tcPr>
          <w:p w14:paraId="73C6FDCF" w14:textId="77777777" w:rsidR="00686EC7" w:rsidRPr="000C156A" w:rsidRDefault="00686EC7" w:rsidP="00141BAA">
            <w:pPr>
              <w:overflowPunct/>
              <w:autoSpaceDE/>
              <w:autoSpaceDN/>
              <w:adjustRightInd/>
              <w:spacing w:before="0"/>
              <w:jc w:val="center"/>
              <w:textAlignment w:val="auto"/>
              <w:rPr>
                <w:rFonts w:cs="Calibri"/>
                <w:b/>
                <w:bCs/>
                <w:color w:val="000000"/>
                <w:sz w:val="20"/>
                <w:lang w:eastAsia="en-GB"/>
              </w:rPr>
            </w:pPr>
            <w:r w:rsidRPr="000C156A">
              <w:rPr>
                <w:rFonts w:eastAsiaTheme="minorEastAsia" w:cs="Calibri"/>
                <w:b/>
                <w:bCs/>
                <w:sz w:val="20"/>
                <w:lang w:eastAsia="en-GB"/>
              </w:rPr>
              <w:t>公司</w:t>
            </w:r>
          </w:p>
        </w:tc>
        <w:tc>
          <w:tcPr>
            <w:tcW w:w="728" w:type="pct"/>
            <w:tcBorders>
              <w:top w:val="nil"/>
              <w:left w:val="single" w:sz="4" w:space="0" w:color="auto"/>
              <w:bottom w:val="nil"/>
              <w:right w:val="single" w:sz="4" w:space="0" w:color="auto"/>
            </w:tcBorders>
            <w:shd w:val="clear" w:color="auto" w:fill="auto"/>
            <w:noWrap/>
            <w:vAlign w:val="bottom"/>
            <w:hideMark/>
          </w:tcPr>
          <w:p w14:paraId="3403E45D" w14:textId="5782CD06" w:rsidR="00686EC7" w:rsidRPr="000C156A" w:rsidRDefault="00686EC7" w:rsidP="00141BAA">
            <w:pPr>
              <w:overflowPunct/>
              <w:autoSpaceDE/>
              <w:autoSpaceDN/>
              <w:adjustRightInd/>
              <w:spacing w:before="0"/>
              <w:jc w:val="center"/>
              <w:textAlignment w:val="auto"/>
              <w:rPr>
                <w:rFonts w:cs="Calibri"/>
                <w:b/>
                <w:bCs/>
                <w:color w:val="000000"/>
                <w:sz w:val="20"/>
                <w:lang w:eastAsia="en-GB"/>
              </w:rPr>
            </w:pPr>
            <w:r w:rsidRPr="000C156A">
              <w:rPr>
                <w:rFonts w:eastAsiaTheme="minorEastAsia" w:cs="Calibri"/>
                <w:b/>
                <w:bCs/>
                <w:sz w:val="20"/>
                <w:lang w:eastAsia="zh-CN"/>
              </w:rPr>
              <w:t>决议</w:t>
            </w:r>
          </w:p>
        </w:tc>
        <w:tc>
          <w:tcPr>
            <w:tcW w:w="508" w:type="pct"/>
            <w:tcBorders>
              <w:top w:val="nil"/>
              <w:left w:val="nil"/>
              <w:bottom w:val="nil"/>
              <w:right w:val="nil"/>
            </w:tcBorders>
            <w:shd w:val="clear" w:color="auto" w:fill="auto"/>
            <w:noWrap/>
            <w:vAlign w:val="bottom"/>
            <w:hideMark/>
          </w:tcPr>
          <w:p w14:paraId="145C887F" w14:textId="77777777" w:rsidR="00686EC7" w:rsidRPr="000C156A" w:rsidRDefault="00686EC7" w:rsidP="00141BAA">
            <w:pPr>
              <w:overflowPunct/>
              <w:autoSpaceDE/>
              <w:autoSpaceDN/>
              <w:adjustRightInd/>
              <w:spacing w:before="0"/>
              <w:jc w:val="center"/>
              <w:textAlignment w:val="auto"/>
              <w:rPr>
                <w:rFonts w:cs="Calibri"/>
                <w:b/>
                <w:bCs/>
                <w:sz w:val="20"/>
                <w:lang w:eastAsia="en-GB"/>
              </w:rPr>
            </w:pPr>
            <w:r w:rsidRPr="000C156A">
              <w:rPr>
                <w:rFonts w:eastAsiaTheme="minorEastAsia" w:cs="Calibri"/>
                <w:b/>
                <w:bCs/>
                <w:sz w:val="20"/>
                <w:lang w:eastAsia="en-GB"/>
              </w:rPr>
              <w:t>专账的金额</w:t>
            </w:r>
          </w:p>
        </w:tc>
        <w:tc>
          <w:tcPr>
            <w:tcW w:w="834" w:type="pct"/>
            <w:tcBorders>
              <w:top w:val="nil"/>
              <w:left w:val="single" w:sz="4" w:space="0" w:color="auto"/>
              <w:bottom w:val="nil"/>
              <w:right w:val="single" w:sz="4" w:space="0" w:color="auto"/>
            </w:tcBorders>
            <w:shd w:val="clear" w:color="auto" w:fill="auto"/>
            <w:noWrap/>
            <w:vAlign w:val="bottom"/>
            <w:hideMark/>
          </w:tcPr>
          <w:p w14:paraId="3CED3944" w14:textId="77777777" w:rsidR="00686EC7" w:rsidRPr="000C156A" w:rsidRDefault="00686EC7" w:rsidP="00141BAA">
            <w:pPr>
              <w:overflowPunct/>
              <w:autoSpaceDE/>
              <w:autoSpaceDN/>
              <w:adjustRightInd/>
              <w:spacing w:before="0"/>
              <w:jc w:val="center"/>
              <w:textAlignment w:val="auto"/>
              <w:rPr>
                <w:rFonts w:cs="Calibri"/>
                <w:b/>
                <w:bCs/>
                <w:color w:val="000000"/>
                <w:sz w:val="20"/>
                <w:lang w:eastAsia="en-GB"/>
              </w:rPr>
            </w:pPr>
            <w:r w:rsidRPr="000C156A">
              <w:rPr>
                <w:rFonts w:eastAsiaTheme="minorEastAsia" w:cs="Calibri"/>
                <w:b/>
                <w:bCs/>
                <w:color w:val="000000"/>
                <w:sz w:val="20"/>
                <w:lang w:eastAsia="en-GB"/>
              </w:rPr>
              <w:t>余额</w:t>
            </w:r>
          </w:p>
        </w:tc>
        <w:tc>
          <w:tcPr>
            <w:tcW w:w="496" w:type="pct"/>
            <w:tcBorders>
              <w:top w:val="nil"/>
              <w:left w:val="nil"/>
              <w:bottom w:val="nil"/>
              <w:right w:val="nil"/>
            </w:tcBorders>
            <w:shd w:val="clear" w:color="auto" w:fill="auto"/>
            <w:noWrap/>
            <w:vAlign w:val="bottom"/>
            <w:hideMark/>
          </w:tcPr>
          <w:p w14:paraId="73BACA54" w14:textId="77777777" w:rsidR="00686EC7" w:rsidRPr="000C156A" w:rsidRDefault="00686EC7" w:rsidP="00141BAA">
            <w:pPr>
              <w:overflowPunct/>
              <w:autoSpaceDE/>
              <w:autoSpaceDN/>
              <w:adjustRightInd/>
              <w:spacing w:before="0"/>
              <w:jc w:val="center"/>
              <w:textAlignment w:val="auto"/>
              <w:rPr>
                <w:rFonts w:cs="Calibri"/>
                <w:b/>
                <w:bCs/>
                <w:sz w:val="20"/>
                <w:lang w:eastAsia="en-GB"/>
              </w:rPr>
            </w:pPr>
            <w:r w:rsidRPr="000C156A">
              <w:rPr>
                <w:rFonts w:eastAsiaTheme="minorEastAsia" w:cs="Calibri"/>
                <w:b/>
                <w:bCs/>
                <w:sz w:val="20"/>
                <w:lang w:eastAsia="en-GB"/>
              </w:rPr>
              <w:t>变动</w:t>
            </w:r>
          </w:p>
        </w:tc>
        <w:tc>
          <w:tcPr>
            <w:tcW w:w="405" w:type="pct"/>
            <w:tcBorders>
              <w:top w:val="nil"/>
              <w:left w:val="single" w:sz="4" w:space="0" w:color="auto"/>
              <w:bottom w:val="nil"/>
              <w:right w:val="single" w:sz="4" w:space="0" w:color="auto"/>
            </w:tcBorders>
            <w:shd w:val="clear" w:color="auto" w:fill="auto"/>
            <w:noWrap/>
            <w:vAlign w:val="bottom"/>
            <w:hideMark/>
          </w:tcPr>
          <w:p w14:paraId="5FF0F68B" w14:textId="77777777" w:rsidR="00686EC7" w:rsidRPr="000C156A" w:rsidRDefault="00686EC7" w:rsidP="00141BAA">
            <w:pPr>
              <w:overflowPunct/>
              <w:autoSpaceDE/>
              <w:autoSpaceDN/>
              <w:adjustRightInd/>
              <w:spacing w:before="0"/>
              <w:jc w:val="center"/>
              <w:textAlignment w:val="auto"/>
              <w:rPr>
                <w:rFonts w:cs="Calibri"/>
                <w:b/>
                <w:bCs/>
                <w:sz w:val="20"/>
                <w:lang w:eastAsia="en-GB"/>
              </w:rPr>
            </w:pPr>
            <w:r w:rsidRPr="000C156A">
              <w:rPr>
                <w:rFonts w:eastAsiaTheme="minorEastAsia" w:cs="Calibri"/>
                <w:b/>
                <w:bCs/>
                <w:sz w:val="20"/>
                <w:lang w:eastAsia="en-GB"/>
              </w:rPr>
              <w:t>利息</w:t>
            </w:r>
          </w:p>
        </w:tc>
        <w:tc>
          <w:tcPr>
            <w:tcW w:w="363" w:type="pct"/>
            <w:tcBorders>
              <w:top w:val="nil"/>
              <w:left w:val="nil"/>
              <w:bottom w:val="nil"/>
              <w:right w:val="single" w:sz="4" w:space="0" w:color="auto"/>
            </w:tcBorders>
            <w:shd w:val="clear" w:color="auto" w:fill="auto"/>
            <w:noWrap/>
            <w:vAlign w:val="bottom"/>
            <w:hideMark/>
          </w:tcPr>
          <w:p w14:paraId="3A2F206B" w14:textId="77777777" w:rsidR="00686EC7" w:rsidRPr="000C156A" w:rsidRDefault="00686EC7" w:rsidP="00141BAA">
            <w:pPr>
              <w:overflowPunct/>
              <w:autoSpaceDE/>
              <w:autoSpaceDN/>
              <w:adjustRightInd/>
              <w:spacing w:before="0"/>
              <w:jc w:val="center"/>
              <w:textAlignment w:val="auto"/>
              <w:rPr>
                <w:rFonts w:cs="Calibri"/>
                <w:b/>
                <w:bCs/>
                <w:sz w:val="20"/>
                <w:lang w:eastAsia="en-GB"/>
              </w:rPr>
            </w:pPr>
            <w:r w:rsidRPr="000C156A">
              <w:rPr>
                <w:rFonts w:eastAsiaTheme="minorEastAsia" w:cs="Calibri"/>
                <w:b/>
                <w:bCs/>
                <w:sz w:val="20"/>
                <w:lang w:eastAsia="en-GB"/>
              </w:rPr>
              <w:t>支付</w:t>
            </w:r>
          </w:p>
        </w:tc>
        <w:tc>
          <w:tcPr>
            <w:tcW w:w="496" w:type="pct"/>
            <w:tcBorders>
              <w:top w:val="nil"/>
              <w:left w:val="nil"/>
              <w:bottom w:val="nil"/>
              <w:right w:val="single" w:sz="4" w:space="0" w:color="auto"/>
            </w:tcBorders>
            <w:shd w:val="clear" w:color="auto" w:fill="auto"/>
            <w:noWrap/>
            <w:vAlign w:val="bottom"/>
            <w:hideMark/>
          </w:tcPr>
          <w:p w14:paraId="3CFB6E41" w14:textId="77777777" w:rsidR="00686EC7" w:rsidRPr="000C156A" w:rsidRDefault="00686EC7" w:rsidP="00141BAA">
            <w:pPr>
              <w:overflowPunct/>
              <w:autoSpaceDE/>
              <w:autoSpaceDN/>
              <w:adjustRightInd/>
              <w:spacing w:before="0"/>
              <w:jc w:val="center"/>
              <w:textAlignment w:val="auto"/>
              <w:rPr>
                <w:rFonts w:cs="Calibri"/>
                <w:b/>
                <w:bCs/>
                <w:color w:val="000000"/>
                <w:sz w:val="20"/>
                <w:lang w:eastAsia="en-GB"/>
              </w:rPr>
            </w:pPr>
            <w:r w:rsidRPr="000C156A">
              <w:rPr>
                <w:rFonts w:eastAsiaTheme="minorEastAsia" w:cs="Calibri"/>
                <w:b/>
                <w:bCs/>
                <w:sz w:val="20"/>
                <w:lang w:eastAsia="en-GB"/>
              </w:rPr>
              <w:t>12</w:t>
            </w:r>
            <w:r w:rsidRPr="000C156A">
              <w:rPr>
                <w:rFonts w:eastAsiaTheme="minorEastAsia" w:cs="Calibri"/>
                <w:b/>
                <w:bCs/>
                <w:sz w:val="20"/>
                <w:lang w:eastAsia="en-GB"/>
              </w:rPr>
              <w:t>月</w:t>
            </w:r>
            <w:r w:rsidRPr="000C156A">
              <w:rPr>
                <w:rFonts w:eastAsiaTheme="minorEastAsia" w:cs="Calibri"/>
                <w:b/>
                <w:bCs/>
                <w:sz w:val="20"/>
                <w:lang w:eastAsia="en-GB"/>
              </w:rPr>
              <w:t>31</w:t>
            </w:r>
            <w:r w:rsidRPr="000C156A">
              <w:rPr>
                <w:rFonts w:eastAsiaTheme="minorEastAsia" w:cs="Calibri"/>
                <w:b/>
                <w:bCs/>
                <w:sz w:val="20"/>
                <w:lang w:eastAsia="en-GB"/>
              </w:rPr>
              <w:t>日</w:t>
            </w:r>
          </w:p>
        </w:tc>
      </w:tr>
      <w:tr w:rsidR="00686EC7" w:rsidRPr="000C156A" w14:paraId="05327EA1" w14:textId="77777777" w:rsidTr="00141BAA">
        <w:trPr>
          <w:trHeight w:val="255"/>
        </w:trPr>
        <w:tc>
          <w:tcPr>
            <w:tcW w:w="1171" w:type="pct"/>
            <w:tcBorders>
              <w:top w:val="nil"/>
              <w:left w:val="single" w:sz="4" w:space="0" w:color="auto"/>
              <w:bottom w:val="single" w:sz="4" w:space="0" w:color="auto"/>
              <w:right w:val="nil"/>
            </w:tcBorders>
            <w:shd w:val="clear" w:color="auto" w:fill="auto"/>
            <w:noWrap/>
            <w:vAlign w:val="bottom"/>
            <w:hideMark/>
          </w:tcPr>
          <w:p w14:paraId="61819F9F" w14:textId="77777777" w:rsidR="00686EC7" w:rsidRPr="000C156A" w:rsidRDefault="00686EC7" w:rsidP="00141BAA">
            <w:pPr>
              <w:overflowPunct/>
              <w:autoSpaceDE/>
              <w:autoSpaceDN/>
              <w:adjustRightInd/>
              <w:spacing w:before="0"/>
              <w:textAlignment w:val="auto"/>
              <w:rPr>
                <w:rFonts w:ascii="Times New Roman" w:hAnsi="Times New Roman"/>
                <w:sz w:val="20"/>
                <w:lang w:eastAsia="en-GB"/>
              </w:rPr>
            </w:pPr>
            <w:r w:rsidRPr="000C156A">
              <w:rPr>
                <w:rFonts w:eastAsiaTheme="minorEastAsia" w:cs="Calibri"/>
                <w:b/>
                <w:bCs/>
                <w:sz w:val="20"/>
                <w:lang w:eastAsia="en-GB"/>
              </w:rPr>
              <w:t> </w:t>
            </w:r>
          </w:p>
        </w:tc>
        <w:tc>
          <w:tcPr>
            <w:tcW w:w="728" w:type="pct"/>
            <w:tcBorders>
              <w:top w:val="nil"/>
              <w:left w:val="single" w:sz="4" w:space="0" w:color="auto"/>
              <w:bottom w:val="single" w:sz="4" w:space="0" w:color="auto"/>
              <w:right w:val="single" w:sz="4" w:space="0" w:color="auto"/>
            </w:tcBorders>
            <w:shd w:val="clear" w:color="auto" w:fill="auto"/>
            <w:noWrap/>
            <w:vAlign w:val="bottom"/>
            <w:hideMark/>
          </w:tcPr>
          <w:p w14:paraId="44D571CD" w14:textId="2EE9CB2E" w:rsidR="00686EC7" w:rsidRPr="000C156A" w:rsidRDefault="00017338" w:rsidP="00141BAA">
            <w:pPr>
              <w:overflowPunct/>
              <w:autoSpaceDE/>
              <w:autoSpaceDN/>
              <w:adjustRightInd/>
              <w:spacing w:before="0"/>
              <w:textAlignment w:val="auto"/>
              <w:rPr>
                <w:rFonts w:cs="Calibri"/>
                <w:b/>
                <w:bCs/>
                <w:color w:val="000000"/>
                <w:sz w:val="20"/>
                <w:lang w:val="en-US" w:eastAsia="en-GB"/>
              </w:rPr>
            </w:pPr>
            <w:r w:rsidRPr="000C156A">
              <w:rPr>
                <w:rFonts w:eastAsiaTheme="minorEastAsia" w:cs="Calibri"/>
                <w:b/>
                <w:bCs/>
                <w:sz w:val="20"/>
                <w:lang w:val="en-US" w:eastAsia="en-GB"/>
              </w:rPr>
              <w:t> </w:t>
            </w:r>
          </w:p>
        </w:tc>
        <w:tc>
          <w:tcPr>
            <w:tcW w:w="508" w:type="pct"/>
            <w:tcBorders>
              <w:top w:val="nil"/>
              <w:left w:val="nil"/>
              <w:bottom w:val="single" w:sz="4" w:space="0" w:color="auto"/>
              <w:right w:val="nil"/>
            </w:tcBorders>
            <w:shd w:val="clear" w:color="auto" w:fill="auto"/>
            <w:noWrap/>
            <w:vAlign w:val="bottom"/>
            <w:hideMark/>
          </w:tcPr>
          <w:p w14:paraId="4B7B938C" w14:textId="77777777" w:rsidR="00686EC7" w:rsidRPr="000C156A" w:rsidRDefault="00686EC7" w:rsidP="00141BAA">
            <w:pPr>
              <w:overflowPunct/>
              <w:autoSpaceDE/>
              <w:autoSpaceDN/>
              <w:adjustRightInd/>
              <w:spacing w:before="0"/>
              <w:jc w:val="center"/>
              <w:textAlignment w:val="auto"/>
              <w:rPr>
                <w:rFonts w:cs="Calibri"/>
                <w:b/>
                <w:bCs/>
                <w:sz w:val="20"/>
                <w:lang w:eastAsia="en-GB"/>
              </w:rPr>
            </w:pPr>
          </w:p>
        </w:tc>
        <w:tc>
          <w:tcPr>
            <w:tcW w:w="834" w:type="pct"/>
            <w:tcBorders>
              <w:top w:val="nil"/>
              <w:left w:val="single" w:sz="4" w:space="0" w:color="auto"/>
              <w:bottom w:val="single" w:sz="4" w:space="0" w:color="auto"/>
              <w:right w:val="single" w:sz="4" w:space="0" w:color="auto"/>
            </w:tcBorders>
            <w:shd w:val="clear" w:color="auto" w:fill="auto"/>
            <w:noWrap/>
            <w:vAlign w:val="bottom"/>
            <w:hideMark/>
          </w:tcPr>
          <w:p w14:paraId="5ED84609" w14:textId="77777777" w:rsidR="00686EC7" w:rsidRPr="000C156A" w:rsidRDefault="00686EC7" w:rsidP="00141BAA">
            <w:pPr>
              <w:overflowPunct/>
              <w:autoSpaceDE/>
              <w:autoSpaceDN/>
              <w:adjustRightInd/>
              <w:spacing w:before="0"/>
              <w:textAlignment w:val="auto"/>
              <w:rPr>
                <w:rFonts w:cs="Calibri"/>
                <w:color w:val="000000"/>
                <w:sz w:val="20"/>
                <w:lang w:eastAsia="en-GB"/>
              </w:rPr>
            </w:pPr>
            <w:r w:rsidRPr="000C156A">
              <w:rPr>
                <w:rFonts w:eastAsiaTheme="minorEastAsia" w:cs="Calibri"/>
                <w:sz w:val="20"/>
                <w:lang w:eastAsia="en-GB"/>
              </w:rPr>
              <w:t> </w:t>
            </w:r>
          </w:p>
        </w:tc>
        <w:tc>
          <w:tcPr>
            <w:tcW w:w="496" w:type="pct"/>
            <w:tcBorders>
              <w:top w:val="nil"/>
              <w:left w:val="nil"/>
              <w:bottom w:val="single" w:sz="4" w:space="0" w:color="auto"/>
              <w:right w:val="nil"/>
            </w:tcBorders>
            <w:shd w:val="clear" w:color="auto" w:fill="auto"/>
            <w:noWrap/>
            <w:vAlign w:val="bottom"/>
            <w:hideMark/>
          </w:tcPr>
          <w:p w14:paraId="2A03C1DB" w14:textId="77777777" w:rsidR="00686EC7" w:rsidRPr="000C156A" w:rsidRDefault="00686EC7" w:rsidP="00141BAA">
            <w:pPr>
              <w:overflowPunct/>
              <w:autoSpaceDE/>
              <w:autoSpaceDN/>
              <w:adjustRightInd/>
              <w:spacing w:before="0"/>
              <w:textAlignment w:val="auto"/>
              <w:rPr>
                <w:rFonts w:cs="Calibri"/>
                <w:color w:val="000000"/>
                <w:sz w:val="20"/>
                <w:lang w:eastAsia="en-GB"/>
              </w:rPr>
            </w:pPr>
            <w:r w:rsidRPr="000C156A">
              <w:rPr>
                <w:rFonts w:eastAsiaTheme="minorEastAsia" w:cs="Calibri"/>
                <w:sz w:val="20"/>
                <w:lang w:eastAsia="en-GB"/>
              </w:rPr>
              <w:t> </w:t>
            </w:r>
          </w:p>
        </w:tc>
        <w:tc>
          <w:tcPr>
            <w:tcW w:w="405" w:type="pct"/>
            <w:tcBorders>
              <w:top w:val="nil"/>
              <w:left w:val="single" w:sz="4" w:space="0" w:color="auto"/>
              <w:bottom w:val="single" w:sz="4" w:space="0" w:color="auto"/>
              <w:right w:val="single" w:sz="4" w:space="0" w:color="auto"/>
            </w:tcBorders>
            <w:shd w:val="clear" w:color="auto" w:fill="auto"/>
            <w:noWrap/>
            <w:vAlign w:val="bottom"/>
            <w:hideMark/>
          </w:tcPr>
          <w:p w14:paraId="6D30A853" w14:textId="77777777" w:rsidR="00686EC7" w:rsidRPr="000C156A" w:rsidRDefault="00686EC7" w:rsidP="00141BAA">
            <w:pPr>
              <w:overflowPunct/>
              <w:autoSpaceDE/>
              <w:autoSpaceDN/>
              <w:adjustRightInd/>
              <w:spacing w:before="0"/>
              <w:textAlignment w:val="auto"/>
              <w:rPr>
                <w:rFonts w:cs="Calibri"/>
                <w:color w:val="000000"/>
                <w:sz w:val="20"/>
                <w:lang w:eastAsia="en-GB"/>
              </w:rPr>
            </w:pPr>
            <w:r w:rsidRPr="000C156A">
              <w:rPr>
                <w:rFonts w:eastAsiaTheme="minorEastAsia" w:cs="Calibri"/>
                <w:sz w:val="20"/>
                <w:lang w:eastAsia="en-GB"/>
              </w:rPr>
              <w:t> </w:t>
            </w:r>
          </w:p>
        </w:tc>
        <w:tc>
          <w:tcPr>
            <w:tcW w:w="363" w:type="pct"/>
            <w:tcBorders>
              <w:top w:val="nil"/>
              <w:left w:val="nil"/>
              <w:bottom w:val="single" w:sz="4" w:space="0" w:color="auto"/>
              <w:right w:val="single" w:sz="4" w:space="0" w:color="auto"/>
            </w:tcBorders>
            <w:shd w:val="clear" w:color="auto" w:fill="auto"/>
            <w:noWrap/>
            <w:vAlign w:val="bottom"/>
            <w:hideMark/>
          </w:tcPr>
          <w:p w14:paraId="7EB67A13" w14:textId="77777777" w:rsidR="00686EC7" w:rsidRPr="000C156A" w:rsidRDefault="00686EC7" w:rsidP="00141BAA">
            <w:pPr>
              <w:overflowPunct/>
              <w:autoSpaceDE/>
              <w:autoSpaceDN/>
              <w:adjustRightInd/>
              <w:spacing w:before="0"/>
              <w:textAlignment w:val="auto"/>
              <w:rPr>
                <w:rFonts w:cs="Calibri"/>
                <w:color w:val="000000"/>
                <w:sz w:val="20"/>
                <w:lang w:eastAsia="en-GB"/>
              </w:rPr>
            </w:pPr>
            <w:r w:rsidRPr="000C156A">
              <w:rPr>
                <w:rFonts w:eastAsiaTheme="minorEastAsia" w:cs="Calibri"/>
                <w:sz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397629E8" w14:textId="77777777" w:rsidR="00686EC7" w:rsidRPr="000C156A" w:rsidRDefault="00686EC7" w:rsidP="00141BAA">
            <w:pPr>
              <w:overflowPunct/>
              <w:autoSpaceDE/>
              <w:autoSpaceDN/>
              <w:adjustRightInd/>
              <w:spacing w:before="0"/>
              <w:jc w:val="center"/>
              <w:textAlignment w:val="auto"/>
              <w:rPr>
                <w:rFonts w:cs="Calibri"/>
                <w:color w:val="000000"/>
                <w:sz w:val="20"/>
                <w:lang w:eastAsia="en-GB"/>
              </w:rPr>
            </w:pPr>
            <w:r w:rsidRPr="000C156A">
              <w:rPr>
                <w:rFonts w:eastAsiaTheme="minorEastAsia" w:cs="Calibri"/>
                <w:b/>
                <w:bCs/>
                <w:sz w:val="20"/>
                <w:lang w:eastAsia="en-GB"/>
              </w:rPr>
              <w:t>余额</w:t>
            </w:r>
          </w:p>
        </w:tc>
      </w:tr>
      <w:tr w:rsidR="00686EC7" w:rsidRPr="000C156A" w14:paraId="2D14E6A6" w14:textId="77777777" w:rsidTr="00141BAA">
        <w:trPr>
          <w:trHeight w:val="255"/>
        </w:trPr>
        <w:tc>
          <w:tcPr>
            <w:tcW w:w="1171" w:type="pct"/>
            <w:tcBorders>
              <w:top w:val="nil"/>
              <w:left w:val="single" w:sz="4" w:space="0" w:color="auto"/>
              <w:bottom w:val="nil"/>
              <w:right w:val="nil"/>
            </w:tcBorders>
            <w:shd w:val="clear" w:color="auto" w:fill="auto"/>
            <w:noWrap/>
            <w:vAlign w:val="bottom"/>
            <w:hideMark/>
          </w:tcPr>
          <w:p w14:paraId="7D3095B1" w14:textId="77777777" w:rsidR="00686EC7" w:rsidRPr="000C156A" w:rsidRDefault="00686EC7" w:rsidP="00141BAA">
            <w:pPr>
              <w:overflowPunct/>
              <w:autoSpaceDE/>
              <w:autoSpaceDN/>
              <w:adjustRightInd/>
              <w:spacing w:before="0"/>
              <w:jc w:val="center"/>
              <w:textAlignment w:val="auto"/>
              <w:rPr>
                <w:rFonts w:cs="Calibri"/>
                <w:b/>
                <w:bCs/>
                <w:color w:val="000000"/>
                <w:sz w:val="20"/>
                <w:lang w:eastAsia="en-GB"/>
              </w:rPr>
            </w:pPr>
            <w:r w:rsidRPr="000C156A">
              <w:rPr>
                <w:rFonts w:cs="Calibri"/>
                <w:b/>
                <w:bCs/>
                <w:color w:val="000000"/>
                <w:sz w:val="20"/>
                <w:lang w:eastAsia="en-GB"/>
              </w:rPr>
              <w:t> </w:t>
            </w:r>
          </w:p>
        </w:tc>
        <w:tc>
          <w:tcPr>
            <w:tcW w:w="728" w:type="pct"/>
            <w:tcBorders>
              <w:top w:val="nil"/>
              <w:left w:val="single" w:sz="4" w:space="0" w:color="auto"/>
              <w:bottom w:val="nil"/>
              <w:right w:val="single" w:sz="4" w:space="0" w:color="auto"/>
            </w:tcBorders>
            <w:shd w:val="clear" w:color="auto" w:fill="auto"/>
            <w:noWrap/>
            <w:vAlign w:val="bottom"/>
            <w:hideMark/>
          </w:tcPr>
          <w:p w14:paraId="4BEB91C6" w14:textId="77777777" w:rsidR="00686EC7" w:rsidRPr="000C156A" w:rsidRDefault="00686EC7" w:rsidP="00141BAA">
            <w:pPr>
              <w:overflowPunct/>
              <w:autoSpaceDE/>
              <w:autoSpaceDN/>
              <w:adjustRightInd/>
              <w:spacing w:before="0"/>
              <w:textAlignment w:val="auto"/>
              <w:rPr>
                <w:rFonts w:cs="Calibri"/>
                <w:b/>
                <w:bCs/>
                <w:color w:val="000000"/>
                <w:sz w:val="20"/>
                <w:lang w:eastAsia="en-GB"/>
              </w:rPr>
            </w:pPr>
            <w:r w:rsidRPr="000C156A">
              <w:rPr>
                <w:rFonts w:cs="Calibri"/>
                <w:b/>
                <w:bCs/>
                <w:color w:val="000000"/>
                <w:sz w:val="20"/>
                <w:lang w:eastAsia="en-GB"/>
              </w:rPr>
              <w:t> </w:t>
            </w:r>
          </w:p>
        </w:tc>
        <w:tc>
          <w:tcPr>
            <w:tcW w:w="508" w:type="pct"/>
            <w:tcBorders>
              <w:top w:val="nil"/>
              <w:left w:val="nil"/>
              <w:bottom w:val="nil"/>
              <w:right w:val="nil"/>
            </w:tcBorders>
            <w:shd w:val="clear" w:color="auto" w:fill="auto"/>
            <w:noWrap/>
            <w:vAlign w:val="bottom"/>
            <w:hideMark/>
          </w:tcPr>
          <w:p w14:paraId="2744371E" w14:textId="77777777" w:rsidR="00686EC7" w:rsidRPr="000C156A" w:rsidRDefault="00686EC7" w:rsidP="00141BAA">
            <w:pPr>
              <w:overflowPunct/>
              <w:autoSpaceDE/>
              <w:autoSpaceDN/>
              <w:adjustRightInd/>
              <w:spacing w:before="0"/>
              <w:jc w:val="center"/>
              <w:textAlignment w:val="auto"/>
              <w:rPr>
                <w:rFonts w:cs="Calibri"/>
                <w:b/>
                <w:bCs/>
                <w:color w:val="000000"/>
                <w:sz w:val="20"/>
                <w:lang w:eastAsia="en-GB"/>
              </w:rPr>
            </w:pPr>
            <w:r w:rsidRPr="000C156A">
              <w:rPr>
                <w:rFonts w:cs="Calibri"/>
                <w:b/>
                <w:bCs/>
                <w:color w:val="000000"/>
                <w:sz w:val="20"/>
                <w:lang w:eastAsia="en-GB"/>
              </w:rPr>
              <w:t> </w:t>
            </w:r>
          </w:p>
        </w:tc>
        <w:tc>
          <w:tcPr>
            <w:tcW w:w="834" w:type="pct"/>
            <w:tcBorders>
              <w:top w:val="nil"/>
              <w:left w:val="single" w:sz="4" w:space="0" w:color="auto"/>
              <w:bottom w:val="nil"/>
              <w:right w:val="single" w:sz="4" w:space="0" w:color="auto"/>
            </w:tcBorders>
            <w:shd w:val="clear" w:color="auto" w:fill="auto"/>
            <w:noWrap/>
            <w:vAlign w:val="bottom"/>
            <w:hideMark/>
          </w:tcPr>
          <w:p w14:paraId="7F0339BC" w14:textId="77777777" w:rsidR="00686EC7" w:rsidRPr="000C156A" w:rsidRDefault="00686EC7" w:rsidP="00141BAA">
            <w:pPr>
              <w:overflowPunct/>
              <w:autoSpaceDE/>
              <w:autoSpaceDN/>
              <w:adjustRightInd/>
              <w:spacing w:before="0"/>
              <w:textAlignment w:val="auto"/>
              <w:rPr>
                <w:rFonts w:cs="Calibri"/>
                <w:color w:val="000000"/>
                <w:sz w:val="20"/>
                <w:lang w:eastAsia="en-GB"/>
              </w:rPr>
            </w:pPr>
            <w:r w:rsidRPr="000C156A">
              <w:rPr>
                <w:rFonts w:cs="Calibri"/>
                <w:color w:val="000000"/>
                <w:sz w:val="20"/>
                <w:lang w:eastAsia="en-GB"/>
              </w:rPr>
              <w:t> </w:t>
            </w:r>
          </w:p>
        </w:tc>
        <w:tc>
          <w:tcPr>
            <w:tcW w:w="496" w:type="pct"/>
            <w:tcBorders>
              <w:top w:val="nil"/>
              <w:left w:val="nil"/>
              <w:bottom w:val="nil"/>
              <w:right w:val="nil"/>
            </w:tcBorders>
            <w:shd w:val="clear" w:color="auto" w:fill="auto"/>
            <w:noWrap/>
            <w:vAlign w:val="bottom"/>
            <w:hideMark/>
          </w:tcPr>
          <w:p w14:paraId="39CAD835" w14:textId="77777777" w:rsidR="00686EC7" w:rsidRPr="000C156A" w:rsidRDefault="00686EC7" w:rsidP="00141BAA">
            <w:pPr>
              <w:overflowPunct/>
              <w:autoSpaceDE/>
              <w:autoSpaceDN/>
              <w:adjustRightInd/>
              <w:spacing w:before="0"/>
              <w:textAlignment w:val="auto"/>
              <w:rPr>
                <w:rFonts w:cs="Calibri"/>
                <w:color w:val="000000"/>
                <w:sz w:val="20"/>
                <w:lang w:eastAsia="en-GB"/>
              </w:rPr>
            </w:pPr>
            <w:r w:rsidRPr="000C156A">
              <w:rPr>
                <w:rFonts w:cs="Calibri"/>
                <w:color w:val="000000"/>
                <w:sz w:val="20"/>
                <w:lang w:eastAsia="en-GB"/>
              </w:rPr>
              <w:t> </w:t>
            </w:r>
          </w:p>
        </w:tc>
        <w:tc>
          <w:tcPr>
            <w:tcW w:w="405" w:type="pct"/>
            <w:tcBorders>
              <w:top w:val="nil"/>
              <w:left w:val="single" w:sz="4" w:space="0" w:color="auto"/>
              <w:bottom w:val="nil"/>
              <w:right w:val="single" w:sz="4" w:space="0" w:color="auto"/>
            </w:tcBorders>
            <w:shd w:val="clear" w:color="auto" w:fill="auto"/>
            <w:noWrap/>
            <w:vAlign w:val="bottom"/>
            <w:hideMark/>
          </w:tcPr>
          <w:p w14:paraId="35D54D49" w14:textId="77777777" w:rsidR="00686EC7" w:rsidRPr="000C156A" w:rsidRDefault="00686EC7" w:rsidP="00141BAA">
            <w:pPr>
              <w:overflowPunct/>
              <w:autoSpaceDE/>
              <w:autoSpaceDN/>
              <w:adjustRightInd/>
              <w:spacing w:before="0"/>
              <w:textAlignment w:val="auto"/>
              <w:rPr>
                <w:rFonts w:cs="Calibri"/>
                <w:color w:val="000000"/>
                <w:sz w:val="20"/>
                <w:lang w:eastAsia="en-GB"/>
              </w:rPr>
            </w:pPr>
            <w:r w:rsidRPr="000C156A">
              <w:rPr>
                <w:rFonts w:cs="Calibri"/>
                <w:color w:val="000000"/>
                <w:sz w:val="20"/>
                <w:lang w:eastAsia="en-GB"/>
              </w:rPr>
              <w:t> </w:t>
            </w:r>
          </w:p>
        </w:tc>
        <w:tc>
          <w:tcPr>
            <w:tcW w:w="363" w:type="pct"/>
            <w:tcBorders>
              <w:top w:val="nil"/>
              <w:left w:val="nil"/>
              <w:bottom w:val="nil"/>
              <w:right w:val="single" w:sz="4" w:space="0" w:color="auto"/>
            </w:tcBorders>
            <w:shd w:val="clear" w:color="auto" w:fill="auto"/>
            <w:noWrap/>
            <w:vAlign w:val="bottom"/>
            <w:hideMark/>
          </w:tcPr>
          <w:p w14:paraId="5302AFCD" w14:textId="77777777" w:rsidR="00686EC7" w:rsidRPr="000C156A" w:rsidRDefault="00686EC7" w:rsidP="00141BAA">
            <w:pPr>
              <w:overflowPunct/>
              <w:autoSpaceDE/>
              <w:autoSpaceDN/>
              <w:adjustRightInd/>
              <w:spacing w:before="0"/>
              <w:textAlignment w:val="auto"/>
              <w:rPr>
                <w:rFonts w:cs="Calibri"/>
                <w:color w:val="000000"/>
                <w:sz w:val="20"/>
                <w:lang w:eastAsia="en-GB"/>
              </w:rPr>
            </w:pPr>
            <w:r w:rsidRPr="000C156A">
              <w:rPr>
                <w:rFonts w:cs="Calibri"/>
                <w:color w:val="000000"/>
                <w:sz w:val="20"/>
                <w:lang w:eastAsia="en-GB"/>
              </w:rPr>
              <w:t> </w:t>
            </w:r>
          </w:p>
        </w:tc>
        <w:tc>
          <w:tcPr>
            <w:tcW w:w="496" w:type="pct"/>
            <w:tcBorders>
              <w:top w:val="nil"/>
              <w:left w:val="nil"/>
              <w:bottom w:val="nil"/>
              <w:right w:val="single" w:sz="4" w:space="0" w:color="auto"/>
            </w:tcBorders>
            <w:shd w:val="clear" w:color="auto" w:fill="auto"/>
            <w:noWrap/>
            <w:vAlign w:val="bottom"/>
            <w:hideMark/>
          </w:tcPr>
          <w:p w14:paraId="291F33D9" w14:textId="77777777" w:rsidR="00686EC7" w:rsidRPr="000C156A" w:rsidRDefault="00686EC7" w:rsidP="00141BAA">
            <w:pPr>
              <w:overflowPunct/>
              <w:autoSpaceDE/>
              <w:autoSpaceDN/>
              <w:adjustRightInd/>
              <w:spacing w:before="0"/>
              <w:textAlignment w:val="auto"/>
              <w:rPr>
                <w:rFonts w:cs="Calibri"/>
                <w:color w:val="000000"/>
                <w:sz w:val="20"/>
                <w:lang w:eastAsia="en-GB"/>
              </w:rPr>
            </w:pPr>
            <w:r w:rsidRPr="000C156A">
              <w:rPr>
                <w:rFonts w:cs="Calibri"/>
                <w:color w:val="000000"/>
                <w:sz w:val="20"/>
                <w:lang w:eastAsia="en-GB"/>
              </w:rPr>
              <w:t> </w:t>
            </w:r>
          </w:p>
        </w:tc>
      </w:tr>
      <w:tr w:rsidR="00686EC7" w:rsidRPr="000C156A" w14:paraId="1FA43EC0" w14:textId="77777777" w:rsidTr="00141BAA">
        <w:trPr>
          <w:trHeight w:val="255"/>
        </w:trPr>
        <w:tc>
          <w:tcPr>
            <w:tcW w:w="1184" w:type="pct"/>
            <w:tcBorders>
              <w:top w:val="nil"/>
              <w:left w:val="single" w:sz="4" w:space="0" w:color="auto"/>
              <w:bottom w:val="nil"/>
              <w:right w:val="nil"/>
            </w:tcBorders>
            <w:shd w:val="clear" w:color="auto" w:fill="auto"/>
            <w:noWrap/>
            <w:vAlign w:val="bottom"/>
            <w:hideMark/>
          </w:tcPr>
          <w:p w14:paraId="15E1277A" w14:textId="77777777" w:rsidR="00686EC7" w:rsidRPr="000C156A" w:rsidRDefault="00686EC7" w:rsidP="00141BAA">
            <w:pPr>
              <w:overflowPunct/>
              <w:autoSpaceDE/>
              <w:autoSpaceDN/>
              <w:adjustRightInd/>
              <w:spacing w:before="0"/>
              <w:jc w:val="center"/>
              <w:textAlignment w:val="auto"/>
              <w:rPr>
                <w:rFonts w:cs="Calibri"/>
                <w:b/>
                <w:bCs/>
                <w:color w:val="000000"/>
                <w:sz w:val="20"/>
                <w:lang w:eastAsia="en-GB"/>
              </w:rPr>
            </w:pPr>
            <w:r w:rsidRPr="000C156A">
              <w:rPr>
                <w:rFonts w:cs="Calibri" w:hint="eastAsia"/>
                <w:b/>
                <w:bCs/>
                <w:color w:val="000000"/>
                <w:sz w:val="20"/>
                <w:lang w:eastAsia="en-GB"/>
              </w:rPr>
              <w:t>成员国</w:t>
            </w:r>
          </w:p>
        </w:tc>
        <w:tc>
          <w:tcPr>
            <w:tcW w:w="707" w:type="pct"/>
            <w:tcBorders>
              <w:top w:val="nil"/>
              <w:left w:val="single" w:sz="4" w:space="0" w:color="auto"/>
              <w:bottom w:val="nil"/>
              <w:right w:val="single" w:sz="4" w:space="0" w:color="auto"/>
            </w:tcBorders>
            <w:shd w:val="clear" w:color="auto" w:fill="auto"/>
            <w:noWrap/>
            <w:vAlign w:val="bottom"/>
            <w:hideMark/>
          </w:tcPr>
          <w:p w14:paraId="79B43D7F" w14:textId="77777777" w:rsidR="00686EC7" w:rsidRPr="000C156A" w:rsidRDefault="00686EC7" w:rsidP="00141BAA">
            <w:pPr>
              <w:overflowPunct/>
              <w:autoSpaceDE/>
              <w:autoSpaceDN/>
              <w:adjustRightInd/>
              <w:spacing w:before="0"/>
              <w:textAlignment w:val="auto"/>
              <w:rPr>
                <w:rFonts w:cs="Calibri"/>
                <w:color w:val="000000"/>
                <w:sz w:val="20"/>
                <w:lang w:eastAsia="en-GB"/>
              </w:rPr>
            </w:pPr>
            <w:r w:rsidRPr="000C156A">
              <w:rPr>
                <w:rFonts w:cs="Calibri"/>
                <w:color w:val="000000"/>
                <w:sz w:val="20"/>
                <w:lang w:eastAsia="en-GB"/>
              </w:rPr>
              <w:t> </w:t>
            </w:r>
          </w:p>
        </w:tc>
        <w:tc>
          <w:tcPr>
            <w:tcW w:w="517" w:type="pct"/>
            <w:tcBorders>
              <w:top w:val="nil"/>
              <w:left w:val="nil"/>
              <w:bottom w:val="nil"/>
              <w:right w:val="nil"/>
            </w:tcBorders>
            <w:shd w:val="clear" w:color="auto" w:fill="auto"/>
            <w:noWrap/>
            <w:vAlign w:val="bottom"/>
            <w:hideMark/>
          </w:tcPr>
          <w:p w14:paraId="12A82A99" w14:textId="77777777" w:rsidR="00686EC7" w:rsidRPr="000C156A" w:rsidRDefault="00686EC7" w:rsidP="00141BAA">
            <w:pPr>
              <w:overflowPunct/>
              <w:autoSpaceDE/>
              <w:autoSpaceDN/>
              <w:adjustRightInd/>
              <w:spacing w:before="0"/>
              <w:textAlignment w:val="auto"/>
              <w:rPr>
                <w:rFonts w:cs="Calibri"/>
                <w:color w:val="000000"/>
                <w:sz w:val="20"/>
                <w:lang w:eastAsia="en-GB"/>
              </w:rPr>
            </w:pPr>
          </w:p>
        </w:tc>
        <w:tc>
          <w:tcPr>
            <w:tcW w:w="811" w:type="pct"/>
            <w:tcBorders>
              <w:top w:val="nil"/>
              <w:left w:val="single" w:sz="4" w:space="0" w:color="auto"/>
              <w:bottom w:val="nil"/>
              <w:right w:val="single" w:sz="4" w:space="0" w:color="auto"/>
            </w:tcBorders>
            <w:shd w:val="clear" w:color="auto" w:fill="auto"/>
            <w:noWrap/>
            <w:vAlign w:val="bottom"/>
            <w:hideMark/>
          </w:tcPr>
          <w:p w14:paraId="5876F3FE" w14:textId="77777777" w:rsidR="00686EC7" w:rsidRPr="000C156A" w:rsidRDefault="00686EC7" w:rsidP="00141BAA">
            <w:pPr>
              <w:overflowPunct/>
              <w:autoSpaceDE/>
              <w:autoSpaceDN/>
              <w:adjustRightInd/>
              <w:spacing w:before="0"/>
              <w:textAlignment w:val="auto"/>
              <w:rPr>
                <w:rFonts w:cs="Calibri"/>
                <w:color w:val="000000"/>
                <w:sz w:val="20"/>
                <w:lang w:eastAsia="en-GB"/>
              </w:rPr>
            </w:pPr>
            <w:r w:rsidRPr="000C156A">
              <w:rPr>
                <w:rFonts w:cs="Calibri"/>
                <w:color w:val="000000"/>
                <w:sz w:val="20"/>
                <w:lang w:eastAsia="en-GB"/>
              </w:rPr>
              <w:t> </w:t>
            </w:r>
          </w:p>
        </w:tc>
        <w:tc>
          <w:tcPr>
            <w:tcW w:w="482" w:type="pct"/>
            <w:tcBorders>
              <w:top w:val="nil"/>
              <w:left w:val="nil"/>
              <w:bottom w:val="nil"/>
              <w:right w:val="nil"/>
            </w:tcBorders>
            <w:shd w:val="clear" w:color="auto" w:fill="auto"/>
            <w:noWrap/>
            <w:vAlign w:val="bottom"/>
            <w:hideMark/>
          </w:tcPr>
          <w:p w14:paraId="667B2AE4" w14:textId="77777777" w:rsidR="00686EC7" w:rsidRPr="000C156A" w:rsidRDefault="00686EC7" w:rsidP="00141BAA">
            <w:pPr>
              <w:overflowPunct/>
              <w:autoSpaceDE/>
              <w:autoSpaceDN/>
              <w:adjustRightInd/>
              <w:spacing w:before="0"/>
              <w:textAlignment w:val="auto"/>
              <w:rPr>
                <w:rFonts w:cs="Calibri"/>
                <w:color w:val="000000"/>
                <w:sz w:val="20"/>
                <w:lang w:eastAsia="en-GB"/>
              </w:rPr>
            </w:pPr>
          </w:p>
        </w:tc>
        <w:tc>
          <w:tcPr>
            <w:tcW w:w="402" w:type="pct"/>
            <w:tcBorders>
              <w:top w:val="nil"/>
              <w:left w:val="single" w:sz="4" w:space="0" w:color="auto"/>
              <w:bottom w:val="nil"/>
              <w:right w:val="single" w:sz="4" w:space="0" w:color="auto"/>
            </w:tcBorders>
            <w:shd w:val="clear" w:color="auto" w:fill="auto"/>
            <w:noWrap/>
            <w:vAlign w:val="bottom"/>
            <w:hideMark/>
          </w:tcPr>
          <w:p w14:paraId="1E2961F2" w14:textId="77777777" w:rsidR="00686EC7" w:rsidRPr="000C156A" w:rsidRDefault="00686EC7" w:rsidP="00141BAA">
            <w:pPr>
              <w:overflowPunct/>
              <w:autoSpaceDE/>
              <w:autoSpaceDN/>
              <w:adjustRightInd/>
              <w:spacing w:before="0"/>
              <w:textAlignment w:val="auto"/>
              <w:rPr>
                <w:rFonts w:cs="Calibri"/>
                <w:color w:val="000000"/>
                <w:sz w:val="20"/>
                <w:lang w:eastAsia="en-GB"/>
              </w:rPr>
            </w:pPr>
            <w:r w:rsidRPr="000C156A">
              <w:rPr>
                <w:rFonts w:cs="Calibri"/>
                <w:color w:val="000000"/>
                <w:sz w:val="20"/>
                <w:lang w:eastAsia="en-GB"/>
              </w:rPr>
              <w:t> </w:t>
            </w:r>
          </w:p>
        </w:tc>
        <w:tc>
          <w:tcPr>
            <w:tcW w:w="415" w:type="pct"/>
            <w:tcBorders>
              <w:top w:val="nil"/>
              <w:left w:val="nil"/>
              <w:bottom w:val="nil"/>
              <w:right w:val="single" w:sz="4" w:space="0" w:color="auto"/>
            </w:tcBorders>
            <w:shd w:val="clear" w:color="auto" w:fill="auto"/>
            <w:noWrap/>
            <w:vAlign w:val="bottom"/>
            <w:hideMark/>
          </w:tcPr>
          <w:p w14:paraId="349F30B8" w14:textId="77777777" w:rsidR="00686EC7" w:rsidRPr="000C156A" w:rsidRDefault="00686EC7" w:rsidP="00141BAA">
            <w:pPr>
              <w:overflowPunct/>
              <w:autoSpaceDE/>
              <w:autoSpaceDN/>
              <w:adjustRightInd/>
              <w:spacing w:before="0"/>
              <w:textAlignment w:val="auto"/>
              <w:rPr>
                <w:rFonts w:cs="Calibri"/>
                <w:color w:val="000000"/>
                <w:sz w:val="20"/>
                <w:lang w:eastAsia="en-GB"/>
              </w:rPr>
            </w:pPr>
            <w:r w:rsidRPr="000C156A">
              <w:rPr>
                <w:rFonts w:cs="Calibri"/>
                <w:color w:val="000000"/>
                <w:sz w:val="20"/>
                <w:lang w:eastAsia="en-GB"/>
              </w:rPr>
              <w:t> </w:t>
            </w:r>
          </w:p>
        </w:tc>
        <w:tc>
          <w:tcPr>
            <w:tcW w:w="482" w:type="pct"/>
            <w:tcBorders>
              <w:top w:val="nil"/>
              <w:left w:val="nil"/>
              <w:bottom w:val="nil"/>
              <w:right w:val="single" w:sz="4" w:space="0" w:color="auto"/>
            </w:tcBorders>
            <w:shd w:val="clear" w:color="auto" w:fill="auto"/>
            <w:noWrap/>
            <w:vAlign w:val="bottom"/>
            <w:hideMark/>
          </w:tcPr>
          <w:p w14:paraId="5A1CD856" w14:textId="77777777" w:rsidR="00686EC7" w:rsidRPr="000C156A" w:rsidRDefault="00686EC7" w:rsidP="00141BAA">
            <w:pPr>
              <w:overflowPunct/>
              <w:autoSpaceDE/>
              <w:autoSpaceDN/>
              <w:adjustRightInd/>
              <w:spacing w:before="0"/>
              <w:textAlignment w:val="auto"/>
              <w:rPr>
                <w:rFonts w:cs="Calibri"/>
                <w:color w:val="000000"/>
                <w:sz w:val="20"/>
                <w:lang w:eastAsia="en-GB"/>
              </w:rPr>
            </w:pPr>
            <w:r w:rsidRPr="000C156A">
              <w:rPr>
                <w:rFonts w:cs="Calibri"/>
                <w:color w:val="000000"/>
                <w:sz w:val="20"/>
                <w:lang w:eastAsia="en-GB"/>
              </w:rPr>
              <w:t> </w:t>
            </w:r>
          </w:p>
        </w:tc>
      </w:tr>
      <w:tr w:rsidR="00686EC7" w:rsidRPr="000C156A" w14:paraId="6B9DC419" w14:textId="77777777" w:rsidTr="00141BAA">
        <w:trPr>
          <w:trHeight w:val="255"/>
        </w:trPr>
        <w:tc>
          <w:tcPr>
            <w:tcW w:w="1184" w:type="pct"/>
            <w:tcBorders>
              <w:top w:val="nil"/>
              <w:left w:val="single" w:sz="4" w:space="0" w:color="auto"/>
              <w:bottom w:val="nil"/>
              <w:right w:val="nil"/>
            </w:tcBorders>
            <w:shd w:val="clear" w:color="auto" w:fill="auto"/>
            <w:noWrap/>
            <w:vAlign w:val="bottom"/>
            <w:hideMark/>
          </w:tcPr>
          <w:p w14:paraId="7B08079D" w14:textId="77777777" w:rsidR="00686EC7" w:rsidRPr="000C156A" w:rsidRDefault="00686EC7" w:rsidP="00141BAA">
            <w:pPr>
              <w:overflowPunct/>
              <w:autoSpaceDE/>
              <w:autoSpaceDN/>
              <w:adjustRightInd/>
              <w:spacing w:before="0"/>
              <w:textAlignment w:val="auto"/>
              <w:rPr>
                <w:rFonts w:cs="Calibri"/>
                <w:sz w:val="20"/>
                <w:lang w:eastAsia="en-GB"/>
              </w:rPr>
            </w:pPr>
            <w:bookmarkStart w:id="1234" w:name="_Hlk40864527"/>
            <w:r w:rsidRPr="000C156A">
              <w:rPr>
                <w:sz w:val="20"/>
              </w:rPr>
              <w:t>尼加拉</w:t>
            </w:r>
            <w:r w:rsidRPr="000C156A">
              <w:rPr>
                <w:rFonts w:hint="eastAsia"/>
                <w:sz w:val="20"/>
              </w:rPr>
              <w:t>瓜</w:t>
            </w:r>
          </w:p>
        </w:tc>
        <w:tc>
          <w:tcPr>
            <w:tcW w:w="707" w:type="pct"/>
            <w:tcBorders>
              <w:top w:val="nil"/>
              <w:left w:val="single" w:sz="4" w:space="0" w:color="auto"/>
              <w:bottom w:val="nil"/>
              <w:right w:val="single" w:sz="4" w:space="0" w:color="auto"/>
            </w:tcBorders>
            <w:shd w:val="clear" w:color="auto" w:fill="auto"/>
            <w:noWrap/>
            <w:vAlign w:val="bottom"/>
            <w:hideMark/>
          </w:tcPr>
          <w:p w14:paraId="7E191741"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rPr>
              <w:t>–</w:t>
            </w:r>
            <w:r w:rsidRPr="000C156A">
              <w:rPr>
                <w:sz w:val="20"/>
                <w:lang w:eastAsia="zh-CN"/>
              </w:rPr>
              <w:t xml:space="preserve"> </w:t>
            </w:r>
            <w:r w:rsidRPr="000C156A">
              <w:rPr>
                <w:sz w:val="20"/>
              </w:rPr>
              <w:t>201</w:t>
            </w:r>
            <w:r w:rsidRPr="000C156A">
              <w:rPr>
                <w:rFonts w:hint="eastAsia"/>
                <w:sz w:val="20"/>
                <w:lang w:eastAsia="zh-CN"/>
              </w:rPr>
              <w:t>6</w:t>
            </w:r>
            <w:r w:rsidRPr="000C156A">
              <w:rPr>
                <w:rFonts w:hint="eastAsia"/>
                <w:sz w:val="20"/>
                <w:lang w:eastAsia="zh-CN"/>
              </w:rPr>
              <w:t>年</w:t>
            </w:r>
          </w:p>
        </w:tc>
        <w:tc>
          <w:tcPr>
            <w:tcW w:w="517" w:type="pct"/>
            <w:tcBorders>
              <w:top w:val="nil"/>
              <w:left w:val="nil"/>
              <w:bottom w:val="nil"/>
              <w:right w:val="nil"/>
            </w:tcBorders>
            <w:shd w:val="clear" w:color="auto" w:fill="auto"/>
            <w:noWrap/>
            <w:vAlign w:val="bottom"/>
            <w:hideMark/>
          </w:tcPr>
          <w:p w14:paraId="239E1752" w14:textId="14C02366" w:rsidR="00686EC7" w:rsidRPr="000C156A" w:rsidRDefault="00686EC7" w:rsidP="00141BAA">
            <w:pPr>
              <w:jc w:val="right"/>
              <w:rPr>
                <w:rFonts w:cs="Calibri"/>
                <w:sz w:val="20"/>
                <w:lang w:eastAsia="en-GB"/>
              </w:rPr>
            </w:pPr>
            <w:r w:rsidRPr="000C156A">
              <w:rPr>
                <w:rFonts w:cs="Calibri"/>
                <w:sz w:val="20"/>
                <w:lang w:eastAsia="en-GB"/>
              </w:rPr>
              <w:t>1</w:t>
            </w:r>
            <w:r w:rsidR="001A59E5" w:rsidRPr="000C156A">
              <w:rPr>
                <w:rFonts w:cs="Calibri"/>
                <w:sz w:val="20"/>
                <w:lang w:eastAsia="en-GB"/>
              </w:rPr>
              <w:t xml:space="preserve"> </w:t>
            </w:r>
            <w:r w:rsidRPr="000C156A">
              <w:rPr>
                <w:rFonts w:cs="Calibri"/>
                <w:sz w:val="20"/>
                <w:lang w:eastAsia="en-GB"/>
              </w:rPr>
              <w:t>462</w:t>
            </w:r>
            <w:r w:rsidR="001A59E5" w:rsidRPr="000C156A">
              <w:rPr>
                <w:rFonts w:cs="Calibri"/>
                <w:sz w:val="20"/>
                <w:lang w:eastAsia="en-GB"/>
              </w:rPr>
              <w:t xml:space="preserve"> </w:t>
            </w:r>
            <w:r w:rsidRPr="000C156A">
              <w:rPr>
                <w:rFonts w:cs="Calibri"/>
                <w:sz w:val="20"/>
                <w:lang w:eastAsia="en-GB"/>
              </w:rPr>
              <w:t>488.98</w:t>
            </w:r>
          </w:p>
        </w:tc>
        <w:tc>
          <w:tcPr>
            <w:tcW w:w="811" w:type="pct"/>
            <w:tcBorders>
              <w:top w:val="nil"/>
              <w:left w:val="single" w:sz="4" w:space="0" w:color="auto"/>
              <w:bottom w:val="nil"/>
              <w:right w:val="single" w:sz="4" w:space="0" w:color="auto"/>
            </w:tcBorders>
            <w:shd w:val="clear" w:color="auto" w:fill="auto"/>
            <w:noWrap/>
            <w:vAlign w:val="bottom"/>
            <w:hideMark/>
          </w:tcPr>
          <w:p w14:paraId="02F15E43" w14:textId="4E3988A6" w:rsidR="00686EC7" w:rsidRPr="000C156A" w:rsidRDefault="00686EC7" w:rsidP="00141BAA">
            <w:pPr>
              <w:jc w:val="right"/>
              <w:rPr>
                <w:rFonts w:cs="Calibri"/>
                <w:sz w:val="20"/>
                <w:lang w:eastAsia="en-GB"/>
              </w:rPr>
            </w:pPr>
            <w:r w:rsidRPr="000C156A">
              <w:rPr>
                <w:rFonts w:cs="Calibri"/>
                <w:sz w:val="20"/>
                <w:lang w:eastAsia="en-GB"/>
              </w:rPr>
              <w:t>1</w:t>
            </w:r>
            <w:r w:rsidR="001A59E5" w:rsidRPr="000C156A">
              <w:rPr>
                <w:rFonts w:cs="Calibri"/>
                <w:sz w:val="20"/>
                <w:lang w:eastAsia="en-GB"/>
              </w:rPr>
              <w:t xml:space="preserve"> </w:t>
            </w:r>
            <w:r w:rsidRPr="000C156A">
              <w:rPr>
                <w:rFonts w:cs="Calibri"/>
                <w:sz w:val="20"/>
                <w:lang w:eastAsia="en-GB"/>
              </w:rPr>
              <w:t>846</w:t>
            </w:r>
            <w:r w:rsidR="001A59E5" w:rsidRPr="000C156A">
              <w:rPr>
                <w:rFonts w:cs="Calibri"/>
                <w:sz w:val="20"/>
                <w:lang w:eastAsia="en-GB"/>
              </w:rPr>
              <w:t xml:space="preserve"> </w:t>
            </w:r>
            <w:r w:rsidRPr="000C156A">
              <w:rPr>
                <w:rFonts w:cs="Calibri"/>
                <w:sz w:val="20"/>
                <w:lang w:eastAsia="en-GB"/>
              </w:rPr>
              <w:t>068.38</w:t>
            </w:r>
          </w:p>
        </w:tc>
        <w:tc>
          <w:tcPr>
            <w:tcW w:w="482" w:type="pct"/>
            <w:tcBorders>
              <w:top w:val="nil"/>
              <w:left w:val="nil"/>
              <w:bottom w:val="nil"/>
              <w:right w:val="nil"/>
            </w:tcBorders>
            <w:shd w:val="clear" w:color="auto" w:fill="auto"/>
            <w:noWrap/>
            <w:vAlign w:val="bottom"/>
            <w:hideMark/>
          </w:tcPr>
          <w:p w14:paraId="00B9F008"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02" w:type="pct"/>
            <w:tcBorders>
              <w:top w:val="nil"/>
              <w:left w:val="single" w:sz="4" w:space="0" w:color="auto"/>
              <w:bottom w:val="nil"/>
              <w:right w:val="single" w:sz="4" w:space="0" w:color="auto"/>
            </w:tcBorders>
            <w:shd w:val="clear" w:color="auto" w:fill="auto"/>
            <w:noWrap/>
            <w:vAlign w:val="bottom"/>
            <w:hideMark/>
          </w:tcPr>
          <w:p w14:paraId="783A2584" w14:textId="0C1ECFD8" w:rsidR="00686EC7" w:rsidRPr="000C156A" w:rsidRDefault="00686EC7" w:rsidP="00141BAA">
            <w:pPr>
              <w:jc w:val="right"/>
              <w:rPr>
                <w:rFonts w:cs="Calibri"/>
                <w:sz w:val="20"/>
                <w:lang w:eastAsia="en-GB"/>
              </w:rPr>
            </w:pPr>
            <w:r w:rsidRPr="000C156A">
              <w:rPr>
                <w:rFonts w:cs="Calibri"/>
                <w:sz w:val="20"/>
                <w:lang w:eastAsia="en-GB"/>
              </w:rPr>
              <w:t>110</w:t>
            </w:r>
            <w:r w:rsidR="001A59E5" w:rsidRPr="000C156A">
              <w:rPr>
                <w:rFonts w:cs="Calibri"/>
                <w:sz w:val="20"/>
                <w:lang w:eastAsia="en-GB"/>
              </w:rPr>
              <w:t xml:space="preserve"> </w:t>
            </w:r>
            <w:r w:rsidRPr="000C156A">
              <w:rPr>
                <w:rFonts w:cs="Calibri"/>
                <w:sz w:val="20"/>
                <w:lang w:eastAsia="en-GB"/>
              </w:rPr>
              <w:t>764.10</w:t>
            </w:r>
          </w:p>
        </w:tc>
        <w:tc>
          <w:tcPr>
            <w:tcW w:w="415" w:type="pct"/>
            <w:tcBorders>
              <w:top w:val="nil"/>
              <w:left w:val="nil"/>
              <w:bottom w:val="nil"/>
              <w:right w:val="single" w:sz="4" w:space="0" w:color="auto"/>
            </w:tcBorders>
            <w:shd w:val="clear" w:color="auto" w:fill="auto"/>
            <w:noWrap/>
            <w:vAlign w:val="bottom"/>
            <w:hideMark/>
          </w:tcPr>
          <w:p w14:paraId="69BE3C25"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82" w:type="pct"/>
            <w:tcBorders>
              <w:top w:val="nil"/>
              <w:left w:val="nil"/>
              <w:bottom w:val="nil"/>
              <w:right w:val="single" w:sz="4" w:space="0" w:color="auto"/>
            </w:tcBorders>
            <w:shd w:val="clear" w:color="auto" w:fill="auto"/>
            <w:noWrap/>
            <w:vAlign w:val="bottom"/>
            <w:hideMark/>
          </w:tcPr>
          <w:p w14:paraId="4216468F" w14:textId="568BBD35" w:rsidR="00686EC7" w:rsidRPr="000C156A" w:rsidRDefault="00686EC7" w:rsidP="00141BAA">
            <w:pPr>
              <w:jc w:val="right"/>
              <w:rPr>
                <w:rFonts w:cs="Calibri"/>
                <w:sz w:val="20"/>
                <w:lang w:eastAsia="en-GB"/>
              </w:rPr>
            </w:pPr>
            <w:r w:rsidRPr="000C156A">
              <w:rPr>
                <w:rFonts w:cs="Calibri"/>
                <w:sz w:val="20"/>
                <w:lang w:eastAsia="en-GB"/>
              </w:rPr>
              <w:t>1</w:t>
            </w:r>
            <w:r w:rsidR="001A59E5" w:rsidRPr="000C156A">
              <w:rPr>
                <w:rFonts w:cs="Calibri"/>
                <w:sz w:val="20"/>
                <w:lang w:eastAsia="en-GB"/>
              </w:rPr>
              <w:t xml:space="preserve"> </w:t>
            </w:r>
            <w:r w:rsidRPr="000C156A">
              <w:rPr>
                <w:rFonts w:cs="Calibri"/>
                <w:sz w:val="20"/>
                <w:lang w:eastAsia="en-GB"/>
              </w:rPr>
              <w:t>956</w:t>
            </w:r>
            <w:r w:rsidR="001A59E5" w:rsidRPr="000C156A">
              <w:rPr>
                <w:rFonts w:cs="Calibri"/>
                <w:sz w:val="20"/>
                <w:lang w:eastAsia="en-GB"/>
              </w:rPr>
              <w:t xml:space="preserve"> </w:t>
            </w:r>
            <w:r w:rsidRPr="000C156A">
              <w:rPr>
                <w:rFonts w:cs="Calibri"/>
                <w:sz w:val="20"/>
                <w:lang w:eastAsia="en-GB"/>
              </w:rPr>
              <w:t>832.48</w:t>
            </w:r>
          </w:p>
        </w:tc>
      </w:tr>
      <w:tr w:rsidR="00686EC7" w:rsidRPr="000C156A" w14:paraId="0B4B440A" w14:textId="77777777" w:rsidTr="00141BAA">
        <w:trPr>
          <w:trHeight w:val="255"/>
        </w:trPr>
        <w:tc>
          <w:tcPr>
            <w:tcW w:w="1171" w:type="pct"/>
            <w:tcBorders>
              <w:top w:val="nil"/>
              <w:left w:val="single" w:sz="4" w:space="0" w:color="auto"/>
              <w:bottom w:val="nil"/>
              <w:right w:val="nil"/>
            </w:tcBorders>
            <w:shd w:val="clear" w:color="auto" w:fill="auto"/>
            <w:noWrap/>
            <w:vAlign w:val="bottom"/>
            <w:hideMark/>
          </w:tcPr>
          <w:p w14:paraId="1E78DF5B"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sz w:val="20"/>
              </w:rPr>
              <w:t>赤道几内亚</w:t>
            </w:r>
          </w:p>
        </w:tc>
        <w:tc>
          <w:tcPr>
            <w:tcW w:w="741" w:type="pct"/>
            <w:tcBorders>
              <w:top w:val="nil"/>
              <w:left w:val="single" w:sz="4" w:space="0" w:color="auto"/>
              <w:bottom w:val="nil"/>
              <w:right w:val="single" w:sz="4" w:space="0" w:color="auto"/>
            </w:tcBorders>
            <w:shd w:val="clear" w:color="auto" w:fill="auto"/>
            <w:noWrap/>
            <w:vAlign w:val="bottom"/>
            <w:hideMark/>
          </w:tcPr>
          <w:p w14:paraId="1E1D6BAB"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rPr>
              <w:t>–</w:t>
            </w:r>
            <w:r w:rsidRPr="000C156A">
              <w:rPr>
                <w:sz w:val="20"/>
                <w:lang w:eastAsia="zh-CN"/>
              </w:rPr>
              <w:t xml:space="preserve"> </w:t>
            </w:r>
            <w:r w:rsidRPr="000C156A">
              <w:rPr>
                <w:sz w:val="20"/>
              </w:rPr>
              <w:t>201</w:t>
            </w:r>
            <w:r w:rsidRPr="000C156A">
              <w:rPr>
                <w:rFonts w:hint="eastAsia"/>
                <w:sz w:val="20"/>
                <w:lang w:eastAsia="zh-CN"/>
              </w:rPr>
              <w:t>8</w:t>
            </w:r>
            <w:r w:rsidRPr="000C156A">
              <w:rPr>
                <w:rFonts w:hint="eastAsia"/>
                <w:sz w:val="20"/>
                <w:lang w:eastAsia="zh-CN"/>
              </w:rPr>
              <w:t>年</w:t>
            </w:r>
          </w:p>
        </w:tc>
        <w:tc>
          <w:tcPr>
            <w:tcW w:w="508" w:type="pct"/>
            <w:tcBorders>
              <w:top w:val="nil"/>
              <w:left w:val="nil"/>
              <w:bottom w:val="nil"/>
              <w:right w:val="nil"/>
            </w:tcBorders>
            <w:shd w:val="clear" w:color="auto" w:fill="auto"/>
            <w:noWrap/>
            <w:vAlign w:val="bottom"/>
            <w:hideMark/>
          </w:tcPr>
          <w:p w14:paraId="69B84F24" w14:textId="5110FCBC" w:rsidR="00686EC7" w:rsidRPr="000C156A" w:rsidRDefault="00686EC7" w:rsidP="00141BAA">
            <w:pPr>
              <w:jc w:val="right"/>
              <w:rPr>
                <w:rFonts w:cs="Calibri"/>
                <w:sz w:val="20"/>
                <w:lang w:eastAsia="en-GB"/>
              </w:rPr>
            </w:pPr>
            <w:r w:rsidRPr="000C156A">
              <w:rPr>
                <w:rFonts w:cs="Calibri"/>
                <w:sz w:val="20"/>
                <w:lang w:eastAsia="en-GB"/>
              </w:rPr>
              <w:t>118</w:t>
            </w:r>
            <w:r w:rsidR="001A59E5" w:rsidRPr="000C156A">
              <w:rPr>
                <w:rFonts w:cs="Calibri"/>
                <w:sz w:val="20"/>
                <w:lang w:eastAsia="en-GB"/>
              </w:rPr>
              <w:t xml:space="preserve"> </w:t>
            </w:r>
            <w:r w:rsidRPr="000C156A">
              <w:rPr>
                <w:rFonts w:cs="Calibri"/>
                <w:sz w:val="20"/>
                <w:lang w:eastAsia="en-GB"/>
              </w:rPr>
              <w:t>043.75</w:t>
            </w:r>
          </w:p>
        </w:tc>
        <w:tc>
          <w:tcPr>
            <w:tcW w:w="834" w:type="pct"/>
            <w:tcBorders>
              <w:top w:val="nil"/>
              <w:left w:val="single" w:sz="4" w:space="0" w:color="auto"/>
              <w:bottom w:val="nil"/>
              <w:right w:val="single" w:sz="4" w:space="0" w:color="auto"/>
            </w:tcBorders>
            <w:shd w:val="clear" w:color="auto" w:fill="auto"/>
            <w:noWrap/>
            <w:vAlign w:val="bottom"/>
            <w:hideMark/>
          </w:tcPr>
          <w:p w14:paraId="5EC117FB" w14:textId="2361448E" w:rsidR="00686EC7" w:rsidRPr="000C156A" w:rsidRDefault="00686EC7" w:rsidP="00141BAA">
            <w:pPr>
              <w:jc w:val="right"/>
              <w:rPr>
                <w:rFonts w:cs="Calibri"/>
                <w:sz w:val="20"/>
                <w:lang w:eastAsia="en-GB"/>
              </w:rPr>
            </w:pPr>
            <w:r w:rsidRPr="000C156A">
              <w:rPr>
                <w:rFonts w:cs="Calibri"/>
                <w:sz w:val="20"/>
                <w:lang w:eastAsia="en-GB"/>
              </w:rPr>
              <w:t>125</w:t>
            </w:r>
            <w:r w:rsidR="001A59E5" w:rsidRPr="000C156A">
              <w:rPr>
                <w:rFonts w:cs="Calibri"/>
                <w:sz w:val="20"/>
                <w:lang w:eastAsia="en-GB"/>
              </w:rPr>
              <w:t xml:space="preserve"> </w:t>
            </w:r>
            <w:r w:rsidRPr="000C156A">
              <w:rPr>
                <w:rFonts w:cs="Calibri"/>
                <w:sz w:val="20"/>
                <w:lang w:eastAsia="en-GB"/>
              </w:rPr>
              <w:t>126.40</w:t>
            </w:r>
          </w:p>
        </w:tc>
        <w:tc>
          <w:tcPr>
            <w:tcW w:w="479" w:type="pct"/>
            <w:tcBorders>
              <w:top w:val="nil"/>
              <w:left w:val="nil"/>
              <w:bottom w:val="nil"/>
              <w:right w:val="nil"/>
            </w:tcBorders>
            <w:shd w:val="clear" w:color="auto" w:fill="auto"/>
            <w:noWrap/>
            <w:vAlign w:val="bottom"/>
            <w:hideMark/>
          </w:tcPr>
          <w:p w14:paraId="30C1D459"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392" w:type="pct"/>
            <w:tcBorders>
              <w:top w:val="nil"/>
              <w:left w:val="single" w:sz="4" w:space="0" w:color="auto"/>
              <w:bottom w:val="nil"/>
              <w:right w:val="single" w:sz="4" w:space="0" w:color="auto"/>
            </w:tcBorders>
            <w:shd w:val="clear" w:color="auto" w:fill="auto"/>
            <w:noWrap/>
            <w:vAlign w:val="bottom"/>
            <w:hideMark/>
          </w:tcPr>
          <w:p w14:paraId="16FC1DD8" w14:textId="322E3437" w:rsidR="00686EC7" w:rsidRPr="000C156A" w:rsidRDefault="00686EC7" w:rsidP="00141BAA">
            <w:pPr>
              <w:jc w:val="right"/>
              <w:rPr>
                <w:rFonts w:cs="Calibri"/>
                <w:sz w:val="20"/>
                <w:lang w:eastAsia="en-GB"/>
              </w:rPr>
            </w:pPr>
            <w:r w:rsidRPr="000C156A">
              <w:rPr>
                <w:rFonts w:cs="Calibri"/>
                <w:sz w:val="20"/>
                <w:lang w:eastAsia="en-GB"/>
              </w:rPr>
              <w:t>7</w:t>
            </w:r>
            <w:r w:rsidR="001A59E5" w:rsidRPr="000C156A">
              <w:rPr>
                <w:rFonts w:cs="Calibri"/>
                <w:sz w:val="20"/>
                <w:lang w:eastAsia="en-GB"/>
              </w:rPr>
              <w:t xml:space="preserve"> </w:t>
            </w:r>
            <w:r w:rsidRPr="000C156A">
              <w:rPr>
                <w:rFonts w:cs="Calibri"/>
                <w:sz w:val="20"/>
                <w:lang w:eastAsia="en-GB"/>
              </w:rPr>
              <w:t>507.60</w:t>
            </w:r>
          </w:p>
        </w:tc>
        <w:tc>
          <w:tcPr>
            <w:tcW w:w="402" w:type="pct"/>
            <w:tcBorders>
              <w:top w:val="nil"/>
              <w:left w:val="nil"/>
              <w:bottom w:val="nil"/>
              <w:right w:val="single" w:sz="4" w:space="0" w:color="auto"/>
            </w:tcBorders>
            <w:shd w:val="clear" w:color="auto" w:fill="auto"/>
            <w:noWrap/>
            <w:vAlign w:val="bottom"/>
            <w:hideMark/>
          </w:tcPr>
          <w:p w14:paraId="6111B432"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74" w:type="pct"/>
            <w:tcBorders>
              <w:top w:val="nil"/>
              <w:left w:val="nil"/>
              <w:bottom w:val="nil"/>
              <w:right w:val="single" w:sz="4" w:space="0" w:color="auto"/>
            </w:tcBorders>
            <w:shd w:val="clear" w:color="auto" w:fill="auto"/>
            <w:noWrap/>
            <w:vAlign w:val="bottom"/>
            <w:hideMark/>
          </w:tcPr>
          <w:p w14:paraId="7F3ABC00" w14:textId="15A10472" w:rsidR="00686EC7" w:rsidRPr="000C156A" w:rsidRDefault="00686EC7" w:rsidP="00141BAA">
            <w:pPr>
              <w:jc w:val="right"/>
              <w:rPr>
                <w:rFonts w:cs="Calibri"/>
                <w:sz w:val="20"/>
                <w:lang w:eastAsia="en-GB"/>
              </w:rPr>
            </w:pPr>
            <w:r w:rsidRPr="000C156A">
              <w:rPr>
                <w:rFonts w:cs="Calibri"/>
                <w:sz w:val="20"/>
                <w:lang w:eastAsia="en-GB"/>
              </w:rPr>
              <w:t>132</w:t>
            </w:r>
            <w:r w:rsidR="001A59E5" w:rsidRPr="000C156A">
              <w:rPr>
                <w:rFonts w:cs="Calibri"/>
                <w:sz w:val="20"/>
                <w:lang w:eastAsia="en-GB"/>
              </w:rPr>
              <w:t xml:space="preserve"> </w:t>
            </w:r>
            <w:r w:rsidRPr="000C156A">
              <w:rPr>
                <w:rFonts w:cs="Calibri"/>
                <w:sz w:val="20"/>
                <w:lang w:eastAsia="en-GB"/>
              </w:rPr>
              <w:t>634.00</w:t>
            </w:r>
          </w:p>
        </w:tc>
      </w:tr>
      <w:tr w:rsidR="00686EC7" w:rsidRPr="000C156A" w14:paraId="548125D7" w14:textId="77777777" w:rsidTr="00141BAA">
        <w:trPr>
          <w:trHeight w:val="255"/>
        </w:trPr>
        <w:tc>
          <w:tcPr>
            <w:tcW w:w="1171" w:type="pct"/>
            <w:tcBorders>
              <w:top w:val="nil"/>
              <w:left w:val="single" w:sz="4" w:space="0" w:color="auto"/>
              <w:bottom w:val="nil"/>
              <w:right w:val="nil"/>
            </w:tcBorders>
            <w:shd w:val="clear" w:color="auto" w:fill="auto"/>
            <w:noWrap/>
            <w:vAlign w:val="bottom"/>
            <w:hideMark/>
          </w:tcPr>
          <w:p w14:paraId="617DE6CF"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sz w:val="20"/>
              </w:rPr>
              <w:t>科摩罗</w:t>
            </w:r>
          </w:p>
        </w:tc>
        <w:tc>
          <w:tcPr>
            <w:tcW w:w="741" w:type="pct"/>
            <w:tcBorders>
              <w:top w:val="nil"/>
              <w:left w:val="single" w:sz="4" w:space="0" w:color="auto"/>
              <w:bottom w:val="nil"/>
              <w:right w:val="single" w:sz="4" w:space="0" w:color="auto"/>
            </w:tcBorders>
            <w:shd w:val="clear" w:color="auto" w:fill="auto"/>
            <w:noWrap/>
            <w:vAlign w:val="bottom"/>
            <w:hideMark/>
          </w:tcPr>
          <w:p w14:paraId="360C6F5D"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rPr>
              <w:t>– 201</w:t>
            </w:r>
            <w:r w:rsidRPr="000C156A">
              <w:rPr>
                <w:rFonts w:hint="eastAsia"/>
                <w:sz w:val="20"/>
                <w:lang w:eastAsia="zh-CN"/>
              </w:rPr>
              <w:t>9</w:t>
            </w:r>
            <w:r w:rsidRPr="000C156A">
              <w:rPr>
                <w:rFonts w:hint="eastAsia"/>
                <w:sz w:val="20"/>
                <w:lang w:eastAsia="zh-CN"/>
              </w:rPr>
              <w:t>年</w:t>
            </w:r>
          </w:p>
        </w:tc>
        <w:tc>
          <w:tcPr>
            <w:tcW w:w="508" w:type="pct"/>
            <w:tcBorders>
              <w:top w:val="nil"/>
              <w:left w:val="nil"/>
              <w:bottom w:val="nil"/>
              <w:right w:val="nil"/>
            </w:tcBorders>
            <w:shd w:val="clear" w:color="auto" w:fill="auto"/>
            <w:noWrap/>
            <w:vAlign w:val="bottom"/>
            <w:hideMark/>
          </w:tcPr>
          <w:p w14:paraId="1619064C" w14:textId="28A25A85" w:rsidR="00686EC7" w:rsidRPr="000C156A" w:rsidRDefault="00686EC7" w:rsidP="00141BAA">
            <w:pPr>
              <w:jc w:val="right"/>
              <w:rPr>
                <w:rFonts w:cs="Calibri"/>
                <w:sz w:val="20"/>
                <w:lang w:eastAsia="en-GB"/>
              </w:rPr>
            </w:pPr>
            <w:r w:rsidRPr="000C156A">
              <w:rPr>
                <w:rFonts w:cs="Calibri"/>
                <w:sz w:val="20"/>
                <w:lang w:eastAsia="en-GB"/>
              </w:rPr>
              <w:t>210</w:t>
            </w:r>
            <w:r w:rsidR="001A59E5" w:rsidRPr="000C156A">
              <w:rPr>
                <w:rFonts w:cs="Calibri"/>
                <w:sz w:val="20"/>
                <w:lang w:eastAsia="en-GB"/>
              </w:rPr>
              <w:t xml:space="preserve"> </w:t>
            </w:r>
            <w:r w:rsidRPr="000C156A">
              <w:rPr>
                <w:rFonts w:cs="Calibri"/>
                <w:sz w:val="20"/>
                <w:lang w:eastAsia="en-GB"/>
              </w:rPr>
              <w:t>094.66</w:t>
            </w:r>
          </w:p>
        </w:tc>
        <w:tc>
          <w:tcPr>
            <w:tcW w:w="834" w:type="pct"/>
            <w:tcBorders>
              <w:top w:val="nil"/>
              <w:left w:val="single" w:sz="4" w:space="0" w:color="auto"/>
              <w:bottom w:val="nil"/>
              <w:right w:val="single" w:sz="4" w:space="0" w:color="auto"/>
            </w:tcBorders>
            <w:shd w:val="clear" w:color="auto" w:fill="auto"/>
            <w:noWrap/>
            <w:vAlign w:val="bottom"/>
            <w:hideMark/>
          </w:tcPr>
          <w:p w14:paraId="59135E56" w14:textId="64CB6C4D" w:rsidR="00686EC7" w:rsidRPr="000C156A" w:rsidRDefault="00686EC7" w:rsidP="00141BAA">
            <w:pPr>
              <w:jc w:val="right"/>
              <w:rPr>
                <w:rFonts w:cs="Calibri"/>
                <w:sz w:val="20"/>
                <w:lang w:eastAsia="en-GB"/>
              </w:rPr>
            </w:pPr>
            <w:r w:rsidRPr="000C156A">
              <w:rPr>
                <w:rFonts w:cs="Calibri"/>
                <w:sz w:val="20"/>
                <w:lang w:eastAsia="en-GB"/>
              </w:rPr>
              <w:t>210</w:t>
            </w:r>
            <w:r w:rsidR="001A59E5" w:rsidRPr="000C156A">
              <w:rPr>
                <w:rFonts w:cs="Calibri"/>
                <w:sz w:val="20"/>
                <w:lang w:eastAsia="en-GB"/>
              </w:rPr>
              <w:t xml:space="preserve"> </w:t>
            </w:r>
            <w:r w:rsidRPr="000C156A">
              <w:rPr>
                <w:rFonts w:cs="Calibri"/>
                <w:sz w:val="20"/>
                <w:lang w:eastAsia="en-GB"/>
              </w:rPr>
              <w:t>094.66</w:t>
            </w:r>
          </w:p>
        </w:tc>
        <w:tc>
          <w:tcPr>
            <w:tcW w:w="479" w:type="pct"/>
            <w:tcBorders>
              <w:top w:val="nil"/>
              <w:left w:val="nil"/>
              <w:bottom w:val="nil"/>
              <w:right w:val="nil"/>
            </w:tcBorders>
            <w:shd w:val="clear" w:color="auto" w:fill="auto"/>
            <w:noWrap/>
            <w:vAlign w:val="bottom"/>
            <w:hideMark/>
          </w:tcPr>
          <w:p w14:paraId="5716E315"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392" w:type="pct"/>
            <w:tcBorders>
              <w:top w:val="nil"/>
              <w:left w:val="single" w:sz="4" w:space="0" w:color="auto"/>
              <w:bottom w:val="nil"/>
              <w:right w:val="single" w:sz="4" w:space="0" w:color="auto"/>
            </w:tcBorders>
            <w:shd w:val="clear" w:color="auto" w:fill="auto"/>
            <w:noWrap/>
            <w:vAlign w:val="bottom"/>
            <w:hideMark/>
          </w:tcPr>
          <w:p w14:paraId="24126E4E" w14:textId="3B05520D" w:rsidR="00686EC7" w:rsidRPr="000C156A" w:rsidRDefault="00686EC7" w:rsidP="00141BAA">
            <w:pPr>
              <w:jc w:val="right"/>
              <w:rPr>
                <w:rFonts w:cs="Calibri"/>
                <w:sz w:val="20"/>
                <w:lang w:eastAsia="en-GB"/>
              </w:rPr>
            </w:pPr>
            <w:r w:rsidRPr="000C156A">
              <w:rPr>
                <w:rFonts w:cs="Calibri"/>
                <w:sz w:val="20"/>
                <w:lang w:eastAsia="en-GB"/>
              </w:rPr>
              <w:t>12</w:t>
            </w:r>
            <w:r w:rsidR="001A59E5" w:rsidRPr="000C156A">
              <w:rPr>
                <w:rFonts w:cs="Calibri"/>
                <w:sz w:val="20"/>
                <w:lang w:eastAsia="en-GB"/>
              </w:rPr>
              <w:t xml:space="preserve"> </w:t>
            </w:r>
            <w:r w:rsidRPr="000C156A">
              <w:rPr>
                <w:rFonts w:cs="Calibri"/>
                <w:sz w:val="20"/>
                <w:lang w:eastAsia="en-GB"/>
              </w:rPr>
              <w:t>605.70</w:t>
            </w:r>
          </w:p>
        </w:tc>
        <w:tc>
          <w:tcPr>
            <w:tcW w:w="402" w:type="pct"/>
            <w:tcBorders>
              <w:top w:val="nil"/>
              <w:left w:val="nil"/>
              <w:bottom w:val="nil"/>
              <w:right w:val="single" w:sz="4" w:space="0" w:color="auto"/>
            </w:tcBorders>
            <w:shd w:val="clear" w:color="auto" w:fill="auto"/>
            <w:noWrap/>
            <w:vAlign w:val="bottom"/>
            <w:hideMark/>
          </w:tcPr>
          <w:p w14:paraId="721E595C"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74" w:type="pct"/>
            <w:tcBorders>
              <w:top w:val="nil"/>
              <w:left w:val="nil"/>
              <w:bottom w:val="nil"/>
              <w:right w:val="single" w:sz="4" w:space="0" w:color="auto"/>
            </w:tcBorders>
            <w:shd w:val="clear" w:color="auto" w:fill="auto"/>
            <w:noWrap/>
            <w:vAlign w:val="bottom"/>
            <w:hideMark/>
          </w:tcPr>
          <w:p w14:paraId="11571303" w14:textId="7F95AD11" w:rsidR="00686EC7" w:rsidRPr="000C156A" w:rsidRDefault="00686EC7" w:rsidP="00141BAA">
            <w:pPr>
              <w:jc w:val="right"/>
              <w:rPr>
                <w:rFonts w:cs="Calibri"/>
                <w:sz w:val="20"/>
                <w:lang w:eastAsia="en-GB"/>
              </w:rPr>
            </w:pPr>
            <w:r w:rsidRPr="000C156A">
              <w:rPr>
                <w:rFonts w:cs="Calibri"/>
                <w:sz w:val="20"/>
                <w:lang w:eastAsia="en-GB"/>
              </w:rPr>
              <w:t>222</w:t>
            </w:r>
            <w:r w:rsidR="001A59E5" w:rsidRPr="000C156A">
              <w:rPr>
                <w:rFonts w:cs="Calibri"/>
                <w:sz w:val="20"/>
                <w:lang w:eastAsia="en-GB"/>
              </w:rPr>
              <w:t xml:space="preserve"> </w:t>
            </w:r>
            <w:r w:rsidRPr="000C156A">
              <w:rPr>
                <w:rFonts w:cs="Calibri"/>
                <w:sz w:val="20"/>
                <w:lang w:eastAsia="en-GB"/>
              </w:rPr>
              <w:t>700.36</w:t>
            </w:r>
          </w:p>
        </w:tc>
      </w:tr>
      <w:tr w:rsidR="00686EC7" w:rsidRPr="000C156A" w14:paraId="7D451BF2" w14:textId="77777777" w:rsidTr="00141BAA">
        <w:trPr>
          <w:trHeight w:val="255"/>
        </w:trPr>
        <w:tc>
          <w:tcPr>
            <w:tcW w:w="1171" w:type="pct"/>
            <w:tcBorders>
              <w:top w:val="nil"/>
              <w:left w:val="single" w:sz="4" w:space="0" w:color="auto"/>
              <w:bottom w:val="nil"/>
              <w:right w:val="nil"/>
            </w:tcBorders>
            <w:shd w:val="clear" w:color="auto" w:fill="auto"/>
            <w:noWrap/>
            <w:vAlign w:val="bottom"/>
            <w:hideMark/>
          </w:tcPr>
          <w:p w14:paraId="79959B71"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sz w:val="20"/>
              </w:rPr>
              <w:t>冈比亚</w:t>
            </w:r>
          </w:p>
        </w:tc>
        <w:tc>
          <w:tcPr>
            <w:tcW w:w="741" w:type="pct"/>
            <w:tcBorders>
              <w:top w:val="nil"/>
              <w:left w:val="single" w:sz="4" w:space="0" w:color="auto"/>
              <w:bottom w:val="nil"/>
              <w:right w:val="single" w:sz="4" w:space="0" w:color="auto"/>
            </w:tcBorders>
            <w:shd w:val="clear" w:color="auto" w:fill="auto"/>
            <w:noWrap/>
            <w:vAlign w:val="bottom"/>
            <w:hideMark/>
          </w:tcPr>
          <w:p w14:paraId="7B79454B"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rPr>
              <w:t>–</w:t>
            </w:r>
            <w:r w:rsidRPr="000C156A">
              <w:rPr>
                <w:sz w:val="20"/>
                <w:lang w:eastAsia="zh-CN"/>
              </w:rPr>
              <w:t xml:space="preserve"> </w:t>
            </w:r>
            <w:r w:rsidRPr="000C156A">
              <w:rPr>
                <w:sz w:val="20"/>
              </w:rPr>
              <w:t>201</w:t>
            </w:r>
            <w:r w:rsidRPr="000C156A">
              <w:rPr>
                <w:rFonts w:hint="eastAsia"/>
                <w:sz w:val="20"/>
                <w:lang w:eastAsia="zh-CN"/>
              </w:rPr>
              <w:t>9</w:t>
            </w:r>
            <w:r w:rsidRPr="000C156A">
              <w:rPr>
                <w:rFonts w:hint="eastAsia"/>
                <w:sz w:val="20"/>
                <w:lang w:eastAsia="zh-CN"/>
              </w:rPr>
              <w:t>年</w:t>
            </w:r>
          </w:p>
        </w:tc>
        <w:tc>
          <w:tcPr>
            <w:tcW w:w="508" w:type="pct"/>
            <w:tcBorders>
              <w:top w:val="nil"/>
              <w:left w:val="nil"/>
              <w:bottom w:val="nil"/>
              <w:right w:val="nil"/>
            </w:tcBorders>
            <w:shd w:val="clear" w:color="auto" w:fill="auto"/>
            <w:noWrap/>
            <w:vAlign w:val="bottom"/>
            <w:hideMark/>
          </w:tcPr>
          <w:p w14:paraId="76644933" w14:textId="58BDA273" w:rsidR="00686EC7" w:rsidRPr="000C156A" w:rsidRDefault="00686EC7" w:rsidP="00141BAA">
            <w:pPr>
              <w:jc w:val="right"/>
              <w:rPr>
                <w:rFonts w:cs="Calibri"/>
                <w:sz w:val="20"/>
                <w:lang w:eastAsia="en-GB"/>
              </w:rPr>
            </w:pPr>
            <w:r w:rsidRPr="000C156A">
              <w:rPr>
                <w:rFonts w:cs="Calibri"/>
                <w:sz w:val="20"/>
                <w:lang w:eastAsia="en-GB"/>
              </w:rPr>
              <w:t>255</w:t>
            </w:r>
            <w:r w:rsidR="001A59E5" w:rsidRPr="000C156A">
              <w:rPr>
                <w:rFonts w:cs="Calibri"/>
                <w:sz w:val="20"/>
                <w:lang w:eastAsia="en-GB"/>
              </w:rPr>
              <w:t xml:space="preserve"> </w:t>
            </w:r>
            <w:r w:rsidRPr="000C156A">
              <w:rPr>
                <w:rFonts w:cs="Calibri"/>
                <w:sz w:val="20"/>
                <w:lang w:eastAsia="en-GB"/>
              </w:rPr>
              <w:t>414.83</w:t>
            </w:r>
          </w:p>
        </w:tc>
        <w:tc>
          <w:tcPr>
            <w:tcW w:w="834" w:type="pct"/>
            <w:tcBorders>
              <w:top w:val="nil"/>
              <w:left w:val="single" w:sz="4" w:space="0" w:color="auto"/>
              <w:bottom w:val="nil"/>
              <w:right w:val="single" w:sz="4" w:space="0" w:color="auto"/>
            </w:tcBorders>
            <w:shd w:val="clear" w:color="auto" w:fill="auto"/>
            <w:noWrap/>
            <w:vAlign w:val="bottom"/>
            <w:hideMark/>
          </w:tcPr>
          <w:p w14:paraId="00592C95" w14:textId="60161E0E" w:rsidR="00686EC7" w:rsidRPr="000C156A" w:rsidRDefault="00686EC7" w:rsidP="00141BAA">
            <w:pPr>
              <w:jc w:val="right"/>
              <w:rPr>
                <w:rFonts w:cs="Calibri"/>
                <w:sz w:val="20"/>
                <w:lang w:eastAsia="en-GB"/>
              </w:rPr>
            </w:pPr>
            <w:r w:rsidRPr="000C156A">
              <w:rPr>
                <w:rFonts w:cs="Calibri"/>
                <w:sz w:val="20"/>
                <w:lang w:eastAsia="en-GB"/>
              </w:rPr>
              <w:t>255</w:t>
            </w:r>
            <w:r w:rsidR="001A59E5" w:rsidRPr="000C156A">
              <w:rPr>
                <w:rFonts w:cs="Calibri"/>
                <w:sz w:val="20"/>
                <w:lang w:eastAsia="en-GB"/>
              </w:rPr>
              <w:t xml:space="preserve"> </w:t>
            </w:r>
            <w:r w:rsidRPr="000C156A">
              <w:rPr>
                <w:rFonts w:cs="Calibri"/>
                <w:sz w:val="20"/>
                <w:lang w:eastAsia="en-GB"/>
              </w:rPr>
              <w:t>414.83</w:t>
            </w:r>
          </w:p>
        </w:tc>
        <w:tc>
          <w:tcPr>
            <w:tcW w:w="479" w:type="pct"/>
            <w:tcBorders>
              <w:top w:val="nil"/>
              <w:left w:val="nil"/>
              <w:bottom w:val="nil"/>
              <w:right w:val="nil"/>
            </w:tcBorders>
            <w:shd w:val="clear" w:color="auto" w:fill="auto"/>
            <w:noWrap/>
            <w:vAlign w:val="bottom"/>
            <w:hideMark/>
          </w:tcPr>
          <w:p w14:paraId="780FF7C3"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392" w:type="pct"/>
            <w:tcBorders>
              <w:top w:val="nil"/>
              <w:left w:val="single" w:sz="4" w:space="0" w:color="auto"/>
              <w:bottom w:val="nil"/>
              <w:right w:val="single" w:sz="4" w:space="0" w:color="auto"/>
            </w:tcBorders>
            <w:shd w:val="clear" w:color="auto" w:fill="auto"/>
            <w:noWrap/>
            <w:vAlign w:val="bottom"/>
            <w:hideMark/>
          </w:tcPr>
          <w:p w14:paraId="17A0F76B" w14:textId="0F9E3153" w:rsidR="00686EC7" w:rsidRPr="000C156A" w:rsidRDefault="00686EC7" w:rsidP="00141BAA">
            <w:pPr>
              <w:jc w:val="right"/>
              <w:rPr>
                <w:rFonts w:cs="Calibri"/>
                <w:sz w:val="20"/>
                <w:lang w:eastAsia="en-GB"/>
              </w:rPr>
            </w:pPr>
            <w:r w:rsidRPr="000C156A">
              <w:rPr>
                <w:rFonts w:cs="Calibri"/>
                <w:sz w:val="20"/>
                <w:lang w:eastAsia="en-GB"/>
              </w:rPr>
              <w:t>15</w:t>
            </w:r>
            <w:r w:rsidR="001A59E5" w:rsidRPr="000C156A">
              <w:rPr>
                <w:rFonts w:cs="Calibri"/>
                <w:sz w:val="20"/>
                <w:lang w:eastAsia="en-GB"/>
              </w:rPr>
              <w:t xml:space="preserve"> </w:t>
            </w:r>
            <w:r w:rsidRPr="000C156A">
              <w:rPr>
                <w:rFonts w:cs="Calibri"/>
                <w:sz w:val="20"/>
                <w:lang w:eastAsia="en-GB"/>
              </w:rPr>
              <w:t>324.90</w:t>
            </w:r>
          </w:p>
        </w:tc>
        <w:tc>
          <w:tcPr>
            <w:tcW w:w="402" w:type="pct"/>
            <w:tcBorders>
              <w:top w:val="nil"/>
              <w:left w:val="nil"/>
              <w:bottom w:val="nil"/>
              <w:right w:val="single" w:sz="4" w:space="0" w:color="auto"/>
            </w:tcBorders>
            <w:shd w:val="clear" w:color="auto" w:fill="auto"/>
            <w:noWrap/>
            <w:vAlign w:val="bottom"/>
            <w:hideMark/>
          </w:tcPr>
          <w:p w14:paraId="1540843D"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74" w:type="pct"/>
            <w:tcBorders>
              <w:top w:val="nil"/>
              <w:left w:val="nil"/>
              <w:bottom w:val="nil"/>
              <w:right w:val="single" w:sz="4" w:space="0" w:color="auto"/>
            </w:tcBorders>
            <w:shd w:val="clear" w:color="auto" w:fill="auto"/>
            <w:noWrap/>
            <w:vAlign w:val="bottom"/>
            <w:hideMark/>
          </w:tcPr>
          <w:p w14:paraId="671DCCC2" w14:textId="3A428D31" w:rsidR="00686EC7" w:rsidRPr="000C156A" w:rsidRDefault="00686EC7" w:rsidP="00141BAA">
            <w:pPr>
              <w:jc w:val="right"/>
              <w:rPr>
                <w:rFonts w:cs="Calibri"/>
                <w:sz w:val="20"/>
                <w:lang w:eastAsia="en-GB"/>
              </w:rPr>
            </w:pPr>
            <w:r w:rsidRPr="000C156A">
              <w:rPr>
                <w:rFonts w:cs="Calibri"/>
                <w:sz w:val="20"/>
                <w:lang w:eastAsia="en-GB"/>
              </w:rPr>
              <w:t>270</w:t>
            </w:r>
            <w:r w:rsidR="001A59E5" w:rsidRPr="000C156A">
              <w:rPr>
                <w:rFonts w:cs="Calibri"/>
                <w:sz w:val="20"/>
                <w:lang w:eastAsia="en-GB"/>
              </w:rPr>
              <w:t xml:space="preserve"> </w:t>
            </w:r>
            <w:r w:rsidRPr="000C156A">
              <w:rPr>
                <w:rFonts w:cs="Calibri"/>
                <w:sz w:val="20"/>
                <w:lang w:eastAsia="en-GB"/>
              </w:rPr>
              <w:t>739.73</w:t>
            </w:r>
          </w:p>
        </w:tc>
      </w:tr>
      <w:tr w:rsidR="00686EC7" w:rsidRPr="000C156A" w14:paraId="29F1C0C9" w14:textId="77777777" w:rsidTr="00141BAA">
        <w:trPr>
          <w:trHeight w:val="255"/>
        </w:trPr>
        <w:tc>
          <w:tcPr>
            <w:tcW w:w="1171" w:type="pct"/>
            <w:tcBorders>
              <w:top w:val="nil"/>
              <w:left w:val="single" w:sz="4" w:space="0" w:color="auto"/>
              <w:bottom w:val="nil"/>
              <w:right w:val="nil"/>
            </w:tcBorders>
            <w:shd w:val="clear" w:color="auto" w:fill="auto"/>
            <w:noWrap/>
            <w:vAlign w:val="bottom"/>
            <w:hideMark/>
          </w:tcPr>
          <w:p w14:paraId="5F4DFB36"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sz w:val="20"/>
              </w:rPr>
              <w:t>几内亚比绍</w:t>
            </w:r>
          </w:p>
        </w:tc>
        <w:tc>
          <w:tcPr>
            <w:tcW w:w="741" w:type="pct"/>
            <w:tcBorders>
              <w:top w:val="nil"/>
              <w:left w:val="single" w:sz="4" w:space="0" w:color="auto"/>
              <w:bottom w:val="nil"/>
              <w:right w:val="single" w:sz="4" w:space="0" w:color="auto"/>
            </w:tcBorders>
            <w:shd w:val="clear" w:color="auto" w:fill="auto"/>
            <w:noWrap/>
            <w:vAlign w:val="bottom"/>
            <w:hideMark/>
          </w:tcPr>
          <w:p w14:paraId="4DAB40D3"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lang w:eastAsia="zh-CN"/>
              </w:rPr>
              <w:t xml:space="preserve">– </w:t>
            </w:r>
            <w:r w:rsidRPr="000C156A">
              <w:rPr>
                <w:sz w:val="20"/>
              </w:rPr>
              <w:t>201</w:t>
            </w:r>
            <w:r w:rsidRPr="000C156A">
              <w:rPr>
                <w:rFonts w:hint="eastAsia"/>
                <w:sz w:val="20"/>
                <w:lang w:eastAsia="zh-CN"/>
              </w:rPr>
              <w:t>9</w:t>
            </w:r>
            <w:r w:rsidRPr="000C156A">
              <w:rPr>
                <w:rFonts w:hint="eastAsia"/>
                <w:sz w:val="20"/>
                <w:lang w:eastAsia="zh-CN"/>
              </w:rPr>
              <w:t>年</w:t>
            </w:r>
          </w:p>
        </w:tc>
        <w:tc>
          <w:tcPr>
            <w:tcW w:w="508" w:type="pct"/>
            <w:tcBorders>
              <w:top w:val="nil"/>
              <w:left w:val="nil"/>
              <w:bottom w:val="nil"/>
              <w:right w:val="nil"/>
            </w:tcBorders>
            <w:shd w:val="clear" w:color="auto" w:fill="auto"/>
            <w:noWrap/>
            <w:vAlign w:val="bottom"/>
            <w:hideMark/>
          </w:tcPr>
          <w:p w14:paraId="3DE2C24F" w14:textId="1AB781A7" w:rsidR="00686EC7" w:rsidRPr="000C156A" w:rsidRDefault="00686EC7" w:rsidP="00141BAA">
            <w:pPr>
              <w:jc w:val="right"/>
              <w:rPr>
                <w:rFonts w:cs="Calibri"/>
                <w:sz w:val="20"/>
                <w:lang w:eastAsia="en-GB"/>
              </w:rPr>
            </w:pPr>
            <w:r w:rsidRPr="000C156A">
              <w:rPr>
                <w:rFonts w:cs="Calibri"/>
                <w:sz w:val="20"/>
                <w:lang w:eastAsia="en-GB"/>
              </w:rPr>
              <w:t>4</w:t>
            </w:r>
            <w:r w:rsidR="001A59E5" w:rsidRPr="000C156A">
              <w:rPr>
                <w:rFonts w:cs="Calibri"/>
                <w:sz w:val="20"/>
                <w:lang w:eastAsia="en-GB"/>
              </w:rPr>
              <w:t xml:space="preserve"> </w:t>
            </w:r>
            <w:r w:rsidRPr="000C156A">
              <w:rPr>
                <w:rFonts w:cs="Calibri"/>
                <w:sz w:val="20"/>
                <w:lang w:eastAsia="en-GB"/>
              </w:rPr>
              <w:t>416</w:t>
            </w:r>
            <w:r w:rsidR="001A59E5" w:rsidRPr="000C156A">
              <w:rPr>
                <w:rFonts w:cs="Calibri"/>
                <w:sz w:val="20"/>
                <w:lang w:eastAsia="en-GB"/>
              </w:rPr>
              <w:t xml:space="preserve"> </w:t>
            </w:r>
            <w:r w:rsidRPr="000C156A">
              <w:rPr>
                <w:rFonts w:cs="Calibri"/>
                <w:sz w:val="20"/>
                <w:lang w:eastAsia="en-GB"/>
              </w:rPr>
              <w:t>613.50</w:t>
            </w:r>
          </w:p>
        </w:tc>
        <w:tc>
          <w:tcPr>
            <w:tcW w:w="834" w:type="pct"/>
            <w:tcBorders>
              <w:top w:val="nil"/>
              <w:left w:val="single" w:sz="4" w:space="0" w:color="auto"/>
              <w:bottom w:val="nil"/>
              <w:right w:val="single" w:sz="4" w:space="0" w:color="auto"/>
            </w:tcBorders>
            <w:shd w:val="clear" w:color="auto" w:fill="auto"/>
            <w:noWrap/>
            <w:vAlign w:val="bottom"/>
            <w:hideMark/>
          </w:tcPr>
          <w:p w14:paraId="3F451A81" w14:textId="13224C5F" w:rsidR="00686EC7" w:rsidRPr="000C156A" w:rsidRDefault="00686EC7" w:rsidP="00141BAA">
            <w:pPr>
              <w:jc w:val="right"/>
              <w:rPr>
                <w:rFonts w:cs="Calibri"/>
                <w:sz w:val="20"/>
                <w:lang w:eastAsia="en-GB"/>
              </w:rPr>
            </w:pPr>
            <w:r w:rsidRPr="000C156A">
              <w:rPr>
                <w:rFonts w:cs="Calibri"/>
                <w:sz w:val="20"/>
                <w:lang w:eastAsia="en-GB"/>
              </w:rPr>
              <w:t>4</w:t>
            </w:r>
            <w:r w:rsidR="001A59E5" w:rsidRPr="000C156A">
              <w:rPr>
                <w:rFonts w:cs="Calibri"/>
                <w:sz w:val="20"/>
                <w:lang w:eastAsia="en-GB"/>
              </w:rPr>
              <w:t xml:space="preserve"> </w:t>
            </w:r>
            <w:r w:rsidRPr="000C156A">
              <w:rPr>
                <w:rFonts w:cs="Calibri"/>
                <w:sz w:val="20"/>
                <w:lang w:eastAsia="en-GB"/>
              </w:rPr>
              <w:t>416</w:t>
            </w:r>
            <w:r w:rsidR="001A59E5" w:rsidRPr="000C156A">
              <w:rPr>
                <w:rFonts w:cs="Calibri"/>
                <w:sz w:val="20"/>
                <w:lang w:eastAsia="en-GB"/>
              </w:rPr>
              <w:t xml:space="preserve"> </w:t>
            </w:r>
            <w:r w:rsidRPr="000C156A">
              <w:rPr>
                <w:rFonts w:cs="Calibri"/>
                <w:sz w:val="20"/>
                <w:lang w:eastAsia="en-GB"/>
              </w:rPr>
              <w:t>613.50</w:t>
            </w:r>
          </w:p>
        </w:tc>
        <w:tc>
          <w:tcPr>
            <w:tcW w:w="479" w:type="pct"/>
            <w:tcBorders>
              <w:top w:val="nil"/>
              <w:left w:val="nil"/>
              <w:bottom w:val="nil"/>
              <w:right w:val="nil"/>
            </w:tcBorders>
            <w:shd w:val="clear" w:color="auto" w:fill="auto"/>
            <w:noWrap/>
            <w:vAlign w:val="bottom"/>
            <w:hideMark/>
          </w:tcPr>
          <w:p w14:paraId="59169D7B"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392" w:type="pct"/>
            <w:tcBorders>
              <w:top w:val="nil"/>
              <w:left w:val="single" w:sz="4" w:space="0" w:color="auto"/>
              <w:bottom w:val="nil"/>
              <w:right w:val="single" w:sz="4" w:space="0" w:color="auto"/>
            </w:tcBorders>
            <w:shd w:val="clear" w:color="auto" w:fill="auto"/>
            <w:noWrap/>
            <w:vAlign w:val="bottom"/>
            <w:hideMark/>
          </w:tcPr>
          <w:p w14:paraId="53A4509F" w14:textId="12546051" w:rsidR="00686EC7" w:rsidRPr="000C156A" w:rsidRDefault="00686EC7" w:rsidP="00141BAA">
            <w:pPr>
              <w:jc w:val="right"/>
              <w:rPr>
                <w:rFonts w:cs="Calibri"/>
                <w:sz w:val="20"/>
                <w:lang w:eastAsia="en-GB"/>
              </w:rPr>
            </w:pPr>
            <w:r w:rsidRPr="000C156A">
              <w:rPr>
                <w:rFonts w:cs="Calibri"/>
                <w:sz w:val="20"/>
                <w:lang w:eastAsia="en-GB"/>
              </w:rPr>
              <w:t>264</w:t>
            </w:r>
            <w:r w:rsidR="001A59E5" w:rsidRPr="000C156A">
              <w:rPr>
                <w:rFonts w:cs="Calibri"/>
                <w:sz w:val="20"/>
                <w:lang w:eastAsia="en-GB"/>
              </w:rPr>
              <w:t xml:space="preserve"> </w:t>
            </w:r>
            <w:r w:rsidRPr="000C156A">
              <w:rPr>
                <w:rFonts w:cs="Calibri"/>
                <w:sz w:val="20"/>
                <w:lang w:eastAsia="en-GB"/>
              </w:rPr>
              <w:t>996.80</w:t>
            </w:r>
          </w:p>
        </w:tc>
        <w:tc>
          <w:tcPr>
            <w:tcW w:w="402" w:type="pct"/>
            <w:tcBorders>
              <w:top w:val="nil"/>
              <w:left w:val="nil"/>
              <w:bottom w:val="nil"/>
              <w:right w:val="single" w:sz="4" w:space="0" w:color="auto"/>
            </w:tcBorders>
            <w:shd w:val="clear" w:color="auto" w:fill="auto"/>
            <w:noWrap/>
            <w:vAlign w:val="bottom"/>
            <w:hideMark/>
          </w:tcPr>
          <w:p w14:paraId="61B5D4E7"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74" w:type="pct"/>
            <w:tcBorders>
              <w:top w:val="nil"/>
              <w:left w:val="nil"/>
              <w:bottom w:val="nil"/>
              <w:right w:val="single" w:sz="4" w:space="0" w:color="auto"/>
            </w:tcBorders>
            <w:shd w:val="clear" w:color="auto" w:fill="auto"/>
            <w:noWrap/>
            <w:vAlign w:val="bottom"/>
            <w:hideMark/>
          </w:tcPr>
          <w:p w14:paraId="17B58666" w14:textId="14858310" w:rsidR="00686EC7" w:rsidRPr="000C156A" w:rsidRDefault="00686EC7" w:rsidP="00141BAA">
            <w:pPr>
              <w:jc w:val="right"/>
              <w:rPr>
                <w:rFonts w:cs="Calibri"/>
                <w:sz w:val="20"/>
                <w:lang w:eastAsia="en-GB"/>
              </w:rPr>
            </w:pPr>
            <w:r w:rsidRPr="000C156A">
              <w:rPr>
                <w:rFonts w:cs="Calibri"/>
                <w:sz w:val="20"/>
                <w:lang w:eastAsia="en-GB"/>
              </w:rPr>
              <w:t>4</w:t>
            </w:r>
            <w:r w:rsidR="001A59E5" w:rsidRPr="000C156A">
              <w:rPr>
                <w:rFonts w:cs="Calibri"/>
                <w:sz w:val="20"/>
                <w:lang w:eastAsia="en-GB"/>
              </w:rPr>
              <w:t xml:space="preserve"> </w:t>
            </w:r>
            <w:r w:rsidRPr="000C156A">
              <w:rPr>
                <w:rFonts w:cs="Calibri"/>
                <w:sz w:val="20"/>
                <w:lang w:eastAsia="en-GB"/>
              </w:rPr>
              <w:t>681</w:t>
            </w:r>
            <w:r w:rsidR="001A59E5" w:rsidRPr="000C156A">
              <w:rPr>
                <w:rFonts w:cs="Calibri"/>
                <w:sz w:val="20"/>
                <w:lang w:eastAsia="en-GB"/>
              </w:rPr>
              <w:t xml:space="preserve"> </w:t>
            </w:r>
            <w:r w:rsidRPr="000C156A">
              <w:rPr>
                <w:rFonts w:cs="Calibri"/>
                <w:sz w:val="20"/>
                <w:lang w:eastAsia="en-GB"/>
              </w:rPr>
              <w:t>610.30</w:t>
            </w:r>
          </w:p>
        </w:tc>
      </w:tr>
      <w:tr w:rsidR="00686EC7" w:rsidRPr="000C156A" w14:paraId="3519D890" w14:textId="77777777" w:rsidTr="00141BAA">
        <w:trPr>
          <w:trHeight w:val="255"/>
        </w:trPr>
        <w:tc>
          <w:tcPr>
            <w:tcW w:w="1171" w:type="pct"/>
            <w:tcBorders>
              <w:top w:val="nil"/>
              <w:left w:val="single" w:sz="4" w:space="0" w:color="auto"/>
              <w:bottom w:val="nil"/>
              <w:right w:val="nil"/>
            </w:tcBorders>
            <w:shd w:val="clear" w:color="auto" w:fill="auto"/>
            <w:noWrap/>
            <w:vAlign w:val="bottom"/>
            <w:hideMark/>
          </w:tcPr>
          <w:p w14:paraId="3A7DAEAB"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sz w:val="20"/>
              </w:rPr>
              <w:t>利比里亚</w:t>
            </w:r>
          </w:p>
        </w:tc>
        <w:tc>
          <w:tcPr>
            <w:tcW w:w="741" w:type="pct"/>
            <w:tcBorders>
              <w:top w:val="nil"/>
              <w:left w:val="single" w:sz="4" w:space="0" w:color="auto"/>
              <w:bottom w:val="nil"/>
              <w:right w:val="single" w:sz="4" w:space="0" w:color="auto"/>
            </w:tcBorders>
            <w:shd w:val="clear" w:color="auto" w:fill="auto"/>
            <w:noWrap/>
            <w:vAlign w:val="bottom"/>
            <w:hideMark/>
          </w:tcPr>
          <w:p w14:paraId="02A2B330"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lang w:eastAsia="zh-CN"/>
              </w:rPr>
              <w:t xml:space="preserve">– </w:t>
            </w:r>
            <w:r w:rsidRPr="000C156A">
              <w:rPr>
                <w:sz w:val="20"/>
              </w:rPr>
              <w:t>201</w:t>
            </w:r>
            <w:r w:rsidRPr="000C156A">
              <w:rPr>
                <w:rFonts w:hint="eastAsia"/>
                <w:sz w:val="20"/>
                <w:lang w:eastAsia="zh-CN"/>
              </w:rPr>
              <w:t>9</w:t>
            </w:r>
            <w:r w:rsidRPr="000C156A">
              <w:rPr>
                <w:rFonts w:hint="eastAsia"/>
                <w:sz w:val="20"/>
                <w:lang w:eastAsia="zh-CN"/>
              </w:rPr>
              <w:t>年</w:t>
            </w:r>
          </w:p>
        </w:tc>
        <w:tc>
          <w:tcPr>
            <w:tcW w:w="508" w:type="pct"/>
            <w:tcBorders>
              <w:top w:val="nil"/>
              <w:left w:val="nil"/>
              <w:bottom w:val="nil"/>
              <w:right w:val="nil"/>
            </w:tcBorders>
            <w:shd w:val="clear" w:color="auto" w:fill="auto"/>
            <w:noWrap/>
            <w:vAlign w:val="bottom"/>
            <w:hideMark/>
          </w:tcPr>
          <w:p w14:paraId="36C0DC7B" w14:textId="4EDB7EBE" w:rsidR="00686EC7" w:rsidRPr="000C156A" w:rsidRDefault="00686EC7" w:rsidP="00141BAA">
            <w:pPr>
              <w:jc w:val="right"/>
              <w:rPr>
                <w:rFonts w:cs="Calibri"/>
                <w:sz w:val="20"/>
                <w:lang w:eastAsia="en-GB"/>
              </w:rPr>
            </w:pPr>
            <w:r w:rsidRPr="000C156A">
              <w:rPr>
                <w:rFonts w:cs="Calibri"/>
                <w:sz w:val="20"/>
                <w:lang w:eastAsia="en-GB"/>
              </w:rPr>
              <w:t>4</w:t>
            </w:r>
            <w:r w:rsidR="001A59E5" w:rsidRPr="000C156A">
              <w:rPr>
                <w:rFonts w:cs="Calibri"/>
                <w:sz w:val="20"/>
                <w:lang w:eastAsia="en-GB"/>
              </w:rPr>
              <w:t xml:space="preserve"> </w:t>
            </w:r>
            <w:r w:rsidRPr="000C156A">
              <w:rPr>
                <w:rFonts w:cs="Calibri"/>
                <w:sz w:val="20"/>
                <w:lang w:eastAsia="en-GB"/>
              </w:rPr>
              <w:t>769</w:t>
            </w:r>
            <w:r w:rsidR="001A59E5" w:rsidRPr="000C156A">
              <w:rPr>
                <w:rFonts w:cs="Calibri"/>
                <w:sz w:val="20"/>
                <w:lang w:eastAsia="en-GB"/>
              </w:rPr>
              <w:t xml:space="preserve"> </w:t>
            </w:r>
            <w:r w:rsidRPr="000C156A">
              <w:rPr>
                <w:rFonts w:cs="Calibri"/>
                <w:sz w:val="20"/>
                <w:lang w:eastAsia="en-GB"/>
              </w:rPr>
              <w:t>016.24</w:t>
            </w:r>
          </w:p>
        </w:tc>
        <w:tc>
          <w:tcPr>
            <w:tcW w:w="834" w:type="pct"/>
            <w:tcBorders>
              <w:top w:val="nil"/>
              <w:left w:val="single" w:sz="4" w:space="0" w:color="auto"/>
              <w:bottom w:val="nil"/>
              <w:right w:val="single" w:sz="4" w:space="0" w:color="auto"/>
            </w:tcBorders>
            <w:shd w:val="clear" w:color="auto" w:fill="auto"/>
            <w:noWrap/>
            <w:vAlign w:val="bottom"/>
            <w:hideMark/>
          </w:tcPr>
          <w:p w14:paraId="1FD71C53" w14:textId="7FA3D203" w:rsidR="00686EC7" w:rsidRPr="000C156A" w:rsidRDefault="00686EC7" w:rsidP="00141BAA">
            <w:pPr>
              <w:jc w:val="right"/>
              <w:rPr>
                <w:rFonts w:cs="Calibri"/>
                <w:sz w:val="20"/>
                <w:lang w:eastAsia="en-GB"/>
              </w:rPr>
            </w:pPr>
            <w:r w:rsidRPr="000C156A">
              <w:rPr>
                <w:rFonts w:cs="Calibri"/>
                <w:sz w:val="20"/>
                <w:lang w:eastAsia="en-GB"/>
              </w:rPr>
              <w:t>4</w:t>
            </w:r>
            <w:r w:rsidR="001A59E5" w:rsidRPr="000C156A">
              <w:rPr>
                <w:rFonts w:cs="Calibri"/>
                <w:sz w:val="20"/>
                <w:lang w:eastAsia="en-GB"/>
              </w:rPr>
              <w:t xml:space="preserve"> </w:t>
            </w:r>
            <w:r w:rsidRPr="000C156A">
              <w:rPr>
                <w:rFonts w:cs="Calibri"/>
                <w:sz w:val="20"/>
                <w:lang w:eastAsia="en-GB"/>
              </w:rPr>
              <w:t>792</w:t>
            </w:r>
            <w:r w:rsidR="001A59E5" w:rsidRPr="000C156A">
              <w:rPr>
                <w:rFonts w:cs="Calibri"/>
                <w:sz w:val="20"/>
                <w:lang w:eastAsia="en-GB"/>
              </w:rPr>
              <w:t xml:space="preserve"> </w:t>
            </w:r>
            <w:r w:rsidRPr="000C156A">
              <w:rPr>
                <w:rFonts w:cs="Calibri"/>
                <w:sz w:val="20"/>
                <w:lang w:eastAsia="en-GB"/>
              </w:rPr>
              <w:t>861.34</w:t>
            </w:r>
          </w:p>
        </w:tc>
        <w:tc>
          <w:tcPr>
            <w:tcW w:w="479" w:type="pct"/>
            <w:tcBorders>
              <w:top w:val="nil"/>
              <w:left w:val="nil"/>
              <w:bottom w:val="nil"/>
              <w:right w:val="nil"/>
            </w:tcBorders>
            <w:shd w:val="clear" w:color="auto" w:fill="auto"/>
            <w:noWrap/>
            <w:vAlign w:val="bottom"/>
            <w:hideMark/>
          </w:tcPr>
          <w:p w14:paraId="1A666B21" w14:textId="51FF8182" w:rsidR="00686EC7" w:rsidRPr="000C156A" w:rsidRDefault="00686EC7" w:rsidP="00141BAA">
            <w:pPr>
              <w:jc w:val="right"/>
              <w:rPr>
                <w:rFonts w:cs="Calibri"/>
                <w:sz w:val="20"/>
                <w:lang w:eastAsia="en-GB"/>
              </w:rPr>
            </w:pPr>
            <w:r w:rsidRPr="000C156A">
              <w:rPr>
                <w:rFonts w:cs="Calibri"/>
                <w:sz w:val="20"/>
                <w:lang w:eastAsia="en-GB"/>
              </w:rPr>
              <w:t>-4</w:t>
            </w:r>
            <w:r w:rsidR="001A59E5" w:rsidRPr="000C156A">
              <w:rPr>
                <w:rFonts w:cs="Calibri"/>
                <w:sz w:val="20"/>
                <w:lang w:eastAsia="en-GB"/>
              </w:rPr>
              <w:t xml:space="preserve"> </w:t>
            </w:r>
            <w:r w:rsidRPr="000C156A">
              <w:rPr>
                <w:rFonts w:cs="Calibri"/>
                <w:sz w:val="20"/>
                <w:lang w:eastAsia="en-GB"/>
              </w:rPr>
              <w:t>792</w:t>
            </w:r>
            <w:r w:rsidR="001A59E5" w:rsidRPr="000C156A">
              <w:rPr>
                <w:rFonts w:cs="Calibri"/>
                <w:sz w:val="20"/>
                <w:lang w:eastAsia="en-GB"/>
              </w:rPr>
              <w:t xml:space="preserve"> </w:t>
            </w:r>
            <w:r w:rsidRPr="000C156A">
              <w:rPr>
                <w:rFonts w:cs="Calibri"/>
                <w:sz w:val="20"/>
                <w:lang w:eastAsia="en-GB"/>
              </w:rPr>
              <w:t>861.34</w:t>
            </w:r>
          </w:p>
        </w:tc>
        <w:tc>
          <w:tcPr>
            <w:tcW w:w="392" w:type="pct"/>
            <w:tcBorders>
              <w:top w:val="nil"/>
              <w:left w:val="single" w:sz="4" w:space="0" w:color="auto"/>
              <w:bottom w:val="nil"/>
              <w:right w:val="single" w:sz="4" w:space="0" w:color="auto"/>
            </w:tcBorders>
            <w:shd w:val="clear" w:color="auto" w:fill="auto"/>
            <w:noWrap/>
            <w:vAlign w:val="bottom"/>
            <w:hideMark/>
          </w:tcPr>
          <w:p w14:paraId="662895B2"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02" w:type="pct"/>
            <w:tcBorders>
              <w:top w:val="nil"/>
              <w:left w:val="nil"/>
              <w:bottom w:val="nil"/>
              <w:right w:val="single" w:sz="4" w:space="0" w:color="auto"/>
            </w:tcBorders>
            <w:shd w:val="clear" w:color="auto" w:fill="auto"/>
            <w:noWrap/>
            <w:vAlign w:val="bottom"/>
            <w:hideMark/>
          </w:tcPr>
          <w:p w14:paraId="3E03BD28"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74" w:type="pct"/>
            <w:tcBorders>
              <w:top w:val="nil"/>
              <w:left w:val="nil"/>
              <w:bottom w:val="nil"/>
              <w:right w:val="single" w:sz="4" w:space="0" w:color="auto"/>
            </w:tcBorders>
            <w:shd w:val="clear" w:color="auto" w:fill="auto"/>
            <w:noWrap/>
            <w:vAlign w:val="bottom"/>
            <w:hideMark/>
          </w:tcPr>
          <w:p w14:paraId="307C8C29" w14:textId="77777777" w:rsidR="00686EC7" w:rsidRPr="000C156A" w:rsidRDefault="00686EC7" w:rsidP="00141BAA">
            <w:pPr>
              <w:jc w:val="right"/>
              <w:rPr>
                <w:rFonts w:cs="Calibri"/>
                <w:sz w:val="20"/>
                <w:lang w:eastAsia="en-GB"/>
              </w:rPr>
            </w:pPr>
            <w:r w:rsidRPr="000C156A">
              <w:rPr>
                <w:rFonts w:cs="Calibri"/>
                <w:sz w:val="20"/>
                <w:lang w:eastAsia="en-GB"/>
              </w:rPr>
              <w:t>0.00</w:t>
            </w:r>
          </w:p>
        </w:tc>
      </w:tr>
      <w:tr w:rsidR="00686EC7" w:rsidRPr="000C156A" w14:paraId="03CA7C00" w14:textId="77777777" w:rsidTr="00141BAA">
        <w:trPr>
          <w:trHeight w:val="62"/>
        </w:trPr>
        <w:tc>
          <w:tcPr>
            <w:tcW w:w="1171" w:type="pct"/>
            <w:tcBorders>
              <w:top w:val="nil"/>
              <w:left w:val="single" w:sz="4" w:space="0" w:color="auto"/>
              <w:bottom w:val="nil"/>
              <w:right w:val="nil"/>
            </w:tcBorders>
            <w:shd w:val="clear" w:color="auto" w:fill="auto"/>
            <w:noWrap/>
            <w:vAlign w:val="bottom"/>
            <w:hideMark/>
          </w:tcPr>
          <w:p w14:paraId="3B95D3B8" w14:textId="77777777" w:rsidR="00686EC7" w:rsidRPr="000C156A" w:rsidRDefault="00686EC7" w:rsidP="00141BAA">
            <w:pPr>
              <w:overflowPunct/>
              <w:autoSpaceDE/>
              <w:autoSpaceDN/>
              <w:adjustRightInd/>
              <w:spacing w:before="0"/>
              <w:textAlignment w:val="auto"/>
              <w:rPr>
                <w:sz w:val="20"/>
              </w:rPr>
            </w:pPr>
            <w:r w:rsidRPr="000C156A">
              <w:rPr>
                <w:rFonts w:hint="eastAsia"/>
                <w:sz w:val="20"/>
              </w:rPr>
              <w:t>塞拉利昂</w:t>
            </w:r>
          </w:p>
        </w:tc>
        <w:tc>
          <w:tcPr>
            <w:tcW w:w="741" w:type="pct"/>
            <w:tcBorders>
              <w:top w:val="nil"/>
              <w:left w:val="single" w:sz="4" w:space="0" w:color="auto"/>
              <w:bottom w:val="nil"/>
              <w:right w:val="single" w:sz="4" w:space="0" w:color="auto"/>
            </w:tcBorders>
            <w:shd w:val="clear" w:color="auto" w:fill="auto"/>
            <w:noWrap/>
            <w:vAlign w:val="bottom"/>
            <w:hideMark/>
          </w:tcPr>
          <w:p w14:paraId="7DE817A7"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lang w:eastAsia="zh-CN"/>
              </w:rPr>
              <w:t xml:space="preserve">– </w:t>
            </w:r>
            <w:r w:rsidRPr="000C156A">
              <w:rPr>
                <w:sz w:val="20"/>
              </w:rPr>
              <w:t>201</w:t>
            </w:r>
            <w:r w:rsidRPr="000C156A">
              <w:rPr>
                <w:rFonts w:hint="eastAsia"/>
                <w:sz w:val="20"/>
                <w:lang w:eastAsia="zh-CN"/>
              </w:rPr>
              <w:t>9</w:t>
            </w:r>
            <w:r w:rsidRPr="000C156A">
              <w:rPr>
                <w:rFonts w:hint="eastAsia"/>
                <w:sz w:val="20"/>
                <w:lang w:eastAsia="zh-CN"/>
              </w:rPr>
              <w:t>年</w:t>
            </w:r>
          </w:p>
        </w:tc>
        <w:tc>
          <w:tcPr>
            <w:tcW w:w="508" w:type="pct"/>
            <w:tcBorders>
              <w:top w:val="nil"/>
              <w:left w:val="nil"/>
              <w:bottom w:val="nil"/>
              <w:right w:val="nil"/>
            </w:tcBorders>
            <w:shd w:val="clear" w:color="auto" w:fill="auto"/>
            <w:noWrap/>
            <w:vAlign w:val="bottom"/>
            <w:hideMark/>
          </w:tcPr>
          <w:p w14:paraId="4BE04B64" w14:textId="02B13232" w:rsidR="00686EC7" w:rsidRPr="000C156A" w:rsidRDefault="00686EC7" w:rsidP="00141BAA">
            <w:pPr>
              <w:jc w:val="right"/>
              <w:rPr>
                <w:rFonts w:cs="Calibri"/>
                <w:sz w:val="20"/>
                <w:lang w:eastAsia="en-GB"/>
              </w:rPr>
            </w:pPr>
            <w:r w:rsidRPr="000C156A">
              <w:rPr>
                <w:rFonts w:cs="Calibri"/>
                <w:sz w:val="20"/>
                <w:lang w:eastAsia="en-GB"/>
              </w:rPr>
              <w:t>2</w:t>
            </w:r>
            <w:r w:rsidR="001A59E5" w:rsidRPr="000C156A">
              <w:rPr>
                <w:rFonts w:cs="Calibri"/>
                <w:sz w:val="20"/>
                <w:lang w:eastAsia="en-GB"/>
              </w:rPr>
              <w:t xml:space="preserve"> </w:t>
            </w:r>
            <w:r w:rsidRPr="000C156A">
              <w:rPr>
                <w:rFonts w:cs="Calibri"/>
                <w:sz w:val="20"/>
                <w:lang w:eastAsia="en-GB"/>
              </w:rPr>
              <w:t>731</w:t>
            </w:r>
            <w:r w:rsidR="001A59E5" w:rsidRPr="000C156A">
              <w:rPr>
                <w:rFonts w:cs="Calibri"/>
                <w:sz w:val="20"/>
                <w:lang w:eastAsia="en-GB"/>
              </w:rPr>
              <w:t xml:space="preserve"> </w:t>
            </w:r>
            <w:r w:rsidRPr="000C156A">
              <w:rPr>
                <w:rFonts w:cs="Calibri"/>
                <w:sz w:val="20"/>
                <w:lang w:eastAsia="en-GB"/>
              </w:rPr>
              <w:t>266.28</w:t>
            </w:r>
          </w:p>
        </w:tc>
        <w:tc>
          <w:tcPr>
            <w:tcW w:w="834" w:type="pct"/>
            <w:tcBorders>
              <w:top w:val="nil"/>
              <w:left w:val="single" w:sz="4" w:space="0" w:color="auto"/>
              <w:bottom w:val="nil"/>
              <w:right w:val="single" w:sz="4" w:space="0" w:color="auto"/>
            </w:tcBorders>
            <w:shd w:val="clear" w:color="auto" w:fill="auto"/>
            <w:noWrap/>
            <w:vAlign w:val="bottom"/>
            <w:hideMark/>
          </w:tcPr>
          <w:p w14:paraId="76B9208E" w14:textId="755E28A8" w:rsidR="00686EC7" w:rsidRPr="000C156A" w:rsidRDefault="00686EC7" w:rsidP="00141BAA">
            <w:pPr>
              <w:jc w:val="right"/>
              <w:rPr>
                <w:rFonts w:cs="Calibri"/>
                <w:sz w:val="20"/>
                <w:lang w:eastAsia="en-GB"/>
              </w:rPr>
            </w:pPr>
            <w:r w:rsidRPr="000C156A">
              <w:rPr>
                <w:rFonts w:cs="Calibri"/>
                <w:sz w:val="20"/>
                <w:lang w:eastAsia="en-GB"/>
              </w:rPr>
              <w:t>2</w:t>
            </w:r>
            <w:r w:rsidR="001A59E5" w:rsidRPr="000C156A">
              <w:rPr>
                <w:rFonts w:cs="Calibri"/>
                <w:sz w:val="20"/>
                <w:lang w:eastAsia="en-GB"/>
              </w:rPr>
              <w:t xml:space="preserve"> </w:t>
            </w:r>
            <w:r w:rsidRPr="000C156A">
              <w:rPr>
                <w:rFonts w:cs="Calibri"/>
                <w:sz w:val="20"/>
                <w:lang w:eastAsia="en-GB"/>
              </w:rPr>
              <w:t>731</w:t>
            </w:r>
            <w:r w:rsidR="001A59E5" w:rsidRPr="000C156A">
              <w:rPr>
                <w:rFonts w:cs="Calibri"/>
                <w:sz w:val="20"/>
                <w:lang w:eastAsia="en-GB"/>
              </w:rPr>
              <w:t xml:space="preserve"> </w:t>
            </w:r>
            <w:r w:rsidRPr="000C156A">
              <w:rPr>
                <w:rFonts w:cs="Calibri"/>
                <w:sz w:val="20"/>
                <w:lang w:eastAsia="en-GB"/>
              </w:rPr>
              <w:t>266.28</w:t>
            </w:r>
          </w:p>
        </w:tc>
        <w:tc>
          <w:tcPr>
            <w:tcW w:w="479" w:type="pct"/>
            <w:tcBorders>
              <w:top w:val="nil"/>
              <w:left w:val="nil"/>
              <w:bottom w:val="nil"/>
              <w:right w:val="nil"/>
            </w:tcBorders>
            <w:shd w:val="clear" w:color="auto" w:fill="auto"/>
            <w:noWrap/>
            <w:vAlign w:val="bottom"/>
            <w:hideMark/>
          </w:tcPr>
          <w:p w14:paraId="3722D0A3"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392" w:type="pct"/>
            <w:tcBorders>
              <w:top w:val="nil"/>
              <w:left w:val="single" w:sz="4" w:space="0" w:color="auto"/>
              <w:bottom w:val="nil"/>
              <w:right w:val="single" w:sz="4" w:space="0" w:color="auto"/>
            </w:tcBorders>
            <w:shd w:val="clear" w:color="auto" w:fill="auto"/>
            <w:noWrap/>
            <w:vAlign w:val="bottom"/>
            <w:hideMark/>
          </w:tcPr>
          <w:p w14:paraId="4DAACA2A" w14:textId="0600EB9D" w:rsidR="00686EC7" w:rsidRPr="000C156A" w:rsidRDefault="00686EC7" w:rsidP="00141BAA">
            <w:pPr>
              <w:jc w:val="right"/>
              <w:rPr>
                <w:rFonts w:cs="Calibri"/>
                <w:sz w:val="20"/>
                <w:lang w:eastAsia="en-GB"/>
              </w:rPr>
            </w:pPr>
            <w:r w:rsidRPr="000C156A">
              <w:rPr>
                <w:rFonts w:cs="Calibri"/>
                <w:sz w:val="20"/>
                <w:lang w:eastAsia="en-GB"/>
              </w:rPr>
              <w:t>163</w:t>
            </w:r>
            <w:r w:rsidR="001A59E5" w:rsidRPr="000C156A">
              <w:rPr>
                <w:rFonts w:cs="Calibri"/>
                <w:sz w:val="20"/>
                <w:lang w:eastAsia="en-GB"/>
              </w:rPr>
              <w:t xml:space="preserve"> </w:t>
            </w:r>
            <w:r w:rsidRPr="000C156A">
              <w:rPr>
                <w:rFonts w:cs="Calibri"/>
                <w:sz w:val="20"/>
                <w:lang w:eastAsia="en-GB"/>
              </w:rPr>
              <w:t>876.00</w:t>
            </w:r>
          </w:p>
        </w:tc>
        <w:tc>
          <w:tcPr>
            <w:tcW w:w="402" w:type="pct"/>
            <w:tcBorders>
              <w:top w:val="nil"/>
              <w:left w:val="nil"/>
              <w:bottom w:val="nil"/>
              <w:right w:val="single" w:sz="4" w:space="0" w:color="auto"/>
            </w:tcBorders>
            <w:shd w:val="clear" w:color="auto" w:fill="auto"/>
            <w:noWrap/>
            <w:vAlign w:val="bottom"/>
            <w:hideMark/>
          </w:tcPr>
          <w:p w14:paraId="2C1A9C01"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74" w:type="pct"/>
            <w:tcBorders>
              <w:top w:val="nil"/>
              <w:left w:val="nil"/>
              <w:bottom w:val="nil"/>
              <w:right w:val="single" w:sz="4" w:space="0" w:color="auto"/>
            </w:tcBorders>
            <w:shd w:val="clear" w:color="auto" w:fill="auto"/>
            <w:noWrap/>
            <w:vAlign w:val="bottom"/>
            <w:hideMark/>
          </w:tcPr>
          <w:p w14:paraId="13DF97AD" w14:textId="3EE20FCC" w:rsidR="00686EC7" w:rsidRPr="000C156A" w:rsidRDefault="00686EC7" w:rsidP="00141BAA">
            <w:pPr>
              <w:jc w:val="right"/>
              <w:rPr>
                <w:rFonts w:cs="Calibri"/>
                <w:sz w:val="20"/>
                <w:lang w:eastAsia="en-GB"/>
              </w:rPr>
            </w:pPr>
            <w:r w:rsidRPr="000C156A">
              <w:rPr>
                <w:rFonts w:cs="Calibri"/>
                <w:sz w:val="20"/>
                <w:lang w:eastAsia="en-GB"/>
              </w:rPr>
              <w:t>2</w:t>
            </w:r>
            <w:r w:rsidR="001A59E5" w:rsidRPr="000C156A">
              <w:rPr>
                <w:rFonts w:cs="Calibri"/>
                <w:sz w:val="20"/>
                <w:lang w:eastAsia="en-GB"/>
              </w:rPr>
              <w:t xml:space="preserve"> </w:t>
            </w:r>
            <w:r w:rsidRPr="000C156A">
              <w:rPr>
                <w:rFonts w:cs="Calibri"/>
                <w:sz w:val="20"/>
                <w:lang w:eastAsia="en-GB"/>
              </w:rPr>
              <w:t>895</w:t>
            </w:r>
            <w:r w:rsidR="001A59E5" w:rsidRPr="000C156A">
              <w:rPr>
                <w:rFonts w:cs="Calibri"/>
                <w:sz w:val="20"/>
                <w:lang w:eastAsia="en-GB"/>
              </w:rPr>
              <w:t xml:space="preserve"> </w:t>
            </w:r>
            <w:r w:rsidRPr="000C156A">
              <w:rPr>
                <w:rFonts w:cs="Calibri"/>
                <w:sz w:val="20"/>
                <w:lang w:eastAsia="en-GB"/>
              </w:rPr>
              <w:t>142.28</w:t>
            </w:r>
          </w:p>
        </w:tc>
      </w:tr>
      <w:tr w:rsidR="00686EC7" w:rsidRPr="000C156A" w14:paraId="49C1047B" w14:textId="77777777" w:rsidTr="00141BAA">
        <w:trPr>
          <w:trHeight w:val="103"/>
        </w:trPr>
        <w:tc>
          <w:tcPr>
            <w:tcW w:w="1171" w:type="pct"/>
            <w:tcBorders>
              <w:top w:val="nil"/>
              <w:left w:val="single" w:sz="4" w:space="0" w:color="auto"/>
              <w:bottom w:val="nil"/>
              <w:right w:val="nil"/>
            </w:tcBorders>
            <w:shd w:val="clear" w:color="auto" w:fill="auto"/>
            <w:noWrap/>
            <w:vAlign w:val="bottom"/>
          </w:tcPr>
          <w:p w14:paraId="0A03CFAA" w14:textId="77777777" w:rsidR="00686EC7" w:rsidRPr="000C156A" w:rsidRDefault="00686EC7" w:rsidP="00141BAA">
            <w:pPr>
              <w:overflowPunct/>
              <w:autoSpaceDE/>
              <w:autoSpaceDN/>
              <w:adjustRightInd/>
              <w:spacing w:before="0"/>
              <w:textAlignment w:val="auto"/>
              <w:rPr>
                <w:sz w:val="20"/>
              </w:rPr>
            </w:pPr>
            <w:r w:rsidRPr="000C156A">
              <w:rPr>
                <w:rFonts w:hint="eastAsia"/>
                <w:sz w:val="20"/>
              </w:rPr>
              <w:t>中非共和国</w:t>
            </w:r>
          </w:p>
        </w:tc>
        <w:tc>
          <w:tcPr>
            <w:tcW w:w="741" w:type="pct"/>
            <w:tcBorders>
              <w:top w:val="nil"/>
              <w:left w:val="single" w:sz="4" w:space="0" w:color="auto"/>
              <w:bottom w:val="nil"/>
              <w:right w:val="single" w:sz="4" w:space="0" w:color="auto"/>
            </w:tcBorders>
            <w:shd w:val="clear" w:color="auto" w:fill="auto"/>
            <w:noWrap/>
            <w:vAlign w:val="bottom"/>
          </w:tcPr>
          <w:p w14:paraId="4F42610F"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lang w:eastAsia="zh-CN"/>
              </w:rPr>
              <w:t xml:space="preserve">– </w:t>
            </w:r>
            <w:r w:rsidRPr="000C156A">
              <w:rPr>
                <w:sz w:val="20"/>
              </w:rPr>
              <w:t>2020</w:t>
            </w:r>
            <w:r w:rsidRPr="000C156A">
              <w:rPr>
                <w:rFonts w:hint="eastAsia"/>
                <w:sz w:val="20"/>
                <w:lang w:eastAsia="zh-CN"/>
              </w:rPr>
              <w:t>年</w:t>
            </w:r>
          </w:p>
        </w:tc>
        <w:tc>
          <w:tcPr>
            <w:tcW w:w="508" w:type="pct"/>
            <w:tcBorders>
              <w:top w:val="nil"/>
              <w:left w:val="nil"/>
              <w:bottom w:val="nil"/>
              <w:right w:val="nil"/>
            </w:tcBorders>
            <w:shd w:val="clear" w:color="auto" w:fill="auto"/>
            <w:noWrap/>
            <w:vAlign w:val="bottom"/>
          </w:tcPr>
          <w:p w14:paraId="40924E0C" w14:textId="0D68BC79" w:rsidR="00686EC7" w:rsidRPr="000C156A" w:rsidRDefault="00686EC7" w:rsidP="00141BAA">
            <w:pPr>
              <w:jc w:val="right"/>
              <w:rPr>
                <w:rFonts w:cs="Calibri"/>
                <w:sz w:val="20"/>
                <w:lang w:eastAsia="en-GB"/>
              </w:rPr>
            </w:pPr>
            <w:r w:rsidRPr="000C156A">
              <w:rPr>
                <w:rFonts w:cs="Calibri"/>
                <w:sz w:val="20"/>
                <w:lang w:eastAsia="en-GB"/>
              </w:rPr>
              <w:t>109</w:t>
            </w:r>
            <w:r w:rsidR="001A59E5" w:rsidRPr="000C156A">
              <w:rPr>
                <w:rFonts w:cs="Calibri"/>
                <w:sz w:val="20"/>
                <w:lang w:eastAsia="en-GB"/>
              </w:rPr>
              <w:t xml:space="preserve"> </w:t>
            </w:r>
            <w:r w:rsidRPr="000C156A">
              <w:rPr>
                <w:rFonts w:cs="Calibri"/>
                <w:sz w:val="20"/>
                <w:lang w:eastAsia="en-GB"/>
              </w:rPr>
              <w:t>952.30</w:t>
            </w:r>
          </w:p>
        </w:tc>
        <w:tc>
          <w:tcPr>
            <w:tcW w:w="834" w:type="pct"/>
            <w:tcBorders>
              <w:top w:val="nil"/>
              <w:left w:val="single" w:sz="4" w:space="0" w:color="auto"/>
              <w:bottom w:val="nil"/>
              <w:right w:val="single" w:sz="4" w:space="0" w:color="auto"/>
            </w:tcBorders>
            <w:shd w:val="clear" w:color="auto" w:fill="auto"/>
            <w:noWrap/>
            <w:vAlign w:val="bottom"/>
          </w:tcPr>
          <w:p w14:paraId="47C8F4C8"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79" w:type="pct"/>
            <w:tcBorders>
              <w:top w:val="nil"/>
              <w:left w:val="nil"/>
              <w:bottom w:val="nil"/>
              <w:right w:val="nil"/>
            </w:tcBorders>
            <w:shd w:val="clear" w:color="auto" w:fill="auto"/>
            <w:noWrap/>
            <w:vAlign w:val="bottom"/>
          </w:tcPr>
          <w:p w14:paraId="03636F02" w14:textId="24EB1E9F" w:rsidR="00686EC7" w:rsidRPr="000C156A" w:rsidRDefault="00686EC7" w:rsidP="00141BAA">
            <w:pPr>
              <w:jc w:val="right"/>
              <w:rPr>
                <w:rFonts w:cs="Calibri"/>
                <w:sz w:val="20"/>
                <w:lang w:eastAsia="en-GB"/>
              </w:rPr>
            </w:pPr>
            <w:r w:rsidRPr="000C156A">
              <w:rPr>
                <w:rFonts w:cs="Calibri"/>
                <w:sz w:val="20"/>
                <w:lang w:eastAsia="en-GB"/>
              </w:rPr>
              <w:t>109</w:t>
            </w:r>
            <w:r w:rsidR="001A59E5" w:rsidRPr="000C156A">
              <w:rPr>
                <w:rFonts w:cs="Calibri"/>
                <w:sz w:val="20"/>
                <w:lang w:eastAsia="en-GB"/>
              </w:rPr>
              <w:t xml:space="preserve"> </w:t>
            </w:r>
            <w:r w:rsidRPr="000C156A">
              <w:rPr>
                <w:rFonts w:cs="Calibri"/>
                <w:sz w:val="20"/>
                <w:lang w:eastAsia="en-GB"/>
              </w:rPr>
              <w:t>952.30</w:t>
            </w:r>
          </w:p>
        </w:tc>
        <w:tc>
          <w:tcPr>
            <w:tcW w:w="392" w:type="pct"/>
            <w:tcBorders>
              <w:top w:val="nil"/>
              <w:left w:val="single" w:sz="4" w:space="0" w:color="auto"/>
              <w:bottom w:val="nil"/>
              <w:right w:val="single" w:sz="4" w:space="0" w:color="auto"/>
            </w:tcBorders>
            <w:shd w:val="clear" w:color="auto" w:fill="auto"/>
            <w:noWrap/>
            <w:vAlign w:val="bottom"/>
          </w:tcPr>
          <w:p w14:paraId="18A644BE" w14:textId="4FC8FB66" w:rsidR="00686EC7" w:rsidRPr="000C156A" w:rsidRDefault="00686EC7" w:rsidP="00141BAA">
            <w:pPr>
              <w:jc w:val="right"/>
              <w:rPr>
                <w:rFonts w:cs="Calibri"/>
                <w:sz w:val="20"/>
                <w:lang w:eastAsia="en-GB"/>
              </w:rPr>
            </w:pPr>
            <w:r w:rsidRPr="000C156A">
              <w:rPr>
                <w:rFonts w:cs="Calibri"/>
                <w:sz w:val="20"/>
                <w:lang w:eastAsia="en-GB"/>
              </w:rPr>
              <w:t>1</w:t>
            </w:r>
            <w:r w:rsidR="001A59E5" w:rsidRPr="000C156A">
              <w:rPr>
                <w:rFonts w:cs="Calibri"/>
                <w:sz w:val="20"/>
                <w:lang w:eastAsia="en-GB"/>
              </w:rPr>
              <w:t xml:space="preserve"> </w:t>
            </w:r>
            <w:r w:rsidRPr="000C156A">
              <w:rPr>
                <w:rFonts w:cs="Calibri"/>
                <w:sz w:val="20"/>
                <w:lang w:eastAsia="en-GB"/>
              </w:rPr>
              <w:t>630.95</w:t>
            </w:r>
          </w:p>
        </w:tc>
        <w:tc>
          <w:tcPr>
            <w:tcW w:w="402" w:type="pct"/>
            <w:tcBorders>
              <w:top w:val="nil"/>
              <w:left w:val="nil"/>
              <w:bottom w:val="nil"/>
              <w:right w:val="single" w:sz="4" w:space="0" w:color="auto"/>
            </w:tcBorders>
            <w:shd w:val="clear" w:color="auto" w:fill="auto"/>
            <w:noWrap/>
            <w:vAlign w:val="bottom"/>
          </w:tcPr>
          <w:p w14:paraId="3DA7FC86"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74" w:type="pct"/>
            <w:tcBorders>
              <w:top w:val="nil"/>
              <w:left w:val="nil"/>
              <w:bottom w:val="nil"/>
              <w:right w:val="single" w:sz="4" w:space="0" w:color="auto"/>
            </w:tcBorders>
            <w:shd w:val="clear" w:color="auto" w:fill="auto"/>
            <w:noWrap/>
            <w:vAlign w:val="bottom"/>
          </w:tcPr>
          <w:p w14:paraId="708F6FCD" w14:textId="00A664B5" w:rsidR="00686EC7" w:rsidRPr="000C156A" w:rsidRDefault="00686EC7" w:rsidP="00141BAA">
            <w:pPr>
              <w:jc w:val="right"/>
              <w:rPr>
                <w:rFonts w:cs="Calibri"/>
                <w:sz w:val="20"/>
                <w:lang w:eastAsia="en-GB"/>
              </w:rPr>
            </w:pPr>
            <w:r w:rsidRPr="000C156A">
              <w:rPr>
                <w:rFonts w:cs="Calibri"/>
                <w:sz w:val="20"/>
                <w:lang w:eastAsia="en-GB"/>
              </w:rPr>
              <w:t>111</w:t>
            </w:r>
            <w:r w:rsidR="001A59E5" w:rsidRPr="000C156A">
              <w:rPr>
                <w:rFonts w:cs="Calibri"/>
                <w:sz w:val="20"/>
                <w:lang w:eastAsia="en-GB"/>
              </w:rPr>
              <w:t xml:space="preserve"> </w:t>
            </w:r>
            <w:r w:rsidRPr="000C156A">
              <w:rPr>
                <w:rFonts w:cs="Calibri"/>
                <w:sz w:val="20"/>
                <w:lang w:eastAsia="en-GB"/>
              </w:rPr>
              <w:t>583.25</w:t>
            </w:r>
          </w:p>
        </w:tc>
      </w:tr>
      <w:tr w:rsidR="00686EC7" w:rsidRPr="000C156A" w14:paraId="0A3C6D8D" w14:textId="77777777" w:rsidTr="00141BAA">
        <w:trPr>
          <w:trHeight w:val="255"/>
        </w:trPr>
        <w:tc>
          <w:tcPr>
            <w:tcW w:w="1171" w:type="pct"/>
            <w:tcBorders>
              <w:top w:val="nil"/>
              <w:left w:val="single" w:sz="4" w:space="0" w:color="auto"/>
              <w:bottom w:val="nil"/>
              <w:right w:val="nil"/>
            </w:tcBorders>
            <w:shd w:val="clear" w:color="auto" w:fill="auto"/>
            <w:noWrap/>
            <w:vAlign w:val="bottom"/>
          </w:tcPr>
          <w:p w14:paraId="0CD5CA03" w14:textId="77777777" w:rsidR="00686EC7" w:rsidRPr="000C156A" w:rsidRDefault="00686EC7" w:rsidP="00141BAA">
            <w:pPr>
              <w:overflowPunct/>
              <w:autoSpaceDE/>
              <w:autoSpaceDN/>
              <w:adjustRightInd/>
              <w:spacing w:before="0"/>
              <w:textAlignment w:val="auto"/>
              <w:rPr>
                <w:sz w:val="20"/>
              </w:rPr>
            </w:pPr>
            <w:r w:rsidRPr="000C156A">
              <w:rPr>
                <w:sz w:val="20"/>
              </w:rPr>
              <w:t>加蓬</w:t>
            </w:r>
          </w:p>
        </w:tc>
        <w:tc>
          <w:tcPr>
            <w:tcW w:w="741" w:type="pct"/>
            <w:tcBorders>
              <w:top w:val="nil"/>
              <w:left w:val="single" w:sz="4" w:space="0" w:color="auto"/>
              <w:bottom w:val="nil"/>
              <w:right w:val="single" w:sz="4" w:space="0" w:color="auto"/>
            </w:tcBorders>
            <w:shd w:val="clear" w:color="auto" w:fill="auto"/>
            <w:noWrap/>
            <w:vAlign w:val="bottom"/>
          </w:tcPr>
          <w:p w14:paraId="00B39B14"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lang w:eastAsia="zh-CN"/>
              </w:rPr>
              <w:t xml:space="preserve">– </w:t>
            </w:r>
            <w:r w:rsidRPr="000C156A">
              <w:rPr>
                <w:sz w:val="20"/>
              </w:rPr>
              <w:t>2020</w:t>
            </w:r>
            <w:r w:rsidRPr="000C156A">
              <w:rPr>
                <w:rFonts w:hint="eastAsia"/>
                <w:sz w:val="20"/>
                <w:lang w:eastAsia="zh-CN"/>
              </w:rPr>
              <w:t>年</w:t>
            </w:r>
          </w:p>
        </w:tc>
        <w:tc>
          <w:tcPr>
            <w:tcW w:w="508" w:type="pct"/>
            <w:tcBorders>
              <w:top w:val="nil"/>
              <w:left w:val="nil"/>
              <w:bottom w:val="nil"/>
              <w:right w:val="nil"/>
            </w:tcBorders>
            <w:shd w:val="clear" w:color="auto" w:fill="auto"/>
            <w:noWrap/>
            <w:vAlign w:val="bottom"/>
          </w:tcPr>
          <w:p w14:paraId="0550F468" w14:textId="11EDC985" w:rsidR="00686EC7" w:rsidRPr="000C156A" w:rsidRDefault="00686EC7" w:rsidP="00141BAA">
            <w:pPr>
              <w:jc w:val="right"/>
              <w:rPr>
                <w:rFonts w:cs="Calibri"/>
                <w:sz w:val="20"/>
                <w:lang w:eastAsia="en-GB"/>
              </w:rPr>
            </w:pPr>
            <w:r w:rsidRPr="000C156A">
              <w:rPr>
                <w:rFonts w:cs="Calibri"/>
                <w:sz w:val="20"/>
                <w:lang w:eastAsia="en-GB"/>
              </w:rPr>
              <w:t>267</w:t>
            </w:r>
            <w:r w:rsidR="001A59E5" w:rsidRPr="000C156A">
              <w:rPr>
                <w:rFonts w:cs="Calibri"/>
                <w:sz w:val="20"/>
                <w:lang w:eastAsia="en-GB"/>
              </w:rPr>
              <w:t xml:space="preserve"> </w:t>
            </w:r>
            <w:r w:rsidRPr="000C156A">
              <w:rPr>
                <w:rFonts w:cs="Calibri"/>
                <w:sz w:val="20"/>
                <w:lang w:eastAsia="en-GB"/>
              </w:rPr>
              <w:t>633.89</w:t>
            </w:r>
          </w:p>
        </w:tc>
        <w:tc>
          <w:tcPr>
            <w:tcW w:w="834" w:type="pct"/>
            <w:tcBorders>
              <w:top w:val="nil"/>
              <w:left w:val="single" w:sz="4" w:space="0" w:color="auto"/>
              <w:bottom w:val="nil"/>
              <w:right w:val="single" w:sz="4" w:space="0" w:color="auto"/>
            </w:tcBorders>
            <w:shd w:val="clear" w:color="auto" w:fill="auto"/>
            <w:noWrap/>
            <w:vAlign w:val="bottom"/>
          </w:tcPr>
          <w:p w14:paraId="0DBCFEB8"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79" w:type="pct"/>
            <w:tcBorders>
              <w:top w:val="nil"/>
              <w:left w:val="nil"/>
              <w:bottom w:val="nil"/>
              <w:right w:val="nil"/>
            </w:tcBorders>
            <w:shd w:val="clear" w:color="auto" w:fill="auto"/>
            <w:noWrap/>
            <w:vAlign w:val="bottom"/>
          </w:tcPr>
          <w:p w14:paraId="26849C04" w14:textId="435D0A8A" w:rsidR="00686EC7" w:rsidRPr="000C156A" w:rsidRDefault="00686EC7" w:rsidP="00141BAA">
            <w:pPr>
              <w:jc w:val="right"/>
              <w:rPr>
                <w:rFonts w:cs="Calibri"/>
                <w:sz w:val="20"/>
                <w:lang w:eastAsia="en-GB"/>
              </w:rPr>
            </w:pPr>
            <w:r w:rsidRPr="000C156A">
              <w:rPr>
                <w:rFonts w:cs="Calibri"/>
                <w:sz w:val="20"/>
                <w:lang w:eastAsia="en-GB"/>
              </w:rPr>
              <w:t>267</w:t>
            </w:r>
            <w:r w:rsidR="001A59E5" w:rsidRPr="000C156A">
              <w:rPr>
                <w:rFonts w:cs="Calibri"/>
                <w:sz w:val="20"/>
                <w:lang w:eastAsia="en-GB"/>
              </w:rPr>
              <w:t xml:space="preserve"> </w:t>
            </w:r>
            <w:r w:rsidRPr="000C156A">
              <w:rPr>
                <w:rFonts w:cs="Calibri"/>
                <w:sz w:val="20"/>
                <w:lang w:eastAsia="en-GB"/>
              </w:rPr>
              <w:t>633.89</w:t>
            </w:r>
          </w:p>
        </w:tc>
        <w:tc>
          <w:tcPr>
            <w:tcW w:w="392" w:type="pct"/>
            <w:tcBorders>
              <w:top w:val="nil"/>
              <w:left w:val="single" w:sz="4" w:space="0" w:color="auto"/>
              <w:bottom w:val="nil"/>
              <w:right w:val="single" w:sz="4" w:space="0" w:color="auto"/>
            </w:tcBorders>
            <w:shd w:val="clear" w:color="auto" w:fill="auto"/>
            <w:noWrap/>
            <w:vAlign w:val="bottom"/>
          </w:tcPr>
          <w:p w14:paraId="4861FE61" w14:textId="3659563E" w:rsidR="00686EC7" w:rsidRPr="000C156A" w:rsidRDefault="00686EC7" w:rsidP="00141BAA">
            <w:pPr>
              <w:jc w:val="right"/>
              <w:rPr>
                <w:rFonts w:cs="Calibri"/>
                <w:sz w:val="20"/>
                <w:lang w:eastAsia="en-GB"/>
              </w:rPr>
            </w:pPr>
            <w:r w:rsidRPr="000C156A">
              <w:rPr>
                <w:rFonts w:cs="Calibri"/>
                <w:sz w:val="20"/>
                <w:lang w:eastAsia="en-GB"/>
              </w:rPr>
              <w:t>2</w:t>
            </w:r>
            <w:r w:rsidR="001A59E5" w:rsidRPr="000C156A">
              <w:rPr>
                <w:rFonts w:cs="Calibri"/>
                <w:sz w:val="20"/>
                <w:lang w:eastAsia="en-GB"/>
              </w:rPr>
              <w:t xml:space="preserve"> </w:t>
            </w:r>
            <w:r w:rsidRPr="000C156A">
              <w:rPr>
                <w:rFonts w:cs="Calibri"/>
                <w:sz w:val="20"/>
                <w:lang w:eastAsia="en-GB"/>
              </w:rPr>
              <w:t>676.35</w:t>
            </w:r>
          </w:p>
        </w:tc>
        <w:tc>
          <w:tcPr>
            <w:tcW w:w="402" w:type="pct"/>
            <w:tcBorders>
              <w:top w:val="nil"/>
              <w:left w:val="nil"/>
              <w:bottom w:val="nil"/>
              <w:right w:val="single" w:sz="4" w:space="0" w:color="auto"/>
            </w:tcBorders>
            <w:shd w:val="clear" w:color="auto" w:fill="auto"/>
            <w:noWrap/>
            <w:vAlign w:val="bottom"/>
          </w:tcPr>
          <w:p w14:paraId="7268B2BE"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74" w:type="pct"/>
            <w:tcBorders>
              <w:top w:val="nil"/>
              <w:left w:val="nil"/>
              <w:bottom w:val="nil"/>
              <w:right w:val="single" w:sz="4" w:space="0" w:color="auto"/>
            </w:tcBorders>
            <w:shd w:val="clear" w:color="auto" w:fill="auto"/>
            <w:noWrap/>
            <w:vAlign w:val="bottom"/>
          </w:tcPr>
          <w:p w14:paraId="359E0541" w14:textId="0E61A460" w:rsidR="00686EC7" w:rsidRPr="000C156A" w:rsidRDefault="00686EC7" w:rsidP="00141BAA">
            <w:pPr>
              <w:jc w:val="right"/>
              <w:rPr>
                <w:rFonts w:cs="Calibri"/>
                <w:sz w:val="20"/>
                <w:lang w:eastAsia="en-GB"/>
              </w:rPr>
            </w:pPr>
            <w:r w:rsidRPr="000C156A">
              <w:rPr>
                <w:rFonts w:cs="Calibri"/>
                <w:sz w:val="20"/>
                <w:lang w:eastAsia="en-GB"/>
              </w:rPr>
              <w:t>270</w:t>
            </w:r>
            <w:r w:rsidR="001A59E5" w:rsidRPr="000C156A">
              <w:rPr>
                <w:rFonts w:cs="Calibri"/>
                <w:sz w:val="20"/>
                <w:lang w:eastAsia="en-GB"/>
              </w:rPr>
              <w:t xml:space="preserve"> </w:t>
            </w:r>
            <w:r w:rsidRPr="000C156A">
              <w:rPr>
                <w:rFonts w:cs="Calibri"/>
                <w:sz w:val="20"/>
                <w:lang w:eastAsia="en-GB"/>
              </w:rPr>
              <w:t>310.24</w:t>
            </w:r>
          </w:p>
        </w:tc>
      </w:tr>
      <w:tr w:rsidR="00686EC7" w:rsidRPr="000C156A" w14:paraId="3A0085A5" w14:textId="77777777" w:rsidTr="00141BAA">
        <w:trPr>
          <w:trHeight w:val="255"/>
        </w:trPr>
        <w:tc>
          <w:tcPr>
            <w:tcW w:w="1171" w:type="pct"/>
            <w:tcBorders>
              <w:top w:val="nil"/>
              <w:left w:val="single" w:sz="4" w:space="0" w:color="auto"/>
              <w:bottom w:val="nil"/>
              <w:right w:val="nil"/>
            </w:tcBorders>
            <w:shd w:val="clear" w:color="auto" w:fill="auto"/>
            <w:noWrap/>
            <w:vAlign w:val="bottom"/>
          </w:tcPr>
          <w:p w14:paraId="4B437305" w14:textId="77777777" w:rsidR="00686EC7" w:rsidRPr="000C156A" w:rsidRDefault="00686EC7" w:rsidP="00141BAA">
            <w:pPr>
              <w:overflowPunct/>
              <w:autoSpaceDE/>
              <w:autoSpaceDN/>
              <w:adjustRightInd/>
              <w:spacing w:before="0"/>
              <w:textAlignment w:val="auto"/>
              <w:rPr>
                <w:sz w:val="20"/>
              </w:rPr>
            </w:pPr>
            <w:r w:rsidRPr="000C156A">
              <w:rPr>
                <w:sz w:val="20"/>
              </w:rPr>
              <w:t>索马里</w:t>
            </w:r>
          </w:p>
        </w:tc>
        <w:tc>
          <w:tcPr>
            <w:tcW w:w="741" w:type="pct"/>
            <w:tcBorders>
              <w:top w:val="nil"/>
              <w:left w:val="single" w:sz="4" w:space="0" w:color="auto"/>
              <w:bottom w:val="nil"/>
              <w:right w:val="single" w:sz="4" w:space="0" w:color="auto"/>
            </w:tcBorders>
            <w:shd w:val="clear" w:color="auto" w:fill="auto"/>
            <w:noWrap/>
            <w:vAlign w:val="bottom"/>
          </w:tcPr>
          <w:p w14:paraId="75A05484"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lang w:eastAsia="zh-CN"/>
              </w:rPr>
              <w:t xml:space="preserve">– </w:t>
            </w:r>
            <w:r w:rsidRPr="000C156A">
              <w:rPr>
                <w:sz w:val="20"/>
              </w:rPr>
              <w:t>2020</w:t>
            </w:r>
            <w:r w:rsidRPr="000C156A">
              <w:rPr>
                <w:rFonts w:hint="eastAsia"/>
                <w:sz w:val="20"/>
                <w:lang w:eastAsia="zh-CN"/>
              </w:rPr>
              <w:t>年</w:t>
            </w:r>
          </w:p>
        </w:tc>
        <w:tc>
          <w:tcPr>
            <w:tcW w:w="508" w:type="pct"/>
            <w:tcBorders>
              <w:top w:val="nil"/>
              <w:left w:val="nil"/>
              <w:bottom w:val="nil"/>
              <w:right w:val="nil"/>
            </w:tcBorders>
            <w:shd w:val="clear" w:color="auto" w:fill="auto"/>
            <w:noWrap/>
            <w:vAlign w:val="bottom"/>
          </w:tcPr>
          <w:p w14:paraId="22D733A8" w14:textId="345FC859" w:rsidR="00686EC7" w:rsidRPr="000C156A" w:rsidRDefault="00686EC7" w:rsidP="00141BAA">
            <w:pPr>
              <w:jc w:val="right"/>
              <w:rPr>
                <w:rFonts w:cs="Calibri"/>
                <w:sz w:val="20"/>
                <w:lang w:eastAsia="en-GB"/>
              </w:rPr>
            </w:pPr>
            <w:r w:rsidRPr="000C156A">
              <w:rPr>
                <w:rFonts w:cs="Calibri"/>
                <w:sz w:val="20"/>
                <w:lang w:eastAsia="en-GB"/>
              </w:rPr>
              <w:t>2</w:t>
            </w:r>
            <w:r w:rsidR="001A59E5" w:rsidRPr="000C156A">
              <w:rPr>
                <w:rFonts w:cs="Calibri"/>
                <w:sz w:val="20"/>
                <w:lang w:eastAsia="en-GB"/>
              </w:rPr>
              <w:t xml:space="preserve"> </w:t>
            </w:r>
            <w:r w:rsidRPr="000C156A">
              <w:rPr>
                <w:rFonts w:cs="Calibri"/>
                <w:sz w:val="20"/>
                <w:lang w:eastAsia="en-GB"/>
              </w:rPr>
              <w:t>093</w:t>
            </w:r>
            <w:r w:rsidR="001A59E5" w:rsidRPr="000C156A">
              <w:rPr>
                <w:rFonts w:cs="Calibri"/>
                <w:sz w:val="20"/>
                <w:lang w:eastAsia="en-GB"/>
              </w:rPr>
              <w:t xml:space="preserve"> </w:t>
            </w:r>
            <w:r w:rsidRPr="000C156A">
              <w:rPr>
                <w:rFonts w:cs="Calibri"/>
                <w:sz w:val="20"/>
                <w:lang w:eastAsia="en-GB"/>
              </w:rPr>
              <w:t>262.73</w:t>
            </w:r>
          </w:p>
        </w:tc>
        <w:tc>
          <w:tcPr>
            <w:tcW w:w="834" w:type="pct"/>
            <w:tcBorders>
              <w:top w:val="nil"/>
              <w:left w:val="single" w:sz="4" w:space="0" w:color="auto"/>
              <w:bottom w:val="nil"/>
              <w:right w:val="single" w:sz="4" w:space="0" w:color="auto"/>
            </w:tcBorders>
            <w:shd w:val="clear" w:color="auto" w:fill="auto"/>
            <w:noWrap/>
            <w:vAlign w:val="bottom"/>
          </w:tcPr>
          <w:p w14:paraId="34E5767E"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79" w:type="pct"/>
            <w:tcBorders>
              <w:top w:val="nil"/>
              <w:left w:val="nil"/>
              <w:bottom w:val="nil"/>
              <w:right w:val="nil"/>
            </w:tcBorders>
            <w:shd w:val="clear" w:color="auto" w:fill="auto"/>
            <w:noWrap/>
            <w:vAlign w:val="bottom"/>
          </w:tcPr>
          <w:p w14:paraId="61FF9E08" w14:textId="012FDE1C" w:rsidR="00686EC7" w:rsidRPr="000C156A" w:rsidRDefault="00686EC7" w:rsidP="00141BAA">
            <w:pPr>
              <w:jc w:val="right"/>
              <w:rPr>
                <w:rFonts w:cs="Calibri"/>
                <w:sz w:val="20"/>
                <w:lang w:eastAsia="en-GB"/>
              </w:rPr>
            </w:pPr>
            <w:r w:rsidRPr="000C156A">
              <w:rPr>
                <w:rFonts w:cs="Calibri"/>
                <w:sz w:val="20"/>
                <w:lang w:eastAsia="en-GB"/>
              </w:rPr>
              <w:t>2</w:t>
            </w:r>
            <w:r w:rsidR="001A59E5" w:rsidRPr="000C156A">
              <w:rPr>
                <w:rFonts w:cs="Calibri"/>
                <w:sz w:val="20"/>
                <w:lang w:eastAsia="en-GB"/>
              </w:rPr>
              <w:t xml:space="preserve"> </w:t>
            </w:r>
            <w:r w:rsidRPr="000C156A">
              <w:rPr>
                <w:rFonts w:cs="Calibri"/>
                <w:sz w:val="20"/>
                <w:lang w:eastAsia="en-GB"/>
              </w:rPr>
              <w:t>093</w:t>
            </w:r>
            <w:r w:rsidR="001A59E5" w:rsidRPr="000C156A">
              <w:rPr>
                <w:rFonts w:cs="Calibri"/>
                <w:sz w:val="20"/>
                <w:lang w:eastAsia="en-GB"/>
              </w:rPr>
              <w:t xml:space="preserve"> </w:t>
            </w:r>
            <w:r w:rsidRPr="000C156A">
              <w:rPr>
                <w:rFonts w:cs="Calibri"/>
                <w:sz w:val="20"/>
                <w:lang w:eastAsia="en-GB"/>
              </w:rPr>
              <w:t>262.73</w:t>
            </w:r>
          </w:p>
        </w:tc>
        <w:tc>
          <w:tcPr>
            <w:tcW w:w="392" w:type="pct"/>
            <w:tcBorders>
              <w:top w:val="nil"/>
              <w:left w:val="single" w:sz="4" w:space="0" w:color="auto"/>
              <w:bottom w:val="nil"/>
              <w:right w:val="single" w:sz="4" w:space="0" w:color="auto"/>
            </w:tcBorders>
            <w:shd w:val="clear" w:color="auto" w:fill="auto"/>
            <w:noWrap/>
            <w:vAlign w:val="bottom"/>
          </w:tcPr>
          <w:p w14:paraId="265E8614" w14:textId="4B082C77" w:rsidR="00686EC7" w:rsidRPr="000C156A" w:rsidRDefault="00686EC7" w:rsidP="00141BAA">
            <w:pPr>
              <w:jc w:val="right"/>
              <w:rPr>
                <w:rFonts w:cs="Calibri"/>
                <w:sz w:val="20"/>
                <w:lang w:eastAsia="en-GB"/>
              </w:rPr>
            </w:pPr>
            <w:r w:rsidRPr="000C156A">
              <w:rPr>
                <w:rFonts w:cs="Calibri"/>
                <w:sz w:val="20"/>
                <w:lang w:eastAsia="en-GB"/>
              </w:rPr>
              <w:t>31</w:t>
            </w:r>
            <w:r w:rsidR="001A59E5" w:rsidRPr="000C156A">
              <w:rPr>
                <w:rFonts w:cs="Calibri"/>
                <w:sz w:val="20"/>
                <w:lang w:eastAsia="en-GB"/>
              </w:rPr>
              <w:t xml:space="preserve"> </w:t>
            </w:r>
            <w:r w:rsidRPr="000C156A">
              <w:rPr>
                <w:rFonts w:cs="Calibri"/>
                <w:sz w:val="20"/>
                <w:lang w:eastAsia="en-GB"/>
              </w:rPr>
              <w:t>050.05</w:t>
            </w:r>
          </w:p>
        </w:tc>
        <w:tc>
          <w:tcPr>
            <w:tcW w:w="402" w:type="pct"/>
            <w:tcBorders>
              <w:top w:val="nil"/>
              <w:left w:val="nil"/>
              <w:bottom w:val="nil"/>
              <w:right w:val="single" w:sz="4" w:space="0" w:color="auto"/>
            </w:tcBorders>
            <w:shd w:val="clear" w:color="auto" w:fill="auto"/>
            <w:noWrap/>
            <w:vAlign w:val="bottom"/>
          </w:tcPr>
          <w:p w14:paraId="134A79B2"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74" w:type="pct"/>
            <w:tcBorders>
              <w:top w:val="nil"/>
              <w:left w:val="nil"/>
              <w:bottom w:val="nil"/>
              <w:right w:val="single" w:sz="4" w:space="0" w:color="auto"/>
            </w:tcBorders>
            <w:shd w:val="clear" w:color="auto" w:fill="auto"/>
            <w:noWrap/>
            <w:vAlign w:val="bottom"/>
          </w:tcPr>
          <w:p w14:paraId="2B2B5FA2" w14:textId="05042A34" w:rsidR="00686EC7" w:rsidRPr="000C156A" w:rsidRDefault="00686EC7" w:rsidP="00141BAA">
            <w:pPr>
              <w:jc w:val="right"/>
              <w:rPr>
                <w:rFonts w:cs="Calibri"/>
                <w:sz w:val="20"/>
                <w:lang w:eastAsia="en-GB"/>
              </w:rPr>
            </w:pPr>
            <w:r w:rsidRPr="000C156A">
              <w:rPr>
                <w:rFonts w:cs="Calibri"/>
                <w:sz w:val="20"/>
                <w:lang w:eastAsia="en-GB"/>
              </w:rPr>
              <w:t>2</w:t>
            </w:r>
            <w:r w:rsidR="001A59E5" w:rsidRPr="000C156A">
              <w:rPr>
                <w:rFonts w:cs="Calibri"/>
                <w:sz w:val="20"/>
                <w:lang w:eastAsia="en-GB"/>
              </w:rPr>
              <w:t xml:space="preserve"> </w:t>
            </w:r>
            <w:r w:rsidRPr="000C156A">
              <w:rPr>
                <w:rFonts w:cs="Calibri"/>
                <w:sz w:val="20"/>
                <w:lang w:eastAsia="en-GB"/>
              </w:rPr>
              <w:t>124</w:t>
            </w:r>
            <w:r w:rsidR="001A59E5" w:rsidRPr="000C156A">
              <w:rPr>
                <w:rFonts w:cs="Calibri"/>
                <w:sz w:val="20"/>
                <w:lang w:eastAsia="en-GB"/>
              </w:rPr>
              <w:t xml:space="preserve"> </w:t>
            </w:r>
            <w:r w:rsidRPr="000C156A">
              <w:rPr>
                <w:rFonts w:cs="Calibri"/>
                <w:sz w:val="20"/>
                <w:lang w:eastAsia="en-GB"/>
              </w:rPr>
              <w:t>312.78</w:t>
            </w:r>
          </w:p>
        </w:tc>
      </w:tr>
      <w:bookmarkEnd w:id="1234"/>
      <w:tr w:rsidR="00686EC7" w:rsidRPr="000C156A" w14:paraId="6CAF0F9C" w14:textId="77777777" w:rsidTr="00141BAA">
        <w:trPr>
          <w:trHeight w:val="255"/>
        </w:trPr>
        <w:tc>
          <w:tcPr>
            <w:tcW w:w="1171" w:type="pct"/>
            <w:tcBorders>
              <w:top w:val="nil"/>
              <w:left w:val="single" w:sz="4" w:space="0" w:color="auto"/>
              <w:bottom w:val="nil"/>
              <w:right w:val="nil"/>
            </w:tcBorders>
            <w:shd w:val="clear" w:color="auto" w:fill="auto"/>
            <w:noWrap/>
            <w:vAlign w:val="bottom"/>
            <w:hideMark/>
          </w:tcPr>
          <w:p w14:paraId="4113E2D5"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741" w:type="pct"/>
            <w:tcBorders>
              <w:top w:val="nil"/>
              <w:left w:val="single" w:sz="4" w:space="0" w:color="auto"/>
              <w:bottom w:val="nil"/>
              <w:right w:val="single" w:sz="4" w:space="0" w:color="auto"/>
            </w:tcBorders>
            <w:shd w:val="clear" w:color="auto" w:fill="auto"/>
            <w:noWrap/>
            <w:vAlign w:val="bottom"/>
            <w:hideMark/>
          </w:tcPr>
          <w:p w14:paraId="32F1E1B1"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508" w:type="pct"/>
            <w:tcBorders>
              <w:top w:val="nil"/>
              <w:left w:val="nil"/>
              <w:bottom w:val="nil"/>
              <w:right w:val="nil"/>
            </w:tcBorders>
            <w:shd w:val="clear" w:color="auto" w:fill="auto"/>
            <w:noWrap/>
            <w:vAlign w:val="bottom"/>
            <w:hideMark/>
          </w:tcPr>
          <w:p w14:paraId="046C14C0" w14:textId="77777777" w:rsidR="00686EC7" w:rsidRPr="000C156A" w:rsidRDefault="00686EC7" w:rsidP="00141BAA">
            <w:pPr>
              <w:overflowPunct/>
              <w:autoSpaceDE/>
              <w:autoSpaceDN/>
              <w:adjustRightInd/>
              <w:spacing w:before="0"/>
              <w:textAlignment w:val="auto"/>
              <w:rPr>
                <w:rFonts w:cs="Calibri"/>
                <w:sz w:val="20"/>
                <w:lang w:eastAsia="en-GB"/>
              </w:rPr>
            </w:pPr>
          </w:p>
        </w:tc>
        <w:tc>
          <w:tcPr>
            <w:tcW w:w="834" w:type="pct"/>
            <w:tcBorders>
              <w:top w:val="nil"/>
              <w:left w:val="single" w:sz="4" w:space="0" w:color="auto"/>
              <w:bottom w:val="nil"/>
              <w:right w:val="single" w:sz="4" w:space="0" w:color="auto"/>
            </w:tcBorders>
            <w:shd w:val="clear" w:color="auto" w:fill="auto"/>
            <w:noWrap/>
            <w:vAlign w:val="bottom"/>
            <w:hideMark/>
          </w:tcPr>
          <w:p w14:paraId="4164CE3C"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79" w:type="pct"/>
            <w:tcBorders>
              <w:top w:val="nil"/>
              <w:left w:val="nil"/>
              <w:bottom w:val="nil"/>
              <w:right w:val="nil"/>
            </w:tcBorders>
            <w:shd w:val="clear" w:color="auto" w:fill="auto"/>
            <w:noWrap/>
            <w:vAlign w:val="bottom"/>
            <w:hideMark/>
          </w:tcPr>
          <w:p w14:paraId="5348AE62" w14:textId="77777777" w:rsidR="00686EC7" w:rsidRPr="000C156A" w:rsidRDefault="00686EC7" w:rsidP="00141BAA">
            <w:pPr>
              <w:overflowPunct/>
              <w:autoSpaceDE/>
              <w:autoSpaceDN/>
              <w:adjustRightInd/>
              <w:spacing w:before="0"/>
              <w:textAlignment w:val="auto"/>
              <w:rPr>
                <w:rFonts w:cs="Calibri"/>
                <w:sz w:val="20"/>
                <w:lang w:eastAsia="en-GB"/>
              </w:rPr>
            </w:pPr>
          </w:p>
        </w:tc>
        <w:tc>
          <w:tcPr>
            <w:tcW w:w="392" w:type="pct"/>
            <w:tcBorders>
              <w:top w:val="nil"/>
              <w:left w:val="single" w:sz="4" w:space="0" w:color="auto"/>
              <w:bottom w:val="nil"/>
              <w:right w:val="single" w:sz="4" w:space="0" w:color="auto"/>
            </w:tcBorders>
            <w:shd w:val="clear" w:color="auto" w:fill="auto"/>
            <w:noWrap/>
            <w:vAlign w:val="bottom"/>
            <w:hideMark/>
          </w:tcPr>
          <w:p w14:paraId="2656D698"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02" w:type="pct"/>
            <w:tcBorders>
              <w:top w:val="nil"/>
              <w:left w:val="nil"/>
              <w:bottom w:val="nil"/>
              <w:right w:val="single" w:sz="4" w:space="0" w:color="auto"/>
            </w:tcBorders>
            <w:shd w:val="clear" w:color="auto" w:fill="auto"/>
            <w:noWrap/>
            <w:vAlign w:val="bottom"/>
            <w:hideMark/>
          </w:tcPr>
          <w:p w14:paraId="6C735BC2"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74" w:type="pct"/>
            <w:tcBorders>
              <w:top w:val="nil"/>
              <w:left w:val="nil"/>
              <w:bottom w:val="nil"/>
              <w:right w:val="single" w:sz="4" w:space="0" w:color="auto"/>
            </w:tcBorders>
            <w:shd w:val="clear" w:color="auto" w:fill="auto"/>
            <w:noWrap/>
            <w:vAlign w:val="bottom"/>
            <w:hideMark/>
          </w:tcPr>
          <w:p w14:paraId="209419D0"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r>
      <w:tr w:rsidR="00686EC7" w:rsidRPr="000C156A" w14:paraId="07158DBB" w14:textId="77777777" w:rsidTr="00141BAA">
        <w:trPr>
          <w:trHeight w:val="255"/>
        </w:trPr>
        <w:tc>
          <w:tcPr>
            <w:tcW w:w="1171" w:type="pct"/>
            <w:tcBorders>
              <w:top w:val="nil"/>
              <w:left w:val="single" w:sz="4" w:space="0" w:color="auto"/>
              <w:bottom w:val="nil"/>
              <w:right w:val="nil"/>
            </w:tcBorders>
            <w:shd w:val="clear" w:color="auto" w:fill="auto"/>
            <w:noWrap/>
            <w:vAlign w:val="bottom"/>
            <w:hideMark/>
          </w:tcPr>
          <w:p w14:paraId="12F6C5B7" w14:textId="77777777" w:rsidR="00686EC7" w:rsidRPr="000C156A" w:rsidRDefault="00686EC7" w:rsidP="00141BAA">
            <w:pPr>
              <w:overflowPunct/>
              <w:autoSpaceDE/>
              <w:autoSpaceDN/>
              <w:adjustRightInd/>
              <w:spacing w:before="0"/>
              <w:jc w:val="center"/>
              <w:textAlignment w:val="auto"/>
              <w:rPr>
                <w:rFonts w:cs="Calibri"/>
                <w:b/>
                <w:bCs/>
                <w:sz w:val="20"/>
                <w:lang w:eastAsia="en-GB"/>
              </w:rPr>
            </w:pPr>
            <w:r w:rsidRPr="000C156A">
              <w:rPr>
                <w:rFonts w:cs="Calibri" w:hint="eastAsia"/>
                <w:b/>
                <w:bCs/>
                <w:sz w:val="20"/>
                <w:lang w:eastAsia="en-GB"/>
              </w:rPr>
              <w:t>部门成员</w:t>
            </w:r>
            <w:r w:rsidRPr="000C156A">
              <w:rPr>
                <w:rFonts w:cs="Calibri"/>
                <w:b/>
                <w:bCs/>
                <w:sz w:val="20"/>
                <w:lang w:eastAsia="en-GB"/>
              </w:rPr>
              <w:t>/</w:t>
            </w:r>
            <w:r w:rsidRPr="000C156A">
              <w:rPr>
                <w:rFonts w:cs="Calibri" w:hint="eastAsia"/>
                <w:b/>
                <w:bCs/>
                <w:sz w:val="20"/>
                <w:lang w:eastAsia="en-GB"/>
              </w:rPr>
              <w:t>公司</w:t>
            </w:r>
          </w:p>
        </w:tc>
        <w:tc>
          <w:tcPr>
            <w:tcW w:w="741" w:type="pct"/>
            <w:tcBorders>
              <w:top w:val="nil"/>
              <w:left w:val="single" w:sz="4" w:space="0" w:color="auto"/>
              <w:bottom w:val="nil"/>
              <w:right w:val="single" w:sz="4" w:space="0" w:color="auto"/>
            </w:tcBorders>
            <w:shd w:val="clear" w:color="auto" w:fill="auto"/>
            <w:noWrap/>
            <w:vAlign w:val="bottom"/>
            <w:hideMark/>
          </w:tcPr>
          <w:p w14:paraId="200BC2A4"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508" w:type="pct"/>
            <w:tcBorders>
              <w:top w:val="nil"/>
              <w:left w:val="nil"/>
              <w:bottom w:val="nil"/>
              <w:right w:val="nil"/>
            </w:tcBorders>
            <w:shd w:val="clear" w:color="auto" w:fill="auto"/>
            <w:noWrap/>
            <w:vAlign w:val="bottom"/>
            <w:hideMark/>
          </w:tcPr>
          <w:p w14:paraId="7E36DA27" w14:textId="77777777" w:rsidR="00686EC7" w:rsidRPr="000C156A" w:rsidRDefault="00686EC7" w:rsidP="00141BAA">
            <w:pPr>
              <w:overflowPunct/>
              <w:autoSpaceDE/>
              <w:autoSpaceDN/>
              <w:adjustRightInd/>
              <w:spacing w:before="0"/>
              <w:textAlignment w:val="auto"/>
              <w:rPr>
                <w:rFonts w:cs="Calibri"/>
                <w:sz w:val="20"/>
                <w:lang w:eastAsia="en-GB"/>
              </w:rPr>
            </w:pPr>
          </w:p>
        </w:tc>
        <w:tc>
          <w:tcPr>
            <w:tcW w:w="834" w:type="pct"/>
            <w:tcBorders>
              <w:top w:val="nil"/>
              <w:left w:val="single" w:sz="4" w:space="0" w:color="auto"/>
              <w:bottom w:val="nil"/>
              <w:right w:val="single" w:sz="4" w:space="0" w:color="auto"/>
            </w:tcBorders>
            <w:shd w:val="clear" w:color="auto" w:fill="auto"/>
            <w:noWrap/>
            <w:vAlign w:val="bottom"/>
            <w:hideMark/>
          </w:tcPr>
          <w:p w14:paraId="195BFC70"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79" w:type="pct"/>
            <w:tcBorders>
              <w:top w:val="nil"/>
              <w:left w:val="nil"/>
              <w:bottom w:val="nil"/>
              <w:right w:val="nil"/>
            </w:tcBorders>
            <w:shd w:val="clear" w:color="auto" w:fill="auto"/>
            <w:noWrap/>
            <w:vAlign w:val="bottom"/>
            <w:hideMark/>
          </w:tcPr>
          <w:p w14:paraId="78F0084F" w14:textId="77777777" w:rsidR="00686EC7" w:rsidRPr="000C156A" w:rsidRDefault="00686EC7" w:rsidP="00141BAA">
            <w:pPr>
              <w:overflowPunct/>
              <w:autoSpaceDE/>
              <w:autoSpaceDN/>
              <w:adjustRightInd/>
              <w:spacing w:before="0"/>
              <w:textAlignment w:val="auto"/>
              <w:rPr>
                <w:rFonts w:cs="Calibri"/>
                <w:sz w:val="20"/>
                <w:lang w:eastAsia="en-GB"/>
              </w:rPr>
            </w:pPr>
          </w:p>
        </w:tc>
        <w:tc>
          <w:tcPr>
            <w:tcW w:w="392" w:type="pct"/>
            <w:tcBorders>
              <w:top w:val="nil"/>
              <w:left w:val="single" w:sz="4" w:space="0" w:color="auto"/>
              <w:bottom w:val="nil"/>
              <w:right w:val="single" w:sz="4" w:space="0" w:color="auto"/>
            </w:tcBorders>
            <w:shd w:val="clear" w:color="auto" w:fill="auto"/>
            <w:noWrap/>
            <w:vAlign w:val="bottom"/>
            <w:hideMark/>
          </w:tcPr>
          <w:p w14:paraId="2B7BC4AC"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02" w:type="pct"/>
            <w:tcBorders>
              <w:top w:val="nil"/>
              <w:left w:val="nil"/>
              <w:bottom w:val="nil"/>
              <w:right w:val="single" w:sz="4" w:space="0" w:color="auto"/>
            </w:tcBorders>
            <w:shd w:val="clear" w:color="auto" w:fill="auto"/>
            <w:noWrap/>
            <w:vAlign w:val="bottom"/>
            <w:hideMark/>
          </w:tcPr>
          <w:p w14:paraId="4634CBA2"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74" w:type="pct"/>
            <w:tcBorders>
              <w:top w:val="nil"/>
              <w:left w:val="nil"/>
              <w:bottom w:val="nil"/>
              <w:right w:val="single" w:sz="4" w:space="0" w:color="auto"/>
            </w:tcBorders>
            <w:shd w:val="clear" w:color="auto" w:fill="auto"/>
            <w:noWrap/>
            <w:vAlign w:val="bottom"/>
            <w:hideMark/>
          </w:tcPr>
          <w:p w14:paraId="7274D4D3"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r>
      <w:tr w:rsidR="00686EC7" w:rsidRPr="000C156A" w14:paraId="7B478957" w14:textId="77777777" w:rsidTr="00141BAA">
        <w:trPr>
          <w:trHeight w:val="255"/>
        </w:trPr>
        <w:tc>
          <w:tcPr>
            <w:tcW w:w="1171" w:type="pct"/>
            <w:tcBorders>
              <w:top w:val="nil"/>
              <w:left w:val="single" w:sz="4" w:space="0" w:color="auto"/>
              <w:bottom w:val="nil"/>
              <w:right w:val="nil"/>
            </w:tcBorders>
            <w:shd w:val="clear" w:color="auto" w:fill="auto"/>
            <w:noWrap/>
            <w:vAlign w:val="bottom"/>
            <w:hideMark/>
          </w:tcPr>
          <w:p w14:paraId="60EAE1C6" w14:textId="77777777" w:rsidR="00686EC7" w:rsidRPr="000C156A" w:rsidRDefault="00686EC7" w:rsidP="00141BAA">
            <w:pPr>
              <w:overflowPunct/>
              <w:autoSpaceDE/>
              <w:autoSpaceDN/>
              <w:adjustRightInd/>
              <w:spacing w:before="0"/>
              <w:jc w:val="center"/>
              <w:textAlignment w:val="auto"/>
              <w:rPr>
                <w:rFonts w:cs="Calibri"/>
                <w:b/>
                <w:bCs/>
                <w:sz w:val="20"/>
                <w:lang w:eastAsia="en-GB"/>
              </w:rPr>
            </w:pPr>
            <w:r w:rsidRPr="000C156A">
              <w:rPr>
                <w:rFonts w:cs="Calibri"/>
                <w:b/>
                <w:bCs/>
                <w:sz w:val="20"/>
                <w:lang w:eastAsia="en-GB"/>
              </w:rPr>
              <w:t> </w:t>
            </w:r>
          </w:p>
        </w:tc>
        <w:tc>
          <w:tcPr>
            <w:tcW w:w="741" w:type="pct"/>
            <w:tcBorders>
              <w:top w:val="nil"/>
              <w:left w:val="single" w:sz="4" w:space="0" w:color="auto"/>
              <w:bottom w:val="nil"/>
              <w:right w:val="single" w:sz="4" w:space="0" w:color="auto"/>
            </w:tcBorders>
            <w:shd w:val="clear" w:color="auto" w:fill="auto"/>
            <w:noWrap/>
            <w:vAlign w:val="bottom"/>
            <w:hideMark/>
          </w:tcPr>
          <w:p w14:paraId="2DE45487"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508" w:type="pct"/>
            <w:tcBorders>
              <w:top w:val="nil"/>
              <w:left w:val="nil"/>
              <w:bottom w:val="nil"/>
              <w:right w:val="nil"/>
            </w:tcBorders>
            <w:shd w:val="clear" w:color="auto" w:fill="auto"/>
            <w:noWrap/>
            <w:vAlign w:val="bottom"/>
            <w:hideMark/>
          </w:tcPr>
          <w:p w14:paraId="2B8B9297" w14:textId="77777777" w:rsidR="00686EC7" w:rsidRPr="000C156A" w:rsidRDefault="00686EC7" w:rsidP="00141BAA">
            <w:pPr>
              <w:overflowPunct/>
              <w:autoSpaceDE/>
              <w:autoSpaceDN/>
              <w:adjustRightInd/>
              <w:spacing w:before="0"/>
              <w:textAlignment w:val="auto"/>
              <w:rPr>
                <w:rFonts w:cs="Calibri"/>
                <w:sz w:val="20"/>
                <w:lang w:eastAsia="en-GB"/>
              </w:rPr>
            </w:pPr>
          </w:p>
        </w:tc>
        <w:tc>
          <w:tcPr>
            <w:tcW w:w="834" w:type="pct"/>
            <w:tcBorders>
              <w:top w:val="nil"/>
              <w:left w:val="single" w:sz="4" w:space="0" w:color="auto"/>
              <w:bottom w:val="nil"/>
              <w:right w:val="single" w:sz="4" w:space="0" w:color="auto"/>
            </w:tcBorders>
            <w:shd w:val="clear" w:color="auto" w:fill="auto"/>
            <w:noWrap/>
            <w:vAlign w:val="bottom"/>
            <w:hideMark/>
          </w:tcPr>
          <w:p w14:paraId="248372A4"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79" w:type="pct"/>
            <w:tcBorders>
              <w:top w:val="nil"/>
              <w:left w:val="nil"/>
              <w:bottom w:val="nil"/>
              <w:right w:val="nil"/>
            </w:tcBorders>
            <w:shd w:val="clear" w:color="auto" w:fill="auto"/>
            <w:noWrap/>
            <w:vAlign w:val="bottom"/>
            <w:hideMark/>
          </w:tcPr>
          <w:p w14:paraId="61D1B180" w14:textId="77777777" w:rsidR="00686EC7" w:rsidRPr="000C156A" w:rsidRDefault="00686EC7" w:rsidP="00141BAA">
            <w:pPr>
              <w:overflowPunct/>
              <w:autoSpaceDE/>
              <w:autoSpaceDN/>
              <w:adjustRightInd/>
              <w:spacing w:before="0"/>
              <w:textAlignment w:val="auto"/>
              <w:rPr>
                <w:rFonts w:cs="Calibri"/>
                <w:sz w:val="20"/>
                <w:lang w:eastAsia="en-GB"/>
              </w:rPr>
            </w:pPr>
          </w:p>
        </w:tc>
        <w:tc>
          <w:tcPr>
            <w:tcW w:w="392" w:type="pct"/>
            <w:tcBorders>
              <w:top w:val="nil"/>
              <w:left w:val="single" w:sz="4" w:space="0" w:color="auto"/>
              <w:bottom w:val="nil"/>
              <w:right w:val="single" w:sz="4" w:space="0" w:color="auto"/>
            </w:tcBorders>
            <w:shd w:val="clear" w:color="auto" w:fill="auto"/>
            <w:noWrap/>
            <w:vAlign w:val="bottom"/>
            <w:hideMark/>
          </w:tcPr>
          <w:p w14:paraId="449376FB"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02" w:type="pct"/>
            <w:tcBorders>
              <w:top w:val="nil"/>
              <w:left w:val="nil"/>
              <w:bottom w:val="nil"/>
              <w:right w:val="single" w:sz="4" w:space="0" w:color="auto"/>
            </w:tcBorders>
            <w:shd w:val="clear" w:color="auto" w:fill="auto"/>
            <w:noWrap/>
            <w:vAlign w:val="bottom"/>
            <w:hideMark/>
          </w:tcPr>
          <w:p w14:paraId="68486235"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74" w:type="pct"/>
            <w:tcBorders>
              <w:top w:val="nil"/>
              <w:left w:val="nil"/>
              <w:bottom w:val="nil"/>
              <w:right w:val="single" w:sz="4" w:space="0" w:color="auto"/>
            </w:tcBorders>
            <w:shd w:val="clear" w:color="auto" w:fill="auto"/>
            <w:noWrap/>
            <w:vAlign w:val="bottom"/>
            <w:hideMark/>
          </w:tcPr>
          <w:p w14:paraId="3BEC8217"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r>
      <w:tr w:rsidR="00686EC7" w:rsidRPr="000C156A" w14:paraId="18105356" w14:textId="77777777" w:rsidTr="007E0227">
        <w:trPr>
          <w:trHeight w:val="255"/>
        </w:trPr>
        <w:tc>
          <w:tcPr>
            <w:tcW w:w="1171" w:type="pct"/>
            <w:tcBorders>
              <w:top w:val="nil"/>
              <w:left w:val="single" w:sz="4" w:space="0" w:color="auto"/>
              <w:bottom w:val="nil"/>
              <w:right w:val="nil"/>
            </w:tcBorders>
            <w:shd w:val="clear" w:color="auto" w:fill="auto"/>
            <w:noWrap/>
            <w:vAlign w:val="bottom"/>
            <w:hideMark/>
          </w:tcPr>
          <w:p w14:paraId="026CB869"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rPr>
              <w:t>黎巴嫩</w:t>
            </w:r>
            <w:r w:rsidRPr="000C156A">
              <w:rPr>
                <w:sz w:val="20"/>
              </w:rPr>
              <w:t>TIT</w:t>
            </w:r>
          </w:p>
        </w:tc>
        <w:tc>
          <w:tcPr>
            <w:tcW w:w="741" w:type="pct"/>
            <w:tcBorders>
              <w:top w:val="nil"/>
              <w:left w:val="single" w:sz="4" w:space="0" w:color="auto"/>
              <w:bottom w:val="nil"/>
              <w:right w:val="single" w:sz="4" w:space="0" w:color="auto"/>
            </w:tcBorders>
            <w:shd w:val="clear" w:color="auto" w:fill="auto"/>
            <w:noWrap/>
            <w:vAlign w:val="bottom"/>
            <w:hideMark/>
          </w:tcPr>
          <w:p w14:paraId="1FEB338B" w14:textId="77777777" w:rsidR="00686EC7" w:rsidRPr="000C156A" w:rsidRDefault="00686EC7" w:rsidP="00141BAA">
            <w:pPr>
              <w:overflowPunct/>
              <w:autoSpaceDE/>
              <w:autoSpaceDN/>
              <w:adjustRightInd/>
              <w:spacing w:before="0"/>
              <w:textAlignment w:val="auto"/>
              <w:rPr>
                <w:sz w:val="20"/>
                <w:lang w:eastAsia="zh-CN"/>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lang w:eastAsia="zh-CN"/>
              </w:rPr>
              <w:t>– 2008</w:t>
            </w:r>
            <w:r w:rsidRPr="000C156A">
              <w:rPr>
                <w:rFonts w:hint="eastAsia"/>
                <w:sz w:val="20"/>
                <w:lang w:eastAsia="zh-CN"/>
              </w:rPr>
              <w:t>年</w:t>
            </w:r>
          </w:p>
        </w:tc>
        <w:tc>
          <w:tcPr>
            <w:tcW w:w="508" w:type="pct"/>
            <w:tcBorders>
              <w:top w:val="nil"/>
              <w:left w:val="nil"/>
              <w:bottom w:val="nil"/>
              <w:right w:val="nil"/>
            </w:tcBorders>
            <w:shd w:val="clear" w:color="auto" w:fill="auto"/>
            <w:noWrap/>
            <w:vAlign w:val="bottom"/>
            <w:hideMark/>
          </w:tcPr>
          <w:p w14:paraId="1D251319" w14:textId="5C27172A" w:rsidR="00686EC7" w:rsidRPr="000C156A" w:rsidRDefault="00686EC7" w:rsidP="00141BAA">
            <w:pPr>
              <w:jc w:val="right"/>
              <w:rPr>
                <w:rFonts w:cs="Calibri"/>
                <w:sz w:val="20"/>
                <w:lang w:eastAsia="en-GB"/>
              </w:rPr>
            </w:pPr>
            <w:r w:rsidRPr="000C156A">
              <w:rPr>
                <w:rFonts w:cs="Calibri"/>
                <w:sz w:val="20"/>
                <w:lang w:eastAsia="en-GB"/>
              </w:rPr>
              <w:t>25</w:t>
            </w:r>
            <w:r w:rsidR="001A59E5" w:rsidRPr="000C156A">
              <w:rPr>
                <w:rFonts w:cs="Calibri"/>
                <w:sz w:val="20"/>
                <w:lang w:eastAsia="en-GB"/>
              </w:rPr>
              <w:t xml:space="preserve"> </w:t>
            </w:r>
            <w:r w:rsidRPr="000C156A">
              <w:rPr>
                <w:rFonts w:cs="Calibri"/>
                <w:sz w:val="20"/>
                <w:lang w:eastAsia="en-GB"/>
              </w:rPr>
              <w:t>000.00</w:t>
            </w:r>
          </w:p>
        </w:tc>
        <w:tc>
          <w:tcPr>
            <w:tcW w:w="834" w:type="pct"/>
            <w:tcBorders>
              <w:top w:val="nil"/>
              <w:left w:val="single" w:sz="4" w:space="0" w:color="auto"/>
              <w:bottom w:val="nil"/>
              <w:right w:val="single" w:sz="4" w:space="0" w:color="auto"/>
            </w:tcBorders>
            <w:shd w:val="clear" w:color="auto" w:fill="auto"/>
            <w:noWrap/>
            <w:vAlign w:val="bottom"/>
            <w:hideMark/>
          </w:tcPr>
          <w:p w14:paraId="325A6805" w14:textId="5965FE22" w:rsidR="00686EC7" w:rsidRPr="000C156A" w:rsidRDefault="00686EC7" w:rsidP="00141BAA">
            <w:pPr>
              <w:jc w:val="right"/>
              <w:rPr>
                <w:rFonts w:cs="Calibri"/>
                <w:sz w:val="20"/>
                <w:lang w:eastAsia="en-GB"/>
              </w:rPr>
            </w:pPr>
            <w:r w:rsidRPr="000C156A">
              <w:rPr>
                <w:rFonts w:cs="Calibri"/>
                <w:sz w:val="20"/>
                <w:lang w:eastAsia="en-GB"/>
              </w:rPr>
              <w:t>47</w:t>
            </w:r>
            <w:r w:rsidR="001A59E5" w:rsidRPr="000C156A">
              <w:rPr>
                <w:rFonts w:cs="Calibri"/>
                <w:sz w:val="20"/>
                <w:lang w:eastAsia="en-GB"/>
              </w:rPr>
              <w:t xml:space="preserve"> </w:t>
            </w:r>
            <w:r w:rsidRPr="000C156A">
              <w:rPr>
                <w:rFonts w:cs="Calibri"/>
                <w:sz w:val="20"/>
                <w:lang w:eastAsia="en-GB"/>
              </w:rPr>
              <w:t>457.35</w:t>
            </w:r>
          </w:p>
        </w:tc>
        <w:tc>
          <w:tcPr>
            <w:tcW w:w="479" w:type="pct"/>
            <w:tcBorders>
              <w:top w:val="nil"/>
              <w:left w:val="nil"/>
              <w:bottom w:val="nil"/>
              <w:right w:val="nil"/>
            </w:tcBorders>
            <w:shd w:val="clear" w:color="auto" w:fill="auto"/>
            <w:noWrap/>
            <w:vAlign w:val="bottom"/>
            <w:hideMark/>
          </w:tcPr>
          <w:p w14:paraId="51555BA9"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392" w:type="pct"/>
            <w:tcBorders>
              <w:top w:val="nil"/>
              <w:left w:val="single" w:sz="4" w:space="0" w:color="auto"/>
              <w:bottom w:val="nil"/>
              <w:right w:val="single" w:sz="4" w:space="0" w:color="auto"/>
            </w:tcBorders>
            <w:shd w:val="clear" w:color="auto" w:fill="auto"/>
            <w:noWrap/>
            <w:vAlign w:val="bottom"/>
            <w:hideMark/>
          </w:tcPr>
          <w:p w14:paraId="52AA460C" w14:textId="2D285E89" w:rsidR="00686EC7" w:rsidRPr="000C156A" w:rsidRDefault="00686EC7" w:rsidP="00141BAA">
            <w:pPr>
              <w:jc w:val="right"/>
              <w:rPr>
                <w:rFonts w:cs="Calibri"/>
                <w:sz w:val="20"/>
                <w:lang w:eastAsia="en-GB"/>
              </w:rPr>
            </w:pPr>
            <w:r w:rsidRPr="000C156A">
              <w:rPr>
                <w:rFonts w:cs="Calibri"/>
                <w:sz w:val="20"/>
                <w:lang w:eastAsia="en-GB"/>
              </w:rPr>
              <w:t>2</w:t>
            </w:r>
            <w:r w:rsidR="001A59E5" w:rsidRPr="000C156A">
              <w:rPr>
                <w:rFonts w:cs="Calibri"/>
                <w:sz w:val="20"/>
                <w:lang w:eastAsia="en-GB"/>
              </w:rPr>
              <w:t xml:space="preserve"> </w:t>
            </w:r>
            <w:r w:rsidRPr="000C156A">
              <w:rPr>
                <w:rFonts w:cs="Calibri"/>
                <w:sz w:val="20"/>
                <w:lang w:eastAsia="en-GB"/>
              </w:rPr>
              <w:t>847.45</w:t>
            </w:r>
          </w:p>
        </w:tc>
        <w:tc>
          <w:tcPr>
            <w:tcW w:w="402" w:type="pct"/>
            <w:tcBorders>
              <w:top w:val="nil"/>
              <w:left w:val="nil"/>
              <w:bottom w:val="nil"/>
              <w:right w:val="single" w:sz="4" w:space="0" w:color="auto"/>
            </w:tcBorders>
            <w:shd w:val="clear" w:color="auto" w:fill="auto"/>
            <w:noWrap/>
            <w:vAlign w:val="bottom"/>
            <w:hideMark/>
          </w:tcPr>
          <w:p w14:paraId="694E2A86"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74" w:type="pct"/>
            <w:tcBorders>
              <w:top w:val="nil"/>
              <w:left w:val="nil"/>
              <w:bottom w:val="nil"/>
              <w:right w:val="single" w:sz="4" w:space="0" w:color="auto"/>
            </w:tcBorders>
            <w:shd w:val="clear" w:color="auto" w:fill="auto"/>
            <w:noWrap/>
            <w:vAlign w:val="bottom"/>
            <w:hideMark/>
          </w:tcPr>
          <w:p w14:paraId="76C253A8" w14:textId="174E25F8" w:rsidR="00686EC7" w:rsidRPr="000C156A" w:rsidRDefault="00686EC7" w:rsidP="00141BAA">
            <w:pPr>
              <w:jc w:val="right"/>
              <w:rPr>
                <w:rFonts w:cs="Calibri"/>
                <w:sz w:val="20"/>
                <w:lang w:eastAsia="en-GB"/>
              </w:rPr>
            </w:pPr>
            <w:r w:rsidRPr="000C156A">
              <w:rPr>
                <w:rFonts w:cs="Calibri"/>
                <w:sz w:val="20"/>
                <w:lang w:eastAsia="en-GB"/>
              </w:rPr>
              <w:t>50</w:t>
            </w:r>
            <w:r w:rsidR="001A59E5" w:rsidRPr="000C156A">
              <w:rPr>
                <w:rFonts w:cs="Calibri"/>
                <w:sz w:val="20"/>
                <w:lang w:eastAsia="en-GB"/>
              </w:rPr>
              <w:t xml:space="preserve"> </w:t>
            </w:r>
            <w:r w:rsidRPr="000C156A">
              <w:rPr>
                <w:rFonts w:cs="Calibri"/>
                <w:sz w:val="20"/>
                <w:lang w:eastAsia="en-GB"/>
              </w:rPr>
              <w:t>304.80</w:t>
            </w:r>
          </w:p>
        </w:tc>
      </w:tr>
      <w:tr w:rsidR="00686EC7" w:rsidRPr="000C156A" w14:paraId="31BE6611" w14:textId="77777777" w:rsidTr="007E0227">
        <w:trPr>
          <w:trHeight w:val="255"/>
        </w:trPr>
        <w:tc>
          <w:tcPr>
            <w:tcW w:w="1171" w:type="pct"/>
            <w:tcBorders>
              <w:top w:val="nil"/>
              <w:left w:val="single" w:sz="4" w:space="0" w:color="auto"/>
              <w:bottom w:val="nil"/>
              <w:right w:val="nil"/>
            </w:tcBorders>
            <w:shd w:val="clear" w:color="auto" w:fill="auto"/>
            <w:noWrap/>
            <w:vAlign w:val="bottom"/>
            <w:hideMark/>
          </w:tcPr>
          <w:p w14:paraId="4559D518"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rPr>
              <w:t>喀麦隆</w:t>
            </w:r>
            <w:r w:rsidRPr="000C156A">
              <w:rPr>
                <w:sz w:val="20"/>
                <w:lang w:eastAsia="zh-CN"/>
              </w:rPr>
              <w:t xml:space="preserve"> – </w:t>
            </w:r>
            <w:r w:rsidRPr="000C156A">
              <w:rPr>
                <w:rFonts w:hint="eastAsia"/>
                <w:sz w:val="20"/>
              </w:rPr>
              <w:t>喀麦隆</w:t>
            </w:r>
            <w:r w:rsidRPr="000C156A">
              <w:rPr>
                <w:rFonts w:hint="eastAsia"/>
                <w:sz w:val="20"/>
                <w:lang w:eastAsia="zh-CN"/>
              </w:rPr>
              <w:t>电信</w:t>
            </w:r>
          </w:p>
        </w:tc>
        <w:tc>
          <w:tcPr>
            <w:tcW w:w="741" w:type="pct"/>
            <w:tcBorders>
              <w:top w:val="nil"/>
              <w:left w:val="single" w:sz="4" w:space="0" w:color="auto"/>
              <w:bottom w:val="nil"/>
              <w:right w:val="single" w:sz="4" w:space="0" w:color="auto"/>
            </w:tcBorders>
            <w:shd w:val="clear" w:color="auto" w:fill="auto"/>
            <w:noWrap/>
            <w:vAlign w:val="bottom"/>
            <w:hideMark/>
          </w:tcPr>
          <w:p w14:paraId="2250E52B" w14:textId="60487FD8" w:rsidR="00686EC7" w:rsidRPr="000C156A" w:rsidRDefault="00686EC7" w:rsidP="00141BAA">
            <w:pPr>
              <w:overflowPunct/>
              <w:autoSpaceDE/>
              <w:autoSpaceDN/>
              <w:adjustRightInd/>
              <w:spacing w:before="0"/>
              <w:textAlignment w:val="auto"/>
              <w:rPr>
                <w:sz w:val="20"/>
                <w:lang w:eastAsia="zh-CN"/>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lang w:eastAsia="zh-CN"/>
              </w:rPr>
              <w:t>– 2014</w:t>
            </w:r>
            <w:r w:rsidRPr="000C156A">
              <w:rPr>
                <w:rFonts w:hint="eastAsia"/>
                <w:sz w:val="20"/>
                <w:lang w:eastAsia="zh-CN"/>
              </w:rPr>
              <w:t>年</w:t>
            </w:r>
          </w:p>
        </w:tc>
        <w:tc>
          <w:tcPr>
            <w:tcW w:w="508" w:type="pct"/>
            <w:tcBorders>
              <w:top w:val="nil"/>
              <w:left w:val="nil"/>
              <w:bottom w:val="nil"/>
              <w:right w:val="nil"/>
            </w:tcBorders>
            <w:shd w:val="clear" w:color="auto" w:fill="auto"/>
            <w:noWrap/>
            <w:vAlign w:val="bottom"/>
            <w:hideMark/>
          </w:tcPr>
          <w:p w14:paraId="1474683C" w14:textId="5A0EC3D0" w:rsidR="00686EC7" w:rsidRPr="000C156A" w:rsidRDefault="00686EC7" w:rsidP="00141BAA">
            <w:pPr>
              <w:jc w:val="right"/>
              <w:rPr>
                <w:rFonts w:cs="Calibri"/>
                <w:sz w:val="20"/>
                <w:lang w:eastAsia="en-GB"/>
              </w:rPr>
            </w:pPr>
            <w:r w:rsidRPr="000C156A">
              <w:rPr>
                <w:rFonts w:cs="Calibri"/>
                <w:sz w:val="20"/>
                <w:lang w:eastAsia="en-GB"/>
              </w:rPr>
              <w:t>149</w:t>
            </w:r>
            <w:r w:rsidR="001A59E5" w:rsidRPr="000C156A">
              <w:rPr>
                <w:rFonts w:cs="Calibri"/>
                <w:sz w:val="20"/>
                <w:lang w:eastAsia="en-GB"/>
              </w:rPr>
              <w:t xml:space="preserve"> </w:t>
            </w:r>
            <w:r w:rsidRPr="000C156A">
              <w:rPr>
                <w:rFonts w:cs="Calibri"/>
                <w:sz w:val="20"/>
                <w:lang w:eastAsia="en-GB"/>
              </w:rPr>
              <w:t>588.50</w:t>
            </w:r>
          </w:p>
        </w:tc>
        <w:tc>
          <w:tcPr>
            <w:tcW w:w="834" w:type="pct"/>
            <w:tcBorders>
              <w:top w:val="nil"/>
              <w:left w:val="single" w:sz="4" w:space="0" w:color="auto"/>
              <w:bottom w:val="nil"/>
              <w:right w:val="single" w:sz="4" w:space="0" w:color="auto"/>
            </w:tcBorders>
            <w:shd w:val="clear" w:color="auto" w:fill="auto"/>
            <w:noWrap/>
            <w:vAlign w:val="bottom"/>
            <w:hideMark/>
          </w:tcPr>
          <w:p w14:paraId="50CF6F75" w14:textId="1FA23241" w:rsidR="00686EC7" w:rsidRPr="000C156A" w:rsidRDefault="00686EC7" w:rsidP="00141BAA">
            <w:pPr>
              <w:jc w:val="right"/>
              <w:rPr>
                <w:rFonts w:cs="Calibri"/>
                <w:sz w:val="20"/>
                <w:lang w:eastAsia="en-GB"/>
              </w:rPr>
            </w:pPr>
            <w:r w:rsidRPr="000C156A">
              <w:rPr>
                <w:rFonts w:cs="Calibri"/>
                <w:sz w:val="20"/>
                <w:lang w:eastAsia="en-GB"/>
              </w:rPr>
              <w:t>179</w:t>
            </w:r>
            <w:r w:rsidR="001A59E5" w:rsidRPr="000C156A">
              <w:rPr>
                <w:rFonts w:cs="Calibri"/>
                <w:sz w:val="20"/>
                <w:lang w:eastAsia="en-GB"/>
              </w:rPr>
              <w:t xml:space="preserve"> </w:t>
            </w:r>
            <w:r w:rsidRPr="000C156A">
              <w:rPr>
                <w:rFonts w:cs="Calibri"/>
                <w:sz w:val="20"/>
                <w:lang w:eastAsia="en-GB"/>
              </w:rPr>
              <w:t>512.90</w:t>
            </w:r>
          </w:p>
        </w:tc>
        <w:tc>
          <w:tcPr>
            <w:tcW w:w="479" w:type="pct"/>
            <w:tcBorders>
              <w:top w:val="nil"/>
              <w:left w:val="nil"/>
              <w:bottom w:val="nil"/>
              <w:right w:val="nil"/>
            </w:tcBorders>
            <w:shd w:val="clear" w:color="auto" w:fill="auto"/>
            <w:noWrap/>
            <w:vAlign w:val="bottom"/>
            <w:hideMark/>
          </w:tcPr>
          <w:p w14:paraId="40F3B50B"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392" w:type="pct"/>
            <w:tcBorders>
              <w:top w:val="nil"/>
              <w:left w:val="single" w:sz="4" w:space="0" w:color="auto"/>
              <w:bottom w:val="nil"/>
              <w:right w:val="single" w:sz="4" w:space="0" w:color="auto"/>
            </w:tcBorders>
            <w:shd w:val="clear" w:color="auto" w:fill="auto"/>
            <w:noWrap/>
            <w:vAlign w:val="bottom"/>
            <w:hideMark/>
          </w:tcPr>
          <w:p w14:paraId="60754328" w14:textId="5437189A" w:rsidR="00686EC7" w:rsidRPr="000C156A" w:rsidRDefault="00686EC7" w:rsidP="00141BAA">
            <w:pPr>
              <w:jc w:val="right"/>
              <w:rPr>
                <w:rFonts w:cs="Calibri"/>
                <w:sz w:val="20"/>
                <w:lang w:eastAsia="en-GB"/>
              </w:rPr>
            </w:pPr>
            <w:r w:rsidRPr="000C156A">
              <w:rPr>
                <w:rFonts w:cs="Calibri"/>
                <w:sz w:val="20"/>
                <w:lang w:eastAsia="en-GB"/>
              </w:rPr>
              <w:t>10</w:t>
            </w:r>
            <w:r w:rsidR="001A59E5" w:rsidRPr="000C156A">
              <w:rPr>
                <w:rFonts w:cs="Calibri"/>
                <w:sz w:val="20"/>
                <w:lang w:eastAsia="en-GB"/>
              </w:rPr>
              <w:t xml:space="preserve"> </w:t>
            </w:r>
            <w:r w:rsidRPr="000C156A">
              <w:rPr>
                <w:rFonts w:cs="Calibri"/>
                <w:sz w:val="20"/>
                <w:lang w:eastAsia="en-GB"/>
              </w:rPr>
              <w:t>770.80</w:t>
            </w:r>
          </w:p>
        </w:tc>
        <w:tc>
          <w:tcPr>
            <w:tcW w:w="402" w:type="pct"/>
            <w:tcBorders>
              <w:top w:val="nil"/>
              <w:left w:val="nil"/>
              <w:bottom w:val="nil"/>
              <w:right w:val="single" w:sz="4" w:space="0" w:color="auto"/>
            </w:tcBorders>
            <w:shd w:val="clear" w:color="auto" w:fill="auto"/>
            <w:noWrap/>
            <w:vAlign w:val="bottom"/>
            <w:hideMark/>
          </w:tcPr>
          <w:p w14:paraId="0D9E3F69"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74" w:type="pct"/>
            <w:tcBorders>
              <w:top w:val="nil"/>
              <w:left w:val="nil"/>
              <w:bottom w:val="nil"/>
              <w:right w:val="single" w:sz="4" w:space="0" w:color="auto"/>
            </w:tcBorders>
            <w:shd w:val="clear" w:color="auto" w:fill="auto"/>
            <w:noWrap/>
            <w:vAlign w:val="bottom"/>
            <w:hideMark/>
          </w:tcPr>
          <w:p w14:paraId="0AF34583" w14:textId="12E8EFA2" w:rsidR="00686EC7" w:rsidRPr="000C156A" w:rsidRDefault="00686EC7" w:rsidP="00141BAA">
            <w:pPr>
              <w:jc w:val="right"/>
              <w:rPr>
                <w:rFonts w:cs="Calibri"/>
                <w:sz w:val="20"/>
                <w:lang w:eastAsia="en-GB"/>
              </w:rPr>
            </w:pPr>
            <w:r w:rsidRPr="000C156A">
              <w:rPr>
                <w:rFonts w:cs="Calibri"/>
                <w:sz w:val="20"/>
                <w:lang w:eastAsia="en-GB"/>
              </w:rPr>
              <w:t>190</w:t>
            </w:r>
            <w:r w:rsidR="001A59E5" w:rsidRPr="000C156A">
              <w:rPr>
                <w:rFonts w:cs="Calibri"/>
                <w:sz w:val="20"/>
                <w:lang w:eastAsia="en-GB"/>
              </w:rPr>
              <w:t xml:space="preserve"> </w:t>
            </w:r>
            <w:r w:rsidRPr="000C156A">
              <w:rPr>
                <w:rFonts w:cs="Calibri"/>
                <w:sz w:val="20"/>
                <w:lang w:eastAsia="en-GB"/>
              </w:rPr>
              <w:t>283.70</w:t>
            </w:r>
          </w:p>
        </w:tc>
      </w:tr>
      <w:tr w:rsidR="00686EC7" w:rsidRPr="000C156A" w14:paraId="07471D69" w14:textId="77777777" w:rsidTr="007E0227">
        <w:trPr>
          <w:trHeight w:val="142"/>
        </w:trPr>
        <w:tc>
          <w:tcPr>
            <w:tcW w:w="1171" w:type="pct"/>
            <w:tcBorders>
              <w:top w:val="nil"/>
              <w:left w:val="single" w:sz="4" w:space="0" w:color="auto"/>
              <w:bottom w:val="nil"/>
              <w:right w:val="nil"/>
            </w:tcBorders>
            <w:shd w:val="clear" w:color="auto" w:fill="auto"/>
            <w:noWrap/>
            <w:vAlign w:val="bottom"/>
            <w:hideMark/>
          </w:tcPr>
          <w:p w14:paraId="705E6BD8"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rPr>
              <w:t>美国</w:t>
            </w:r>
            <w:r w:rsidRPr="000C156A">
              <w:rPr>
                <w:sz w:val="20"/>
              </w:rPr>
              <w:t>Ellipsat</w:t>
            </w:r>
            <w:r w:rsidRPr="000C156A">
              <w:rPr>
                <w:rFonts w:hint="eastAsia"/>
                <w:sz w:val="20"/>
                <w:lang w:eastAsia="zh-CN"/>
              </w:rPr>
              <w:t>公司</w:t>
            </w:r>
          </w:p>
        </w:tc>
        <w:tc>
          <w:tcPr>
            <w:tcW w:w="741" w:type="pct"/>
            <w:tcBorders>
              <w:top w:val="nil"/>
              <w:left w:val="single" w:sz="4" w:space="0" w:color="auto"/>
              <w:bottom w:val="nil"/>
              <w:right w:val="single" w:sz="4" w:space="0" w:color="auto"/>
            </w:tcBorders>
            <w:shd w:val="clear" w:color="auto" w:fill="auto"/>
            <w:noWrap/>
            <w:vAlign w:val="bottom"/>
            <w:hideMark/>
          </w:tcPr>
          <w:p w14:paraId="715C3D38" w14:textId="77777777" w:rsidR="00686EC7" w:rsidRPr="000C156A" w:rsidRDefault="00686EC7" w:rsidP="00141BAA">
            <w:pPr>
              <w:overflowPunct/>
              <w:autoSpaceDE/>
              <w:autoSpaceDN/>
              <w:adjustRightInd/>
              <w:spacing w:before="0"/>
              <w:textAlignment w:val="auto"/>
              <w:rPr>
                <w:sz w:val="20"/>
                <w:lang w:eastAsia="zh-CN"/>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lang w:eastAsia="zh-CN"/>
              </w:rPr>
              <w:t>– 2015</w:t>
            </w:r>
            <w:r w:rsidRPr="000C156A">
              <w:rPr>
                <w:rFonts w:hint="eastAsia"/>
                <w:sz w:val="20"/>
                <w:lang w:eastAsia="zh-CN"/>
              </w:rPr>
              <w:t>年</w:t>
            </w:r>
          </w:p>
        </w:tc>
        <w:tc>
          <w:tcPr>
            <w:tcW w:w="508" w:type="pct"/>
            <w:tcBorders>
              <w:top w:val="nil"/>
              <w:left w:val="nil"/>
              <w:bottom w:val="nil"/>
              <w:right w:val="nil"/>
            </w:tcBorders>
            <w:shd w:val="clear" w:color="auto" w:fill="auto"/>
            <w:noWrap/>
            <w:vAlign w:val="bottom"/>
            <w:hideMark/>
          </w:tcPr>
          <w:p w14:paraId="7AA58201" w14:textId="53BFF56F" w:rsidR="00686EC7" w:rsidRPr="000C156A" w:rsidRDefault="00686EC7" w:rsidP="00141BAA">
            <w:pPr>
              <w:jc w:val="right"/>
              <w:rPr>
                <w:rFonts w:cs="Calibri"/>
                <w:sz w:val="20"/>
                <w:lang w:eastAsia="en-GB"/>
              </w:rPr>
            </w:pPr>
            <w:r w:rsidRPr="000C156A">
              <w:rPr>
                <w:rFonts w:cs="Calibri"/>
                <w:sz w:val="20"/>
                <w:lang w:eastAsia="en-GB"/>
              </w:rPr>
              <w:t>27</w:t>
            </w:r>
            <w:r w:rsidR="001A59E5" w:rsidRPr="000C156A">
              <w:rPr>
                <w:rFonts w:cs="Calibri"/>
                <w:sz w:val="20"/>
                <w:lang w:eastAsia="en-GB"/>
              </w:rPr>
              <w:t xml:space="preserve"> </w:t>
            </w:r>
            <w:r w:rsidRPr="000C156A">
              <w:rPr>
                <w:rFonts w:cs="Calibri"/>
                <w:sz w:val="20"/>
                <w:lang w:eastAsia="en-GB"/>
              </w:rPr>
              <w:t>865.90</w:t>
            </w:r>
          </w:p>
        </w:tc>
        <w:tc>
          <w:tcPr>
            <w:tcW w:w="834" w:type="pct"/>
            <w:tcBorders>
              <w:top w:val="nil"/>
              <w:left w:val="single" w:sz="4" w:space="0" w:color="auto"/>
              <w:bottom w:val="nil"/>
              <w:right w:val="single" w:sz="4" w:space="0" w:color="auto"/>
            </w:tcBorders>
            <w:shd w:val="clear" w:color="auto" w:fill="auto"/>
            <w:noWrap/>
            <w:vAlign w:val="bottom"/>
            <w:hideMark/>
          </w:tcPr>
          <w:p w14:paraId="3A795986" w14:textId="78DCBEAC" w:rsidR="00686EC7" w:rsidRPr="000C156A" w:rsidRDefault="00686EC7" w:rsidP="00141BAA">
            <w:pPr>
              <w:jc w:val="right"/>
              <w:rPr>
                <w:rFonts w:cs="Calibri"/>
                <w:sz w:val="20"/>
                <w:lang w:eastAsia="en-GB"/>
              </w:rPr>
            </w:pPr>
            <w:r w:rsidRPr="000C156A">
              <w:rPr>
                <w:rFonts w:cs="Calibri"/>
                <w:sz w:val="20"/>
                <w:lang w:eastAsia="en-GB"/>
              </w:rPr>
              <w:t>31</w:t>
            </w:r>
            <w:r w:rsidR="001A59E5" w:rsidRPr="000C156A">
              <w:rPr>
                <w:rFonts w:cs="Calibri"/>
                <w:sz w:val="20"/>
                <w:lang w:eastAsia="en-GB"/>
              </w:rPr>
              <w:t xml:space="preserve"> </w:t>
            </w:r>
            <w:r w:rsidRPr="000C156A">
              <w:rPr>
                <w:rFonts w:cs="Calibri"/>
                <w:sz w:val="20"/>
                <w:lang w:eastAsia="en-GB"/>
              </w:rPr>
              <w:t>310.10</w:t>
            </w:r>
          </w:p>
        </w:tc>
        <w:tc>
          <w:tcPr>
            <w:tcW w:w="479" w:type="pct"/>
            <w:tcBorders>
              <w:top w:val="nil"/>
              <w:left w:val="nil"/>
              <w:bottom w:val="nil"/>
              <w:right w:val="nil"/>
            </w:tcBorders>
            <w:shd w:val="clear" w:color="auto" w:fill="auto"/>
            <w:noWrap/>
            <w:vAlign w:val="bottom"/>
            <w:hideMark/>
          </w:tcPr>
          <w:p w14:paraId="5C6C3894"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392" w:type="pct"/>
            <w:tcBorders>
              <w:top w:val="nil"/>
              <w:left w:val="single" w:sz="4" w:space="0" w:color="auto"/>
              <w:bottom w:val="nil"/>
              <w:right w:val="single" w:sz="4" w:space="0" w:color="auto"/>
            </w:tcBorders>
            <w:shd w:val="clear" w:color="auto" w:fill="auto"/>
            <w:noWrap/>
            <w:vAlign w:val="bottom"/>
            <w:hideMark/>
          </w:tcPr>
          <w:p w14:paraId="3EC369DF" w14:textId="20BEB9D1" w:rsidR="00686EC7" w:rsidRPr="000C156A" w:rsidRDefault="00686EC7" w:rsidP="00141BAA">
            <w:pPr>
              <w:jc w:val="right"/>
              <w:rPr>
                <w:rFonts w:cs="Calibri"/>
                <w:sz w:val="20"/>
                <w:lang w:eastAsia="en-GB"/>
              </w:rPr>
            </w:pPr>
            <w:r w:rsidRPr="000C156A">
              <w:rPr>
                <w:rFonts w:cs="Calibri"/>
                <w:sz w:val="20"/>
                <w:lang w:eastAsia="en-GB"/>
              </w:rPr>
              <w:t>1</w:t>
            </w:r>
            <w:r w:rsidR="001A59E5" w:rsidRPr="000C156A">
              <w:rPr>
                <w:rFonts w:cs="Calibri"/>
                <w:sz w:val="20"/>
                <w:lang w:eastAsia="en-GB"/>
              </w:rPr>
              <w:t xml:space="preserve"> </w:t>
            </w:r>
            <w:r w:rsidRPr="000C156A">
              <w:rPr>
                <w:rFonts w:cs="Calibri"/>
                <w:sz w:val="20"/>
                <w:lang w:eastAsia="en-GB"/>
              </w:rPr>
              <w:t>878.60</w:t>
            </w:r>
          </w:p>
        </w:tc>
        <w:tc>
          <w:tcPr>
            <w:tcW w:w="402" w:type="pct"/>
            <w:tcBorders>
              <w:top w:val="nil"/>
              <w:left w:val="nil"/>
              <w:bottom w:val="nil"/>
              <w:right w:val="single" w:sz="4" w:space="0" w:color="auto"/>
            </w:tcBorders>
            <w:shd w:val="clear" w:color="auto" w:fill="auto"/>
            <w:noWrap/>
            <w:vAlign w:val="bottom"/>
            <w:hideMark/>
          </w:tcPr>
          <w:p w14:paraId="69C15D43"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74" w:type="pct"/>
            <w:tcBorders>
              <w:top w:val="nil"/>
              <w:left w:val="nil"/>
              <w:bottom w:val="nil"/>
              <w:right w:val="single" w:sz="4" w:space="0" w:color="auto"/>
            </w:tcBorders>
            <w:shd w:val="clear" w:color="auto" w:fill="auto"/>
            <w:noWrap/>
            <w:vAlign w:val="bottom"/>
            <w:hideMark/>
          </w:tcPr>
          <w:p w14:paraId="3A23B798" w14:textId="6181E705" w:rsidR="00686EC7" w:rsidRPr="000C156A" w:rsidRDefault="00686EC7" w:rsidP="00141BAA">
            <w:pPr>
              <w:jc w:val="right"/>
              <w:rPr>
                <w:rFonts w:cs="Calibri"/>
                <w:sz w:val="20"/>
                <w:lang w:eastAsia="en-GB"/>
              </w:rPr>
            </w:pPr>
            <w:r w:rsidRPr="000C156A">
              <w:rPr>
                <w:rFonts w:cs="Calibri"/>
                <w:sz w:val="20"/>
                <w:lang w:eastAsia="en-GB"/>
              </w:rPr>
              <w:t>33</w:t>
            </w:r>
            <w:r w:rsidR="001A59E5" w:rsidRPr="000C156A">
              <w:rPr>
                <w:rFonts w:cs="Calibri"/>
                <w:sz w:val="20"/>
                <w:lang w:eastAsia="en-GB"/>
              </w:rPr>
              <w:t xml:space="preserve"> </w:t>
            </w:r>
            <w:r w:rsidRPr="000C156A">
              <w:rPr>
                <w:rFonts w:cs="Calibri"/>
                <w:sz w:val="20"/>
                <w:lang w:eastAsia="en-GB"/>
              </w:rPr>
              <w:t>188.70</w:t>
            </w:r>
          </w:p>
        </w:tc>
      </w:tr>
      <w:tr w:rsidR="00686EC7" w:rsidRPr="000C156A" w14:paraId="10D95090" w14:textId="77777777" w:rsidTr="00141BAA">
        <w:trPr>
          <w:trHeight w:val="308"/>
        </w:trPr>
        <w:tc>
          <w:tcPr>
            <w:tcW w:w="1171" w:type="pct"/>
            <w:tcBorders>
              <w:top w:val="nil"/>
              <w:left w:val="single" w:sz="4" w:space="0" w:color="auto"/>
              <w:bottom w:val="nil"/>
              <w:right w:val="nil"/>
            </w:tcBorders>
            <w:shd w:val="clear" w:color="auto" w:fill="auto"/>
            <w:vAlign w:val="bottom"/>
            <w:hideMark/>
          </w:tcPr>
          <w:p w14:paraId="4E3FFACB"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rPr>
              <w:t>瑞士</w:t>
            </w:r>
            <w:r w:rsidRPr="000C156A">
              <w:rPr>
                <w:sz w:val="20"/>
              </w:rPr>
              <w:t>Apprentissages sans Frontières</w:t>
            </w:r>
          </w:p>
        </w:tc>
        <w:tc>
          <w:tcPr>
            <w:tcW w:w="741" w:type="pct"/>
            <w:tcBorders>
              <w:top w:val="nil"/>
              <w:left w:val="single" w:sz="4" w:space="0" w:color="auto"/>
              <w:bottom w:val="nil"/>
              <w:right w:val="single" w:sz="4" w:space="0" w:color="auto"/>
            </w:tcBorders>
            <w:shd w:val="clear" w:color="auto" w:fill="auto"/>
            <w:noWrap/>
            <w:vAlign w:val="bottom"/>
            <w:hideMark/>
          </w:tcPr>
          <w:p w14:paraId="078519B0"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lang w:eastAsia="zh-CN"/>
              </w:rPr>
              <w:t xml:space="preserve">– </w:t>
            </w:r>
            <w:r w:rsidRPr="000C156A">
              <w:rPr>
                <w:sz w:val="20"/>
              </w:rPr>
              <w:t>2016</w:t>
            </w:r>
            <w:r w:rsidRPr="000C156A">
              <w:rPr>
                <w:rFonts w:hint="eastAsia"/>
                <w:sz w:val="20"/>
                <w:lang w:eastAsia="zh-CN"/>
              </w:rPr>
              <w:t>年</w:t>
            </w:r>
          </w:p>
        </w:tc>
        <w:tc>
          <w:tcPr>
            <w:tcW w:w="508" w:type="pct"/>
            <w:tcBorders>
              <w:top w:val="nil"/>
              <w:left w:val="nil"/>
              <w:bottom w:val="nil"/>
              <w:right w:val="nil"/>
            </w:tcBorders>
            <w:shd w:val="clear" w:color="auto" w:fill="auto"/>
            <w:noWrap/>
            <w:vAlign w:val="bottom"/>
            <w:hideMark/>
          </w:tcPr>
          <w:p w14:paraId="1837238C" w14:textId="5B7C4A07" w:rsidR="00686EC7" w:rsidRPr="000C156A" w:rsidRDefault="00686EC7" w:rsidP="00141BAA">
            <w:pPr>
              <w:jc w:val="right"/>
              <w:rPr>
                <w:rFonts w:cs="Calibri"/>
                <w:sz w:val="20"/>
                <w:lang w:eastAsia="en-GB"/>
              </w:rPr>
            </w:pPr>
            <w:r w:rsidRPr="000C156A">
              <w:rPr>
                <w:rFonts w:cs="Calibri"/>
                <w:sz w:val="20"/>
                <w:lang w:eastAsia="en-GB"/>
              </w:rPr>
              <w:t>6</w:t>
            </w:r>
            <w:r w:rsidR="001A59E5" w:rsidRPr="000C156A">
              <w:rPr>
                <w:rFonts w:cs="Calibri"/>
                <w:sz w:val="20"/>
                <w:lang w:eastAsia="en-GB"/>
              </w:rPr>
              <w:t xml:space="preserve"> </w:t>
            </w:r>
            <w:r w:rsidRPr="000C156A">
              <w:rPr>
                <w:rFonts w:cs="Calibri"/>
                <w:sz w:val="20"/>
                <w:lang w:eastAsia="en-GB"/>
              </w:rPr>
              <w:t>658.15</w:t>
            </w:r>
          </w:p>
        </w:tc>
        <w:tc>
          <w:tcPr>
            <w:tcW w:w="834" w:type="pct"/>
            <w:tcBorders>
              <w:top w:val="nil"/>
              <w:left w:val="single" w:sz="4" w:space="0" w:color="auto"/>
              <w:bottom w:val="nil"/>
              <w:right w:val="single" w:sz="4" w:space="0" w:color="auto"/>
            </w:tcBorders>
            <w:shd w:val="clear" w:color="auto" w:fill="auto"/>
            <w:noWrap/>
            <w:vAlign w:val="bottom"/>
            <w:hideMark/>
          </w:tcPr>
          <w:p w14:paraId="165B6497" w14:textId="6308C9A7" w:rsidR="00686EC7" w:rsidRPr="000C156A" w:rsidRDefault="00686EC7" w:rsidP="00141BAA">
            <w:pPr>
              <w:jc w:val="right"/>
              <w:rPr>
                <w:rFonts w:cs="Calibri"/>
                <w:sz w:val="20"/>
                <w:lang w:eastAsia="en-GB"/>
              </w:rPr>
            </w:pPr>
            <w:r w:rsidRPr="000C156A">
              <w:rPr>
                <w:rFonts w:cs="Calibri"/>
                <w:sz w:val="20"/>
                <w:lang w:eastAsia="en-GB"/>
              </w:rPr>
              <w:t>8</w:t>
            </w:r>
            <w:r w:rsidR="001A59E5" w:rsidRPr="000C156A">
              <w:rPr>
                <w:rFonts w:cs="Calibri"/>
                <w:sz w:val="20"/>
                <w:lang w:eastAsia="en-GB"/>
              </w:rPr>
              <w:t xml:space="preserve"> </w:t>
            </w:r>
            <w:r w:rsidRPr="000C156A">
              <w:rPr>
                <w:rFonts w:cs="Calibri"/>
                <w:sz w:val="20"/>
                <w:lang w:eastAsia="en-GB"/>
              </w:rPr>
              <w:t>167.90</w:t>
            </w:r>
          </w:p>
        </w:tc>
        <w:tc>
          <w:tcPr>
            <w:tcW w:w="479" w:type="pct"/>
            <w:tcBorders>
              <w:top w:val="nil"/>
              <w:left w:val="nil"/>
              <w:bottom w:val="nil"/>
              <w:right w:val="nil"/>
            </w:tcBorders>
            <w:shd w:val="clear" w:color="auto" w:fill="auto"/>
            <w:noWrap/>
            <w:vAlign w:val="bottom"/>
            <w:hideMark/>
          </w:tcPr>
          <w:p w14:paraId="4B2EA735"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392" w:type="pct"/>
            <w:tcBorders>
              <w:top w:val="nil"/>
              <w:left w:val="single" w:sz="4" w:space="0" w:color="auto"/>
              <w:bottom w:val="nil"/>
              <w:right w:val="single" w:sz="4" w:space="0" w:color="auto"/>
            </w:tcBorders>
            <w:shd w:val="clear" w:color="auto" w:fill="auto"/>
            <w:noWrap/>
            <w:vAlign w:val="bottom"/>
            <w:hideMark/>
          </w:tcPr>
          <w:p w14:paraId="57D1787D" w14:textId="77777777" w:rsidR="00686EC7" w:rsidRPr="000C156A" w:rsidRDefault="00686EC7" w:rsidP="00141BAA">
            <w:pPr>
              <w:jc w:val="right"/>
              <w:rPr>
                <w:rFonts w:cs="Calibri"/>
                <w:sz w:val="20"/>
                <w:lang w:eastAsia="en-GB"/>
              </w:rPr>
            </w:pPr>
            <w:r w:rsidRPr="000C156A">
              <w:rPr>
                <w:rFonts w:cs="Calibri"/>
                <w:sz w:val="20"/>
                <w:lang w:eastAsia="en-GB"/>
              </w:rPr>
              <w:t>490.10</w:t>
            </w:r>
          </w:p>
        </w:tc>
        <w:tc>
          <w:tcPr>
            <w:tcW w:w="402" w:type="pct"/>
            <w:tcBorders>
              <w:top w:val="nil"/>
              <w:left w:val="nil"/>
              <w:bottom w:val="nil"/>
              <w:right w:val="single" w:sz="4" w:space="0" w:color="auto"/>
            </w:tcBorders>
            <w:shd w:val="clear" w:color="auto" w:fill="auto"/>
            <w:noWrap/>
            <w:vAlign w:val="bottom"/>
            <w:hideMark/>
          </w:tcPr>
          <w:p w14:paraId="1A084441" w14:textId="77777777" w:rsidR="00686EC7" w:rsidRPr="000C156A" w:rsidRDefault="00686EC7" w:rsidP="00141BAA">
            <w:pPr>
              <w:jc w:val="right"/>
              <w:rPr>
                <w:rFonts w:cs="Calibri"/>
                <w:sz w:val="20"/>
                <w:lang w:eastAsia="en-GB"/>
              </w:rPr>
            </w:pPr>
            <w:r w:rsidRPr="000C156A">
              <w:rPr>
                <w:rFonts w:cs="Calibri"/>
                <w:sz w:val="20"/>
                <w:lang w:eastAsia="en-GB"/>
              </w:rPr>
              <w:t>0.00</w:t>
            </w:r>
          </w:p>
        </w:tc>
        <w:tc>
          <w:tcPr>
            <w:tcW w:w="474" w:type="pct"/>
            <w:tcBorders>
              <w:top w:val="nil"/>
              <w:left w:val="nil"/>
              <w:bottom w:val="nil"/>
              <w:right w:val="single" w:sz="4" w:space="0" w:color="auto"/>
            </w:tcBorders>
            <w:shd w:val="clear" w:color="auto" w:fill="auto"/>
            <w:noWrap/>
            <w:vAlign w:val="bottom"/>
            <w:hideMark/>
          </w:tcPr>
          <w:p w14:paraId="4A2F3A38" w14:textId="5AF9164B" w:rsidR="00686EC7" w:rsidRPr="000C156A" w:rsidRDefault="00686EC7" w:rsidP="00141BAA">
            <w:pPr>
              <w:jc w:val="right"/>
              <w:rPr>
                <w:rFonts w:cs="Calibri"/>
                <w:sz w:val="20"/>
                <w:lang w:eastAsia="en-GB"/>
              </w:rPr>
            </w:pPr>
            <w:r w:rsidRPr="000C156A">
              <w:rPr>
                <w:rFonts w:cs="Calibri"/>
                <w:sz w:val="20"/>
                <w:lang w:eastAsia="en-GB"/>
              </w:rPr>
              <w:t>8</w:t>
            </w:r>
            <w:r w:rsidR="001A59E5" w:rsidRPr="000C156A">
              <w:rPr>
                <w:rFonts w:cs="Calibri"/>
                <w:sz w:val="20"/>
                <w:lang w:eastAsia="en-GB"/>
              </w:rPr>
              <w:t xml:space="preserve"> </w:t>
            </w:r>
            <w:r w:rsidRPr="000C156A">
              <w:rPr>
                <w:rFonts w:cs="Calibri"/>
                <w:sz w:val="20"/>
                <w:lang w:eastAsia="en-GB"/>
              </w:rPr>
              <w:t>658.00</w:t>
            </w:r>
          </w:p>
        </w:tc>
      </w:tr>
      <w:tr w:rsidR="00686EC7" w:rsidRPr="000C156A" w14:paraId="28DC3297" w14:textId="77777777" w:rsidTr="00141BAA">
        <w:trPr>
          <w:trHeight w:val="255"/>
        </w:trPr>
        <w:tc>
          <w:tcPr>
            <w:tcW w:w="1171" w:type="pct"/>
            <w:tcBorders>
              <w:top w:val="nil"/>
              <w:left w:val="single" w:sz="4" w:space="0" w:color="auto"/>
              <w:bottom w:val="single" w:sz="4" w:space="0" w:color="auto"/>
              <w:right w:val="nil"/>
            </w:tcBorders>
            <w:shd w:val="clear" w:color="auto" w:fill="auto"/>
            <w:vAlign w:val="bottom"/>
            <w:hideMark/>
          </w:tcPr>
          <w:p w14:paraId="7BF44C19"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741" w:type="pct"/>
            <w:tcBorders>
              <w:top w:val="nil"/>
              <w:left w:val="single" w:sz="4" w:space="0" w:color="auto"/>
              <w:bottom w:val="single" w:sz="4" w:space="0" w:color="auto"/>
              <w:right w:val="single" w:sz="4" w:space="0" w:color="auto"/>
            </w:tcBorders>
            <w:shd w:val="clear" w:color="auto" w:fill="auto"/>
            <w:noWrap/>
            <w:vAlign w:val="bottom"/>
            <w:hideMark/>
          </w:tcPr>
          <w:p w14:paraId="6618463A"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508" w:type="pct"/>
            <w:tcBorders>
              <w:top w:val="nil"/>
              <w:left w:val="nil"/>
              <w:bottom w:val="single" w:sz="4" w:space="0" w:color="auto"/>
              <w:right w:val="nil"/>
            </w:tcBorders>
            <w:shd w:val="clear" w:color="auto" w:fill="auto"/>
            <w:noWrap/>
            <w:vAlign w:val="bottom"/>
            <w:hideMark/>
          </w:tcPr>
          <w:p w14:paraId="4C4B15AE" w14:textId="77777777" w:rsidR="00686EC7" w:rsidRPr="000C156A" w:rsidRDefault="00686EC7" w:rsidP="00141BAA">
            <w:pPr>
              <w:rPr>
                <w:rFonts w:ascii="Times New Roman" w:hAnsi="Times New Roman"/>
                <w:sz w:val="20"/>
                <w:lang w:eastAsia="en-GB"/>
              </w:rPr>
            </w:pPr>
          </w:p>
        </w:tc>
        <w:tc>
          <w:tcPr>
            <w:tcW w:w="834" w:type="pct"/>
            <w:tcBorders>
              <w:top w:val="nil"/>
              <w:left w:val="single" w:sz="4" w:space="0" w:color="auto"/>
              <w:bottom w:val="single" w:sz="4" w:space="0" w:color="auto"/>
              <w:right w:val="single" w:sz="4" w:space="0" w:color="auto"/>
            </w:tcBorders>
            <w:shd w:val="clear" w:color="auto" w:fill="auto"/>
            <w:noWrap/>
            <w:vAlign w:val="bottom"/>
            <w:hideMark/>
          </w:tcPr>
          <w:p w14:paraId="778BA2A7" w14:textId="77777777" w:rsidR="00686EC7" w:rsidRPr="000C156A" w:rsidRDefault="00686EC7" w:rsidP="00141BAA">
            <w:pPr>
              <w:rPr>
                <w:rFonts w:ascii="Times New Roman" w:hAnsi="Times New Roman"/>
                <w:sz w:val="20"/>
                <w:lang w:eastAsia="en-GB"/>
              </w:rPr>
            </w:pPr>
          </w:p>
        </w:tc>
        <w:tc>
          <w:tcPr>
            <w:tcW w:w="479" w:type="pct"/>
            <w:tcBorders>
              <w:top w:val="nil"/>
              <w:left w:val="nil"/>
              <w:bottom w:val="single" w:sz="4" w:space="0" w:color="auto"/>
              <w:right w:val="nil"/>
            </w:tcBorders>
            <w:shd w:val="clear" w:color="auto" w:fill="auto"/>
            <w:noWrap/>
            <w:vAlign w:val="bottom"/>
            <w:hideMark/>
          </w:tcPr>
          <w:p w14:paraId="42EBD6D4" w14:textId="77777777" w:rsidR="00686EC7" w:rsidRPr="000C156A" w:rsidRDefault="00686EC7" w:rsidP="00141BAA">
            <w:pPr>
              <w:rPr>
                <w:rFonts w:ascii="Times New Roman" w:hAnsi="Times New Roman"/>
                <w:sz w:val="20"/>
                <w:lang w:eastAsia="en-GB"/>
              </w:rPr>
            </w:pP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6C9D6E16" w14:textId="77777777" w:rsidR="00686EC7" w:rsidRPr="000C156A" w:rsidRDefault="00686EC7" w:rsidP="00141BAA">
            <w:pPr>
              <w:rPr>
                <w:rFonts w:ascii="Times New Roman" w:hAnsi="Times New Roman"/>
                <w:sz w:val="20"/>
                <w:lang w:eastAsia="en-GB"/>
              </w:rPr>
            </w:pPr>
          </w:p>
        </w:tc>
        <w:tc>
          <w:tcPr>
            <w:tcW w:w="402" w:type="pct"/>
            <w:tcBorders>
              <w:top w:val="nil"/>
              <w:left w:val="nil"/>
              <w:bottom w:val="single" w:sz="4" w:space="0" w:color="auto"/>
              <w:right w:val="single" w:sz="4" w:space="0" w:color="auto"/>
            </w:tcBorders>
            <w:shd w:val="clear" w:color="auto" w:fill="auto"/>
            <w:noWrap/>
            <w:vAlign w:val="bottom"/>
            <w:hideMark/>
          </w:tcPr>
          <w:p w14:paraId="6E95317C" w14:textId="77777777" w:rsidR="00686EC7" w:rsidRPr="000C156A" w:rsidRDefault="00686EC7" w:rsidP="00141BAA">
            <w:pPr>
              <w:rPr>
                <w:rFonts w:ascii="Times New Roman" w:hAnsi="Times New Roman"/>
                <w:sz w:val="20"/>
                <w:lang w:eastAsia="en-GB"/>
              </w:rPr>
            </w:pPr>
          </w:p>
        </w:tc>
        <w:tc>
          <w:tcPr>
            <w:tcW w:w="474" w:type="pct"/>
            <w:tcBorders>
              <w:top w:val="nil"/>
              <w:left w:val="nil"/>
              <w:bottom w:val="single" w:sz="4" w:space="0" w:color="auto"/>
              <w:right w:val="single" w:sz="4" w:space="0" w:color="auto"/>
            </w:tcBorders>
            <w:shd w:val="clear" w:color="auto" w:fill="auto"/>
            <w:noWrap/>
            <w:vAlign w:val="bottom"/>
            <w:hideMark/>
          </w:tcPr>
          <w:p w14:paraId="6C9846AC" w14:textId="77777777" w:rsidR="00686EC7" w:rsidRPr="000C156A" w:rsidRDefault="00686EC7" w:rsidP="00141BAA">
            <w:pPr>
              <w:rPr>
                <w:rFonts w:ascii="Times New Roman" w:hAnsi="Times New Roman"/>
                <w:sz w:val="20"/>
                <w:lang w:eastAsia="en-GB"/>
              </w:rPr>
            </w:pPr>
          </w:p>
        </w:tc>
      </w:tr>
      <w:tr w:rsidR="00686EC7" w:rsidRPr="000C156A" w14:paraId="08413377" w14:textId="77777777" w:rsidTr="00141BAA">
        <w:trPr>
          <w:trHeight w:val="255"/>
        </w:trPr>
        <w:tc>
          <w:tcPr>
            <w:tcW w:w="1171" w:type="pct"/>
            <w:tcBorders>
              <w:top w:val="nil"/>
              <w:left w:val="single" w:sz="4" w:space="0" w:color="auto"/>
              <w:bottom w:val="single" w:sz="4" w:space="0" w:color="auto"/>
              <w:right w:val="nil"/>
            </w:tcBorders>
            <w:shd w:val="clear" w:color="auto" w:fill="auto"/>
            <w:noWrap/>
            <w:vAlign w:val="bottom"/>
            <w:hideMark/>
          </w:tcPr>
          <w:p w14:paraId="228D994F" w14:textId="77777777" w:rsidR="00686EC7" w:rsidRPr="000C156A" w:rsidRDefault="00686EC7" w:rsidP="00141BAA">
            <w:pPr>
              <w:overflowPunct/>
              <w:autoSpaceDE/>
              <w:autoSpaceDN/>
              <w:adjustRightInd/>
              <w:spacing w:before="0"/>
              <w:textAlignment w:val="auto"/>
              <w:rPr>
                <w:rFonts w:cs="Calibri"/>
                <w:b/>
                <w:bCs/>
                <w:sz w:val="20"/>
                <w:lang w:eastAsia="en-GB"/>
              </w:rPr>
            </w:pPr>
            <w:r w:rsidRPr="000C156A">
              <w:rPr>
                <w:rFonts w:cs="Calibri"/>
                <w:b/>
                <w:bCs/>
                <w:sz w:val="20"/>
                <w:lang w:eastAsia="en-GB"/>
              </w:rPr>
              <w:t>2020</w:t>
            </w:r>
            <w:r w:rsidRPr="000C156A">
              <w:rPr>
                <w:rFonts w:cs="Calibri" w:hint="eastAsia"/>
                <w:b/>
                <w:bCs/>
                <w:sz w:val="20"/>
                <w:lang w:eastAsia="en-GB"/>
              </w:rPr>
              <w:t>年</w:t>
            </w:r>
            <w:r w:rsidRPr="000C156A">
              <w:rPr>
                <w:rFonts w:cs="Calibri"/>
                <w:b/>
                <w:bCs/>
                <w:sz w:val="20"/>
                <w:lang w:eastAsia="en-GB"/>
              </w:rPr>
              <w:t>12</w:t>
            </w:r>
            <w:r w:rsidRPr="000C156A">
              <w:rPr>
                <w:rFonts w:cs="Calibri" w:hint="eastAsia"/>
                <w:b/>
                <w:bCs/>
                <w:sz w:val="20"/>
                <w:lang w:eastAsia="en-GB"/>
              </w:rPr>
              <w:t>月</w:t>
            </w:r>
            <w:r w:rsidRPr="000C156A">
              <w:rPr>
                <w:rFonts w:cs="Calibri"/>
                <w:b/>
                <w:bCs/>
                <w:sz w:val="20"/>
                <w:lang w:eastAsia="en-GB"/>
              </w:rPr>
              <w:t>31</w:t>
            </w:r>
            <w:r w:rsidRPr="000C156A">
              <w:rPr>
                <w:rFonts w:cs="Calibri" w:hint="eastAsia"/>
                <w:b/>
                <w:bCs/>
                <w:sz w:val="20"/>
                <w:lang w:eastAsia="en-GB"/>
              </w:rPr>
              <w:t>日总计</w:t>
            </w:r>
          </w:p>
        </w:tc>
        <w:tc>
          <w:tcPr>
            <w:tcW w:w="741" w:type="pct"/>
            <w:tcBorders>
              <w:top w:val="nil"/>
              <w:left w:val="single" w:sz="4" w:space="0" w:color="auto"/>
              <w:bottom w:val="single" w:sz="4" w:space="0" w:color="auto"/>
              <w:right w:val="single" w:sz="4" w:space="0" w:color="auto"/>
            </w:tcBorders>
            <w:shd w:val="clear" w:color="auto" w:fill="auto"/>
            <w:noWrap/>
            <w:vAlign w:val="bottom"/>
            <w:hideMark/>
          </w:tcPr>
          <w:p w14:paraId="2D3F25FF" w14:textId="77777777" w:rsidR="00686EC7" w:rsidRPr="000C156A" w:rsidRDefault="00686EC7" w:rsidP="00141BAA">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508" w:type="pct"/>
            <w:tcBorders>
              <w:top w:val="nil"/>
              <w:left w:val="nil"/>
              <w:bottom w:val="single" w:sz="4" w:space="0" w:color="auto"/>
              <w:right w:val="nil"/>
            </w:tcBorders>
            <w:shd w:val="clear" w:color="auto" w:fill="auto"/>
            <w:noWrap/>
            <w:vAlign w:val="bottom"/>
            <w:hideMark/>
          </w:tcPr>
          <w:p w14:paraId="6AA16740" w14:textId="0F2A3CA6" w:rsidR="00686EC7" w:rsidRPr="000C156A" w:rsidRDefault="00686EC7" w:rsidP="00141BAA">
            <w:pPr>
              <w:jc w:val="right"/>
              <w:rPr>
                <w:rFonts w:cs="Calibri"/>
                <w:b/>
                <w:bCs/>
                <w:sz w:val="20"/>
                <w:u w:val="single"/>
                <w:lang w:eastAsia="en-GB"/>
              </w:rPr>
            </w:pPr>
            <w:r w:rsidRPr="000C156A">
              <w:rPr>
                <w:rFonts w:cs="Calibri"/>
                <w:b/>
                <w:bCs/>
                <w:sz w:val="20"/>
                <w:u w:val="single"/>
                <w:lang w:eastAsia="en-GB"/>
              </w:rPr>
              <w:t>16</w:t>
            </w:r>
            <w:r w:rsidR="001A59E5" w:rsidRPr="000C156A">
              <w:rPr>
                <w:rFonts w:cs="Calibri"/>
                <w:b/>
                <w:bCs/>
                <w:sz w:val="20"/>
                <w:u w:val="single"/>
                <w:lang w:eastAsia="en-GB"/>
              </w:rPr>
              <w:t xml:space="preserve"> </w:t>
            </w:r>
            <w:r w:rsidRPr="000C156A">
              <w:rPr>
                <w:rFonts w:cs="Calibri"/>
                <w:b/>
                <w:bCs/>
                <w:sz w:val="20"/>
                <w:u w:val="single"/>
                <w:lang w:eastAsia="en-GB"/>
              </w:rPr>
              <w:t>642</w:t>
            </w:r>
            <w:r w:rsidR="001A59E5" w:rsidRPr="000C156A">
              <w:rPr>
                <w:rFonts w:cs="Calibri"/>
                <w:b/>
                <w:bCs/>
                <w:sz w:val="20"/>
                <w:u w:val="single"/>
                <w:lang w:eastAsia="en-GB"/>
              </w:rPr>
              <w:t xml:space="preserve"> </w:t>
            </w:r>
            <w:r w:rsidRPr="000C156A">
              <w:rPr>
                <w:rFonts w:cs="Calibri"/>
                <w:b/>
                <w:bCs/>
                <w:sz w:val="20"/>
                <w:u w:val="single"/>
                <w:lang w:eastAsia="en-GB"/>
              </w:rPr>
              <w:t>899.71</w:t>
            </w:r>
          </w:p>
        </w:tc>
        <w:tc>
          <w:tcPr>
            <w:tcW w:w="834" w:type="pct"/>
            <w:tcBorders>
              <w:top w:val="nil"/>
              <w:left w:val="single" w:sz="4" w:space="0" w:color="auto"/>
              <w:bottom w:val="single" w:sz="4" w:space="0" w:color="auto"/>
              <w:right w:val="single" w:sz="4" w:space="0" w:color="auto"/>
            </w:tcBorders>
            <w:shd w:val="clear" w:color="auto" w:fill="auto"/>
            <w:noWrap/>
            <w:vAlign w:val="bottom"/>
            <w:hideMark/>
          </w:tcPr>
          <w:p w14:paraId="4D02E441" w14:textId="786D93C7" w:rsidR="00686EC7" w:rsidRPr="000C156A" w:rsidRDefault="00686EC7" w:rsidP="00141BAA">
            <w:pPr>
              <w:jc w:val="right"/>
              <w:rPr>
                <w:rFonts w:cs="Calibri"/>
                <w:b/>
                <w:bCs/>
                <w:sz w:val="20"/>
                <w:u w:val="single"/>
                <w:lang w:eastAsia="en-GB"/>
              </w:rPr>
            </w:pPr>
            <w:r w:rsidRPr="000C156A">
              <w:rPr>
                <w:rFonts w:cs="Calibri"/>
                <w:b/>
                <w:bCs/>
                <w:sz w:val="20"/>
                <w:u w:val="single"/>
                <w:lang w:eastAsia="en-GB"/>
              </w:rPr>
              <w:t>14</w:t>
            </w:r>
            <w:r w:rsidR="001A59E5" w:rsidRPr="000C156A">
              <w:rPr>
                <w:rFonts w:cs="Calibri"/>
                <w:b/>
                <w:bCs/>
                <w:sz w:val="20"/>
                <w:u w:val="single"/>
                <w:lang w:eastAsia="en-GB"/>
              </w:rPr>
              <w:t xml:space="preserve"> </w:t>
            </w:r>
            <w:r w:rsidRPr="000C156A">
              <w:rPr>
                <w:rFonts w:cs="Calibri"/>
                <w:b/>
                <w:bCs/>
                <w:sz w:val="20"/>
                <w:u w:val="single"/>
                <w:lang w:eastAsia="en-GB"/>
              </w:rPr>
              <w:t>643</w:t>
            </w:r>
            <w:r w:rsidR="001A59E5" w:rsidRPr="000C156A">
              <w:rPr>
                <w:rFonts w:cs="Calibri"/>
                <w:b/>
                <w:bCs/>
                <w:sz w:val="20"/>
                <w:u w:val="single"/>
                <w:lang w:eastAsia="en-GB"/>
              </w:rPr>
              <w:t xml:space="preserve"> </w:t>
            </w:r>
            <w:r w:rsidRPr="000C156A">
              <w:rPr>
                <w:rFonts w:cs="Calibri"/>
                <w:b/>
                <w:bCs/>
                <w:sz w:val="20"/>
                <w:u w:val="single"/>
                <w:lang w:eastAsia="en-GB"/>
              </w:rPr>
              <w:t>893.64</w:t>
            </w:r>
          </w:p>
        </w:tc>
        <w:tc>
          <w:tcPr>
            <w:tcW w:w="479" w:type="pct"/>
            <w:tcBorders>
              <w:top w:val="nil"/>
              <w:left w:val="nil"/>
              <w:bottom w:val="single" w:sz="4" w:space="0" w:color="auto"/>
              <w:right w:val="nil"/>
            </w:tcBorders>
            <w:shd w:val="clear" w:color="auto" w:fill="auto"/>
            <w:noWrap/>
            <w:vAlign w:val="bottom"/>
            <w:hideMark/>
          </w:tcPr>
          <w:p w14:paraId="02FB81EF" w14:textId="2E7DEC70" w:rsidR="00686EC7" w:rsidRPr="000C156A" w:rsidRDefault="00686EC7" w:rsidP="00141BAA">
            <w:pPr>
              <w:jc w:val="right"/>
              <w:rPr>
                <w:rFonts w:cs="Calibri"/>
                <w:b/>
                <w:bCs/>
                <w:sz w:val="20"/>
                <w:u w:val="single"/>
                <w:lang w:eastAsia="en-GB"/>
              </w:rPr>
            </w:pPr>
            <w:r w:rsidRPr="000C156A">
              <w:rPr>
                <w:rFonts w:cs="Calibri"/>
                <w:b/>
                <w:bCs/>
                <w:sz w:val="20"/>
                <w:u w:val="single"/>
                <w:lang w:eastAsia="en-GB"/>
              </w:rPr>
              <w:t>-2</w:t>
            </w:r>
            <w:r w:rsidR="001A59E5" w:rsidRPr="000C156A">
              <w:rPr>
                <w:rFonts w:cs="Calibri"/>
                <w:b/>
                <w:bCs/>
                <w:sz w:val="20"/>
                <w:u w:val="single"/>
                <w:lang w:eastAsia="en-GB"/>
              </w:rPr>
              <w:t xml:space="preserve"> </w:t>
            </w:r>
            <w:r w:rsidRPr="000C156A">
              <w:rPr>
                <w:rFonts w:cs="Calibri"/>
                <w:b/>
                <w:bCs/>
                <w:sz w:val="20"/>
                <w:u w:val="single"/>
                <w:lang w:eastAsia="en-GB"/>
              </w:rPr>
              <w:t>322</w:t>
            </w:r>
            <w:r w:rsidR="001A59E5" w:rsidRPr="000C156A">
              <w:rPr>
                <w:rFonts w:cs="Calibri"/>
                <w:b/>
                <w:bCs/>
                <w:sz w:val="20"/>
                <w:u w:val="single"/>
                <w:lang w:eastAsia="en-GB"/>
              </w:rPr>
              <w:t xml:space="preserve"> </w:t>
            </w:r>
            <w:r w:rsidRPr="000C156A">
              <w:rPr>
                <w:rFonts w:cs="Calibri"/>
                <w:b/>
                <w:bCs/>
                <w:sz w:val="20"/>
                <w:u w:val="single"/>
                <w:lang w:eastAsia="en-GB"/>
              </w:rPr>
              <w:t>012.42</w:t>
            </w:r>
          </w:p>
        </w:tc>
        <w:tc>
          <w:tcPr>
            <w:tcW w:w="392" w:type="pct"/>
            <w:tcBorders>
              <w:top w:val="nil"/>
              <w:left w:val="single" w:sz="4" w:space="0" w:color="auto"/>
              <w:bottom w:val="single" w:sz="4" w:space="0" w:color="auto"/>
              <w:right w:val="single" w:sz="4" w:space="0" w:color="auto"/>
            </w:tcBorders>
            <w:shd w:val="clear" w:color="auto" w:fill="auto"/>
            <w:noWrap/>
            <w:vAlign w:val="bottom"/>
            <w:hideMark/>
          </w:tcPr>
          <w:p w14:paraId="05B46C05" w14:textId="300ACAF5" w:rsidR="00686EC7" w:rsidRPr="000C156A" w:rsidRDefault="00686EC7" w:rsidP="00141BAA">
            <w:pPr>
              <w:jc w:val="right"/>
              <w:rPr>
                <w:rFonts w:cs="Calibri"/>
                <w:b/>
                <w:bCs/>
                <w:sz w:val="20"/>
                <w:u w:val="single"/>
                <w:lang w:eastAsia="en-GB"/>
              </w:rPr>
            </w:pPr>
            <w:r w:rsidRPr="000C156A">
              <w:rPr>
                <w:rFonts w:cs="Calibri"/>
                <w:b/>
                <w:bCs/>
                <w:sz w:val="20"/>
                <w:u w:val="single"/>
                <w:lang w:eastAsia="en-GB"/>
              </w:rPr>
              <w:t>626</w:t>
            </w:r>
            <w:r w:rsidR="001A59E5" w:rsidRPr="000C156A">
              <w:rPr>
                <w:rFonts w:cs="Calibri"/>
                <w:b/>
                <w:bCs/>
                <w:sz w:val="20"/>
                <w:u w:val="single"/>
                <w:lang w:eastAsia="en-GB"/>
              </w:rPr>
              <w:t xml:space="preserve"> </w:t>
            </w:r>
            <w:r w:rsidRPr="000C156A">
              <w:rPr>
                <w:rFonts w:cs="Calibri"/>
                <w:b/>
                <w:bCs/>
                <w:sz w:val="20"/>
                <w:u w:val="single"/>
                <w:lang w:eastAsia="en-GB"/>
              </w:rPr>
              <w:t>419.40</w:t>
            </w:r>
          </w:p>
        </w:tc>
        <w:tc>
          <w:tcPr>
            <w:tcW w:w="402" w:type="pct"/>
            <w:tcBorders>
              <w:top w:val="nil"/>
              <w:left w:val="nil"/>
              <w:bottom w:val="single" w:sz="4" w:space="0" w:color="auto"/>
              <w:right w:val="nil"/>
            </w:tcBorders>
            <w:shd w:val="clear" w:color="auto" w:fill="auto"/>
            <w:noWrap/>
            <w:vAlign w:val="bottom"/>
            <w:hideMark/>
          </w:tcPr>
          <w:p w14:paraId="75A0A626" w14:textId="77777777" w:rsidR="00686EC7" w:rsidRPr="000C156A" w:rsidRDefault="00686EC7" w:rsidP="00141BAA">
            <w:pPr>
              <w:jc w:val="right"/>
              <w:rPr>
                <w:rFonts w:cs="Calibri"/>
                <w:b/>
                <w:bCs/>
                <w:sz w:val="20"/>
                <w:u w:val="single"/>
                <w:lang w:eastAsia="en-GB"/>
              </w:rPr>
            </w:pPr>
            <w:r w:rsidRPr="000C156A">
              <w:rPr>
                <w:rFonts w:cs="Calibri"/>
                <w:b/>
                <w:bCs/>
                <w:sz w:val="20"/>
                <w:u w:val="single"/>
                <w:lang w:eastAsia="en-GB"/>
              </w:rPr>
              <w:t>0.00</w:t>
            </w:r>
          </w:p>
        </w:tc>
        <w:tc>
          <w:tcPr>
            <w:tcW w:w="474" w:type="pct"/>
            <w:tcBorders>
              <w:top w:val="nil"/>
              <w:left w:val="single" w:sz="4" w:space="0" w:color="auto"/>
              <w:bottom w:val="single" w:sz="4" w:space="0" w:color="auto"/>
              <w:right w:val="single" w:sz="4" w:space="0" w:color="auto"/>
            </w:tcBorders>
            <w:shd w:val="clear" w:color="auto" w:fill="auto"/>
            <w:noWrap/>
            <w:vAlign w:val="bottom"/>
            <w:hideMark/>
          </w:tcPr>
          <w:p w14:paraId="2F1308B1" w14:textId="5D064CD0" w:rsidR="00686EC7" w:rsidRPr="000C156A" w:rsidRDefault="00686EC7" w:rsidP="00141BAA">
            <w:pPr>
              <w:jc w:val="right"/>
              <w:rPr>
                <w:rFonts w:cs="Calibri"/>
                <w:b/>
                <w:bCs/>
                <w:sz w:val="20"/>
                <w:u w:val="single"/>
                <w:lang w:eastAsia="en-GB"/>
              </w:rPr>
            </w:pPr>
            <w:r w:rsidRPr="000C156A">
              <w:rPr>
                <w:rFonts w:cs="Calibri"/>
                <w:b/>
                <w:bCs/>
                <w:sz w:val="20"/>
                <w:u w:val="single"/>
                <w:lang w:eastAsia="en-GB"/>
              </w:rPr>
              <w:t>12</w:t>
            </w:r>
            <w:r w:rsidR="001A59E5" w:rsidRPr="000C156A">
              <w:rPr>
                <w:rFonts w:cs="Calibri"/>
                <w:b/>
                <w:bCs/>
                <w:sz w:val="20"/>
                <w:u w:val="single"/>
                <w:lang w:eastAsia="en-GB"/>
              </w:rPr>
              <w:t xml:space="preserve"> </w:t>
            </w:r>
            <w:r w:rsidRPr="000C156A">
              <w:rPr>
                <w:rFonts w:cs="Calibri"/>
                <w:b/>
                <w:bCs/>
                <w:sz w:val="20"/>
                <w:u w:val="single"/>
                <w:lang w:eastAsia="en-GB"/>
              </w:rPr>
              <w:t>948</w:t>
            </w:r>
            <w:r w:rsidR="001A59E5" w:rsidRPr="000C156A">
              <w:rPr>
                <w:rFonts w:cs="Calibri"/>
                <w:b/>
                <w:bCs/>
                <w:sz w:val="20"/>
                <w:u w:val="single"/>
                <w:lang w:eastAsia="en-GB"/>
              </w:rPr>
              <w:t xml:space="preserve"> </w:t>
            </w:r>
            <w:r w:rsidRPr="000C156A">
              <w:rPr>
                <w:rFonts w:cs="Calibri"/>
                <w:b/>
                <w:bCs/>
                <w:sz w:val="20"/>
                <w:u w:val="single"/>
                <w:lang w:eastAsia="en-GB"/>
              </w:rPr>
              <w:t>300.62</w:t>
            </w:r>
          </w:p>
        </w:tc>
      </w:tr>
    </w:tbl>
    <w:p w14:paraId="48600272" w14:textId="77777777" w:rsidR="00686EC7" w:rsidRPr="000C156A" w:rsidRDefault="00686EC7" w:rsidP="00686EC7">
      <w:pPr>
        <w:rPr>
          <w:lang w:eastAsia="zh-CN"/>
        </w:rPr>
      </w:pPr>
    </w:p>
    <w:p w14:paraId="264A9B51" w14:textId="77777777" w:rsidR="00686EC7" w:rsidRPr="000C156A" w:rsidRDefault="00686EC7" w:rsidP="00686EC7">
      <w:pPr>
        <w:rPr>
          <w:lang w:eastAsia="zh-CN"/>
        </w:rPr>
        <w:sectPr w:rsidR="00686EC7" w:rsidRPr="000C156A" w:rsidSect="00141BAA">
          <w:pgSz w:w="16834" w:h="11907" w:orient="landscape"/>
          <w:pgMar w:top="1134" w:right="1418" w:bottom="1134" w:left="1418" w:header="720" w:footer="720" w:gutter="0"/>
          <w:paperSrc w:first="15" w:other="15"/>
          <w:cols w:space="720"/>
          <w:titlePg/>
          <w:docGrid w:linePitch="326"/>
        </w:sectPr>
      </w:pPr>
    </w:p>
    <w:p w14:paraId="17354C58" w14:textId="77777777" w:rsidR="00686EC7" w:rsidRPr="000C156A" w:rsidRDefault="00686EC7" w:rsidP="004D1BDA">
      <w:pPr>
        <w:pStyle w:val="Tabletitle"/>
        <w:spacing w:before="120" w:after="240"/>
        <w:rPr>
          <w:rFonts w:cs="Microsoft YaHei"/>
          <w:sz w:val="28"/>
          <w:szCs w:val="28"/>
          <w:lang w:val="fr-FR"/>
        </w:rPr>
      </w:pPr>
      <w:r w:rsidRPr="000C156A">
        <w:rPr>
          <w:rFonts w:cs="Microsoft YaHei" w:hint="eastAsia"/>
          <w:sz w:val="28"/>
          <w:szCs w:val="28"/>
          <w:lang w:val="fr-FR"/>
        </w:rPr>
        <w:lastRenderedPageBreak/>
        <w:t>卫星网络申报发票欠款</w:t>
      </w:r>
    </w:p>
    <w:tbl>
      <w:tblPr>
        <w:tblW w:w="5000" w:type="pct"/>
        <w:jc w:val="center"/>
        <w:tblLayout w:type="fixed"/>
        <w:tblLook w:val="04A0" w:firstRow="1" w:lastRow="0" w:firstColumn="1" w:lastColumn="0" w:noHBand="0" w:noVBand="1"/>
      </w:tblPr>
      <w:tblGrid>
        <w:gridCol w:w="2547"/>
        <w:gridCol w:w="4393"/>
        <w:gridCol w:w="1277"/>
        <w:gridCol w:w="1412"/>
      </w:tblGrid>
      <w:tr w:rsidR="00686EC7" w:rsidRPr="000C156A" w14:paraId="3CE096CC" w14:textId="77777777" w:rsidTr="00A81917">
        <w:trPr>
          <w:trHeight w:val="62"/>
          <w:jc w:val="center"/>
        </w:trPr>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7E3E" w14:textId="77777777" w:rsidR="00686EC7" w:rsidRPr="000C156A" w:rsidRDefault="00686EC7" w:rsidP="00141BAA">
            <w:pPr>
              <w:overflowPunct/>
              <w:autoSpaceDE/>
              <w:autoSpaceDN/>
              <w:adjustRightInd/>
              <w:spacing w:before="0"/>
              <w:jc w:val="center"/>
              <w:textAlignment w:val="auto"/>
              <w:rPr>
                <w:rFonts w:cs="Calibri"/>
                <w:b/>
                <w:bCs/>
                <w:sz w:val="22"/>
                <w:szCs w:val="22"/>
                <w:lang w:eastAsia="en-GB"/>
              </w:rPr>
            </w:pPr>
            <w:r w:rsidRPr="000C156A">
              <w:rPr>
                <w:rFonts w:asciiTheme="minorHAnsi" w:eastAsiaTheme="minorEastAsia" w:hAnsiTheme="minorHAnsi" w:cs="Calibri" w:hint="eastAsia"/>
                <w:b/>
                <w:bCs/>
                <w:sz w:val="22"/>
                <w:szCs w:val="22"/>
              </w:rPr>
              <w:t>通知主管部门</w:t>
            </w:r>
          </w:p>
        </w:tc>
        <w:tc>
          <w:tcPr>
            <w:tcW w:w="2281" w:type="pct"/>
            <w:tcBorders>
              <w:top w:val="single" w:sz="4" w:space="0" w:color="auto"/>
              <w:left w:val="nil"/>
              <w:bottom w:val="single" w:sz="4" w:space="0" w:color="auto"/>
              <w:right w:val="single" w:sz="4" w:space="0" w:color="auto"/>
            </w:tcBorders>
            <w:shd w:val="clear" w:color="auto" w:fill="auto"/>
            <w:noWrap/>
            <w:vAlign w:val="center"/>
            <w:hideMark/>
          </w:tcPr>
          <w:p w14:paraId="10FE0C29" w14:textId="77777777" w:rsidR="00686EC7" w:rsidRPr="000C156A" w:rsidRDefault="00686EC7" w:rsidP="00141BAA">
            <w:pPr>
              <w:overflowPunct/>
              <w:autoSpaceDE/>
              <w:autoSpaceDN/>
              <w:adjustRightInd/>
              <w:spacing w:before="0"/>
              <w:jc w:val="center"/>
              <w:textAlignment w:val="auto"/>
              <w:rPr>
                <w:rFonts w:cs="Calibri"/>
                <w:b/>
                <w:bCs/>
                <w:sz w:val="22"/>
                <w:szCs w:val="22"/>
                <w:lang w:eastAsia="en-GB"/>
              </w:rPr>
            </w:pPr>
            <w:r w:rsidRPr="000C156A">
              <w:rPr>
                <w:rFonts w:asciiTheme="minorHAnsi" w:eastAsiaTheme="minorEastAsia" w:hAnsiTheme="minorHAnsi" w:cs="Calibri" w:hint="eastAsia"/>
                <w:b/>
                <w:bCs/>
                <w:sz w:val="22"/>
                <w:szCs w:val="22"/>
              </w:rPr>
              <w:t>运营实体</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14:paraId="7D252947" w14:textId="77777777" w:rsidR="00686EC7" w:rsidRPr="000C156A" w:rsidRDefault="00686EC7" w:rsidP="00141BAA">
            <w:pPr>
              <w:overflowPunct/>
              <w:autoSpaceDE/>
              <w:autoSpaceDN/>
              <w:adjustRightInd/>
              <w:spacing w:before="0"/>
              <w:jc w:val="center"/>
              <w:textAlignment w:val="auto"/>
              <w:rPr>
                <w:rFonts w:cs="Calibri"/>
                <w:b/>
                <w:bCs/>
                <w:sz w:val="22"/>
                <w:szCs w:val="22"/>
                <w:lang w:eastAsia="en-GB"/>
              </w:rPr>
            </w:pPr>
            <w:r w:rsidRPr="000C156A">
              <w:rPr>
                <w:rFonts w:asciiTheme="minorHAnsi" w:eastAsiaTheme="minorEastAsia" w:hAnsiTheme="minorHAnsi" w:cs="Calibri" w:hint="eastAsia"/>
                <w:b/>
                <w:bCs/>
                <w:sz w:val="22"/>
                <w:szCs w:val="22"/>
              </w:rPr>
              <w:t>年份</w:t>
            </w:r>
          </w:p>
        </w:tc>
        <w:tc>
          <w:tcPr>
            <w:tcW w:w="733" w:type="pct"/>
            <w:tcBorders>
              <w:top w:val="single" w:sz="4" w:space="0" w:color="auto"/>
              <w:left w:val="nil"/>
              <w:bottom w:val="single" w:sz="4" w:space="0" w:color="auto"/>
              <w:right w:val="single" w:sz="4" w:space="0" w:color="auto"/>
            </w:tcBorders>
            <w:shd w:val="clear" w:color="auto" w:fill="auto"/>
            <w:vAlign w:val="bottom"/>
            <w:hideMark/>
          </w:tcPr>
          <w:p w14:paraId="15AD8554" w14:textId="77777777" w:rsidR="00686EC7" w:rsidRPr="000C156A" w:rsidRDefault="00686EC7" w:rsidP="00141BAA">
            <w:pPr>
              <w:overflowPunct/>
              <w:autoSpaceDE/>
              <w:autoSpaceDN/>
              <w:adjustRightInd/>
              <w:spacing w:before="0"/>
              <w:jc w:val="center"/>
              <w:textAlignment w:val="auto"/>
              <w:rPr>
                <w:rFonts w:cs="Calibri"/>
                <w:b/>
                <w:bCs/>
                <w:sz w:val="22"/>
                <w:szCs w:val="22"/>
                <w:lang w:eastAsia="zh-CN"/>
              </w:rPr>
            </w:pPr>
            <w:r w:rsidRPr="000C156A">
              <w:rPr>
                <w:rFonts w:cs="Calibri" w:hint="eastAsia"/>
                <w:b/>
                <w:bCs/>
                <w:sz w:val="22"/>
                <w:szCs w:val="22"/>
                <w:lang w:eastAsia="zh-CN"/>
              </w:rPr>
              <w:t>欠款额</w:t>
            </w:r>
            <w:r w:rsidRPr="000C156A">
              <w:rPr>
                <w:rFonts w:cs="Calibri"/>
                <w:b/>
                <w:bCs/>
                <w:sz w:val="22"/>
                <w:szCs w:val="22"/>
                <w:lang w:eastAsia="zh-CN"/>
              </w:rPr>
              <w:br/>
            </w:r>
            <w:r w:rsidRPr="000C156A">
              <w:rPr>
                <w:rFonts w:cs="Calibri" w:hint="eastAsia"/>
                <w:b/>
                <w:bCs/>
                <w:sz w:val="22"/>
                <w:szCs w:val="22"/>
                <w:lang w:eastAsia="zh-CN"/>
              </w:rPr>
              <w:t>（瑞郎）</w:t>
            </w:r>
          </w:p>
        </w:tc>
      </w:tr>
      <w:tr w:rsidR="00686EC7" w:rsidRPr="000C156A" w14:paraId="2B635778" w14:textId="77777777" w:rsidTr="00A81917">
        <w:trPr>
          <w:trHeight w:val="118"/>
          <w:jc w:val="center"/>
        </w:trPr>
        <w:tc>
          <w:tcPr>
            <w:tcW w:w="1323" w:type="pct"/>
            <w:tcBorders>
              <w:top w:val="nil"/>
              <w:left w:val="single" w:sz="4" w:space="0" w:color="auto"/>
              <w:right w:val="single" w:sz="4" w:space="0" w:color="auto"/>
            </w:tcBorders>
            <w:shd w:val="clear" w:color="auto" w:fill="auto"/>
            <w:noWrap/>
          </w:tcPr>
          <w:p w14:paraId="0F05DB31" w14:textId="77777777" w:rsidR="00686EC7" w:rsidRPr="000C156A" w:rsidRDefault="00686EC7" w:rsidP="00141BAA">
            <w:pPr>
              <w:overflowPunct/>
              <w:autoSpaceDE/>
              <w:autoSpaceDN/>
              <w:adjustRightInd/>
              <w:spacing w:before="40" w:after="40"/>
              <w:textAlignment w:val="auto"/>
              <w:rPr>
                <w:rFonts w:cs="Calibri"/>
                <w:b/>
                <w:bCs/>
                <w:sz w:val="22"/>
                <w:szCs w:val="22"/>
                <w:lang w:eastAsia="zh-CN"/>
              </w:rPr>
            </w:pPr>
            <w:r w:rsidRPr="000C156A">
              <w:rPr>
                <w:rFonts w:asciiTheme="minorHAnsi" w:eastAsiaTheme="minorEastAsia" w:hAnsiTheme="minorHAnsi" w:hint="eastAsia"/>
                <w:b/>
                <w:bCs/>
                <w:sz w:val="22"/>
                <w:szCs w:val="22"/>
                <w:lang w:eastAsia="zh-CN"/>
              </w:rPr>
              <w:t>中国</w:t>
            </w:r>
          </w:p>
        </w:tc>
        <w:tc>
          <w:tcPr>
            <w:tcW w:w="2281" w:type="pct"/>
            <w:tcBorders>
              <w:top w:val="nil"/>
              <w:left w:val="nil"/>
              <w:right w:val="single" w:sz="4" w:space="0" w:color="auto"/>
            </w:tcBorders>
            <w:shd w:val="clear" w:color="auto" w:fill="auto"/>
            <w:noWrap/>
          </w:tcPr>
          <w:p w14:paraId="6EB69A6D" w14:textId="77777777" w:rsidR="00686EC7" w:rsidRPr="000C156A" w:rsidRDefault="00686EC7" w:rsidP="00141BAA">
            <w:pPr>
              <w:overflowPunct/>
              <w:autoSpaceDE/>
              <w:autoSpaceDN/>
              <w:adjustRightInd/>
              <w:spacing w:before="40" w:after="40"/>
              <w:textAlignment w:val="auto"/>
              <w:rPr>
                <w:rFonts w:cs="Calibri"/>
                <w:sz w:val="22"/>
                <w:szCs w:val="22"/>
                <w:lang w:eastAsia="zh-CN"/>
              </w:rPr>
            </w:pPr>
            <w:r w:rsidRPr="000C156A">
              <w:rPr>
                <w:rFonts w:cs="Calibri" w:hint="eastAsia"/>
                <w:sz w:val="22"/>
                <w:szCs w:val="22"/>
                <w:lang w:eastAsia="zh-CN"/>
              </w:rPr>
              <w:t>工信部无线电管理局</w:t>
            </w:r>
          </w:p>
        </w:tc>
        <w:tc>
          <w:tcPr>
            <w:tcW w:w="663" w:type="pct"/>
            <w:tcBorders>
              <w:top w:val="nil"/>
              <w:left w:val="nil"/>
              <w:right w:val="single" w:sz="4" w:space="0" w:color="auto"/>
            </w:tcBorders>
            <w:shd w:val="clear" w:color="auto" w:fill="auto"/>
            <w:noWrap/>
          </w:tcPr>
          <w:p w14:paraId="6E4F2734" w14:textId="77777777" w:rsidR="00686EC7" w:rsidRPr="000C156A" w:rsidRDefault="00686EC7" w:rsidP="00141BAA">
            <w:pPr>
              <w:overflowPunct/>
              <w:autoSpaceDE/>
              <w:autoSpaceDN/>
              <w:adjustRightInd/>
              <w:spacing w:before="40" w:after="40"/>
              <w:jc w:val="center"/>
              <w:textAlignment w:val="auto"/>
              <w:rPr>
                <w:rFonts w:cs="Calibri"/>
                <w:sz w:val="22"/>
                <w:szCs w:val="22"/>
                <w:lang w:eastAsia="zh-CN"/>
              </w:rPr>
            </w:pPr>
            <w:r w:rsidRPr="000C156A">
              <w:rPr>
                <w:rFonts w:cs="Calibri"/>
                <w:sz w:val="22"/>
                <w:szCs w:val="22"/>
                <w:lang w:eastAsia="zh-CN"/>
              </w:rPr>
              <w:t>2019</w:t>
            </w:r>
          </w:p>
        </w:tc>
        <w:tc>
          <w:tcPr>
            <w:tcW w:w="733" w:type="pct"/>
            <w:tcBorders>
              <w:top w:val="nil"/>
              <w:left w:val="nil"/>
              <w:right w:val="single" w:sz="4" w:space="0" w:color="auto"/>
            </w:tcBorders>
            <w:shd w:val="clear" w:color="auto" w:fill="auto"/>
          </w:tcPr>
          <w:p w14:paraId="6D9FED66" w14:textId="77777777" w:rsidR="00686EC7" w:rsidRPr="000C156A" w:rsidRDefault="00686EC7" w:rsidP="00141BAA">
            <w:pPr>
              <w:overflowPunct/>
              <w:autoSpaceDE/>
              <w:autoSpaceDN/>
              <w:adjustRightInd/>
              <w:spacing w:before="40" w:after="40"/>
              <w:jc w:val="right"/>
              <w:textAlignment w:val="auto"/>
              <w:rPr>
                <w:rFonts w:cs="Calibri"/>
                <w:sz w:val="22"/>
                <w:szCs w:val="22"/>
                <w:lang w:eastAsia="zh-CN"/>
              </w:rPr>
            </w:pPr>
            <w:r w:rsidRPr="000C156A">
              <w:rPr>
                <w:rFonts w:cs="Calibri"/>
                <w:sz w:val="22"/>
                <w:szCs w:val="22"/>
                <w:lang w:eastAsia="zh-CN"/>
              </w:rPr>
              <w:t>106.60</w:t>
            </w:r>
          </w:p>
        </w:tc>
      </w:tr>
      <w:tr w:rsidR="00686EC7" w:rsidRPr="000C156A" w14:paraId="5C7D98F2" w14:textId="77777777" w:rsidTr="00A81917">
        <w:trPr>
          <w:trHeight w:val="52"/>
          <w:jc w:val="center"/>
        </w:trPr>
        <w:tc>
          <w:tcPr>
            <w:tcW w:w="1323" w:type="pct"/>
            <w:tcBorders>
              <w:top w:val="nil"/>
              <w:left w:val="single" w:sz="4" w:space="0" w:color="auto"/>
            </w:tcBorders>
            <w:shd w:val="clear" w:color="auto" w:fill="auto"/>
            <w:noWrap/>
          </w:tcPr>
          <w:p w14:paraId="1D1F6259" w14:textId="77777777" w:rsidR="00686EC7" w:rsidRPr="000C156A" w:rsidRDefault="00686EC7" w:rsidP="00141BAA">
            <w:pPr>
              <w:overflowPunct/>
              <w:autoSpaceDE/>
              <w:autoSpaceDN/>
              <w:adjustRightInd/>
              <w:spacing w:before="40" w:after="40"/>
              <w:jc w:val="center"/>
              <w:textAlignment w:val="auto"/>
              <w:rPr>
                <w:rFonts w:asciiTheme="minorHAnsi" w:eastAsiaTheme="minorEastAsia" w:hAnsiTheme="minorHAnsi" w:cs="Calibri"/>
                <w:b/>
                <w:bCs/>
                <w:sz w:val="22"/>
                <w:szCs w:val="22"/>
                <w:lang w:eastAsia="zh-CN"/>
              </w:rPr>
            </w:pPr>
          </w:p>
        </w:tc>
        <w:tc>
          <w:tcPr>
            <w:tcW w:w="2281" w:type="pct"/>
            <w:tcBorders>
              <w:top w:val="nil"/>
              <w:right w:val="single" w:sz="4" w:space="0" w:color="auto"/>
            </w:tcBorders>
            <w:shd w:val="clear" w:color="auto" w:fill="auto"/>
            <w:noWrap/>
          </w:tcPr>
          <w:p w14:paraId="580CBC4F" w14:textId="77777777" w:rsidR="00686EC7" w:rsidRPr="000C156A" w:rsidRDefault="00686EC7" w:rsidP="00141BAA">
            <w:pPr>
              <w:overflowPunct/>
              <w:autoSpaceDE/>
              <w:autoSpaceDN/>
              <w:adjustRightInd/>
              <w:spacing w:before="40" w:after="40"/>
              <w:jc w:val="center"/>
              <w:textAlignment w:val="auto"/>
              <w:rPr>
                <w:rFonts w:asciiTheme="minorHAnsi" w:eastAsiaTheme="minorEastAsia" w:hAnsiTheme="minorHAnsi" w:cs="Calibri"/>
                <w:b/>
                <w:bCs/>
                <w:sz w:val="22"/>
                <w:szCs w:val="22"/>
                <w:lang w:eastAsia="zh-CN"/>
              </w:rPr>
            </w:pPr>
          </w:p>
        </w:tc>
        <w:tc>
          <w:tcPr>
            <w:tcW w:w="663" w:type="pct"/>
            <w:tcBorders>
              <w:top w:val="nil"/>
              <w:left w:val="single" w:sz="4" w:space="0" w:color="auto"/>
              <w:right w:val="single" w:sz="4" w:space="0" w:color="auto"/>
            </w:tcBorders>
            <w:shd w:val="clear" w:color="auto" w:fill="auto"/>
            <w:noWrap/>
          </w:tcPr>
          <w:p w14:paraId="7BA10394" w14:textId="77777777" w:rsidR="00686EC7" w:rsidRPr="000C156A" w:rsidRDefault="00686EC7" w:rsidP="00141BAA">
            <w:pPr>
              <w:overflowPunct/>
              <w:autoSpaceDE/>
              <w:autoSpaceDN/>
              <w:adjustRightInd/>
              <w:spacing w:before="40" w:after="40"/>
              <w:jc w:val="center"/>
              <w:textAlignment w:val="auto"/>
              <w:rPr>
                <w:rFonts w:asciiTheme="minorHAnsi" w:eastAsiaTheme="minorEastAsia" w:hAnsiTheme="minorHAnsi" w:cs="Calibri"/>
                <w:b/>
                <w:bCs/>
                <w:sz w:val="22"/>
                <w:szCs w:val="22"/>
                <w:lang w:eastAsia="zh-CN"/>
              </w:rPr>
            </w:pPr>
          </w:p>
        </w:tc>
        <w:tc>
          <w:tcPr>
            <w:tcW w:w="733" w:type="pct"/>
            <w:tcBorders>
              <w:top w:val="nil"/>
              <w:left w:val="single" w:sz="4" w:space="0" w:color="auto"/>
              <w:right w:val="single" w:sz="4" w:space="0" w:color="auto"/>
            </w:tcBorders>
            <w:shd w:val="clear" w:color="auto" w:fill="auto"/>
          </w:tcPr>
          <w:p w14:paraId="6B133FA5" w14:textId="77777777" w:rsidR="00686EC7" w:rsidRPr="000C156A" w:rsidRDefault="00686EC7" w:rsidP="00141BAA">
            <w:pPr>
              <w:overflowPunct/>
              <w:autoSpaceDE/>
              <w:autoSpaceDN/>
              <w:adjustRightInd/>
              <w:spacing w:before="40" w:after="40"/>
              <w:jc w:val="right"/>
              <w:textAlignment w:val="auto"/>
              <w:rPr>
                <w:rFonts w:cs="Calibri"/>
                <w:b/>
                <w:bCs/>
                <w:sz w:val="22"/>
                <w:szCs w:val="22"/>
                <w:lang w:eastAsia="zh-CN"/>
              </w:rPr>
            </w:pPr>
          </w:p>
        </w:tc>
      </w:tr>
      <w:tr w:rsidR="00686EC7" w:rsidRPr="000C156A" w14:paraId="2175D0DE" w14:textId="77777777" w:rsidTr="00A81917">
        <w:trPr>
          <w:trHeight w:val="112"/>
          <w:jc w:val="center"/>
        </w:trPr>
        <w:tc>
          <w:tcPr>
            <w:tcW w:w="1323" w:type="pct"/>
            <w:tcBorders>
              <w:top w:val="nil"/>
              <w:left w:val="single" w:sz="4" w:space="0" w:color="auto"/>
              <w:bottom w:val="nil"/>
            </w:tcBorders>
            <w:shd w:val="clear" w:color="auto" w:fill="auto"/>
            <w:noWrap/>
            <w:hideMark/>
          </w:tcPr>
          <w:p w14:paraId="59616D6E" w14:textId="77777777" w:rsidR="00686EC7" w:rsidRPr="000C156A" w:rsidRDefault="00686EC7" w:rsidP="00141BAA">
            <w:pPr>
              <w:overflowPunct/>
              <w:autoSpaceDE/>
              <w:autoSpaceDN/>
              <w:adjustRightInd/>
              <w:spacing w:before="40" w:after="40"/>
              <w:textAlignment w:val="auto"/>
              <w:rPr>
                <w:rFonts w:cs="Calibri"/>
                <w:b/>
                <w:bCs/>
                <w:sz w:val="22"/>
                <w:szCs w:val="22"/>
                <w:lang w:eastAsia="zh-CN"/>
              </w:rPr>
            </w:pPr>
            <w:r w:rsidRPr="000C156A">
              <w:rPr>
                <w:rFonts w:asciiTheme="minorHAnsi" w:eastAsiaTheme="minorEastAsia" w:hAnsiTheme="minorHAnsi" w:hint="eastAsia"/>
                <w:b/>
                <w:bCs/>
                <w:sz w:val="22"/>
                <w:szCs w:val="22"/>
                <w:lang w:eastAsia="zh-CN"/>
              </w:rPr>
              <w:t>尼日利亚</w:t>
            </w:r>
          </w:p>
        </w:tc>
        <w:tc>
          <w:tcPr>
            <w:tcW w:w="2281" w:type="pct"/>
            <w:tcBorders>
              <w:top w:val="nil"/>
              <w:bottom w:val="nil"/>
              <w:right w:val="single" w:sz="4" w:space="0" w:color="auto"/>
            </w:tcBorders>
            <w:shd w:val="clear" w:color="auto" w:fill="auto"/>
            <w:hideMark/>
          </w:tcPr>
          <w:p w14:paraId="09AFF5EC" w14:textId="77777777" w:rsidR="00686EC7" w:rsidRPr="000C156A" w:rsidRDefault="00686EC7" w:rsidP="00141BAA">
            <w:pPr>
              <w:overflowPunct/>
              <w:autoSpaceDE/>
              <w:autoSpaceDN/>
              <w:adjustRightInd/>
              <w:spacing w:before="40" w:after="40"/>
              <w:textAlignment w:val="auto"/>
              <w:rPr>
                <w:rFonts w:cs="Calibri"/>
                <w:sz w:val="22"/>
                <w:szCs w:val="22"/>
                <w:lang w:eastAsia="zh-CN"/>
              </w:rPr>
            </w:pPr>
            <w:r w:rsidRPr="000C156A">
              <w:rPr>
                <w:rFonts w:asciiTheme="minorHAnsi" w:eastAsiaTheme="minorEastAsia" w:hAnsiTheme="minorHAnsi" w:hint="eastAsia"/>
                <w:sz w:val="22"/>
                <w:szCs w:val="22"/>
                <w:lang w:eastAsia="zh-CN"/>
              </w:rPr>
              <w:t>联邦通信技术部，阿布贾</w:t>
            </w:r>
          </w:p>
        </w:tc>
        <w:tc>
          <w:tcPr>
            <w:tcW w:w="663" w:type="pct"/>
            <w:tcBorders>
              <w:top w:val="nil"/>
              <w:left w:val="single" w:sz="4" w:space="0" w:color="auto"/>
              <w:bottom w:val="nil"/>
              <w:right w:val="single" w:sz="4" w:space="0" w:color="auto"/>
            </w:tcBorders>
            <w:shd w:val="clear" w:color="auto" w:fill="auto"/>
            <w:noWrap/>
            <w:hideMark/>
          </w:tcPr>
          <w:p w14:paraId="3E7A13DC" w14:textId="77777777" w:rsidR="00686EC7" w:rsidRPr="000C156A" w:rsidRDefault="00686EC7" w:rsidP="00141BAA">
            <w:pPr>
              <w:overflowPunct/>
              <w:autoSpaceDE/>
              <w:autoSpaceDN/>
              <w:adjustRightInd/>
              <w:spacing w:before="40" w:after="40"/>
              <w:jc w:val="center"/>
              <w:textAlignment w:val="auto"/>
              <w:rPr>
                <w:rFonts w:cs="Calibri"/>
                <w:sz w:val="22"/>
                <w:szCs w:val="22"/>
                <w:lang w:eastAsia="zh-CN"/>
              </w:rPr>
            </w:pPr>
            <w:r w:rsidRPr="000C156A">
              <w:rPr>
                <w:rFonts w:cs="Calibri"/>
                <w:sz w:val="22"/>
                <w:szCs w:val="22"/>
                <w:lang w:eastAsia="zh-CN"/>
              </w:rPr>
              <w:t>2012</w:t>
            </w:r>
          </w:p>
        </w:tc>
        <w:tc>
          <w:tcPr>
            <w:tcW w:w="733" w:type="pct"/>
            <w:tcBorders>
              <w:top w:val="nil"/>
              <w:left w:val="single" w:sz="4" w:space="0" w:color="auto"/>
              <w:bottom w:val="nil"/>
              <w:right w:val="single" w:sz="4" w:space="0" w:color="auto"/>
            </w:tcBorders>
            <w:shd w:val="clear" w:color="auto" w:fill="auto"/>
            <w:noWrap/>
            <w:hideMark/>
          </w:tcPr>
          <w:p w14:paraId="6C58B071" w14:textId="1C7CA524" w:rsidR="00686EC7" w:rsidRPr="000C156A" w:rsidRDefault="00686EC7" w:rsidP="00141BAA">
            <w:pPr>
              <w:overflowPunct/>
              <w:autoSpaceDE/>
              <w:autoSpaceDN/>
              <w:adjustRightInd/>
              <w:spacing w:before="40" w:after="40"/>
              <w:jc w:val="right"/>
              <w:textAlignment w:val="auto"/>
              <w:rPr>
                <w:rFonts w:cs="Calibri"/>
                <w:sz w:val="22"/>
                <w:szCs w:val="22"/>
                <w:lang w:eastAsia="zh-CN"/>
              </w:rPr>
            </w:pPr>
            <w:r w:rsidRPr="000C156A">
              <w:rPr>
                <w:rFonts w:cs="Calibri"/>
                <w:sz w:val="22"/>
                <w:szCs w:val="22"/>
                <w:lang w:eastAsia="zh-CN"/>
              </w:rPr>
              <w:t>2</w:t>
            </w:r>
            <w:r w:rsidR="001A59E5" w:rsidRPr="000C156A">
              <w:rPr>
                <w:rFonts w:cs="Calibri"/>
                <w:sz w:val="22"/>
                <w:szCs w:val="22"/>
                <w:lang w:eastAsia="zh-CN"/>
              </w:rPr>
              <w:t xml:space="preserve"> </w:t>
            </w:r>
            <w:r w:rsidRPr="000C156A">
              <w:rPr>
                <w:rFonts w:cs="Calibri"/>
                <w:sz w:val="22"/>
                <w:szCs w:val="22"/>
                <w:lang w:eastAsia="zh-CN"/>
              </w:rPr>
              <w:t>440.40</w:t>
            </w:r>
          </w:p>
        </w:tc>
      </w:tr>
      <w:tr w:rsidR="00686EC7" w:rsidRPr="000C156A" w14:paraId="608C0983" w14:textId="77777777" w:rsidTr="00A81917">
        <w:trPr>
          <w:trHeight w:val="111"/>
          <w:jc w:val="center"/>
        </w:trPr>
        <w:tc>
          <w:tcPr>
            <w:tcW w:w="1323" w:type="pct"/>
            <w:tcBorders>
              <w:top w:val="nil"/>
              <w:left w:val="single" w:sz="4" w:space="0" w:color="auto"/>
              <w:bottom w:val="nil"/>
            </w:tcBorders>
            <w:shd w:val="clear" w:color="auto" w:fill="auto"/>
            <w:noWrap/>
            <w:hideMark/>
          </w:tcPr>
          <w:p w14:paraId="3FDAAB31" w14:textId="77777777" w:rsidR="00686EC7" w:rsidRPr="000C156A" w:rsidRDefault="00686EC7" w:rsidP="00141BAA">
            <w:pPr>
              <w:overflowPunct/>
              <w:autoSpaceDE/>
              <w:autoSpaceDN/>
              <w:adjustRightInd/>
              <w:spacing w:before="40" w:after="40"/>
              <w:textAlignment w:val="auto"/>
              <w:rPr>
                <w:rFonts w:cs="Calibri"/>
                <w:b/>
                <w:bCs/>
                <w:sz w:val="22"/>
                <w:szCs w:val="22"/>
                <w:lang w:eastAsia="zh-CN"/>
              </w:rPr>
            </w:pPr>
            <w:r w:rsidRPr="000C156A">
              <w:rPr>
                <w:rFonts w:cs="Calibri"/>
                <w:b/>
                <w:bCs/>
                <w:sz w:val="22"/>
                <w:szCs w:val="22"/>
                <w:lang w:eastAsia="zh-CN"/>
              </w:rPr>
              <w:t> </w:t>
            </w:r>
          </w:p>
        </w:tc>
        <w:tc>
          <w:tcPr>
            <w:tcW w:w="2281" w:type="pct"/>
            <w:tcBorders>
              <w:top w:val="nil"/>
              <w:bottom w:val="nil"/>
              <w:right w:val="single" w:sz="4" w:space="0" w:color="auto"/>
            </w:tcBorders>
            <w:shd w:val="clear" w:color="auto" w:fill="auto"/>
            <w:hideMark/>
          </w:tcPr>
          <w:p w14:paraId="42E648C6" w14:textId="77777777" w:rsidR="00686EC7" w:rsidRPr="000C156A" w:rsidRDefault="00686EC7" w:rsidP="00141BAA">
            <w:pPr>
              <w:overflowPunct/>
              <w:autoSpaceDE/>
              <w:autoSpaceDN/>
              <w:adjustRightInd/>
              <w:spacing w:before="40" w:after="40"/>
              <w:textAlignment w:val="auto"/>
              <w:rPr>
                <w:rFonts w:cs="Calibri"/>
                <w:sz w:val="22"/>
                <w:szCs w:val="22"/>
                <w:lang w:eastAsia="zh-CN"/>
              </w:rPr>
            </w:pPr>
            <w:r w:rsidRPr="000C156A">
              <w:rPr>
                <w:rFonts w:cs="Calibri"/>
                <w:sz w:val="22"/>
                <w:szCs w:val="22"/>
                <w:lang w:eastAsia="zh-CN"/>
              </w:rPr>
              <w:t> </w:t>
            </w:r>
          </w:p>
        </w:tc>
        <w:tc>
          <w:tcPr>
            <w:tcW w:w="663" w:type="pct"/>
            <w:tcBorders>
              <w:top w:val="nil"/>
              <w:left w:val="single" w:sz="4" w:space="0" w:color="auto"/>
              <w:bottom w:val="nil"/>
              <w:right w:val="single" w:sz="4" w:space="0" w:color="auto"/>
            </w:tcBorders>
            <w:shd w:val="clear" w:color="auto" w:fill="auto"/>
            <w:noWrap/>
            <w:hideMark/>
          </w:tcPr>
          <w:p w14:paraId="1782A2D5" w14:textId="77777777" w:rsidR="00686EC7" w:rsidRPr="000C156A" w:rsidRDefault="00686EC7" w:rsidP="00141BAA">
            <w:pPr>
              <w:overflowPunct/>
              <w:autoSpaceDE/>
              <w:autoSpaceDN/>
              <w:adjustRightInd/>
              <w:spacing w:before="40" w:after="40"/>
              <w:jc w:val="center"/>
              <w:textAlignment w:val="auto"/>
              <w:rPr>
                <w:rFonts w:cs="Calibri"/>
                <w:sz w:val="22"/>
                <w:szCs w:val="22"/>
                <w:lang w:eastAsia="zh-CN"/>
              </w:rPr>
            </w:pPr>
          </w:p>
        </w:tc>
        <w:tc>
          <w:tcPr>
            <w:tcW w:w="733" w:type="pct"/>
            <w:tcBorders>
              <w:top w:val="nil"/>
              <w:left w:val="single" w:sz="4" w:space="0" w:color="auto"/>
              <w:bottom w:val="nil"/>
              <w:right w:val="single" w:sz="4" w:space="0" w:color="auto"/>
            </w:tcBorders>
            <w:shd w:val="clear" w:color="auto" w:fill="auto"/>
            <w:noWrap/>
            <w:hideMark/>
          </w:tcPr>
          <w:p w14:paraId="09AD8320" w14:textId="77777777" w:rsidR="00686EC7" w:rsidRPr="000C156A" w:rsidRDefault="00686EC7" w:rsidP="00141BAA">
            <w:pPr>
              <w:spacing w:before="40" w:after="40"/>
              <w:jc w:val="right"/>
              <w:rPr>
                <w:rFonts w:cs="Calibri"/>
                <w:sz w:val="22"/>
                <w:szCs w:val="22"/>
                <w:lang w:eastAsia="zh-CN"/>
              </w:rPr>
            </w:pPr>
            <w:r w:rsidRPr="000C156A">
              <w:rPr>
                <w:rFonts w:cs="Calibri"/>
                <w:sz w:val="22"/>
                <w:szCs w:val="22"/>
                <w:lang w:eastAsia="zh-CN"/>
              </w:rPr>
              <w:t> </w:t>
            </w:r>
          </w:p>
        </w:tc>
      </w:tr>
      <w:tr w:rsidR="00686EC7" w:rsidRPr="000C156A" w14:paraId="2A1E04AF" w14:textId="77777777" w:rsidTr="00A81917">
        <w:trPr>
          <w:trHeight w:val="315"/>
          <w:jc w:val="center"/>
        </w:trPr>
        <w:tc>
          <w:tcPr>
            <w:tcW w:w="1323" w:type="pct"/>
            <w:tcBorders>
              <w:top w:val="nil"/>
              <w:left w:val="single" w:sz="4" w:space="0" w:color="auto"/>
              <w:bottom w:val="nil"/>
            </w:tcBorders>
            <w:shd w:val="clear" w:color="auto" w:fill="auto"/>
            <w:noWrap/>
            <w:hideMark/>
          </w:tcPr>
          <w:p w14:paraId="7755CAD7" w14:textId="77777777" w:rsidR="00686EC7" w:rsidRPr="000C156A" w:rsidRDefault="00686EC7" w:rsidP="00141BAA">
            <w:pPr>
              <w:overflowPunct/>
              <w:autoSpaceDE/>
              <w:autoSpaceDN/>
              <w:adjustRightInd/>
              <w:spacing w:before="40" w:after="40"/>
              <w:textAlignment w:val="auto"/>
              <w:rPr>
                <w:rFonts w:cs="Calibri"/>
                <w:b/>
                <w:bCs/>
                <w:sz w:val="22"/>
                <w:szCs w:val="22"/>
                <w:lang w:eastAsia="zh-CN"/>
              </w:rPr>
            </w:pPr>
            <w:r w:rsidRPr="000C156A">
              <w:rPr>
                <w:rFonts w:asciiTheme="minorHAnsi" w:eastAsiaTheme="minorEastAsia" w:hAnsiTheme="minorHAnsi" w:cs="Calibri" w:hint="eastAsia"/>
                <w:b/>
                <w:bCs/>
                <w:sz w:val="22"/>
                <w:szCs w:val="22"/>
                <w:lang w:eastAsia="zh-CN"/>
              </w:rPr>
              <w:t>俄罗斯联邦</w:t>
            </w:r>
          </w:p>
        </w:tc>
        <w:tc>
          <w:tcPr>
            <w:tcW w:w="2281" w:type="pct"/>
            <w:tcBorders>
              <w:top w:val="nil"/>
              <w:bottom w:val="nil"/>
              <w:right w:val="single" w:sz="4" w:space="0" w:color="auto"/>
            </w:tcBorders>
            <w:shd w:val="clear" w:color="auto" w:fill="auto"/>
            <w:hideMark/>
          </w:tcPr>
          <w:p w14:paraId="31539BA8" w14:textId="77777777" w:rsidR="00686EC7" w:rsidRPr="000C156A" w:rsidRDefault="00686EC7" w:rsidP="00141BAA">
            <w:pPr>
              <w:overflowPunct/>
              <w:autoSpaceDE/>
              <w:autoSpaceDN/>
              <w:adjustRightInd/>
              <w:spacing w:before="40" w:after="40"/>
              <w:textAlignment w:val="auto"/>
              <w:rPr>
                <w:rFonts w:cs="Calibri"/>
                <w:sz w:val="22"/>
                <w:szCs w:val="22"/>
                <w:lang w:eastAsia="zh-CN"/>
              </w:rPr>
            </w:pPr>
            <w:r w:rsidRPr="000C156A">
              <w:rPr>
                <w:rFonts w:asciiTheme="minorHAnsi" w:hAnsiTheme="minorHAnsi"/>
                <w:sz w:val="22"/>
                <w:szCs w:val="22"/>
                <w:lang w:eastAsia="zh-CN"/>
              </w:rPr>
              <w:t>EA SAT</w:t>
            </w:r>
            <w:r w:rsidRPr="000C156A">
              <w:rPr>
                <w:rFonts w:asciiTheme="minorHAnsi" w:hAnsiTheme="minorHAnsi" w:hint="eastAsia"/>
                <w:sz w:val="22"/>
                <w:szCs w:val="22"/>
                <w:lang w:eastAsia="zh-CN"/>
              </w:rPr>
              <w:t>封闭式股份公司</w:t>
            </w:r>
            <w:r w:rsidRPr="000C156A">
              <w:rPr>
                <w:rFonts w:asciiTheme="minorHAnsi" w:eastAsiaTheme="minorEastAsia" w:hAnsiTheme="minorHAnsi" w:hint="eastAsia"/>
                <w:sz w:val="22"/>
                <w:szCs w:val="22"/>
                <w:lang w:eastAsia="zh-CN"/>
              </w:rPr>
              <w:t>，莫斯科</w:t>
            </w:r>
          </w:p>
        </w:tc>
        <w:tc>
          <w:tcPr>
            <w:tcW w:w="663" w:type="pct"/>
            <w:tcBorders>
              <w:top w:val="nil"/>
              <w:left w:val="single" w:sz="4" w:space="0" w:color="auto"/>
              <w:bottom w:val="nil"/>
              <w:right w:val="single" w:sz="4" w:space="0" w:color="auto"/>
            </w:tcBorders>
            <w:shd w:val="clear" w:color="auto" w:fill="auto"/>
            <w:noWrap/>
            <w:hideMark/>
          </w:tcPr>
          <w:p w14:paraId="6F87581E" w14:textId="77777777" w:rsidR="00686EC7" w:rsidRPr="000C156A" w:rsidRDefault="00686EC7" w:rsidP="00141BAA">
            <w:pPr>
              <w:overflowPunct/>
              <w:autoSpaceDE/>
              <w:autoSpaceDN/>
              <w:adjustRightInd/>
              <w:spacing w:before="40" w:after="40"/>
              <w:jc w:val="center"/>
              <w:textAlignment w:val="auto"/>
              <w:rPr>
                <w:rFonts w:cs="Calibri"/>
                <w:sz w:val="22"/>
                <w:szCs w:val="22"/>
                <w:lang w:eastAsia="zh-CN"/>
              </w:rPr>
            </w:pPr>
            <w:r w:rsidRPr="000C156A">
              <w:rPr>
                <w:rFonts w:cs="Calibri"/>
                <w:sz w:val="22"/>
                <w:szCs w:val="22"/>
                <w:lang w:eastAsia="zh-CN"/>
              </w:rPr>
              <w:t>2014</w:t>
            </w:r>
          </w:p>
        </w:tc>
        <w:tc>
          <w:tcPr>
            <w:tcW w:w="733" w:type="pct"/>
            <w:tcBorders>
              <w:top w:val="nil"/>
              <w:left w:val="single" w:sz="4" w:space="0" w:color="auto"/>
              <w:bottom w:val="nil"/>
              <w:right w:val="single" w:sz="4" w:space="0" w:color="auto"/>
            </w:tcBorders>
            <w:shd w:val="clear" w:color="auto" w:fill="auto"/>
            <w:noWrap/>
            <w:hideMark/>
          </w:tcPr>
          <w:p w14:paraId="364C59CE" w14:textId="13711D4B" w:rsidR="00686EC7" w:rsidRPr="000C156A" w:rsidRDefault="00686EC7" w:rsidP="00141BAA">
            <w:pPr>
              <w:overflowPunct/>
              <w:autoSpaceDE/>
              <w:autoSpaceDN/>
              <w:adjustRightInd/>
              <w:spacing w:before="40" w:after="40"/>
              <w:jc w:val="right"/>
              <w:textAlignment w:val="auto"/>
              <w:rPr>
                <w:rFonts w:cs="Calibri"/>
                <w:sz w:val="22"/>
                <w:szCs w:val="22"/>
                <w:lang w:eastAsia="zh-CN"/>
              </w:rPr>
            </w:pPr>
            <w:r w:rsidRPr="000C156A">
              <w:rPr>
                <w:rFonts w:cs="Calibri"/>
                <w:sz w:val="22"/>
                <w:szCs w:val="22"/>
                <w:lang w:eastAsia="zh-CN"/>
              </w:rPr>
              <w:t>104</w:t>
            </w:r>
            <w:r w:rsidR="001A59E5" w:rsidRPr="000C156A">
              <w:rPr>
                <w:rFonts w:cs="Calibri"/>
                <w:sz w:val="22"/>
                <w:szCs w:val="22"/>
                <w:lang w:eastAsia="zh-CN"/>
              </w:rPr>
              <w:t xml:space="preserve"> </w:t>
            </w:r>
            <w:r w:rsidRPr="000C156A">
              <w:rPr>
                <w:rFonts w:cs="Calibri"/>
                <w:sz w:val="22"/>
                <w:szCs w:val="22"/>
                <w:lang w:eastAsia="zh-CN"/>
              </w:rPr>
              <w:t>722.40</w:t>
            </w:r>
          </w:p>
        </w:tc>
      </w:tr>
      <w:tr w:rsidR="00686EC7" w:rsidRPr="000C156A" w14:paraId="35E04D78" w14:textId="77777777" w:rsidTr="00A81917">
        <w:trPr>
          <w:trHeight w:val="195"/>
          <w:jc w:val="center"/>
        </w:trPr>
        <w:tc>
          <w:tcPr>
            <w:tcW w:w="1323" w:type="pct"/>
            <w:tcBorders>
              <w:top w:val="nil"/>
              <w:left w:val="single" w:sz="4" w:space="0" w:color="auto"/>
              <w:bottom w:val="nil"/>
            </w:tcBorders>
            <w:shd w:val="clear" w:color="auto" w:fill="auto"/>
            <w:noWrap/>
            <w:hideMark/>
          </w:tcPr>
          <w:p w14:paraId="5CA6870A" w14:textId="77777777" w:rsidR="00686EC7" w:rsidRPr="000C156A" w:rsidRDefault="00686EC7" w:rsidP="00141BAA">
            <w:pPr>
              <w:overflowPunct/>
              <w:autoSpaceDE/>
              <w:autoSpaceDN/>
              <w:adjustRightInd/>
              <w:spacing w:before="40" w:after="40"/>
              <w:textAlignment w:val="auto"/>
              <w:rPr>
                <w:rFonts w:cs="Calibri"/>
                <w:b/>
                <w:bCs/>
                <w:sz w:val="22"/>
                <w:szCs w:val="22"/>
                <w:lang w:eastAsia="zh-CN"/>
              </w:rPr>
            </w:pPr>
            <w:r w:rsidRPr="000C156A">
              <w:rPr>
                <w:rFonts w:cs="Calibri"/>
                <w:b/>
                <w:bCs/>
                <w:sz w:val="22"/>
                <w:szCs w:val="22"/>
                <w:lang w:eastAsia="zh-CN"/>
              </w:rPr>
              <w:t> </w:t>
            </w:r>
          </w:p>
        </w:tc>
        <w:tc>
          <w:tcPr>
            <w:tcW w:w="2281" w:type="pct"/>
            <w:tcBorders>
              <w:top w:val="nil"/>
              <w:bottom w:val="nil"/>
              <w:right w:val="single" w:sz="4" w:space="0" w:color="auto"/>
            </w:tcBorders>
            <w:shd w:val="clear" w:color="auto" w:fill="auto"/>
            <w:hideMark/>
          </w:tcPr>
          <w:p w14:paraId="7B975FD3" w14:textId="77777777" w:rsidR="00686EC7" w:rsidRPr="000C156A" w:rsidRDefault="00686EC7" w:rsidP="00141BAA">
            <w:pPr>
              <w:overflowPunct/>
              <w:autoSpaceDE/>
              <w:autoSpaceDN/>
              <w:adjustRightInd/>
              <w:spacing w:before="40" w:after="40"/>
              <w:textAlignment w:val="auto"/>
              <w:rPr>
                <w:rFonts w:cs="Calibri"/>
                <w:sz w:val="22"/>
                <w:szCs w:val="22"/>
                <w:lang w:eastAsia="zh-CN"/>
              </w:rPr>
            </w:pPr>
            <w:r w:rsidRPr="000C156A">
              <w:rPr>
                <w:rFonts w:cs="Calibri"/>
                <w:sz w:val="22"/>
                <w:szCs w:val="22"/>
                <w:lang w:eastAsia="zh-CN"/>
              </w:rPr>
              <w:t> </w:t>
            </w:r>
          </w:p>
        </w:tc>
        <w:tc>
          <w:tcPr>
            <w:tcW w:w="663" w:type="pct"/>
            <w:tcBorders>
              <w:top w:val="nil"/>
              <w:left w:val="single" w:sz="4" w:space="0" w:color="auto"/>
              <w:bottom w:val="nil"/>
              <w:right w:val="single" w:sz="4" w:space="0" w:color="auto"/>
            </w:tcBorders>
            <w:shd w:val="clear" w:color="auto" w:fill="auto"/>
            <w:noWrap/>
            <w:hideMark/>
          </w:tcPr>
          <w:p w14:paraId="79440FA5" w14:textId="77777777" w:rsidR="00686EC7" w:rsidRPr="000C156A" w:rsidRDefault="00686EC7" w:rsidP="00141BAA">
            <w:pPr>
              <w:overflowPunct/>
              <w:autoSpaceDE/>
              <w:autoSpaceDN/>
              <w:adjustRightInd/>
              <w:spacing w:before="40" w:after="40"/>
              <w:jc w:val="center"/>
              <w:textAlignment w:val="auto"/>
              <w:rPr>
                <w:rFonts w:cs="Calibri"/>
                <w:sz w:val="22"/>
                <w:szCs w:val="22"/>
                <w:lang w:eastAsia="zh-CN"/>
              </w:rPr>
            </w:pPr>
          </w:p>
        </w:tc>
        <w:tc>
          <w:tcPr>
            <w:tcW w:w="733" w:type="pct"/>
            <w:tcBorders>
              <w:top w:val="nil"/>
              <w:left w:val="single" w:sz="4" w:space="0" w:color="auto"/>
              <w:bottom w:val="nil"/>
              <w:right w:val="single" w:sz="4" w:space="0" w:color="auto"/>
            </w:tcBorders>
            <w:shd w:val="clear" w:color="auto" w:fill="auto"/>
            <w:noWrap/>
            <w:hideMark/>
          </w:tcPr>
          <w:p w14:paraId="43191FA8" w14:textId="77777777" w:rsidR="00686EC7" w:rsidRPr="000C156A" w:rsidRDefault="00686EC7" w:rsidP="00141BAA">
            <w:pPr>
              <w:overflowPunct/>
              <w:autoSpaceDE/>
              <w:autoSpaceDN/>
              <w:adjustRightInd/>
              <w:spacing w:before="40" w:after="40"/>
              <w:jc w:val="right"/>
              <w:textAlignment w:val="auto"/>
              <w:rPr>
                <w:rFonts w:cs="Calibri"/>
                <w:sz w:val="22"/>
                <w:szCs w:val="22"/>
                <w:lang w:eastAsia="zh-CN"/>
              </w:rPr>
            </w:pPr>
            <w:r w:rsidRPr="000C156A">
              <w:rPr>
                <w:rFonts w:cs="Calibri"/>
                <w:sz w:val="22"/>
                <w:szCs w:val="22"/>
                <w:lang w:eastAsia="zh-CN"/>
              </w:rPr>
              <w:t> </w:t>
            </w:r>
          </w:p>
        </w:tc>
      </w:tr>
      <w:tr w:rsidR="00686EC7" w:rsidRPr="000C156A" w14:paraId="4A4511DA" w14:textId="77777777" w:rsidTr="00A81917">
        <w:trPr>
          <w:trHeight w:val="62"/>
          <w:jc w:val="center"/>
        </w:trPr>
        <w:tc>
          <w:tcPr>
            <w:tcW w:w="1323" w:type="pct"/>
            <w:tcBorders>
              <w:top w:val="nil"/>
              <w:left w:val="single" w:sz="4" w:space="0" w:color="auto"/>
              <w:bottom w:val="nil"/>
            </w:tcBorders>
            <w:shd w:val="clear" w:color="auto" w:fill="auto"/>
            <w:noWrap/>
            <w:hideMark/>
          </w:tcPr>
          <w:p w14:paraId="7908BB79" w14:textId="77777777" w:rsidR="00686EC7" w:rsidRPr="000C156A" w:rsidRDefault="00686EC7" w:rsidP="00141BAA">
            <w:pPr>
              <w:overflowPunct/>
              <w:autoSpaceDE/>
              <w:autoSpaceDN/>
              <w:adjustRightInd/>
              <w:spacing w:before="40" w:after="40"/>
              <w:textAlignment w:val="auto"/>
              <w:rPr>
                <w:rFonts w:cs="Calibri"/>
                <w:b/>
                <w:bCs/>
                <w:sz w:val="22"/>
                <w:szCs w:val="22"/>
                <w:lang w:eastAsia="en-GB"/>
              </w:rPr>
            </w:pPr>
            <w:r w:rsidRPr="000C156A">
              <w:rPr>
                <w:rFonts w:cs="Calibri" w:hint="eastAsia"/>
                <w:b/>
                <w:bCs/>
                <w:sz w:val="22"/>
                <w:szCs w:val="22"/>
                <w:lang w:eastAsia="zh-CN"/>
              </w:rPr>
              <w:t>美利坚合众</w:t>
            </w:r>
            <w:r w:rsidRPr="000C156A">
              <w:rPr>
                <w:rFonts w:cs="Calibri" w:hint="eastAsia"/>
                <w:b/>
                <w:bCs/>
                <w:sz w:val="22"/>
                <w:szCs w:val="22"/>
                <w:lang w:eastAsia="en-GB"/>
              </w:rPr>
              <w:t>国</w:t>
            </w:r>
          </w:p>
        </w:tc>
        <w:tc>
          <w:tcPr>
            <w:tcW w:w="2281" w:type="pct"/>
            <w:tcBorders>
              <w:top w:val="nil"/>
              <w:bottom w:val="nil"/>
              <w:right w:val="single" w:sz="4" w:space="0" w:color="auto"/>
            </w:tcBorders>
            <w:shd w:val="clear" w:color="auto" w:fill="auto"/>
            <w:hideMark/>
          </w:tcPr>
          <w:p w14:paraId="5F0D0AB7" w14:textId="77777777" w:rsidR="00686EC7" w:rsidRPr="000C156A" w:rsidRDefault="00686EC7" w:rsidP="00141BAA">
            <w:pPr>
              <w:overflowPunct/>
              <w:autoSpaceDE/>
              <w:autoSpaceDN/>
              <w:adjustRightInd/>
              <w:spacing w:before="40" w:after="40"/>
              <w:textAlignment w:val="auto"/>
              <w:rPr>
                <w:rFonts w:cs="Calibri"/>
                <w:sz w:val="22"/>
                <w:szCs w:val="22"/>
                <w:lang w:eastAsia="en-GB"/>
              </w:rPr>
            </w:pPr>
            <w:r w:rsidRPr="000C156A">
              <w:rPr>
                <w:rFonts w:asciiTheme="minorHAnsi" w:hAnsiTheme="minorHAnsi"/>
                <w:sz w:val="22"/>
                <w:szCs w:val="22"/>
                <w:lang w:eastAsia="zh-CN"/>
              </w:rPr>
              <w:t>Intelsat</w:t>
            </w:r>
            <w:r w:rsidRPr="000C156A">
              <w:rPr>
                <w:rFonts w:cs="Calibri" w:hint="eastAsia"/>
                <w:sz w:val="22"/>
                <w:szCs w:val="22"/>
                <w:lang w:eastAsia="zh-CN"/>
              </w:rPr>
              <w:t>美国公司，</w:t>
            </w:r>
            <w:r w:rsidRPr="000C156A">
              <w:rPr>
                <w:rFonts w:cs="Calibri"/>
                <w:sz w:val="22"/>
                <w:szCs w:val="22"/>
                <w:lang w:eastAsia="en-GB"/>
              </w:rPr>
              <w:t>Mclean</w:t>
            </w:r>
          </w:p>
        </w:tc>
        <w:tc>
          <w:tcPr>
            <w:tcW w:w="663" w:type="pct"/>
            <w:tcBorders>
              <w:top w:val="nil"/>
              <w:left w:val="single" w:sz="4" w:space="0" w:color="auto"/>
              <w:bottom w:val="nil"/>
              <w:right w:val="single" w:sz="4" w:space="0" w:color="auto"/>
            </w:tcBorders>
            <w:shd w:val="clear" w:color="auto" w:fill="auto"/>
            <w:noWrap/>
            <w:hideMark/>
          </w:tcPr>
          <w:p w14:paraId="1260EEC4" w14:textId="77777777" w:rsidR="00686EC7" w:rsidRPr="000C156A" w:rsidRDefault="00686EC7" w:rsidP="00141BAA">
            <w:pPr>
              <w:overflowPunct/>
              <w:autoSpaceDE/>
              <w:autoSpaceDN/>
              <w:adjustRightInd/>
              <w:spacing w:before="40" w:after="40"/>
              <w:jc w:val="center"/>
              <w:textAlignment w:val="auto"/>
              <w:rPr>
                <w:rFonts w:cs="Calibri"/>
                <w:sz w:val="22"/>
                <w:szCs w:val="22"/>
                <w:lang w:eastAsia="en-GB"/>
              </w:rPr>
            </w:pPr>
            <w:r w:rsidRPr="000C156A">
              <w:rPr>
                <w:rFonts w:cs="Calibri"/>
                <w:sz w:val="22"/>
                <w:szCs w:val="22"/>
                <w:lang w:eastAsia="en-GB"/>
              </w:rPr>
              <w:t>2019</w:t>
            </w:r>
          </w:p>
        </w:tc>
        <w:tc>
          <w:tcPr>
            <w:tcW w:w="733" w:type="pct"/>
            <w:tcBorders>
              <w:top w:val="nil"/>
              <w:left w:val="single" w:sz="4" w:space="0" w:color="auto"/>
              <w:bottom w:val="nil"/>
              <w:right w:val="single" w:sz="4" w:space="0" w:color="auto"/>
            </w:tcBorders>
            <w:shd w:val="clear" w:color="auto" w:fill="auto"/>
            <w:noWrap/>
            <w:hideMark/>
          </w:tcPr>
          <w:p w14:paraId="2BB49857" w14:textId="77777777" w:rsidR="00686EC7" w:rsidRPr="000C156A" w:rsidRDefault="00686EC7" w:rsidP="00141BAA">
            <w:pPr>
              <w:overflowPunct/>
              <w:autoSpaceDE/>
              <w:autoSpaceDN/>
              <w:adjustRightInd/>
              <w:spacing w:before="40" w:after="40"/>
              <w:jc w:val="right"/>
              <w:textAlignment w:val="auto"/>
              <w:rPr>
                <w:rFonts w:cs="Calibri"/>
                <w:sz w:val="22"/>
                <w:szCs w:val="22"/>
                <w:lang w:eastAsia="en-GB"/>
              </w:rPr>
            </w:pPr>
            <w:r w:rsidRPr="000C156A">
              <w:rPr>
                <w:rFonts w:cs="Calibri"/>
                <w:sz w:val="22"/>
                <w:szCs w:val="22"/>
                <w:lang w:eastAsia="en-GB"/>
              </w:rPr>
              <w:t>39.35</w:t>
            </w:r>
          </w:p>
        </w:tc>
      </w:tr>
      <w:tr w:rsidR="00686EC7" w:rsidRPr="000C156A" w14:paraId="45D8A185" w14:textId="77777777" w:rsidTr="00A81917">
        <w:trPr>
          <w:trHeight w:val="295"/>
          <w:jc w:val="center"/>
        </w:trPr>
        <w:tc>
          <w:tcPr>
            <w:tcW w:w="1323" w:type="pct"/>
            <w:tcBorders>
              <w:top w:val="nil"/>
              <w:left w:val="single" w:sz="4" w:space="0" w:color="auto"/>
              <w:bottom w:val="nil"/>
            </w:tcBorders>
            <w:shd w:val="clear" w:color="auto" w:fill="auto"/>
            <w:noWrap/>
            <w:hideMark/>
          </w:tcPr>
          <w:p w14:paraId="56CAC6A3" w14:textId="77777777" w:rsidR="00686EC7" w:rsidRPr="000C156A" w:rsidRDefault="00686EC7" w:rsidP="00141BAA">
            <w:pPr>
              <w:overflowPunct/>
              <w:autoSpaceDE/>
              <w:autoSpaceDN/>
              <w:adjustRightInd/>
              <w:spacing w:before="40" w:after="40"/>
              <w:textAlignment w:val="auto"/>
              <w:rPr>
                <w:rFonts w:cs="Calibri"/>
                <w:b/>
                <w:bCs/>
                <w:sz w:val="22"/>
                <w:szCs w:val="22"/>
                <w:lang w:eastAsia="en-GB"/>
              </w:rPr>
            </w:pPr>
            <w:r w:rsidRPr="000C156A">
              <w:rPr>
                <w:rFonts w:cs="Calibri"/>
                <w:b/>
                <w:bCs/>
                <w:sz w:val="22"/>
                <w:szCs w:val="22"/>
                <w:lang w:eastAsia="en-GB"/>
              </w:rPr>
              <w:t> </w:t>
            </w:r>
          </w:p>
        </w:tc>
        <w:tc>
          <w:tcPr>
            <w:tcW w:w="2281" w:type="pct"/>
            <w:tcBorders>
              <w:top w:val="nil"/>
              <w:bottom w:val="nil"/>
              <w:right w:val="single" w:sz="4" w:space="0" w:color="auto"/>
            </w:tcBorders>
            <w:shd w:val="clear" w:color="auto" w:fill="auto"/>
          </w:tcPr>
          <w:p w14:paraId="3C335161" w14:textId="77777777" w:rsidR="00686EC7" w:rsidRPr="000C156A" w:rsidRDefault="00686EC7" w:rsidP="00141BAA">
            <w:pPr>
              <w:overflowPunct/>
              <w:autoSpaceDE/>
              <w:autoSpaceDN/>
              <w:adjustRightInd/>
              <w:spacing w:before="40" w:after="40"/>
              <w:textAlignment w:val="auto"/>
              <w:rPr>
                <w:rFonts w:cs="Calibri"/>
                <w:sz w:val="22"/>
                <w:szCs w:val="22"/>
                <w:lang w:eastAsia="en-GB"/>
              </w:rPr>
            </w:pPr>
            <w:r w:rsidRPr="000C156A">
              <w:rPr>
                <w:rFonts w:cs="Calibri"/>
                <w:sz w:val="22"/>
                <w:szCs w:val="22"/>
                <w:lang w:eastAsia="zh-CN"/>
              </w:rPr>
              <w:t>Leading</w:t>
            </w:r>
            <w:r w:rsidRPr="000C156A">
              <w:rPr>
                <w:rFonts w:cs="Calibri"/>
                <w:sz w:val="22"/>
                <w:szCs w:val="22"/>
                <w:lang w:eastAsia="en-GB"/>
              </w:rPr>
              <w:t xml:space="preserve"> Technologies, LLC</w:t>
            </w:r>
            <w:r w:rsidRPr="000C156A">
              <w:rPr>
                <w:rFonts w:cs="Calibri" w:hint="eastAsia"/>
                <w:sz w:val="22"/>
                <w:szCs w:val="22"/>
                <w:lang w:eastAsia="zh-CN"/>
              </w:rPr>
              <w:t>，华盛顿</w:t>
            </w:r>
          </w:p>
        </w:tc>
        <w:tc>
          <w:tcPr>
            <w:tcW w:w="663" w:type="pct"/>
            <w:tcBorders>
              <w:top w:val="nil"/>
              <w:left w:val="single" w:sz="4" w:space="0" w:color="auto"/>
              <w:bottom w:val="nil"/>
              <w:right w:val="single" w:sz="4" w:space="0" w:color="auto"/>
            </w:tcBorders>
            <w:shd w:val="clear" w:color="auto" w:fill="auto"/>
            <w:noWrap/>
            <w:hideMark/>
          </w:tcPr>
          <w:p w14:paraId="17C5BAE0" w14:textId="77777777" w:rsidR="00686EC7" w:rsidRPr="000C156A" w:rsidRDefault="00686EC7" w:rsidP="00141BAA">
            <w:pPr>
              <w:overflowPunct/>
              <w:autoSpaceDE/>
              <w:autoSpaceDN/>
              <w:adjustRightInd/>
              <w:spacing w:before="40" w:after="40"/>
              <w:jc w:val="center"/>
              <w:textAlignment w:val="auto"/>
              <w:rPr>
                <w:rFonts w:cs="Calibri"/>
                <w:sz w:val="22"/>
                <w:szCs w:val="22"/>
                <w:lang w:eastAsia="en-GB"/>
              </w:rPr>
            </w:pPr>
            <w:r w:rsidRPr="000C156A">
              <w:rPr>
                <w:rFonts w:cs="Calibri"/>
                <w:sz w:val="22"/>
                <w:szCs w:val="22"/>
                <w:lang w:eastAsia="en-GB"/>
              </w:rPr>
              <w:t>2008-2009</w:t>
            </w:r>
          </w:p>
        </w:tc>
        <w:tc>
          <w:tcPr>
            <w:tcW w:w="733" w:type="pct"/>
            <w:tcBorders>
              <w:top w:val="nil"/>
              <w:left w:val="single" w:sz="4" w:space="0" w:color="auto"/>
              <w:bottom w:val="nil"/>
              <w:right w:val="single" w:sz="4" w:space="0" w:color="auto"/>
            </w:tcBorders>
            <w:shd w:val="clear" w:color="auto" w:fill="auto"/>
            <w:noWrap/>
            <w:hideMark/>
          </w:tcPr>
          <w:p w14:paraId="179EE58A" w14:textId="00752932" w:rsidR="00686EC7" w:rsidRPr="000C156A" w:rsidRDefault="00686EC7" w:rsidP="00141BAA">
            <w:pPr>
              <w:overflowPunct/>
              <w:autoSpaceDE/>
              <w:autoSpaceDN/>
              <w:adjustRightInd/>
              <w:spacing w:before="40" w:after="40"/>
              <w:jc w:val="right"/>
              <w:textAlignment w:val="auto"/>
              <w:rPr>
                <w:rFonts w:cs="Calibri"/>
                <w:sz w:val="22"/>
                <w:szCs w:val="22"/>
                <w:lang w:eastAsia="en-GB"/>
              </w:rPr>
            </w:pPr>
            <w:r w:rsidRPr="000C156A">
              <w:rPr>
                <w:rFonts w:cs="Calibri"/>
                <w:sz w:val="22"/>
                <w:szCs w:val="22"/>
                <w:lang w:eastAsia="en-GB"/>
              </w:rPr>
              <w:t>144</w:t>
            </w:r>
            <w:r w:rsidR="001A59E5" w:rsidRPr="000C156A">
              <w:rPr>
                <w:rFonts w:cs="Calibri"/>
                <w:sz w:val="22"/>
                <w:szCs w:val="22"/>
                <w:lang w:eastAsia="en-GB"/>
              </w:rPr>
              <w:t xml:space="preserve"> </w:t>
            </w:r>
            <w:r w:rsidRPr="000C156A">
              <w:rPr>
                <w:rFonts w:cs="Calibri"/>
                <w:sz w:val="22"/>
                <w:szCs w:val="22"/>
                <w:lang w:eastAsia="en-GB"/>
              </w:rPr>
              <w:t>486.50</w:t>
            </w:r>
          </w:p>
        </w:tc>
      </w:tr>
      <w:tr w:rsidR="00686EC7" w:rsidRPr="000C156A" w14:paraId="1C0C41D0" w14:textId="77777777" w:rsidTr="00A81917">
        <w:trPr>
          <w:trHeight w:val="143"/>
          <w:jc w:val="center"/>
        </w:trPr>
        <w:tc>
          <w:tcPr>
            <w:tcW w:w="1323" w:type="pct"/>
            <w:tcBorders>
              <w:top w:val="nil"/>
              <w:left w:val="single" w:sz="4" w:space="0" w:color="auto"/>
              <w:bottom w:val="nil"/>
            </w:tcBorders>
            <w:shd w:val="clear" w:color="auto" w:fill="auto"/>
            <w:noWrap/>
            <w:hideMark/>
          </w:tcPr>
          <w:p w14:paraId="22B9429C" w14:textId="77777777" w:rsidR="00686EC7" w:rsidRPr="000C156A" w:rsidRDefault="00686EC7" w:rsidP="00141BAA">
            <w:pPr>
              <w:overflowPunct/>
              <w:autoSpaceDE/>
              <w:autoSpaceDN/>
              <w:adjustRightInd/>
              <w:spacing w:before="40" w:after="40"/>
              <w:textAlignment w:val="auto"/>
              <w:rPr>
                <w:rFonts w:cs="Calibri"/>
                <w:b/>
                <w:bCs/>
                <w:sz w:val="22"/>
                <w:szCs w:val="22"/>
                <w:lang w:eastAsia="en-GB"/>
              </w:rPr>
            </w:pPr>
            <w:r w:rsidRPr="000C156A">
              <w:rPr>
                <w:rFonts w:cs="Calibri"/>
                <w:b/>
                <w:bCs/>
                <w:sz w:val="22"/>
                <w:szCs w:val="22"/>
                <w:lang w:eastAsia="en-GB"/>
              </w:rPr>
              <w:t> </w:t>
            </w:r>
          </w:p>
        </w:tc>
        <w:tc>
          <w:tcPr>
            <w:tcW w:w="2281" w:type="pct"/>
            <w:tcBorders>
              <w:top w:val="nil"/>
              <w:bottom w:val="nil"/>
              <w:right w:val="single" w:sz="4" w:space="0" w:color="auto"/>
            </w:tcBorders>
            <w:shd w:val="clear" w:color="auto" w:fill="auto"/>
            <w:hideMark/>
          </w:tcPr>
          <w:p w14:paraId="383D259A" w14:textId="77777777" w:rsidR="00686EC7" w:rsidRPr="000C156A" w:rsidRDefault="00686EC7" w:rsidP="00141BAA">
            <w:pPr>
              <w:spacing w:before="40" w:after="40"/>
              <w:rPr>
                <w:rFonts w:cs="Calibri"/>
                <w:sz w:val="22"/>
                <w:szCs w:val="22"/>
                <w:lang w:eastAsia="zh-CN"/>
              </w:rPr>
            </w:pPr>
            <w:r w:rsidRPr="000C156A">
              <w:rPr>
                <w:rFonts w:cs="Calibri" w:hint="eastAsia"/>
                <w:sz w:val="22"/>
                <w:szCs w:val="22"/>
                <w:lang w:eastAsia="zh-CN"/>
              </w:rPr>
              <w:t>新墨西哥理工学院，索科罗</w:t>
            </w:r>
          </w:p>
        </w:tc>
        <w:tc>
          <w:tcPr>
            <w:tcW w:w="663" w:type="pct"/>
            <w:tcBorders>
              <w:top w:val="nil"/>
              <w:left w:val="single" w:sz="4" w:space="0" w:color="auto"/>
              <w:bottom w:val="nil"/>
              <w:right w:val="single" w:sz="4" w:space="0" w:color="auto"/>
            </w:tcBorders>
            <w:shd w:val="clear" w:color="auto" w:fill="auto"/>
            <w:noWrap/>
            <w:hideMark/>
          </w:tcPr>
          <w:p w14:paraId="1CD85100" w14:textId="77777777" w:rsidR="00686EC7" w:rsidRPr="000C156A" w:rsidRDefault="00686EC7" w:rsidP="00141BAA">
            <w:pPr>
              <w:spacing w:before="40" w:after="40"/>
              <w:jc w:val="center"/>
              <w:rPr>
                <w:rFonts w:cs="Calibri"/>
                <w:sz w:val="22"/>
                <w:szCs w:val="22"/>
                <w:lang w:eastAsia="en-GB"/>
              </w:rPr>
            </w:pPr>
            <w:r w:rsidRPr="000C156A">
              <w:rPr>
                <w:rFonts w:cs="Calibri"/>
                <w:sz w:val="22"/>
                <w:szCs w:val="22"/>
                <w:lang w:eastAsia="en-GB"/>
              </w:rPr>
              <w:t>2018</w:t>
            </w:r>
          </w:p>
        </w:tc>
        <w:tc>
          <w:tcPr>
            <w:tcW w:w="733" w:type="pct"/>
            <w:tcBorders>
              <w:top w:val="nil"/>
              <w:left w:val="single" w:sz="4" w:space="0" w:color="auto"/>
              <w:bottom w:val="nil"/>
              <w:right w:val="single" w:sz="4" w:space="0" w:color="auto"/>
            </w:tcBorders>
            <w:shd w:val="clear" w:color="auto" w:fill="auto"/>
            <w:noWrap/>
            <w:hideMark/>
          </w:tcPr>
          <w:p w14:paraId="31A82E7D" w14:textId="77777777" w:rsidR="00686EC7" w:rsidRPr="000C156A" w:rsidRDefault="00686EC7" w:rsidP="00141BAA">
            <w:pPr>
              <w:spacing w:before="40" w:after="40"/>
              <w:jc w:val="right"/>
              <w:rPr>
                <w:rFonts w:cs="Calibri"/>
                <w:sz w:val="22"/>
                <w:szCs w:val="22"/>
                <w:lang w:eastAsia="en-GB"/>
              </w:rPr>
            </w:pPr>
            <w:r w:rsidRPr="000C156A">
              <w:rPr>
                <w:rFonts w:cs="Calibri"/>
                <w:sz w:val="22"/>
                <w:szCs w:val="22"/>
                <w:lang w:eastAsia="en-GB"/>
              </w:rPr>
              <w:t>570.00</w:t>
            </w:r>
          </w:p>
        </w:tc>
      </w:tr>
      <w:tr w:rsidR="00686EC7" w:rsidRPr="000C156A" w14:paraId="1F2BB10C" w14:textId="77777777" w:rsidTr="00A81917">
        <w:trPr>
          <w:trHeight w:val="305"/>
          <w:jc w:val="center"/>
        </w:trPr>
        <w:tc>
          <w:tcPr>
            <w:tcW w:w="1323" w:type="pct"/>
            <w:tcBorders>
              <w:top w:val="nil"/>
              <w:left w:val="single" w:sz="4" w:space="0" w:color="auto"/>
              <w:bottom w:val="nil"/>
            </w:tcBorders>
            <w:shd w:val="clear" w:color="auto" w:fill="auto"/>
            <w:noWrap/>
          </w:tcPr>
          <w:p w14:paraId="1D457838" w14:textId="77777777" w:rsidR="00686EC7" w:rsidRPr="000C156A" w:rsidRDefault="00686EC7" w:rsidP="00141BAA">
            <w:pPr>
              <w:overflowPunct/>
              <w:autoSpaceDE/>
              <w:autoSpaceDN/>
              <w:adjustRightInd/>
              <w:spacing w:before="40" w:after="40"/>
              <w:textAlignment w:val="auto"/>
              <w:rPr>
                <w:rFonts w:cs="Calibri"/>
                <w:b/>
                <w:bCs/>
                <w:sz w:val="22"/>
                <w:szCs w:val="22"/>
                <w:lang w:eastAsia="en-GB"/>
              </w:rPr>
            </w:pPr>
          </w:p>
        </w:tc>
        <w:tc>
          <w:tcPr>
            <w:tcW w:w="2281" w:type="pct"/>
            <w:tcBorders>
              <w:top w:val="nil"/>
              <w:bottom w:val="nil"/>
              <w:right w:val="single" w:sz="4" w:space="0" w:color="auto"/>
            </w:tcBorders>
            <w:shd w:val="clear" w:color="auto" w:fill="auto"/>
          </w:tcPr>
          <w:p w14:paraId="0D21C3E7" w14:textId="77777777" w:rsidR="00686EC7" w:rsidRPr="000C156A" w:rsidRDefault="00686EC7" w:rsidP="00141BAA">
            <w:pPr>
              <w:spacing w:before="40" w:after="40"/>
              <w:rPr>
                <w:rFonts w:cs="Calibri"/>
                <w:sz w:val="22"/>
                <w:szCs w:val="22"/>
                <w:lang w:eastAsia="en-GB"/>
              </w:rPr>
            </w:pPr>
            <w:r w:rsidRPr="000C156A">
              <w:rPr>
                <w:rFonts w:cs="Calibri"/>
                <w:sz w:val="22"/>
                <w:szCs w:val="22"/>
                <w:lang w:eastAsia="en-GB"/>
              </w:rPr>
              <w:t>Space AI</w:t>
            </w:r>
            <w:r w:rsidRPr="000C156A">
              <w:rPr>
                <w:rFonts w:cs="Calibri" w:hint="eastAsia"/>
                <w:sz w:val="22"/>
                <w:szCs w:val="22"/>
                <w:lang w:eastAsia="zh-CN"/>
              </w:rPr>
              <w:t>公司，旧金山</w:t>
            </w:r>
          </w:p>
        </w:tc>
        <w:tc>
          <w:tcPr>
            <w:tcW w:w="663" w:type="pct"/>
            <w:tcBorders>
              <w:top w:val="nil"/>
              <w:left w:val="single" w:sz="4" w:space="0" w:color="auto"/>
              <w:bottom w:val="nil"/>
              <w:right w:val="single" w:sz="4" w:space="0" w:color="auto"/>
            </w:tcBorders>
            <w:shd w:val="clear" w:color="auto" w:fill="auto"/>
            <w:noWrap/>
            <w:hideMark/>
          </w:tcPr>
          <w:p w14:paraId="63653A4D" w14:textId="77777777" w:rsidR="00686EC7" w:rsidRPr="000C156A" w:rsidRDefault="00686EC7" w:rsidP="00141BAA">
            <w:pPr>
              <w:spacing w:before="40" w:after="40"/>
              <w:jc w:val="center"/>
              <w:rPr>
                <w:rFonts w:cs="Calibri"/>
                <w:sz w:val="22"/>
                <w:szCs w:val="22"/>
                <w:lang w:eastAsia="en-GB"/>
              </w:rPr>
            </w:pPr>
            <w:r w:rsidRPr="000C156A">
              <w:rPr>
                <w:rFonts w:cs="Calibri"/>
                <w:sz w:val="22"/>
                <w:szCs w:val="22"/>
                <w:lang w:eastAsia="en-GB"/>
              </w:rPr>
              <w:t>2019</w:t>
            </w:r>
          </w:p>
        </w:tc>
        <w:tc>
          <w:tcPr>
            <w:tcW w:w="733" w:type="pct"/>
            <w:tcBorders>
              <w:top w:val="nil"/>
              <w:left w:val="single" w:sz="4" w:space="0" w:color="auto"/>
              <w:bottom w:val="nil"/>
              <w:right w:val="single" w:sz="4" w:space="0" w:color="auto"/>
            </w:tcBorders>
            <w:shd w:val="clear" w:color="auto" w:fill="auto"/>
            <w:noWrap/>
            <w:hideMark/>
          </w:tcPr>
          <w:p w14:paraId="3D7A7D74" w14:textId="77777777" w:rsidR="00686EC7" w:rsidRPr="000C156A" w:rsidRDefault="00686EC7" w:rsidP="00141BAA">
            <w:pPr>
              <w:spacing w:before="40" w:after="40"/>
              <w:jc w:val="right"/>
              <w:rPr>
                <w:rFonts w:cs="Calibri"/>
                <w:sz w:val="22"/>
                <w:szCs w:val="22"/>
                <w:lang w:eastAsia="en-GB"/>
              </w:rPr>
            </w:pPr>
            <w:r w:rsidRPr="000C156A">
              <w:rPr>
                <w:rFonts w:cs="Calibri"/>
                <w:sz w:val="22"/>
                <w:szCs w:val="22"/>
                <w:lang w:eastAsia="en-GB"/>
              </w:rPr>
              <w:t>583.60</w:t>
            </w:r>
          </w:p>
        </w:tc>
      </w:tr>
      <w:tr w:rsidR="00686EC7" w:rsidRPr="000C156A" w14:paraId="2BD61950" w14:textId="77777777" w:rsidTr="00A81917">
        <w:trPr>
          <w:trHeight w:val="197"/>
          <w:jc w:val="center"/>
        </w:trPr>
        <w:tc>
          <w:tcPr>
            <w:tcW w:w="1323" w:type="pct"/>
            <w:tcBorders>
              <w:top w:val="nil"/>
              <w:left w:val="single" w:sz="4" w:space="0" w:color="auto"/>
              <w:bottom w:val="nil"/>
            </w:tcBorders>
            <w:shd w:val="clear" w:color="auto" w:fill="auto"/>
            <w:noWrap/>
          </w:tcPr>
          <w:p w14:paraId="6A33CE08" w14:textId="77777777" w:rsidR="00686EC7" w:rsidRPr="000C156A" w:rsidRDefault="00686EC7" w:rsidP="00141BAA">
            <w:pPr>
              <w:overflowPunct/>
              <w:autoSpaceDE/>
              <w:autoSpaceDN/>
              <w:adjustRightInd/>
              <w:spacing w:before="40" w:after="40"/>
              <w:textAlignment w:val="auto"/>
              <w:rPr>
                <w:rFonts w:cs="Calibri"/>
                <w:b/>
                <w:bCs/>
                <w:sz w:val="22"/>
                <w:szCs w:val="22"/>
                <w:lang w:eastAsia="en-GB"/>
              </w:rPr>
            </w:pPr>
          </w:p>
        </w:tc>
        <w:tc>
          <w:tcPr>
            <w:tcW w:w="2281" w:type="pct"/>
            <w:tcBorders>
              <w:top w:val="nil"/>
              <w:bottom w:val="nil"/>
              <w:right w:val="single" w:sz="4" w:space="0" w:color="auto"/>
            </w:tcBorders>
            <w:shd w:val="clear" w:color="auto" w:fill="auto"/>
          </w:tcPr>
          <w:p w14:paraId="6073FD58" w14:textId="77777777" w:rsidR="00686EC7" w:rsidRPr="000C156A" w:rsidRDefault="00686EC7" w:rsidP="00141BAA">
            <w:pPr>
              <w:spacing w:before="40" w:after="40"/>
              <w:rPr>
                <w:rFonts w:cs="Calibri"/>
                <w:sz w:val="22"/>
                <w:szCs w:val="22"/>
                <w:lang w:eastAsia="en-GB"/>
              </w:rPr>
            </w:pPr>
            <w:r w:rsidRPr="000C156A">
              <w:rPr>
                <w:rFonts w:cs="Calibri"/>
                <w:sz w:val="22"/>
                <w:szCs w:val="22"/>
                <w:lang w:eastAsia="en-GB"/>
              </w:rPr>
              <w:t>Steptoe &amp; Johnson</w:t>
            </w:r>
            <w:r w:rsidRPr="000C156A">
              <w:rPr>
                <w:rFonts w:cs="Calibri" w:hint="eastAsia"/>
                <w:sz w:val="22"/>
                <w:szCs w:val="22"/>
                <w:lang w:eastAsia="zh-CN"/>
              </w:rPr>
              <w:t>公司，华盛顿</w:t>
            </w:r>
          </w:p>
        </w:tc>
        <w:tc>
          <w:tcPr>
            <w:tcW w:w="663" w:type="pct"/>
            <w:tcBorders>
              <w:top w:val="nil"/>
              <w:left w:val="single" w:sz="4" w:space="0" w:color="auto"/>
              <w:bottom w:val="nil"/>
              <w:right w:val="single" w:sz="4" w:space="0" w:color="auto"/>
            </w:tcBorders>
            <w:shd w:val="clear" w:color="auto" w:fill="auto"/>
            <w:noWrap/>
          </w:tcPr>
          <w:p w14:paraId="5CCAFD25" w14:textId="77777777" w:rsidR="00686EC7" w:rsidRPr="000C156A" w:rsidRDefault="00686EC7" w:rsidP="00141BAA">
            <w:pPr>
              <w:spacing w:before="40" w:after="40"/>
              <w:jc w:val="center"/>
              <w:rPr>
                <w:rFonts w:cs="Calibri"/>
                <w:sz w:val="22"/>
                <w:szCs w:val="22"/>
                <w:lang w:eastAsia="en-GB"/>
              </w:rPr>
            </w:pPr>
            <w:r w:rsidRPr="000C156A">
              <w:rPr>
                <w:rFonts w:cs="Calibri"/>
                <w:sz w:val="22"/>
                <w:szCs w:val="22"/>
                <w:lang w:eastAsia="en-GB"/>
              </w:rPr>
              <w:t>2017</w:t>
            </w:r>
          </w:p>
        </w:tc>
        <w:tc>
          <w:tcPr>
            <w:tcW w:w="733" w:type="pct"/>
            <w:tcBorders>
              <w:top w:val="nil"/>
              <w:left w:val="single" w:sz="4" w:space="0" w:color="auto"/>
              <w:bottom w:val="single" w:sz="4" w:space="0" w:color="auto"/>
              <w:right w:val="single" w:sz="4" w:space="0" w:color="auto"/>
            </w:tcBorders>
            <w:shd w:val="clear" w:color="auto" w:fill="auto"/>
            <w:noWrap/>
          </w:tcPr>
          <w:p w14:paraId="725E6F05" w14:textId="77777777" w:rsidR="00686EC7" w:rsidRPr="000C156A" w:rsidRDefault="00686EC7" w:rsidP="00141BAA">
            <w:pPr>
              <w:spacing w:before="40" w:after="40"/>
              <w:jc w:val="right"/>
              <w:rPr>
                <w:rFonts w:cs="Calibri"/>
                <w:sz w:val="22"/>
                <w:szCs w:val="22"/>
                <w:lang w:eastAsia="en-GB"/>
              </w:rPr>
            </w:pPr>
            <w:r w:rsidRPr="000C156A">
              <w:rPr>
                <w:rFonts w:cs="Calibri"/>
                <w:sz w:val="22"/>
                <w:szCs w:val="22"/>
                <w:lang w:eastAsia="en-GB"/>
              </w:rPr>
              <w:t>72.85</w:t>
            </w:r>
          </w:p>
        </w:tc>
      </w:tr>
      <w:tr w:rsidR="00686EC7" w:rsidRPr="000C156A" w14:paraId="23180825" w14:textId="77777777" w:rsidTr="00A81917">
        <w:trPr>
          <w:trHeight w:val="510"/>
          <w:jc w:val="center"/>
        </w:trPr>
        <w:tc>
          <w:tcPr>
            <w:tcW w:w="1323" w:type="pct"/>
            <w:tcBorders>
              <w:left w:val="single" w:sz="4" w:space="0" w:color="auto"/>
              <w:bottom w:val="single" w:sz="4" w:space="0" w:color="auto"/>
            </w:tcBorders>
            <w:shd w:val="clear" w:color="auto" w:fill="auto"/>
            <w:noWrap/>
            <w:hideMark/>
          </w:tcPr>
          <w:p w14:paraId="4F95EDB3" w14:textId="77777777" w:rsidR="00686EC7" w:rsidRPr="000C156A" w:rsidRDefault="00686EC7" w:rsidP="00141BAA">
            <w:pPr>
              <w:overflowPunct/>
              <w:autoSpaceDE/>
              <w:autoSpaceDN/>
              <w:adjustRightInd/>
              <w:spacing w:before="0"/>
              <w:textAlignment w:val="auto"/>
              <w:rPr>
                <w:rFonts w:cs="Calibri"/>
                <w:b/>
                <w:bCs/>
                <w:sz w:val="22"/>
                <w:szCs w:val="22"/>
                <w:lang w:eastAsia="zh-CN"/>
              </w:rPr>
            </w:pPr>
            <w:r w:rsidRPr="000C156A">
              <w:rPr>
                <w:rFonts w:cs="Calibri" w:hint="eastAsia"/>
                <w:b/>
                <w:bCs/>
                <w:sz w:val="22"/>
                <w:szCs w:val="22"/>
                <w:lang w:eastAsia="zh-CN"/>
              </w:rPr>
              <w:t>截至</w:t>
            </w:r>
            <w:r w:rsidRPr="000C156A">
              <w:rPr>
                <w:rFonts w:cs="Calibri"/>
                <w:b/>
                <w:bCs/>
                <w:sz w:val="22"/>
                <w:szCs w:val="22"/>
                <w:lang w:eastAsia="zh-CN"/>
              </w:rPr>
              <w:t>2020</w:t>
            </w:r>
            <w:r w:rsidRPr="000C156A">
              <w:rPr>
                <w:rFonts w:cs="Calibri" w:hint="eastAsia"/>
                <w:b/>
                <w:bCs/>
                <w:sz w:val="22"/>
                <w:szCs w:val="22"/>
                <w:lang w:eastAsia="zh-CN"/>
              </w:rPr>
              <w:t>年</w:t>
            </w:r>
            <w:r w:rsidRPr="000C156A">
              <w:rPr>
                <w:rFonts w:cs="Calibri"/>
                <w:b/>
                <w:bCs/>
                <w:sz w:val="22"/>
                <w:szCs w:val="22"/>
                <w:lang w:eastAsia="zh-CN"/>
              </w:rPr>
              <w:t>12</w:t>
            </w:r>
            <w:r w:rsidRPr="000C156A">
              <w:rPr>
                <w:rFonts w:cs="Calibri" w:hint="eastAsia"/>
                <w:b/>
                <w:bCs/>
                <w:sz w:val="22"/>
                <w:szCs w:val="22"/>
                <w:lang w:eastAsia="zh-CN"/>
              </w:rPr>
              <w:t>月</w:t>
            </w:r>
            <w:r w:rsidRPr="000C156A">
              <w:rPr>
                <w:rFonts w:cs="Calibri"/>
                <w:b/>
                <w:bCs/>
                <w:sz w:val="22"/>
                <w:szCs w:val="22"/>
                <w:lang w:eastAsia="zh-CN"/>
              </w:rPr>
              <w:t>31</w:t>
            </w:r>
            <w:r w:rsidRPr="000C156A">
              <w:rPr>
                <w:rFonts w:cs="Calibri" w:hint="eastAsia"/>
                <w:b/>
                <w:bCs/>
                <w:sz w:val="22"/>
                <w:szCs w:val="22"/>
                <w:lang w:eastAsia="zh-CN"/>
              </w:rPr>
              <w:t>日的欠款合计</w:t>
            </w:r>
          </w:p>
        </w:tc>
        <w:tc>
          <w:tcPr>
            <w:tcW w:w="2281" w:type="pct"/>
            <w:tcBorders>
              <w:bottom w:val="single" w:sz="4" w:space="0" w:color="auto"/>
              <w:right w:val="single" w:sz="4" w:space="0" w:color="auto"/>
            </w:tcBorders>
            <w:shd w:val="clear" w:color="auto" w:fill="auto"/>
            <w:noWrap/>
            <w:hideMark/>
          </w:tcPr>
          <w:p w14:paraId="45CCCB7C" w14:textId="77777777" w:rsidR="00686EC7" w:rsidRPr="000C156A" w:rsidRDefault="00686EC7" w:rsidP="00141BAA">
            <w:pPr>
              <w:overflowPunct/>
              <w:autoSpaceDE/>
              <w:autoSpaceDN/>
              <w:adjustRightInd/>
              <w:spacing w:before="0"/>
              <w:textAlignment w:val="auto"/>
              <w:rPr>
                <w:rFonts w:cs="Calibri"/>
                <w:sz w:val="22"/>
                <w:szCs w:val="22"/>
                <w:lang w:eastAsia="zh-CN"/>
              </w:rPr>
            </w:pPr>
            <w:r w:rsidRPr="000C156A">
              <w:rPr>
                <w:rFonts w:cs="Calibri"/>
                <w:sz w:val="22"/>
                <w:szCs w:val="22"/>
                <w:lang w:eastAsia="zh-CN"/>
              </w:rPr>
              <w:t> </w:t>
            </w:r>
          </w:p>
        </w:tc>
        <w:tc>
          <w:tcPr>
            <w:tcW w:w="663" w:type="pct"/>
            <w:tcBorders>
              <w:left w:val="single" w:sz="4" w:space="0" w:color="auto"/>
              <w:bottom w:val="single" w:sz="4" w:space="0" w:color="auto"/>
              <w:right w:val="single" w:sz="4" w:space="0" w:color="auto"/>
            </w:tcBorders>
            <w:shd w:val="clear" w:color="auto" w:fill="auto"/>
            <w:noWrap/>
            <w:hideMark/>
          </w:tcPr>
          <w:p w14:paraId="5CA73D9F" w14:textId="77777777" w:rsidR="00686EC7" w:rsidRPr="000C156A" w:rsidRDefault="00686EC7" w:rsidP="00141BAA">
            <w:pPr>
              <w:overflowPunct/>
              <w:autoSpaceDE/>
              <w:autoSpaceDN/>
              <w:adjustRightInd/>
              <w:spacing w:before="0"/>
              <w:jc w:val="center"/>
              <w:textAlignment w:val="auto"/>
              <w:rPr>
                <w:rFonts w:cs="Calibri"/>
                <w:sz w:val="22"/>
                <w:szCs w:val="22"/>
                <w:lang w:eastAsia="zh-CN"/>
              </w:rPr>
            </w:pPr>
          </w:p>
        </w:tc>
        <w:tc>
          <w:tcPr>
            <w:tcW w:w="733" w:type="pct"/>
            <w:tcBorders>
              <w:top w:val="single" w:sz="4" w:space="0" w:color="auto"/>
              <w:left w:val="single" w:sz="4" w:space="0" w:color="auto"/>
              <w:bottom w:val="single" w:sz="4" w:space="0" w:color="auto"/>
              <w:right w:val="single" w:sz="4" w:space="0" w:color="auto"/>
            </w:tcBorders>
            <w:shd w:val="clear" w:color="auto" w:fill="auto"/>
            <w:noWrap/>
            <w:hideMark/>
          </w:tcPr>
          <w:p w14:paraId="16F3D3FB" w14:textId="18CA4412" w:rsidR="00686EC7" w:rsidRPr="000C156A" w:rsidRDefault="00686EC7" w:rsidP="00141BAA">
            <w:pPr>
              <w:jc w:val="right"/>
              <w:rPr>
                <w:rFonts w:cs="Calibri"/>
                <w:b/>
                <w:bCs/>
                <w:sz w:val="22"/>
                <w:szCs w:val="22"/>
                <w:lang w:eastAsia="en-GB"/>
              </w:rPr>
            </w:pPr>
            <w:r w:rsidRPr="000C156A">
              <w:rPr>
                <w:rFonts w:cs="Calibri"/>
                <w:b/>
                <w:bCs/>
                <w:sz w:val="22"/>
                <w:szCs w:val="22"/>
                <w:lang w:eastAsia="en-GB"/>
              </w:rPr>
              <w:t>253</w:t>
            </w:r>
            <w:r w:rsidR="001A59E5" w:rsidRPr="000C156A">
              <w:rPr>
                <w:rFonts w:cs="Calibri"/>
                <w:b/>
                <w:bCs/>
                <w:sz w:val="22"/>
                <w:szCs w:val="22"/>
                <w:lang w:eastAsia="en-GB"/>
              </w:rPr>
              <w:t xml:space="preserve"> </w:t>
            </w:r>
            <w:r w:rsidRPr="000C156A">
              <w:rPr>
                <w:rFonts w:cs="Calibri"/>
                <w:b/>
                <w:bCs/>
                <w:sz w:val="22"/>
                <w:szCs w:val="22"/>
                <w:lang w:eastAsia="en-GB"/>
              </w:rPr>
              <w:t>021.70</w:t>
            </w:r>
          </w:p>
        </w:tc>
      </w:tr>
      <w:tr w:rsidR="00686EC7" w:rsidRPr="000C156A" w14:paraId="587521A4" w14:textId="77777777" w:rsidTr="00A81917">
        <w:trPr>
          <w:trHeight w:val="300"/>
          <w:jc w:val="center"/>
        </w:trPr>
        <w:tc>
          <w:tcPr>
            <w:tcW w:w="1323" w:type="pct"/>
            <w:tcBorders>
              <w:top w:val="single" w:sz="4" w:space="0" w:color="auto"/>
              <w:left w:val="nil"/>
              <w:bottom w:val="nil"/>
              <w:right w:val="nil"/>
            </w:tcBorders>
            <w:shd w:val="clear" w:color="auto" w:fill="auto"/>
            <w:noWrap/>
            <w:vAlign w:val="bottom"/>
            <w:hideMark/>
          </w:tcPr>
          <w:p w14:paraId="6BFD439D" w14:textId="77777777" w:rsidR="00686EC7" w:rsidRPr="000C156A" w:rsidRDefault="00686EC7" w:rsidP="00141BAA">
            <w:pPr>
              <w:overflowPunct/>
              <w:autoSpaceDE/>
              <w:autoSpaceDN/>
              <w:adjustRightInd/>
              <w:spacing w:before="0"/>
              <w:jc w:val="right"/>
              <w:textAlignment w:val="auto"/>
              <w:rPr>
                <w:rFonts w:cs="Calibri"/>
                <w:b/>
                <w:bCs/>
                <w:sz w:val="22"/>
                <w:szCs w:val="22"/>
                <w:lang w:eastAsia="en-GB"/>
              </w:rPr>
            </w:pPr>
          </w:p>
        </w:tc>
        <w:tc>
          <w:tcPr>
            <w:tcW w:w="2281" w:type="pct"/>
            <w:tcBorders>
              <w:top w:val="single" w:sz="4" w:space="0" w:color="auto"/>
              <w:left w:val="nil"/>
              <w:bottom w:val="nil"/>
              <w:right w:val="single" w:sz="4" w:space="0" w:color="auto"/>
            </w:tcBorders>
            <w:shd w:val="clear" w:color="auto" w:fill="auto"/>
            <w:noWrap/>
            <w:vAlign w:val="bottom"/>
            <w:hideMark/>
          </w:tcPr>
          <w:p w14:paraId="6E17C582" w14:textId="77777777" w:rsidR="00686EC7" w:rsidRPr="000C156A" w:rsidRDefault="00686EC7" w:rsidP="00141BAA">
            <w:pPr>
              <w:overflowPunct/>
              <w:autoSpaceDE/>
              <w:autoSpaceDN/>
              <w:adjustRightInd/>
              <w:spacing w:before="0"/>
              <w:textAlignment w:val="auto"/>
              <w:rPr>
                <w:rFonts w:ascii="Times New Roman" w:hAnsi="Times New Roman"/>
                <w:sz w:val="22"/>
                <w:szCs w:val="22"/>
                <w:lang w:eastAsia="en-GB"/>
              </w:rPr>
            </w:pPr>
          </w:p>
        </w:tc>
        <w:tc>
          <w:tcPr>
            <w:tcW w:w="663" w:type="pct"/>
            <w:tcBorders>
              <w:top w:val="single" w:sz="4" w:space="0" w:color="auto"/>
              <w:left w:val="single" w:sz="4" w:space="0" w:color="auto"/>
              <w:bottom w:val="nil"/>
              <w:right w:val="nil"/>
            </w:tcBorders>
            <w:shd w:val="clear" w:color="auto" w:fill="auto"/>
            <w:noWrap/>
            <w:vAlign w:val="bottom"/>
            <w:hideMark/>
          </w:tcPr>
          <w:p w14:paraId="21010696" w14:textId="77777777" w:rsidR="00686EC7" w:rsidRPr="000C156A" w:rsidRDefault="00686EC7" w:rsidP="00141BAA">
            <w:pPr>
              <w:overflowPunct/>
              <w:autoSpaceDE/>
              <w:autoSpaceDN/>
              <w:adjustRightInd/>
              <w:spacing w:before="0"/>
              <w:jc w:val="center"/>
              <w:textAlignment w:val="auto"/>
              <w:rPr>
                <w:rFonts w:ascii="Times New Roman" w:hAnsi="Times New Roman"/>
                <w:sz w:val="22"/>
                <w:szCs w:val="22"/>
                <w:lang w:eastAsia="en-GB"/>
              </w:rPr>
            </w:pPr>
          </w:p>
        </w:tc>
        <w:tc>
          <w:tcPr>
            <w:tcW w:w="733" w:type="pct"/>
            <w:tcBorders>
              <w:top w:val="single" w:sz="4" w:space="0" w:color="auto"/>
              <w:left w:val="nil"/>
              <w:bottom w:val="nil"/>
              <w:right w:val="nil"/>
            </w:tcBorders>
            <w:shd w:val="clear" w:color="auto" w:fill="auto"/>
            <w:noWrap/>
            <w:vAlign w:val="bottom"/>
            <w:hideMark/>
          </w:tcPr>
          <w:p w14:paraId="3F6673CC" w14:textId="77777777" w:rsidR="00686EC7" w:rsidRPr="000C156A" w:rsidRDefault="00686EC7" w:rsidP="00141BAA">
            <w:pPr>
              <w:overflowPunct/>
              <w:autoSpaceDE/>
              <w:autoSpaceDN/>
              <w:adjustRightInd/>
              <w:spacing w:before="0"/>
              <w:textAlignment w:val="auto"/>
              <w:rPr>
                <w:rFonts w:ascii="Times New Roman" w:hAnsi="Times New Roman"/>
                <w:sz w:val="22"/>
                <w:szCs w:val="22"/>
                <w:lang w:eastAsia="en-GB"/>
              </w:rPr>
            </w:pPr>
          </w:p>
        </w:tc>
      </w:tr>
      <w:tr w:rsidR="00686EC7" w:rsidRPr="000C156A" w14:paraId="113A67ED" w14:textId="77777777" w:rsidTr="00141BAA">
        <w:trPr>
          <w:trHeight w:val="31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09863D3" w14:textId="77777777" w:rsidR="00686EC7" w:rsidRPr="000C156A" w:rsidRDefault="00686EC7" w:rsidP="00141BAA">
            <w:pPr>
              <w:overflowPunct/>
              <w:autoSpaceDE/>
              <w:autoSpaceDN/>
              <w:adjustRightInd/>
              <w:spacing w:before="0"/>
              <w:jc w:val="center"/>
              <w:textAlignment w:val="auto"/>
              <w:rPr>
                <w:rFonts w:cs="Calibri"/>
                <w:b/>
                <w:bCs/>
                <w:sz w:val="22"/>
                <w:szCs w:val="22"/>
                <w:lang w:eastAsia="en-GB"/>
              </w:rPr>
            </w:pPr>
            <w:r w:rsidRPr="000C156A">
              <w:rPr>
                <w:rFonts w:cs="Calibri" w:hint="eastAsia"/>
                <w:b/>
                <w:bCs/>
                <w:sz w:val="22"/>
                <w:szCs w:val="22"/>
                <w:lang w:eastAsia="en-GB"/>
              </w:rPr>
              <w:t>杂项发票欠款</w:t>
            </w:r>
          </w:p>
        </w:tc>
      </w:tr>
      <w:tr w:rsidR="00686EC7" w:rsidRPr="000C156A" w14:paraId="6FA14F1A" w14:textId="77777777" w:rsidTr="00A81917">
        <w:trPr>
          <w:trHeight w:val="300"/>
          <w:jc w:val="center"/>
        </w:trPr>
        <w:tc>
          <w:tcPr>
            <w:tcW w:w="1323" w:type="pct"/>
            <w:tcBorders>
              <w:top w:val="nil"/>
              <w:left w:val="single" w:sz="4" w:space="0" w:color="auto"/>
              <w:bottom w:val="nil"/>
              <w:right w:val="single" w:sz="4" w:space="0" w:color="auto"/>
            </w:tcBorders>
            <w:shd w:val="clear" w:color="auto" w:fill="auto"/>
            <w:noWrap/>
            <w:vAlign w:val="bottom"/>
            <w:hideMark/>
          </w:tcPr>
          <w:p w14:paraId="08B1B383"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 </w:t>
            </w:r>
          </w:p>
        </w:tc>
        <w:tc>
          <w:tcPr>
            <w:tcW w:w="2281" w:type="pct"/>
            <w:tcBorders>
              <w:top w:val="nil"/>
              <w:left w:val="nil"/>
              <w:bottom w:val="nil"/>
              <w:right w:val="single" w:sz="4" w:space="0" w:color="auto"/>
            </w:tcBorders>
            <w:shd w:val="clear" w:color="auto" w:fill="auto"/>
            <w:noWrap/>
            <w:vAlign w:val="bottom"/>
            <w:hideMark/>
          </w:tcPr>
          <w:p w14:paraId="244055D9"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 </w:t>
            </w:r>
          </w:p>
        </w:tc>
        <w:tc>
          <w:tcPr>
            <w:tcW w:w="663" w:type="pct"/>
            <w:tcBorders>
              <w:top w:val="nil"/>
              <w:left w:val="nil"/>
              <w:bottom w:val="nil"/>
              <w:right w:val="single" w:sz="4" w:space="0" w:color="auto"/>
            </w:tcBorders>
            <w:shd w:val="clear" w:color="auto" w:fill="auto"/>
            <w:noWrap/>
            <w:vAlign w:val="bottom"/>
            <w:hideMark/>
          </w:tcPr>
          <w:p w14:paraId="532A3495" w14:textId="77777777" w:rsidR="00686EC7" w:rsidRPr="000C156A" w:rsidRDefault="00686EC7" w:rsidP="00141BAA">
            <w:pPr>
              <w:overflowPunct/>
              <w:autoSpaceDE/>
              <w:autoSpaceDN/>
              <w:adjustRightInd/>
              <w:spacing w:before="0"/>
              <w:jc w:val="center"/>
              <w:textAlignment w:val="auto"/>
              <w:rPr>
                <w:rFonts w:cs="Calibri"/>
                <w:sz w:val="22"/>
                <w:szCs w:val="22"/>
                <w:lang w:eastAsia="en-GB"/>
              </w:rPr>
            </w:pPr>
          </w:p>
        </w:tc>
        <w:tc>
          <w:tcPr>
            <w:tcW w:w="733" w:type="pct"/>
            <w:tcBorders>
              <w:top w:val="nil"/>
              <w:left w:val="nil"/>
              <w:bottom w:val="nil"/>
              <w:right w:val="single" w:sz="4" w:space="0" w:color="auto"/>
            </w:tcBorders>
            <w:shd w:val="clear" w:color="auto" w:fill="auto"/>
            <w:noWrap/>
            <w:vAlign w:val="bottom"/>
            <w:hideMark/>
          </w:tcPr>
          <w:p w14:paraId="15300E4D"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 </w:t>
            </w:r>
          </w:p>
        </w:tc>
      </w:tr>
      <w:tr w:rsidR="00686EC7" w:rsidRPr="000C156A" w14:paraId="32FD81F9" w14:textId="77777777" w:rsidTr="00A81917">
        <w:trPr>
          <w:trHeight w:val="300"/>
          <w:jc w:val="center"/>
        </w:trPr>
        <w:tc>
          <w:tcPr>
            <w:tcW w:w="1323" w:type="pct"/>
            <w:tcBorders>
              <w:top w:val="nil"/>
              <w:left w:val="single" w:sz="4" w:space="0" w:color="auto"/>
              <w:bottom w:val="nil"/>
              <w:right w:val="single" w:sz="4" w:space="0" w:color="auto"/>
            </w:tcBorders>
            <w:shd w:val="clear" w:color="auto" w:fill="auto"/>
            <w:noWrap/>
            <w:vAlign w:val="bottom"/>
            <w:hideMark/>
          </w:tcPr>
          <w:p w14:paraId="1A647BF4" w14:textId="77777777" w:rsidR="00686EC7" w:rsidRPr="000C156A" w:rsidRDefault="00686EC7" w:rsidP="00141BAA">
            <w:pPr>
              <w:overflowPunct/>
              <w:autoSpaceDE/>
              <w:autoSpaceDN/>
              <w:adjustRightInd/>
              <w:spacing w:before="0"/>
              <w:jc w:val="center"/>
              <w:textAlignment w:val="auto"/>
              <w:rPr>
                <w:rFonts w:cs="Calibri"/>
                <w:b/>
                <w:bCs/>
                <w:sz w:val="22"/>
                <w:szCs w:val="22"/>
                <w:lang w:eastAsia="en-GB"/>
              </w:rPr>
            </w:pPr>
            <w:r w:rsidRPr="000C156A">
              <w:rPr>
                <w:rFonts w:asciiTheme="minorHAnsi" w:eastAsiaTheme="minorEastAsia" w:hAnsiTheme="minorHAnsi" w:cs="Calibri" w:hint="eastAsia"/>
                <w:b/>
                <w:bCs/>
                <w:sz w:val="22"/>
                <w:szCs w:val="22"/>
              </w:rPr>
              <w:t>通知主管部门</w:t>
            </w:r>
          </w:p>
        </w:tc>
        <w:tc>
          <w:tcPr>
            <w:tcW w:w="2281" w:type="pct"/>
            <w:tcBorders>
              <w:top w:val="nil"/>
              <w:left w:val="nil"/>
              <w:bottom w:val="nil"/>
              <w:right w:val="single" w:sz="4" w:space="0" w:color="auto"/>
            </w:tcBorders>
            <w:shd w:val="clear" w:color="auto" w:fill="auto"/>
            <w:noWrap/>
            <w:vAlign w:val="bottom"/>
            <w:hideMark/>
          </w:tcPr>
          <w:p w14:paraId="1BF3FB83" w14:textId="77777777" w:rsidR="00686EC7" w:rsidRPr="000C156A" w:rsidRDefault="00686EC7" w:rsidP="00141BAA">
            <w:pPr>
              <w:overflowPunct/>
              <w:autoSpaceDE/>
              <w:autoSpaceDN/>
              <w:adjustRightInd/>
              <w:spacing w:before="0"/>
              <w:jc w:val="center"/>
              <w:textAlignment w:val="auto"/>
              <w:rPr>
                <w:rFonts w:cs="Calibri"/>
                <w:b/>
                <w:bCs/>
                <w:sz w:val="22"/>
                <w:szCs w:val="22"/>
                <w:lang w:eastAsia="en-GB"/>
              </w:rPr>
            </w:pPr>
            <w:r w:rsidRPr="000C156A">
              <w:rPr>
                <w:rFonts w:asciiTheme="minorHAnsi" w:eastAsiaTheme="minorEastAsia" w:hAnsiTheme="minorHAnsi" w:cs="Calibri" w:hint="eastAsia"/>
                <w:b/>
                <w:bCs/>
                <w:sz w:val="22"/>
                <w:szCs w:val="22"/>
              </w:rPr>
              <w:t>运营实体</w:t>
            </w:r>
          </w:p>
        </w:tc>
        <w:tc>
          <w:tcPr>
            <w:tcW w:w="663" w:type="pct"/>
            <w:tcBorders>
              <w:top w:val="nil"/>
              <w:left w:val="nil"/>
              <w:bottom w:val="nil"/>
              <w:right w:val="single" w:sz="4" w:space="0" w:color="auto"/>
            </w:tcBorders>
            <w:shd w:val="clear" w:color="auto" w:fill="auto"/>
            <w:noWrap/>
            <w:vAlign w:val="bottom"/>
            <w:hideMark/>
          </w:tcPr>
          <w:p w14:paraId="7A048915" w14:textId="77777777" w:rsidR="00686EC7" w:rsidRPr="000C156A" w:rsidRDefault="00686EC7" w:rsidP="00141BAA">
            <w:pPr>
              <w:overflowPunct/>
              <w:autoSpaceDE/>
              <w:autoSpaceDN/>
              <w:adjustRightInd/>
              <w:spacing w:before="0"/>
              <w:jc w:val="center"/>
              <w:textAlignment w:val="auto"/>
              <w:rPr>
                <w:rFonts w:cs="Calibri"/>
                <w:b/>
                <w:bCs/>
                <w:sz w:val="22"/>
                <w:szCs w:val="22"/>
                <w:lang w:eastAsia="en-GB"/>
              </w:rPr>
            </w:pPr>
            <w:r w:rsidRPr="000C156A">
              <w:rPr>
                <w:rFonts w:asciiTheme="minorHAnsi" w:eastAsiaTheme="minorEastAsia" w:hAnsiTheme="minorHAnsi" w:cs="Calibri" w:hint="eastAsia"/>
                <w:b/>
                <w:bCs/>
                <w:sz w:val="22"/>
                <w:szCs w:val="22"/>
              </w:rPr>
              <w:t>年份</w:t>
            </w:r>
          </w:p>
        </w:tc>
        <w:tc>
          <w:tcPr>
            <w:tcW w:w="733" w:type="pct"/>
            <w:tcBorders>
              <w:top w:val="nil"/>
              <w:left w:val="nil"/>
              <w:bottom w:val="nil"/>
              <w:right w:val="single" w:sz="4" w:space="0" w:color="auto"/>
            </w:tcBorders>
            <w:shd w:val="clear" w:color="auto" w:fill="auto"/>
            <w:noWrap/>
            <w:vAlign w:val="bottom"/>
            <w:hideMark/>
          </w:tcPr>
          <w:p w14:paraId="1B0BE92F" w14:textId="77777777" w:rsidR="00686EC7" w:rsidRPr="000C156A" w:rsidRDefault="00686EC7" w:rsidP="00141BAA">
            <w:pPr>
              <w:overflowPunct/>
              <w:autoSpaceDE/>
              <w:autoSpaceDN/>
              <w:adjustRightInd/>
              <w:spacing w:before="0"/>
              <w:jc w:val="center"/>
              <w:textAlignment w:val="auto"/>
              <w:rPr>
                <w:rFonts w:cs="Calibri"/>
                <w:b/>
                <w:bCs/>
                <w:sz w:val="22"/>
                <w:szCs w:val="22"/>
                <w:lang w:eastAsia="en-GB"/>
              </w:rPr>
            </w:pPr>
            <w:r w:rsidRPr="000C156A">
              <w:rPr>
                <w:rFonts w:cs="Calibri" w:hint="eastAsia"/>
                <w:b/>
                <w:bCs/>
                <w:sz w:val="22"/>
                <w:szCs w:val="22"/>
                <w:lang w:eastAsia="en-GB"/>
              </w:rPr>
              <w:t>欠款额</w:t>
            </w:r>
          </w:p>
        </w:tc>
      </w:tr>
      <w:tr w:rsidR="00686EC7" w:rsidRPr="000C156A" w14:paraId="7010C68D" w14:textId="77777777" w:rsidTr="00A81917">
        <w:trPr>
          <w:trHeight w:val="300"/>
          <w:jc w:val="center"/>
        </w:trPr>
        <w:tc>
          <w:tcPr>
            <w:tcW w:w="1323" w:type="pct"/>
            <w:tcBorders>
              <w:top w:val="nil"/>
              <w:left w:val="single" w:sz="4" w:space="0" w:color="auto"/>
              <w:bottom w:val="single" w:sz="4" w:space="0" w:color="auto"/>
              <w:right w:val="single" w:sz="4" w:space="0" w:color="auto"/>
            </w:tcBorders>
            <w:shd w:val="clear" w:color="auto" w:fill="auto"/>
            <w:noWrap/>
            <w:vAlign w:val="bottom"/>
            <w:hideMark/>
          </w:tcPr>
          <w:p w14:paraId="426FF563"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 </w:t>
            </w:r>
          </w:p>
        </w:tc>
        <w:tc>
          <w:tcPr>
            <w:tcW w:w="2281" w:type="pct"/>
            <w:tcBorders>
              <w:top w:val="nil"/>
              <w:left w:val="nil"/>
              <w:bottom w:val="single" w:sz="4" w:space="0" w:color="auto"/>
              <w:right w:val="single" w:sz="4" w:space="0" w:color="auto"/>
            </w:tcBorders>
            <w:shd w:val="clear" w:color="auto" w:fill="auto"/>
            <w:noWrap/>
            <w:vAlign w:val="bottom"/>
            <w:hideMark/>
          </w:tcPr>
          <w:p w14:paraId="5C25BF30"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 </w:t>
            </w:r>
          </w:p>
        </w:tc>
        <w:tc>
          <w:tcPr>
            <w:tcW w:w="663" w:type="pct"/>
            <w:tcBorders>
              <w:top w:val="nil"/>
              <w:left w:val="nil"/>
              <w:bottom w:val="single" w:sz="4" w:space="0" w:color="auto"/>
              <w:right w:val="single" w:sz="4" w:space="0" w:color="auto"/>
            </w:tcBorders>
            <w:shd w:val="clear" w:color="auto" w:fill="auto"/>
            <w:noWrap/>
            <w:vAlign w:val="bottom"/>
            <w:hideMark/>
          </w:tcPr>
          <w:p w14:paraId="2F2487AE" w14:textId="77777777" w:rsidR="00686EC7" w:rsidRPr="000C156A" w:rsidRDefault="00686EC7" w:rsidP="00141BAA">
            <w:pPr>
              <w:overflowPunct/>
              <w:autoSpaceDE/>
              <w:autoSpaceDN/>
              <w:adjustRightInd/>
              <w:spacing w:before="0"/>
              <w:jc w:val="center"/>
              <w:textAlignment w:val="auto"/>
              <w:rPr>
                <w:rFonts w:cs="Calibri"/>
                <w:sz w:val="22"/>
                <w:szCs w:val="22"/>
                <w:lang w:eastAsia="en-GB"/>
              </w:rPr>
            </w:pPr>
          </w:p>
        </w:tc>
        <w:tc>
          <w:tcPr>
            <w:tcW w:w="733" w:type="pct"/>
            <w:tcBorders>
              <w:top w:val="nil"/>
              <w:left w:val="nil"/>
              <w:bottom w:val="single" w:sz="4" w:space="0" w:color="auto"/>
              <w:right w:val="single" w:sz="4" w:space="0" w:color="auto"/>
            </w:tcBorders>
            <w:shd w:val="clear" w:color="auto" w:fill="auto"/>
            <w:noWrap/>
            <w:vAlign w:val="bottom"/>
          </w:tcPr>
          <w:p w14:paraId="2775DFA0" w14:textId="77777777" w:rsidR="00686EC7" w:rsidRPr="000C156A" w:rsidRDefault="00686EC7" w:rsidP="00141BAA">
            <w:pPr>
              <w:overflowPunct/>
              <w:autoSpaceDE/>
              <w:autoSpaceDN/>
              <w:adjustRightInd/>
              <w:spacing w:before="0"/>
              <w:jc w:val="center"/>
              <w:textAlignment w:val="auto"/>
              <w:rPr>
                <w:rFonts w:cs="Calibri"/>
                <w:b/>
                <w:bCs/>
                <w:sz w:val="22"/>
                <w:szCs w:val="22"/>
                <w:lang w:eastAsia="en-GB"/>
              </w:rPr>
            </w:pPr>
            <w:r w:rsidRPr="000C156A">
              <w:rPr>
                <w:rFonts w:cs="Calibri" w:hint="eastAsia"/>
                <w:b/>
                <w:bCs/>
                <w:sz w:val="22"/>
                <w:szCs w:val="22"/>
                <w:lang w:eastAsia="zh-CN"/>
              </w:rPr>
              <w:t>（瑞郎）</w:t>
            </w:r>
          </w:p>
        </w:tc>
      </w:tr>
      <w:tr w:rsidR="00686EC7" w:rsidRPr="000C156A" w14:paraId="61836F5D" w14:textId="77777777" w:rsidTr="00A81917">
        <w:trPr>
          <w:trHeight w:val="300"/>
          <w:jc w:val="center"/>
        </w:trPr>
        <w:tc>
          <w:tcPr>
            <w:tcW w:w="1323" w:type="pct"/>
            <w:tcBorders>
              <w:top w:val="nil"/>
              <w:left w:val="single" w:sz="4" w:space="0" w:color="auto"/>
              <w:bottom w:val="nil"/>
              <w:right w:val="single" w:sz="4" w:space="0" w:color="auto"/>
            </w:tcBorders>
            <w:shd w:val="clear" w:color="auto" w:fill="auto"/>
            <w:noWrap/>
            <w:vAlign w:val="bottom"/>
            <w:hideMark/>
          </w:tcPr>
          <w:p w14:paraId="4E9E0FB9" w14:textId="77777777" w:rsidR="00686EC7" w:rsidRPr="000C156A" w:rsidRDefault="00686EC7" w:rsidP="00141BAA">
            <w:pPr>
              <w:overflowPunct/>
              <w:autoSpaceDE/>
              <w:autoSpaceDN/>
              <w:adjustRightInd/>
              <w:spacing w:before="0"/>
              <w:textAlignment w:val="auto"/>
              <w:rPr>
                <w:rFonts w:cs="Calibri"/>
                <w:b/>
                <w:bCs/>
                <w:sz w:val="22"/>
                <w:szCs w:val="22"/>
                <w:lang w:eastAsia="en-GB"/>
              </w:rPr>
            </w:pPr>
            <w:r w:rsidRPr="000C156A">
              <w:rPr>
                <w:rFonts w:asciiTheme="minorHAnsi" w:eastAsiaTheme="minorEastAsia" w:hAnsiTheme="minorHAnsi" w:hint="eastAsia"/>
                <w:b/>
                <w:bCs/>
                <w:sz w:val="22"/>
                <w:szCs w:val="22"/>
                <w:lang w:eastAsia="zh-CN"/>
              </w:rPr>
              <w:t>沙特阿拉伯</w:t>
            </w:r>
          </w:p>
        </w:tc>
        <w:tc>
          <w:tcPr>
            <w:tcW w:w="2281" w:type="pct"/>
            <w:tcBorders>
              <w:top w:val="nil"/>
              <w:left w:val="nil"/>
              <w:bottom w:val="nil"/>
              <w:right w:val="single" w:sz="4" w:space="0" w:color="auto"/>
            </w:tcBorders>
            <w:shd w:val="clear" w:color="auto" w:fill="auto"/>
            <w:noWrap/>
            <w:vAlign w:val="bottom"/>
            <w:hideMark/>
          </w:tcPr>
          <w:p w14:paraId="20CE19D4"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asciiTheme="minorHAnsi" w:eastAsiaTheme="minorEastAsia" w:hAnsiTheme="minorHAnsi" w:hint="eastAsia"/>
                <w:sz w:val="22"/>
                <w:szCs w:val="22"/>
                <w:lang w:eastAsia="zh-CN"/>
              </w:rPr>
              <w:t>沙特电信，利雅得</w:t>
            </w:r>
          </w:p>
        </w:tc>
        <w:tc>
          <w:tcPr>
            <w:tcW w:w="663" w:type="pct"/>
            <w:tcBorders>
              <w:top w:val="nil"/>
              <w:left w:val="nil"/>
              <w:bottom w:val="nil"/>
              <w:right w:val="single" w:sz="4" w:space="0" w:color="auto"/>
            </w:tcBorders>
            <w:shd w:val="clear" w:color="auto" w:fill="auto"/>
            <w:noWrap/>
            <w:hideMark/>
          </w:tcPr>
          <w:p w14:paraId="1DC1A9E4" w14:textId="77777777" w:rsidR="00686EC7" w:rsidRPr="000C156A" w:rsidRDefault="00686EC7" w:rsidP="00141BAA">
            <w:pPr>
              <w:overflowPunct/>
              <w:autoSpaceDE/>
              <w:autoSpaceDN/>
              <w:adjustRightInd/>
              <w:spacing w:before="0"/>
              <w:jc w:val="center"/>
              <w:textAlignment w:val="auto"/>
              <w:rPr>
                <w:rFonts w:cs="Calibri"/>
                <w:sz w:val="22"/>
                <w:szCs w:val="22"/>
                <w:lang w:eastAsia="en-GB"/>
              </w:rPr>
            </w:pPr>
            <w:r w:rsidRPr="000C156A">
              <w:rPr>
                <w:rFonts w:cs="Calibri"/>
                <w:sz w:val="22"/>
                <w:szCs w:val="22"/>
                <w:lang w:eastAsia="en-GB"/>
              </w:rPr>
              <w:t>2010</w:t>
            </w:r>
          </w:p>
        </w:tc>
        <w:tc>
          <w:tcPr>
            <w:tcW w:w="733" w:type="pct"/>
            <w:tcBorders>
              <w:top w:val="nil"/>
              <w:left w:val="nil"/>
              <w:bottom w:val="nil"/>
              <w:right w:val="single" w:sz="4" w:space="0" w:color="auto"/>
            </w:tcBorders>
            <w:shd w:val="clear" w:color="auto" w:fill="auto"/>
            <w:noWrap/>
            <w:hideMark/>
          </w:tcPr>
          <w:p w14:paraId="299F5B6F" w14:textId="4F8F7E15" w:rsidR="00686EC7" w:rsidRPr="000C156A" w:rsidRDefault="00686EC7" w:rsidP="00141BAA">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62</w:t>
            </w:r>
            <w:r w:rsidR="001A59E5" w:rsidRPr="000C156A">
              <w:rPr>
                <w:rFonts w:cs="Calibri"/>
                <w:sz w:val="22"/>
                <w:szCs w:val="22"/>
                <w:lang w:eastAsia="en-GB"/>
              </w:rPr>
              <w:t xml:space="preserve"> </w:t>
            </w:r>
            <w:r w:rsidRPr="000C156A">
              <w:rPr>
                <w:rFonts w:cs="Calibri"/>
                <w:sz w:val="22"/>
                <w:szCs w:val="22"/>
                <w:lang w:eastAsia="en-GB"/>
              </w:rPr>
              <w:t>560.00</w:t>
            </w:r>
          </w:p>
        </w:tc>
      </w:tr>
      <w:tr w:rsidR="00686EC7" w:rsidRPr="000C156A" w14:paraId="12AFAC9A" w14:textId="77777777" w:rsidTr="00A81917">
        <w:trPr>
          <w:trHeight w:val="300"/>
          <w:jc w:val="center"/>
        </w:trPr>
        <w:tc>
          <w:tcPr>
            <w:tcW w:w="1323" w:type="pct"/>
            <w:tcBorders>
              <w:top w:val="nil"/>
              <w:left w:val="single" w:sz="4" w:space="0" w:color="auto"/>
              <w:bottom w:val="nil"/>
              <w:right w:val="single" w:sz="4" w:space="0" w:color="auto"/>
            </w:tcBorders>
            <w:shd w:val="clear" w:color="auto" w:fill="auto"/>
            <w:noWrap/>
            <w:hideMark/>
          </w:tcPr>
          <w:p w14:paraId="0A542BEA" w14:textId="77777777" w:rsidR="00686EC7" w:rsidRPr="000C156A" w:rsidRDefault="00686EC7" w:rsidP="00141BAA">
            <w:pPr>
              <w:overflowPunct/>
              <w:autoSpaceDE/>
              <w:autoSpaceDN/>
              <w:adjustRightInd/>
              <w:spacing w:before="0"/>
              <w:textAlignment w:val="auto"/>
              <w:rPr>
                <w:rFonts w:cs="Calibri"/>
                <w:b/>
                <w:bCs/>
                <w:sz w:val="22"/>
                <w:szCs w:val="22"/>
                <w:lang w:eastAsia="en-GB"/>
              </w:rPr>
            </w:pPr>
            <w:r w:rsidRPr="000C156A">
              <w:rPr>
                <w:rFonts w:cs="Calibri"/>
                <w:b/>
                <w:bCs/>
                <w:sz w:val="22"/>
                <w:szCs w:val="22"/>
                <w:lang w:eastAsia="en-GB"/>
              </w:rPr>
              <w:t> </w:t>
            </w:r>
          </w:p>
        </w:tc>
        <w:tc>
          <w:tcPr>
            <w:tcW w:w="2281" w:type="pct"/>
            <w:tcBorders>
              <w:top w:val="nil"/>
              <w:left w:val="nil"/>
              <w:bottom w:val="nil"/>
              <w:right w:val="single" w:sz="4" w:space="0" w:color="auto"/>
            </w:tcBorders>
            <w:shd w:val="clear" w:color="auto" w:fill="auto"/>
            <w:noWrap/>
            <w:hideMark/>
          </w:tcPr>
          <w:p w14:paraId="5A255D6A"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 </w:t>
            </w:r>
          </w:p>
        </w:tc>
        <w:tc>
          <w:tcPr>
            <w:tcW w:w="663" w:type="pct"/>
            <w:tcBorders>
              <w:top w:val="nil"/>
              <w:left w:val="nil"/>
              <w:bottom w:val="nil"/>
              <w:right w:val="single" w:sz="4" w:space="0" w:color="auto"/>
            </w:tcBorders>
            <w:shd w:val="clear" w:color="auto" w:fill="auto"/>
            <w:noWrap/>
            <w:hideMark/>
          </w:tcPr>
          <w:p w14:paraId="667D8831" w14:textId="77777777" w:rsidR="00686EC7" w:rsidRPr="000C156A" w:rsidRDefault="00686EC7" w:rsidP="00141BAA">
            <w:pPr>
              <w:overflowPunct/>
              <w:autoSpaceDE/>
              <w:autoSpaceDN/>
              <w:adjustRightInd/>
              <w:spacing w:before="0"/>
              <w:jc w:val="center"/>
              <w:textAlignment w:val="auto"/>
              <w:rPr>
                <w:rFonts w:cs="Calibri"/>
                <w:sz w:val="22"/>
                <w:szCs w:val="22"/>
                <w:lang w:eastAsia="en-GB"/>
              </w:rPr>
            </w:pPr>
          </w:p>
        </w:tc>
        <w:tc>
          <w:tcPr>
            <w:tcW w:w="733" w:type="pct"/>
            <w:tcBorders>
              <w:top w:val="nil"/>
              <w:left w:val="nil"/>
              <w:bottom w:val="nil"/>
              <w:right w:val="single" w:sz="4" w:space="0" w:color="auto"/>
            </w:tcBorders>
            <w:shd w:val="clear" w:color="auto" w:fill="auto"/>
            <w:noWrap/>
            <w:hideMark/>
          </w:tcPr>
          <w:p w14:paraId="78DEB416"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 </w:t>
            </w:r>
          </w:p>
        </w:tc>
      </w:tr>
      <w:tr w:rsidR="00686EC7" w:rsidRPr="000C156A" w14:paraId="7366CACD" w14:textId="77777777" w:rsidTr="00A81917">
        <w:trPr>
          <w:trHeight w:val="300"/>
          <w:jc w:val="center"/>
        </w:trPr>
        <w:tc>
          <w:tcPr>
            <w:tcW w:w="1323" w:type="pct"/>
            <w:tcBorders>
              <w:top w:val="nil"/>
              <w:left w:val="single" w:sz="4" w:space="0" w:color="auto"/>
              <w:bottom w:val="single" w:sz="4" w:space="0" w:color="auto"/>
              <w:right w:val="single" w:sz="4" w:space="0" w:color="auto"/>
            </w:tcBorders>
            <w:shd w:val="clear" w:color="auto" w:fill="auto"/>
            <w:noWrap/>
            <w:vAlign w:val="bottom"/>
            <w:hideMark/>
          </w:tcPr>
          <w:p w14:paraId="787D461E" w14:textId="77777777" w:rsidR="00686EC7" w:rsidRPr="000C156A" w:rsidRDefault="00686EC7" w:rsidP="00141BAA">
            <w:pPr>
              <w:overflowPunct/>
              <w:autoSpaceDE/>
              <w:autoSpaceDN/>
              <w:adjustRightInd/>
              <w:spacing w:before="0"/>
              <w:textAlignment w:val="auto"/>
              <w:rPr>
                <w:rFonts w:cs="Calibri"/>
                <w:b/>
                <w:bCs/>
                <w:sz w:val="22"/>
                <w:szCs w:val="22"/>
                <w:lang w:eastAsia="zh-CN"/>
              </w:rPr>
            </w:pPr>
            <w:r w:rsidRPr="000C156A">
              <w:rPr>
                <w:rFonts w:cs="Calibri" w:hint="eastAsia"/>
                <w:b/>
                <w:bCs/>
                <w:sz w:val="22"/>
                <w:szCs w:val="22"/>
                <w:lang w:eastAsia="zh-CN"/>
              </w:rPr>
              <w:t>截至</w:t>
            </w:r>
            <w:r w:rsidRPr="000C156A">
              <w:rPr>
                <w:rFonts w:cs="Calibri"/>
                <w:b/>
                <w:bCs/>
                <w:sz w:val="22"/>
                <w:szCs w:val="22"/>
                <w:lang w:eastAsia="zh-CN"/>
              </w:rPr>
              <w:t>2020</w:t>
            </w:r>
            <w:r w:rsidRPr="000C156A">
              <w:rPr>
                <w:rFonts w:cs="Calibri" w:hint="eastAsia"/>
                <w:b/>
                <w:bCs/>
                <w:sz w:val="22"/>
                <w:szCs w:val="22"/>
                <w:lang w:eastAsia="zh-CN"/>
              </w:rPr>
              <w:t>年</w:t>
            </w:r>
            <w:r w:rsidRPr="000C156A">
              <w:rPr>
                <w:rFonts w:cs="Calibri"/>
                <w:b/>
                <w:bCs/>
                <w:sz w:val="22"/>
                <w:szCs w:val="22"/>
                <w:lang w:eastAsia="zh-CN"/>
              </w:rPr>
              <w:t>12</w:t>
            </w:r>
            <w:r w:rsidRPr="000C156A">
              <w:rPr>
                <w:rFonts w:cs="Calibri" w:hint="eastAsia"/>
                <w:b/>
                <w:bCs/>
                <w:sz w:val="22"/>
                <w:szCs w:val="22"/>
                <w:lang w:eastAsia="zh-CN"/>
              </w:rPr>
              <w:t>月</w:t>
            </w:r>
            <w:r w:rsidRPr="000C156A">
              <w:rPr>
                <w:rFonts w:cs="Calibri"/>
                <w:b/>
                <w:bCs/>
                <w:sz w:val="22"/>
                <w:szCs w:val="22"/>
                <w:lang w:eastAsia="zh-CN"/>
              </w:rPr>
              <w:t>31</w:t>
            </w:r>
            <w:r w:rsidRPr="000C156A">
              <w:rPr>
                <w:rFonts w:cs="Calibri" w:hint="eastAsia"/>
                <w:b/>
                <w:bCs/>
                <w:sz w:val="22"/>
                <w:szCs w:val="22"/>
                <w:lang w:eastAsia="zh-CN"/>
              </w:rPr>
              <w:t>日的欠款合计</w:t>
            </w:r>
          </w:p>
        </w:tc>
        <w:tc>
          <w:tcPr>
            <w:tcW w:w="2281" w:type="pct"/>
            <w:tcBorders>
              <w:top w:val="nil"/>
              <w:left w:val="nil"/>
              <w:bottom w:val="single" w:sz="4" w:space="0" w:color="auto"/>
              <w:right w:val="single" w:sz="4" w:space="0" w:color="auto"/>
            </w:tcBorders>
            <w:shd w:val="clear" w:color="auto" w:fill="auto"/>
            <w:noWrap/>
            <w:vAlign w:val="bottom"/>
            <w:hideMark/>
          </w:tcPr>
          <w:p w14:paraId="78F7D33F" w14:textId="77777777" w:rsidR="00686EC7" w:rsidRPr="000C156A" w:rsidRDefault="00686EC7" w:rsidP="00141BAA">
            <w:pPr>
              <w:overflowPunct/>
              <w:autoSpaceDE/>
              <w:autoSpaceDN/>
              <w:adjustRightInd/>
              <w:spacing w:before="0"/>
              <w:textAlignment w:val="auto"/>
              <w:rPr>
                <w:rFonts w:cs="Calibri"/>
                <w:sz w:val="22"/>
                <w:szCs w:val="22"/>
                <w:lang w:eastAsia="zh-CN"/>
              </w:rPr>
            </w:pPr>
            <w:r w:rsidRPr="000C156A">
              <w:rPr>
                <w:rFonts w:cs="Calibri"/>
                <w:sz w:val="22"/>
                <w:szCs w:val="22"/>
                <w:lang w:eastAsia="zh-CN"/>
              </w:rPr>
              <w:t> </w:t>
            </w:r>
          </w:p>
        </w:tc>
        <w:tc>
          <w:tcPr>
            <w:tcW w:w="663" w:type="pct"/>
            <w:tcBorders>
              <w:top w:val="nil"/>
              <w:left w:val="nil"/>
              <w:bottom w:val="single" w:sz="4" w:space="0" w:color="auto"/>
              <w:right w:val="single" w:sz="4" w:space="0" w:color="auto"/>
            </w:tcBorders>
            <w:shd w:val="clear" w:color="auto" w:fill="auto"/>
            <w:noWrap/>
            <w:vAlign w:val="bottom"/>
            <w:hideMark/>
          </w:tcPr>
          <w:p w14:paraId="56701CE2" w14:textId="77777777" w:rsidR="00686EC7" w:rsidRPr="000C156A" w:rsidRDefault="00686EC7" w:rsidP="00141BAA">
            <w:pPr>
              <w:overflowPunct/>
              <w:autoSpaceDE/>
              <w:autoSpaceDN/>
              <w:adjustRightInd/>
              <w:spacing w:before="0"/>
              <w:jc w:val="center"/>
              <w:textAlignment w:val="auto"/>
              <w:rPr>
                <w:rFonts w:cs="Calibri"/>
                <w:sz w:val="22"/>
                <w:szCs w:val="22"/>
                <w:lang w:eastAsia="zh-CN"/>
              </w:rPr>
            </w:pP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14:paraId="2610F3D4" w14:textId="7362E594" w:rsidR="00686EC7" w:rsidRPr="000C156A" w:rsidRDefault="00686EC7" w:rsidP="00141BAA">
            <w:pPr>
              <w:overflowPunct/>
              <w:autoSpaceDE/>
              <w:autoSpaceDN/>
              <w:adjustRightInd/>
              <w:spacing w:before="0"/>
              <w:jc w:val="right"/>
              <w:textAlignment w:val="auto"/>
              <w:rPr>
                <w:rFonts w:cs="Calibri"/>
                <w:b/>
                <w:bCs/>
                <w:sz w:val="22"/>
                <w:szCs w:val="22"/>
                <w:lang w:eastAsia="en-GB"/>
              </w:rPr>
            </w:pPr>
            <w:r w:rsidRPr="000C156A">
              <w:rPr>
                <w:rFonts w:cs="Calibri"/>
                <w:b/>
                <w:bCs/>
                <w:sz w:val="22"/>
                <w:szCs w:val="22"/>
                <w:lang w:eastAsia="en-GB"/>
              </w:rPr>
              <w:t>62</w:t>
            </w:r>
            <w:r w:rsidR="001A59E5" w:rsidRPr="000C156A">
              <w:rPr>
                <w:rFonts w:cs="Calibri"/>
                <w:b/>
                <w:bCs/>
                <w:sz w:val="22"/>
                <w:szCs w:val="22"/>
                <w:lang w:eastAsia="en-GB"/>
              </w:rPr>
              <w:t xml:space="preserve"> </w:t>
            </w:r>
            <w:r w:rsidRPr="000C156A">
              <w:rPr>
                <w:rFonts w:cs="Calibri"/>
                <w:b/>
                <w:bCs/>
                <w:sz w:val="22"/>
                <w:szCs w:val="22"/>
                <w:lang w:eastAsia="en-GB"/>
              </w:rPr>
              <w:t>560.00</w:t>
            </w:r>
          </w:p>
        </w:tc>
      </w:tr>
    </w:tbl>
    <w:p w14:paraId="497F22EB" w14:textId="77777777" w:rsidR="00686EC7" w:rsidRPr="000C156A" w:rsidRDefault="00686EC7" w:rsidP="00686EC7">
      <w:r w:rsidRPr="000C156A">
        <w:br w:type="page"/>
      </w:r>
    </w:p>
    <w:p w14:paraId="2D6B625F" w14:textId="77777777" w:rsidR="00686EC7" w:rsidRPr="000C156A" w:rsidRDefault="00686EC7" w:rsidP="004D1BDA">
      <w:pPr>
        <w:pStyle w:val="Tabletitle"/>
        <w:spacing w:before="120" w:after="240"/>
        <w:rPr>
          <w:rFonts w:cs="Microsoft YaHei"/>
          <w:sz w:val="28"/>
          <w:szCs w:val="28"/>
          <w:lang w:val="fr-FR" w:eastAsia="zh-CN"/>
        </w:rPr>
      </w:pPr>
      <w:r w:rsidRPr="000C156A">
        <w:rPr>
          <w:rFonts w:cs="Microsoft YaHei"/>
          <w:sz w:val="28"/>
          <w:szCs w:val="28"/>
          <w:lang w:val="fr-FR" w:eastAsia="zh-CN"/>
        </w:rPr>
        <w:lastRenderedPageBreak/>
        <w:t>国际通用免费电话号码（</w:t>
      </w:r>
      <w:r w:rsidRPr="000C156A">
        <w:rPr>
          <w:rFonts w:cs="Microsoft YaHei"/>
          <w:sz w:val="28"/>
          <w:szCs w:val="28"/>
          <w:lang w:val="fr-FR" w:eastAsia="zh-CN"/>
        </w:rPr>
        <w:t>UIFN</w:t>
      </w:r>
      <w:r w:rsidRPr="000C156A">
        <w:rPr>
          <w:rFonts w:cs="Microsoft YaHei"/>
          <w:sz w:val="28"/>
          <w:szCs w:val="28"/>
          <w:lang w:val="fr-FR" w:eastAsia="zh-CN"/>
        </w:rPr>
        <w:t>）</w:t>
      </w:r>
      <w:r w:rsidRPr="000C156A">
        <w:rPr>
          <w:rFonts w:cs="Microsoft YaHei" w:hint="eastAsia"/>
          <w:sz w:val="28"/>
          <w:szCs w:val="28"/>
          <w:lang w:val="fr-FR" w:eastAsia="zh-CN"/>
        </w:rPr>
        <w:t>欠款金额</w:t>
      </w:r>
    </w:p>
    <w:tbl>
      <w:tblPr>
        <w:tblW w:w="3721" w:type="pct"/>
        <w:tblLook w:val="04A0" w:firstRow="1" w:lastRow="0" w:firstColumn="1" w:lastColumn="0" w:noHBand="0" w:noVBand="1"/>
      </w:tblPr>
      <w:tblGrid>
        <w:gridCol w:w="2986"/>
        <w:gridCol w:w="4731"/>
        <w:gridCol w:w="663"/>
        <w:gridCol w:w="1106"/>
      </w:tblGrid>
      <w:tr w:rsidR="00686EC7" w:rsidRPr="000C156A" w14:paraId="055D8BBB" w14:textId="77777777" w:rsidTr="004D1BDA">
        <w:trPr>
          <w:trHeight w:val="585"/>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14:paraId="0427C92E" w14:textId="77777777" w:rsidR="00686EC7" w:rsidRPr="000C156A" w:rsidRDefault="00686EC7" w:rsidP="00141BAA">
            <w:pPr>
              <w:jc w:val="center"/>
              <w:rPr>
                <w:rFonts w:cs="Calibri"/>
                <w:b/>
                <w:bCs/>
                <w:sz w:val="22"/>
                <w:szCs w:val="22"/>
                <w:lang w:eastAsia="zh-CN"/>
              </w:rPr>
            </w:pPr>
            <w:r w:rsidRPr="000C156A">
              <w:rPr>
                <w:rFonts w:cs="Calibri" w:hint="eastAsia"/>
                <w:b/>
                <w:bCs/>
                <w:sz w:val="22"/>
                <w:szCs w:val="22"/>
                <w:lang w:eastAsia="zh-CN"/>
              </w:rPr>
              <w:t>与国际通用免费电话（</w:t>
            </w:r>
            <w:r w:rsidRPr="000C156A">
              <w:rPr>
                <w:rFonts w:cs="Calibri" w:hint="eastAsia"/>
                <w:b/>
                <w:bCs/>
                <w:sz w:val="22"/>
                <w:szCs w:val="22"/>
                <w:lang w:eastAsia="zh-CN"/>
              </w:rPr>
              <w:t>UIFN</w:t>
            </w:r>
            <w:r w:rsidRPr="000C156A">
              <w:rPr>
                <w:rFonts w:cs="Calibri" w:hint="eastAsia"/>
                <w:b/>
                <w:bCs/>
                <w:sz w:val="22"/>
                <w:szCs w:val="22"/>
                <w:lang w:eastAsia="zh-CN"/>
              </w:rPr>
              <w:t>）有关的应付金额</w:t>
            </w:r>
          </w:p>
        </w:tc>
      </w:tr>
      <w:tr w:rsidR="00686EC7" w:rsidRPr="000C156A" w14:paraId="3602EC3F" w14:textId="77777777" w:rsidTr="004D1BDA">
        <w:trPr>
          <w:trHeight w:val="585"/>
        </w:trPr>
        <w:tc>
          <w:tcPr>
            <w:tcW w:w="1551"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0C64A3D" w14:textId="77777777" w:rsidR="00686EC7" w:rsidRPr="000C156A" w:rsidRDefault="00686EC7" w:rsidP="00141BAA">
            <w:pPr>
              <w:overflowPunct/>
              <w:autoSpaceDE/>
              <w:autoSpaceDN/>
              <w:adjustRightInd/>
              <w:spacing w:before="0"/>
              <w:jc w:val="center"/>
              <w:textAlignment w:val="auto"/>
              <w:rPr>
                <w:rFonts w:cs="Calibri"/>
                <w:b/>
                <w:bCs/>
                <w:color w:val="000000"/>
                <w:sz w:val="22"/>
                <w:szCs w:val="22"/>
                <w:lang w:eastAsia="en-GB"/>
              </w:rPr>
            </w:pPr>
            <w:r w:rsidRPr="000C156A">
              <w:rPr>
                <w:rFonts w:asciiTheme="minorHAnsi" w:eastAsiaTheme="minorEastAsia" w:hAnsiTheme="minorHAnsi" w:cs="Calibri" w:hint="eastAsia"/>
                <w:b/>
                <w:bCs/>
                <w:sz w:val="22"/>
                <w:szCs w:val="22"/>
                <w:lang w:eastAsia="zh-CN"/>
              </w:rPr>
              <w:t>国家</w:t>
            </w:r>
          </w:p>
        </w:tc>
        <w:tc>
          <w:tcPr>
            <w:tcW w:w="2457" w:type="pct"/>
            <w:tcBorders>
              <w:top w:val="single" w:sz="4" w:space="0" w:color="auto"/>
              <w:left w:val="nil"/>
              <w:bottom w:val="single" w:sz="4" w:space="0" w:color="auto"/>
              <w:right w:val="single" w:sz="4" w:space="0" w:color="auto"/>
            </w:tcBorders>
            <w:shd w:val="clear" w:color="000000" w:fill="FFFFFF"/>
            <w:noWrap/>
            <w:vAlign w:val="bottom"/>
          </w:tcPr>
          <w:p w14:paraId="021B070A" w14:textId="77777777" w:rsidR="00686EC7" w:rsidRPr="000C156A" w:rsidRDefault="00686EC7" w:rsidP="00141BAA">
            <w:pPr>
              <w:overflowPunct/>
              <w:autoSpaceDE/>
              <w:autoSpaceDN/>
              <w:adjustRightInd/>
              <w:spacing w:before="0"/>
              <w:jc w:val="center"/>
              <w:textAlignment w:val="auto"/>
              <w:rPr>
                <w:rFonts w:cs="Calibri"/>
                <w:b/>
                <w:bCs/>
                <w:color w:val="000000"/>
                <w:sz w:val="22"/>
                <w:szCs w:val="22"/>
                <w:lang w:eastAsia="en-GB"/>
              </w:rPr>
            </w:pPr>
            <w:r w:rsidRPr="000C156A">
              <w:rPr>
                <w:rFonts w:asciiTheme="minorHAnsi" w:eastAsiaTheme="minorEastAsia" w:hAnsiTheme="minorHAnsi" w:cs="Calibri" w:hint="eastAsia"/>
                <w:b/>
                <w:bCs/>
                <w:sz w:val="22"/>
                <w:szCs w:val="22"/>
              </w:rPr>
              <w:t>运营实体</w:t>
            </w:r>
          </w:p>
        </w:tc>
        <w:tc>
          <w:tcPr>
            <w:tcW w:w="415" w:type="pct"/>
            <w:tcBorders>
              <w:top w:val="single" w:sz="4" w:space="0" w:color="auto"/>
              <w:left w:val="nil"/>
              <w:bottom w:val="single" w:sz="4" w:space="0" w:color="auto"/>
              <w:right w:val="single" w:sz="4" w:space="0" w:color="auto"/>
            </w:tcBorders>
            <w:shd w:val="clear" w:color="000000" w:fill="FFFFFF"/>
            <w:noWrap/>
            <w:vAlign w:val="bottom"/>
          </w:tcPr>
          <w:p w14:paraId="61E9CE4B" w14:textId="77777777" w:rsidR="00686EC7" w:rsidRPr="000C156A" w:rsidRDefault="00686EC7" w:rsidP="00141BAA">
            <w:pPr>
              <w:overflowPunct/>
              <w:autoSpaceDE/>
              <w:autoSpaceDN/>
              <w:adjustRightInd/>
              <w:spacing w:before="0"/>
              <w:jc w:val="center"/>
              <w:textAlignment w:val="auto"/>
              <w:rPr>
                <w:rFonts w:cs="Calibri"/>
                <w:b/>
                <w:bCs/>
                <w:color w:val="000000"/>
                <w:sz w:val="22"/>
                <w:szCs w:val="22"/>
                <w:lang w:eastAsia="en-GB"/>
              </w:rPr>
            </w:pPr>
            <w:r w:rsidRPr="000C156A">
              <w:rPr>
                <w:rFonts w:asciiTheme="minorHAnsi" w:eastAsiaTheme="minorEastAsia" w:hAnsiTheme="minorHAnsi" w:cs="Calibri" w:hint="eastAsia"/>
                <w:b/>
                <w:bCs/>
                <w:sz w:val="22"/>
                <w:szCs w:val="22"/>
              </w:rPr>
              <w:t>年份</w:t>
            </w:r>
          </w:p>
        </w:tc>
        <w:tc>
          <w:tcPr>
            <w:tcW w:w="578" w:type="pct"/>
            <w:tcBorders>
              <w:top w:val="single" w:sz="4" w:space="0" w:color="auto"/>
              <w:left w:val="nil"/>
              <w:bottom w:val="single" w:sz="4" w:space="0" w:color="auto"/>
              <w:right w:val="single" w:sz="4" w:space="0" w:color="auto"/>
            </w:tcBorders>
            <w:shd w:val="clear" w:color="000000" w:fill="FFFFFF"/>
            <w:vAlign w:val="bottom"/>
          </w:tcPr>
          <w:p w14:paraId="619BEDE9" w14:textId="77777777" w:rsidR="00686EC7" w:rsidRPr="000C156A" w:rsidRDefault="00686EC7" w:rsidP="00141BAA">
            <w:pPr>
              <w:overflowPunct/>
              <w:autoSpaceDE/>
              <w:autoSpaceDN/>
              <w:adjustRightInd/>
              <w:spacing w:before="0"/>
              <w:jc w:val="center"/>
              <w:textAlignment w:val="auto"/>
              <w:rPr>
                <w:rFonts w:cs="Calibri"/>
                <w:b/>
                <w:bCs/>
                <w:color w:val="000000"/>
                <w:sz w:val="22"/>
                <w:szCs w:val="22"/>
                <w:lang w:eastAsia="en-GB"/>
              </w:rPr>
            </w:pPr>
            <w:r w:rsidRPr="000C156A">
              <w:rPr>
                <w:rFonts w:cs="Calibri" w:hint="eastAsia"/>
                <w:b/>
                <w:bCs/>
                <w:sz w:val="22"/>
                <w:szCs w:val="22"/>
                <w:lang w:eastAsia="en-GB"/>
              </w:rPr>
              <w:t>欠款额</w:t>
            </w:r>
            <w:r w:rsidRPr="000C156A">
              <w:rPr>
                <w:rFonts w:cs="Calibri"/>
                <w:b/>
                <w:bCs/>
                <w:sz w:val="22"/>
                <w:szCs w:val="22"/>
                <w:lang w:eastAsia="en-GB"/>
              </w:rPr>
              <w:br/>
            </w:r>
            <w:r w:rsidRPr="000C156A">
              <w:rPr>
                <w:rFonts w:cs="Calibri" w:hint="eastAsia"/>
                <w:b/>
                <w:bCs/>
                <w:sz w:val="22"/>
                <w:szCs w:val="22"/>
                <w:lang w:eastAsia="zh-CN"/>
              </w:rPr>
              <w:t>（瑞郎）</w:t>
            </w:r>
          </w:p>
        </w:tc>
      </w:tr>
      <w:tr w:rsidR="00686EC7" w:rsidRPr="000C156A" w14:paraId="35A38D5F" w14:textId="77777777" w:rsidTr="004D1BDA">
        <w:trPr>
          <w:trHeight w:val="300"/>
        </w:trPr>
        <w:tc>
          <w:tcPr>
            <w:tcW w:w="1551" w:type="pct"/>
            <w:tcBorders>
              <w:top w:val="nil"/>
              <w:left w:val="single" w:sz="4" w:space="0" w:color="auto"/>
              <w:bottom w:val="nil"/>
              <w:right w:val="single" w:sz="4" w:space="0" w:color="auto"/>
            </w:tcBorders>
            <w:shd w:val="clear" w:color="000000" w:fill="FFFFFF"/>
          </w:tcPr>
          <w:p w14:paraId="292DF63E" w14:textId="77777777" w:rsidR="00686EC7" w:rsidRPr="000C156A" w:rsidRDefault="00686EC7" w:rsidP="00141BAA">
            <w:pPr>
              <w:overflowPunct/>
              <w:autoSpaceDE/>
              <w:autoSpaceDN/>
              <w:adjustRightInd/>
              <w:spacing w:before="0"/>
              <w:textAlignment w:val="auto"/>
              <w:rPr>
                <w:rFonts w:cs="Calibri"/>
                <w:sz w:val="22"/>
                <w:szCs w:val="22"/>
                <w:lang w:eastAsia="en-GB"/>
              </w:rPr>
            </w:pPr>
            <w:bookmarkStart w:id="1235" w:name="_Hlk40865362"/>
            <w:r w:rsidRPr="000C156A">
              <w:rPr>
                <w:sz w:val="22"/>
                <w:szCs w:val="22"/>
              </w:rPr>
              <w:t>巴西</w:t>
            </w:r>
          </w:p>
        </w:tc>
        <w:tc>
          <w:tcPr>
            <w:tcW w:w="2457" w:type="pct"/>
            <w:tcBorders>
              <w:top w:val="nil"/>
              <w:left w:val="nil"/>
              <w:bottom w:val="nil"/>
              <w:right w:val="single" w:sz="4" w:space="0" w:color="auto"/>
            </w:tcBorders>
            <w:shd w:val="clear" w:color="000000" w:fill="FFFFFF"/>
            <w:noWrap/>
          </w:tcPr>
          <w:p w14:paraId="634C7BB1" w14:textId="77777777" w:rsidR="00686EC7" w:rsidRPr="000C156A" w:rsidRDefault="00686EC7" w:rsidP="00141BAA">
            <w:pPr>
              <w:overflowPunct/>
              <w:autoSpaceDE/>
              <w:autoSpaceDN/>
              <w:adjustRightInd/>
              <w:spacing w:before="0"/>
              <w:textAlignment w:val="auto"/>
              <w:rPr>
                <w:sz w:val="22"/>
                <w:szCs w:val="22"/>
              </w:rPr>
            </w:pPr>
            <w:r w:rsidRPr="000C156A">
              <w:rPr>
                <w:sz w:val="22"/>
                <w:szCs w:val="22"/>
              </w:rPr>
              <w:t>Intelig Telecomunicações Ltda.</w:t>
            </w:r>
            <w:r w:rsidRPr="000C156A">
              <w:rPr>
                <w:rFonts w:hint="eastAsia"/>
                <w:sz w:val="22"/>
                <w:szCs w:val="22"/>
                <w:lang w:eastAsia="zh-CN"/>
              </w:rPr>
              <w:t>，里约</w:t>
            </w:r>
          </w:p>
        </w:tc>
        <w:tc>
          <w:tcPr>
            <w:tcW w:w="415" w:type="pct"/>
            <w:tcBorders>
              <w:top w:val="nil"/>
              <w:left w:val="nil"/>
              <w:bottom w:val="nil"/>
              <w:right w:val="single" w:sz="4" w:space="0" w:color="auto"/>
            </w:tcBorders>
            <w:shd w:val="clear" w:color="000000" w:fill="FFFFFF"/>
            <w:noWrap/>
            <w:hideMark/>
          </w:tcPr>
          <w:p w14:paraId="083226F9" w14:textId="77777777" w:rsidR="00686EC7" w:rsidRPr="000C156A" w:rsidRDefault="00686EC7" w:rsidP="00141BAA">
            <w:pPr>
              <w:overflowPunct/>
              <w:autoSpaceDE/>
              <w:autoSpaceDN/>
              <w:adjustRightInd/>
              <w:spacing w:before="0"/>
              <w:jc w:val="center"/>
              <w:textAlignment w:val="auto"/>
              <w:rPr>
                <w:sz w:val="22"/>
                <w:szCs w:val="22"/>
              </w:rPr>
            </w:pPr>
            <w:r w:rsidRPr="000C156A">
              <w:rPr>
                <w:sz w:val="22"/>
                <w:szCs w:val="22"/>
              </w:rPr>
              <w:t>2018</w:t>
            </w:r>
          </w:p>
        </w:tc>
        <w:tc>
          <w:tcPr>
            <w:tcW w:w="578" w:type="pct"/>
            <w:tcBorders>
              <w:top w:val="nil"/>
              <w:left w:val="nil"/>
              <w:bottom w:val="nil"/>
              <w:right w:val="single" w:sz="4" w:space="0" w:color="auto"/>
            </w:tcBorders>
            <w:shd w:val="clear" w:color="000000" w:fill="FFFFFF"/>
            <w:noWrap/>
            <w:hideMark/>
          </w:tcPr>
          <w:p w14:paraId="070DC0A1" w14:textId="77777777" w:rsidR="00686EC7" w:rsidRPr="000C156A" w:rsidRDefault="00686EC7" w:rsidP="00141BAA">
            <w:pPr>
              <w:overflowPunct/>
              <w:autoSpaceDE/>
              <w:autoSpaceDN/>
              <w:adjustRightInd/>
              <w:spacing w:before="0"/>
              <w:jc w:val="right"/>
              <w:textAlignment w:val="auto"/>
              <w:rPr>
                <w:sz w:val="22"/>
                <w:szCs w:val="22"/>
              </w:rPr>
            </w:pPr>
            <w:r w:rsidRPr="000C156A">
              <w:rPr>
                <w:sz w:val="22"/>
                <w:szCs w:val="22"/>
              </w:rPr>
              <w:t>100.00</w:t>
            </w:r>
          </w:p>
        </w:tc>
      </w:tr>
      <w:tr w:rsidR="00686EC7" w:rsidRPr="000C156A" w14:paraId="0C3054E9" w14:textId="77777777" w:rsidTr="004D1BDA">
        <w:trPr>
          <w:trHeight w:val="71"/>
        </w:trPr>
        <w:tc>
          <w:tcPr>
            <w:tcW w:w="1551" w:type="pct"/>
            <w:tcBorders>
              <w:top w:val="nil"/>
              <w:left w:val="single" w:sz="4" w:space="0" w:color="auto"/>
              <w:bottom w:val="nil"/>
              <w:right w:val="single" w:sz="4" w:space="0" w:color="auto"/>
            </w:tcBorders>
            <w:shd w:val="clear" w:color="000000" w:fill="FFFFFF"/>
          </w:tcPr>
          <w:p w14:paraId="5E7347C8" w14:textId="77777777" w:rsidR="00686EC7" w:rsidRPr="000C156A" w:rsidRDefault="00686EC7" w:rsidP="00141BAA">
            <w:pPr>
              <w:overflowPunct/>
              <w:autoSpaceDE/>
              <w:autoSpaceDN/>
              <w:adjustRightInd/>
              <w:spacing w:before="0"/>
              <w:textAlignment w:val="auto"/>
              <w:rPr>
                <w:sz w:val="22"/>
                <w:szCs w:val="22"/>
              </w:rPr>
            </w:pPr>
            <w:r w:rsidRPr="000C156A">
              <w:rPr>
                <w:rFonts w:hint="eastAsia"/>
                <w:sz w:val="22"/>
                <w:szCs w:val="22"/>
              </w:rPr>
              <w:t>中国</w:t>
            </w:r>
          </w:p>
        </w:tc>
        <w:tc>
          <w:tcPr>
            <w:tcW w:w="2457" w:type="pct"/>
            <w:tcBorders>
              <w:top w:val="nil"/>
              <w:left w:val="nil"/>
              <w:bottom w:val="nil"/>
              <w:right w:val="single" w:sz="4" w:space="0" w:color="auto"/>
            </w:tcBorders>
            <w:shd w:val="clear" w:color="000000" w:fill="FFFFFF"/>
            <w:noWrap/>
          </w:tcPr>
          <w:p w14:paraId="0795AE6F" w14:textId="77777777" w:rsidR="00686EC7" w:rsidRPr="008A1B23" w:rsidRDefault="00686EC7" w:rsidP="00141BAA">
            <w:pPr>
              <w:overflowPunct/>
              <w:autoSpaceDE/>
              <w:autoSpaceDN/>
              <w:adjustRightInd/>
              <w:spacing w:before="0"/>
              <w:textAlignment w:val="auto"/>
              <w:rPr>
                <w:sz w:val="22"/>
                <w:szCs w:val="22"/>
                <w:lang w:val="fr-FR"/>
              </w:rPr>
            </w:pPr>
            <w:r w:rsidRPr="008A1B23">
              <w:rPr>
                <w:sz w:val="22"/>
                <w:szCs w:val="22"/>
                <w:lang w:val="fr-FR"/>
              </w:rPr>
              <w:t>HKBN Enterprise Solutions</w:t>
            </w:r>
            <w:r w:rsidRPr="008A1B23">
              <w:rPr>
                <w:rFonts w:hint="eastAsia"/>
                <w:sz w:val="22"/>
                <w:szCs w:val="22"/>
                <w:lang w:val="fr-FR" w:eastAsia="zh-CN"/>
              </w:rPr>
              <w:t>，</w:t>
            </w:r>
            <w:r w:rsidRPr="000C156A">
              <w:rPr>
                <w:rFonts w:hint="eastAsia"/>
                <w:sz w:val="22"/>
                <w:szCs w:val="22"/>
                <w:lang w:eastAsia="zh-CN"/>
              </w:rPr>
              <w:t>香港</w:t>
            </w:r>
          </w:p>
        </w:tc>
        <w:tc>
          <w:tcPr>
            <w:tcW w:w="415" w:type="pct"/>
            <w:tcBorders>
              <w:top w:val="nil"/>
              <w:left w:val="nil"/>
              <w:bottom w:val="nil"/>
              <w:right w:val="single" w:sz="4" w:space="0" w:color="auto"/>
            </w:tcBorders>
            <w:shd w:val="clear" w:color="000000" w:fill="FFFFFF"/>
            <w:noWrap/>
          </w:tcPr>
          <w:p w14:paraId="14518595" w14:textId="77777777" w:rsidR="00686EC7" w:rsidRPr="000C156A" w:rsidRDefault="00686EC7" w:rsidP="00141BAA">
            <w:pPr>
              <w:overflowPunct/>
              <w:autoSpaceDE/>
              <w:autoSpaceDN/>
              <w:adjustRightInd/>
              <w:spacing w:before="0"/>
              <w:jc w:val="center"/>
              <w:textAlignment w:val="auto"/>
              <w:rPr>
                <w:sz w:val="22"/>
                <w:szCs w:val="22"/>
              </w:rPr>
            </w:pPr>
            <w:r w:rsidRPr="000C156A">
              <w:rPr>
                <w:sz w:val="22"/>
                <w:szCs w:val="22"/>
              </w:rPr>
              <w:t>2018</w:t>
            </w:r>
          </w:p>
        </w:tc>
        <w:tc>
          <w:tcPr>
            <w:tcW w:w="578" w:type="pct"/>
            <w:tcBorders>
              <w:top w:val="nil"/>
              <w:left w:val="nil"/>
              <w:bottom w:val="nil"/>
              <w:right w:val="single" w:sz="4" w:space="0" w:color="auto"/>
            </w:tcBorders>
            <w:shd w:val="clear" w:color="000000" w:fill="FFFFFF"/>
            <w:noWrap/>
          </w:tcPr>
          <w:p w14:paraId="167E73E2" w14:textId="77777777" w:rsidR="00686EC7" w:rsidRPr="000C156A" w:rsidRDefault="00686EC7" w:rsidP="00141BAA">
            <w:pPr>
              <w:overflowPunct/>
              <w:autoSpaceDE/>
              <w:autoSpaceDN/>
              <w:adjustRightInd/>
              <w:spacing w:before="0"/>
              <w:jc w:val="right"/>
              <w:textAlignment w:val="auto"/>
              <w:rPr>
                <w:sz w:val="22"/>
                <w:szCs w:val="22"/>
              </w:rPr>
            </w:pPr>
            <w:r w:rsidRPr="000C156A">
              <w:rPr>
                <w:sz w:val="22"/>
                <w:szCs w:val="22"/>
              </w:rPr>
              <w:t>400.00</w:t>
            </w:r>
          </w:p>
        </w:tc>
      </w:tr>
      <w:tr w:rsidR="00686EC7" w:rsidRPr="000C156A" w14:paraId="1432B77A" w14:textId="77777777" w:rsidTr="004D1BDA">
        <w:trPr>
          <w:trHeight w:val="300"/>
        </w:trPr>
        <w:tc>
          <w:tcPr>
            <w:tcW w:w="1551" w:type="pct"/>
            <w:tcBorders>
              <w:top w:val="nil"/>
              <w:left w:val="single" w:sz="4" w:space="0" w:color="auto"/>
              <w:bottom w:val="nil"/>
              <w:right w:val="single" w:sz="4" w:space="0" w:color="auto"/>
            </w:tcBorders>
            <w:shd w:val="clear" w:color="000000" w:fill="FFFFFF"/>
          </w:tcPr>
          <w:p w14:paraId="35361DC7"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sz w:val="22"/>
                <w:szCs w:val="22"/>
              </w:rPr>
              <w:t>哥伦比亚</w:t>
            </w:r>
          </w:p>
        </w:tc>
        <w:tc>
          <w:tcPr>
            <w:tcW w:w="2457" w:type="pct"/>
            <w:tcBorders>
              <w:top w:val="nil"/>
              <w:left w:val="nil"/>
              <w:bottom w:val="nil"/>
              <w:right w:val="single" w:sz="4" w:space="0" w:color="auto"/>
            </w:tcBorders>
            <w:shd w:val="clear" w:color="000000" w:fill="FFFFFF"/>
            <w:noWrap/>
          </w:tcPr>
          <w:p w14:paraId="7821186E" w14:textId="77777777" w:rsidR="00686EC7" w:rsidRPr="000C156A" w:rsidRDefault="00686EC7" w:rsidP="00141BAA">
            <w:pPr>
              <w:overflowPunct/>
              <w:autoSpaceDE/>
              <w:autoSpaceDN/>
              <w:adjustRightInd/>
              <w:spacing w:before="0"/>
              <w:textAlignment w:val="auto"/>
              <w:rPr>
                <w:sz w:val="22"/>
                <w:szCs w:val="22"/>
              </w:rPr>
            </w:pPr>
            <w:r w:rsidRPr="000C156A">
              <w:rPr>
                <w:sz w:val="22"/>
                <w:szCs w:val="22"/>
              </w:rPr>
              <w:t>Telefónica S.A.</w:t>
            </w:r>
            <w:r w:rsidRPr="000C156A">
              <w:rPr>
                <w:rFonts w:ascii="SimSun" w:hAnsi="SimSun"/>
                <w:sz w:val="22"/>
                <w:szCs w:val="22"/>
              </w:rPr>
              <w:t>，</w:t>
            </w:r>
            <w:r w:rsidRPr="000C156A">
              <w:rPr>
                <w:rFonts w:hint="eastAsia"/>
                <w:sz w:val="22"/>
                <w:szCs w:val="22"/>
                <w:lang w:eastAsia="zh-CN"/>
              </w:rPr>
              <w:t>波哥大</w:t>
            </w:r>
          </w:p>
        </w:tc>
        <w:tc>
          <w:tcPr>
            <w:tcW w:w="415" w:type="pct"/>
            <w:tcBorders>
              <w:top w:val="nil"/>
              <w:left w:val="nil"/>
              <w:bottom w:val="nil"/>
              <w:right w:val="single" w:sz="4" w:space="0" w:color="auto"/>
            </w:tcBorders>
            <w:shd w:val="clear" w:color="000000" w:fill="FFFFFF"/>
            <w:noWrap/>
            <w:hideMark/>
          </w:tcPr>
          <w:p w14:paraId="28B33C8F" w14:textId="77777777" w:rsidR="00686EC7" w:rsidRPr="000C156A" w:rsidRDefault="00686EC7" w:rsidP="00141BAA">
            <w:pPr>
              <w:overflowPunct/>
              <w:autoSpaceDE/>
              <w:autoSpaceDN/>
              <w:adjustRightInd/>
              <w:spacing w:before="0"/>
              <w:jc w:val="center"/>
              <w:textAlignment w:val="auto"/>
              <w:rPr>
                <w:sz w:val="22"/>
                <w:szCs w:val="22"/>
              </w:rPr>
            </w:pPr>
            <w:r w:rsidRPr="000C156A">
              <w:rPr>
                <w:sz w:val="22"/>
                <w:szCs w:val="22"/>
              </w:rPr>
              <w:t>2018</w:t>
            </w:r>
          </w:p>
        </w:tc>
        <w:tc>
          <w:tcPr>
            <w:tcW w:w="578" w:type="pct"/>
            <w:tcBorders>
              <w:top w:val="nil"/>
              <w:left w:val="nil"/>
              <w:bottom w:val="nil"/>
              <w:right w:val="single" w:sz="4" w:space="0" w:color="auto"/>
            </w:tcBorders>
            <w:shd w:val="clear" w:color="000000" w:fill="FFFFFF"/>
            <w:noWrap/>
            <w:hideMark/>
          </w:tcPr>
          <w:p w14:paraId="7F26F284" w14:textId="77777777" w:rsidR="00686EC7" w:rsidRPr="000C156A" w:rsidRDefault="00686EC7" w:rsidP="00141BAA">
            <w:pPr>
              <w:overflowPunct/>
              <w:autoSpaceDE/>
              <w:autoSpaceDN/>
              <w:adjustRightInd/>
              <w:spacing w:before="0"/>
              <w:jc w:val="right"/>
              <w:textAlignment w:val="auto"/>
              <w:rPr>
                <w:sz w:val="22"/>
                <w:szCs w:val="22"/>
              </w:rPr>
            </w:pPr>
            <w:r w:rsidRPr="000C156A">
              <w:rPr>
                <w:sz w:val="22"/>
                <w:szCs w:val="22"/>
              </w:rPr>
              <w:t>500.00</w:t>
            </w:r>
          </w:p>
        </w:tc>
      </w:tr>
      <w:tr w:rsidR="00686EC7" w:rsidRPr="000C156A" w14:paraId="087B54EB" w14:textId="77777777" w:rsidTr="004D1BDA">
        <w:trPr>
          <w:trHeight w:val="300"/>
        </w:trPr>
        <w:tc>
          <w:tcPr>
            <w:tcW w:w="1551" w:type="pct"/>
            <w:tcBorders>
              <w:top w:val="nil"/>
              <w:left w:val="single" w:sz="4" w:space="0" w:color="auto"/>
              <w:bottom w:val="nil"/>
              <w:right w:val="single" w:sz="4" w:space="0" w:color="auto"/>
            </w:tcBorders>
            <w:shd w:val="clear" w:color="000000" w:fill="FFFFFF"/>
          </w:tcPr>
          <w:p w14:paraId="78B5912B"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sz w:val="22"/>
                <w:szCs w:val="22"/>
              </w:rPr>
              <w:t>爱沙尼亚</w:t>
            </w:r>
          </w:p>
        </w:tc>
        <w:tc>
          <w:tcPr>
            <w:tcW w:w="2457" w:type="pct"/>
            <w:tcBorders>
              <w:top w:val="nil"/>
              <w:left w:val="nil"/>
              <w:bottom w:val="nil"/>
              <w:right w:val="single" w:sz="4" w:space="0" w:color="auto"/>
            </w:tcBorders>
            <w:shd w:val="clear" w:color="000000" w:fill="FFFFFF"/>
            <w:noWrap/>
          </w:tcPr>
          <w:p w14:paraId="688F1442" w14:textId="77777777" w:rsidR="00686EC7" w:rsidRPr="000C156A" w:rsidRDefault="00686EC7" w:rsidP="00141BAA">
            <w:pPr>
              <w:overflowPunct/>
              <w:autoSpaceDE/>
              <w:autoSpaceDN/>
              <w:adjustRightInd/>
              <w:spacing w:before="0"/>
              <w:textAlignment w:val="auto"/>
              <w:rPr>
                <w:sz w:val="22"/>
                <w:szCs w:val="22"/>
              </w:rPr>
            </w:pPr>
            <w:r w:rsidRPr="000C156A">
              <w:rPr>
                <w:sz w:val="22"/>
                <w:szCs w:val="22"/>
              </w:rPr>
              <w:t>Elion Ettevotted AS</w:t>
            </w:r>
            <w:r w:rsidRPr="000C156A">
              <w:rPr>
                <w:rFonts w:ascii="SimSun" w:hAnsi="SimSun"/>
                <w:sz w:val="22"/>
                <w:szCs w:val="22"/>
              </w:rPr>
              <w:t>，</w:t>
            </w:r>
            <w:r w:rsidRPr="000C156A">
              <w:rPr>
                <w:rFonts w:hint="eastAsia"/>
                <w:sz w:val="22"/>
                <w:szCs w:val="22"/>
                <w:lang w:eastAsia="zh-CN"/>
              </w:rPr>
              <w:t>塔林</w:t>
            </w:r>
          </w:p>
        </w:tc>
        <w:tc>
          <w:tcPr>
            <w:tcW w:w="415" w:type="pct"/>
            <w:tcBorders>
              <w:top w:val="nil"/>
              <w:left w:val="nil"/>
              <w:bottom w:val="nil"/>
              <w:right w:val="single" w:sz="4" w:space="0" w:color="auto"/>
            </w:tcBorders>
            <w:shd w:val="clear" w:color="000000" w:fill="FFFFFF"/>
            <w:noWrap/>
            <w:hideMark/>
          </w:tcPr>
          <w:p w14:paraId="540908B5" w14:textId="77777777" w:rsidR="00686EC7" w:rsidRPr="000C156A" w:rsidRDefault="00686EC7" w:rsidP="00141BAA">
            <w:pPr>
              <w:overflowPunct/>
              <w:autoSpaceDE/>
              <w:autoSpaceDN/>
              <w:adjustRightInd/>
              <w:spacing w:before="0"/>
              <w:jc w:val="center"/>
              <w:textAlignment w:val="auto"/>
              <w:rPr>
                <w:sz w:val="22"/>
                <w:szCs w:val="22"/>
              </w:rPr>
            </w:pPr>
            <w:r w:rsidRPr="000C156A">
              <w:rPr>
                <w:sz w:val="22"/>
                <w:szCs w:val="22"/>
              </w:rPr>
              <w:t>2018</w:t>
            </w:r>
          </w:p>
        </w:tc>
        <w:tc>
          <w:tcPr>
            <w:tcW w:w="578" w:type="pct"/>
            <w:tcBorders>
              <w:top w:val="nil"/>
              <w:left w:val="nil"/>
              <w:bottom w:val="nil"/>
              <w:right w:val="single" w:sz="4" w:space="0" w:color="auto"/>
            </w:tcBorders>
            <w:shd w:val="clear" w:color="000000" w:fill="FFFFFF"/>
            <w:noWrap/>
            <w:hideMark/>
          </w:tcPr>
          <w:p w14:paraId="799FF4B2" w14:textId="77777777" w:rsidR="00686EC7" w:rsidRPr="000C156A" w:rsidRDefault="00686EC7" w:rsidP="00141BAA">
            <w:pPr>
              <w:overflowPunct/>
              <w:autoSpaceDE/>
              <w:autoSpaceDN/>
              <w:adjustRightInd/>
              <w:spacing w:before="0"/>
              <w:jc w:val="right"/>
              <w:textAlignment w:val="auto"/>
              <w:rPr>
                <w:sz w:val="22"/>
                <w:szCs w:val="22"/>
              </w:rPr>
            </w:pPr>
            <w:r w:rsidRPr="000C156A">
              <w:rPr>
                <w:sz w:val="22"/>
                <w:szCs w:val="22"/>
              </w:rPr>
              <w:t>200.00</w:t>
            </w:r>
          </w:p>
        </w:tc>
      </w:tr>
      <w:tr w:rsidR="00686EC7" w:rsidRPr="000C156A" w14:paraId="6802AEB7" w14:textId="77777777" w:rsidTr="004D1BDA">
        <w:trPr>
          <w:trHeight w:val="300"/>
        </w:trPr>
        <w:tc>
          <w:tcPr>
            <w:tcW w:w="1551" w:type="pct"/>
            <w:tcBorders>
              <w:top w:val="nil"/>
              <w:left w:val="single" w:sz="4" w:space="0" w:color="auto"/>
              <w:bottom w:val="nil"/>
              <w:right w:val="single" w:sz="4" w:space="0" w:color="auto"/>
            </w:tcBorders>
            <w:shd w:val="clear" w:color="000000" w:fill="FFFFFF"/>
          </w:tcPr>
          <w:p w14:paraId="7E755F68"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sz w:val="22"/>
                <w:szCs w:val="22"/>
              </w:rPr>
              <w:t>法国</w:t>
            </w:r>
          </w:p>
        </w:tc>
        <w:tc>
          <w:tcPr>
            <w:tcW w:w="2457" w:type="pct"/>
            <w:tcBorders>
              <w:top w:val="nil"/>
              <w:left w:val="nil"/>
              <w:bottom w:val="nil"/>
              <w:right w:val="single" w:sz="4" w:space="0" w:color="auto"/>
            </w:tcBorders>
            <w:shd w:val="clear" w:color="000000" w:fill="FFFFFF"/>
            <w:noWrap/>
          </w:tcPr>
          <w:p w14:paraId="77DA2724" w14:textId="77777777" w:rsidR="00686EC7" w:rsidRPr="000C156A" w:rsidRDefault="00686EC7" w:rsidP="00141BAA">
            <w:pPr>
              <w:overflowPunct/>
              <w:autoSpaceDE/>
              <w:autoSpaceDN/>
              <w:adjustRightInd/>
              <w:spacing w:before="0"/>
              <w:textAlignment w:val="auto"/>
              <w:rPr>
                <w:sz w:val="22"/>
                <w:szCs w:val="22"/>
                <w:lang w:eastAsia="zh-CN"/>
              </w:rPr>
            </w:pPr>
            <w:r w:rsidRPr="000C156A">
              <w:rPr>
                <w:sz w:val="22"/>
                <w:szCs w:val="22"/>
              </w:rPr>
              <w:t>Altice</w:t>
            </w:r>
            <w:r w:rsidRPr="000C156A">
              <w:rPr>
                <w:rFonts w:hint="eastAsia"/>
                <w:sz w:val="22"/>
                <w:szCs w:val="22"/>
                <w:lang w:eastAsia="zh-CN"/>
              </w:rPr>
              <w:t>法国</w:t>
            </w:r>
            <w:r w:rsidRPr="000C156A">
              <w:rPr>
                <w:rFonts w:ascii="SimSun" w:hAnsi="SimSun" w:hint="eastAsia"/>
                <w:sz w:val="22"/>
                <w:szCs w:val="22"/>
                <w:lang w:eastAsia="zh-CN"/>
              </w:rPr>
              <w:t>，</w:t>
            </w:r>
            <w:r w:rsidRPr="000C156A">
              <w:rPr>
                <w:rFonts w:hint="eastAsia"/>
                <w:sz w:val="22"/>
                <w:szCs w:val="22"/>
                <w:lang w:eastAsia="zh-CN"/>
              </w:rPr>
              <w:t>巴黎</w:t>
            </w:r>
          </w:p>
        </w:tc>
        <w:tc>
          <w:tcPr>
            <w:tcW w:w="415" w:type="pct"/>
            <w:tcBorders>
              <w:top w:val="nil"/>
              <w:left w:val="nil"/>
              <w:bottom w:val="nil"/>
              <w:right w:val="single" w:sz="4" w:space="0" w:color="auto"/>
            </w:tcBorders>
            <w:shd w:val="clear" w:color="000000" w:fill="FFFFFF"/>
            <w:noWrap/>
            <w:hideMark/>
          </w:tcPr>
          <w:p w14:paraId="071C94C8" w14:textId="77777777" w:rsidR="00686EC7" w:rsidRPr="000C156A" w:rsidRDefault="00686EC7" w:rsidP="00141BAA">
            <w:pPr>
              <w:overflowPunct/>
              <w:autoSpaceDE/>
              <w:autoSpaceDN/>
              <w:adjustRightInd/>
              <w:spacing w:before="0"/>
              <w:jc w:val="center"/>
              <w:textAlignment w:val="auto"/>
              <w:rPr>
                <w:sz w:val="22"/>
                <w:szCs w:val="22"/>
              </w:rPr>
            </w:pPr>
            <w:r w:rsidRPr="000C156A">
              <w:rPr>
                <w:sz w:val="22"/>
                <w:szCs w:val="22"/>
              </w:rPr>
              <w:t>2018</w:t>
            </w:r>
          </w:p>
        </w:tc>
        <w:tc>
          <w:tcPr>
            <w:tcW w:w="578" w:type="pct"/>
            <w:tcBorders>
              <w:top w:val="nil"/>
              <w:left w:val="nil"/>
              <w:bottom w:val="nil"/>
              <w:right w:val="single" w:sz="4" w:space="0" w:color="auto"/>
            </w:tcBorders>
            <w:shd w:val="clear" w:color="000000" w:fill="FFFFFF"/>
            <w:noWrap/>
            <w:hideMark/>
          </w:tcPr>
          <w:p w14:paraId="6E846424" w14:textId="77777777" w:rsidR="00686EC7" w:rsidRPr="000C156A" w:rsidRDefault="00686EC7" w:rsidP="00141BAA">
            <w:pPr>
              <w:overflowPunct/>
              <w:autoSpaceDE/>
              <w:autoSpaceDN/>
              <w:adjustRightInd/>
              <w:spacing w:before="0"/>
              <w:jc w:val="right"/>
              <w:textAlignment w:val="auto"/>
              <w:rPr>
                <w:sz w:val="22"/>
                <w:szCs w:val="22"/>
              </w:rPr>
            </w:pPr>
            <w:r w:rsidRPr="000C156A">
              <w:rPr>
                <w:sz w:val="22"/>
                <w:szCs w:val="22"/>
              </w:rPr>
              <w:t>200.00</w:t>
            </w:r>
          </w:p>
        </w:tc>
      </w:tr>
      <w:tr w:rsidR="00686EC7" w:rsidRPr="000C156A" w14:paraId="0BD13198" w14:textId="77777777" w:rsidTr="004D1BDA">
        <w:trPr>
          <w:trHeight w:val="300"/>
        </w:trPr>
        <w:tc>
          <w:tcPr>
            <w:tcW w:w="1551" w:type="pct"/>
            <w:tcBorders>
              <w:top w:val="nil"/>
              <w:left w:val="single" w:sz="4" w:space="0" w:color="auto"/>
              <w:bottom w:val="nil"/>
              <w:right w:val="single" w:sz="4" w:space="0" w:color="auto"/>
            </w:tcBorders>
            <w:shd w:val="clear" w:color="000000" w:fill="FFFFFF"/>
          </w:tcPr>
          <w:p w14:paraId="49F58336"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sz w:val="22"/>
                <w:szCs w:val="22"/>
              </w:rPr>
              <w:t>德国</w:t>
            </w:r>
          </w:p>
        </w:tc>
        <w:tc>
          <w:tcPr>
            <w:tcW w:w="2457" w:type="pct"/>
            <w:tcBorders>
              <w:top w:val="nil"/>
              <w:left w:val="nil"/>
              <w:bottom w:val="nil"/>
              <w:right w:val="single" w:sz="4" w:space="0" w:color="auto"/>
            </w:tcBorders>
            <w:shd w:val="clear" w:color="000000" w:fill="FFFFFF"/>
            <w:noWrap/>
          </w:tcPr>
          <w:p w14:paraId="6AB79B90" w14:textId="77777777" w:rsidR="00686EC7" w:rsidRPr="000C156A" w:rsidRDefault="00686EC7" w:rsidP="00141BAA">
            <w:pPr>
              <w:overflowPunct/>
              <w:autoSpaceDE/>
              <w:autoSpaceDN/>
              <w:adjustRightInd/>
              <w:spacing w:before="0"/>
              <w:textAlignment w:val="auto"/>
              <w:rPr>
                <w:sz w:val="22"/>
                <w:szCs w:val="22"/>
              </w:rPr>
            </w:pPr>
            <w:r w:rsidRPr="000C156A">
              <w:rPr>
                <w:sz w:val="22"/>
                <w:szCs w:val="22"/>
              </w:rPr>
              <w:t>Telepassport Service GMBH</w:t>
            </w:r>
            <w:r w:rsidRPr="000C156A">
              <w:rPr>
                <w:rFonts w:ascii="SimSun" w:hAnsi="SimSun"/>
                <w:sz w:val="22"/>
                <w:szCs w:val="22"/>
              </w:rPr>
              <w:t>，</w:t>
            </w:r>
            <w:r w:rsidRPr="000C156A">
              <w:rPr>
                <w:sz w:val="22"/>
                <w:szCs w:val="22"/>
              </w:rPr>
              <w:t>Buedelsdorf</w:t>
            </w:r>
          </w:p>
        </w:tc>
        <w:tc>
          <w:tcPr>
            <w:tcW w:w="415" w:type="pct"/>
            <w:tcBorders>
              <w:top w:val="nil"/>
              <w:left w:val="nil"/>
              <w:bottom w:val="nil"/>
              <w:right w:val="single" w:sz="4" w:space="0" w:color="auto"/>
            </w:tcBorders>
            <w:shd w:val="clear" w:color="000000" w:fill="FFFFFF"/>
            <w:noWrap/>
            <w:hideMark/>
          </w:tcPr>
          <w:p w14:paraId="20D7C133" w14:textId="77777777" w:rsidR="00686EC7" w:rsidRPr="000C156A" w:rsidRDefault="00686EC7" w:rsidP="00141BAA">
            <w:pPr>
              <w:overflowPunct/>
              <w:autoSpaceDE/>
              <w:autoSpaceDN/>
              <w:adjustRightInd/>
              <w:spacing w:before="0"/>
              <w:jc w:val="center"/>
              <w:textAlignment w:val="auto"/>
              <w:rPr>
                <w:sz w:val="22"/>
                <w:szCs w:val="22"/>
              </w:rPr>
            </w:pPr>
            <w:r w:rsidRPr="000C156A">
              <w:rPr>
                <w:sz w:val="22"/>
                <w:szCs w:val="22"/>
              </w:rPr>
              <w:t>2018</w:t>
            </w:r>
          </w:p>
        </w:tc>
        <w:tc>
          <w:tcPr>
            <w:tcW w:w="578" w:type="pct"/>
            <w:tcBorders>
              <w:top w:val="nil"/>
              <w:left w:val="nil"/>
              <w:bottom w:val="nil"/>
              <w:right w:val="single" w:sz="4" w:space="0" w:color="auto"/>
            </w:tcBorders>
            <w:shd w:val="clear" w:color="000000" w:fill="FFFFFF"/>
            <w:noWrap/>
            <w:hideMark/>
          </w:tcPr>
          <w:p w14:paraId="101B8BDC" w14:textId="77777777" w:rsidR="00686EC7" w:rsidRPr="000C156A" w:rsidRDefault="00686EC7" w:rsidP="00141BAA">
            <w:pPr>
              <w:overflowPunct/>
              <w:autoSpaceDE/>
              <w:autoSpaceDN/>
              <w:adjustRightInd/>
              <w:spacing w:before="0"/>
              <w:jc w:val="right"/>
              <w:textAlignment w:val="auto"/>
              <w:rPr>
                <w:sz w:val="22"/>
                <w:szCs w:val="22"/>
              </w:rPr>
            </w:pPr>
            <w:r w:rsidRPr="000C156A">
              <w:rPr>
                <w:sz w:val="22"/>
                <w:szCs w:val="22"/>
              </w:rPr>
              <w:t>100.00</w:t>
            </w:r>
          </w:p>
        </w:tc>
      </w:tr>
      <w:tr w:rsidR="00686EC7" w:rsidRPr="000C156A" w14:paraId="35169E58" w14:textId="77777777" w:rsidTr="004D1BDA">
        <w:trPr>
          <w:trHeight w:val="300"/>
        </w:trPr>
        <w:tc>
          <w:tcPr>
            <w:tcW w:w="1551" w:type="pct"/>
            <w:tcBorders>
              <w:top w:val="nil"/>
              <w:left w:val="single" w:sz="4" w:space="0" w:color="auto"/>
              <w:bottom w:val="nil"/>
              <w:right w:val="single" w:sz="4" w:space="0" w:color="auto"/>
            </w:tcBorders>
            <w:shd w:val="clear" w:color="000000" w:fill="FFFFFF"/>
          </w:tcPr>
          <w:p w14:paraId="7368504F" w14:textId="77777777" w:rsidR="00686EC7" w:rsidRPr="000C156A" w:rsidRDefault="00686EC7" w:rsidP="00141BAA">
            <w:pPr>
              <w:overflowPunct/>
              <w:autoSpaceDE/>
              <w:autoSpaceDN/>
              <w:adjustRightInd/>
              <w:spacing w:before="0"/>
              <w:textAlignment w:val="auto"/>
              <w:rPr>
                <w:sz w:val="22"/>
                <w:szCs w:val="22"/>
              </w:rPr>
            </w:pPr>
            <w:r w:rsidRPr="000C156A">
              <w:rPr>
                <w:sz w:val="22"/>
                <w:szCs w:val="22"/>
              </w:rPr>
              <w:t>希腊</w:t>
            </w:r>
          </w:p>
        </w:tc>
        <w:tc>
          <w:tcPr>
            <w:tcW w:w="2457" w:type="pct"/>
            <w:tcBorders>
              <w:top w:val="nil"/>
              <w:left w:val="nil"/>
              <w:bottom w:val="nil"/>
              <w:right w:val="single" w:sz="4" w:space="0" w:color="auto"/>
            </w:tcBorders>
            <w:shd w:val="clear" w:color="000000" w:fill="FFFFFF"/>
            <w:noWrap/>
          </w:tcPr>
          <w:p w14:paraId="03DDDA78" w14:textId="77777777" w:rsidR="00686EC7" w:rsidRPr="000C156A" w:rsidRDefault="00686EC7" w:rsidP="00141BAA">
            <w:pPr>
              <w:overflowPunct/>
              <w:autoSpaceDE/>
              <w:autoSpaceDN/>
              <w:adjustRightInd/>
              <w:spacing w:before="0"/>
              <w:textAlignment w:val="auto"/>
              <w:rPr>
                <w:sz w:val="22"/>
                <w:szCs w:val="22"/>
              </w:rPr>
            </w:pPr>
            <w:r w:rsidRPr="000C156A">
              <w:rPr>
                <w:sz w:val="22"/>
                <w:szCs w:val="22"/>
              </w:rPr>
              <w:t>OTEGLOBE S.A.</w:t>
            </w:r>
            <w:r w:rsidRPr="000C156A">
              <w:rPr>
                <w:rFonts w:ascii="SimSun" w:hAnsi="SimSun"/>
                <w:sz w:val="22"/>
                <w:szCs w:val="22"/>
              </w:rPr>
              <w:t>，</w:t>
            </w:r>
            <w:r w:rsidRPr="000C156A">
              <w:rPr>
                <w:rFonts w:hint="eastAsia"/>
                <w:sz w:val="22"/>
                <w:szCs w:val="22"/>
              </w:rPr>
              <w:t>马鲁西</w:t>
            </w:r>
          </w:p>
        </w:tc>
        <w:tc>
          <w:tcPr>
            <w:tcW w:w="415" w:type="pct"/>
            <w:tcBorders>
              <w:top w:val="nil"/>
              <w:left w:val="nil"/>
              <w:bottom w:val="nil"/>
              <w:right w:val="single" w:sz="4" w:space="0" w:color="auto"/>
            </w:tcBorders>
            <w:shd w:val="clear" w:color="000000" w:fill="FFFFFF"/>
            <w:noWrap/>
          </w:tcPr>
          <w:p w14:paraId="7112D321" w14:textId="77777777" w:rsidR="00686EC7" w:rsidRPr="000C156A" w:rsidRDefault="00686EC7" w:rsidP="00141BAA">
            <w:pPr>
              <w:overflowPunct/>
              <w:autoSpaceDE/>
              <w:autoSpaceDN/>
              <w:adjustRightInd/>
              <w:spacing w:before="0"/>
              <w:jc w:val="center"/>
              <w:textAlignment w:val="auto"/>
              <w:rPr>
                <w:sz w:val="22"/>
                <w:szCs w:val="22"/>
              </w:rPr>
            </w:pPr>
            <w:r w:rsidRPr="000C156A">
              <w:rPr>
                <w:sz w:val="22"/>
                <w:szCs w:val="22"/>
              </w:rPr>
              <w:t>2019</w:t>
            </w:r>
          </w:p>
        </w:tc>
        <w:tc>
          <w:tcPr>
            <w:tcW w:w="578" w:type="pct"/>
            <w:tcBorders>
              <w:top w:val="nil"/>
              <w:left w:val="nil"/>
              <w:bottom w:val="nil"/>
              <w:right w:val="single" w:sz="4" w:space="0" w:color="auto"/>
            </w:tcBorders>
            <w:shd w:val="clear" w:color="000000" w:fill="FFFFFF"/>
            <w:noWrap/>
          </w:tcPr>
          <w:p w14:paraId="7A3A9943" w14:textId="77777777" w:rsidR="00686EC7" w:rsidRPr="000C156A" w:rsidRDefault="00686EC7" w:rsidP="00141BAA">
            <w:pPr>
              <w:overflowPunct/>
              <w:autoSpaceDE/>
              <w:autoSpaceDN/>
              <w:adjustRightInd/>
              <w:spacing w:before="0"/>
              <w:jc w:val="right"/>
              <w:textAlignment w:val="auto"/>
              <w:rPr>
                <w:sz w:val="22"/>
                <w:szCs w:val="22"/>
              </w:rPr>
            </w:pPr>
            <w:r w:rsidRPr="000C156A">
              <w:rPr>
                <w:sz w:val="22"/>
                <w:szCs w:val="22"/>
              </w:rPr>
              <w:t>400.00</w:t>
            </w:r>
          </w:p>
        </w:tc>
      </w:tr>
      <w:tr w:rsidR="00686EC7" w:rsidRPr="000C156A" w14:paraId="5C2E658E" w14:textId="77777777" w:rsidTr="004D1BDA">
        <w:trPr>
          <w:trHeight w:val="300"/>
        </w:trPr>
        <w:tc>
          <w:tcPr>
            <w:tcW w:w="1551" w:type="pct"/>
            <w:tcBorders>
              <w:top w:val="nil"/>
              <w:left w:val="single" w:sz="4" w:space="0" w:color="auto"/>
              <w:bottom w:val="nil"/>
              <w:right w:val="single" w:sz="4" w:space="0" w:color="auto"/>
            </w:tcBorders>
            <w:shd w:val="clear" w:color="000000" w:fill="FFFFFF"/>
          </w:tcPr>
          <w:p w14:paraId="3FC56B50"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sz w:val="22"/>
                <w:szCs w:val="22"/>
              </w:rPr>
              <w:t>洪都拉斯</w:t>
            </w:r>
          </w:p>
        </w:tc>
        <w:tc>
          <w:tcPr>
            <w:tcW w:w="2457" w:type="pct"/>
            <w:tcBorders>
              <w:top w:val="nil"/>
              <w:left w:val="nil"/>
              <w:bottom w:val="nil"/>
              <w:right w:val="single" w:sz="4" w:space="0" w:color="auto"/>
            </w:tcBorders>
            <w:shd w:val="clear" w:color="000000" w:fill="FFFFFF"/>
            <w:noWrap/>
          </w:tcPr>
          <w:p w14:paraId="13B2B1A2" w14:textId="77777777" w:rsidR="00686EC7" w:rsidRPr="000C156A" w:rsidRDefault="00686EC7" w:rsidP="00141BAA">
            <w:pPr>
              <w:overflowPunct/>
              <w:autoSpaceDE/>
              <w:autoSpaceDN/>
              <w:adjustRightInd/>
              <w:spacing w:before="0"/>
              <w:textAlignment w:val="auto"/>
              <w:rPr>
                <w:sz w:val="22"/>
                <w:szCs w:val="22"/>
              </w:rPr>
            </w:pPr>
            <w:r w:rsidRPr="000C156A">
              <w:rPr>
                <w:sz w:val="22"/>
                <w:szCs w:val="22"/>
              </w:rPr>
              <w:t>Empresa Hondureña de Telecom.</w:t>
            </w:r>
            <w:r w:rsidRPr="000C156A">
              <w:rPr>
                <w:rFonts w:ascii="SimSun" w:hAnsi="SimSun"/>
                <w:sz w:val="22"/>
                <w:szCs w:val="22"/>
              </w:rPr>
              <w:t>，</w:t>
            </w:r>
            <w:r w:rsidRPr="000C156A">
              <w:rPr>
                <w:rFonts w:hint="eastAsia"/>
                <w:sz w:val="22"/>
                <w:szCs w:val="22"/>
              </w:rPr>
              <w:t>特古西加尔巴</w:t>
            </w:r>
          </w:p>
        </w:tc>
        <w:tc>
          <w:tcPr>
            <w:tcW w:w="415" w:type="pct"/>
            <w:tcBorders>
              <w:top w:val="nil"/>
              <w:left w:val="nil"/>
              <w:bottom w:val="nil"/>
              <w:right w:val="single" w:sz="4" w:space="0" w:color="auto"/>
            </w:tcBorders>
            <w:shd w:val="clear" w:color="000000" w:fill="FFFFFF"/>
            <w:noWrap/>
            <w:hideMark/>
          </w:tcPr>
          <w:p w14:paraId="495557F6" w14:textId="77777777" w:rsidR="00686EC7" w:rsidRPr="000C156A" w:rsidRDefault="00686EC7" w:rsidP="00141BAA">
            <w:pPr>
              <w:overflowPunct/>
              <w:autoSpaceDE/>
              <w:autoSpaceDN/>
              <w:adjustRightInd/>
              <w:spacing w:before="0"/>
              <w:jc w:val="center"/>
              <w:textAlignment w:val="auto"/>
              <w:rPr>
                <w:sz w:val="22"/>
                <w:szCs w:val="22"/>
              </w:rPr>
            </w:pPr>
            <w:r w:rsidRPr="000C156A">
              <w:rPr>
                <w:sz w:val="22"/>
                <w:szCs w:val="22"/>
              </w:rPr>
              <w:t>2018</w:t>
            </w:r>
          </w:p>
        </w:tc>
        <w:tc>
          <w:tcPr>
            <w:tcW w:w="578" w:type="pct"/>
            <w:tcBorders>
              <w:top w:val="nil"/>
              <w:left w:val="nil"/>
              <w:bottom w:val="nil"/>
              <w:right w:val="single" w:sz="4" w:space="0" w:color="auto"/>
            </w:tcBorders>
            <w:shd w:val="clear" w:color="000000" w:fill="FFFFFF"/>
            <w:noWrap/>
            <w:hideMark/>
          </w:tcPr>
          <w:p w14:paraId="6A1C567A" w14:textId="77777777" w:rsidR="00686EC7" w:rsidRPr="000C156A" w:rsidRDefault="00686EC7" w:rsidP="00141BAA">
            <w:pPr>
              <w:overflowPunct/>
              <w:autoSpaceDE/>
              <w:autoSpaceDN/>
              <w:adjustRightInd/>
              <w:spacing w:before="0"/>
              <w:jc w:val="right"/>
              <w:textAlignment w:val="auto"/>
              <w:rPr>
                <w:sz w:val="22"/>
                <w:szCs w:val="22"/>
              </w:rPr>
            </w:pPr>
            <w:r w:rsidRPr="000C156A">
              <w:rPr>
                <w:sz w:val="22"/>
                <w:szCs w:val="22"/>
              </w:rPr>
              <w:t>100.00</w:t>
            </w:r>
          </w:p>
        </w:tc>
      </w:tr>
      <w:tr w:rsidR="00686EC7" w:rsidRPr="000C156A" w14:paraId="52D06931" w14:textId="77777777" w:rsidTr="004D1BDA">
        <w:trPr>
          <w:trHeight w:val="300"/>
        </w:trPr>
        <w:tc>
          <w:tcPr>
            <w:tcW w:w="1551" w:type="pct"/>
            <w:tcBorders>
              <w:top w:val="nil"/>
              <w:left w:val="single" w:sz="4" w:space="0" w:color="auto"/>
              <w:bottom w:val="nil"/>
              <w:right w:val="single" w:sz="4" w:space="0" w:color="auto"/>
            </w:tcBorders>
            <w:shd w:val="clear" w:color="000000" w:fill="FFFFFF"/>
          </w:tcPr>
          <w:p w14:paraId="7AFACD40" w14:textId="77777777" w:rsidR="00686EC7" w:rsidRPr="000C156A" w:rsidRDefault="00686EC7" w:rsidP="00141BAA">
            <w:pPr>
              <w:overflowPunct/>
              <w:autoSpaceDE/>
              <w:autoSpaceDN/>
              <w:adjustRightInd/>
              <w:spacing w:before="0"/>
              <w:textAlignment w:val="auto"/>
              <w:rPr>
                <w:rFonts w:cs="Calibri"/>
                <w:sz w:val="22"/>
                <w:szCs w:val="22"/>
                <w:lang w:eastAsia="zh-CN"/>
              </w:rPr>
            </w:pPr>
            <w:r w:rsidRPr="000C156A">
              <w:rPr>
                <w:sz w:val="22"/>
                <w:szCs w:val="22"/>
                <w:lang w:eastAsia="zh-CN"/>
              </w:rPr>
              <w:t>爱尔兰</w:t>
            </w:r>
          </w:p>
        </w:tc>
        <w:tc>
          <w:tcPr>
            <w:tcW w:w="2457" w:type="pct"/>
            <w:tcBorders>
              <w:top w:val="nil"/>
              <w:left w:val="nil"/>
              <w:bottom w:val="nil"/>
              <w:right w:val="single" w:sz="4" w:space="0" w:color="auto"/>
            </w:tcBorders>
            <w:shd w:val="clear" w:color="000000" w:fill="FFFFFF"/>
            <w:noWrap/>
          </w:tcPr>
          <w:p w14:paraId="02A11A32" w14:textId="77777777" w:rsidR="00686EC7" w:rsidRPr="000C156A" w:rsidRDefault="00686EC7" w:rsidP="00141BAA">
            <w:pPr>
              <w:overflowPunct/>
              <w:autoSpaceDE/>
              <w:autoSpaceDN/>
              <w:adjustRightInd/>
              <w:spacing w:before="0"/>
              <w:textAlignment w:val="auto"/>
              <w:rPr>
                <w:sz w:val="22"/>
                <w:szCs w:val="22"/>
              </w:rPr>
            </w:pPr>
            <w:r w:rsidRPr="000C156A">
              <w:rPr>
                <w:sz w:val="22"/>
                <w:szCs w:val="22"/>
              </w:rPr>
              <w:t>Eircom Limited</w:t>
            </w:r>
            <w:r w:rsidRPr="000C156A">
              <w:rPr>
                <w:rFonts w:ascii="SimSun" w:hAnsi="SimSun"/>
                <w:sz w:val="22"/>
                <w:szCs w:val="22"/>
              </w:rPr>
              <w:t>，</w:t>
            </w:r>
            <w:r w:rsidRPr="000C156A">
              <w:rPr>
                <w:rFonts w:hint="eastAsia"/>
                <w:sz w:val="22"/>
                <w:szCs w:val="22"/>
                <w:lang w:eastAsia="zh-CN"/>
              </w:rPr>
              <w:t>都柏林</w:t>
            </w:r>
          </w:p>
        </w:tc>
        <w:tc>
          <w:tcPr>
            <w:tcW w:w="415" w:type="pct"/>
            <w:tcBorders>
              <w:top w:val="nil"/>
              <w:left w:val="nil"/>
              <w:bottom w:val="nil"/>
              <w:right w:val="single" w:sz="4" w:space="0" w:color="auto"/>
            </w:tcBorders>
            <w:shd w:val="clear" w:color="000000" w:fill="FFFFFF"/>
            <w:noWrap/>
            <w:hideMark/>
          </w:tcPr>
          <w:p w14:paraId="7976B312" w14:textId="77777777" w:rsidR="00686EC7" w:rsidRPr="000C156A" w:rsidRDefault="00686EC7" w:rsidP="00141BAA">
            <w:pPr>
              <w:overflowPunct/>
              <w:autoSpaceDE/>
              <w:autoSpaceDN/>
              <w:adjustRightInd/>
              <w:spacing w:before="0"/>
              <w:jc w:val="center"/>
              <w:textAlignment w:val="auto"/>
              <w:rPr>
                <w:sz w:val="22"/>
                <w:szCs w:val="22"/>
              </w:rPr>
            </w:pPr>
            <w:r w:rsidRPr="000C156A">
              <w:rPr>
                <w:sz w:val="22"/>
                <w:szCs w:val="22"/>
              </w:rPr>
              <w:t>2019</w:t>
            </w:r>
          </w:p>
        </w:tc>
        <w:tc>
          <w:tcPr>
            <w:tcW w:w="578" w:type="pct"/>
            <w:tcBorders>
              <w:top w:val="nil"/>
              <w:left w:val="nil"/>
              <w:bottom w:val="nil"/>
              <w:right w:val="single" w:sz="4" w:space="0" w:color="auto"/>
            </w:tcBorders>
            <w:shd w:val="clear" w:color="000000" w:fill="FFFFFF"/>
            <w:noWrap/>
            <w:hideMark/>
          </w:tcPr>
          <w:p w14:paraId="59C0C19C" w14:textId="262112CC" w:rsidR="00686EC7" w:rsidRPr="000C156A" w:rsidRDefault="00686EC7" w:rsidP="00141BAA">
            <w:pPr>
              <w:overflowPunct/>
              <w:autoSpaceDE/>
              <w:autoSpaceDN/>
              <w:adjustRightInd/>
              <w:spacing w:before="0"/>
              <w:jc w:val="right"/>
              <w:textAlignment w:val="auto"/>
              <w:rPr>
                <w:sz w:val="22"/>
                <w:szCs w:val="22"/>
              </w:rPr>
            </w:pPr>
            <w:r w:rsidRPr="000C156A">
              <w:rPr>
                <w:sz w:val="22"/>
                <w:szCs w:val="22"/>
              </w:rPr>
              <w:t>55</w:t>
            </w:r>
            <w:r w:rsidR="001A59E5" w:rsidRPr="000C156A">
              <w:rPr>
                <w:sz w:val="22"/>
                <w:szCs w:val="22"/>
              </w:rPr>
              <w:t xml:space="preserve"> </w:t>
            </w:r>
            <w:r w:rsidRPr="000C156A">
              <w:rPr>
                <w:sz w:val="22"/>
                <w:szCs w:val="22"/>
              </w:rPr>
              <w:t>800.00</w:t>
            </w:r>
          </w:p>
        </w:tc>
      </w:tr>
      <w:tr w:rsidR="00686EC7" w:rsidRPr="000C156A" w14:paraId="04D0DB35" w14:textId="77777777" w:rsidTr="004D1BDA">
        <w:trPr>
          <w:trHeight w:val="300"/>
        </w:trPr>
        <w:tc>
          <w:tcPr>
            <w:tcW w:w="1551" w:type="pct"/>
            <w:tcBorders>
              <w:top w:val="nil"/>
              <w:left w:val="single" w:sz="4" w:space="0" w:color="auto"/>
              <w:bottom w:val="nil"/>
              <w:right w:val="single" w:sz="4" w:space="0" w:color="auto"/>
            </w:tcBorders>
            <w:shd w:val="clear" w:color="000000" w:fill="FFFFFF"/>
          </w:tcPr>
          <w:p w14:paraId="20606FBE"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sz w:val="22"/>
                <w:szCs w:val="22"/>
              </w:rPr>
              <w:t>以色列</w:t>
            </w:r>
          </w:p>
        </w:tc>
        <w:tc>
          <w:tcPr>
            <w:tcW w:w="2457" w:type="pct"/>
            <w:tcBorders>
              <w:top w:val="nil"/>
              <w:left w:val="nil"/>
              <w:bottom w:val="nil"/>
              <w:right w:val="single" w:sz="4" w:space="0" w:color="auto"/>
            </w:tcBorders>
            <w:shd w:val="clear" w:color="000000" w:fill="FFFFFF"/>
            <w:noWrap/>
          </w:tcPr>
          <w:p w14:paraId="2EAB97ED" w14:textId="77777777" w:rsidR="00686EC7" w:rsidRPr="000C156A" w:rsidRDefault="00686EC7" w:rsidP="00141BAA">
            <w:pPr>
              <w:overflowPunct/>
              <w:autoSpaceDE/>
              <w:autoSpaceDN/>
              <w:adjustRightInd/>
              <w:spacing w:before="0"/>
              <w:textAlignment w:val="auto"/>
              <w:rPr>
                <w:sz w:val="22"/>
                <w:szCs w:val="22"/>
              </w:rPr>
            </w:pPr>
            <w:r w:rsidRPr="000C156A">
              <w:rPr>
                <w:sz w:val="22"/>
                <w:szCs w:val="22"/>
              </w:rPr>
              <w:t>Bezeq International Ltd.</w:t>
            </w:r>
            <w:r w:rsidRPr="000C156A">
              <w:rPr>
                <w:rFonts w:ascii="SimSun" w:hAnsi="SimSun"/>
                <w:sz w:val="22"/>
                <w:szCs w:val="22"/>
              </w:rPr>
              <w:t>，</w:t>
            </w:r>
            <w:r w:rsidRPr="000C156A">
              <w:rPr>
                <w:sz w:val="22"/>
                <w:szCs w:val="22"/>
              </w:rPr>
              <w:t>Petach-Tikva</w:t>
            </w:r>
          </w:p>
        </w:tc>
        <w:tc>
          <w:tcPr>
            <w:tcW w:w="415" w:type="pct"/>
            <w:tcBorders>
              <w:top w:val="nil"/>
              <w:left w:val="nil"/>
              <w:bottom w:val="nil"/>
              <w:right w:val="single" w:sz="4" w:space="0" w:color="auto"/>
            </w:tcBorders>
            <w:shd w:val="clear" w:color="000000" w:fill="FFFFFF"/>
            <w:noWrap/>
            <w:hideMark/>
          </w:tcPr>
          <w:p w14:paraId="07F03904" w14:textId="77777777" w:rsidR="00686EC7" w:rsidRPr="000C156A" w:rsidRDefault="00686EC7" w:rsidP="00141BAA">
            <w:pPr>
              <w:overflowPunct/>
              <w:autoSpaceDE/>
              <w:autoSpaceDN/>
              <w:adjustRightInd/>
              <w:spacing w:before="0"/>
              <w:jc w:val="center"/>
              <w:textAlignment w:val="auto"/>
              <w:rPr>
                <w:sz w:val="22"/>
                <w:szCs w:val="22"/>
              </w:rPr>
            </w:pPr>
            <w:r w:rsidRPr="000C156A">
              <w:rPr>
                <w:sz w:val="22"/>
                <w:szCs w:val="22"/>
              </w:rPr>
              <w:t>2018</w:t>
            </w:r>
          </w:p>
        </w:tc>
        <w:tc>
          <w:tcPr>
            <w:tcW w:w="578" w:type="pct"/>
            <w:tcBorders>
              <w:top w:val="nil"/>
              <w:left w:val="nil"/>
              <w:bottom w:val="nil"/>
              <w:right w:val="single" w:sz="4" w:space="0" w:color="auto"/>
            </w:tcBorders>
            <w:shd w:val="clear" w:color="000000" w:fill="FFFFFF"/>
            <w:noWrap/>
            <w:hideMark/>
          </w:tcPr>
          <w:p w14:paraId="25C800BB" w14:textId="130BF592" w:rsidR="00686EC7" w:rsidRPr="000C156A" w:rsidRDefault="00686EC7" w:rsidP="00141BAA">
            <w:pPr>
              <w:overflowPunct/>
              <w:autoSpaceDE/>
              <w:autoSpaceDN/>
              <w:adjustRightInd/>
              <w:spacing w:before="0"/>
              <w:jc w:val="right"/>
              <w:textAlignment w:val="auto"/>
              <w:rPr>
                <w:sz w:val="22"/>
                <w:szCs w:val="22"/>
              </w:rPr>
            </w:pPr>
            <w:r w:rsidRPr="000C156A">
              <w:rPr>
                <w:sz w:val="22"/>
                <w:szCs w:val="22"/>
              </w:rPr>
              <w:t>11</w:t>
            </w:r>
            <w:r w:rsidR="001A59E5" w:rsidRPr="000C156A">
              <w:rPr>
                <w:sz w:val="22"/>
                <w:szCs w:val="22"/>
              </w:rPr>
              <w:t xml:space="preserve"> </w:t>
            </w:r>
            <w:r w:rsidRPr="000C156A">
              <w:rPr>
                <w:sz w:val="22"/>
                <w:szCs w:val="22"/>
              </w:rPr>
              <w:t>200.00</w:t>
            </w:r>
          </w:p>
        </w:tc>
      </w:tr>
      <w:tr w:rsidR="00686EC7" w:rsidRPr="000C156A" w14:paraId="55469604" w14:textId="77777777" w:rsidTr="004D1BDA">
        <w:trPr>
          <w:trHeight w:val="300"/>
        </w:trPr>
        <w:tc>
          <w:tcPr>
            <w:tcW w:w="1551" w:type="pct"/>
            <w:tcBorders>
              <w:top w:val="nil"/>
              <w:left w:val="single" w:sz="4" w:space="0" w:color="auto"/>
              <w:bottom w:val="nil"/>
              <w:right w:val="single" w:sz="4" w:space="0" w:color="auto"/>
            </w:tcBorders>
            <w:shd w:val="clear" w:color="000000" w:fill="FFFFFF"/>
          </w:tcPr>
          <w:p w14:paraId="5B76287D"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sz w:val="22"/>
                <w:szCs w:val="22"/>
              </w:rPr>
              <w:t>意大利</w:t>
            </w:r>
          </w:p>
        </w:tc>
        <w:tc>
          <w:tcPr>
            <w:tcW w:w="2457" w:type="pct"/>
            <w:tcBorders>
              <w:top w:val="nil"/>
              <w:left w:val="nil"/>
              <w:bottom w:val="nil"/>
              <w:right w:val="single" w:sz="4" w:space="0" w:color="auto"/>
            </w:tcBorders>
            <w:shd w:val="clear" w:color="000000" w:fill="FFFFFF"/>
            <w:noWrap/>
          </w:tcPr>
          <w:p w14:paraId="5EFC3201" w14:textId="77777777" w:rsidR="00686EC7" w:rsidRPr="000C156A" w:rsidRDefault="00686EC7" w:rsidP="00141BAA">
            <w:pPr>
              <w:overflowPunct/>
              <w:autoSpaceDE/>
              <w:autoSpaceDN/>
              <w:adjustRightInd/>
              <w:spacing w:before="0"/>
              <w:textAlignment w:val="auto"/>
              <w:rPr>
                <w:sz w:val="22"/>
                <w:szCs w:val="22"/>
              </w:rPr>
            </w:pPr>
            <w:r w:rsidRPr="000C156A">
              <w:rPr>
                <w:sz w:val="22"/>
                <w:szCs w:val="22"/>
              </w:rPr>
              <w:t>Eutelia S.p.A.</w:t>
            </w:r>
            <w:r w:rsidRPr="000C156A">
              <w:rPr>
                <w:rFonts w:ascii="SimSun" w:hAnsi="SimSun"/>
                <w:sz w:val="22"/>
                <w:szCs w:val="22"/>
              </w:rPr>
              <w:t>，</w:t>
            </w:r>
            <w:r w:rsidRPr="000C156A">
              <w:rPr>
                <w:sz w:val="22"/>
                <w:szCs w:val="22"/>
              </w:rPr>
              <w:t>Arezzo</w:t>
            </w:r>
          </w:p>
        </w:tc>
        <w:tc>
          <w:tcPr>
            <w:tcW w:w="415" w:type="pct"/>
            <w:tcBorders>
              <w:top w:val="nil"/>
              <w:left w:val="nil"/>
              <w:bottom w:val="nil"/>
              <w:right w:val="single" w:sz="4" w:space="0" w:color="auto"/>
            </w:tcBorders>
            <w:shd w:val="clear" w:color="000000" w:fill="FFFFFF"/>
            <w:noWrap/>
            <w:hideMark/>
          </w:tcPr>
          <w:p w14:paraId="0C172E1A" w14:textId="77777777" w:rsidR="00686EC7" w:rsidRPr="000C156A" w:rsidRDefault="00686EC7" w:rsidP="00141BAA">
            <w:pPr>
              <w:overflowPunct/>
              <w:autoSpaceDE/>
              <w:autoSpaceDN/>
              <w:adjustRightInd/>
              <w:spacing w:before="0"/>
              <w:jc w:val="center"/>
              <w:textAlignment w:val="auto"/>
              <w:rPr>
                <w:sz w:val="22"/>
                <w:szCs w:val="22"/>
              </w:rPr>
            </w:pPr>
            <w:r w:rsidRPr="000C156A">
              <w:rPr>
                <w:sz w:val="22"/>
                <w:szCs w:val="22"/>
              </w:rPr>
              <w:t>2018</w:t>
            </w:r>
          </w:p>
        </w:tc>
        <w:tc>
          <w:tcPr>
            <w:tcW w:w="578" w:type="pct"/>
            <w:tcBorders>
              <w:top w:val="nil"/>
              <w:left w:val="nil"/>
              <w:bottom w:val="nil"/>
              <w:right w:val="single" w:sz="4" w:space="0" w:color="auto"/>
            </w:tcBorders>
            <w:shd w:val="clear" w:color="000000" w:fill="FFFFFF"/>
            <w:noWrap/>
            <w:hideMark/>
          </w:tcPr>
          <w:p w14:paraId="705057D6" w14:textId="57E8CCE0" w:rsidR="00686EC7" w:rsidRPr="000C156A" w:rsidRDefault="00686EC7" w:rsidP="00141BAA">
            <w:pPr>
              <w:overflowPunct/>
              <w:autoSpaceDE/>
              <w:autoSpaceDN/>
              <w:adjustRightInd/>
              <w:spacing w:before="0"/>
              <w:jc w:val="right"/>
              <w:textAlignment w:val="auto"/>
              <w:rPr>
                <w:sz w:val="22"/>
                <w:szCs w:val="22"/>
              </w:rPr>
            </w:pPr>
            <w:r w:rsidRPr="000C156A">
              <w:rPr>
                <w:sz w:val="22"/>
                <w:szCs w:val="22"/>
              </w:rPr>
              <w:t>1</w:t>
            </w:r>
            <w:r w:rsidR="001A59E5" w:rsidRPr="000C156A">
              <w:rPr>
                <w:sz w:val="22"/>
                <w:szCs w:val="22"/>
              </w:rPr>
              <w:t xml:space="preserve"> </w:t>
            </w:r>
            <w:r w:rsidRPr="000C156A">
              <w:rPr>
                <w:sz w:val="22"/>
                <w:szCs w:val="22"/>
              </w:rPr>
              <w:t>000.00</w:t>
            </w:r>
          </w:p>
        </w:tc>
      </w:tr>
      <w:tr w:rsidR="00686EC7" w:rsidRPr="000C156A" w14:paraId="31ACA70B" w14:textId="77777777" w:rsidTr="004D1BDA">
        <w:trPr>
          <w:trHeight w:val="300"/>
        </w:trPr>
        <w:tc>
          <w:tcPr>
            <w:tcW w:w="1551" w:type="pct"/>
            <w:tcBorders>
              <w:top w:val="nil"/>
              <w:left w:val="single" w:sz="4" w:space="0" w:color="auto"/>
              <w:bottom w:val="nil"/>
              <w:right w:val="single" w:sz="4" w:space="0" w:color="auto"/>
            </w:tcBorders>
            <w:shd w:val="clear" w:color="000000" w:fill="FFFFFF"/>
          </w:tcPr>
          <w:p w14:paraId="0FF5F93D"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sz w:val="22"/>
                <w:szCs w:val="22"/>
              </w:rPr>
              <w:t>拉脱维亚</w:t>
            </w:r>
          </w:p>
        </w:tc>
        <w:tc>
          <w:tcPr>
            <w:tcW w:w="2457" w:type="pct"/>
            <w:tcBorders>
              <w:top w:val="nil"/>
              <w:left w:val="nil"/>
              <w:bottom w:val="nil"/>
              <w:right w:val="single" w:sz="4" w:space="0" w:color="auto"/>
            </w:tcBorders>
            <w:shd w:val="clear" w:color="000000" w:fill="FFFFFF"/>
            <w:noWrap/>
          </w:tcPr>
          <w:p w14:paraId="6A674E35" w14:textId="77777777" w:rsidR="00686EC7" w:rsidRPr="000C156A" w:rsidRDefault="00686EC7" w:rsidP="00141BAA">
            <w:pPr>
              <w:overflowPunct/>
              <w:autoSpaceDE/>
              <w:autoSpaceDN/>
              <w:adjustRightInd/>
              <w:spacing w:before="0"/>
              <w:textAlignment w:val="auto"/>
              <w:rPr>
                <w:sz w:val="22"/>
                <w:szCs w:val="22"/>
              </w:rPr>
            </w:pPr>
            <w:r w:rsidRPr="000C156A">
              <w:rPr>
                <w:sz w:val="22"/>
                <w:szCs w:val="22"/>
              </w:rPr>
              <w:t>SIA LATTELEKOM</w:t>
            </w:r>
            <w:r w:rsidRPr="000C156A">
              <w:rPr>
                <w:rFonts w:ascii="SimSun" w:hAnsi="SimSun"/>
                <w:sz w:val="22"/>
                <w:szCs w:val="22"/>
              </w:rPr>
              <w:t>，</w:t>
            </w:r>
            <w:r w:rsidRPr="000C156A">
              <w:rPr>
                <w:sz w:val="22"/>
                <w:szCs w:val="22"/>
              </w:rPr>
              <w:t>Riga</w:t>
            </w:r>
          </w:p>
        </w:tc>
        <w:tc>
          <w:tcPr>
            <w:tcW w:w="415" w:type="pct"/>
            <w:tcBorders>
              <w:top w:val="nil"/>
              <w:left w:val="nil"/>
              <w:bottom w:val="nil"/>
              <w:right w:val="single" w:sz="4" w:space="0" w:color="auto"/>
            </w:tcBorders>
            <w:shd w:val="clear" w:color="000000" w:fill="FFFFFF"/>
            <w:noWrap/>
            <w:hideMark/>
          </w:tcPr>
          <w:p w14:paraId="1830382C" w14:textId="77777777" w:rsidR="00686EC7" w:rsidRPr="000C156A" w:rsidRDefault="00686EC7" w:rsidP="00141BAA">
            <w:pPr>
              <w:overflowPunct/>
              <w:autoSpaceDE/>
              <w:autoSpaceDN/>
              <w:adjustRightInd/>
              <w:spacing w:before="0"/>
              <w:jc w:val="center"/>
              <w:textAlignment w:val="auto"/>
              <w:rPr>
                <w:sz w:val="22"/>
                <w:szCs w:val="22"/>
              </w:rPr>
            </w:pPr>
            <w:r w:rsidRPr="000C156A">
              <w:rPr>
                <w:sz w:val="22"/>
                <w:szCs w:val="22"/>
              </w:rPr>
              <w:t>2018</w:t>
            </w:r>
          </w:p>
        </w:tc>
        <w:tc>
          <w:tcPr>
            <w:tcW w:w="578" w:type="pct"/>
            <w:tcBorders>
              <w:top w:val="nil"/>
              <w:left w:val="nil"/>
              <w:bottom w:val="nil"/>
              <w:right w:val="single" w:sz="4" w:space="0" w:color="auto"/>
            </w:tcBorders>
            <w:shd w:val="clear" w:color="000000" w:fill="FFFFFF"/>
            <w:noWrap/>
            <w:hideMark/>
          </w:tcPr>
          <w:p w14:paraId="0CE7BF90" w14:textId="77777777" w:rsidR="00686EC7" w:rsidRPr="000C156A" w:rsidRDefault="00686EC7" w:rsidP="00141BAA">
            <w:pPr>
              <w:overflowPunct/>
              <w:autoSpaceDE/>
              <w:autoSpaceDN/>
              <w:adjustRightInd/>
              <w:spacing w:before="0"/>
              <w:jc w:val="right"/>
              <w:textAlignment w:val="auto"/>
              <w:rPr>
                <w:sz w:val="22"/>
                <w:szCs w:val="22"/>
              </w:rPr>
            </w:pPr>
            <w:r w:rsidRPr="000C156A">
              <w:rPr>
                <w:sz w:val="22"/>
                <w:szCs w:val="22"/>
              </w:rPr>
              <w:t>100.00</w:t>
            </w:r>
          </w:p>
        </w:tc>
      </w:tr>
      <w:bookmarkEnd w:id="1235"/>
      <w:tr w:rsidR="00686EC7" w:rsidRPr="000C156A" w14:paraId="62F558B0" w14:textId="77777777" w:rsidTr="004D1BDA">
        <w:trPr>
          <w:trHeight w:val="300"/>
        </w:trPr>
        <w:tc>
          <w:tcPr>
            <w:tcW w:w="1551" w:type="pct"/>
            <w:tcBorders>
              <w:top w:val="nil"/>
              <w:left w:val="single" w:sz="4" w:space="0" w:color="auto"/>
              <w:bottom w:val="nil"/>
              <w:right w:val="single" w:sz="4" w:space="0" w:color="auto"/>
            </w:tcBorders>
            <w:shd w:val="clear" w:color="000000" w:fill="FFFFFF"/>
          </w:tcPr>
          <w:p w14:paraId="47911F85" w14:textId="77777777" w:rsidR="00686EC7" w:rsidRPr="000C156A" w:rsidRDefault="00686EC7" w:rsidP="00141BAA">
            <w:pPr>
              <w:overflowPunct/>
              <w:autoSpaceDE/>
              <w:autoSpaceDN/>
              <w:adjustRightInd/>
              <w:spacing w:before="0"/>
              <w:textAlignment w:val="auto"/>
              <w:rPr>
                <w:sz w:val="22"/>
                <w:szCs w:val="22"/>
              </w:rPr>
            </w:pPr>
            <w:r w:rsidRPr="000C156A">
              <w:rPr>
                <w:sz w:val="22"/>
                <w:szCs w:val="22"/>
              </w:rPr>
              <w:t>荷兰</w:t>
            </w:r>
          </w:p>
        </w:tc>
        <w:tc>
          <w:tcPr>
            <w:tcW w:w="2457" w:type="pct"/>
            <w:tcBorders>
              <w:top w:val="nil"/>
              <w:left w:val="nil"/>
              <w:bottom w:val="nil"/>
              <w:right w:val="single" w:sz="4" w:space="0" w:color="auto"/>
            </w:tcBorders>
            <w:shd w:val="clear" w:color="000000" w:fill="FFFFFF"/>
            <w:noWrap/>
          </w:tcPr>
          <w:p w14:paraId="257318F2" w14:textId="77777777" w:rsidR="00686EC7" w:rsidRPr="000C156A" w:rsidRDefault="00686EC7" w:rsidP="00141BAA">
            <w:pPr>
              <w:overflowPunct/>
              <w:autoSpaceDE/>
              <w:autoSpaceDN/>
              <w:adjustRightInd/>
              <w:spacing w:before="0"/>
              <w:textAlignment w:val="auto"/>
              <w:rPr>
                <w:sz w:val="22"/>
                <w:szCs w:val="22"/>
              </w:rPr>
            </w:pPr>
            <w:r w:rsidRPr="000C156A">
              <w:rPr>
                <w:sz w:val="22"/>
                <w:szCs w:val="22"/>
              </w:rPr>
              <w:t>MTTM - Qupra</w:t>
            </w:r>
            <w:r w:rsidRPr="000C156A">
              <w:rPr>
                <w:rFonts w:hint="eastAsia"/>
                <w:sz w:val="22"/>
                <w:szCs w:val="22"/>
                <w:lang w:eastAsia="zh-CN"/>
              </w:rPr>
              <w:t>批发公司，阿姆斯特丹</w:t>
            </w:r>
          </w:p>
        </w:tc>
        <w:tc>
          <w:tcPr>
            <w:tcW w:w="415" w:type="pct"/>
            <w:tcBorders>
              <w:top w:val="nil"/>
              <w:left w:val="nil"/>
              <w:bottom w:val="nil"/>
              <w:right w:val="single" w:sz="4" w:space="0" w:color="auto"/>
            </w:tcBorders>
            <w:shd w:val="clear" w:color="000000" w:fill="FFFFFF"/>
            <w:noWrap/>
          </w:tcPr>
          <w:p w14:paraId="4B90B768" w14:textId="77777777" w:rsidR="00686EC7" w:rsidRPr="000C156A" w:rsidRDefault="00686EC7" w:rsidP="00141BAA">
            <w:pPr>
              <w:overflowPunct/>
              <w:autoSpaceDE/>
              <w:autoSpaceDN/>
              <w:adjustRightInd/>
              <w:spacing w:before="0"/>
              <w:jc w:val="center"/>
              <w:textAlignment w:val="auto"/>
              <w:rPr>
                <w:sz w:val="22"/>
                <w:szCs w:val="22"/>
              </w:rPr>
            </w:pPr>
            <w:r w:rsidRPr="000C156A">
              <w:rPr>
                <w:sz w:val="22"/>
                <w:szCs w:val="22"/>
              </w:rPr>
              <w:t>2019</w:t>
            </w:r>
          </w:p>
        </w:tc>
        <w:tc>
          <w:tcPr>
            <w:tcW w:w="578" w:type="pct"/>
            <w:tcBorders>
              <w:top w:val="nil"/>
              <w:left w:val="nil"/>
              <w:bottom w:val="nil"/>
              <w:right w:val="single" w:sz="4" w:space="0" w:color="auto"/>
            </w:tcBorders>
            <w:shd w:val="clear" w:color="000000" w:fill="FFFFFF"/>
            <w:noWrap/>
          </w:tcPr>
          <w:p w14:paraId="09D8F32A" w14:textId="77777777" w:rsidR="00686EC7" w:rsidRPr="000C156A" w:rsidRDefault="00686EC7" w:rsidP="00141BAA">
            <w:pPr>
              <w:overflowPunct/>
              <w:autoSpaceDE/>
              <w:autoSpaceDN/>
              <w:adjustRightInd/>
              <w:spacing w:before="0"/>
              <w:jc w:val="right"/>
              <w:textAlignment w:val="auto"/>
              <w:rPr>
                <w:sz w:val="22"/>
                <w:szCs w:val="22"/>
              </w:rPr>
            </w:pPr>
            <w:r w:rsidRPr="000C156A">
              <w:rPr>
                <w:sz w:val="22"/>
                <w:szCs w:val="22"/>
              </w:rPr>
              <w:t>300.00</w:t>
            </w:r>
          </w:p>
        </w:tc>
      </w:tr>
      <w:tr w:rsidR="00686EC7" w:rsidRPr="000C156A" w14:paraId="25088750" w14:textId="77777777" w:rsidTr="004D1BDA">
        <w:trPr>
          <w:trHeight w:val="300"/>
        </w:trPr>
        <w:tc>
          <w:tcPr>
            <w:tcW w:w="1551" w:type="pct"/>
            <w:tcBorders>
              <w:top w:val="nil"/>
              <w:left w:val="single" w:sz="4" w:space="0" w:color="auto"/>
              <w:bottom w:val="nil"/>
              <w:right w:val="single" w:sz="4" w:space="0" w:color="auto"/>
            </w:tcBorders>
            <w:shd w:val="clear" w:color="000000" w:fill="FFFFFF"/>
          </w:tcPr>
          <w:p w14:paraId="79584E3F"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sz w:val="22"/>
                <w:szCs w:val="22"/>
              </w:rPr>
              <w:t>新西兰</w:t>
            </w:r>
          </w:p>
        </w:tc>
        <w:tc>
          <w:tcPr>
            <w:tcW w:w="2457" w:type="pct"/>
            <w:tcBorders>
              <w:top w:val="nil"/>
              <w:left w:val="nil"/>
              <w:bottom w:val="nil"/>
              <w:right w:val="single" w:sz="4" w:space="0" w:color="auto"/>
            </w:tcBorders>
            <w:shd w:val="clear" w:color="000000" w:fill="FFFFFF"/>
            <w:noWrap/>
          </w:tcPr>
          <w:p w14:paraId="4BBEBFD2" w14:textId="77777777" w:rsidR="00686EC7" w:rsidRPr="000C156A" w:rsidRDefault="00686EC7" w:rsidP="00141BAA">
            <w:pPr>
              <w:overflowPunct/>
              <w:autoSpaceDE/>
              <w:autoSpaceDN/>
              <w:adjustRightInd/>
              <w:spacing w:before="0"/>
              <w:textAlignment w:val="auto"/>
              <w:rPr>
                <w:sz w:val="22"/>
                <w:szCs w:val="22"/>
                <w:lang w:eastAsia="zh-CN"/>
              </w:rPr>
            </w:pPr>
            <w:r w:rsidRPr="000C156A">
              <w:rPr>
                <w:sz w:val="22"/>
                <w:szCs w:val="22"/>
                <w:lang w:eastAsia="zh-CN"/>
              </w:rPr>
              <w:t>Vodafone</w:t>
            </w:r>
            <w:r w:rsidRPr="000C156A">
              <w:rPr>
                <w:sz w:val="22"/>
                <w:szCs w:val="22"/>
                <w:lang w:eastAsia="zh-CN"/>
              </w:rPr>
              <w:t>新西兰</w:t>
            </w:r>
            <w:r w:rsidRPr="000C156A">
              <w:rPr>
                <w:rFonts w:hint="eastAsia"/>
                <w:sz w:val="22"/>
                <w:szCs w:val="22"/>
                <w:lang w:eastAsia="zh-CN"/>
              </w:rPr>
              <w:t>，奥克兰</w:t>
            </w:r>
          </w:p>
        </w:tc>
        <w:tc>
          <w:tcPr>
            <w:tcW w:w="415" w:type="pct"/>
            <w:tcBorders>
              <w:top w:val="nil"/>
              <w:left w:val="nil"/>
              <w:bottom w:val="nil"/>
              <w:right w:val="single" w:sz="4" w:space="0" w:color="auto"/>
            </w:tcBorders>
            <w:shd w:val="clear" w:color="000000" w:fill="FFFFFF"/>
            <w:noWrap/>
            <w:hideMark/>
          </w:tcPr>
          <w:p w14:paraId="6FD1BBB8" w14:textId="77777777" w:rsidR="00686EC7" w:rsidRPr="000C156A" w:rsidRDefault="00686EC7" w:rsidP="00141BAA">
            <w:pPr>
              <w:overflowPunct/>
              <w:autoSpaceDE/>
              <w:autoSpaceDN/>
              <w:adjustRightInd/>
              <w:spacing w:before="0"/>
              <w:jc w:val="center"/>
              <w:textAlignment w:val="auto"/>
              <w:rPr>
                <w:sz w:val="22"/>
                <w:szCs w:val="22"/>
              </w:rPr>
            </w:pPr>
            <w:r w:rsidRPr="000C156A">
              <w:rPr>
                <w:sz w:val="22"/>
                <w:szCs w:val="22"/>
              </w:rPr>
              <w:t>2018</w:t>
            </w:r>
          </w:p>
        </w:tc>
        <w:tc>
          <w:tcPr>
            <w:tcW w:w="578" w:type="pct"/>
            <w:tcBorders>
              <w:top w:val="nil"/>
              <w:left w:val="nil"/>
              <w:bottom w:val="nil"/>
              <w:right w:val="single" w:sz="4" w:space="0" w:color="auto"/>
            </w:tcBorders>
            <w:shd w:val="clear" w:color="000000" w:fill="FFFFFF"/>
            <w:noWrap/>
            <w:hideMark/>
          </w:tcPr>
          <w:p w14:paraId="5C1B7947" w14:textId="77777777" w:rsidR="00686EC7" w:rsidRPr="000C156A" w:rsidRDefault="00686EC7" w:rsidP="00141BAA">
            <w:pPr>
              <w:overflowPunct/>
              <w:autoSpaceDE/>
              <w:autoSpaceDN/>
              <w:adjustRightInd/>
              <w:spacing w:before="0"/>
              <w:jc w:val="right"/>
              <w:textAlignment w:val="auto"/>
              <w:rPr>
                <w:sz w:val="22"/>
                <w:szCs w:val="22"/>
              </w:rPr>
            </w:pPr>
            <w:r w:rsidRPr="000C156A">
              <w:rPr>
                <w:sz w:val="22"/>
                <w:szCs w:val="22"/>
              </w:rPr>
              <w:t>100.00</w:t>
            </w:r>
          </w:p>
        </w:tc>
      </w:tr>
      <w:tr w:rsidR="00686EC7" w:rsidRPr="000C156A" w14:paraId="74B92F28" w14:textId="77777777" w:rsidTr="004D1BDA">
        <w:trPr>
          <w:trHeight w:val="300"/>
        </w:trPr>
        <w:tc>
          <w:tcPr>
            <w:tcW w:w="1551" w:type="pct"/>
            <w:tcBorders>
              <w:top w:val="nil"/>
              <w:left w:val="single" w:sz="4" w:space="0" w:color="auto"/>
              <w:bottom w:val="nil"/>
              <w:right w:val="single" w:sz="4" w:space="0" w:color="auto"/>
            </w:tcBorders>
            <w:shd w:val="clear" w:color="000000" w:fill="FFFFFF"/>
          </w:tcPr>
          <w:p w14:paraId="533BDED4"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sz w:val="22"/>
                <w:szCs w:val="22"/>
              </w:rPr>
              <w:t>秘鲁</w:t>
            </w:r>
          </w:p>
        </w:tc>
        <w:tc>
          <w:tcPr>
            <w:tcW w:w="2457" w:type="pct"/>
            <w:tcBorders>
              <w:top w:val="nil"/>
              <w:left w:val="nil"/>
              <w:bottom w:val="nil"/>
              <w:right w:val="single" w:sz="4" w:space="0" w:color="auto"/>
            </w:tcBorders>
            <w:shd w:val="clear" w:color="000000" w:fill="FFFFFF"/>
            <w:noWrap/>
          </w:tcPr>
          <w:p w14:paraId="3AE051E5" w14:textId="77777777" w:rsidR="00686EC7" w:rsidRPr="000C156A" w:rsidRDefault="00686EC7" w:rsidP="00141BAA">
            <w:pPr>
              <w:overflowPunct/>
              <w:autoSpaceDE/>
              <w:autoSpaceDN/>
              <w:adjustRightInd/>
              <w:spacing w:before="0"/>
              <w:textAlignment w:val="auto"/>
              <w:rPr>
                <w:sz w:val="22"/>
                <w:szCs w:val="22"/>
              </w:rPr>
            </w:pPr>
            <w:r w:rsidRPr="000C156A">
              <w:rPr>
                <w:sz w:val="22"/>
                <w:szCs w:val="22"/>
              </w:rPr>
              <w:t>Telefónica del Perú S.A.A.</w:t>
            </w:r>
            <w:r w:rsidRPr="000C156A">
              <w:rPr>
                <w:rFonts w:ascii="SimSun" w:hAnsi="SimSun"/>
                <w:sz w:val="22"/>
                <w:szCs w:val="22"/>
              </w:rPr>
              <w:t>，</w:t>
            </w:r>
            <w:r w:rsidRPr="000C156A">
              <w:rPr>
                <w:rFonts w:hint="eastAsia"/>
                <w:sz w:val="22"/>
                <w:szCs w:val="22"/>
                <w:lang w:eastAsia="zh-CN"/>
              </w:rPr>
              <w:t>利马</w:t>
            </w:r>
          </w:p>
        </w:tc>
        <w:tc>
          <w:tcPr>
            <w:tcW w:w="415" w:type="pct"/>
            <w:tcBorders>
              <w:top w:val="nil"/>
              <w:left w:val="nil"/>
              <w:bottom w:val="nil"/>
              <w:right w:val="single" w:sz="4" w:space="0" w:color="auto"/>
            </w:tcBorders>
            <w:shd w:val="clear" w:color="000000" w:fill="FFFFFF"/>
            <w:noWrap/>
            <w:hideMark/>
          </w:tcPr>
          <w:p w14:paraId="4AB280BA" w14:textId="77777777" w:rsidR="00686EC7" w:rsidRPr="000C156A" w:rsidRDefault="00686EC7" w:rsidP="00141BAA">
            <w:pPr>
              <w:overflowPunct/>
              <w:autoSpaceDE/>
              <w:autoSpaceDN/>
              <w:adjustRightInd/>
              <w:spacing w:before="0"/>
              <w:jc w:val="center"/>
              <w:textAlignment w:val="auto"/>
              <w:rPr>
                <w:sz w:val="22"/>
                <w:szCs w:val="22"/>
              </w:rPr>
            </w:pPr>
            <w:r w:rsidRPr="000C156A">
              <w:rPr>
                <w:sz w:val="22"/>
                <w:szCs w:val="22"/>
              </w:rPr>
              <w:t>2018</w:t>
            </w:r>
          </w:p>
        </w:tc>
        <w:tc>
          <w:tcPr>
            <w:tcW w:w="578" w:type="pct"/>
            <w:tcBorders>
              <w:top w:val="nil"/>
              <w:left w:val="nil"/>
              <w:bottom w:val="nil"/>
              <w:right w:val="single" w:sz="4" w:space="0" w:color="auto"/>
            </w:tcBorders>
            <w:shd w:val="clear" w:color="000000" w:fill="FFFFFF"/>
            <w:noWrap/>
            <w:hideMark/>
          </w:tcPr>
          <w:p w14:paraId="3D0144CD" w14:textId="77777777" w:rsidR="00686EC7" w:rsidRPr="000C156A" w:rsidRDefault="00686EC7" w:rsidP="00141BAA">
            <w:pPr>
              <w:overflowPunct/>
              <w:autoSpaceDE/>
              <w:autoSpaceDN/>
              <w:adjustRightInd/>
              <w:spacing w:before="0"/>
              <w:jc w:val="right"/>
              <w:textAlignment w:val="auto"/>
              <w:rPr>
                <w:sz w:val="22"/>
                <w:szCs w:val="22"/>
              </w:rPr>
            </w:pPr>
            <w:r w:rsidRPr="000C156A">
              <w:rPr>
                <w:sz w:val="22"/>
                <w:szCs w:val="22"/>
              </w:rPr>
              <w:t>300.00</w:t>
            </w:r>
          </w:p>
        </w:tc>
      </w:tr>
      <w:tr w:rsidR="00686EC7" w:rsidRPr="000C156A" w14:paraId="2508C513" w14:textId="77777777" w:rsidTr="004D1BDA">
        <w:trPr>
          <w:trHeight w:val="300"/>
        </w:trPr>
        <w:tc>
          <w:tcPr>
            <w:tcW w:w="1551" w:type="pct"/>
            <w:tcBorders>
              <w:top w:val="nil"/>
              <w:left w:val="single" w:sz="4" w:space="0" w:color="auto"/>
              <w:bottom w:val="nil"/>
              <w:right w:val="single" w:sz="4" w:space="0" w:color="auto"/>
            </w:tcBorders>
            <w:shd w:val="clear" w:color="000000" w:fill="FFFFFF"/>
          </w:tcPr>
          <w:p w14:paraId="7F5304B1"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sz w:val="22"/>
                <w:szCs w:val="22"/>
              </w:rPr>
              <w:t>西班牙</w:t>
            </w:r>
          </w:p>
        </w:tc>
        <w:tc>
          <w:tcPr>
            <w:tcW w:w="2457" w:type="pct"/>
            <w:tcBorders>
              <w:top w:val="nil"/>
              <w:left w:val="nil"/>
              <w:bottom w:val="nil"/>
              <w:right w:val="single" w:sz="4" w:space="0" w:color="auto"/>
            </w:tcBorders>
            <w:shd w:val="clear" w:color="000000" w:fill="FFFFFF"/>
            <w:noWrap/>
          </w:tcPr>
          <w:p w14:paraId="2EE8018C" w14:textId="77777777" w:rsidR="00686EC7" w:rsidRPr="000C156A" w:rsidRDefault="00686EC7" w:rsidP="00141BAA">
            <w:pPr>
              <w:overflowPunct/>
              <w:autoSpaceDE/>
              <w:autoSpaceDN/>
              <w:adjustRightInd/>
              <w:spacing w:before="0"/>
              <w:textAlignment w:val="auto"/>
              <w:rPr>
                <w:sz w:val="22"/>
                <w:szCs w:val="22"/>
              </w:rPr>
            </w:pPr>
            <w:r w:rsidRPr="000C156A">
              <w:rPr>
                <w:sz w:val="22"/>
                <w:szCs w:val="22"/>
              </w:rPr>
              <w:t>Telecable de Asturias SA</w:t>
            </w:r>
            <w:r w:rsidRPr="000C156A">
              <w:rPr>
                <w:rFonts w:ascii="SimSun" w:hAnsi="SimSun"/>
                <w:sz w:val="22"/>
                <w:szCs w:val="22"/>
              </w:rPr>
              <w:t>，</w:t>
            </w:r>
            <w:r w:rsidRPr="000C156A">
              <w:rPr>
                <w:sz w:val="22"/>
                <w:szCs w:val="22"/>
              </w:rPr>
              <w:t>Oviedo</w:t>
            </w:r>
          </w:p>
        </w:tc>
        <w:tc>
          <w:tcPr>
            <w:tcW w:w="415" w:type="pct"/>
            <w:tcBorders>
              <w:top w:val="nil"/>
              <w:left w:val="nil"/>
              <w:bottom w:val="nil"/>
              <w:right w:val="single" w:sz="4" w:space="0" w:color="auto"/>
            </w:tcBorders>
            <w:shd w:val="clear" w:color="000000" w:fill="FFFFFF"/>
            <w:noWrap/>
            <w:hideMark/>
          </w:tcPr>
          <w:p w14:paraId="15902C75" w14:textId="77777777" w:rsidR="00686EC7" w:rsidRPr="000C156A" w:rsidRDefault="00686EC7" w:rsidP="00141BAA">
            <w:pPr>
              <w:overflowPunct/>
              <w:autoSpaceDE/>
              <w:autoSpaceDN/>
              <w:adjustRightInd/>
              <w:spacing w:before="0"/>
              <w:jc w:val="center"/>
              <w:textAlignment w:val="auto"/>
              <w:rPr>
                <w:sz w:val="22"/>
                <w:szCs w:val="22"/>
              </w:rPr>
            </w:pPr>
            <w:r w:rsidRPr="000C156A">
              <w:rPr>
                <w:sz w:val="22"/>
                <w:szCs w:val="22"/>
              </w:rPr>
              <w:t>2018</w:t>
            </w:r>
          </w:p>
        </w:tc>
        <w:tc>
          <w:tcPr>
            <w:tcW w:w="578" w:type="pct"/>
            <w:tcBorders>
              <w:top w:val="nil"/>
              <w:left w:val="nil"/>
              <w:bottom w:val="nil"/>
              <w:right w:val="single" w:sz="4" w:space="0" w:color="auto"/>
            </w:tcBorders>
            <w:shd w:val="clear" w:color="000000" w:fill="FFFFFF"/>
            <w:noWrap/>
            <w:hideMark/>
          </w:tcPr>
          <w:p w14:paraId="57063AC0" w14:textId="77777777" w:rsidR="00686EC7" w:rsidRPr="000C156A" w:rsidRDefault="00686EC7" w:rsidP="00141BAA">
            <w:pPr>
              <w:overflowPunct/>
              <w:autoSpaceDE/>
              <w:autoSpaceDN/>
              <w:adjustRightInd/>
              <w:spacing w:before="0"/>
              <w:jc w:val="right"/>
              <w:textAlignment w:val="auto"/>
              <w:rPr>
                <w:sz w:val="22"/>
                <w:szCs w:val="22"/>
              </w:rPr>
            </w:pPr>
            <w:r w:rsidRPr="000C156A">
              <w:rPr>
                <w:sz w:val="22"/>
                <w:szCs w:val="22"/>
              </w:rPr>
              <w:t>100.00</w:t>
            </w:r>
          </w:p>
        </w:tc>
      </w:tr>
      <w:tr w:rsidR="00686EC7" w:rsidRPr="000C156A" w14:paraId="1C51357A" w14:textId="77777777" w:rsidTr="004D1BDA">
        <w:trPr>
          <w:trHeight w:val="300"/>
        </w:trPr>
        <w:tc>
          <w:tcPr>
            <w:tcW w:w="1551" w:type="pct"/>
            <w:tcBorders>
              <w:top w:val="nil"/>
              <w:left w:val="single" w:sz="4" w:space="0" w:color="auto"/>
              <w:bottom w:val="nil"/>
              <w:right w:val="single" w:sz="4" w:space="0" w:color="auto"/>
            </w:tcBorders>
            <w:shd w:val="clear" w:color="000000" w:fill="FFFFFF"/>
          </w:tcPr>
          <w:p w14:paraId="5C7D1DE7"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sz w:val="22"/>
                <w:szCs w:val="22"/>
              </w:rPr>
              <w:t>瑞典</w:t>
            </w:r>
          </w:p>
        </w:tc>
        <w:tc>
          <w:tcPr>
            <w:tcW w:w="2457" w:type="pct"/>
            <w:tcBorders>
              <w:top w:val="nil"/>
              <w:left w:val="nil"/>
              <w:bottom w:val="nil"/>
              <w:right w:val="single" w:sz="4" w:space="0" w:color="auto"/>
            </w:tcBorders>
            <w:shd w:val="clear" w:color="000000" w:fill="FFFFFF"/>
            <w:noWrap/>
          </w:tcPr>
          <w:p w14:paraId="46F10301" w14:textId="77777777" w:rsidR="00686EC7" w:rsidRPr="000C156A" w:rsidRDefault="00686EC7" w:rsidP="00141BAA">
            <w:pPr>
              <w:overflowPunct/>
              <w:autoSpaceDE/>
              <w:autoSpaceDN/>
              <w:adjustRightInd/>
              <w:spacing w:before="0"/>
              <w:textAlignment w:val="auto"/>
              <w:rPr>
                <w:sz w:val="22"/>
                <w:szCs w:val="22"/>
              </w:rPr>
            </w:pPr>
            <w:r w:rsidRPr="000C156A">
              <w:rPr>
                <w:sz w:val="22"/>
                <w:szCs w:val="22"/>
              </w:rPr>
              <w:t>Tele 2 AB</w:t>
            </w:r>
            <w:r w:rsidRPr="000C156A">
              <w:rPr>
                <w:rFonts w:ascii="SimSun" w:hAnsi="SimSun"/>
                <w:sz w:val="22"/>
                <w:szCs w:val="22"/>
              </w:rPr>
              <w:t>，</w:t>
            </w:r>
            <w:r w:rsidRPr="000C156A">
              <w:rPr>
                <w:sz w:val="22"/>
                <w:szCs w:val="22"/>
              </w:rPr>
              <w:t>Kista</w:t>
            </w:r>
          </w:p>
        </w:tc>
        <w:tc>
          <w:tcPr>
            <w:tcW w:w="415" w:type="pct"/>
            <w:tcBorders>
              <w:top w:val="nil"/>
              <w:left w:val="nil"/>
              <w:bottom w:val="nil"/>
              <w:right w:val="single" w:sz="4" w:space="0" w:color="auto"/>
            </w:tcBorders>
            <w:shd w:val="clear" w:color="000000" w:fill="FFFFFF"/>
            <w:noWrap/>
            <w:hideMark/>
          </w:tcPr>
          <w:p w14:paraId="270D2045" w14:textId="77777777" w:rsidR="00686EC7" w:rsidRPr="000C156A" w:rsidRDefault="00686EC7" w:rsidP="00141BAA">
            <w:pPr>
              <w:overflowPunct/>
              <w:autoSpaceDE/>
              <w:autoSpaceDN/>
              <w:adjustRightInd/>
              <w:spacing w:before="0"/>
              <w:jc w:val="center"/>
              <w:textAlignment w:val="auto"/>
              <w:rPr>
                <w:sz w:val="22"/>
                <w:szCs w:val="22"/>
              </w:rPr>
            </w:pPr>
            <w:r w:rsidRPr="000C156A">
              <w:rPr>
                <w:sz w:val="22"/>
                <w:szCs w:val="22"/>
              </w:rPr>
              <w:t>2018</w:t>
            </w:r>
          </w:p>
        </w:tc>
        <w:tc>
          <w:tcPr>
            <w:tcW w:w="578" w:type="pct"/>
            <w:tcBorders>
              <w:top w:val="nil"/>
              <w:left w:val="nil"/>
              <w:bottom w:val="nil"/>
              <w:right w:val="single" w:sz="4" w:space="0" w:color="auto"/>
            </w:tcBorders>
            <w:shd w:val="clear" w:color="000000" w:fill="FFFFFF"/>
            <w:noWrap/>
            <w:hideMark/>
          </w:tcPr>
          <w:p w14:paraId="3D9BC7EA" w14:textId="77777777" w:rsidR="00686EC7" w:rsidRPr="000C156A" w:rsidRDefault="00686EC7" w:rsidP="00141BAA">
            <w:pPr>
              <w:overflowPunct/>
              <w:autoSpaceDE/>
              <w:autoSpaceDN/>
              <w:adjustRightInd/>
              <w:spacing w:before="0"/>
              <w:jc w:val="right"/>
              <w:textAlignment w:val="auto"/>
              <w:rPr>
                <w:sz w:val="22"/>
                <w:szCs w:val="22"/>
              </w:rPr>
            </w:pPr>
            <w:r w:rsidRPr="000C156A">
              <w:rPr>
                <w:sz w:val="22"/>
                <w:szCs w:val="22"/>
              </w:rPr>
              <w:t>900.00</w:t>
            </w:r>
          </w:p>
        </w:tc>
      </w:tr>
      <w:tr w:rsidR="00686EC7" w:rsidRPr="000C156A" w14:paraId="0094DC5F" w14:textId="77777777" w:rsidTr="004D1BDA">
        <w:trPr>
          <w:trHeight w:val="300"/>
        </w:trPr>
        <w:tc>
          <w:tcPr>
            <w:tcW w:w="1551" w:type="pct"/>
            <w:tcBorders>
              <w:top w:val="nil"/>
              <w:left w:val="single" w:sz="4" w:space="0" w:color="auto"/>
              <w:bottom w:val="nil"/>
              <w:right w:val="single" w:sz="4" w:space="0" w:color="auto"/>
            </w:tcBorders>
            <w:shd w:val="clear" w:color="000000" w:fill="FFFFFF"/>
          </w:tcPr>
          <w:p w14:paraId="727D3826"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sz w:val="22"/>
                <w:szCs w:val="22"/>
              </w:rPr>
              <w:t>英国</w:t>
            </w:r>
          </w:p>
        </w:tc>
        <w:tc>
          <w:tcPr>
            <w:tcW w:w="2457" w:type="pct"/>
            <w:tcBorders>
              <w:top w:val="nil"/>
              <w:left w:val="nil"/>
              <w:bottom w:val="nil"/>
              <w:right w:val="single" w:sz="4" w:space="0" w:color="auto"/>
            </w:tcBorders>
            <w:shd w:val="clear" w:color="000000" w:fill="FFFFFF"/>
            <w:noWrap/>
          </w:tcPr>
          <w:p w14:paraId="48DFF7CD" w14:textId="77777777" w:rsidR="00686EC7" w:rsidRPr="000C156A" w:rsidRDefault="00686EC7" w:rsidP="00141BAA">
            <w:pPr>
              <w:overflowPunct/>
              <w:autoSpaceDE/>
              <w:autoSpaceDN/>
              <w:adjustRightInd/>
              <w:spacing w:before="0"/>
              <w:textAlignment w:val="auto"/>
              <w:rPr>
                <w:sz w:val="22"/>
                <w:szCs w:val="22"/>
              </w:rPr>
            </w:pPr>
            <w:r w:rsidRPr="000C156A">
              <w:rPr>
                <w:sz w:val="22"/>
                <w:szCs w:val="22"/>
              </w:rPr>
              <w:t>KCOM</w:t>
            </w:r>
            <w:r w:rsidRPr="000C156A">
              <w:rPr>
                <w:rFonts w:ascii="SimSun" w:hAnsi="SimSun"/>
                <w:sz w:val="22"/>
                <w:szCs w:val="22"/>
              </w:rPr>
              <w:t>，</w:t>
            </w:r>
            <w:r w:rsidRPr="000C156A">
              <w:rPr>
                <w:rFonts w:hint="eastAsia"/>
                <w:sz w:val="22"/>
                <w:szCs w:val="22"/>
                <w:lang w:eastAsia="zh-CN"/>
              </w:rPr>
              <w:t>伦敦</w:t>
            </w:r>
          </w:p>
        </w:tc>
        <w:tc>
          <w:tcPr>
            <w:tcW w:w="415" w:type="pct"/>
            <w:tcBorders>
              <w:top w:val="nil"/>
              <w:left w:val="nil"/>
              <w:bottom w:val="nil"/>
              <w:right w:val="single" w:sz="4" w:space="0" w:color="auto"/>
            </w:tcBorders>
            <w:shd w:val="clear" w:color="000000" w:fill="FFFFFF"/>
            <w:noWrap/>
            <w:hideMark/>
          </w:tcPr>
          <w:p w14:paraId="53323FD3" w14:textId="77777777" w:rsidR="00686EC7" w:rsidRPr="000C156A" w:rsidRDefault="00686EC7" w:rsidP="00141BAA">
            <w:pPr>
              <w:overflowPunct/>
              <w:autoSpaceDE/>
              <w:autoSpaceDN/>
              <w:adjustRightInd/>
              <w:spacing w:before="0"/>
              <w:jc w:val="center"/>
              <w:textAlignment w:val="auto"/>
              <w:rPr>
                <w:sz w:val="22"/>
                <w:szCs w:val="22"/>
              </w:rPr>
            </w:pPr>
            <w:r w:rsidRPr="000C156A">
              <w:rPr>
                <w:sz w:val="22"/>
                <w:szCs w:val="22"/>
              </w:rPr>
              <w:t>2018</w:t>
            </w:r>
          </w:p>
        </w:tc>
        <w:tc>
          <w:tcPr>
            <w:tcW w:w="578" w:type="pct"/>
            <w:tcBorders>
              <w:top w:val="nil"/>
              <w:left w:val="nil"/>
              <w:bottom w:val="nil"/>
              <w:right w:val="single" w:sz="4" w:space="0" w:color="auto"/>
            </w:tcBorders>
            <w:shd w:val="clear" w:color="000000" w:fill="FFFFFF"/>
            <w:noWrap/>
            <w:hideMark/>
          </w:tcPr>
          <w:p w14:paraId="49C75F03" w14:textId="77777777" w:rsidR="00686EC7" w:rsidRPr="000C156A" w:rsidRDefault="00686EC7" w:rsidP="00141BAA">
            <w:pPr>
              <w:overflowPunct/>
              <w:autoSpaceDE/>
              <w:autoSpaceDN/>
              <w:adjustRightInd/>
              <w:spacing w:before="0"/>
              <w:jc w:val="right"/>
              <w:textAlignment w:val="auto"/>
              <w:rPr>
                <w:sz w:val="22"/>
                <w:szCs w:val="22"/>
              </w:rPr>
            </w:pPr>
            <w:r w:rsidRPr="000C156A">
              <w:rPr>
                <w:sz w:val="22"/>
                <w:szCs w:val="22"/>
              </w:rPr>
              <w:t>500.00</w:t>
            </w:r>
          </w:p>
        </w:tc>
      </w:tr>
      <w:tr w:rsidR="00686EC7" w:rsidRPr="000C156A" w14:paraId="4BFEC7F4" w14:textId="77777777" w:rsidTr="004D1BDA">
        <w:trPr>
          <w:trHeight w:val="300"/>
        </w:trPr>
        <w:tc>
          <w:tcPr>
            <w:tcW w:w="1551" w:type="pct"/>
            <w:tcBorders>
              <w:top w:val="nil"/>
              <w:left w:val="single" w:sz="4" w:space="0" w:color="auto"/>
              <w:bottom w:val="nil"/>
              <w:right w:val="single" w:sz="4" w:space="0" w:color="auto"/>
            </w:tcBorders>
            <w:shd w:val="clear" w:color="000000" w:fill="FFFFFF"/>
          </w:tcPr>
          <w:p w14:paraId="69D6D9AA" w14:textId="77777777" w:rsidR="00686EC7" w:rsidRPr="000C156A" w:rsidRDefault="00686EC7" w:rsidP="00141BAA">
            <w:pPr>
              <w:overflowPunct/>
              <w:autoSpaceDE/>
              <w:autoSpaceDN/>
              <w:adjustRightInd/>
              <w:spacing w:before="0"/>
              <w:textAlignment w:val="auto"/>
              <w:rPr>
                <w:rFonts w:cs="Calibri"/>
                <w:sz w:val="22"/>
                <w:szCs w:val="22"/>
                <w:lang w:eastAsia="en-GB"/>
              </w:rPr>
            </w:pPr>
          </w:p>
        </w:tc>
        <w:tc>
          <w:tcPr>
            <w:tcW w:w="2457" w:type="pct"/>
            <w:tcBorders>
              <w:top w:val="nil"/>
              <w:left w:val="nil"/>
              <w:bottom w:val="nil"/>
              <w:right w:val="single" w:sz="4" w:space="0" w:color="auto"/>
            </w:tcBorders>
            <w:shd w:val="clear" w:color="000000" w:fill="FFFFFF"/>
            <w:noWrap/>
          </w:tcPr>
          <w:p w14:paraId="72692E97" w14:textId="77777777" w:rsidR="00686EC7" w:rsidRPr="000C156A" w:rsidRDefault="00686EC7" w:rsidP="00141BAA">
            <w:pPr>
              <w:overflowPunct/>
              <w:autoSpaceDE/>
              <w:autoSpaceDN/>
              <w:adjustRightInd/>
              <w:spacing w:before="0"/>
              <w:textAlignment w:val="auto"/>
              <w:rPr>
                <w:sz w:val="22"/>
                <w:szCs w:val="22"/>
              </w:rPr>
            </w:pPr>
            <w:r w:rsidRPr="000C156A">
              <w:rPr>
                <w:sz w:val="22"/>
                <w:szCs w:val="22"/>
              </w:rPr>
              <w:t>PTGI International Carrier Services Ltd.</w:t>
            </w:r>
            <w:r w:rsidRPr="000C156A">
              <w:rPr>
                <w:rFonts w:ascii="SimSun" w:hAnsi="SimSun"/>
                <w:sz w:val="22"/>
                <w:szCs w:val="22"/>
              </w:rPr>
              <w:t>，</w:t>
            </w:r>
            <w:r w:rsidRPr="000C156A">
              <w:rPr>
                <w:rFonts w:hint="eastAsia"/>
                <w:sz w:val="22"/>
                <w:szCs w:val="22"/>
                <w:lang w:eastAsia="zh-CN"/>
              </w:rPr>
              <w:t>伦敦</w:t>
            </w:r>
          </w:p>
        </w:tc>
        <w:tc>
          <w:tcPr>
            <w:tcW w:w="415" w:type="pct"/>
            <w:tcBorders>
              <w:top w:val="nil"/>
              <w:left w:val="nil"/>
              <w:bottom w:val="nil"/>
              <w:right w:val="single" w:sz="4" w:space="0" w:color="auto"/>
            </w:tcBorders>
            <w:shd w:val="clear" w:color="000000" w:fill="FFFFFF"/>
            <w:noWrap/>
            <w:hideMark/>
          </w:tcPr>
          <w:p w14:paraId="482D485F" w14:textId="77777777" w:rsidR="00686EC7" w:rsidRPr="000C156A" w:rsidRDefault="00686EC7" w:rsidP="00141BAA">
            <w:pPr>
              <w:overflowPunct/>
              <w:autoSpaceDE/>
              <w:autoSpaceDN/>
              <w:adjustRightInd/>
              <w:spacing w:before="0"/>
              <w:jc w:val="center"/>
              <w:textAlignment w:val="auto"/>
              <w:rPr>
                <w:sz w:val="22"/>
                <w:szCs w:val="22"/>
              </w:rPr>
            </w:pPr>
            <w:r w:rsidRPr="000C156A">
              <w:rPr>
                <w:sz w:val="22"/>
                <w:szCs w:val="22"/>
              </w:rPr>
              <w:t>2018</w:t>
            </w:r>
          </w:p>
        </w:tc>
        <w:tc>
          <w:tcPr>
            <w:tcW w:w="578" w:type="pct"/>
            <w:tcBorders>
              <w:top w:val="nil"/>
              <w:left w:val="nil"/>
              <w:bottom w:val="nil"/>
              <w:right w:val="single" w:sz="4" w:space="0" w:color="auto"/>
            </w:tcBorders>
            <w:shd w:val="clear" w:color="000000" w:fill="FFFFFF"/>
            <w:noWrap/>
            <w:hideMark/>
          </w:tcPr>
          <w:p w14:paraId="0C3E458C" w14:textId="77777777" w:rsidR="00686EC7" w:rsidRPr="000C156A" w:rsidRDefault="00686EC7" w:rsidP="00141BAA">
            <w:pPr>
              <w:overflowPunct/>
              <w:autoSpaceDE/>
              <w:autoSpaceDN/>
              <w:adjustRightInd/>
              <w:spacing w:before="0"/>
              <w:jc w:val="right"/>
              <w:textAlignment w:val="auto"/>
              <w:rPr>
                <w:sz w:val="22"/>
                <w:szCs w:val="22"/>
              </w:rPr>
            </w:pPr>
            <w:r w:rsidRPr="000C156A">
              <w:rPr>
                <w:sz w:val="22"/>
                <w:szCs w:val="22"/>
              </w:rPr>
              <w:t>300.00</w:t>
            </w:r>
          </w:p>
        </w:tc>
      </w:tr>
      <w:tr w:rsidR="00686EC7" w:rsidRPr="000C156A" w14:paraId="351A4DDD" w14:textId="77777777" w:rsidTr="004D1BDA">
        <w:trPr>
          <w:trHeight w:val="300"/>
        </w:trPr>
        <w:tc>
          <w:tcPr>
            <w:tcW w:w="1551" w:type="pct"/>
            <w:tcBorders>
              <w:top w:val="nil"/>
              <w:left w:val="single" w:sz="4" w:space="0" w:color="auto"/>
              <w:bottom w:val="single" w:sz="4" w:space="0" w:color="auto"/>
              <w:right w:val="single" w:sz="4" w:space="0" w:color="auto"/>
            </w:tcBorders>
            <w:shd w:val="clear" w:color="000000" w:fill="FFFFFF"/>
          </w:tcPr>
          <w:p w14:paraId="0849A90C" w14:textId="77777777" w:rsidR="00686EC7" w:rsidRPr="000C156A" w:rsidRDefault="00686EC7" w:rsidP="00141BAA">
            <w:pPr>
              <w:overflowPunct/>
              <w:autoSpaceDE/>
              <w:autoSpaceDN/>
              <w:adjustRightInd/>
              <w:spacing w:before="0"/>
              <w:textAlignment w:val="auto"/>
              <w:rPr>
                <w:rFonts w:cs="Calibri"/>
                <w:sz w:val="22"/>
                <w:szCs w:val="22"/>
                <w:lang w:eastAsia="en-GB"/>
              </w:rPr>
            </w:pPr>
            <w:r w:rsidRPr="000C156A">
              <w:rPr>
                <w:rFonts w:cs="Calibri"/>
                <w:sz w:val="22"/>
                <w:szCs w:val="22"/>
                <w:lang w:eastAsia="en-GB"/>
              </w:rPr>
              <w:t>美国</w:t>
            </w:r>
          </w:p>
        </w:tc>
        <w:tc>
          <w:tcPr>
            <w:tcW w:w="2457" w:type="pct"/>
            <w:tcBorders>
              <w:top w:val="nil"/>
              <w:left w:val="nil"/>
              <w:bottom w:val="single" w:sz="4" w:space="0" w:color="auto"/>
              <w:right w:val="single" w:sz="4" w:space="0" w:color="auto"/>
            </w:tcBorders>
            <w:shd w:val="clear" w:color="000000" w:fill="FFFFFF"/>
            <w:noWrap/>
          </w:tcPr>
          <w:p w14:paraId="0CE6D6D4" w14:textId="77777777" w:rsidR="00686EC7" w:rsidRPr="000C156A" w:rsidRDefault="00686EC7" w:rsidP="00141BAA">
            <w:pPr>
              <w:overflowPunct/>
              <w:autoSpaceDE/>
              <w:autoSpaceDN/>
              <w:adjustRightInd/>
              <w:spacing w:before="0"/>
              <w:textAlignment w:val="auto"/>
              <w:rPr>
                <w:sz w:val="22"/>
                <w:szCs w:val="22"/>
              </w:rPr>
            </w:pPr>
            <w:r w:rsidRPr="000C156A">
              <w:rPr>
                <w:sz w:val="22"/>
                <w:szCs w:val="22"/>
              </w:rPr>
              <w:t>ComoreTel Holdings Ltd.</w:t>
            </w:r>
            <w:r w:rsidRPr="000C156A">
              <w:rPr>
                <w:rFonts w:ascii="SimSun" w:hAnsi="SimSun"/>
                <w:sz w:val="22"/>
                <w:szCs w:val="22"/>
              </w:rPr>
              <w:t>，</w:t>
            </w:r>
            <w:r w:rsidRPr="000C156A">
              <w:rPr>
                <w:sz w:val="22"/>
                <w:szCs w:val="22"/>
              </w:rPr>
              <w:t>Omaha</w:t>
            </w:r>
            <w:r w:rsidRPr="000C156A">
              <w:rPr>
                <w:rFonts w:ascii="SimSun" w:hAnsi="SimSun"/>
                <w:sz w:val="22"/>
                <w:szCs w:val="22"/>
              </w:rPr>
              <w:t>，</w:t>
            </w:r>
            <w:r w:rsidRPr="000C156A">
              <w:rPr>
                <w:sz w:val="22"/>
                <w:szCs w:val="22"/>
              </w:rPr>
              <w:t>Nebraska</w:t>
            </w:r>
          </w:p>
        </w:tc>
        <w:tc>
          <w:tcPr>
            <w:tcW w:w="415" w:type="pct"/>
            <w:tcBorders>
              <w:top w:val="nil"/>
              <w:left w:val="nil"/>
              <w:bottom w:val="single" w:sz="4" w:space="0" w:color="auto"/>
              <w:right w:val="single" w:sz="4" w:space="0" w:color="auto"/>
            </w:tcBorders>
            <w:shd w:val="clear" w:color="000000" w:fill="FFFFFF"/>
            <w:noWrap/>
            <w:hideMark/>
          </w:tcPr>
          <w:p w14:paraId="0ECC2F9A" w14:textId="77777777" w:rsidR="00686EC7" w:rsidRPr="000C156A" w:rsidRDefault="00686EC7" w:rsidP="00141BAA">
            <w:pPr>
              <w:overflowPunct/>
              <w:autoSpaceDE/>
              <w:autoSpaceDN/>
              <w:adjustRightInd/>
              <w:spacing w:before="0"/>
              <w:jc w:val="center"/>
              <w:textAlignment w:val="auto"/>
              <w:rPr>
                <w:sz w:val="22"/>
                <w:szCs w:val="22"/>
              </w:rPr>
            </w:pPr>
            <w:r w:rsidRPr="000C156A">
              <w:rPr>
                <w:sz w:val="22"/>
                <w:szCs w:val="22"/>
              </w:rPr>
              <w:t>2019</w:t>
            </w:r>
          </w:p>
        </w:tc>
        <w:tc>
          <w:tcPr>
            <w:tcW w:w="578" w:type="pct"/>
            <w:tcBorders>
              <w:top w:val="nil"/>
              <w:left w:val="nil"/>
              <w:bottom w:val="single" w:sz="4" w:space="0" w:color="auto"/>
              <w:right w:val="single" w:sz="4" w:space="0" w:color="auto"/>
            </w:tcBorders>
            <w:shd w:val="clear" w:color="000000" w:fill="FFFFFF"/>
            <w:noWrap/>
            <w:hideMark/>
          </w:tcPr>
          <w:p w14:paraId="4A4ADD58" w14:textId="77777777" w:rsidR="00686EC7" w:rsidRPr="000C156A" w:rsidRDefault="00686EC7" w:rsidP="00141BAA">
            <w:pPr>
              <w:overflowPunct/>
              <w:autoSpaceDE/>
              <w:autoSpaceDN/>
              <w:adjustRightInd/>
              <w:spacing w:before="0"/>
              <w:jc w:val="right"/>
              <w:textAlignment w:val="auto"/>
              <w:rPr>
                <w:sz w:val="22"/>
                <w:szCs w:val="22"/>
              </w:rPr>
            </w:pPr>
            <w:r w:rsidRPr="000C156A">
              <w:rPr>
                <w:sz w:val="22"/>
                <w:szCs w:val="22"/>
              </w:rPr>
              <w:t>100.00</w:t>
            </w:r>
          </w:p>
        </w:tc>
      </w:tr>
      <w:tr w:rsidR="00686EC7" w:rsidRPr="000C156A" w14:paraId="08DF62D2" w14:textId="77777777" w:rsidTr="004D1BDA">
        <w:trPr>
          <w:trHeight w:val="300"/>
        </w:trPr>
        <w:tc>
          <w:tcPr>
            <w:tcW w:w="1551" w:type="pct"/>
            <w:tcBorders>
              <w:top w:val="nil"/>
              <w:left w:val="single" w:sz="4" w:space="0" w:color="auto"/>
              <w:bottom w:val="single" w:sz="4" w:space="0" w:color="auto"/>
              <w:right w:val="single" w:sz="4" w:space="0" w:color="auto"/>
            </w:tcBorders>
            <w:shd w:val="clear" w:color="000000" w:fill="FFFFFF"/>
          </w:tcPr>
          <w:p w14:paraId="4D29E968" w14:textId="77777777" w:rsidR="00686EC7" w:rsidRPr="000C156A" w:rsidRDefault="00686EC7" w:rsidP="00141BAA">
            <w:pPr>
              <w:overflowPunct/>
              <w:autoSpaceDE/>
              <w:autoSpaceDN/>
              <w:adjustRightInd/>
              <w:spacing w:before="0"/>
              <w:textAlignment w:val="auto"/>
              <w:rPr>
                <w:rFonts w:cs="Calibri"/>
                <w:sz w:val="22"/>
                <w:szCs w:val="22"/>
                <w:lang w:eastAsia="en-GB"/>
              </w:rPr>
            </w:pPr>
          </w:p>
        </w:tc>
        <w:tc>
          <w:tcPr>
            <w:tcW w:w="2457" w:type="pct"/>
            <w:tcBorders>
              <w:top w:val="nil"/>
              <w:left w:val="nil"/>
              <w:bottom w:val="single" w:sz="4" w:space="0" w:color="auto"/>
              <w:right w:val="single" w:sz="4" w:space="0" w:color="auto"/>
            </w:tcBorders>
            <w:shd w:val="clear" w:color="000000" w:fill="FFFFFF"/>
            <w:noWrap/>
          </w:tcPr>
          <w:p w14:paraId="5BEC179E" w14:textId="77777777" w:rsidR="00686EC7" w:rsidRPr="000C156A" w:rsidRDefault="00686EC7" w:rsidP="00141BAA">
            <w:pPr>
              <w:overflowPunct/>
              <w:autoSpaceDE/>
              <w:autoSpaceDN/>
              <w:adjustRightInd/>
              <w:spacing w:before="0"/>
              <w:textAlignment w:val="auto"/>
              <w:rPr>
                <w:sz w:val="22"/>
                <w:szCs w:val="22"/>
              </w:rPr>
            </w:pPr>
            <w:r w:rsidRPr="000C156A">
              <w:rPr>
                <w:sz w:val="22"/>
                <w:szCs w:val="22"/>
              </w:rPr>
              <w:t>International Telecom Ltd.</w:t>
            </w:r>
            <w:r w:rsidRPr="000C156A">
              <w:rPr>
                <w:rFonts w:ascii="SimSun" w:hAnsi="SimSun"/>
                <w:sz w:val="22"/>
                <w:szCs w:val="22"/>
              </w:rPr>
              <w:t>，</w:t>
            </w:r>
            <w:r w:rsidRPr="000C156A">
              <w:rPr>
                <w:rFonts w:hint="eastAsia"/>
                <w:sz w:val="22"/>
                <w:szCs w:val="22"/>
                <w:lang w:eastAsia="zh-CN"/>
              </w:rPr>
              <w:t>西雅图</w:t>
            </w:r>
          </w:p>
        </w:tc>
        <w:tc>
          <w:tcPr>
            <w:tcW w:w="415" w:type="pct"/>
            <w:tcBorders>
              <w:top w:val="nil"/>
              <w:left w:val="nil"/>
              <w:bottom w:val="single" w:sz="4" w:space="0" w:color="auto"/>
              <w:right w:val="single" w:sz="4" w:space="0" w:color="auto"/>
            </w:tcBorders>
            <w:shd w:val="clear" w:color="000000" w:fill="FFFFFF"/>
            <w:noWrap/>
          </w:tcPr>
          <w:p w14:paraId="0B52E444" w14:textId="77777777" w:rsidR="00686EC7" w:rsidRPr="000C156A" w:rsidRDefault="00686EC7" w:rsidP="00141BAA">
            <w:pPr>
              <w:overflowPunct/>
              <w:autoSpaceDE/>
              <w:autoSpaceDN/>
              <w:adjustRightInd/>
              <w:spacing w:before="0"/>
              <w:jc w:val="center"/>
              <w:textAlignment w:val="auto"/>
              <w:rPr>
                <w:sz w:val="22"/>
                <w:szCs w:val="22"/>
              </w:rPr>
            </w:pPr>
            <w:r w:rsidRPr="000C156A">
              <w:rPr>
                <w:sz w:val="22"/>
                <w:szCs w:val="22"/>
              </w:rPr>
              <w:t>2018</w:t>
            </w:r>
          </w:p>
        </w:tc>
        <w:tc>
          <w:tcPr>
            <w:tcW w:w="578" w:type="pct"/>
            <w:tcBorders>
              <w:top w:val="nil"/>
              <w:left w:val="nil"/>
              <w:bottom w:val="single" w:sz="4" w:space="0" w:color="auto"/>
              <w:right w:val="single" w:sz="4" w:space="0" w:color="auto"/>
            </w:tcBorders>
            <w:shd w:val="clear" w:color="000000" w:fill="FFFFFF"/>
            <w:noWrap/>
          </w:tcPr>
          <w:p w14:paraId="060BAC58" w14:textId="43657402" w:rsidR="00686EC7" w:rsidRPr="000C156A" w:rsidRDefault="00686EC7" w:rsidP="00141BAA">
            <w:pPr>
              <w:overflowPunct/>
              <w:autoSpaceDE/>
              <w:autoSpaceDN/>
              <w:adjustRightInd/>
              <w:spacing w:before="0"/>
              <w:jc w:val="right"/>
              <w:textAlignment w:val="auto"/>
              <w:rPr>
                <w:sz w:val="22"/>
                <w:szCs w:val="22"/>
              </w:rPr>
            </w:pPr>
            <w:r w:rsidRPr="000C156A">
              <w:rPr>
                <w:sz w:val="22"/>
                <w:szCs w:val="22"/>
              </w:rPr>
              <w:t>5</w:t>
            </w:r>
            <w:r w:rsidR="001A59E5" w:rsidRPr="000C156A">
              <w:rPr>
                <w:sz w:val="22"/>
                <w:szCs w:val="22"/>
              </w:rPr>
              <w:t xml:space="preserve"> </w:t>
            </w:r>
            <w:r w:rsidRPr="000C156A">
              <w:rPr>
                <w:sz w:val="22"/>
                <w:szCs w:val="22"/>
              </w:rPr>
              <w:t>600.00</w:t>
            </w:r>
          </w:p>
        </w:tc>
      </w:tr>
      <w:tr w:rsidR="00686EC7" w:rsidRPr="000C156A" w14:paraId="0641A01E" w14:textId="77777777" w:rsidTr="004D1BDA">
        <w:trPr>
          <w:trHeight w:val="255"/>
        </w:trPr>
        <w:tc>
          <w:tcPr>
            <w:tcW w:w="1551" w:type="pct"/>
            <w:tcBorders>
              <w:top w:val="nil"/>
              <w:left w:val="single" w:sz="4" w:space="0" w:color="auto"/>
              <w:bottom w:val="single" w:sz="4" w:space="0" w:color="auto"/>
              <w:right w:val="single" w:sz="4" w:space="0" w:color="auto"/>
            </w:tcBorders>
            <w:shd w:val="clear" w:color="auto" w:fill="auto"/>
            <w:noWrap/>
            <w:vAlign w:val="center"/>
          </w:tcPr>
          <w:p w14:paraId="7CDEC443" w14:textId="77777777" w:rsidR="00686EC7" w:rsidRPr="000C156A" w:rsidRDefault="00686EC7" w:rsidP="00141BAA">
            <w:pPr>
              <w:overflowPunct/>
              <w:autoSpaceDE/>
              <w:autoSpaceDN/>
              <w:adjustRightInd/>
              <w:spacing w:before="0"/>
              <w:textAlignment w:val="auto"/>
              <w:rPr>
                <w:rFonts w:cs="Calibri"/>
                <w:b/>
                <w:bCs/>
                <w:color w:val="000000"/>
                <w:sz w:val="22"/>
                <w:szCs w:val="22"/>
                <w:lang w:eastAsia="zh-CN"/>
              </w:rPr>
            </w:pPr>
            <w:r w:rsidRPr="000C156A">
              <w:rPr>
                <w:rFonts w:cs="Calibri" w:hint="eastAsia"/>
                <w:b/>
                <w:bCs/>
                <w:sz w:val="22"/>
                <w:szCs w:val="22"/>
                <w:lang w:eastAsia="zh-CN"/>
              </w:rPr>
              <w:t>截至</w:t>
            </w:r>
            <w:r w:rsidRPr="000C156A">
              <w:rPr>
                <w:rFonts w:cs="Calibri"/>
                <w:b/>
                <w:bCs/>
                <w:sz w:val="22"/>
                <w:szCs w:val="22"/>
                <w:lang w:eastAsia="zh-CN"/>
              </w:rPr>
              <w:t>2020</w:t>
            </w:r>
            <w:r w:rsidRPr="000C156A">
              <w:rPr>
                <w:rFonts w:cs="Calibri" w:hint="eastAsia"/>
                <w:b/>
                <w:bCs/>
                <w:sz w:val="22"/>
                <w:szCs w:val="22"/>
                <w:lang w:eastAsia="zh-CN"/>
              </w:rPr>
              <w:t>年</w:t>
            </w:r>
            <w:r w:rsidRPr="000C156A">
              <w:rPr>
                <w:rFonts w:cs="Calibri"/>
                <w:b/>
                <w:bCs/>
                <w:sz w:val="22"/>
                <w:szCs w:val="22"/>
                <w:lang w:eastAsia="zh-CN"/>
              </w:rPr>
              <w:t>12</w:t>
            </w:r>
            <w:r w:rsidRPr="000C156A">
              <w:rPr>
                <w:rFonts w:cs="Calibri" w:hint="eastAsia"/>
                <w:b/>
                <w:bCs/>
                <w:sz w:val="22"/>
                <w:szCs w:val="22"/>
                <w:lang w:eastAsia="zh-CN"/>
              </w:rPr>
              <w:t>月</w:t>
            </w:r>
            <w:r w:rsidRPr="000C156A">
              <w:rPr>
                <w:rFonts w:cs="Calibri"/>
                <w:b/>
                <w:bCs/>
                <w:sz w:val="22"/>
                <w:szCs w:val="22"/>
                <w:lang w:eastAsia="zh-CN"/>
              </w:rPr>
              <w:t>31</w:t>
            </w:r>
            <w:r w:rsidRPr="000C156A">
              <w:rPr>
                <w:rFonts w:cs="Calibri" w:hint="eastAsia"/>
                <w:b/>
                <w:bCs/>
                <w:sz w:val="22"/>
                <w:szCs w:val="22"/>
                <w:lang w:eastAsia="zh-CN"/>
              </w:rPr>
              <w:t>日合计</w:t>
            </w:r>
          </w:p>
        </w:tc>
        <w:tc>
          <w:tcPr>
            <w:tcW w:w="2457" w:type="pct"/>
            <w:tcBorders>
              <w:top w:val="nil"/>
              <w:left w:val="nil"/>
              <w:bottom w:val="single" w:sz="4" w:space="0" w:color="auto"/>
              <w:right w:val="single" w:sz="4" w:space="0" w:color="auto"/>
            </w:tcBorders>
            <w:shd w:val="clear" w:color="auto" w:fill="auto"/>
            <w:noWrap/>
            <w:hideMark/>
          </w:tcPr>
          <w:p w14:paraId="091C4477" w14:textId="77777777" w:rsidR="00686EC7" w:rsidRPr="000C156A" w:rsidRDefault="00686EC7" w:rsidP="00141BAA">
            <w:pPr>
              <w:overflowPunct/>
              <w:autoSpaceDE/>
              <w:autoSpaceDN/>
              <w:adjustRightInd/>
              <w:spacing w:before="0"/>
              <w:textAlignment w:val="auto"/>
              <w:rPr>
                <w:rFonts w:cs="Calibri"/>
                <w:b/>
                <w:bCs/>
                <w:color w:val="000000"/>
                <w:sz w:val="22"/>
                <w:szCs w:val="22"/>
                <w:lang w:eastAsia="zh-CN"/>
              </w:rPr>
            </w:pPr>
            <w:r w:rsidRPr="000C156A">
              <w:rPr>
                <w:rFonts w:cs="Calibri"/>
                <w:b/>
                <w:bCs/>
                <w:color w:val="000000"/>
                <w:sz w:val="22"/>
                <w:szCs w:val="22"/>
                <w:lang w:eastAsia="zh-CN"/>
              </w:rPr>
              <w:t> </w:t>
            </w:r>
          </w:p>
        </w:tc>
        <w:tc>
          <w:tcPr>
            <w:tcW w:w="415" w:type="pct"/>
            <w:tcBorders>
              <w:top w:val="nil"/>
              <w:left w:val="nil"/>
              <w:bottom w:val="single" w:sz="4" w:space="0" w:color="auto"/>
              <w:right w:val="single" w:sz="4" w:space="0" w:color="auto"/>
            </w:tcBorders>
            <w:shd w:val="clear" w:color="auto" w:fill="auto"/>
            <w:noWrap/>
            <w:hideMark/>
          </w:tcPr>
          <w:p w14:paraId="1C7B421B" w14:textId="77777777" w:rsidR="00686EC7" w:rsidRPr="000C156A" w:rsidRDefault="00686EC7" w:rsidP="00141BAA">
            <w:pPr>
              <w:overflowPunct/>
              <w:autoSpaceDE/>
              <w:autoSpaceDN/>
              <w:adjustRightInd/>
              <w:spacing w:before="0"/>
              <w:textAlignment w:val="auto"/>
              <w:rPr>
                <w:rFonts w:cs="Calibri"/>
                <w:sz w:val="22"/>
                <w:szCs w:val="22"/>
                <w:lang w:eastAsia="zh-CN"/>
              </w:rPr>
            </w:pPr>
            <w:r w:rsidRPr="000C156A">
              <w:rPr>
                <w:rFonts w:cs="Calibri"/>
                <w:sz w:val="22"/>
                <w:szCs w:val="22"/>
                <w:lang w:eastAsia="zh-CN"/>
              </w:rPr>
              <w:t> </w:t>
            </w:r>
          </w:p>
        </w:tc>
        <w:tc>
          <w:tcPr>
            <w:tcW w:w="578" w:type="pct"/>
            <w:tcBorders>
              <w:top w:val="nil"/>
              <w:left w:val="nil"/>
              <w:bottom w:val="single" w:sz="4" w:space="0" w:color="auto"/>
              <w:right w:val="single" w:sz="4" w:space="0" w:color="auto"/>
            </w:tcBorders>
            <w:shd w:val="clear" w:color="auto" w:fill="auto"/>
            <w:noWrap/>
            <w:hideMark/>
          </w:tcPr>
          <w:p w14:paraId="3FA3B41D" w14:textId="06390895" w:rsidR="00686EC7" w:rsidRPr="000C156A" w:rsidRDefault="00686EC7" w:rsidP="00141BAA">
            <w:pPr>
              <w:overflowPunct/>
              <w:autoSpaceDE/>
              <w:autoSpaceDN/>
              <w:adjustRightInd/>
              <w:spacing w:before="0"/>
              <w:textAlignment w:val="auto"/>
              <w:rPr>
                <w:rFonts w:cs="Calibri"/>
                <w:b/>
                <w:bCs/>
                <w:color w:val="000000"/>
                <w:sz w:val="22"/>
                <w:szCs w:val="22"/>
                <w:lang w:eastAsia="en-GB"/>
              </w:rPr>
            </w:pPr>
            <w:r w:rsidRPr="000C156A">
              <w:rPr>
                <w:rFonts w:cs="Calibri"/>
                <w:b/>
                <w:bCs/>
                <w:color w:val="000000"/>
                <w:sz w:val="22"/>
                <w:szCs w:val="22"/>
                <w:lang w:eastAsia="en-GB"/>
              </w:rPr>
              <w:t>78</w:t>
            </w:r>
            <w:r w:rsidR="001A59E5" w:rsidRPr="000C156A">
              <w:rPr>
                <w:rFonts w:cs="Calibri"/>
                <w:b/>
                <w:bCs/>
                <w:color w:val="000000"/>
                <w:sz w:val="22"/>
                <w:szCs w:val="22"/>
                <w:lang w:eastAsia="en-GB"/>
              </w:rPr>
              <w:t xml:space="preserve"> </w:t>
            </w:r>
            <w:r w:rsidRPr="000C156A">
              <w:rPr>
                <w:rFonts w:cs="Calibri"/>
                <w:b/>
                <w:bCs/>
                <w:color w:val="000000"/>
                <w:sz w:val="22"/>
                <w:szCs w:val="22"/>
                <w:lang w:eastAsia="en-GB"/>
              </w:rPr>
              <w:t>300.00</w:t>
            </w:r>
          </w:p>
        </w:tc>
      </w:tr>
    </w:tbl>
    <w:p w14:paraId="1EA861BD" w14:textId="77777777" w:rsidR="00686EC7" w:rsidRPr="000C156A" w:rsidRDefault="00686EC7" w:rsidP="00686EC7">
      <w:pPr>
        <w:spacing w:before="0"/>
        <w:rPr>
          <w:b/>
          <w:bCs/>
          <w:lang w:val="fr-CH"/>
        </w:rPr>
      </w:pPr>
      <w:r w:rsidRPr="000C156A">
        <w:rPr>
          <w:b/>
          <w:bCs/>
          <w:lang w:val="fr-CH"/>
        </w:rPr>
        <w:br w:type="page"/>
      </w:r>
    </w:p>
    <w:tbl>
      <w:tblPr>
        <w:tblW w:w="5000" w:type="pct"/>
        <w:tblLook w:val="04A0" w:firstRow="1" w:lastRow="0" w:firstColumn="1" w:lastColumn="0" w:noHBand="0" w:noVBand="1"/>
      </w:tblPr>
      <w:tblGrid>
        <w:gridCol w:w="4760"/>
        <w:gridCol w:w="291"/>
        <w:gridCol w:w="4588"/>
      </w:tblGrid>
      <w:tr w:rsidR="00686EC7" w:rsidRPr="000C156A" w14:paraId="50D0E5D6" w14:textId="77777777" w:rsidTr="00141BAA">
        <w:trPr>
          <w:trHeight w:val="300"/>
        </w:trPr>
        <w:tc>
          <w:tcPr>
            <w:tcW w:w="5000" w:type="pct"/>
            <w:gridSpan w:val="3"/>
            <w:tcBorders>
              <w:top w:val="nil"/>
              <w:left w:val="nil"/>
              <w:bottom w:val="nil"/>
              <w:right w:val="nil"/>
            </w:tcBorders>
            <w:shd w:val="clear" w:color="auto" w:fill="auto"/>
            <w:noWrap/>
            <w:vAlign w:val="bottom"/>
            <w:hideMark/>
          </w:tcPr>
          <w:p w14:paraId="3CBA4409" w14:textId="77777777" w:rsidR="00686EC7" w:rsidRPr="000C156A" w:rsidRDefault="00686EC7" w:rsidP="00FB4F15">
            <w:pPr>
              <w:pStyle w:val="Tabletitle"/>
              <w:spacing w:before="120" w:after="240"/>
              <w:rPr>
                <w:rFonts w:cs="Calibri"/>
                <w:b w:val="0"/>
                <w:bCs/>
                <w:color w:val="000000"/>
                <w:sz w:val="22"/>
                <w:szCs w:val="22"/>
                <w:u w:val="single"/>
                <w:lang w:eastAsia="en-GB"/>
              </w:rPr>
            </w:pPr>
            <w:r w:rsidRPr="000C156A">
              <w:rPr>
                <w:rFonts w:cs="Microsoft YaHei" w:hint="eastAsia"/>
                <w:sz w:val="28"/>
                <w:szCs w:val="28"/>
                <w:u w:val="single"/>
                <w:lang w:val="fr-FR"/>
              </w:rPr>
              <w:lastRenderedPageBreak/>
              <w:t>截至</w:t>
            </w:r>
            <w:r w:rsidRPr="000C156A">
              <w:rPr>
                <w:rFonts w:cs="Microsoft YaHei"/>
                <w:sz w:val="28"/>
                <w:szCs w:val="28"/>
                <w:u w:val="single"/>
                <w:lang w:val="fr-FR"/>
              </w:rPr>
              <w:t>2020</w:t>
            </w:r>
            <w:r w:rsidRPr="000C156A">
              <w:rPr>
                <w:rFonts w:cs="Microsoft YaHei" w:hint="eastAsia"/>
                <w:sz w:val="28"/>
                <w:szCs w:val="28"/>
                <w:u w:val="single"/>
                <w:lang w:val="fr-FR"/>
              </w:rPr>
              <w:t>年</w:t>
            </w:r>
            <w:r w:rsidRPr="000C156A">
              <w:rPr>
                <w:rFonts w:cs="Microsoft YaHei"/>
                <w:sz w:val="28"/>
                <w:szCs w:val="28"/>
                <w:u w:val="single"/>
                <w:lang w:val="fr-FR"/>
              </w:rPr>
              <w:t>12</w:t>
            </w:r>
            <w:r w:rsidRPr="000C156A">
              <w:rPr>
                <w:rFonts w:cs="Microsoft YaHei" w:hint="eastAsia"/>
                <w:sz w:val="28"/>
                <w:szCs w:val="28"/>
                <w:u w:val="single"/>
                <w:lang w:val="fr-FR"/>
              </w:rPr>
              <w:t>月</w:t>
            </w:r>
            <w:r w:rsidRPr="000C156A">
              <w:rPr>
                <w:rFonts w:cs="Microsoft YaHei"/>
                <w:sz w:val="28"/>
                <w:szCs w:val="28"/>
                <w:u w:val="single"/>
                <w:lang w:val="fr-FR"/>
              </w:rPr>
              <w:t>31</w:t>
            </w:r>
            <w:r w:rsidRPr="000C156A">
              <w:rPr>
                <w:rFonts w:cs="Microsoft YaHei" w:hint="eastAsia"/>
                <w:sz w:val="28"/>
                <w:szCs w:val="28"/>
                <w:u w:val="single"/>
                <w:lang w:val="fr-FR"/>
              </w:rPr>
              <w:t>日的欠款概要</w:t>
            </w:r>
          </w:p>
        </w:tc>
      </w:tr>
      <w:tr w:rsidR="00686EC7" w:rsidRPr="000C156A" w14:paraId="48AEF349" w14:textId="77777777" w:rsidTr="00141BAA">
        <w:trPr>
          <w:trHeight w:val="300"/>
        </w:trPr>
        <w:tc>
          <w:tcPr>
            <w:tcW w:w="2469" w:type="pct"/>
            <w:tcBorders>
              <w:top w:val="nil"/>
              <w:left w:val="nil"/>
              <w:bottom w:val="nil"/>
              <w:right w:val="nil"/>
            </w:tcBorders>
            <w:shd w:val="clear" w:color="auto" w:fill="auto"/>
            <w:noWrap/>
            <w:vAlign w:val="bottom"/>
            <w:hideMark/>
          </w:tcPr>
          <w:p w14:paraId="790E110A" w14:textId="77777777" w:rsidR="00686EC7" w:rsidRPr="000C156A" w:rsidRDefault="00686EC7" w:rsidP="00141BAA">
            <w:pPr>
              <w:overflowPunct/>
              <w:autoSpaceDE/>
              <w:autoSpaceDN/>
              <w:adjustRightInd/>
              <w:spacing w:before="0"/>
              <w:jc w:val="center"/>
              <w:textAlignment w:val="auto"/>
              <w:rPr>
                <w:rFonts w:cs="Calibri"/>
                <w:b/>
                <w:bCs/>
                <w:color w:val="000000"/>
                <w:sz w:val="22"/>
                <w:szCs w:val="22"/>
                <w:u w:val="single"/>
                <w:lang w:eastAsia="en-GB"/>
              </w:rPr>
            </w:pPr>
          </w:p>
        </w:tc>
        <w:tc>
          <w:tcPr>
            <w:tcW w:w="151" w:type="pct"/>
            <w:tcBorders>
              <w:top w:val="nil"/>
              <w:left w:val="nil"/>
              <w:bottom w:val="nil"/>
              <w:right w:val="nil"/>
            </w:tcBorders>
            <w:shd w:val="clear" w:color="auto" w:fill="auto"/>
            <w:noWrap/>
            <w:vAlign w:val="bottom"/>
            <w:hideMark/>
          </w:tcPr>
          <w:p w14:paraId="2BB0A5B8" w14:textId="77777777" w:rsidR="00686EC7" w:rsidRPr="000C156A" w:rsidRDefault="00686EC7" w:rsidP="00141BAA">
            <w:pPr>
              <w:overflowPunct/>
              <w:autoSpaceDE/>
              <w:autoSpaceDN/>
              <w:adjustRightInd/>
              <w:spacing w:before="0"/>
              <w:textAlignment w:val="auto"/>
              <w:rPr>
                <w:rFonts w:ascii="Times New Roman" w:hAnsi="Times New Roman"/>
                <w:sz w:val="22"/>
                <w:szCs w:val="22"/>
                <w:lang w:eastAsia="en-GB"/>
              </w:rPr>
            </w:pPr>
          </w:p>
        </w:tc>
        <w:tc>
          <w:tcPr>
            <w:tcW w:w="2380" w:type="pct"/>
            <w:tcBorders>
              <w:top w:val="nil"/>
              <w:left w:val="nil"/>
              <w:bottom w:val="nil"/>
              <w:right w:val="nil"/>
            </w:tcBorders>
            <w:shd w:val="clear" w:color="auto" w:fill="auto"/>
            <w:noWrap/>
            <w:vAlign w:val="bottom"/>
            <w:hideMark/>
          </w:tcPr>
          <w:p w14:paraId="32D24BB3" w14:textId="77777777" w:rsidR="00686EC7" w:rsidRPr="000C156A" w:rsidRDefault="00686EC7" w:rsidP="00141BAA">
            <w:pPr>
              <w:overflowPunct/>
              <w:autoSpaceDE/>
              <w:autoSpaceDN/>
              <w:adjustRightInd/>
              <w:spacing w:before="0"/>
              <w:textAlignment w:val="auto"/>
              <w:rPr>
                <w:rFonts w:ascii="Times New Roman" w:hAnsi="Times New Roman"/>
                <w:sz w:val="22"/>
                <w:szCs w:val="22"/>
                <w:lang w:eastAsia="en-GB"/>
              </w:rPr>
            </w:pPr>
          </w:p>
        </w:tc>
      </w:tr>
      <w:tr w:rsidR="00686EC7" w:rsidRPr="000C156A" w14:paraId="22FC7A79" w14:textId="77777777" w:rsidTr="00141BAA">
        <w:trPr>
          <w:trHeight w:val="300"/>
        </w:trPr>
        <w:tc>
          <w:tcPr>
            <w:tcW w:w="2469" w:type="pct"/>
            <w:tcBorders>
              <w:top w:val="single" w:sz="4" w:space="0" w:color="auto"/>
              <w:left w:val="single" w:sz="4" w:space="0" w:color="auto"/>
              <w:bottom w:val="single" w:sz="4" w:space="0" w:color="auto"/>
              <w:right w:val="nil"/>
            </w:tcBorders>
            <w:shd w:val="clear" w:color="auto" w:fill="auto"/>
            <w:noWrap/>
            <w:vAlign w:val="bottom"/>
            <w:hideMark/>
          </w:tcPr>
          <w:p w14:paraId="7AB80884" w14:textId="77777777" w:rsidR="00686EC7" w:rsidRPr="000C156A" w:rsidRDefault="00686EC7" w:rsidP="00141BAA">
            <w:pPr>
              <w:overflowPunct/>
              <w:autoSpaceDE/>
              <w:autoSpaceDN/>
              <w:adjustRightInd/>
              <w:spacing w:before="40" w:after="40"/>
              <w:textAlignment w:val="auto"/>
              <w:rPr>
                <w:rFonts w:cs="Calibri"/>
                <w:b/>
                <w:bCs/>
                <w:sz w:val="22"/>
                <w:szCs w:val="22"/>
                <w:lang w:eastAsia="en-GB"/>
              </w:rPr>
            </w:pPr>
            <w:r w:rsidRPr="000C156A">
              <w:rPr>
                <w:rFonts w:asciiTheme="minorHAnsi" w:eastAsiaTheme="minorEastAsia" w:hAnsiTheme="minorHAnsi" w:cs="Calibri" w:hint="eastAsia"/>
                <w:b/>
                <w:bCs/>
                <w:sz w:val="22"/>
                <w:szCs w:val="22"/>
              </w:rPr>
              <w:t>欠款</w:t>
            </w:r>
          </w:p>
        </w:tc>
        <w:tc>
          <w:tcPr>
            <w:tcW w:w="151" w:type="pct"/>
            <w:tcBorders>
              <w:top w:val="single" w:sz="4" w:space="0" w:color="auto"/>
              <w:left w:val="nil"/>
              <w:bottom w:val="single" w:sz="4" w:space="0" w:color="auto"/>
              <w:right w:val="nil"/>
            </w:tcBorders>
            <w:shd w:val="clear" w:color="auto" w:fill="auto"/>
            <w:noWrap/>
            <w:vAlign w:val="bottom"/>
            <w:hideMark/>
          </w:tcPr>
          <w:p w14:paraId="012B975C" w14:textId="77777777" w:rsidR="00686EC7" w:rsidRPr="000C156A" w:rsidRDefault="00686EC7" w:rsidP="00141BAA">
            <w:pPr>
              <w:overflowPunct/>
              <w:autoSpaceDE/>
              <w:autoSpaceDN/>
              <w:adjustRightInd/>
              <w:spacing w:before="40" w:after="40"/>
              <w:jc w:val="center"/>
              <w:textAlignment w:val="auto"/>
              <w:rPr>
                <w:rFonts w:cs="Calibri"/>
                <w:sz w:val="22"/>
                <w:szCs w:val="22"/>
                <w:lang w:eastAsia="en-GB"/>
              </w:rPr>
            </w:pPr>
            <w:r w:rsidRPr="000C156A">
              <w:rPr>
                <w:rFonts w:asciiTheme="minorHAnsi" w:eastAsiaTheme="minorEastAsia" w:hAnsiTheme="minorHAnsi"/>
                <w:sz w:val="22"/>
                <w:szCs w:val="22"/>
              </w:rPr>
              <w:t> </w:t>
            </w:r>
          </w:p>
        </w:tc>
        <w:tc>
          <w:tcPr>
            <w:tcW w:w="23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5A4B04" w14:textId="77777777" w:rsidR="00686EC7" w:rsidRPr="000C156A" w:rsidRDefault="00686EC7" w:rsidP="00141BAA">
            <w:pPr>
              <w:overflowPunct/>
              <w:autoSpaceDE/>
              <w:autoSpaceDN/>
              <w:adjustRightInd/>
              <w:spacing w:before="40" w:after="40"/>
              <w:jc w:val="center"/>
              <w:textAlignment w:val="auto"/>
              <w:rPr>
                <w:rFonts w:cs="Calibri"/>
                <w:b/>
                <w:bCs/>
                <w:sz w:val="22"/>
                <w:szCs w:val="22"/>
                <w:lang w:eastAsia="en-GB"/>
              </w:rPr>
            </w:pPr>
            <w:r w:rsidRPr="000C156A">
              <w:rPr>
                <w:rFonts w:asciiTheme="minorHAnsi" w:eastAsiaTheme="minorEastAsia" w:hAnsiTheme="minorHAnsi" w:cs="Calibri" w:hint="eastAsia"/>
                <w:b/>
                <w:bCs/>
                <w:sz w:val="22"/>
                <w:szCs w:val="22"/>
                <w:lang w:eastAsia="zh-CN"/>
              </w:rPr>
              <w:t>瑞郎</w:t>
            </w:r>
          </w:p>
        </w:tc>
      </w:tr>
      <w:tr w:rsidR="00686EC7" w:rsidRPr="000C156A" w14:paraId="1A9350A9" w14:textId="77777777" w:rsidTr="00141BAA">
        <w:trPr>
          <w:trHeight w:val="211"/>
        </w:trPr>
        <w:tc>
          <w:tcPr>
            <w:tcW w:w="2469" w:type="pct"/>
            <w:tcBorders>
              <w:top w:val="nil"/>
              <w:left w:val="single" w:sz="4" w:space="0" w:color="auto"/>
              <w:bottom w:val="nil"/>
              <w:right w:val="nil"/>
            </w:tcBorders>
            <w:shd w:val="clear" w:color="auto" w:fill="auto"/>
            <w:noWrap/>
            <w:vAlign w:val="bottom"/>
            <w:hideMark/>
          </w:tcPr>
          <w:p w14:paraId="4AF344C4" w14:textId="77777777" w:rsidR="00686EC7" w:rsidRPr="000C156A" w:rsidRDefault="00686EC7" w:rsidP="00141BAA">
            <w:pPr>
              <w:overflowPunct/>
              <w:autoSpaceDE/>
              <w:autoSpaceDN/>
              <w:adjustRightInd/>
              <w:spacing w:before="40" w:after="40"/>
              <w:textAlignment w:val="auto"/>
              <w:rPr>
                <w:rFonts w:cs="Calibri"/>
                <w:sz w:val="22"/>
                <w:szCs w:val="22"/>
                <w:lang w:eastAsia="en-GB"/>
              </w:rPr>
            </w:pPr>
            <w:r w:rsidRPr="000C156A">
              <w:rPr>
                <w:rFonts w:asciiTheme="minorHAnsi" w:eastAsiaTheme="minorEastAsia" w:hAnsiTheme="minorHAnsi" w:cstheme="minorHAnsi" w:hint="eastAsia"/>
                <w:sz w:val="22"/>
                <w:szCs w:val="22"/>
                <w:lang w:eastAsia="zh-CN"/>
              </w:rPr>
              <w:t>会费</w:t>
            </w:r>
          </w:p>
        </w:tc>
        <w:tc>
          <w:tcPr>
            <w:tcW w:w="151" w:type="pct"/>
            <w:tcBorders>
              <w:top w:val="nil"/>
              <w:left w:val="nil"/>
              <w:bottom w:val="nil"/>
              <w:right w:val="single" w:sz="4" w:space="0" w:color="auto"/>
            </w:tcBorders>
            <w:shd w:val="clear" w:color="auto" w:fill="auto"/>
            <w:noWrap/>
            <w:vAlign w:val="bottom"/>
            <w:hideMark/>
          </w:tcPr>
          <w:p w14:paraId="71A1E83E" w14:textId="77777777" w:rsidR="00686EC7" w:rsidRPr="000C156A" w:rsidRDefault="00686EC7" w:rsidP="00141BAA">
            <w:pPr>
              <w:overflowPunct/>
              <w:autoSpaceDE/>
              <w:autoSpaceDN/>
              <w:adjustRightInd/>
              <w:spacing w:before="40" w:after="40"/>
              <w:jc w:val="center"/>
              <w:textAlignment w:val="auto"/>
              <w:rPr>
                <w:rFonts w:cs="Calibri"/>
                <w:sz w:val="22"/>
                <w:szCs w:val="22"/>
                <w:lang w:eastAsia="en-GB"/>
              </w:rPr>
            </w:pPr>
            <w:r w:rsidRPr="000C156A">
              <w:rPr>
                <w:rFonts w:asciiTheme="minorHAnsi" w:eastAsiaTheme="minorEastAsia" w:hAnsiTheme="minorHAnsi"/>
                <w:sz w:val="22"/>
                <w:szCs w:val="22"/>
                <w:lang w:eastAsia="zh-CN"/>
              </w:rPr>
              <w:t> </w:t>
            </w:r>
          </w:p>
        </w:tc>
        <w:tc>
          <w:tcPr>
            <w:tcW w:w="2380" w:type="pct"/>
            <w:tcBorders>
              <w:top w:val="nil"/>
              <w:left w:val="nil"/>
              <w:bottom w:val="nil"/>
              <w:right w:val="single" w:sz="4" w:space="0" w:color="auto"/>
            </w:tcBorders>
            <w:shd w:val="clear" w:color="auto" w:fill="auto"/>
            <w:vAlign w:val="bottom"/>
            <w:hideMark/>
          </w:tcPr>
          <w:p w14:paraId="6B5798F1" w14:textId="0023C3A0" w:rsidR="00686EC7" w:rsidRPr="000C156A" w:rsidRDefault="00686EC7" w:rsidP="00141BAA">
            <w:pPr>
              <w:keepNext/>
              <w:keepLines/>
              <w:spacing w:before="40" w:after="40"/>
              <w:jc w:val="right"/>
              <w:rPr>
                <w:rFonts w:cs="Calibri"/>
                <w:b/>
                <w:bCs/>
                <w:sz w:val="22"/>
                <w:szCs w:val="22"/>
                <w:lang w:eastAsia="en-GB"/>
              </w:rPr>
            </w:pPr>
            <w:r w:rsidRPr="000C156A">
              <w:rPr>
                <w:rFonts w:cs="Calibri"/>
                <w:b/>
                <w:bCs/>
                <w:sz w:val="22"/>
                <w:szCs w:val="22"/>
                <w:lang w:eastAsia="en-GB"/>
              </w:rPr>
              <w:t>20</w:t>
            </w:r>
            <w:r w:rsidR="001A59E5" w:rsidRPr="000C156A">
              <w:rPr>
                <w:rFonts w:cs="Calibri"/>
                <w:b/>
                <w:bCs/>
                <w:sz w:val="22"/>
                <w:szCs w:val="22"/>
                <w:lang w:eastAsia="en-GB"/>
              </w:rPr>
              <w:t xml:space="preserve"> </w:t>
            </w:r>
            <w:r w:rsidRPr="000C156A">
              <w:rPr>
                <w:rFonts w:cs="Calibri"/>
                <w:b/>
                <w:bCs/>
                <w:sz w:val="22"/>
                <w:szCs w:val="22"/>
                <w:lang w:eastAsia="en-GB"/>
              </w:rPr>
              <w:t>423</w:t>
            </w:r>
            <w:r w:rsidR="001A59E5" w:rsidRPr="000C156A">
              <w:rPr>
                <w:rFonts w:cs="Calibri"/>
                <w:b/>
                <w:bCs/>
                <w:sz w:val="22"/>
                <w:szCs w:val="22"/>
                <w:lang w:eastAsia="en-GB"/>
              </w:rPr>
              <w:t xml:space="preserve"> </w:t>
            </w:r>
            <w:r w:rsidRPr="000C156A">
              <w:rPr>
                <w:rFonts w:cs="Calibri"/>
                <w:b/>
                <w:bCs/>
                <w:sz w:val="22"/>
                <w:szCs w:val="22"/>
                <w:lang w:eastAsia="en-GB"/>
              </w:rPr>
              <w:t>664.58</w:t>
            </w:r>
          </w:p>
        </w:tc>
      </w:tr>
      <w:tr w:rsidR="00686EC7" w:rsidRPr="000C156A" w14:paraId="0B511374" w14:textId="77777777" w:rsidTr="00141BAA">
        <w:trPr>
          <w:trHeight w:val="300"/>
        </w:trPr>
        <w:tc>
          <w:tcPr>
            <w:tcW w:w="2469" w:type="pct"/>
            <w:tcBorders>
              <w:top w:val="nil"/>
              <w:left w:val="single" w:sz="4" w:space="0" w:color="auto"/>
              <w:bottom w:val="nil"/>
              <w:right w:val="nil"/>
            </w:tcBorders>
            <w:shd w:val="clear" w:color="auto" w:fill="auto"/>
            <w:noWrap/>
            <w:vAlign w:val="bottom"/>
            <w:hideMark/>
          </w:tcPr>
          <w:p w14:paraId="208A27A8" w14:textId="77777777" w:rsidR="00686EC7" w:rsidRPr="000C156A" w:rsidRDefault="00686EC7" w:rsidP="00141BAA">
            <w:pPr>
              <w:overflowPunct/>
              <w:autoSpaceDE/>
              <w:autoSpaceDN/>
              <w:adjustRightInd/>
              <w:spacing w:before="40" w:after="40"/>
              <w:textAlignment w:val="auto"/>
              <w:rPr>
                <w:rFonts w:asciiTheme="minorHAnsi" w:eastAsiaTheme="minorEastAsia" w:hAnsiTheme="minorHAnsi" w:cstheme="minorHAnsi"/>
                <w:sz w:val="22"/>
                <w:szCs w:val="22"/>
                <w:lang w:eastAsia="zh-CN"/>
              </w:rPr>
            </w:pPr>
            <w:r w:rsidRPr="000C156A">
              <w:rPr>
                <w:rFonts w:asciiTheme="minorHAnsi" w:eastAsiaTheme="minorEastAsia" w:hAnsiTheme="minorHAnsi" w:cstheme="minorHAnsi" w:hint="eastAsia"/>
                <w:sz w:val="22"/>
                <w:szCs w:val="22"/>
                <w:lang w:eastAsia="zh-CN"/>
              </w:rPr>
              <w:t>出版物</w:t>
            </w:r>
          </w:p>
        </w:tc>
        <w:tc>
          <w:tcPr>
            <w:tcW w:w="151" w:type="pct"/>
            <w:tcBorders>
              <w:top w:val="nil"/>
              <w:left w:val="nil"/>
              <w:bottom w:val="nil"/>
              <w:right w:val="single" w:sz="4" w:space="0" w:color="auto"/>
            </w:tcBorders>
            <w:shd w:val="clear" w:color="auto" w:fill="auto"/>
            <w:noWrap/>
            <w:vAlign w:val="bottom"/>
            <w:hideMark/>
          </w:tcPr>
          <w:p w14:paraId="6F201DB6" w14:textId="77777777" w:rsidR="00686EC7" w:rsidRPr="000C156A" w:rsidRDefault="00686EC7" w:rsidP="00141BAA">
            <w:pPr>
              <w:overflowPunct/>
              <w:autoSpaceDE/>
              <w:autoSpaceDN/>
              <w:adjustRightInd/>
              <w:spacing w:before="40" w:after="40"/>
              <w:jc w:val="center"/>
              <w:textAlignment w:val="auto"/>
              <w:rPr>
                <w:rFonts w:cs="Calibri"/>
                <w:sz w:val="22"/>
                <w:szCs w:val="22"/>
                <w:lang w:eastAsia="en-GB"/>
              </w:rPr>
            </w:pPr>
            <w:r w:rsidRPr="000C156A">
              <w:rPr>
                <w:rFonts w:asciiTheme="minorHAnsi" w:eastAsiaTheme="minorEastAsia" w:hAnsiTheme="minorHAnsi"/>
                <w:sz w:val="22"/>
                <w:szCs w:val="22"/>
                <w:lang w:eastAsia="zh-CN"/>
              </w:rPr>
              <w:t> </w:t>
            </w:r>
          </w:p>
        </w:tc>
        <w:tc>
          <w:tcPr>
            <w:tcW w:w="2380" w:type="pct"/>
            <w:tcBorders>
              <w:top w:val="nil"/>
              <w:left w:val="nil"/>
              <w:bottom w:val="nil"/>
              <w:right w:val="single" w:sz="4" w:space="0" w:color="auto"/>
            </w:tcBorders>
            <w:shd w:val="clear" w:color="auto" w:fill="auto"/>
            <w:vAlign w:val="bottom"/>
            <w:hideMark/>
          </w:tcPr>
          <w:p w14:paraId="3E20CC79" w14:textId="5F163C06" w:rsidR="00686EC7" w:rsidRPr="000C156A" w:rsidRDefault="00686EC7" w:rsidP="00141BAA">
            <w:pPr>
              <w:keepNext/>
              <w:keepLines/>
              <w:spacing w:before="40" w:after="40"/>
              <w:jc w:val="right"/>
              <w:rPr>
                <w:rFonts w:cs="Calibri"/>
                <w:b/>
                <w:bCs/>
                <w:sz w:val="22"/>
                <w:szCs w:val="22"/>
                <w:lang w:eastAsia="en-GB"/>
              </w:rPr>
            </w:pPr>
            <w:r w:rsidRPr="000C156A">
              <w:rPr>
                <w:rFonts w:cs="Calibri"/>
                <w:b/>
                <w:bCs/>
                <w:sz w:val="22"/>
                <w:szCs w:val="22"/>
                <w:lang w:eastAsia="en-GB"/>
              </w:rPr>
              <w:t>97</w:t>
            </w:r>
            <w:r w:rsidR="001A59E5" w:rsidRPr="000C156A">
              <w:rPr>
                <w:rFonts w:cs="Calibri"/>
                <w:b/>
                <w:bCs/>
                <w:sz w:val="22"/>
                <w:szCs w:val="22"/>
                <w:lang w:eastAsia="en-GB"/>
              </w:rPr>
              <w:t xml:space="preserve"> </w:t>
            </w:r>
            <w:r w:rsidRPr="000C156A">
              <w:rPr>
                <w:rFonts w:cs="Calibri"/>
                <w:b/>
                <w:bCs/>
                <w:sz w:val="22"/>
                <w:szCs w:val="22"/>
                <w:lang w:eastAsia="en-GB"/>
              </w:rPr>
              <w:t>170.30</w:t>
            </w:r>
          </w:p>
        </w:tc>
      </w:tr>
      <w:tr w:rsidR="00686EC7" w:rsidRPr="000C156A" w14:paraId="5733E6D3" w14:textId="77777777" w:rsidTr="00141BAA">
        <w:trPr>
          <w:trHeight w:val="300"/>
        </w:trPr>
        <w:tc>
          <w:tcPr>
            <w:tcW w:w="2620" w:type="pct"/>
            <w:gridSpan w:val="2"/>
            <w:tcBorders>
              <w:top w:val="nil"/>
              <w:left w:val="single" w:sz="4" w:space="0" w:color="auto"/>
              <w:bottom w:val="nil"/>
              <w:right w:val="single" w:sz="4" w:space="0" w:color="000000"/>
            </w:tcBorders>
            <w:shd w:val="clear" w:color="auto" w:fill="auto"/>
            <w:noWrap/>
            <w:vAlign w:val="bottom"/>
            <w:hideMark/>
          </w:tcPr>
          <w:p w14:paraId="40640648" w14:textId="77777777" w:rsidR="00686EC7" w:rsidRPr="000C156A" w:rsidRDefault="00686EC7" w:rsidP="00141BAA">
            <w:pPr>
              <w:overflowPunct/>
              <w:autoSpaceDE/>
              <w:autoSpaceDN/>
              <w:adjustRightInd/>
              <w:spacing w:before="40" w:after="40"/>
              <w:textAlignment w:val="auto"/>
              <w:rPr>
                <w:rFonts w:cs="Calibri"/>
                <w:sz w:val="22"/>
                <w:szCs w:val="22"/>
                <w:lang w:eastAsia="zh-CN"/>
              </w:rPr>
            </w:pPr>
            <w:r w:rsidRPr="000C156A">
              <w:rPr>
                <w:rFonts w:asciiTheme="minorHAnsi" w:eastAsiaTheme="minorEastAsia" w:hAnsiTheme="minorHAnsi" w:cstheme="minorHAnsi" w:hint="eastAsia"/>
                <w:sz w:val="22"/>
                <w:szCs w:val="22"/>
                <w:lang w:eastAsia="zh-CN"/>
              </w:rPr>
              <w:t>卫星网络申报（</w:t>
            </w:r>
            <w:r w:rsidRPr="000C156A">
              <w:rPr>
                <w:rFonts w:asciiTheme="minorHAnsi" w:eastAsiaTheme="minorEastAsia" w:hAnsiTheme="minorHAnsi" w:cstheme="minorHAnsi" w:hint="eastAsia"/>
                <w:sz w:val="22"/>
                <w:szCs w:val="22"/>
                <w:lang w:eastAsia="zh-CN"/>
              </w:rPr>
              <w:t>SNF</w:t>
            </w:r>
            <w:r w:rsidRPr="000C156A">
              <w:rPr>
                <w:rFonts w:asciiTheme="minorHAnsi" w:eastAsiaTheme="minorEastAsia" w:hAnsiTheme="minorHAnsi" w:cstheme="minorHAnsi" w:hint="eastAsia"/>
                <w:sz w:val="22"/>
                <w:szCs w:val="22"/>
                <w:lang w:eastAsia="zh-CN"/>
              </w:rPr>
              <w:t>）</w:t>
            </w:r>
          </w:p>
        </w:tc>
        <w:tc>
          <w:tcPr>
            <w:tcW w:w="2380" w:type="pct"/>
            <w:tcBorders>
              <w:top w:val="nil"/>
              <w:left w:val="nil"/>
              <w:bottom w:val="nil"/>
              <w:right w:val="single" w:sz="4" w:space="0" w:color="auto"/>
            </w:tcBorders>
            <w:shd w:val="clear" w:color="000000" w:fill="FFFFFF"/>
            <w:vAlign w:val="bottom"/>
            <w:hideMark/>
          </w:tcPr>
          <w:p w14:paraId="5851DA63" w14:textId="1ABF8D28" w:rsidR="00686EC7" w:rsidRPr="000C156A" w:rsidRDefault="00686EC7" w:rsidP="00141BAA">
            <w:pPr>
              <w:overflowPunct/>
              <w:autoSpaceDE/>
              <w:autoSpaceDN/>
              <w:adjustRightInd/>
              <w:spacing w:before="40" w:after="40"/>
              <w:jc w:val="right"/>
              <w:textAlignment w:val="auto"/>
              <w:rPr>
                <w:rFonts w:cs="Calibri"/>
                <w:b/>
                <w:bCs/>
                <w:sz w:val="22"/>
                <w:szCs w:val="22"/>
                <w:lang w:eastAsia="en-GB"/>
              </w:rPr>
            </w:pPr>
            <w:r w:rsidRPr="000C156A">
              <w:rPr>
                <w:rFonts w:cs="Calibri"/>
                <w:b/>
                <w:bCs/>
                <w:sz w:val="22"/>
                <w:szCs w:val="22"/>
                <w:lang w:eastAsia="en-GB"/>
              </w:rPr>
              <w:t>253</w:t>
            </w:r>
            <w:r w:rsidR="001A59E5" w:rsidRPr="000C156A">
              <w:rPr>
                <w:rFonts w:cs="Calibri"/>
                <w:b/>
                <w:bCs/>
                <w:sz w:val="22"/>
                <w:szCs w:val="22"/>
                <w:lang w:eastAsia="en-GB"/>
              </w:rPr>
              <w:t xml:space="preserve"> </w:t>
            </w:r>
            <w:r w:rsidRPr="000C156A">
              <w:rPr>
                <w:rFonts w:cs="Calibri"/>
                <w:b/>
                <w:bCs/>
                <w:sz w:val="22"/>
                <w:szCs w:val="22"/>
                <w:lang w:eastAsia="en-GB"/>
              </w:rPr>
              <w:t>021.70</w:t>
            </w:r>
          </w:p>
        </w:tc>
      </w:tr>
      <w:tr w:rsidR="00686EC7" w:rsidRPr="000C156A" w14:paraId="345C9236" w14:textId="77777777" w:rsidTr="00141BAA">
        <w:trPr>
          <w:trHeight w:val="300"/>
        </w:trPr>
        <w:tc>
          <w:tcPr>
            <w:tcW w:w="2620" w:type="pct"/>
            <w:gridSpan w:val="2"/>
            <w:tcBorders>
              <w:top w:val="nil"/>
              <w:left w:val="single" w:sz="4" w:space="0" w:color="auto"/>
              <w:bottom w:val="nil"/>
              <w:right w:val="single" w:sz="4" w:space="0" w:color="000000"/>
            </w:tcBorders>
            <w:shd w:val="clear" w:color="auto" w:fill="auto"/>
            <w:noWrap/>
            <w:vAlign w:val="bottom"/>
            <w:hideMark/>
          </w:tcPr>
          <w:p w14:paraId="7D2B04D7" w14:textId="77777777" w:rsidR="00686EC7" w:rsidRPr="000C156A" w:rsidRDefault="00686EC7" w:rsidP="00141BAA">
            <w:pPr>
              <w:overflowPunct/>
              <w:autoSpaceDE/>
              <w:autoSpaceDN/>
              <w:adjustRightInd/>
              <w:spacing w:before="40" w:after="40"/>
              <w:textAlignment w:val="auto"/>
              <w:rPr>
                <w:rFonts w:cs="Calibri"/>
                <w:sz w:val="22"/>
                <w:szCs w:val="22"/>
                <w:lang w:eastAsia="en-GB"/>
              </w:rPr>
            </w:pPr>
            <w:r w:rsidRPr="000C156A">
              <w:rPr>
                <w:rFonts w:asciiTheme="minorHAnsi" w:eastAsiaTheme="minorEastAsia" w:hAnsiTheme="minorHAnsi" w:cstheme="minorHAnsi" w:hint="eastAsia"/>
                <w:sz w:val="22"/>
                <w:szCs w:val="22"/>
                <w:lang w:eastAsia="zh-CN"/>
              </w:rPr>
              <w:t>杂项发票</w:t>
            </w:r>
          </w:p>
        </w:tc>
        <w:tc>
          <w:tcPr>
            <w:tcW w:w="2380" w:type="pct"/>
            <w:tcBorders>
              <w:top w:val="nil"/>
              <w:left w:val="nil"/>
              <w:bottom w:val="nil"/>
              <w:right w:val="single" w:sz="4" w:space="0" w:color="auto"/>
            </w:tcBorders>
            <w:shd w:val="clear" w:color="auto" w:fill="auto"/>
            <w:vAlign w:val="bottom"/>
            <w:hideMark/>
          </w:tcPr>
          <w:p w14:paraId="7665A44A" w14:textId="0CD23D72" w:rsidR="00686EC7" w:rsidRPr="000C156A" w:rsidRDefault="00686EC7" w:rsidP="00141BAA">
            <w:pPr>
              <w:overflowPunct/>
              <w:autoSpaceDE/>
              <w:autoSpaceDN/>
              <w:adjustRightInd/>
              <w:spacing w:before="40" w:after="40"/>
              <w:jc w:val="right"/>
              <w:textAlignment w:val="auto"/>
              <w:rPr>
                <w:rFonts w:cs="Calibri"/>
                <w:b/>
                <w:bCs/>
                <w:sz w:val="22"/>
                <w:szCs w:val="22"/>
                <w:lang w:eastAsia="en-GB"/>
              </w:rPr>
            </w:pPr>
            <w:r w:rsidRPr="000C156A">
              <w:rPr>
                <w:rFonts w:cs="Calibri"/>
                <w:b/>
                <w:bCs/>
                <w:sz w:val="22"/>
                <w:szCs w:val="22"/>
                <w:lang w:eastAsia="en-GB"/>
              </w:rPr>
              <w:t>62</w:t>
            </w:r>
            <w:r w:rsidR="001A59E5" w:rsidRPr="000C156A">
              <w:rPr>
                <w:rFonts w:cs="Calibri"/>
                <w:b/>
                <w:bCs/>
                <w:sz w:val="22"/>
                <w:szCs w:val="22"/>
                <w:lang w:eastAsia="en-GB"/>
              </w:rPr>
              <w:t xml:space="preserve"> </w:t>
            </w:r>
            <w:r w:rsidRPr="000C156A">
              <w:rPr>
                <w:rFonts w:cs="Calibri"/>
                <w:b/>
                <w:bCs/>
                <w:sz w:val="22"/>
                <w:szCs w:val="22"/>
                <w:lang w:eastAsia="en-GB"/>
              </w:rPr>
              <w:t>560.00</w:t>
            </w:r>
          </w:p>
        </w:tc>
      </w:tr>
      <w:tr w:rsidR="00686EC7" w:rsidRPr="000C156A" w14:paraId="74162999" w14:textId="77777777" w:rsidTr="00141BAA">
        <w:trPr>
          <w:trHeight w:val="300"/>
        </w:trPr>
        <w:tc>
          <w:tcPr>
            <w:tcW w:w="2620" w:type="pct"/>
            <w:gridSpan w:val="2"/>
            <w:tcBorders>
              <w:top w:val="nil"/>
              <w:left w:val="single" w:sz="4" w:space="0" w:color="auto"/>
              <w:bottom w:val="nil"/>
              <w:right w:val="single" w:sz="4" w:space="0" w:color="000000"/>
            </w:tcBorders>
            <w:shd w:val="clear" w:color="auto" w:fill="auto"/>
            <w:noWrap/>
            <w:vAlign w:val="bottom"/>
          </w:tcPr>
          <w:p w14:paraId="5E61E7AC" w14:textId="77777777" w:rsidR="00686EC7" w:rsidRPr="000C156A" w:rsidRDefault="00686EC7" w:rsidP="00141BAA">
            <w:pPr>
              <w:overflowPunct/>
              <w:autoSpaceDE/>
              <w:autoSpaceDN/>
              <w:adjustRightInd/>
              <w:spacing w:before="40" w:after="40"/>
              <w:textAlignment w:val="auto"/>
              <w:rPr>
                <w:rFonts w:cs="Calibri"/>
                <w:sz w:val="22"/>
                <w:szCs w:val="22"/>
                <w:lang w:eastAsia="zh-CN"/>
              </w:rPr>
            </w:pPr>
            <w:r w:rsidRPr="000C156A">
              <w:rPr>
                <w:rFonts w:cs="Calibri"/>
                <w:sz w:val="22"/>
                <w:szCs w:val="22"/>
                <w:lang w:eastAsia="zh-CN"/>
              </w:rPr>
              <w:t>国际通用免费电话号码（</w:t>
            </w:r>
            <w:r w:rsidRPr="000C156A">
              <w:rPr>
                <w:rFonts w:cs="Calibri"/>
                <w:sz w:val="22"/>
                <w:szCs w:val="22"/>
                <w:lang w:eastAsia="zh-CN"/>
              </w:rPr>
              <w:t>UIFN</w:t>
            </w:r>
            <w:r w:rsidRPr="000C156A">
              <w:rPr>
                <w:rFonts w:cs="Calibri"/>
                <w:sz w:val="22"/>
                <w:szCs w:val="22"/>
                <w:lang w:eastAsia="zh-CN"/>
              </w:rPr>
              <w:t>）</w:t>
            </w:r>
          </w:p>
        </w:tc>
        <w:tc>
          <w:tcPr>
            <w:tcW w:w="2380" w:type="pct"/>
            <w:tcBorders>
              <w:top w:val="nil"/>
              <w:left w:val="nil"/>
              <w:bottom w:val="nil"/>
              <w:right w:val="single" w:sz="4" w:space="0" w:color="auto"/>
            </w:tcBorders>
            <w:shd w:val="clear" w:color="auto" w:fill="auto"/>
            <w:vAlign w:val="bottom"/>
            <w:hideMark/>
          </w:tcPr>
          <w:p w14:paraId="6D01AB51" w14:textId="2898F646" w:rsidR="00686EC7" w:rsidRPr="000C156A" w:rsidRDefault="00686EC7" w:rsidP="00141BAA">
            <w:pPr>
              <w:overflowPunct/>
              <w:autoSpaceDE/>
              <w:autoSpaceDN/>
              <w:adjustRightInd/>
              <w:spacing w:before="40" w:after="40"/>
              <w:jc w:val="right"/>
              <w:textAlignment w:val="auto"/>
              <w:rPr>
                <w:rFonts w:cs="Calibri"/>
                <w:b/>
                <w:bCs/>
                <w:sz w:val="22"/>
                <w:szCs w:val="22"/>
                <w:lang w:eastAsia="en-GB"/>
              </w:rPr>
            </w:pPr>
            <w:r w:rsidRPr="000C156A">
              <w:rPr>
                <w:rFonts w:cs="Calibri"/>
                <w:b/>
                <w:bCs/>
                <w:sz w:val="22"/>
                <w:szCs w:val="22"/>
                <w:lang w:eastAsia="en-GB"/>
              </w:rPr>
              <w:t>78</w:t>
            </w:r>
            <w:r w:rsidR="001A59E5" w:rsidRPr="000C156A">
              <w:rPr>
                <w:rFonts w:cs="Calibri"/>
                <w:b/>
                <w:bCs/>
                <w:sz w:val="22"/>
                <w:szCs w:val="22"/>
                <w:lang w:eastAsia="en-GB"/>
              </w:rPr>
              <w:t xml:space="preserve"> </w:t>
            </w:r>
            <w:r w:rsidRPr="000C156A">
              <w:rPr>
                <w:rFonts w:cs="Calibri"/>
                <w:b/>
                <w:bCs/>
                <w:sz w:val="22"/>
                <w:szCs w:val="22"/>
                <w:lang w:eastAsia="en-GB"/>
              </w:rPr>
              <w:t>300.00</w:t>
            </w:r>
          </w:p>
        </w:tc>
      </w:tr>
      <w:tr w:rsidR="00686EC7" w:rsidRPr="000C156A" w14:paraId="1615F6C9" w14:textId="77777777" w:rsidTr="00141BAA">
        <w:trPr>
          <w:trHeight w:val="300"/>
        </w:trPr>
        <w:tc>
          <w:tcPr>
            <w:tcW w:w="2620" w:type="pct"/>
            <w:gridSpan w:val="2"/>
            <w:tcBorders>
              <w:top w:val="nil"/>
              <w:left w:val="single" w:sz="4" w:space="0" w:color="auto"/>
              <w:bottom w:val="nil"/>
              <w:right w:val="single" w:sz="4" w:space="0" w:color="000000"/>
            </w:tcBorders>
            <w:shd w:val="clear" w:color="auto" w:fill="auto"/>
            <w:noWrap/>
            <w:vAlign w:val="bottom"/>
            <w:hideMark/>
          </w:tcPr>
          <w:p w14:paraId="1146D76F" w14:textId="77777777" w:rsidR="00686EC7" w:rsidRPr="000C156A" w:rsidRDefault="00686EC7" w:rsidP="00141BAA">
            <w:pPr>
              <w:overflowPunct/>
              <w:autoSpaceDE/>
              <w:autoSpaceDN/>
              <w:adjustRightInd/>
              <w:spacing w:before="40" w:after="40"/>
              <w:textAlignment w:val="auto"/>
              <w:rPr>
                <w:rFonts w:cs="Calibri"/>
                <w:sz w:val="22"/>
                <w:szCs w:val="22"/>
                <w:lang w:eastAsia="zh-CN"/>
              </w:rPr>
            </w:pPr>
            <w:r w:rsidRPr="000C156A">
              <w:rPr>
                <w:rFonts w:asciiTheme="minorHAnsi" w:eastAsiaTheme="minorEastAsia" w:hAnsiTheme="minorHAnsi" w:cs="SimSun" w:hint="eastAsia"/>
                <w:sz w:val="22"/>
                <w:szCs w:val="22"/>
                <w:lang w:eastAsia="zh-CN"/>
              </w:rPr>
              <w:t>欠款专账（偿款协议）</w:t>
            </w:r>
          </w:p>
        </w:tc>
        <w:tc>
          <w:tcPr>
            <w:tcW w:w="2380" w:type="pct"/>
            <w:tcBorders>
              <w:top w:val="nil"/>
              <w:left w:val="nil"/>
              <w:bottom w:val="nil"/>
              <w:right w:val="single" w:sz="4" w:space="0" w:color="auto"/>
            </w:tcBorders>
            <w:shd w:val="clear" w:color="000000" w:fill="FFFFFF"/>
            <w:vAlign w:val="bottom"/>
            <w:hideMark/>
          </w:tcPr>
          <w:p w14:paraId="65C372BF" w14:textId="4543DD35" w:rsidR="00686EC7" w:rsidRPr="000C156A" w:rsidRDefault="00686EC7" w:rsidP="00141BAA">
            <w:pPr>
              <w:overflowPunct/>
              <w:autoSpaceDE/>
              <w:autoSpaceDN/>
              <w:adjustRightInd/>
              <w:spacing w:before="40" w:after="40"/>
              <w:jc w:val="right"/>
              <w:textAlignment w:val="auto"/>
              <w:rPr>
                <w:rFonts w:cs="Calibri"/>
                <w:b/>
                <w:bCs/>
                <w:sz w:val="22"/>
                <w:szCs w:val="22"/>
                <w:lang w:eastAsia="en-GB"/>
              </w:rPr>
            </w:pPr>
            <w:r w:rsidRPr="000C156A">
              <w:rPr>
                <w:rFonts w:cs="Calibri"/>
                <w:b/>
                <w:bCs/>
                <w:sz w:val="22"/>
                <w:szCs w:val="22"/>
                <w:lang w:eastAsia="en-GB"/>
              </w:rPr>
              <w:t>6</w:t>
            </w:r>
            <w:r w:rsidR="001A59E5" w:rsidRPr="000C156A">
              <w:rPr>
                <w:rFonts w:cs="Calibri"/>
                <w:b/>
                <w:bCs/>
                <w:sz w:val="22"/>
                <w:szCs w:val="22"/>
                <w:lang w:eastAsia="en-GB"/>
              </w:rPr>
              <w:t xml:space="preserve"> </w:t>
            </w:r>
            <w:r w:rsidRPr="000C156A">
              <w:rPr>
                <w:rFonts w:cs="Calibri"/>
                <w:b/>
                <w:bCs/>
                <w:sz w:val="22"/>
                <w:szCs w:val="22"/>
                <w:lang w:eastAsia="en-GB"/>
              </w:rPr>
              <w:t>712</w:t>
            </w:r>
            <w:r w:rsidR="001A59E5" w:rsidRPr="000C156A">
              <w:rPr>
                <w:rFonts w:cs="Calibri"/>
                <w:b/>
                <w:bCs/>
                <w:sz w:val="22"/>
                <w:szCs w:val="22"/>
                <w:lang w:eastAsia="en-GB"/>
              </w:rPr>
              <w:t xml:space="preserve"> </w:t>
            </w:r>
            <w:r w:rsidRPr="000C156A">
              <w:rPr>
                <w:rFonts w:cs="Calibri"/>
                <w:b/>
                <w:bCs/>
                <w:sz w:val="22"/>
                <w:szCs w:val="22"/>
                <w:lang w:eastAsia="en-GB"/>
              </w:rPr>
              <w:t>382.86</w:t>
            </w:r>
          </w:p>
        </w:tc>
      </w:tr>
      <w:tr w:rsidR="00686EC7" w:rsidRPr="000C156A" w14:paraId="3BBBC0A8" w14:textId="77777777" w:rsidTr="00141BAA">
        <w:trPr>
          <w:trHeight w:val="223"/>
        </w:trPr>
        <w:tc>
          <w:tcPr>
            <w:tcW w:w="2620" w:type="pct"/>
            <w:gridSpan w:val="2"/>
            <w:tcBorders>
              <w:top w:val="nil"/>
              <w:left w:val="single" w:sz="4" w:space="0" w:color="auto"/>
              <w:bottom w:val="nil"/>
              <w:right w:val="single" w:sz="4" w:space="0" w:color="000000"/>
            </w:tcBorders>
            <w:shd w:val="clear" w:color="auto" w:fill="auto"/>
            <w:vAlign w:val="bottom"/>
            <w:hideMark/>
          </w:tcPr>
          <w:p w14:paraId="63A937FC" w14:textId="77777777" w:rsidR="00686EC7" w:rsidRPr="000C156A" w:rsidRDefault="00686EC7" w:rsidP="00141BAA">
            <w:pPr>
              <w:overflowPunct/>
              <w:autoSpaceDE/>
              <w:autoSpaceDN/>
              <w:adjustRightInd/>
              <w:spacing w:before="40" w:after="40"/>
              <w:textAlignment w:val="auto"/>
              <w:rPr>
                <w:rFonts w:cs="Calibri"/>
                <w:sz w:val="22"/>
                <w:szCs w:val="22"/>
                <w:lang w:eastAsia="zh-CN"/>
              </w:rPr>
            </w:pPr>
            <w:r w:rsidRPr="000C156A">
              <w:rPr>
                <w:rFonts w:asciiTheme="minorHAnsi" w:eastAsiaTheme="minorEastAsia" w:hAnsiTheme="minorHAnsi" w:cstheme="minorHAnsi" w:hint="eastAsia"/>
                <w:sz w:val="22"/>
                <w:szCs w:val="22"/>
                <w:lang w:eastAsia="zh-CN"/>
              </w:rPr>
              <w:t>已注销欠款专账（因未支付而注销的偿款协议）</w:t>
            </w:r>
          </w:p>
        </w:tc>
        <w:tc>
          <w:tcPr>
            <w:tcW w:w="2380" w:type="pct"/>
            <w:tcBorders>
              <w:top w:val="nil"/>
              <w:left w:val="nil"/>
              <w:bottom w:val="nil"/>
              <w:right w:val="single" w:sz="4" w:space="0" w:color="auto"/>
            </w:tcBorders>
            <w:shd w:val="clear" w:color="auto" w:fill="auto"/>
            <w:vAlign w:val="bottom"/>
            <w:hideMark/>
          </w:tcPr>
          <w:p w14:paraId="6DD5BCE0" w14:textId="6FF7FDF6" w:rsidR="00686EC7" w:rsidRPr="000C156A" w:rsidRDefault="00686EC7" w:rsidP="00141BAA">
            <w:pPr>
              <w:overflowPunct/>
              <w:autoSpaceDE/>
              <w:autoSpaceDN/>
              <w:adjustRightInd/>
              <w:spacing w:before="40" w:after="40"/>
              <w:jc w:val="right"/>
              <w:textAlignment w:val="auto"/>
              <w:rPr>
                <w:rFonts w:cs="Calibri"/>
                <w:b/>
                <w:bCs/>
                <w:sz w:val="22"/>
                <w:szCs w:val="22"/>
                <w:lang w:eastAsia="en-GB"/>
              </w:rPr>
            </w:pPr>
            <w:r w:rsidRPr="000C156A">
              <w:rPr>
                <w:rFonts w:cs="Calibri"/>
                <w:b/>
                <w:bCs/>
                <w:sz w:val="22"/>
                <w:szCs w:val="22"/>
                <w:lang w:eastAsia="en-GB"/>
              </w:rPr>
              <w:t>12</w:t>
            </w:r>
            <w:r w:rsidR="001A59E5" w:rsidRPr="000C156A">
              <w:rPr>
                <w:rFonts w:cs="Calibri"/>
                <w:b/>
                <w:bCs/>
                <w:sz w:val="22"/>
                <w:szCs w:val="22"/>
                <w:lang w:eastAsia="en-GB"/>
              </w:rPr>
              <w:t xml:space="preserve"> </w:t>
            </w:r>
            <w:r w:rsidRPr="000C156A">
              <w:rPr>
                <w:rFonts w:cs="Calibri"/>
                <w:b/>
                <w:bCs/>
                <w:sz w:val="22"/>
                <w:szCs w:val="22"/>
                <w:lang w:eastAsia="en-GB"/>
              </w:rPr>
              <w:t>948</w:t>
            </w:r>
            <w:r w:rsidR="001A59E5" w:rsidRPr="000C156A">
              <w:rPr>
                <w:rFonts w:cs="Calibri"/>
                <w:b/>
                <w:bCs/>
                <w:sz w:val="22"/>
                <w:szCs w:val="22"/>
                <w:lang w:eastAsia="en-GB"/>
              </w:rPr>
              <w:t xml:space="preserve"> </w:t>
            </w:r>
            <w:r w:rsidRPr="000C156A">
              <w:rPr>
                <w:rFonts w:cs="Calibri"/>
                <w:b/>
                <w:bCs/>
                <w:sz w:val="22"/>
                <w:szCs w:val="22"/>
                <w:lang w:eastAsia="en-GB"/>
              </w:rPr>
              <w:t>300.62</w:t>
            </w:r>
          </w:p>
        </w:tc>
      </w:tr>
      <w:tr w:rsidR="00686EC7" w:rsidRPr="000C156A" w14:paraId="5C22544C" w14:textId="77777777" w:rsidTr="00141BAA">
        <w:trPr>
          <w:trHeight w:val="61"/>
        </w:trPr>
        <w:tc>
          <w:tcPr>
            <w:tcW w:w="2469" w:type="pct"/>
            <w:tcBorders>
              <w:top w:val="single" w:sz="4" w:space="0" w:color="auto"/>
              <w:left w:val="single" w:sz="4" w:space="0" w:color="auto"/>
              <w:bottom w:val="single" w:sz="4" w:space="0" w:color="auto"/>
              <w:right w:val="nil"/>
            </w:tcBorders>
            <w:shd w:val="clear" w:color="auto" w:fill="auto"/>
            <w:noWrap/>
            <w:vAlign w:val="bottom"/>
            <w:hideMark/>
          </w:tcPr>
          <w:p w14:paraId="2CDABA6F" w14:textId="77777777" w:rsidR="00686EC7" w:rsidRPr="000C156A" w:rsidRDefault="00686EC7" w:rsidP="00141BAA">
            <w:pPr>
              <w:overflowPunct/>
              <w:autoSpaceDE/>
              <w:autoSpaceDN/>
              <w:adjustRightInd/>
              <w:spacing w:before="40" w:after="40"/>
              <w:textAlignment w:val="auto"/>
              <w:rPr>
                <w:rFonts w:cs="Calibri"/>
                <w:b/>
                <w:bCs/>
                <w:sz w:val="22"/>
                <w:szCs w:val="22"/>
                <w:u w:val="single"/>
                <w:lang w:eastAsia="en-GB"/>
              </w:rPr>
            </w:pPr>
            <w:r w:rsidRPr="000C156A">
              <w:rPr>
                <w:rFonts w:cs="Calibri" w:hint="eastAsia"/>
                <w:b/>
                <w:bCs/>
                <w:sz w:val="22"/>
                <w:szCs w:val="22"/>
                <w:u w:val="single"/>
                <w:lang w:eastAsia="en-GB"/>
              </w:rPr>
              <w:t>欠款合计</w:t>
            </w:r>
          </w:p>
        </w:tc>
        <w:tc>
          <w:tcPr>
            <w:tcW w:w="151" w:type="pct"/>
            <w:tcBorders>
              <w:top w:val="single" w:sz="4" w:space="0" w:color="auto"/>
              <w:left w:val="nil"/>
              <w:bottom w:val="single" w:sz="4" w:space="0" w:color="auto"/>
              <w:right w:val="single" w:sz="4" w:space="0" w:color="auto"/>
            </w:tcBorders>
            <w:shd w:val="clear" w:color="auto" w:fill="auto"/>
            <w:noWrap/>
            <w:vAlign w:val="bottom"/>
            <w:hideMark/>
          </w:tcPr>
          <w:p w14:paraId="5E2F0026" w14:textId="77777777" w:rsidR="00686EC7" w:rsidRPr="000C156A" w:rsidRDefault="00686EC7" w:rsidP="00141BAA">
            <w:pPr>
              <w:overflowPunct/>
              <w:autoSpaceDE/>
              <w:autoSpaceDN/>
              <w:adjustRightInd/>
              <w:spacing w:before="40" w:after="40"/>
              <w:jc w:val="center"/>
              <w:textAlignment w:val="auto"/>
              <w:rPr>
                <w:rFonts w:cs="Calibri"/>
                <w:sz w:val="22"/>
                <w:szCs w:val="22"/>
                <w:lang w:eastAsia="en-GB"/>
              </w:rPr>
            </w:pPr>
            <w:r w:rsidRPr="000C156A">
              <w:rPr>
                <w:rFonts w:cs="Calibri"/>
                <w:sz w:val="22"/>
                <w:szCs w:val="22"/>
                <w:lang w:eastAsia="en-GB"/>
              </w:rPr>
              <w:t> </w:t>
            </w:r>
          </w:p>
        </w:tc>
        <w:tc>
          <w:tcPr>
            <w:tcW w:w="2380" w:type="pct"/>
            <w:tcBorders>
              <w:top w:val="single" w:sz="4" w:space="0" w:color="auto"/>
              <w:left w:val="nil"/>
              <w:bottom w:val="single" w:sz="4" w:space="0" w:color="auto"/>
              <w:right w:val="single" w:sz="4" w:space="0" w:color="auto"/>
            </w:tcBorders>
            <w:shd w:val="clear" w:color="auto" w:fill="auto"/>
            <w:vAlign w:val="bottom"/>
            <w:hideMark/>
          </w:tcPr>
          <w:p w14:paraId="4C25AB1D" w14:textId="67A619AF" w:rsidR="00686EC7" w:rsidRPr="000C156A" w:rsidRDefault="00686EC7" w:rsidP="00141BAA">
            <w:pPr>
              <w:spacing w:before="40" w:after="40"/>
              <w:jc w:val="right"/>
              <w:rPr>
                <w:rFonts w:cs="Calibri"/>
                <w:b/>
                <w:bCs/>
                <w:sz w:val="22"/>
                <w:szCs w:val="22"/>
                <w:u w:val="single"/>
                <w:lang w:eastAsia="en-GB"/>
              </w:rPr>
            </w:pPr>
            <w:r w:rsidRPr="000C156A">
              <w:rPr>
                <w:rFonts w:cs="Calibri"/>
                <w:b/>
                <w:bCs/>
                <w:sz w:val="22"/>
                <w:szCs w:val="22"/>
                <w:u w:val="single"/>
                <w:lang w:eastAsia="en-GB"/>
              </w:rPr>
              <w:t>40</w:t>
            </w:r>
            <w:r w:rsidR="001A59E5" w:rsidRPr="000C156A">
              <w:rPr>
                <w:rFonts w:cs="Calibri"/>
                <w:b/>
                <w:bCs/>
                <w:sz w:val="22"/>
                <w:szCs w:val="22"/>
                <w:u w:val="single"/>
                <w:lang w:eastAsia="en-GB"/>
              </w:rPr>
              <w:t xml:space="preserve"> </w:t>
            </w:r>
            <w:r w:rsidRPr="000C156A">
              <w:rPr>
                <w:rFonts w:cs="Calibri"/>
                <w:b/>
                <w:bCs/>
                <w:sz w:val="22"/>
                <w:szCs w:val="22"/>
                <w:u w:val="single"/>
                <w:lang w:eastAsia="en-GB"/>
              </w:rPr>
              <w:t>575</w:t>
            </w:r>
            <w:r w:rsidR="001A59E5" w:rsidRPr="000C156A">
              <w:rPr>
                <w:rFonts w:cs="Calibri"/>
                <w:b/>
                <w:bCs/>
                <w:sz w:val="22"/>
                <w:szCs w:val="22"/>
                <w:u w:val="single"/>
                <w:lang w:eastAsia="en-GB"/>
              </w:rPr>
              <w:t xml:space="preserve"> </w:t>
            </w:r>
            <w:r w:rsidRPr="000C156A">
              <w:rPr>
                <w:rFonts w:cs="Calibri"/>
                <w:b/>
                <w:bCs/>
                <w:sz w:val="22"/>
                <w:szCs w:val="22"/>
                <w:u w:val="single"/>
                <w:lang w:eastAsia="en-GB"/>
              </w:rPr>
              <w:t>400.06</w:t>
            </w:r>
          </w:p>
        </w:tc>
      </w:tr>
    </w:tbl>
    <w:p w14:paraId="2C08BC81" w14:textId="77777777" w:rsidR="00686EC7" w:rsidRPr="000C156A" w:rsidRDefault="00686EC7" w:rsidP="00686EC7">
      <w:pPr>
        <w:tabs>
          <w:tab w:val="left" w:pos="720"/>
        </w:tabs>
        <w:overflowPunct/>
        <w:autoSpaceDE/>
        <w:adjustRightInd/>
        <w:spacing w:before="0"/>
        <w:rPr>
          <w:caps/>
          <w:sz w:val="28"/>
          <w:lang w:eastAsia="zh-CN"/>
        </w:rPr>
      </w:pPr>
      <w:r w:rsidRPr="000C156A">
        <w:rPr>
          <w:lang w:eastAsia="zh-CN"/>
        </w:rPr>
        <w:br w:type="page"/>
      </w:r>
    </w:p>
    <w:p w14:paraId="663472FC" w14:textId="77777777" w:rsidR="00686EC7" w:rsidRPr="000C156A" w:rsidRDefault="00686EC7" w:rsidP="00686EC7">
      <w:pPr>
        <w:pStyle w:val="AnnexNo"/>
        <w:spacing w:before="120"/>
        <w:outlineLvl w:val="0"/>
        <w:rPr>
          <w:lang w:eastAsia="zh-CN"/>
        </w:rPr>
      </w:pPr>
      <w:bookmarkStart w:id="1236" w:name="_Toc482894805"/>
      <w:bookmarkStart w:id="1237" w:name="_Toc482894279"/>
      <w:bookmarkStart w:id="1238" w:name="_Toc41905919"/>
      <w:bookmarkStart w:id="1239" w:name="_Toc41908094"/>
      <w:bookmarkStart w:id="1240" w:name="_Toc73519311"/>
      <w:bookmarkStart w:id="1241" w:name="_Toc73636347"/>
      <w:r w:rsidRPr="000C156A">
        <w:rPr>
          <w:rFonts w:hint="eastAsia"/>
          <w:lang w:eastAsia="zh-CN"/>
        </w:rPr>
        <w:lastRenderedPageBreak/>
        <w:t>附件</w:t>
      </w:r>
      <w:bookmarkEnd w:id="1236"/>
      <w:bookmarkEnd w:id="1237"/>
      <w:r w:rsidRPr="000C156A">
        <w:rPr>
          <w:rFonts w:hint="eastAsia"/>
          <w:lang w:eastAsia="zh-CN"/>
        </w:rPr>
        <w:t>D</w:t>
      </w:r>
      <w:bookmarkEnd w:id="1238"/>
      <w:bookmarkEnd w:id="1239"/>
      <w:bookmarkEnd w:id="1240"/>
      <w:bookmarkEnd w:id="1241"/>
    </w:p>
    <w:p w14:paraId="052C0A63" w14:textId="77777777" w:rsidR="00686EC7" w:rsidRPr="000C156A" w:rsidRDefault="00686EC7" w:rsidP="00686EC7">
      <w:pPr>
        <w:pStyle w:val="Annextitle"/>
        <w:rPr>
          <w:rFonts w:asciiTheme="minorHAnsi" w:eastAsiaTheme="minorEastAsia" w:hAnsiTheme="minorHAnsi"/>
          <w:lang w:eastAsia="zh-CN"/>
        </w:rPr>
      </w:pPr>
      <w:bookmarkStart w:id="1242" w:name="_Toc482894806"/>
      <w:bookmarkStart w:id="1243" w:name="_Toc482892593"/>
      <w:bookmarkStart w:id="1244" w:name="_Toc511768735"/>
      <w:bookmarkStart w:id="1245" w:name="_Toc10536312"/>
      <w:r w:rsidRPr="000C156A">
        <w:rPr>
          <w:rFonts w:asciiTheme="minorHAnsi" w:eastAsiaTheme="minorEastAsia" w:hAnsiTheme="minorHAnsi" w:hint="eastAsia"/>
          <w:lang w:eastAsia="zh-CN"/>
        </w:rPr>
        <w:t>截至</w:t>
      </w:r>
      <w:r w:rsidRPr="000C156A">
        <w:rPr>
          <w:rFonts w:asciiTheme="minorHAnsi" w:eastAsiaTheme="minorEastAsia" w:hAnsiTheme="minorHAnsi"/>
          <w:lang w:eastAsia="zh-CN"/>
        </w:rPr>
        <w:t>2020</w:t>
      </w:r>
      <w:r w:rsidRPr="000C156A">
        <w:rPr>
          <w:rFonts w:asciiTheme="minorHAnsi" w:eastAsiaTheme="minorEastAsia" w:hAnsiTheme="minorHAnsi" w:hint="eastAsia"/>
          <w:lang w:eastAsia="zh-CN"/>
        </w:rPr>
        <w:t>年</w:t>
      </w:r>
      <w:r w:rsidRPr="000C156A">
        <w:rPr>
          <w:rFonts w:asciiTheme="minorHAnsi" w:eastAsiaTheme="minorEastAsia" w:hAnsiTheme="minorHAnsi"/>
          <w:lang w:eastAsia="zh-CN"/>
        </w:rPr>
        <w:t>12</w:t>
      </w:r>
      <w:r w:rsidRPr="000C156A">
        <w:rPr>
          <w:rFonts w:asciiTheme="minorHAnsi" w:eastAsiaTheme="minorEastAsia" w:hAnsiTheme="minorHAnsi" w:hint="eastAsia"/>
          <w:lang w:eastAsia="zh-CN"/>
        </w:rPr>
        <w:t>月</w:t>
      </w:r>
      <w:r w:rsidRPr="000C156A">
        <w:rPr>
          <w:rFonts w:asciiTheme="minorHAnsi" w:eastAsiaTheme="minorEastAsia" w:hAnsiTheme="minorHAnsi" w:hint="eastAsia"/>
          <w:lang w:eastAsia="zh-CN"/>
        </w:rPr>
        <w:t>31</w:t>
      </w:r>
      <w:r w:rsidRPr="000C156A">
        <w:rPr>
          <w:rFonts w:asciiTheme="minorHAnsi" w:eastAsiaTheme="minorEastAsia" w:hAnsiTheme="minorHAnsi" w:hint="eastAsia"/>
          <w:lang w:eastAsia="zh-CN"/>
        </w:rPr>
        <w:t>日已结账的国际电联电信展活动的债务方名单</w:t>
      </w:r>
      <w:bookmarkEnd w:id="1242"/>
      <w:bookmarkEnd w:id="1243"/>
      <w:bookmarkEnd w:id="1244"/>
      <w:bookmarkEnd w:id="1245"/>
    </w:p>
    <w:p w14:paraId="05972D78" w14:textId="77777777" w:rsidR="00686EC7" w:rsidRPr="000C156A" w:rsidRDefault="00686EC7" w:rsidP="00686EC7">
      <w:pPr>
        <w:spacing w:before="240" w:after="240"/>
        <w:jc w:val="center"/>
        <w:rPr>
          <w:lang w:eastAsia="zh-CN"/>
        </w:rPr>
      </w:pPr>
      <w:r w:rsidRPr="000C156A">
        <w:rPr>
          <w:rFonts w:cs="Microsoft YaHei" w:hint="eastAsia"/>
          <w:lang w:eastAsia="zh-CN"/>
        </w:rPr>
        <w:t>（</w:t>
      </w:r>
      <w:r w:rsidRPr="000C156A">
        <w:rPr>
          <w:lang w:eastAsia="zh-CN"/>
        </w:rPr>
        <w:t>2020</w:t>
      </w:r>
      <w:r w:rsidRPr="000C156A">
        <w:rPr>
          <w:rFonts w:cs="Microsoft YaHei" w:hint="eastAsia"/>
          <w:lang w:val="fr-CH" w:eastAsia="zh-CN"/>
        </w:rPr>
        <w:t>年</w:t>
      </w:r>
      <w:r w:rsidRPr="000C156A">
        <w:rPr>
          <w:lang w:eastAsia="zh-CN"/>
        </w:rPr>
        <w:t>12</w:t>
      </w:r>
      <w:r w:rsidRPr="000C156A">
        <w:rPr>
          <w:rFonts w:cs="Microsoft YaHei" w:hint="eastAsia"/>
          <w:lang w:val="fr-CH" w:eastAsia="zh-CN"/>
        </w:rPr>
        <w:t>月</w:t>
      </w:r>
      <w:r w:rsidRPr="000C156A">
        <w:rPr>
          <w:lang w:eastAsia="zh-CN"/>
        </w:rPr>
        <w:t>31</w:t>
      </w:r>
      <w:r w:rsidRPr="000C156A">
        <w:rPr>
          <w:rFonts w:cs="Microsoft YaHei" w:hint="eastAsia"/>
          <w:lang w:val="fr-CH" w:eastAsia="zh-CN"/>
        </w:rPr>
        <w:t>日之后收到的付款未记入此表</w:t>
      </w:r>
      <w:r w:rsidRPr="000C156A">
        <w:rPr>
          <w:rFonts w:cs="Microsoft YaHei" w:hint="eastAsia"/>
          <w:lang w:eastAsia="zh-CN"/>
        </w:rPr>
        <w:t>）</w:t>
      </w:r>
    </w:p>
    <w:tbl>
      <w:tblPr>
        <w:tblW w:w="4964" w:type="pct"/>
        <w:tblCellMar>
          <w:left w:w="0" w:type="dxa"/>
          <w:right w:w="0" w:type="dxa"/>
        </w:tblCellMar>
        <w:tblLook w:val="04A0" w:firstRow="1" w:lastRow="0" w:firstColumn="1" w:lastColumn="0" w:noHBand="0" w:noVBand="1"/>
      </w:tblPr>
      <w:tblGrid>
        <w:gridCol w:w="1517"/>
        <w:gridCol w:w="1138"/>
        <w:gridCol w:w="3182"/>
        <w:gridCol w:w="1377"/>
        <w:gridCol w:w="1394"/>
        <w:gridCol w:w="952"/>
      </w:tblGrid>
      <w:tr w:rsidR="00686EC7" w:rsidRPr="000C156A" w14:paraId="0E758D41" w14:textId="77777777" w:rsidTr="000C156A">
        <w:trPr>
          <w:trHeight w:val="365"/>
        </w:trPr>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B7FC3C" w14:textId="77777777" w:rsidR="00686EC7" w:rsidRPr="000C156A" w:rsidRDefault="00686EC7" w:rsidP="00141BAA">
            <w:pPr>
              <w:pStyle w:val="Tabletext"/>
              <w:jc w:val="center"/>
              <w:rPr>
                <w:rFonts w:cs="Calibri"/>
                <w:b/>
                <w:bCs/>
                <w:szCs w:val="22"/>
                <w:lang w:val="en-US" w:eastAsia="zh-CN"/>
              </w:rPr>
            </w:pPr>
            <w:r w:rsidRPr="000C156A">
              <w:rPr>
                <w:rFonts w:cs="Calibri" w:hint="eastAsia"/>
                <w:b/>
                <w:bCs/>
                <w:szCs w:val="22"/>
                <w:lang w:val="en-US" w:eastAsia="zh-CN"/>
              </w:rPr>
              <w:t>活动</w:t>
            </w:r>
          </w:p>
        </w:tc>
        <w:tc>
          <w:tcPr>
            <w:tcW w:w="59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5440A6" w14:textId="77777777" w:rsidR="00686EC7" w:rsidRPr="000C156A" w:rsidRDefault="00686EC7" w:rsidP="00141BAA">
            <w:pPr>
              <w:pStyle w:val="Tabletext"/>
              <w:jc w:val="center"/>
              <w:rPr>
                <w:rFonts w:cs="Calibri"/>
                <w:b/>
                <w:bCs/>
                <w:szCs w:val="22"/>
                <w:lang w:val="en-US" w:eastAsia="zh-CN"/>
              </w:rPr>
            </w:pPr>
            <w:r w:rsidRPr="000C156A">
              <w:rPr>
                <w:rFonts w:cs="Calibri" w:hint="eastAsia"/>
                <w:b/>
                <w:bCs/>
                <w:szCs w:val="22"/>
                <w:lang w:val="en-US" w:eastAsia="zh-CN"/>
              </w:rPr>
              <w:t>国家</w:t>
            </w:r>
          </w:p>
        </w:tc>
        <w:tc>
          <w:tcPr>
            <w:tcW w:w="166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40D247" w14:textId="77777777" w:rsidR="00686EC7" w:rsidRPr="000C156A" w:rsidRDefault="00686EC7" w:rsidP="00141BAA">
            <w:pPr>
              <w:pStyle w:val="Tabletext"/>
              <w:jc w:val="center"/>
              <w:rPr>
                <w:rFonts w:cs="Calibri"/>
                <w:b/>
                <w:bCs/>
                <w:szCs w:val="22"/>
                <w:lang w:val="en-US" w:eastAsia="zh-CN"/>
              </w:rPr>
            </w:pPr>
            <w:r w:rsidRPr="000C156A">
              <w:rPr>
                <w:rFonts w:cs="Calibri" w:hint="eastAsia"/>
                <w:b/>
                <w:bCs/>
                <w:szCs w:val="22"/>
                <w:lang w:val="en-US" w:eastAsia="zh-CN"/>
              </w:rPr>
              <w:t>公司</w:t>
            </w:r>
          </w:p>
        </w:tc>
        <w:tc>
          <w:tcPr>
            <w:tcW w:w="72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CFF3E9" w14:textId="77777777" w:rsidR="00686EC7" w:rsidRPr="000C156A" w:rsidRDefault="00686EC7" w:rsidP="00141BAA">
            <w:pPr>
              <w:pStyle w:val="Tabletext"/>
              <w:jc w:val="center"/>
              <w:rPr>
                <w:rFonts w:cs="Calibri"/>
                <w:b/>
                <w:bCs/>
                <w:szCs w:val="22"/>
                <w:lang w:val="en-US"/>
              </w:rPr>
            </w:pPr>
            <w:r w:rsidRPr="000C156A">
              <w:rPr>
                <w:rFonts w:cs="Calibri" w:hint="eastAsia"/>
                <w:b/>
                <w:bCs/>
                <w:szCs w:val="22"/>
                <w:lang w:val="en-US"/>
              </w:rPr>
              <w:t>发票金额</w:t>
            </w:r>
          </w:p>
        </w:tc>
        <w:tc>
          <w:tcPr>
            <w:tcW w:w="72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CD373D" w14:textId="77777777" w:rsidR="00686EC7" w:rsidRPr="000C156A" w:rsidRDefault="00686EC7" w:rsidP="00141BAA">
            <w:pPr>
              <w:pStyle w:val="Tabletext"/>
              <w:jc w:val="center"/>
              <w:rPr>
                <w:rFonts w:cs="Calibri"/>
                <w:b/>
                <w:bCs/>
                <w:szCs w:val="22"/>
                <w:lang w:val="en-US"/>
              </w:rPr>
            </w:pPr>
            <w:r w:rsidRPr="000C156A">
              <w:rPr>
                <w:rFonts w:cs="Calibri" w:hint="eastAsia"/>
                <w:b/>
                <w:bCs/>
                <w:szCs w:val="22"/>
                <w:lang w:val="en-US"/>
              </w:rPr>
              <w:t>收到付款</w:t>
            </w:r>
          </w:p>
        </w:tc>
        <w:tc>
          <w:tcPr>
            <w:tcW w:w="49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CD1A45" w14:textId="77777777" w:rsidR="00686EC7" w:rsidRPr="000C156A" w:rsidRDefault="00686EC7" w:rsidP="00141BAA">
            <w:pPr>
              <w:pStyle w:val="Tabletext"/>
              <w:jc w:val="center"/>
              <w:rPr>
                <w:rFonts w:cs="Calibri"/>
                <w:b/>
                <w:bCs/>
                <w:szCs w:val="22"/>
                <w:lang w:val="en-US" w:eastAsia="zh-CN"/>
              </w:rPr>
            </w:pPr>
            <w:r w:rsidRPr="000C156A">
              <w:rPr>
                <w:rFonts w:cs="Calibri" w:hint="eastAsia"/>
                <w:b/>
                <w:bCs/>
                <w:szCs w:val="22"/>
                <w:lang w:val="en-US"/>
              </w:rPr>
              <w:t>欠款</w:t>
            </w:r>
            <w:r w:rsidRPr="000C156A">
              <w:rPr>
                <w:rFonts w:cs="Calibri" w:hint="eastAsia"/>
                <w:b/>
                <w:bCs/>
                <w:szCs w:val="22"/>
                <w:lang w:val="en-US" w:eastAsia="zh-CN"/>
              </w:rPr>
              <w:t>余额</w:t>
            </w:r>
          </w:p>
        </w:tc>
      </w:tr>
      <w:tr w:rsidR="00686EC7" w:rsidRPr="000C156A" w14:paraId="12B6BF72" w14:textId="77777777" w:rsidTr="000C156A">
        <w:trPr>
          <w:trHeight w:val="197"/>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8B554" w14:textId="77777777" w:rsidR="00686EC7" w:rsidRPr="000C156A" w:rsidRDefault="00686EC7" w:rsidP="00141BAA">
            <w:pPr>
              <w:spacing w:before="40" w:after="40"/>
              <w:jc w:val="center"/>
              <w:rPr>
                <w:rFonts w:cs="Arial"/>
                <w:b/>
                <w:bCs/>
                <w:sz w:val="22"/>
                <w:szCs w:val="22"/>
              </w:rPr>
            </w:pPr>
            <w:r w:rsidRPr="000C156A">
              <w:rPr>
                <w:rFonts w:cs="Arial"/>
                <w:b/>
                <w:bCs/>
                <w:sz w:val="22"/>
                <w:szCs w:val="22"/>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1132A1" w14:textId="77777777" w:rsidR="00686EC7" w:rsidRPr="000C156A" w:rsidRDefault="00686EC7" w:rsidP="00141BAA">
            <w:pPr>
              <w:spacing w:before="40" w:after="40"/>
              <w:jc w:val="center"/>
              <w:rPr>
                <w:rFonts w:cs="Arial"/>
                <w:b/>
                <w:bCs/>
                <w:sz w:val="22"/>
                <w:szCs w:val="22"/>
              </w:rPr>
            </w:pPr>
            <w:r w:rsidRPr="000C156A">
              <w:rPr>
                <w:rFonts w:cs="Arial"/>
                <w:b/>
                <w:bCs/>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D01F87" w14:textId="77777777" w:rsidR="00686EC7" w:rsidRPr="000C156A" w:rsidRDefault="00686EC7" w:rsidP="00141BAA">
            <w:pPr>
              <w:spacing w:before="40" w:after="40"/>
              <w:jc w:val="center"/>
              <w:rPr>
                <w:rFonts w:cs="Arial"/>
                <w:sz w:val="22"/>
                <w:szCs w:val="22"/>
              </w:rPr>
            </w:pPr>
            <w:r w:rsidRPr="000C156A">
              <w:rPr>
                <w:rFonts w:cs="Arial"/>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568477" w14:textId="77777777" w:rsidR="00686EC7" w:rsidRPr="000C156A" w:rsidRDefault="00686EC7" w:rsidP="00141BAA">
            <w:pPr>
              <w:spacing w:before="40" w:after="40"/>
              <w:jc w:val="center"/>
              <w:rPr>
                <w:rFonts w:cs="Arial"/>
                <w:sz w:val="22"/>
                <w:szCs w:val="22"/>
              </w:rPr>
            </w:pPr>
            <w:r w:rsidRPr="000C156A">
              <w:rPr>
                <w:rFonts w:cs="Arial"/>
                <w:sz w:val="22"/>
                <w:szCs w:val="22"/>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249DFA" w14:textId="77777777" w:rsidR="00686EC7" w:rsidRPr="000C156A" w:rsidRDefault="00686EC7" w:rsidP="00141BAA">
            <w:pPr>
              <w:spacing w:before="40" w:after="40"/>
              <w:jc w:val="center"/>
              <w:rPr>
                <w:rFonts w:cs="Arial"/>
                <w:sz w:val="22"/>
                <w:szCs w:val="22"/>
              </w:rPr>
            </w:pPr>
            <w:r w:rsidRPr="000C156A">
              <w:rPr>
                <w:rFonts w:cs="Arial"/>
                <w:sz w:val="22"/>
                <w:szCs w:val="22"/>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CD4401" w14:textId="77777777" w:rsidR="00686EC7" w:rsidRPr="000C156A" w:rsidRDefault="00686EC7" w:rsidP="00141BAA">
            <w:pPr>
              <w:spacing w:before="40" w:after="40"/>
              <w:jc w:val="center"/>
              <w:rPr>
                <w:rFonts w:cs="Arial"/>
                <w:sz w:val="22"/>
                <w:szCs w:val="22"/>
              </w:rPr>
            </w:pPr>
            <w:r w:rsidRPr="000C156A">
              <w:rPr>
                <w:rFonts w:cs="Arial"/>
                <w:sz w:val="22"/>
                <w:szCs w:val="22"/>
              </w:rPr>
              <w:t> </w:t>
            </w:r>
          </w:p>
        </w:tc>
      </w:tr>
      <w:tr w:rsidR="00686EC7" w:rsidRPr="000C156A" w14:paraId="3450F49E" w14:textId="77777777" w:rsidTr="000C156A">
        <w:trPr>
          <w:trHeight w:val="197"/>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7DB2D2B" w14:textId="77777777" w:rsidR="00686EC7" w:rsidRPr="000C156A" w:rsidRDefault="00686EC7" w:rsidP="00141BAA">
            <w:pPr>
              <w:spacing w:before="40" w:after="40"/>
              <w:jc w:val="center"/>
              <w:rPr>
                <w:rFonts w:cs="Arial"/>
                <w:b/>
                <w:bCs/>
                <w:sz w:val="22"/>
                <w:szCs w:val="22"/>
              </w:rPr>
            </w:pP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E60794C" w14:textId="77777777" w:rsidR="00686EC7" w:rsidRPr="000C156A" w:rsidRDefault="00686EC7" w:rsidP="00141BAA">
            <w:pPr>
              <w:spacing w:before="40" w:after="40"/>
              <w:jc w:val="center"/>
              <w:rPr>
                <w:rFonts w:cs="Arial"/>
                <w:b/>
                <w:bCs/>
                <w:sz w:val="22"/>
                <w:szCs w:val="22"/>
              </w:rPr>
            </w:pP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61A5F08" w14:textId="77777777" w:rsidR="00686EC7" w:rsidRPr="000C156A" w:rsidRDefault="00686EC7" w:rsidP="00141BAA">
            <w:pPr>
              <w:spacing w:before="40" w:after="40"/>
              <w:jc w:val="center"/>
              <w:rPr>
                <w:rFonts w:cs="Arial"/>
                <w:sz w:val="22"/>
                <w:szCs w:val="22"/>
              </w:rPr>
            </w:pP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CBC8AA6" w14:textId="77777777" w:rsidR="00686EC7" w:rsidRPr="000C156A" w:rsidRDefault="00686EC7" w:rsidP="00141BAA">
            <w:pPr>
              <w:spacing w:before="40" w:after="40"/>
              <w:jc w:val="center"/>
              <w:rPr>
                <w:rFonts w:cs="Arial"/>
                <w:sz w:val="22"/>
                <w:szCs w:val="22"/>
              </w:rPr>
            </w:pP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81FECDA" w14:textId="77777777" w:rsidR="00686EC7" w:rsidRPr="000C156A" w:rsidRDefault="00686EC7" w:rsidP="00141BAA">
            <w:pPr>
              <w:spacing w:before="40" w:after="40"/>
              <w:jc w:val="center"/>
              <w:rPr>
                <w:rFonts w:cs="Arial"/>
                <w:sz w:val="22"/>
                <w:szCs w:val="22"/>
              </w:rPr>
            </w:pP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BCE4C45" w14:textId="77777777" w:rsidR="00686EC7" w:rsidRPr="000C156A" w:rsidRDefault="00686EC7" w:rsidP="00141BAA">
            <w:pPr>
              <w:spacing w:before="40" w:after="40"/>
              <w:jc w:val="center"/>
              <w:rPr>
                <w:rFonts w:cs="Arial"/>
                <w:sz w:val="22"/>
                <w:szCs w:val="22"/>
              </w:rPr>
            </w:pPr>
          </w:p>
        </w:tc>
      </w:tr>
      <w:tr w:rsidR="00686EC7" w:rsidRPr="000C156A" w14:paraId="130D220D" w14:textId="77777777" w:rsidTr="000C156A">
        <w:trPr>
          <w:trHeight w:val="197"/>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C52D7D" w14:textId="77777777" w:rsidR="00686EC7" w:rsidRPr="000C156A" w:rsidRDefault="00686EC7" w:rsidP="00141BAA">
            <w:pPr>
              <w:spacing w:before="40" w:after="40"/>
              <w:jc w:val="center"/>
              <w:rPr>
                <w:rFonts w:cs="Arial"/>
                <w:sz w:val="22"/>
                <w:szCs w:val="22"/>
              </w:rPr>
            </w:pPr>
            <w:r w:rsidRPr="000C156A">
              <w:rPr>
                <w:rFonts w:cs="Arial"/>
                <w:sz w:val="22"/>
                <w:szCs w:val="22"/>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6ED0F4" w14:textId="77777777" w:rsidR="00686EC7" w:rsidRPr="000C156A" w:rsidRDefault="00686EC7" w:rsidP="00141BAA">
            <w:pPr>
              <w:spacing w:before="40" w:after="40"/>
              <w:rPr>
                <w:rFonts w:cs="Arial"/>
                <w:sz w:val="22"/>
                <w:szCs w:val="22"/>
              </w:rPr>
            </w:pPr>
            <w:r w:rsidRPr="000C156A">
              <w:rPr>
                <w:rFonts w:cs="Arial" w:hint="eastAsia"/>
                <w:sz w:val="22"/>
                <w:szCs w:val="22"/>
              </w:rPr>
              <w:t>南非</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52F17E" w14:textId="77777777" w:rsidR="00686EC7" w:rsidRPr="000C156A" w:rsidRDefault="00686EC7" w:rsidP="00141BAA">
            <w:pPr>
              <w:spacing w:before="40" w:after="40"/>
              <w:rPr>
                <w:rFonts w:cs="Arial"/>
                <w:sz w:val="22"/>
                <w:szCs w:val="22"/>
              </w:rPr>
            </w:pPr>
            <w:r w:rsidRPr="000C156A">
              <w:rPr>
                <w:rFonts w:cs="Arial"/>
                <w:sz w:val="22"/>
                <w:szCs w:val="22"/>
              </w:rPr>
              <w:t>MPCELL (Pty) Ltd.</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0721DF" w14:textId="443C1EDC" w:rsidR="00686EC7" w:rsidRPr="000C156A" w:rsidRDefault="00686EC7" w:rsidP="00141BAA">
            <w:pPr>
              <w:spacing w:before="40" w:after="40"/>
              <w:jc w:val="right"/>
              <w:rPr>
                <w:rFonts w:cs="Arial"/>
                <w:sz w:val="22"/>
                <w:szCs w:val="22"/>
              </w:rPr>
            </w:pPr>
            <w:r w:rsidRPr="000C156A">
              <w:rPr>
                <w:rFonts w:cs="Arial"/>
                <w:sz w:val="22"/>
                <w:szCs w:val="22"/>
              </w:rPr>
              <w:t>3</w:t>
            </w:r>
            <w:r w:rsidR="001A59E5" w:rsidRPr="000C156A">
              <w:rPr>
                <w:rFonts w:cs="Arial"/>
                <w:sz w:val="22"/>
                <w:szCs w:val="22"/>
              </w:rPr>
              <w:t xml:space="preserve"> </w:t>
            </w:r>
            <w:r w:rsidRPr="000C156A">
              <w:rPr>
                <w:rFonts w:cs="Arial"/>
                <w:sz w:val="22"/>
                <w:szCs w:val="22"/>
              </w:rPr>
              <w:t>690.00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AB6392" w14:textId="77777777" w:rsidR="00686EC7" w:rsidRPr="000C156A" w:rsidRDefault="00686EC7" w:rsidP="00141BAA">
            <w:pPr>
              <w:spacing w:before="40" w:after="40"/>
              <w:jc w:val="right"/>
              <w:rPr>
                <w:rFonts w:cs="Arial"/>
                <w:sz w:val="22"/>
                <w:szCs w:val="22"/>
              </w:rPr>
            </w:pPr>
            <w:r w:rsidRPr="000C156A">
              <w:rPr>
                <w:rFonts w:cs="Arial"/>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17AB22" w14:textId="1F8C4789" w:rsidR="00686EC7" w:rsidRPr="000C156A" w:rsidRDefault="00686EC7" w:rsidP="00141BAA">
            <w:pPr>
              <w:spacing w:before="40" w:after="40"/>
              <w:jc w:val="right"/>
              <w:rPr>
                <w:rFonts w:cs="Arial"/>
                <w:sz w:val="22"/>
                <w:szCs w:val="22"/>
              </w:rPr>
            </w:pPr>
            <w:r w:rsidRPr="000C156A">
              <w:rPr>
                <w:rFonts w:cs="Arial"/>
                <w:sz w:val="22"/>
                <w:szCs w:val="22"/>
              </w:rPr>
              <w:t>3</w:t>
            </w:r>
            <w:r w:rsidR="001A59E5" w:rsidRPr="000C156A">
              <w:rPr>
                <w:rFonts w:cs="Arial"/>
                <w:sz w:val="22"/>
                <w:szCs w:val="22"/>
              </w:rPr>
              <w:t xml:space="preserve"> </w:t>
            </w:r>
            <w:r w:rsidRPr="000C156A">
              <w:rPr>
                <w:rFonts w:cs="Arial"/>
                <w:sz w:val="22"/>
                <w:szCs w:val="22"/>
              </w:rPr>
              <w:t>690.00</w:t>
            </w:r>
          </w:p>
        </w:tc>
      </w:tr>
      <w:tr w:rsidR="00686EC7" w:rsidRPr="000C156A" w14:paraId="69D95FDC" w14:textId="77777777" w:rsidTr="000C156A">
        <w:trPr>
          <w:trHeight w:val="197"/>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E0195F" w14:textId="77777777" w:rsidR="00686EC7" w:rsidRPr="000C156A" w:rsidRDefault="00686EC7" w:rsidP="00141BAA">
            <w:pPr>
              <w:spacing w:before="40" w:after="40"/>
              <w:jc w:val="center"/>
              <w:rPr>
                <w:rFonts w:cs="Arial"/>
                <w:sz w:val="22"/>
                <w:szCs w:val="22"/>
              </w:rPr>
            </w:pPr>
            <w:r w:rsidRPr="000C156A">
              <w:rPr>
                <w:rFonts w:cs="Arial"/>
                <w:sz w:val="22"/>
                <w:szCs w:val="22"/>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3A4ABF" w14:textId="77777777" w:rsidR="00686EC7" w:rsidRPr="000C156A" w:rsidRDefault="00686EC7" w:rsidP="00141BAA">
            <w:pPr>
              <w:spacing w:before="40" w:after="40"/>
              <w:rPr>
                <w:rFonts w:cs="Arial"/>
                <w:sz w:val="22"/>
                <w:szCs w:val="22"/>
              </w:rPr>
            </w:pPr>
            <w:r w:rsidRPr="000C156A">
              <w:rPr>
                <w:rFonts w:cs="Arial" w:hint="eastAsia"/>
                <w:sz w:val="22"/>
                <w:szCs w:val="22"/>
              </w:rPr>
              <w:t>加拿大</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525754" w14:textId="77777777" w:rsidR="00686EC7" w:rsidRPr="000C156A" w:rsidRDefault="00686EC7" w:rsidP="00141BAA">
            <w:pPr>
              <w:spacing w:before="40" w:after="40"/>
              <w:rPr>
                <w:rFonts w:cs="Arial"/>
                <w:sz w:val="22"/>
                <w:szCs w:val="22"/>
              </w:rPr>
            </w:pPr>
            <w:r w:rsidRPr="000C156A">
              <w:rPr>
                <w:rFonts w:cs="Arial"/>
                <w:sz w:val="22"/>
                <w:szCs w:val="22"/>
              </w:rPr>
              <w:t>Broad Connect Telecom Ltd.</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ED1878" w14:textId="77843EA0" w:rsidR="00686EC7" w:rsidRPr="000C156A" w:rsidRDefault="00686EC7" w:rsidP="00141BAA">
            <w:pPr>
              <w:spacing w:before="40" w:after="40"/>
              <w:jc w:val="right"/>
              <w:rPr>
                <w:rFonts w:cs="Arial"/>
                <w:sz w:val="22"/>
                <w:szCs w:val="22"/>
              </w:rPr>
            </w:pPr>
            <w:r w:rsidRPr="000C156A">
              <w:rPr>
                <w:rFonts w:cs="Arial"/>
                <w:sz w:val="22"/>
                <w:szCs w:val="22"/>
              </w:rPr>
              <w:t>14</w:t>
            </w:r>
            <w:r w:rsidR="001A59E5" w:rsidRPr="000C156A">
              <w:rPr>
                <w:rFonts w:cs="Arial"/>
                <w:sz w:val="22"/>
                <w:szCs w:val="22"/>
              </w:rPr>
              <w:t xml:space="preserve"> </w:t>
            </w:r>
            <w:r w:rsidRPr="000C156A">
              <w:rPr>
                <w:rFonts w:cs="Arial"/>
                <w:sz w:val="22"/>
                <w:szCs w:val="22"/>
              </w:rPr>
              <w:t>760.00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D07D19" w14:textId="311372DB" w:rsidR="00686EC7" w:rsidRPr="000C156A" w:rsidRDefault="00686EC7" w:rsidP="00141BAA">
            <w:pPr>
              <w:spacing w:before="40" w:after="40"/>
              <w:jc w:val="right"/>
              <w:rPr>
                <w:rFonts w:cs="Arial"/>
                <w:sz w:val="22"/>
                <w:szCs w:val="22"/>
              </w:rPr>
            </w:pPr>
            <w:r w:rsidRPr="000C156A">
              <w:rPr>
                <w:rFonts w:cs="Arial"/>
                <w:sz w:val="22"/>
                <w:szCs w:val="22"/>
              </w:rPr>
              <w:t>5</w:t>
            </w:r>
            <w:r w:rsidR="001A59E5" w:rsidRPr="000C156A">
              <w:rPr>
                <w:rFonts w:cs="Arial"/>
                <w:sz w:val="22"/>
                <w:szCs w:val="22"/>
              </w:rPr>
              <w:t xml:space="preserve"> </w:t>
            </w:r>
            <w:r w:rsidRPr="000C156A">
              <w:rPr>
                <w:rFonts w:cs="Arial"/>
                <w:sz w:val="22"/>
                <w:szCs w:val="22"/>
              </w:rPr>
              <w:t>850.00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5C0930" w14:textId="10A8D425" w:rsidR="00686EC7" w:rsidRPr="000C156A" w:rsidRDefault="00686EC7" w:rsidP="00141BAA">
            <w:pPr>
              <w:spacing w:before="40" w:after="40"/>
              <w:jc w:val="right"/>
              <w:rPr>
                <w:rFonts w:cs="Arial"/>
                <w:sz w:val="22"/>
                <w:szCs w:val="22"/>
              </w:rPr>
            </w:pPr>
            <w:r w:rsidRPr="000C156A">
              <w:rPr>
                <w:rFonts w:cs="Arial"/>
                <w:sz w:val="22"/>
                <w:szCs w:val="22"/>
              </w:rPr>
              <w:t>8</w:t>
            </w:r>
            <w:r w:rsidR="001A59E5" w:rsidRPr="000C156A">
              <w:rPr>
                <w:rFonts w:cs="Arial"/>
                <w:sz w:val="22"/>
                <w:szCs w:val="22"/>
              </w:rPr>
              <w:t xml:space="preserve"> </w:t>
            </w:r>
            <w:r w:rsidRPr="000C156A">
              <w:rPr>
                <w:rFonts w:cs="Arial"/>
                <w:sz w:val="22"/>
                <w:szCs w:val="22"/>
              </w:rPr>
              <w:t>910.00</w:t>
            </w:r>
          </w:p>
        </w:tc>
      </w:tr>
      <w:tr w:rsidR="00686EC7" w:rsidRPr="000C156A" w14:paraId="17C62C3D" w14:textId="77777777" w:rsidTr="000C156A">
        <w:trPr>
          <w:trHeight w:val="197"/>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3F6A90" w14:textId="77777777" w:rsidR="00686EC7" w:rsidRPr="000C156A" w:rsidRDefault="00686EC7" w:rsidP="00141BAA">
            <w:pPr>
              <w:spacing w:before="40" w:after="40"/>
              <w:jc w:val="center"/>
              <w:rPr>
                <w:rFonts w:cs="Arial"/>
                <w:sz w:val="22"/>
                <w:szCs w:val="22"/>
              </w:rPr>
            </w:pPr>
            <w:r w:rsidRPr="000C156A">
              <w:rPr>
                <w:rFonts w:cs="Arial"/>
                <w:sz w:val="22"/>
                <w:szCs w:val="22"/>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E808E1" w14:textId="77777777" w:rsidR="00686EC7" w:rsidRPr="000C156A" w:rsidRDefault="00686EC7" w:rsidP="00141BAA">
            <w:pPr>
              <w:spacing w:before="40" w:after="40"/>
              <w:rPr>
                <w:rFonts w:cs="Arial"/>
                <w:sz w:val="22"/>
                <w:szCs w:val="22"/>
              </w:rPr>
            </w:pPr>
            <w:r w:rsidRPr="000C156A">
              <w:rPr>
                <w:rFonts w:cs="Arial" w:hint="eastAsia"/>
                <w:sz w:val="22"/>
                <w:szCs w:val="22"/>
              </w:rPr>
              <w:t>中国</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96F29" w14:textId="77777777" w:rsidR="00686EC7" w:rsidRPr="000C156A" w:rsidRDefault="00686EC7" w:rsidP="00141BAA">
            <w:pPr>
              <w:spacing w:before="40" w:after="40"/>
              <w:rPr>
                <w:rFonts w:cs="Arial"/>
                <w:sz w:val="22"/>
                <w:szCs w:val="22"/>
              </w:rPr>
            </w:pPr>
            <w:r w:rsidRPr="000C156A">
              <w:rPr>
                <w:rFonts w:asciiTheme="minorHAnsi" w:hAnsiTheme="minorHAnsi" w:cs="Arial"/>
                <w:sz w:val="22"/>
                <w:szCs w:val="22"/>
                <w:lang w:val="en-US" w:eastAsia="zh-CN"/>
              </w:rPr>
              <w:t>SipRing Telecommunication</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1A666A" w14:textId="6E6BF0C5" w:rsidR="00686EC7" w:rsidRPr="000C156A" w:rsidRDefault="00686EC7" w:rsidP="00141BAA">
            <w:pPr>
              <w:spacing w:before="40" w:after="40"/>
              <w:jc w:val="right"/>
              <w:rPr>
                <w:rFonts w:cs="Arial"/>
                <w:sz w:val="22"/>
                <w:szCs w:val="22"/>
              </w:rPr>
            </w:pPr>
            <w:r w:rsidRPr="000C156A">
              <w:rPr>
                <w:rFonts w:cs="Arial"/>
                <w:sz w:val="22"/>
                <w:szCs w:val="22"/>
              </w:rPr>
              <w:t>8</w:t>
            </w:r>
            <w:r w:rsidR="001A59E5" w:rsidRPr="000C156A">
              <w:rPr>
                <w:rFonts w:cs="Arial"/>
                <w:sz w:val="22"/>
                <w:szCs w:val="22"/>
              </w:rPr>
              <w:t xml:space="preserve"> </w:t>
            </w:r>
            <w:r w:rsidRPr="000C156A">
              <w:rPr>
                <w:rFonts w:cs="Arial"/>
                <w:sz w:val="22"/>
                <w:szCs w:val="22"/>
              </w:rPr>
              <w:t>200.00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D7C746" w14:textId="77777777" w:rsidR="00686EC7" w:rsidRPr="000C156A" w:rsidRDefault="00686EC7" w:rsidP="00141BAA">
            <w:pPr>
              <w:spacing w:before="40" w:after="40"/>
              <w:jc w:val="right"/>
              <w:rPr>
                <w:rFonts w:cs="Arial"/>
                <w:sz w:val="22"/>
                <w:szCs w:val="22"/>
              </w:rPr>
            </w:pPr>
            <w:r w:rsidRPr="000C156A">
              <w:rPr>
                <w:rFonts w:cs="Arial"/>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04AF4E" w14:textId="5FF97538" w:rsidR="00686EC7" w:rsidRPr="000C156A" w:rsidRDefault="00686EC7" w:rsidP="00141BAA">
            <w:pPr>
              <w:spacing w:before="40" w:after="40"/>
              <w:jc w:val="right"/>
              <w:rPr>
                <w:rFonts w:cs="Arial"/>
                <w:sz w:val="22"/>
                <w:szCs w:val="22"/>
              </w:rPr>
            </w:pPr>
            <w:r w:rsidRPr="000C156A">
              <w:rPr>
                <w:rFonts w:cs="Arial"/>
                <w:sz w:val="22"/>
                <w:szCs w:val="22"/>
              </w:rPr>
              <w:t>8</w:t>
            </w:r>
            <w:r w:rsidR="001A59E5" w:rsidRPr="000C156A">
              <w:rPr>
                <w:rFonts w:cs="Arial"/>
                <w:sz w:val="22"/>
                <w:szCs w:val="22"/>
              </w:rPr>
              <w:t xml:space="preserve"> </w:t>
            </w:r>
            <w:r w:rsidRPr="000C156A">
              <w:rPr>
                <w:rFonts w:cs="Arial"/>
                <w:sz w:val="22"/>
                <w:szCs w:val="22"/>
              </w:rPr>
              <w:t>200.00</w:t>
            </w:r>
          </w:p>
        </w:tc>
      </w:tr>
      <w:tr w:rsidR="00686EC7" w:rsidRPr="000C156A" w14:paraId="2E4C8AEC" w14:textId="77777777" w:rsidTr="000C156A">
        <w:trPr>
          <w:trHeight w:val="197"/>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9BDF07" w14:textId="77777777" w:rsidR="00686EC7" w:rsidRPr="000C156A" w:rsidRDefault="00686EC7" w:rsidP="00141BAA">
            <w:pPr>
              <w:spacing w:before="40" w:after="40"/>
              <w:jc w:val="center"/>
              <w:rPr>
                <w:rFonts w:cs="Arial"/>
                <w:sz w:val="22"/>
                <w:szCs w:val="22"/>
              </w:rPr>
            </w:pPr>
            <w:r w:rsidRPr="000C156A">
              <w:rPr>
                <w:rFonts w:cs="Arial"/>
                <w:sz w:val="22"/>
                <w:szCs w:val="22"/>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C7D23A" w14:textId="77777777" w:rsidR="00686EC7" w:rsidRPr="000C156A" w:rsidRDefault="00686EC7" w:rsidP="00141BAA">
            <w:pPr>
              <w:spacing w:before="40" w:after="40"/>
              <w:rPr>
                <w:rFonts w:cs="Arial"/>
                <w:sz w:val="22"/>
                <w:szCs w:val="22"/>
              </w:rPr>
            </w:pPr>
            <w:r w:rsidRPr="000C156A">
              <w:rPr>
                <w:rFonts w:cs="Arial" w:hint="eastAsia"/>
                <w:sz w:val="22"/>
                <w:szCs w:val="22"/>
              </w:rPr>
              <w:t>科特迪瓦</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D8EE3C" w14:textId="77777777" w:rsidR="00686EC7" w:rsidRPr="000C156A" w:rsidRDefault="00686EC7" w:rsidP="00141BAA">
            <w:pPr>
              <w:spacing w:before="40" w:after="40"/>
              <w:rPr>
                <w:rFonts w:cs="Arial"/>
                <w:sz w:val="22"/>
                <w:szCs w:val="22"/>
              </w:rPr>
            </w:pPr>
            <w:r w:rsidRPr="000C156A">
              <w:rPr>
                <w:rFonts w:asciiTheme="minorHAnsi" w:hAnsiTheme="minorHAnsi" w:cs="Arial"/>
                <w:sz w:val="22"/>
                <w:szCs w:val="22"/>
                <w:lang w:val="en-US" w:eastAsia="zh-CN"/>
              </w:rPr>
              <w:t>Apex Technologies</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3854AD" w14:textId="4FDF54E1" w:rsidR="00686EC7" w:rsidRPr="000C156A" w:rsidRDefault="00686EC7" w:rsidP="00141BAA">
            <w:pPr>
              <w:spacing w:before="40" w:after="40"/>
              <w:jc w:val="right"/>
              <w:rPr>
                <w:rFonts w:cs="Arial"/>
                <w:sz w:val="22"/>
                <w:szCs w:val="22"/>
              </w:rPr>
            </w:pPr>
            <w:r w:rsidRPr="000C156A">
              <w:rPr>
                <w:rFonts w:cs="Arial"/>
                <w:sz w:val="22"/>
                <w:szCs w:val="22"/>
              </w:rPr>
              <w:t>7</w:t>
            </w:r>
            <w:r w:rsidR="001A59E5" w:rsidRPr="000C156A">
              <w:rPr>
                <w:rFonts w:cs="Arial"/>
                <w:sz w:val="22"/>
                <w:szCs w:val="22"/>
              </w:rPr>
              <w:t xml:space="preserve"> </w:t>
            </w:r>
            <w:r w:rsidRPr="000C156A">
              <w:rPr>
                <w:rFonts w:cs="Arial"/>
                <w:sz w:val="22"/>
                <w:szCs w:val="22"/>
              </w:rPr>
              <w:t>380.00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156BBA" w14:textId="77777777" w:rsidR="00686EC7" w:rsidRPr="000C156A" w:rsidRDefault="00686EC7" w:rsidP="00141BAA">
            <w:pPr>
              <w:spacing w:before="40" w:after="40"/>
              <w:jc w:val="right"/>
              <w:rPr>
                <w:rFonts w:cs="Arial"/>
                <w:sz w:val="22"/>
                <w:szCs w:val="22"/>
              </w:rPr>
            </w:pPr>
            <w:r w:rsidRPr="000C156A">
              <w:rPr>
                <w:rFonts w:cs="Arial"/>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D2BA95" w14:textId="07319B04" w:rsidR="00686EC7" w:rsidRPr="000C156A" w:rsidRDefault="00686EC7" w:rsidP="00141BAA">
            <w:pPr>
              <w:spacing w:before="40" w:after="40"/>
              <w:jc w:val="right"/>
              <w:rPr>
                <w:rFonts w:cs="Arial"/>
                <w:sz w:val="22"/>
                <w:szCs w:val="22"/>
              </w:rPr>
            </w:pPr>
            <w:r w:rsidRPr="000C156A">
              <w:rPr>
                <w:rFonts w:cs="Arial"/>
                <w:sz w:val="22"/>
                <w:szCs w:val="22"/>
              </w:rPr>
              <w:t>7</w:t>
            </w:r>
            <w:r w:rsidR="001A59E5" w:rsidRPr="000C156A">
              <w:rPr>
                <w:rFonts w:cs="Arial"/>
                <w:sz w:val="22"/>
                <w:szCs w:val="22"/>
              </w:rPr>
              <w:t xml:space="preserve"> </w:t>
            </w:r>
            <w:r w:rsidRPr="000C156A">
              <w:rPr>
                <w:rFonts w:cs="Arial"/>
                <w:sz w:val="22"/>
                <w:szCs w:val="22"/>
              </w:rPr>
              <w:t>380.00</w:t>
            </w:r>
          </w:p>
        </w:tc>
      </w:tr>
      <w:tr w:rsidR="00686EC7" w:rsidRPr="000C156A" w14:paraId="6065A115" w14:textId="77777777" w:rsidTr="000C156A">
        <w:trPr>
          <w:trHeight w:val="197"/>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7A3A54" w14:textId="77777777" w:rsidR="00686EC7" w:rsidRPr="000C156A" w:rsidRDefault="00686EC7" w:rsidP="00141BAA">
            <w:pPr>
              <w:spacing w:before="40" w:after="40"/>
              <w:jc w:val="center"/>
              <w:rPr>
                <w:rFonts w:cs="Arial"/>
                <w:sz w:val="22"/>
                <w:szCs w:val="22"/>
              </w:rPr>
            </w:pPr>
            <w:r w:rsidRPr="000C156A">
              <w:rPr>
                <w:rFonts w:cs="Arial"/>
                <w:sz w:val="22"/>
                <w:szCs w:val="22"/>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1C8400" w14:textId="77777777" w:rsidR="00686EC7" w:rsidRPr="000C156A" w:rsidRDefault="00686EC7" w:rsidP="00141BAA">
            <w:pPr>
              <w:spacing w:before="40" w:after="40"/>
              <w:rPr>
                <w:rFonts w:cs="Arial"/>
                <w:sz w:val="22"/>
                <w:szCs w:val="22"/>
              </w:rPr>
            </w:pPr>
            <w:r w:rsidRPr="000C156A">
              <w:rPr>
                <w:rFonts w:cs="Arial" w:hint="eastAsia"/>
                <w:sz w:val="22"/>
                <w:szCs w:val="22"/>
              </w:rPr>
              <w:t>黎巴嫩</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00EBE2" w14:textId="77777777" w:rsidR="00686EC7" w:rsidRPr="000C156A" w:rsidRDefault="00686EC7" w:rsidP="00141BAA">
            <w:pPr>
              <w:spacing w:before="40" w:after="40"/>
              <w:rPr>
                <w:rFonts w:cs="Arial"/>
                <w:sz w:val="22"/>
                <w:szCs w:val="22"/>
              </w:rPr>
            </w:pPr>
            <w:r w:rsidRPr="000C156A">
              <w:rPr>
                <w:rFonts w:cs="Arial"/>
                <w:sz w:val="22"/>
                <w:szCs w:val="22"/>
              </w:rPr>
              <w:t>Splendor</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662EEB" w14:textId="73668DF0" w:rsidR="00686EC7" w:rsidRPr="000C156A" w:rsidRDefault="00686EC7" w:rsidP="00141BAA">
            <w:pPr>
              <w:spacing w:before="40" w:after="40"/>
              <w:jc w:val="right"/>
              <w:rPr>
                <w:rFonts w:cs="Arial"/>
                <w:sz w:val="22"/>
                <w:szCs w:val="22"/>
              </w:rPr>
            </w:pPr>
            <w:r w:rsidRPr="000C156A">
              <w:rPr>
                <w:rFonts w:cs="Arial"/>
                <w:sz w:val="22"/>
                <w:szCs w:val="22"/>
              </w:rPr>
              <w:t>12</w:t>
            </w:r>
            <w:r w:rsidR="001A59E5" w:rsidRPr="000C156A">
              <w:rPr>
                <w:rFonts w:cs="Arial"/>
                <w:sz w:val="22"/>
                <w:szCs w:val="22"/>
              </w:rPr>
              <w:t xml:space="preserve"> </w:t>
            </w:r>
            <w:r w:rsidRPr="000C156A">
              <w:rPr>
                <w:rFonts w:cs="Arial"/>
                <w:sz w:val="22"/>
                <w:szCs w:val="22"/>
              </w:rPr>
              <w:t>300.00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22C3EA" w14:textId="77777777" w:rsidR="00686EC7" w:rsidRPr="000C156A" w:rsidRDefault="00686EC7" w:rsidP="00141BAA">
            <w:pPr>
              <w:spacing w:before="40" w:after="40"/>
              <w:jc w:val="right"/>
              <w:rPr>
                <w:rFonts w:cs="Arial"/>
                <w:sz w:val="22"/>
                <w:szCs w:val="22"/>
              </w:rPr>
            </w:pPr>
            <w:r w:rsidRPr="000C156A">
              <w:rPr>
                <w:rFonts w:cs="Arial"/>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C2B9FC" w14:textId="32C4B465" w:rsidR="00686EC7" w:rsidRPr="000C156A" w:rsidRDefault="00686EC7" w:rsidP="00141BAA">
            <w:pPr>
              <w:spacing w:before="40" w:after="40"/>
              <w:jc w:val="right"/>
              <w:rPr>
                <w:rFonts w:cs="Arial"/>
                <w:sz w:val="22"/>
                <w:szCs w:val="22"/>
              </w:rPr>
            </w:pPr>
            <w:r w:rsidRPr="000C156A">
              <w:rPr>
                <w:rFonts w:cs="Arial"/>
                <w:sz w:val="22"/>
                <w:szCs w:val="22"/>
              </w:rPr>
              <w:t>12</w:t>
            </w:r>
            <w:r w:rsidR="001A59E5" w:rsidRPr="000C156A">
              <w:rPr>
                <w:rFonts w:cs="Arial"/>
                <w:sz w:val="22"/>
                <w:szCs w:val="22"/>
              </w:rPr>
              <w:t xml:space="preserve"> </w:t>
            </w:r>
            <w:r w:rsidRPr="000C156A">
              <w:rPr>
                <w:rFonts w:cs="Arial"/>
                <w:sz w:val="22"/>
                <w:szCs w:val="22"/>
              </w:rPr>
              <w:t>300.00</w:t>
            </w:r>
          </w:p>
        </w:tc>
      </w:tr>
      <w:tr w:rsidR="00686EC7" w:rsidRPr="000C156A" w14:paraId="4C6C8533" w14:textId="77777777" w:rsidTr="000C156A">
        <w:trPr>
          <w:trHeight w:val="197"/>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E186BC" w14:textId="77777777" w:rsidR="00686EC7" w:rsidRPr="000C156A" w:rsidRDefault="00686EC7" w:rsidP="00141BAA">
            <w:pPr>
              <w:spacing w:before="40" w:after="40"/>
              <w:jc w:val="center"/>
              <w:rPr>
                <w:rFonts w:cs="Arial"/>
                <w:sz w:val="22"/>
                <w:szCs w:val="22"/>
              </w:rPr>
            </w:pPr>
            <w:r w:rsidRPr="000C156A">
              <w:rPr>
                <w:rFonts w:cs="Arial"/>
                <w:sz w:val="22"/>
                <w:szCs w:val="22"/>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FAA78D" w14:textId="77777777" w:rsidR="00686EC7" w:rsidRPr="000C156A" w:rsidRDefault="00686EC7" w:rsidP="00141BAA">
            <w:pPr>
              <w:spacing w:before="40" w:after="40"/>
              <w:jc w:val="center"/>
              <w:rPr>
                <w:rFonts w:cs="Arial"/>
                <w:sz w:val="22"/>
                <w:szCs w:val="22"/>
              </w:rPr>
            </w:pPr>
            <w:r w:rsidRPr="000C156A">
              <w:rPr>
                <w:rFonts w:cs="Arial"/>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FA8A1D" w14:textId="77777777" w:rsidR="00686EC7" w:rsidRPr="000C156A" w:rsidRDefault="00686EC7" w:rsidP="00141BAA">
            <w:pPr>
              <w:spacing w:before="40" w:after="40"/>
              <w:jc w:val="center"/>
              <w:rPr>
                <w:rFonts w:cs="Arial"/>
                <w:sz w:val="22"/>
                <w:szCs w:val="22"/>
              </w:rPr>
            </w:pPr>
            <w:r w:rsidRPr="000C156A">
              <w:rPr>
                <w:rFonts w:cs="Arial"/>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9155BA" w14:textId="77777777" w:rsidR="00686EC7" w:rsidRPr="000C156A" w:rsidRDefault="00686EC7" w:rsidP="00141BAA">
            <w:pPr>
              <w:spacing w:before="40" w:after="40"/>
              <w:jc w:val="right"/>
              <w:rPr>
                <w:rFonts w:cs="Arial"/>
                <w:sz w:val="22"/>
                <w:szCs w:val="22"/>
              </w:rPr>
            </w:pPr>
            <w:r w:rsidRPr="000C156A">
              <w:rPr>
                <w:rFonts w:cs="Arial"/>
                <w:sz w:val="22"/>
                <w:szCs w:val="22"/>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927637" w14:textId="77777777" w:rsidR="00686EC7" w:rsidRPr="000C156A" w:rsidRDefault="00686EC7" w:rsidP="00141BAA">
            <w:pPr>
              <w:spacing w:before="40" w:after="40"/>
              <w:jc w:val="right"/>
              <w:rPr>
                <w:rFonts w:cs="Arial"/>
                <w:sz w:val="22"/>
                <w:szCs w:val="22"/>
              </w:rPr>
            </w:pPr>
            <w:r w:rsidRPr="000C156A">
              <w:rPr>
                <w:rFonts w:cs="Arial"/>
                <w:sz w:val="22"/>
                <w:szCs w:val="22"/>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CE1E48" w14:textId="77777777" w:rsidR="00686EC7" w:rsidRPr="000C156A" w:rsidRDefault="00686EC7" w:rsidP="00141BAA">
            <w:pPr>
              <w:spacing w:before="40" w:after="40"/>
              <w:jc w:val="right"/>
              <w:rPr>
                <w:rFonts w:cs="Arial"/>
                <w:sz w:val="22"/>
                <w:szCs w:val="22"/>
              </w:rPr>
            </w:pPr>
            <w:r w:rsidRPr="000C156A">
              <w:rPr>
                <w:rFonts w:cs="Arial"/>
                <w:sz w:val="22"/>
                <w:szCs w:val="22"/>
              </w:rPr>
              <w:t> </w:t>
            </w:r>
          </w:p>
        </w:tc>
      </w:tr>
      <w:tr w:rsidR="00686EC7" w:rsidRPr="000C156A" w14:paraId="36A2CC9D" w14:textId="77777777" w:rsidTr="000C156A">
        <w:trPr>
          <w:trHeight w:val="43"/>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3ED595" w14:textId="77777777" w:rsidR="00686EC7" w:rsidRPr="000C156A" w:rsidRDefault="00686EC7" w:rsidP="00141BAA">
            <w:pPr>
              <w:spacing w:before="40" w:after="40"/>
              <w:jc w:val="center"/>
              <w:rPr>
                <w:rFonts w:cs="Arial"/>
                <w:b/>
                <w:bCs/>
                <w:sz w:val="22"/>
                <w:szCs w:val="22"/>
              </w:rPr>
            </w:pPr>
            <w:r w:rsidRPr="000C156A">
              <w:rPr>
                <w:rFonts w:cs="Arial"/>
                <w:b/>
                <w:bCs/>
                <w:sz w:val="22"/>
                <w:szCs w:val="22"/>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94B016" w14:textId="77777777" w:rsidR="00686EC7" w:rsidRPr="000C156A" w:rsidRDefault="00686EC7" w:rsidP="00141BAA">
            <w:pPr>
              <w:spacing w:before="40" w:after="40"/>
              <w:jc w:val="center"/>
              <w:rPr>
                <w:rFonts w:cs="Arial"/>
                <w:sz w:val="22"/>
                <w:szCs w:val="22"/>
              </w:rPr>
            </w:pPr>
            <w:r w:rsidRPr="000C156A">
              <w:rPr>
                <w:rFonts w:cs="Arial"/>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3418AD" w14:textId="77777777" w:rsidR="00686EC7" w:rsidRPr="000C156A" w:rsidRDefault="00686EC7" w:rsidP="00141BAA">
            <w:pPr>
              <w:spacing w:before="40" w:after="40"/>
              <w:jc w:val="center"/>
              <w:rPr>
                <w:rFonts w:cs="Arial"/>
                <w:sz w:val="22"/>
                <w:szCs w:val="22"/>
              </w:rPr>
            </w:pPr>
            <w:r w:rsidRPr="000C156A">
              <w:rPr>
                <w:rFonts w:cs="Arial"/>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A39923" w14:textId="77777777" w:rsidR="00686EC7" w:rsidRPr="000C156A" w:rsidRDefault="00686EC7" w:rsidP="00141BAA">
            <w:pPr>
              <w:spacing w:before="40" w:after="40"/>
              <w:jc w:val="right"/>
              <w:rPr>
                <w:rFonts w:cs="Arial"/>
                <w:sz w:val="22"/>
                <w:szCs w:val="22"/>
              </w:rPr>
            </w:pPr>
            <w:r w:rsidRPr="000C156A">
              <w:rPr>
                <w:rFonts w:cs="Arial"/>
                <w:sz w:val="22"/>
                <w:szCs w:val="22"/>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36A9F5" w14:textId="77777777" w:rsidR="00686EC7" w:rsidRPr="000C156A" w:rsidRDefault="00686EC7" w:rsidP="00141BAA">
            <w:pPr>
              <w:spacing w:before="40" w:after="40"/>
              <w:jc w:val="right"/>
              <w:rPr>
                <w:rFonts w:cs="Arial"/>
                <w:sz w:val="22"/>
                <w:szCs w:val="22"/>
              </w:rPr>
            </w:pPr>
            <w:r w:rsidRPr="000C156A">
              <w:rPr>
                <w:rFonts w:cs="Arial"/>
                <w:sz w:val="22"/>
                <w:szCs w:val="22"/>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22F876" w14:textId="3FC5DEBA" w:rsidR="00686EC7" w:rsidRPr="000C156A" w:rsidRDefault="00686EC7" w:rsidP="00141BAA">
            <w:pPr>
              <w:spacing w:before="40" w:after="40"/>
              <w:jc w:val="right"/>
              <w:rPr>
                <w:rFonts w:cs="Arial"/>
                <w:b/>
                <w:bCs/>
                <w:sz w:val="22"/>
                <w:szCs w:val="22"/>
              </w:rPr>
            </w:pPr>
            <w:r w:rsidRPr="000C156A">
              <w:rPr>
                <w:rFonts w:cs="Arial"/>
                <w:b/>
                <w:bCs/>
                <w:sz w:val="22"/>
                <w:szCs w:val="22"/>
              </w:rPr>
              <w:t>40</w:t>
            </w:r>
            <w:r w:rsidR="001A59E5" w:rsidRPr="000C156A">
              <w:rPr>
                <w:rFonts w:cs="Arial"/>
                <w:b/>
                <w:bCs/>
                <w:sz w:val="22"/>
                <w:szCs w:val="22"/>
              </w:rPr>
              <w:t xml:space="preserve"> </w:t>
            </w:r>
            <w:r w:rsidRPr="000C156A">
              <w:rPr>
                <w:rFonts w:cs="Arial"/>
                <w:b/>
                <w:bCs/>
                <w:sz w:val="22"/>
                <w:szCs w:val="22"/>
              </w:rPr>
              <w:t>480.00</w:t>
            </w:r>
          </w:p>
        </w:tc>
      </w:tr>
    </w:tbl>
    <w:p w14:paraId="1E9085B8" w14:textId="77777777" w:rsidR="00686EC7" w:rsidRPr="000C156A" w:rsidRDefault="00686EC7" w:rsidP="00686EC7">
      <w:pPr>
        <w:spacing w:before="0"/>
        <w:rPr>
          <w:sz w:val="22"/>
          <w:szCs w:val="22"/>
        </w:rPr>
      </w:pPr>
    </w:p>
    <w:tbl>
      <w:tblPr>
        <w:tblW w:w="5000" w:type="pct"/>
        <w:tblCellMar>
          <w:left w:w="0" w:type="dxa"/>
          <w:right w:w="0" w:type="dxa"/>
        </w:tblCellMar>
        <w:tblLook w:val="04A0" w:firstRow="1" w:lastRow="0" w:firstColumn="1" w:lastColumn="0" w:noHBand="0" w:noVBand="1"/>
      </w:tblPr>
      <w:tblGrid>
        <w:gridCol w:w="1501"/>
        <w:gridCol w:w="1121"/>
        <w:gridCol w:w="3330"/>
        <w:gridCol w:w="1362"/>
        <w:gridCol w:w="1379"/>
        <w:gridCol w:w="936"/>
      </w:tblGrid>
      <w:tr w:rsidR="00686EC7" w:rsidRPr="000C156A" w14:paraId="5B8D40B5" w14:textId="77777777" w:rsidTr="00141BAA">
        <w:trPr>
          <w:trHeight w:val="525"/>
        </w:trPr>
        <w:tc>
          <w:tcPr>
            <w:tcW w:w="78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669FCA" w14:textId="77777777" w:rsidR="00686EC7" w:rsidRPr="000C156A" w:rsidRDefault="00686EC7" w:rsidP="00141BAA">
            <w:pPr>
              <w:pStyle w:val="Tabletext"/>
              <w:jc w:val="center"/>
              <w:rPr>
                <w:rFonts w:cs="Calibri"/>
                <w:b/>
                <w:bCs/>
                <w:szCs w:val="22"/>
                <w:lang w:val="en-US" w:eastAsia="zh-CN"/>
              </w:rPr>
            </w:pPr>
            <w:r w:rsidRPr="000C156A">
              <w:rPr>
                <w:rFonts w:cs="Calibri" w:hint="eastAsia"/>
                <w:b/>
                <w:bCs/>
                <w:szCs w:val="22"/>
                <w:lang w:val="en-US" w:eastAsia="zh-CN"/>
              </w:rPr>
              <w:t>活动</w:t>
            </w:r>
          </w:p>
        </w:tc>
        <w:tc>
          <w:tcPr>
            <w:tcW w:w="58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0CC7D8" w14:textId="77777777" w:rsidR="00686EC7" w:rsidRPr="000C156A" w:rsidRDefault="00686EC7" w:rsidP="00141BAA">
            <w:pPr>
              <w:pStyle w:val="Tabletext"/>
              <w:jc w:val="center"/>
              <w:rPr>
                <w:rFonts w:cs="Calibri"/>
                <w:b/>
                <w:bCs/>
                <w:szCs w:val="22"/>
                <w:lang w:val="en-US" w:eastAsia="zh-CN"/>
              </w:rPr>
            </w:pPr>
            <w:r w:rsidRPr="000C156A">
              <w:rPr>
                <w:rFonts w:cs="Calibri" w:hint="eastAsia"/>
                <w:b/>
                <w:bCs/>
                <w:szCs w:val="22"/>
                <w:lang w:val="en-US" w:eastAsia="zh-CN"/>
              </w:rPr>
              <w:t>国家</w:t>
            </w:r>
          </w:p>
        </w:tc>
        <w:tc>
          <w:tcPr>
            <w:tcW w:w="172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5BA3E7" w14:textId="77777777" w:rsidR="00686EC7" w:rsidRPr="000C156A" w:rsidRDefault="00686EC7" w:rsidP="00141BAA">
            <w:pPr>
              <w:pStyle w:val="Tabletext"/>
              <w:jc w:val="center"/>
              <w:rPr>
                <w:rFonts w:cs="Calibri"/>
                <w:b/>
                <w:bCs/>
                <w:szCs w:val="22"/>
                <w:lang w:val="en-US" w:eastAsia="zh-CN"/>
              </w:rPr>
            </w:pPr>
            <w:r w:rsidRPr="000C156A">
              <w:rPr>
                <w:rFonts w:cs="Calibri" w:hint="eastAsia"/>
                <w:b/>
                <w:bCs/>
                <w:szCs w:val="22"/>
                <w:lang w:val="en-US" w:eastAsia="zh-CN"/>
              </w:rPr>
              <w:t>公司</w:t>
            </w:r>
          </w:p>
        </w:tc>
        <w:tc>
          <w:tcPr>
            <w:tcW w:w="70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ABA71D" w14:textId="77777777" w:rsidR="00686EC7" w:rsidRPr="000C156A" w:rsidRDefault="00686EC7" w:rsidP="00141BAA">
            <w:pPr>
              <w:pStyle w:val="Tabletext"/>
              <w:jc w:val="center"/>
              <w:rPr>
                <w:rFonts w:cs="Calibri"/>
                <w:b/>
                <w:bCs/>
                <w:szCs w:val="22"/>
                <w:lang w:val="en-US"/>
              </w:rPr>
            </w:pPr>
            <w:r w:rsidRPr="000C156A">
              <w:rPr>
                <w:rFonts w:cs="Calibri" w:hint="eastAsia"/>
                <w:b/>
                <w:bCs/>
                <w:szCs w:val="22"/>
                <w:lang w:val="en-US"/>
              </w:rPr>
              <w:t>发票金额</w:t>
            </w:r>
          </w:p>
        </w:tc>
        <w:tc>
          <w:tcPr>
            <w:tcW w:w="71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36E756" w14:textId="77777777" w:rsidR="00686EC7" w:rsidRPr="000C156A" w:rsidRDefault="00686EC7" w:rsidP="00141BAA">
            <w:pPr>
              <w:pStyle w:val="Tabletext"/>
              <w:jc w:val="center"/>
              <w:rPr>
                <w:rFonts w:cs="Calibri"/>
                <w:b/>
                <w:bCs/>
                <w:szCs w:val="22"/>
                <w:lang w:val="en-US"/>
              </w:rPr>
            </w:pPr>
            <w:r w:rsidRPr="000C156A">
              <w:rPr>
                <w:rFonts w:cs="Calibri" w:hint="eastAsia"/>
                <w:b/>
                <w:bCs/>
                <w:szCs w:val="22"/>
                <w:lang w:val="en-US"/>
              </w:rPr>
              <w:t>收到付款</w:t>
            </w:r>
          </w:p>
        </w:tc>
        <w:tc>
          <w:tcPr>
            <w:tcW w:w="48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55CC59" w14:textId="77777777" w:rsidR="00686EC7" w:rsidRPr="000C156A" w:rsidRDefault="00686EC7" w:rsidP="00141BAA">
            <w:pPr>
              <w:pStyle w:val="Tabletext"/>
              <w:jc w:val="center"/>
              <w:rPr>
                <w:rFonts w:cs="Calibri"/>
                <w:b/>
                <w:bCs/>
                <w:szCs w:val="22"/>
                <w:lang w:val="en-US" w:eastAsia="zh-CN"/>
              </w:rPr>
            </w:pPr>
            <w:r w:rsidRPr="000C156A">
              <w:rPr>
                <w:rFonts w:cs="Calibri" w:hint="eastAsia"/>
                <w:b/>
                <w:bCs/>
                <w:szCs w:val="22"/>
                <w:lang w:val="en-US"/>
              </w:rPr>
              <w:t>欠款</w:t>
            </w:r>
            <w:r w:rsidRPr="000C156A">
              <w:rPr>
                <w:rFonts w:cs="Calibri" w:hint="eastAsia"/>
                <w:b/>
                <w:bCs/>
                <w:szCs w:val="22"/>
                <w:lang w:val="en-US" w:eastAsia="zh-CN"/>
              </w:rPr>
              <w:t>余额</w:t>
            </w:r>
          </w:p>
        </w:tc>
      </w:tr>
      <w:tr w:rsidR="00686EC7" w:rsidRPr="000C156A" w14:paraId="3CAD87A7" w14:textId="77777777" w:rsidTr="00141BAA">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83971" w14:textId="77777777" w:rsidR="00686EC7" w:rsidRPr="000C156A" w:rsidRDefault="00686EC7" w:rsidP="00141BAA">
            <w:pPr>
              <w:spacing w:before="40" w:after="40"/>
              <w:jc w:val="center"/>
              <w:rPr>
                <w:rFonts w:cs="Arial"/>
                <w:b/>
                <w:bCs/>
                <w:sz w:val="22"/>
                <w:szCs w:val="22"/>
              </w:rPr>
            </w:pPr>
            <w:r w:rsidRPr="000C156A">
              <w:rPr>
                <w:rFonts w:cs="Arial"/>
                <w:b/>
                <w:bCs/>
                <w:sz w:val="22"/>
                <w:szCs w:val="22"/>
              </w:rPr>
              <w:t> </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C08E26" w14:textId="77777777" w:rsidR="00686EC7" w:rsidRPr="000C156A" w:rsidRDefault="00686EC7" w:rsidP="00141BAA">
            <w:pPr>
              <w:spacing w:before="40" w:after="40"/>
              <w:jc w:val="center"/>
              <w:rPr>
                <w:rFonts w:cs="Arial"/>
                <w:b/>
                <w:bCs/>
                <w:sz w:val="22"/>
                <w:szCs w:val="22"/>
              </w:rPr>
            </w:pPr>
            <w:r w:rsidRPr="000C156A">
              <w:rPr>
                <w:rFonts w:cs="Arial"/>
                <w:b/>
                <w:bCs/>
                <w:sz w:val="22"/>
                <w:szCs w:val="22"/>
              </w:rPr>
              <w:t> </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1A296F" w14:textId="77777777" w:rsidR="00686EC7" w:rsidRPr="000C156A" w:rsidRDefault="00686EC7" w:rsidP="00141BAA">
            <w:pPr>
              <w:spacing w:before="40" w:after="40"/>
              <w:jc w:val="center"/>
              <w:rPr>
                <w:rFonts w:cs="Arial"/>
                <w:sz w:val="22"/>
                <w:szCs w:val="22"/>
              </w:rPr>
            </w:pPr>
            <w:r w:rsidRPr="000C156A">
              <w:rPr>
                <w:rFonts w:cs="Arial"/>
                <w:sz w:val="22"/>
                <w:szCs w:val="22"/>
              </w:rPr>
              <w:t> </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47B29" w14:textId="77777777" w:rsidR="00686EC7" w:rsidRPr="000C156A" w:rsidRDefault="00686EC7" w:rsidP="00141BAA">
            <w:pPr>
              <w:spacing w:before="40" w:after="40"/>
              <w:jc w:val="center"/>
              <w:rPr>
                <w:rFonts w:cs="Arial"/>
                <w:sz w:val="22"/>
                <w:szCs w:val="22"/>
              </w:rPr>
            </w:pPr>
            <w:r w:rsidRPr="000C156A">
              <w:rPr>
                <w:rFonts w:cs="Arial"/>
                <w:sz w:val="22"/>
                <w:szCs w:val="22"/>
              </w:rPr>
              <w:t> </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E5CD0F" w14:textId="77777777" w:rsidR="00686EC7" w:rsidRPr="000C156A" w:rsidRDefault="00686EC7" w:rsidP="00141BAA">
            <w:pPr>
              <w:spacing w:before="40" w:after="40"/>
              <w:jc w:val="center"/>
              <w:rPr>
                <w:rFonts w:cs="Arial"/>
                <w:sz w:val="22"/>
                <w:szCs w:val="22"/>
              </w:rPr>
            </w:pPr>
            <w:r w:rsidRPr="000C156A">
              <w:rPr>
                <w:rFonts w:cs="Arial"/>
                <w:sz w:val="22"/>
                <w:szCs w:val="22"/>
              </w:rPr>
              <w:t> </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860FB" w14:textId="77777777" w:rsidR="00686EC7" w:rsidRPr="000C156A" w:rsidRDefault="00686EC7" w:rsidP="00141BAA">
            <w:pPr>
              <w:spacing w:before="40" w:after="40"/>
              <w:jc w:val="center"/>
              <w:rPr>
                <w:rFonts w:cs="Arial"/>
                <w:sz w:val="22"/>
                <w:szCs w:val="22"/>
              </w:rPr>
            </w:pPr>
            <w:r w:rsidRPr="000C156A">
              <w:rPr>
                <w:rFonts w:cs="Arial"/>
                <w:sz w:val="22"/>
                <w:szCs w:val="22"/>
              </w:rPr>
              <w:t> </w:t>
            </w:r>
          </w:p>
        </w:tc>
      </w:tr>
      <w:tr w:rsidR="00686EC7" w:rsidRPr="000C156A" w14:paraId="15C08DFF" w14:textId="77777777" w:rsidTr="00141BAA">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39DEEB" w14:textId="77777777" w:rsidR="00686EC7" w:rsidRPr="000C156A" w:rsidRDefault="00686EC7" w:rsidP="00141BAA">
            <w:pPr>
              <w:spacing w:before="40" w:after="40"/>
              <w:jc w:val="center"/>
              <w:rPr>
                <w:color w:val="000000"/>
                <w:sz w:val="22"/>
                <w:szCs w:val="22"/>
              </w:rPr>
            </w:pPr>
            <w:r w:rsidRPr="000C156A">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29C1A1" w14:textId="77777777" w:rsidR="00686EC7" w:rsidRPr="000C156A" w:rsidRDefault="00686EC7" w:rsidP="00141BAA">
            <w:pPr>
              <w:spacing w:before="40" w:after="40"/>
              <w:rPr>
                <w:rFonts w:cs="Arial"/>
                <w:sz w:val="22"/>
                <w:szCs w:val="22"/>
              </w:rPr>
            </w:pPr>
            <w:r w:rsidRPr="000C156A">
              <w:rPr>
                <w:rFonts w:cs="Arial" w:hint="eastAsia"/>
                <w:sz w:val="22"/>
                <w:szCs w:val="22"/>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F5F250" w14:textId="77777777" w:rsidR="00686EC7" w:rsidRPr="000C156A" w:rsidRDefault="00686EC7" w:rsidP="00141BAA">
            <w:pPr>
              <w:spacing w:before="40" w:after="40"/>
              <w:rPr>
                <w:rFonts w:cs="Arial"/>
                <w:sz w:val="22"/>
                <w:szCs w:val="22"/>
              </w:rPr>
            </w:pPr>
            <w:r w:rsidRPr="000C156A">
              <w:rPr>
                <w:rFonts w:asciiTheme="minorHAnsi" w:hAnsiTheme="minorHAnsi" w:cs="Arial" w:hint="eastAsia"/>
                <w:sz w:val="22"/>
                <w:szCs w:val="22"/>
                <w:lang w:val="en-US" w:eastAsia="zh-CN"/>
              </w:rPr>
              <w:t>香港美洲咨询公司</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5DC313" w14:textId="77777777" w:rsidR="00686EC7" w:rsidRPr="000C156A" w:rsidRDefault="00686EC7" w:rsidP="00141BAA">
            <w:pPr>
              <w:spacing w:before="40" w:after="40"/>
              <w:jc w:val="right"/>
              <w:rPr>
                <w:rFonts w:cs="Arial"/>
                <w:sz w:val="22"/>
                <w:szCs w:val="22"/>
              </w:rPr>
            </w:pPr>
            <w:r w:rsidRPr="000C156A">
              <w:rPr>
                <w:rFonts w:cs="Arial"/>
                <w:sz w:val="22"/>
                <w:szCs w:val="22"/>
              </w:rPr>
              <w:t>400.00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118BD8" w14:textId="77777777" w:rsidR="00686EC7" w:rsidRPr="000C156A" w:rsidRDefault="00686EC7" w:rsidP="00141BAA">
            <w:pPr>
              <w:spacing w:before="40" w:after="40"/>
              <w:jc w:val="right"/>
              <w:rPr>
                <w:rFonts w:cs="Arial"/>
                <w:sz w:val="22"/>
                <w:szCs w:val="22"/>
              </w:rPr>
            </w:pPr>
            <w:r w:rsidRPr="000C156A">
              <w:rPr>
                <w:rFonts w:cs="Arial"/>
                <w:sz w:val="22"/>
                <w:szCs w:val="22"/>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2E8C12" w14:textId="77777777" w:rsidR="00686EC7" w:rsidRPr="000C156A" w:rsidRDefault="00686EC7" w:rsidP="00141BAA">
            <w:pPr>
              <w:spacing w:before="40" w:after="40"/>
              <w:jc w:val="right"/>
              <w:rPr>
                <w:rFonts w:cs="Arial"/>
                <w:sz w:val="22"/>
                <w:szCs w:val="22"/>
              </w:rPr>
            </w:pPr>
            <w:r w:rsidRPr="000C156A">
              <w:rPr>
                <w:rFonts w:cs="Arial"/>
                <w:sz w:val="22"/>
                <w:szCs w:val="22"/>
              </w:rPr>
              <w:t>400.00</w:t>
            </w:r>
          </w:p>
        </w:tc>
      </w:tr>
      <w:tr w:rsidR="00686EC7" w:rsidRPr="000C156A" w14:paraId="6B8CD41E" w14:textId="77777777" w:rsidTr="00141BAA">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142211" w14:textId="77777777" w:rsidR="00686EC7" w:rsidRPr="000C156A" w:rsidRDefault="00686EC7" w:rsidP="00141BAA">
            <w:pPr>
              <w:spacing w:before="40" w:after="40"/>
              <w:jc w:val="center"/>
              <w:rPr>
                <w:color w:val="000000"/>
                <w:sz w:val="22"/>
                <w:szCs w:val="22"/>
              </w:rPr>
            </w:pPr>
            <w:r w:rsidRPr="000C156A">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6BA304" w14:textId="77777777" w:rsidR="00686EC7" w:rsidRPr="000C156A" w:rsidRDefault="00686EC7" w:rsidP="00141BAA">
            <w:pPr>
              <w:spacing w:before="40" w:after="40"/>
              <w:rPr>
                <w:rFonts w:cs="Arial"/>
                <w:sz w:val="22"/>
                <w:szCs w:val="22"/>
              </w:rPr>
            </w:pPr>
            <w:r w:rsidRPr="000C156A">
              <w:rPr>
                <w:rFonts w:cs="Arial" w:hint="eastAsia"/>
                <w:sz w:val="22"/>
                <w:szCs w:val="22"/>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9BD2D" w14:textId="77777777" w:rsidR="00686EC7" w:rsidRPr="000C156A" w:rsidRDefault="00686EC7" w:rsidP="00141BAA">
            <w:pPr>
              <w:spacing w:before="40" w:after="40"/>
              <w:rPr>
                <w:color w:val="000000"/>
                <w:sz w:val="22"/>
                <w:szCs w:val="22"/>
              </w:rPr>
            </w:pPr>
            <w:r w:rsidRPr="000C156A">
              <w:rPr>
                <w:color w:val="000000"/>
                <w:sz w:val="22"/>
                <w:szCs w:val="22"/>
              </w:rPr>
              <w:t>ChongQing Chong You</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BB3068" w14:textId="684C092F" w:rsidR="00686EC7" w:rsidRPr="000C156A" w:rsidRDefault="00686EC7" w:rsidP="00141BAA">
            <w:pPr>
              <w:spacing w:before="40" w:after="40"/>
              <w:jc w:val="right"/>
              <w:rPr>
                <w:color w:val="000000"/>
                <w:sz w:val="22"/>
                <w:szCs w:val="22"/>
              </w:rPr>
            </w:pPr>
            <w:r w:rsidRPr="000C156A">
              <w:rPr>
                <w:color w:val="000000"/>
                <w:sz w:val="22"/>
                <w:szCs w:val="22"/>
              </w:rPr>
              <w:t>7</w:t>
            </w:r>
            <w:r w:rsidR="001A59E5" w:rsidRPr="000C156A">
              <w:rPr>
                <w:color w:val="000000"/>
                <w:sz w:val="22"/>
                <w:szCs w:val="22"/>
              </w:rPr>
              <w:t xml:space="preserve"> </w:t>
            </w:r>
            <w:r w:rsidRPr="000C156A">
              <w:rPr>
                <w:color w:val="000000"/>
                <w:sz w:val="22"/>
                <w:szCs w:val="22"/>
              </w:rPr>
              <w:t>200.00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3CBD14" w14:textId="77777777" w:rsidR="00686EC7" w:rsidRPr="000C156A" w:rsidRDefault="00686EC7" w:rsidP="00141BAA">
            <w:pPr>
              <w:spacing w:before="40" w:after="40"/>
              <w:jc w:val="right"/>
              <w:rPr>
                <w:color w:val="000000"/>
                <w:sz w:val="22"/>
                <w:szCs w:val="22"/>
              </w:rPr>
            </w:pPr>
            <w:r w:rsidRPr="000C156A">
              <w:rPr>
                <w:color w:val="000000"/>
                <w:sz w:val="22"/>
                <w:szCs w:val="22"/>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2E840E" w14:textId="622823B6" w:rsidR="00686EC7" w:rsidRPr="000C156A" w:rsidRDefault="00686EC7" w:rsidP="00141BAA">
            <w:pPr>
              <w:spacing w:before="40" w:after="40"/>
              <w:jc w:val="right"/>
              <w:rPr>
                <w:color w:val="000000"/>
                <w:sz w:val="22"/>
                <w:szCs w:val="22"/>
              </w:rPr>
            </w:pPr>
            <w:r w:rsidRPr="000C156A">
              <w:rPr>
                <w:color w:val="000000"/>
                <w:sz w:val="22"/>
                <w:szCs w:val="22"/>
              </w:rPr>
              <w:t>7</w:t>
            </w:r>
            <w:r w:rsidR="001A59E5" w:rsidRPr="000C156A">
              <w:rPr>
                <w:color w:val="000000"/>
                <w:sz w:val="22"/>
                <w:szCs w:val="22"/>
              </w:rPr>
              <w:t xml:space="preserve"> </w:t>
            </w:r>
            <w:r w:rsidRPr="000C156A">
              <w:rPr>
                <w:color w:val="000000"/>
                <w:sz w:val="22"/>
                <w:szCs w:val="22"/>
              </w:rPr>
              <w:t>200.00</w:t>
            </w:r>
          </w:p>
        </w:tc>
      </w:tr>
      <w:tr w:rsidR="00686EC7" w:rsidRPr="000C156A" w14:paraId="4349F90E" w14:textId="77777777" w:rsidTr="00141BAA">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B2643C" w14:textId="77777777" w:rsidR="00686EC7" w:rsidRPr="000C156A" w:rsidRDefault="00686EC7" w:rsidP="00141BAA">
            <w:pPr>
              <w:spacing w:before="40" w:after="40"/>
              <w:jc w:val="center"/>
              <w:rPr>
                <w:color w:val="000000"/>
                <w:sz w:val="22"/>
                <w:szCs w:val="22"/>
              </w:rPr>
            </w:pPr>
            <w:r w:rsidRPr="000C156A">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C037A" w14:textId="77777777" w:rsidR="00686EC7" w:rsidRPr="000C156A" w:rsidRDefault="00686EC7" w:rsidP="00141BAA">
            <w:pPr>
              <w:spacing w:before="40" w:after="40"/>
              <w:rPr>
                <w:rFonts w:cs="Arial"/>
                <w:sz w:val="22"/>
                <w:szCs w:val="22"/>
              </w:rPr>
            </w:pPr>
            <w:r w:rsidRPr="000C156A">
              <w:rPr>
                <w:rFonts w:cs="Arial" w:hint="eastAsia"/>
                <w:sz w:val="22"/>
                <w:szCs w:val="22"/>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DE2335" w14:textId="77777777" w:rsidR="00686EC7" w:rsidRPr="000C156A" w:rsidRDefault="00686EC7" w:rsidP="00141BAA">
            <w:pPr>
              <w:spacing w:before="40" w:after="40"/>
              <w:rPr>
                <w:color w:val="000000"/>
                <w:sz w:val="22"/>
                <w:szCs w:val="22"/>
              </w:rPr>
            </w:pPr>
            <w:r w:rsidRPr="000C156A">
              <w:rPr>
                <w:rFonts w:hint="eastAsia"/>
                <w:color w:val="000000"/>
                <w:sz w:val="22"/>
                <w:szCs w:val="22"/>
              </w:rPr>
              <w:t>江西联创</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F97176" w14:textId="651887EA" w:rsidR="00686EC7" w:rsidRPr="000C156A" w:rsidRDefault="00686EC7" w:rsidP="00141BAA">
            <w:pPr>
              <w:spacing w:before="40" w:after="40"/>
              <w:jc w:val="right"/>
              <w:rPr>
                <w:color w:val="000000"/>
                <w:sz w:val="22"/>
                <w:szCs w:val="22"/>
              </w:rPr>
            </w:pPr>
            <w:r w:rsidRPr="000C156A">
              <w:rPr>
                <w:color w:val="000000"/>
                <w:sz w:val="22"/>
                <w:szCs w:val="22"/>
              </w:rPr>
              <w:t>7</w:t>
            </w:r>
            <w:r w:rsidR="001A59E5" w:rsidRPr="000C156A">
              <w:rPr>
                <w:color w:val="000000"/>
                <w:sz w:val="22"/>
                <w:szCs w:val="22"/>
              </w:rPr>
              <w:t xml:space="preserve"> </w:t>
            </w:r>
            <w:r w:rsidRPr="000C156A">
              <w:rPr>
                <w:color w:val="000000"/>
                <w:sz w:val="22"/>
                <w:szCs w:val="22"/>
              </w:rPr>
              <w:t>200.00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82811B" w14:textId="77777777" w:rsidR="00686EC7" w:rsidRPr="000C156A" w:rsidRDefault="00686EC7" w:rsidP="00141BAA">
            <w:pPr>
              <w:spacing w:before="40" w:after="40"/>
              <w:jc w:val="right"/>
              <w:rPr>
                <w:color w:val="000000"/>
                <w:sz w:val="22"/>
                <w:szCs w:val="22"/>
              </w:rPr>
            </w:pPr>
            <w:r w:rsidRPr="000C156A">
              <w:rPr>
                <w:color w:val="000000"/>
                <w:sz w:val="22"/>
                <w:szCs w:val="22"/>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9F95FD" w14:textId="79D43262" w:rsidR="00686EC7" w:rsidRPr="000C156A" w:rsidRDefault="00686EC7" w:rsidP="00141BAA">
            <w:pPr>
              <w:spacing w:before="40" w:after="40"/>
              <w:jc w:val="right"/>
              <w:rPr>
                <w:color w:val="000000"/>
                <w:sz w:val="22"/>
                <w:szCs w:val="22"/>
              </w:rPr>
            </w:pPr>
            <w:r w:rsidRPr="000C156A">
              <w:rPr>
                <w:color w:val="000000"/>
                <w:sz w:val="22"/>
                <w:szCs w:val="22"/>
              </w:rPr>
              <w:t>7</w:t>
            </w:r>
            <w:r w:rsidR="001A59E5" w:rsidRPr="000C156A">
              <w:rPr>
                <w:color w:val="000000"/>
                <w:sz w:val="22"/>
                <w:szCs w:val="22"/>
              </w:rPr>
              <w:t xml:space="preserve"> </w:t>
            </w:r>
            <w:r w:rsidRPr="000C156A">
              <w:rPr>
                <w:color w:val="000000"/>
                <w:sz w:val="22"/>
                <w:szCs w:val="22"/>
              </w:rPr>
              <w:t>200.00</w:t>
            </w:r>
          </w:p>
        </w:tc>
      </w:tr>
      <w:tr w:rsidR="00686EC7" w:rsidRPr="000C156A" w14:paraId="422F3F51" w14:textId="77777777" w:rsidTr="00141BAA">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46861" w14:textId="77777777" w:rsidR="00686EC7" w:rsidRPr="000C156A" w:rsidRDefault="00686EC7" w:rsidP="00141BAA">
            <w:pPr>
              <w:spacing w:before="40" w:after="40"/>
              <w:jc w:val="center"/>
              <w:rPr>
                <w:color w:val="000000"/>
                <w:sz w:val="22"/>
                <w:szCs w:val="22"/>
              </w:rPr>
            </w:pPr>
            <w:r w:rsidRPr="000C156A">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84FFFE" w14:textId="77777777" w:rsidR="00686EC7" w:rsidRPr="000C156A" w:rsidRDefault="00686EC7" w:rsidP="00141BAA">
            <w:pPr>
              <w:spacing w:before="40" w:after="40"/>
              <w:rPr>
                <w:rFonts w:cs="Arial"/>
                <w:sz w:val="22"/>
                <w:szCs w:val="22"/>
              </w:rPr>
            </w:pPr>
            <w:r w:rsidRPr="000C156A">
              <w:rPr>
                <w:rFonts w:cs="Arial" w:hint="eastAsia"/>
                <w:sz w:val="22"/>
                <w:szCs w:val="22"/>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5D9A4C" w14:textId="77777777" w:rsidR="00686EC7" w:rsidRPr="000C156A" w:rsidRDefault="00686EC7" w:rsidP="00141BAA">
            <w:pPr>
              <w:spacing w:before="40" w:after="40"/>
              <w:rPr>
                <w:color w:val="000000"/>
                <w:sz w:val="22"/>
                <w:szCs w:val="22"/>
              </w:rPr>
            </w:pPr>
            <w:r w:rsidRPr="000C156A">
              <w:rPr>
                <w:color w:val="000000"/>
                <w:sz w:val="22"/>
                <w:szCs w:val="22"/>
              </w:rPr>
              <w:t>Naike (HK) Digital</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F54C72" w14:textId="54721A92" w:rsidR="00686EC7" w:rsidRPr="000C156A" w:rsidRDefault="00686EC7" w:rsidP="00141BAA">
            <w:pPr>
              <w:spacing w:before="40" w:after="40"/>
              <w:jc w:val="right"/>
              <w:rPr>
                <w:color w:val="000000"/>
                <w:sz w:val="22"/>
                <w:szCs w:val="22"/>
              </w:rPr>
            </w:pPr>
            <w:r w:rsidRPr="000C156A">
              <w:rPr>
                <w:color w:val="000000"/>
                <w:sz w:val="22"/>
                <w:szCs w:val="22"/>
              </w:rPr>
              <w:t>7</w:t>
            </w:r>
            <w:r w:rsidR="001A59E5" w:rsidRPr="000C156A">
              <w:rPr>
                <w:color w:val="000000"/>
                <w:sz w:val="22"/>
                <w:szCs w:val="22"/>
              </w:rPr>
              <w:t xml:space="preserve"> </w:t>
            </w:r>
            <w:r w:rsidRPr="000C156A">
              <w:rPr>
                <w:color w:val="000000"/>
                <w:sz w:val="22"/>
                <w:szCs w:val="22"/>
              </w:rPr>
              <w:t>200.00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828E66" w14:textId="77777777" w:rsidR="00686EC7" w:rsidRPr="000C156A" w:rsidRDefault="00686EC7" w:rsidP="00141BAA">
            <w:pPr>
              <w:spacing w:before="40" w:after="40"/>
              <w:jc w:val="right"/>
              <w:rPr>
                <w:color w:val="000000"/>
                <w:sz w:val="22"/>
                <w:szCs w:val="22"/>
              </w:rPr>
            </w:pPr>
            <w:r w:rsidRPr="000C156A">
              <w:rPr>
                <w:color w:val="000000"/>
                <w:sz w:val="22"/>
                <w:szCs w:val="22"/>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9DC8DA" w14:textId="6667DFEB" w:rsidR="00686EC7" w:rsidRPr="000C156A" w:rsidRDefault="00686EC7" w:rsidP="00141BAA">
            <w:pPr>
              <w:spacing w:before="40" w:after="40"/>
              <w:jc w:val="right"/>
              <w:rPr>
                <w:color w:val="000000"/>
                <w:sz w:val="22"/>
                <w:szCs w:val="22"/>
              </w:rPr>
            </w:pPr>
            <w:r w:rsidRPr="000C156A">
              <w:rPr>
                <w:color w:val="000000"/>
                <w:sz w:val="22"/>
                <w:szCs w:val="22"/>
              </w:rPr>
              <w:t>7</w:t>
            </w:r>
            <w:r w:rsidR="001A59E5" w:rsidRPr="000C156A">
              <w:rPr>
                <w:color w:val="000000"/>
                <w:sz w:val="22"/>
                <w:szCs w:val="22"/>
              </w:rPr>
              <w:t xml:space="preserve"> </w:t>
            </w:r>
            <w:r w:rsidRPr="000C156A">
              <w:rPr>
                <w:color w:val="000000"/>
                <w:sz w:val="22"/>
                <w:szCs w:val="22"/>
              </w:rPr>
              <w:t>200.00</w:t>
            </w:r>
          </w:p>
        </w:tc>
      </w:tr>
      <w:tr w:rsidR="00686EC7" w:rsidRPr="000C156A" w14:paraId="159953B0" w14:textId="77777777" w:rsidTr="00141BAA">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9CE463" w14:textId="77777777" w:rsidR="00686EC7" w:rsidRPr="000C156A" w:rsidRDefault="00686EC7" w:rsidP="00141BAA">
            <w:pPr>
              <w:spacing w:before="40" w:after="40"/>
              <w:jc w:val="center"/>
              <w:rPr>
                <w:color w:val="000000"/>
                <w:sz w:val="22"/>
                <w:szCs w:val="22"/>
              </w:rPr>
            </w:pPr>
            <w:r w:rsidRPr="000C156A">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F27B44" w14:textId="77777777" w:rsidR="00686EC7" w:rsidRPr="000C156A" w:rsidRDefault="00686EC7" w:rsidP="00141BAA">
            <w:pPr>
              <w:spacing w:before="40" w:after="40"/>
              <w:rPr>
                <w:rFonts w:cs="Arial"/>
                <w:sz w:val="22"/>
                <w:szCs w:val="22"/>
              </w:rPr>
            </w:pPr>
            <w:r w:rsidRPr="000C156A">
              <w:rPr>
                <w:rFonts w:cs="Arial" w:hint="eastAsia"/>
                <w:sz w:val="22"/>
                <w:szCs w:val="22"/>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6F9641" w14:textId="77777777" w:rsidR="00686EC7" w:rsidRPr="000C156A" w:rsidRDefault="00686EC7" w:rsidP="00141BAA">
            <w:pPr>
              <w:spacing w:before="40" w:after="40"/>
              <w:rPr>
                <w:color w:val="000000"/>
                <w:sz w:val="22"/>
                <w:szCs w:val="22"/>
                <w:lang w:eastAsia="zh-CN"/>
              </w:rPr>
            </w:pPr>
            <w:r w:rsidRPr="000C156A">
              <w:rPr>
                <w:rFonts w:hint="eastAsia"/>
                <w:color w:val="000000"/>
                <w:sz w:val="22"/>
                <w:szCs w:val="22"/>
                <w:lang w:eastAsia="zh-CN"/>
              </w:rPr>
              <w:t>深圳灏域设计有限公司</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E3F814" w14:textId="29976B7A" w:rsidR="00686EC7" w:rsidRPr="000C156A" w:rsidRDefault="00686EC7" w:rsidP="00141BAA">
            <w:pPr>
              <w:spacing w:before="40" w:after="40"/>
              <w:jc w:val="right"/>
              <w:rPr>
                <w:color w:val="000000"/>
                <w:sz w:val="22"/>
                <w:szCs w:val="22"/>
              </w:rPr>
            </w:pPr>
            <w:r w:rsidRPr="000C156A">
              <w:rPr>
                <w:color w:val="000000"/>
                <w:sz w:val="22"/>
                <w:szCs w:val="22"/>
              </w:rPr>
              <w:t>3</w:t>
            </w:r>
            <w:r w:rsidR="001A59E5" w:rsidRPr="000C156A">
              <w:rPr>
                <w:color w:val="000000"/>
                <w:sz w:val="22"/>
                <w:szCs w:val="22"/>
              </w:rPr>
              <w:t xml:space="preserve"> </w:t>
            </w:r>
            <w:r w:rsidRPr="000C156A">
              <w:rPr>
                <w:color w:val="000000"/>
                <w:sz w:val="22"/>
                <w:szCs w:val="22"/>
              </w:rPr>
              <w:t>600.00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B11E83" w14:textId="77777777" w:rsidR="00686EC7" w:rsidRPr="000C156A" w:rsidRDefault="00686EC7" w:rsidP="00141BAA">
            <w:pPr>
              <w:spacing w:before="40" w:after="40"/>
              <w:jc w:val="right"/>
              <w:rPr>
                <w:color w:val="000000"/>
                <w:sz w:val="22"/>
                <w:szCs w:val="22"/>
              </w:rPr>
            </w:pPr>
            <w:r w:rsidRPr="000C156A">
              <w:rPr>
                <w:color w:val="000000"/>
                <w:sz w:val="22"/>
                <w:szCs w:val="22"/>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EC5C2F" w14:textId="729110A9" w:rsidR="00686EC7" w:rsidRPr="000C156A" w:rsidRDefault="00686EC7" w:rsidP="00141BAA">
            <w:pPr>
              <w:spacing w:before="40" w:after="40"/>
              <w:jc w:val="right"/>
              <w:rPr>
                <w:color w:val="000000"/>
                <w:sz w:val="22"/>
                <w:szCs w:val="22"/>
              </w:rPr>
            </w:pPr>
            <w:r w:rsidRPr="000C156A">
              <w:rPr>
                <w:color w:val="000000"/>
                <w:sz w:val="22"/>
                <w:szCs w:val="22"/>
              </w:rPr>
              <w:t>3</w:t>
            </w:r>
            <w:r w:rsidR="001A59E5" w:rsidRPr="000C156A">
              <w:rPr>
                <w:color w:val="000000"/>
                <w:sz w:val="22"/>
                <w:szCs w:val="22"/>
              </w:rPr>
              <w:t xml:space="preserve"> </w:t>
            </w:r>
            <w:r w:rsidRPr="000C156A">
              <w:rPr>
                <w:color w:val="000000"/>
                <w:sz w:val="22"/>
                <w:szCs w:val="22"/>
              </w:rPr>
              <w:t>600.00</w:t>
            </w:r>
          </w:p>
        </w:tc>
      </w:tr>
      <w:tr w:rsidR="00686EC7" w:rsidRPr="000C156A" w14:paraId="37C004C2" w14:textId="77777777" w:rsidTr="00141BAA">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2C4DE5" w14:textId="77777777" w:rsidR="00686EC7" w:rsidRPr="000C156A" w:rsidRDefault="00686EC7" w:rsidP="00141BAA">
            <w:pPr>
              <w:spacing w:before="40" w:after="40"/>
              <w:jc w:val="center"/>
              <w:rPr>
                <w:color w:val="000000"/>
                <w:sz w:val="22"/>
                <w:szCs w:val="22"/>
              </w:rPr>
            </w:pPr>
            <w:r w:rsidRPr="000C156A">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B5248E" w14:textId="77777777" w:rsidR="00686EC7" w:rsidRPr="000C156A" w:rsidRDefault="00686EC7" w:rsidP="00141BAA">
            <w:pPr>
              <w:spacing w:before="40" w:after="40"/>
              <w:rPr>
                <w:rFonts w:cs="Arial"/>
                <w:sz w:val="22"/>
                <w:szCs w:val="22"/>
              </w:rPr>
            </w:pPr>
            <w:r w:rsidRPr="000C156A">
              <w:rPr>
                <w:rFonts w:cs="Arial" w:hint="eastAsia"/>
                <w:sz w:val="22"/>
                <w:szCs w:val="22"/>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4837AD" w14:textId="77777777" w:rsidR="00686EC7" w:rsidRPr="000C156A" w:rsidRDefault="00686EC7" w:rsidP="00141BAA">
            <w:pPr>
              <w:spacing w:before="40" w:after="40"/>
              <w:rPr>
                <w:color w:val="000000"/>
                <w:sz w:val="22"/>
                <w:szCs w:val="22"/>
              </w:rPr>
            </w:pPr>
            <w:r w:rsidRPr="000C156A">
              <w:rPr>
                <w:color w:val="000000"/>
                <w:sz w:val="22"/>
                <w:szCs w:val="22"/>
              </w:rPr>
              <w:t>Sipnovo</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8CA463" w14:textId="1AD8EE0B" w:rsidR="00686EC7" w:rsidRPr="000C156A" w:rsidRDefault="00686EC7" w:rsidP="00141BAA">
            <w:pPr>
              <w:spacing w:before="40" w:after="40"/>
              <w:jc w:val="right"/>
              <w:rPr>
                <w:color w:val="000000"/>
                <w:sz w:val="22"/>
                <w:szCs w:val="22"/>
              </w:rPr>
            </w:pPr>
            <w:r w:rsidRPr="000C156A">
              <w:rPr>
                <w:color w:val="000000"/>
                <w:sz w:val="22"/>
                <w:szCs w:val="22"/>
              </w:rPr>
              <w:t>7</w:t>
            </w:r>
            <w:r w:rsidR="001A59E5" w:rsidRPr="000C156A">
              <w:rPr>
                <w:color w:val="000000"/>
                <w:sz w:val="22"/>
                <w:szCs w:val="22"/>
              </w:rPr>
              <w:t xml:space="preserve"> </w:t>
            </w:r>
            <w:r w:rsidRPr="000C156A">
              <w:rPr>
                <w:color w:val="000000"/>
                <w:sz w:val="22"/>
                <w:szCs w:val="22"/>
              </w:rPr>
              <w:t>200.00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8B612D" w14:textId="77777777" w:rsidR="00686EC7" w:rsidRPr="000C156A" w:rsidRDefault="00686EC7" w:rsidP="00141BAA">
            <w:pPr>
              <w:spacing w:before="40" w:after="40"/>
              <w:jc w:val="right"/>
              <w:rPr>
                <w:color w:val="000000"/>
                <w:sz w:val="22"/>
                <w:szCs w:val="22"/>
              </w:rPr>
            </w:pPr>
            <w:r w:rsidRPr="000C156A">
              <w:rPr>
                <w:color w:val="000000"/>
                <w:sz w:val="22"/>
                <w:szCs w:val="22"/>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1BD4D0" w14:textId="7BECF8B9" w:rsidR="00686EC7" w:rsidRPr="000C156A" w:rsidRDefault="00686EC7" w:rsidP="00141BAA">
            <w:pPr>
              <w:spacing w:before="40" w:after="40"/>
              <w:jc w:val="right"/>
              <w:rPr>
                <w:color w:val="000000"/>
                <w:sz w:val="22"/>
                <w:szCs w:val="22"/>
              </w:rPr>
            </w:pPr>
            <w:r w:rsidRPr="000C156A">
              <w:rPr>
                <w:color w:val="000000"/>
                <w:sz w:val="22"/>
                <w:szCs w:val="22"/>
              </w:rPr>
              <w:t>7</w:t>
            </w:r>
            <w:r w:rsidR="001A59E5" w:rsidRPr="000C156A">
              <w:rPr>
                <w:color w:val="000000"/>
                <w:sz w:val="22"/>
                <w:szCs w:val="22"/>
              </w:rPr>
              <w:t xml:space="preserve"> </w:t>
            </w:r>
            <w:r w:rsidRPr="000C156A">
              <w:rPr>
                <w:color w:val="000000"/>
                <w:sz w:val="22"/>
                <w:szCs w:val="22"/>
              </w:rPr>
              <w:t>200.00</w:t>
            </w:r>
          </w:p>
        </w:tc>
      </w:tr>
      <w:tr w:rsidR="00686EC7" w:rsidRPr="000C156A" w14:paraId="344BDAA0" w14:textId="77777777" w:rsidTr="00141BAA">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834E1B" w14:textId="77777777" w:rsidR="00686EC7" w:rsidRPr="000C156A" w:rsidRDefault="00686EC7" w:rsidP="00141BAA">
            <w:pPr>
              <w:spacing w:before="40" w:after="40"/>
              <w:jc w:val="center"/>
              <w:rPr>
                <w:color w:val="000000"/>
                <w:sz w:val="22"/>
                <w:szCs w:val="22"/>
              </w:rPr>
            </w:pPr>
            <w:r w:rsidRPr="000C156A">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585486" w14:textId="77777777" w:rsidR="00686EC7" w:rsidRPr="000C156A" w:rsidRDefault="00686EC7" w:rsidP="00141BAA">
            <w:pPr>
              <w:spacing w:before="40" w:after="40"/>
              <w:rPr>
                <w:rFonts w:cs="Arial"/>
                <w:sz w:val="22"/>
                <w:szCs w:val="22"/>
              </w:rPr>
            </w:pPr>
            <w:r w:rsidRPr="000C156A">
              <w:rPr>
                <w:rFonts w:cs="Arial" w:hint="eastAsia"/>
                <w:sz w:val="22"/>
                <w:szCs w:val="22"/>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F760A" w14:textId="77777777" w:rsidR="00686EC7" w:rsidRPr="000C156A" w:rsidRDefault="00686EC7" w:rsidP="00141BAA">
            <w:pPr>
              <w:spacing w:before="40" w:after="40"/>
              <w:rPr>
                <w:color w:val="000000"/>
                <w:sz w:val="22"/>
                <w:szCs w:val="22"/>
              </w:rPr>
            </w:pPr>
            <w:r w:rsidRPr="000C156A">
              <w:rPr>
                <w:color w:val="000000"/>
                <w:sz w:val="22"/>
                <w:szCs w:val="22"/>
              </w:rPr>
              <w:t>Tiger NetCom</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5043E9" w14:textId="44DB1EF7" w:rsidR="00686EC7" w:rsidRPr="000C156A" w:rsidRDefault="00686EC7" w:rsidP="00141BAA">
            <w:pPr>
              <w:spacing w:before="40" w:after="40"/>
              <w:jc w:val="right"/>
              <w:rPr>
                <w:color w:val="000000"/>
                <w:sz w:val="22"/>
                <w:szCs w:val="22"/>
              </w:rPr>
            </w:pPr>
            <w:r w:rsidRPr="000C156A">
              <w:rPr>
                <w:color w:val="000000"/>
                <w:sz w:val="22"/>
                <w:szCs w:val="22"/>
              </w:rPr>
              <w:t>3</w:t>
            </w:r>
            <w:r w:rsidR="001A59E5" w:rsidRPr="000C156A">
              <w:rPr>
                <w:color w:val="000000"/>
                <w:sz w:val="22"/>
                <w:szCs w:val="22"/>
              </w:rPr>
              <w:t xml:space="preserve"> </w:t>
            </w:r>
            <w:r w:rsidRPr="000C156A">
              <w:rPr>
                <w:color w:val="000000"/>
                <w:sz w:val="22"/>
                <w:szCs w:val="22"/>
              </w:rPr>
              <w:t>150.00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4A192A" w14:textId="77777777" w:rsidR="00686EC7" w:rsidRPr="000C156A" w:rsidRDefault="00686EC7" w:rsidP="00141BAA">
            <w:pPr>
              <w:spacing w:before="40" w:after="40"/>
              <w:jc w:val="right"/>
              <w:rPr>
                <w:color w:val="000000"/>
                <w:sz w:val="22"/>
                <w:szCs w:val="22"/>
              </w:rPr>
            </w:pPr>
            <w:r w:rsidRPr="000C156A">
              <w:rPr>
                <w:color w:val="000000"/>
                <w:sz w:val="22"/>
                <w:szCs w:val="22"/>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419BA" w14:textId="7445D565" w:rsidR="00686EC7" w:rsidRPr="000C156A" w:rsidRDefault="00686EC7" w:rsidP="00141BAA">
            <w:pPr>
              <w:spacing w:before="40" w:after="40"/>
              <w:jc w:val="right"/>
              <w:rPr>
                <w:color w:val="000000"/>
                <w:sz w:val="22"/>
                <w:szCs w:val="22"/>
              </w:rPr>
            </w:pPr>
            <w:r w:rsidRPr="000C156A">
              <w:rPr>
                <w:color w:val="000000"/>
                <w:sz w:val="22"/>
                <w:szCs w:val="22"/>
              </w:rPr>
              <w:t>3</w:t>
            </w:r>
            <w:r w:rsidR="001A59E5" w:rsidRPr="000C156A">
              <w:rPr>
                <w:color w:val="000000"/>
                <w:sz w:val="22"/>
                <w:szCs w:val="22"/>
              </w:rPr>
              <w:t xml:space="preserve"> </w:t>
            </w:r>
            <w:r w:rsidRPr="000C156A">
              <w:rPr>
                <w:color w:val="000000"/>
                <w:sz w:val="22"/>
                <w:szCs w:val="22"/>
              </w:rPr>
              <w:t>150.00</w:t>
            </w:r>
          </w:p>
        </w:tc>
      </w:tr>
      <w:tr w:rsidR="00686EC7" w:rsidRPr="000C156A" w14:paraId="617E76CB" w14:textId="77777777" w:rsidTr="00141BAA">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0F05BD" w14:textId="77777777" w:rsidR="00686EC7" w:rsidRPr="000C156A" w:rsidRDefault="00686EC7" w:rsidP="00141BAA">
            <w:pPr>
              <w:spacing w:before="40" w:after="40"/>
              <w:jc w:val="center"/>
              <w:rPr>
                <w:color w:val="000000"/>
                <w:sz w:val="22"/>
                <w:szCs w:val="22"/>
              </w:rPr>
            </w:pPr>
            <w:r w:rsidRPr="000C156A">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5C06CB" w14:textId="77777777" w:rsidR="00686EC7" w:rsidRPr="000C156A" w:rsidRDefault="00686EC7" w:rsidP="00141BAA">
            <w:pPr>
              <w:spacing w:before="40" w:after="40"/>
              <w:rPr>
                <w:rFonts w:cs="Arial"/>
                <w:sz w:val="22"/>
                <w:szCs w:val="22"/>
              </w:rPr>
            </w:pPr>
            <w:r w:rsidRPr="000C156A">
              <w:rPr>
                <w:rFonts w:cs="Arial" w:hint="eastAsia"/>
                <w:sz w:val="22"/>
                <w:szCs w:val="22"/>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7D5922" w14:textId="77777777" w:rsidR="00686EC7" w:rsidRPr="000C156A" w:rsidRDefault="00686EC7" w:rsidP="00141BAA">
            <w:pPr>
              <w:spacing w:before="40" w:after="40"/>
              <w:rPr>
                <w:color w:val="000000"/>
                <w:sz w:val="22"/>
                <w:szCs w:val="22"/>
                <w:lang w:eastAsia="zh-CN"/>
              </w:rPr>
            </w:pPr>
            <w:r w:rsidRPr="000C156A">
              <w:rPr>
                <w:rFonts w:hint="eastAsia"/>
                <w:color w:val="000000"/>
                <w:sz w:val="22"/>
                <w:szCs w:val="22"/>
                <w:lang w:eastAsia="zh-CN"/>
              </w:rPr>
              <w:t>核达中远通电源公司</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D160D1" w14:textId="0395583D" w:rsidR="00686EC7" w:rsidRPr="000C156A" w:rsidRDefault="00686EC7" w:rsidP="00141BAA">
            <w:pPr>
              <w:spacing w:before="40" w:after="40"/>
              <w:jc w:val="right"/>
              <w:rPr>
                <w:color w:val="000000"/>
                <w:sz w:val="22"/>
                <w:szCs w:val="22"/>
              </w:rPr>
            </w:pPr>
            <w:r w:rsidRPr="000C156A">
              <w:rPr>
                <w:color w:val="000000"/>
                <w:sz w:val="22"/>
                <w:szCs w:val="22"/>
              </w:rPr>
              <w:t>4</w:t>
            </w:r>
            <w:r w:rsidR="001A59E5" w:rsidRPr="000C156A">
              <w:rPr>
                <w:color w:val="000000"/>
                <w:sz w:val="22"/>
                <w:szCs w:val="22"/>
              </w:rPr>
              <w:t xml:space="preserve"> </w:t>
            </w:r>
            <w:r w:rsidRPr="000C156A">
              <w:rPr>
                <w:color w:val="000000"/>
                <w:sz w:val="22"/>
                <w:szCs w:val="22"/>
              </w:rPr>
              <w:t>800.00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7C0851" w14:textId="77777777" w:rsidR="00686EC7" w:rsidRPr="000C156A" w:rsidRDefault="00686EC7" w:rsidP="00141BAA">
            <w:pPr>
              <w:spacing w:before="40" w:after="40"/>
              <w:jc w:val="right"/>
              <w:rPr>
                <w:color w:val="000000"/>
                <w:sz w:val="22"/>
                <w:szCs w:val="22"/>
              </w:rPr>
            </w:pPr>
            <w:r w:rsidRPr="000C156A">
              <w:rPr>
                <w:color w:val="000000"/>
                <w:sz w:val="22"/>
                <w:szCs w:val="22"/>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57F5D2" w14:textId="3F01A0F4" w:rsidR="00686EC7" w:rsidRPr="000C156A" w:rsidRDefault="00686EC7" w:rsidP="00141BAA">
            <w:pPr>
              <w:spacing w:before="40" w:after="40"/>
              <w:jc w:val="right"/>
              <w:rPr>
                <w:color w:val="000000"/>
                <w:sz w:val="22"/>
                <w:szCs w:val="22"/>
              </w:rPr>
            </w:pPr>
            <w:r w:rsidRPr="000C156A">
              <w:rPr>
                <w:color w:val="000000"/>
                <w:sz w:val="22"/>
                <w:szCs w:val="22"/>
              </w:rPr>
              <w:t>4</w:t>
            </w:r>
            <w:r w:rsidR="001A59E5" w:rsidRPr="000C156A">
              <w:rPr>
                <w:color w:val="000000"/>
                <w:sz w:val="22"/>
                <w:szCs w:val="22"/>
              </w:rPr>
              <w:t xml:space="preserve"> </w:t>
            </w:r>
            <w:r w:rsidRPr="000C156A">
              <w:rPr>
                <w:color w:val="000000"/>
                <w:sz w:val="22"/>
                <w:szCs w:val="22"/>
              </w:rPr>
              <w:t>800.00</w:t>
            </w:r>
          </w:p>
        </w:tc>
      </w:tr>
      <w:tr w:rsidR="00686EC7" w:rsidRPr="000C156A" w14:paraId="3AB15589" w14:textId="77777777" w:rsidTr="00141BAA">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A02D2D" w14:textId="77777777" w:rsidR="00686EC7" w:rsidRPr="000C156A" w:rsidRDefault="00686EC7" w:rsidP="00141BAA">
            <w:pPr>
              <w:spacing w:before="40" w:after="40"/>
              <w:jc w:val="center"/>
              <w:rPr>
                <w:color w:val="000000"/>
                <w:sz w:val="22"/>
                <w:szCs w:val="22"/>
              </w:rPr>
            </w:pPr>
            <w:r w:rsidRPr="000C156A">
              <w:rPr>
                <w:color w:val="000000"/>
                <w:sz w:val="22"/>
                <w:szCs w:val="22"/>
              </w:rPr>
              <w:t> </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F1F29C" w14:textId="77777777" w:rsidR="00686EC7" w:rsidRPr="000C156A" w:rsidRDefault="00686EC7" w:rsidP="00141BAA">
            <w:pPr>
              <w:spacing w:before="40" w:after="40"/>
              <w:rPr>
                <w:color w:val="000000"/>
                <w:sz w:val="22"/>
                <w:szCs w:val="22"/>
              </w:rPr>
            </w:pPr>
            <w:r w:rsidRPr="000C156A">
              <w:rPr>
                <w:color w:val="000000"/>
                <w:sz w:val="22"/>
                <w:szCs w:val="22"/>
              </w:rPr>
              <w:t> </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F52DA8" w14:textId="77777777" w:rsidR="00686EC7" w:rsidRPr="000C156A" w:rsidRDefault="00686EC7" w:rsidP="00141BAA">
            <w:pPr>
              <w:spacing w:before="40" w:after="40"/>
              <w:rPr>
                <w:color w:val="000000"/>
                <w:sz w:val="22"/>
                <w:szCs w:val="22"/>
              </w:rPr>
            </w:pPr>
            <w:r w:rsidRPr="000C156A">
              <w:rPr>
                <w:color w:val="000000"/>
                <w:sz w:val="22"/>
                <w:szCs w:val="22"/>
              </w:rPr>
              <w:t> </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E5377B" w14:textId="77777777" w:rsidR="00686EC7" w:rsidRPr="000C156A" w:rsidRDefault="00686EC7" w:rsidP="00141BAA">
            <w:pPr>
              <w:spacing w:before="40" w:after="40"/>
              <w:rPr>
                <w:color w:val="000000"/>
                <w:sz w:val="22"/>
                <w:szCs w:val="22"/>
              </w:rPr>
            </w:pPr>
            <w:r w:rsidRPr="000C156A">
              <w:rPr>
                <w:color w:val="000000"/>
                <w:sz w:val="22"/>
                <w:szCs w:val="22"/>
              </w:rPr>
              <w:t> </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8E6563" w14:textId="77777777" w:rsidR="00686EC7" w:rsidRPr="000C156A" w:rsidRDefault="00686EC7" w:rsidP="00141BAA">
            <w:pPr>
              <w:spacing w:before="40" w:after="40"/>
              <w:rPr>
                <w:color w:val="000000"/>
                <w:sz w:val="22"/>
                <w:szCs w:val="22"/>
              </w:rPr>
            </w:pPr>
            <w:r w:rsidRPr="000C156A">
              <w:rPr>
                <w:color w:val="000000"/>
                <w:sz w:val="22"/>
                <w:szCs w:val="22"/>
              </w:rPr>
              <w:t> </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D482F8" w14:textId="77777777" w:rsidR="00686EC7" w:rsidRPr="000C156A" w:rsidRDefault="00686EC7" w:rsidP="00141BAA">
            <w:pPr>
              <w:spacing w:before="40" w:after="40"/>
              <w:rPr>
                <w:color w:val="000000"/>
                <w:sz w:val="22"/>
                <w:szCs w:val="22"/>
              </w:rPr>
            </w:pPr>
            <w:r w:rsidRPr="000C156A">
              <w:rPr>
                <w:color w:val="000000"/>
                <w:sz w:val="22"/>
                <w:szCs w:val="22"/>
              </w:rPr>
              <w:t> </w:t>
            </w:r>
          </w:p>
        </w:tc>
      </w:tr>
      <w:tr w:rsidR="00686EC7" w:rsidRPr="000C156A" w14:paraId="6D8A4A18" w14:textId="77777777" w:rsidTr="00141BAA">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2B42E9" w14:textId="77777777" w:rsidR="00686EC7" w:rsidRPr="000C156A" w:rsidRDefault="00686EC7" w:rsidP="00141BAA">
            <w:pPr>
              <w:spacing w:before="40" w:after="40"/>
              <w:jc w:val="center"/>
              <w:rPr>
                <w:rFonts w:cs="Arial"/>
                <w:b/>
                <w:bCs/>
                <w:sz w:val="22"/>
                <w:szCs w:val="22"/>
              </w:rPr>
            </w:pPr>
            <w:r w:rsidRPr="000C156A">
              <w:rPr>
                <w:rFonts w:cs="Arial"/>
                <w:b/>
                <w:bCs/>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B2ABD3" w14:textId="77777777" w:rsidR="00686EC7" w:rsidRPr="000C156A" w:rsidRDefault="00686EC7" w:rsidP="00141BAA">
            <w:pPr>
              <w:spacing w:before="40" w:after="40"/>
              <w:rPr>
                <w:color w:val="000000"/>
                <w:sz w:val="22"/>
                <w:szCs w:val="22"/>
              </w:rPr>
            </w:pPr>
            <w:r w:rsidRPr="000C156A">
              <w:rPr>
                <w:color w:val="000000"/>
                <w:sz w:val="22"/>
                <w:szCs w:val="22"/>
              </w:rPr>
              <w:t> </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76ACEC" w14:textId="77777777" w:rsidR="00686EC7" w:rsidRPr="000C156A" w:rsidRDefault="00686EC7" w:rsidP="00141BAA">
            <w:pPr>
              <w:spacing w:before="40" w:after="40"/>
              <w:rPr>
                <w:color w:val="000000"/>
                <w:sz w:val="22"/>
                <w:szCs w:val="22"/>
              </w:rPr>
            </w:pPr>
            <w:r w:rsidRPr="000C156A">
              <w:rPr>
                <w:color w:val="000000"/>
                <w:sz w:val="22"/>
                <w:szCs w:val="22"/>
              </w:rPr>
              <w:t> </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D4A976" w14:textId="77777777" w:rsidR="00686EC7" w:rsidRPr="000C156A" w:rsidRDefault="00686EC7" w:rsidP="00141BAA">
            <w:pPr>
              <w:spacing w:before="40" w:after="40"/>
              <w:rPr>
                <w:color w:val="000000"/>
                <w:sz w:val="22"/>
                <w:szCs w:val="22"/>
              </w:rPr>
            </w:pPr>
            <w:r w:rsidRPr="000C156A">
              <w:rPr>
                <w:color w:val="000000"/>
                <w:sz w:val="22"/>
                <w:szCs w:val="22"/>
              </w:rPr>
              <w:t> </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5D188" w14:textId="77777777" w:rsidR="00686EC7" w:rsidRPr="000C156A" w:rsidRDefault="00686EC7" w:rsidP="00141BAA">
            <w:pPr>
              <w:spacing w:before="40" w:after="40"/>
              <w:rPr>
                <w:rFonts w:cs="Arial"/>
                <w:b/>
                <w:bCs/>
                <w:sz w:val="22"/>
                <w:szCs w:val="22"/>
              </w:rPr>
            </w:pPr>
            <w:r w:rsidRPr="000C156A">
              <w:rPr>
                <w:rFonts w:cs="Arial"/>
                <w:b/>
                <w:bCs/>
                <w:sz w:val="22"/>
                <w:szCs w:val="22"/>
              </w:rPr>
              <w:t> </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43B0E" w14:textId="41DD7229" w:rsidR="00686EC7" w:rsidRPr="000C156A" w:rsidRDefault="00686EC7" w:rsidP="00141BAA">
            <w:pPr>
              <w:spacing w:before="40" w:after="40"/>
              <w:jc w:val="right"/>
              <w:rPr>
                <w:rFonts w:cs="Arial"/>
                <w:b/>
                <w:bCs/>
                <w:sz w:val="22"/>
                <w:szCs w:val="22"/>
              </w:rPr>
            </w:pPr>
            <w:r w:rsidRPr="000C156A">
              <w:rPr>
                <w:rFonts w:cs="Arial"/>
                <w:b/>
                <w:bCs/>
                <w:sz w:val="22"/>
                <w:szCs w:val="22"/>
              </w:rPr>
              <w:t>40</w:t>
            </w:r>
            <w:r w:rsidR="001A59E5" w:rsidRPr="000C156A">
              <w:rPr>
                <w:rFonts w:cs="Arial"/>
                <w:b/>
                <w:bCs/>
                <w:sz w:val="22"/>
                <w:szCs w:val="22"/>
              </w:rPr>
              <w:t xml:space="preserve"> </w:t>
            </w:r>
            <w:r w:rsidRPr="000C156A">
              <w:rPr>
                <w:rFonts w:cs="Arial"/>
                <w:b/>
                <w:bCs/>
                <w:sz w:val="22"/>
                <w:szCs w:val="22"/>
              </w:rPr>
              <w:t>750.00</w:t>
            </w:r>
          </w:p>
        </w:tc>
      </w:tr>
    </w:tbl>
    <w:p w14:paraId="6D497BE5" w14:textId="77777777" w:rsidR="00686EC7" w:rsidRPr="000C156A" w:rsidRDefault="00686EC7" w:rsidP="00686EC7">
      <w:pPr>
        <w:spacing w:before="0"/>
        <w:rPr>
          <w:sz w:val="22"/>
          <w:szCs w:val="22"/>
        </w:rPr>
      </w:pPr>
    </w:p>
    <w:tbl>
      <w:tblPr>
        <w:tblW w:w="5000" w:type="pct"/>
        <w:tblCellMar>
          <w:left w:w="0" w:type="dxa"/>
          <w:right w:w="0" w:type="dxa"/>
        </w:tblCellMar>
        <w:tblLook w:val="04A0" w:firstRow="1" w:lastRow="0" w:firstColumn="1" w:lastColumn="0" w:noHBand="0" w:noVBand="1"/>
      </w:tblPr>
      <w:tblGrid>
        <w:gridCol w:w="1528"/>
        <w:gridCol w:w="1146"/>
        <w:gridCol w:w="3205"/>
        <w:gridCol w:w="1387"/>
        <w:gridCol w:w="1404"/>
        <w:gridCol w:w="959"/>
      </w:tblGrid>
      <w:tr w:rsidR="00686EC7" w:rsidRPr="000C156A" w14:paraId="465E8B90" w14:textId="77777777" w:rsidTr="00141BAA">
        <w:trPr>
          <w:trHeight w:val="525"/>
        </w:trPr>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22DFBA" w14:textId="77777777" w:rsidR="00686EC7" w:rsidRPr="000C156A" w:rsidRDefault="00686EC7" w:rsidP="00141BAA">
            <w:pPr>
              <w:pStyle w:val="Tabletext"/>
              <w:jc w:val="center"/>
              <w:rPr>
                <w:rFonts w:cs="Calibri"/>
                <w:b/>
                <w:bCs/>
                <w:szCs w:val="22"/>
                <w:lang w:val="en-US" w:eastAsia="zh-CN"/>
              </w:rPr>
            </w:pPr>
            <w:r w:rsidRPr="000C156A">
              <w:rPr>
                <w:rFonts w:cs="Calibri" w:hint="eastAsia"/>
                <w:b/>
                <w:bCs/>
                <w:szCs w:val="22"/>
                <w:lang w:val="en-US" w:eastAsia="zh-CN"/>
              </w:rPr>
              <w:t>活动</w:t>
            </w:r>
          </w:p>
        </w:tc>
        <w:tc>
          <w:tcPr>
            <w:tcW w:w="59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EDACD3" w14:textId="77777777" w:rsidR="00686EC7" w:rsidRPr="000C156A" w:rsidRDefault="00686EC7" w:rsidP="00141BAA">
            <w:pPr>
              <w:pStyle w:val="Tabletext"/>
              <w:jc w:val="center"/>
              <w:rPr>
                <w:rFonts w:cs="Calibri"/>
                <w:b/>
                <w:bCs/>
                <w:szCs w:val="22"/>
                <w:lang w:val="en-US" w:eastAsia="zh-CN"/>
              </w:rPr>
            </w:pPr>
            <w:r w:rsidRPr="000C156A">
              <w:rPr>
                <w:rFonts w:cs="Calibri" w:hint="eastAsia"/>
                <w:b/>
                <w:bCs/>
                <w:szCs w:val="22"/>
                <w:lang w:val="en-US" w:eastAsia="zh-CN"/>
              </w:rPr>
              <w:t>国家</w:t>
            </w:r>
          </w:p>
        </w:tc>
        <w:tc>
          <w:tcPr>
            <w:tcW w:w="166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0BF4B7" w14:textId="77777777" w:rsidR="00686EC7" w:rsidRPr="000C156A" w:rsidRDefault="00686EC7" w:rsidP="00141BAA">
            <w:pPr>
              <w:pStyle w:val="Tabletext"/>
              <w:jc w:val="center"/>
              <w:rPr>
                <w:rFonts w:cs="Calibri"/>
                <w:b/>
                <w:bCs/>
                <w:szCs w:val="22"/>
                <w:lang w:val="en-US" w:eastAsia="zh-CN"/>
              </w:rPr>
            </w:pPr>
            <w:r w:rsidRPr="000C156A">
              <w:rPr>
                <w:rFonts w:cs="Calibri" w:hint="eastAsia"/>
                <w:b/>
                <w:bCs/>
                <w:szCs w:val="22"/>
                <w:lang w:val="en-US" w:eastAsia="zh-CN"/>
              </w:rPr>
              <w:t>公司</w:t>
            </w:r>
          </w:p>
        </w:tc>
        <w:tc>
          <w:tcPr>
            <w:tcW w:w="72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B7F70F" w14:textId="77777777" w:rsidR="00686EC7" w:rsidRPr="000C156A" w:rsidRDefault="00686EC7" w:rsidP="00141BAA">
            <w:pPr>
              <w:pStyle w:val="Tabletext"/>
              <w:jc w:val="center"/>
              <w:rPr>
                <w:rFonts w:cs="Calibri"/>
                <w:b/>
                <w:bCs/>
                <w:szCs w:val="22"/>
                <w:lang w:val="en-US"/>
              </w:rPr>
            </w:pPr>
            <w:r w:rsidRPr="000C156A">
              <w:rPr>
                <w:rFonts w:cs="Calibri" w:hint="eastAsia"/>
                <w:b/>
                <w:bCs/>
                <w:szCs w:val="22"/>
                <w:lang w:val="en-US"/>
              </w:rPr>
              <w:t>发票金额</w:t>
            </w:r>
          </w:p>
        </w:tc>
        <w:tc>
          <w:tcPr>
            <w:tcW w:w="72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8DC78D" w14:textId="77777777" w:rsidR="00686EC7" w:rsidRPr="000C156A" w:rsidRDefault="00686EC7" w:rsidP="00141BAA">
            <w:pPr>
              <w:pStyle w:val="Tabletext"/>
              <w:jc w:val="center"/>
              <w:rPr>
                <w:rFonts w:cs="Calibri"/>
                <w:b/>
                <w:bCs/>
                <w:szCs w:val="22"/>
                <w:lang w:val="en-US"/>
              </w:rPr>
            </w:pPr>
            <w:r w:rsidRPr="000C156A">
              <w:rPr>
                <w:rFonts w:cs="Calibri" w:hint="eastAsia"/>
                <w:b/>
                <w:bCs/>
                <w:szCs w:val="22"/>
                <w:lang w:val="en-US"/>
              </w:rPr>
              <w:t>收到付款</w:t>
            </w:r>
          </w:p>
        </w:tc>
        <w:tc>
          <w:tcPr>
            <w:tcW w:w="49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2D428A" w14:textId="77777777" w:rsidR="00686EC7" w:rsidRPr="000C156A" w:rsidRDefault="00686EC7" w:rsidP="00141BAA">
            <w:pPr>
              <w:pStyle w:val="Tabletext"/>
              <w:jc w:val="center"/>
              <w:rPr>
                <w:rFonts w:cs="Calibri"/>
                <w:b/>
                <w:bCs/>
                <w:szCs w:val="22"/>
                <w:lang w:val="en-US" w:eastAsia="zh-CN"/>
              </w:rPr>
            </w:pPr>
            <w:r w:rsidRPr="000C156A">
              <w:rPr>
                <w:rFonts w:cs="Calibri" w:hint="eastAsia"/>
                <w:b/>
                <w:bCs/>
                <w:szCs w:val="22"/>
                <w:lang w:val="en-US"/>
              </w:rPr>
              <w:t>欠款</w:t>
            </w:r>
            <w:r w:rsidRPr="000C156A">
              <w:rPr>
                <w:rFonts w:cs="Calibri" w:hint="eastAsia"/>
                <w:b/>
                <w:bCs/>
                <w:szCs w:val="22"/>
                <w:lang w:val="en-US" w:eastAsia="zh-CN"/>
              </w:rPr>
              <w:t>余额</w:t>
            </w:r>
          </w:p>
        </w:tc>
      </w:tr>
      <w:tr w:rsidR="00686EC7" w:rsidRPr="000C156A" w14:paraId="1D6C6DC1" w14:textId="77777777" w:rsidTr="00141BAA">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1CEE94" w14:textId="77777777" w:rsidR="00686EC7" w:rsidRPr="000C156A" w:rsidRDefault="00686EC7" w:rsidP="00141BAA">
            <w:pPr>
              <w:spacing w:before="40" w:after="40"/>
              <w:jc w:val="center"/>
              <w:rPr>
                <w:rFonts w:cs="Arial"/>
                <w:b/>
                <w:bCs/>
                <w:sz w:val="22"/>
                <w:szCs w:val="22"/>
              </w:rPr>
            </w:pPr>
            <w:r w:rsidRPr="000C156A">
              <w:rPr>
                <w:rFonts w:cs="Arial"/>
                <w:b/>
                <w:bCs/>
                <w:sz w:val="22"/>
                <w:szCs w:val="22"/>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96062" w14:textId="77777777" w:rsidR="00686EC7" w:rsidRPr="000C156A" w:rsidRDefault="00686EC7" w:rsidP="00141BAA">
            <w:pPr>
              <w:spacing w:before="40" w:after="40"/>
              <w:jc w:val="center"/>
              <w:rPr>
                <w:rFonts w:cs="Arial"/>
                <w:b/>
                <w:bCs/>
                <w:sz w:val="22"/>
                <w:szCs w:val="22"/>
              </w:rPr>
            </w:pPr>
            <w:r w:rsidRPr="000C156A">
              <w:rPr>
                <w:rFonts w:cs="Arial"/>
                <w:b/>
                <w:bCs/>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3676A" w14:textId="77777777" w:rsidR="00686EC7" w:rsidRPr="000C156A" w:rsidRDefault="00686EC7" w:rsidP="00141BAA">
            <w:pPr>
              <w:spacing w:before="40" w:after="40"/>
              <w:jc w:val="center"/>
              <w:rPr>
                <w:rFonts w:cs="Arial"/>
                <w:sz w:val="22"/>
                <w:szCs w:val="22"/>
              </w:rPr>
            </w:pPr>
            <w:r w:rsidRPr="000C156A">
              <w:rPr>
                <w:rFonts w:cs="Arial"/>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D34936" w14:textId="77777777" w:rsidR="00686EC7" w:rsidRPr="000C156A" w:rsidRDefault="00686EC7" w:rsidP="00141BAA">
            <w:pPr>
              <w:spacing w:before="40" w:after="40"/>
              <w:jc w:val="center"/>
              <w:rPr>
                <w:rFonts w:cs="Arial"/>
                <w:sz w:val="22"/>
                <w:szCs w:val="22"/>
              </w:rPr>
            </w:pPr>
            <w:r w:rsidRPr="000C156A">
              <w:rPr>
                <w:rFonts w:cs="Arial"/>
                <w:sz w:val="22"/>
                <w:szCs w:val="22"/>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AC98A0" w14:textId="77777777" w:rsidR="00686EC7" w:rsidRPr="000C156A" w:rsidRDefault="00686EC7" w:rsidP="00141BAA">
            <w:pPr>
              <w:spacing w:before="40" w:after="40"/>
              <w:jc w:val="center"/>
              <w:rPr>
                <w:rFonts w:cs="Arial"/>
                <w:sz w:val="22"/>
                <w:szCs w:val="22"/>
              </w:rPr>
            </w:pPr>
            <w:r w:rsidRPr="000C156A">
              <w:rPr>
                <w:rFonts w:cs="Arial"/>
                <w:sz w:val="22"/>
                <w:szCs w:val="22"/>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67FD47" w14:textId="77777777" w:rsidR="00686EC7" w:rsidRPr="000C156A" w:rsidRDefault="00686EC7" w:rsidP="00141BAA">
            <w:pPr>
              <w:spacing w:before="40" w:after="40"/>
              <w:jc w:val="center"/>
              <w:rPr>
                <w:rFonts w:cs="Arial"/>
                <w:sz w:val="22"/>
                <w:szCs w:val="22"/>
              </w:rPr>
            </w:pPr>
            <w:r w:rsidRPr="000C156A">
              <w:rPr>
                <w:rFonts w:cs="Arial"/>
                <w:sz w:val="22"/>
                <w:szCs w:val="22"/>
              </w:rPr>
              <w:t> </w:t>
            </w:r>
          </w:p>
        </w:tc>
      </w:tr>
      <w:tr w:rsidR="00686EC7" w:rsidRPr="000C156A" w14:paraId="58C43AC3" w14:textId="77777777" w:rsidTr="00141BAA">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BB3A3C" w14:textId="77777777" w:rsidR="00686EC7" w:rsidRPr="000C156A" w:rsidRDefault="00686EC7" w:rsidP="00141BAA">
            <w:pPr>
              <w:spacing w:before="40" w:after="40"/>
              <w:jc w:val="center"/>
              <w:rPr>
                <w:color w:val="000000"/>
                <w:sz w:val="22"/>
                <w:szCs w:val="22"/>
              </w:rPr>
            </w:pPr>
            <w:r w:rsidRPr="000C156A">
              <w:rPr>
                <w:color w:val="000000"/>
                <w:sz w:val="22"/>
                <w:szCs w:val="22"/>
              </w:rPr>
              <w:t>TLC 2009</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B607AF" w14:textId="77777777" w:rsidR="00686EC7" w:rsidRPr="000C156A" w:rsidRDefault="00686EC7" w:rsidP="00141BAA">
            <w:pPr>
              <w:spacing w:before="40" w:after="40"/>
              <w:rPr>
                <w:sz w:val="22"/>
                <w:szCs w:val="22"/>
              </w:rPr>
            </w:pPr>
            <w:r w:rsidRPr="000C156A">
              <w:rPr>
                <w:rFonts w:hint="eastAsia"/>
                <w:sz w:val="22"/>
                <w:szCs w:val="22"/>
              </w:rPr>
              <w:t>美国</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19008" w14:textId="77777777" w:rsidR="00686EC7" w:rsidRPr="000C156A" w:rsidRDefault="00686EC7" w:rsidP="00141BAA">
            <w:pPr>
              <w:spacing w:before="40" w:after="40"/>
              <w:rPr>
                <w:sz w:val="22"/>
                <w:szCs w:val="22"/>
              </w:rPr>
            </w:pPr>
            <w:r w:rsidRPr="000C156A">
              <w:rPr>
                <w:sz w:val="22"/>
                <w:szCs w:val="22"/>
              </w:rPr>
              <w:t>E: Telesis Energy and Data</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0F3303" w14:textId="5BBA06B5" w:rsidR="00686EC7" w:rsidRPr="000C156A" w:rsidRDefault="00686EC7" w:rsidP="00141BAA">
            <w:pPr>
              <w:spacing w:before="40" w:after="40"/>
              <w:jc w:val="right"/>
              <w:rPr>
                <w:sz w:val="22"/>
                <w:szCs w:val="22"/>
              </w:rPr>
            </w:pPr>
            <w:r w:rsidRPr="000C156A">
              <w:rPr>
                <w:sz w:val="22"/>
                <w:szCs w:val="22"/>
              </w:rPr>
              <w:t>10</w:t>
            </w:r>
            <w:r w:rsidR="001A59E5" w:rsidRPr="000C156A">
              <w:rPr>
                <w:sz w:val="22"/>
                <w:szCs w:val="22"/>
              </w:rPr>
              <w:t xml:space="preserve"> </w:t>
            </w:r>
            <w:r w:rsidRPr="000C156A">
              <w:rPr>
                <w:sz w:val="22"/>
                <w:szCs w:val="22"/>
              </w:rPr>
              <w:t>800.00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24C518" w14:textId="77777777" w:rsidR="00686EC7" w:rsidRPr="000C156A" w:rsidRDefault="00686EC7" w:rsidP="00141BAA">
            <w:pPr>
              <w:spacing w:before="40" w:after="40"/>
              <w:jc w:val="right"/>
              <w:rPr>
                <w:sz w:val="22"/>
                <w:szCs w:val="22"/>
              </w:rPr>
            </w:pPr>
            <w:r w:rsidRPr="000C156A">
              <w:rPr>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AA13BE" w14:textId="243258BE" w:rsidR="00686EC7" w:rsidRPr="000C156A" w:rsidRDefault="00686EC7" w:rsidP="00141BAA">
            <w:pPr>
              <w:spacing w:before="40" w:after="40"/>
              <w:jc w:val="right"/>
              <w:rPr>
                <w:sz w:val="22"/>
                <w:szCs w:val="22"/>
              </w:rPr>
            </w:pPr>
            <w:r w:rsidRPr="000C156A">
              <w:rPr>
                <w:sz w:val="22"/>
                <w:szCs w:val="22"/>
              </w:rPr>
              <w:t>10</w:t>
            </w:r>
            <w:r w:rsidR="001A59E5" w:rsidRPr="000C156A">
              <w:rPr>
                <w:sz w:val="22"/>
                <w:szCs w:val="22"/>
              </w:rPr>
              <w:t xml:space="preserve"> </w:t>
            </w:r>
            <w:r w:rsidRPr="000C156A">
              <w:rPr>
                <w:sz w:val="22"/>
                <w:szCs w:val="22"/>
              </w:rPr>
              <w:t>800.00</w:t>
            </w:r>
          </w:p>
        </w:tc>
      </w:tr>
      <w:tr w:rsidR="00686EC7" w:rsidRPr="000C156A" w14:paraId="0EC111FC" w14:textId="77777777" w:rsidTr="00141BAA">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0F2367" w14:textId="77777777" w:rsidR="00686EC7" w:rsidRPr="000C156A" w:rsidRDefault="00686EC7" w:rsidP="00141BAA">
            <w:pPr>
              <w:spacing w:before="40" w:after="40"/>
              <w:jc w:val="center"/>
              <w:rPr>
                <w:color w:val="000000"/>
                <w:sz w:val="22"/>
                <w:szCs w:val="22"/>
              </w:rPr>
            </w:pPr>
            <w:r w:rsidRPr="000C156A">
              <w:rPr>
                <w:color w:val="000000"/>
                <w:sz w:val="22"/>
                <w:szCs w:val="22"/>
              </w:rPr>
              <w:t>TLC 2009</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CE1B16" w14:textId="77777777" w:rsidR="00686EC7" w:rsidRPr="000C156A" w:rsidRDefault="00686EC7" w:rsidP="00141BAA">
            <w:pPr>
              <w:spacing w:before="40" w:after="40"/>
              <w:rPr>
                <w:color w:val="000000"/>
                <w:sz w:val="22"/>
                <w:szCs w:val="22"/>
              </w:rPr>
            </w:pPr>
            <w:r w:rsidRPr="000C156A">
              <w:rPr>
                <w:rFonts w:hint="eastAsia"/>
                <w:color w:val="000000"/>
                <w:sz w:val="22"/>
                <w:szCs w:val="22"/>
              </w:rPr>
              <w:t>印度</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F1C76D" w14:textId="77777777" w:rsidR="00686EC7" w:rsidRPr="000C156A" w:rsidRDefault="00686EC7" w:rsidP="00141BAA">
            <w:pPr>
              <w:spacing w:before="40" w:after="40"/>
              <w:rPr>
                <w:sz w:val="22"/>
                <w:szCs w:val="22"/>
              </w:rPr>
            </w:pPr>
            <w:r w:rsidRPr="000C156A">
              <w:rPr>
                <w:sz w:val="22"/>
                <w:szCs w:val="22"/>
              </w:rPr>
              <w:t>REVE Systems (S) Pte Ltd</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7C6F6C" w14:textId="482BCB21" w:rsidR="00686EC7" w:rsidRPr="000C156A" w:rsidRDefault="00686EC7" w:rsidP="00141BAA">
            <w:pPr>
              <w:spacing w:before="40" w:after="40"/>
              <w:jc w:val="right"/>
              <w:rPr>
                <w:color w:val="000000"/>
                <w:sz w:val="22"/>
                <w:szCs w:val="22"/>
              </w:rPr>
            </w:pPr>
            <w:r w:rsidRPr="000C156A">
              <w:rPr>
                <w:color w:val="000000"/>
                <w:sz w:val="22"/>
                <w:szCs w:val="22"/>
              </w:rPr>
              <w:t>10</w:t>
            </w:r>
            <w:r w:rsidR="001A59E5" w:rsidRPr="000C156A">
              <w:rPr>
                <w:color w:val="000000"/>
                <w:sz w:val="22"/>
                <w:szCs w:val="22"/>
              </w:rPr>
              <w:t xml:space="preserve"> </w:t>
            </w:r>
            <w:r w:rsidRPr="000C156A">
              <w:rPr>
                <w:color w:val="000000"/>
                <w:sz w:val="22"/>
                <w:szCs w:val="22"/>
              </w:rPr>
              <w:t>800.00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CB5F5E" w14:textId="77777777" w:rsidR="00686EC7" w:rsidRPr="000C156A" w:rsidRDefault="00686EC7" w:rsidP="00141BAA">
            <w:pPr>
              <w:spacing w:before="40" w:after="40"/>
              <w:jc w:val="right"/>
              <w:rPr>
                <w:color w:val="000000"/>
                <w:sz w:val="22"/>
                <w:szCs w:val="22"/>
              </w:rPr>
            </w:pPr>
            <w:r w:rsidRPr="000C156A">
              <w:rPr>
                <w:color w:val="000000"/>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1690E2" w14:textId="52589EDC" w:rsidR="00686EC7" w:rsidRPr="000C156A" w:rsidRDefault="00686EC7" w:rsidP="00141BAA">
            <w:pPr>
              <w:spacing w:before="40" w:after="40"/>
              <w:jc w:val="right"/>
              <w:rPr>
                <w:sz w:val="22"/>
                <w:szCs w:val="22"/>
              </w:rPr>
            </w:pPr>
            <w:r w:rsidRPr="000C156A">
              <w:rPr>
                <w:sz w:val="22"/>
                <w:szCs w:val="22"/>
              </w:rPr>
              <w:t>10</w:t>
            </w:r>
            <w:r w:rsidR="001A59E5" w:rsidRPr="000C156A">
              <w:rPr>
                <w:sz w:val="22"/>
                <w:szCs w:val="22"/>
              </w:rPr>
              <w:t xml:space="preserve"> </w:t>
            </w:r>
            <w:r w:rsidRPr="000C156A">
              <w:rPr>
                <w:sz w:val="22"/>
                <w:szCs w:val="22"/>
              </w:rPr>
              <w:t>800.00</w:t>
            </w:r>
          </w:p>
        </w:tc>
      </w:tr>
      <w:tr w:rsidR="00686EC7" w:rsidRPr="000C156A" w14:paraId="6B3420C2" w14:textId="77777777" w:rsidTr="00141BAA">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DBA8E5" w14:textId="77777777" w:rsidR="00686EC7" w:rsidRPr="000C156A" w:rsidRDefault="00686EC7" w:rsidP="00141BAA">
            <w:pPr>
              <w:spacing w:before="40" w:after="40"/>
              <w:jc w:val="center"/>
              <w:rPr>
                <w:color w:val="000000"/>
                <w:sz w:val="22"/>
                <w:szCs w:val="22"/>
              </w:rPr>
            </w:pPr>
            <w:r w:rsidRPr="000C156A">
              <w:rPr>
                <w:color w:val="000000"/>
                <w:sz w:val="22"/>
                <w:szCs w:val="22"/>
              </w:rPr>
              <w:t>TLC 2009</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EB2372" w14:textId="77777777" w:rsidR="00686EC7" w:rsidRPr="000C156A" w:rsidRDefault="00686EC7" w:rsidP="00141BAA">
            <w:pPr>
              <w:spacing w:before="40" w:after="40"/>
              <w:rPr>
                <w:color w:val="000000"/>
                <w:sz w:val="22"/>
                <w:szCs w:val="22"/>
              </w:rPr>
            </w:pPr>
            <w:r w:rsidRPr="000C156A">
              <w:rPr>
                <w:rFonts w:hint="eastAsia"/>
                <w:color w:val="000000"/>
                <w:sz w:val="22"/>
                <w:szCs w:val="22"/>
              </w:rPr>
              <w:t>美国</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BBA679" w14:textId="77777777" w:rsidR="00686EC7" w:rsidRPr="000C156A" w:rsidRDefault="00686EC7" w:rsidP="00141BAA">
            <w:pPr>
              <w:spacing w:before="40" w:after="40"/>
              <w:rPr>
                <w:sz w:val="22"/>
                <w:szCs w:val="22"/>
              </w:rPr>
            </w:pPr>
            <w:r w:rsidRPr="000C156A">
              <w:rPr>
                <w:sz w:val="22"/>
                <w:szCs w:val="22"/>
              </w:rPr>
              <w:t>UTStarcom Inc.</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EE7CE5" w14:textId="4DAAD963" w:rsidR="00686EC7" w:rsidRPr="000C156A" w:rsidRDefault="00686EC7" w:rsidP="00141BAA">
            <w:pPr>
              <w:spacing w:before="40" w:after="40"/>
              <w:jc w:val="right"/>
              <w:rPr>
                <w:color w:val="000000"/>
                <w:sz w:val="22"/>
                <w:szCs w:val="22"/>
              </w:rPr>
            </w:pPr>
            <w:r w:rsidRPr="000C156A">
              <w:rPr>
                <w:color w:val="000000"/>
                <w:sz w:val="22"/>
                <w:szCs w:val="22"/>
              </w:rPr>
              <w:t>94</w:t>
            </w:r>
            <w:r w:rsidR="001A59E5" w:rsidRPr="000C156A">
              <w:rPr>
                <w:color w:val="000000"/>
                <w:sz w:val="22"/>
                <w:szCs w:val="22"/>
              </w:rPr>
              <w:t xml:space="preserve"> </w:t>
            </w:r>
            <w:r w:rsidRPr="000C156A">
              <w:rPr>
                <w:color w:val="000000"/>
                <w:sz w:val="22"/>
                <w:szCs w:val="22"/>
              </w:rPr>
              <w:t>050.00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3A50A8" w14:textId="66D9753C" w:rsidR="00686EC7" w:rsidRPr="000C156A" w:rsidRDefault="00686EC7" w:rsidP="00141BAA">
            <w:pPr>
              <w:spacing w:before="40" w:after="40"/>
              <w:jc w:val="right"/>
              <w:rPr>
                <w:color w:val="000000"/>
                <w:sz w:val="22"/>
                <w:szCs w:val="22"/>
              </w:rPr>
            </w:pPr>
            <w:r w:rsidRPr="000C156A">
              <w:rPr>
                <w:color w:val="000000"/>
                <w:sz w:val="22"/>
                <w:szCs w:val="22"/>
              </w:rPr>
              <w:t>47</w:t>
            </w:r>
            <w:r w:rsidR="001A59E5" w:rsidRPr="000C156A">
              <w:rPr>
                <w:color w:val="000000"/>
                <w:sz w:val="22"/>
                <w:szCs w:val="22"/>
              </w:rPr>
              <w:t xml:space="preserve"> </w:t>
            </w:r>
            <w:r w:rsidRPr="000C156A">
              <w:rPr>
                <w:color w:val="000000"/>
                <w:sz w:val="22"/>
                <w:szCs w:val="22"/>
              </w:rPr>
              <w:t>025.00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5135A" w14:textId="6772110B" w:rsidR="00686EC7" w:rsidRPr="000C156A" w:rsidRDefault="00686EC7" w:rsidP="00141BAA">
            <w:pPr>
              <w:spacing w:before="40" w:after="40"/>
              <w:jc w:val="right"/>
              <w:rPr>
                <w:sz w:val="22"/>
                <w:szCs w:val="22"/>
              </w:rPr>
            </w:pPr>
            <w:r w:rsidRPr="000C156A">
              <w:rPr>
                <w:sz w:val="22"/>
                <w:szCs w:val="22"/>
              </w:rPr>
              <w:t>47</w:t>
            </w:r>
            <w:r w:rsidR="001A59E5" w:rsidRPr="000C156A">
              <w:rPr>
                <w:sz w:val="22"/>
                <w:szCs w:val="22"/>
              </w:rPr>
              <w:t xml:space="preserve"> </w:t>
            </w:r>
            <w:r w:rsidRPr="000C156A">
              <w:rPr>
                <w:sz w:val="22"/>
                <w:szCs w:val="22"/>
              </w:rPr>
              <w:t>025.00</w:t>
            </w:r>
          </w:p>
        </w:tc>
      </w:tr>
      <w:tr w:rsidR="00686EC7" w:rsidRPr="000C156A" w14:paraId="61460DE0" w14:textId="77777777" w:rsidTr="00141BAA">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D9B41A" w14:textId="77777777" w:rsidR="00686EC7" w:rsidRPr="000C156A" w:rsidRDefault="00686EC7" w:rsidP="00141BAA">
            <w:pPr>
              <w:spacing w:before="40" w:after="40"/>
              <w:jc w:val="center"/>
              <w:rPr>
                <w:color w:val="000000"/>
                <w:sz w:val="22"/>
                <w:szCs w:val="22"/>
              </w:rPr>
            </w:pPr>
            <w:r w:rsidRPr="000C156A">
              <w:rPr>
                <w:color w:val="000000"/>
                <w:sz w:val="22"/>
                <w:szCs w:val="22"/>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DF2C93" w14:textId="77777777" w:rsidR="00686EC7" w:rsidRPr="000C156A" w:rsidRDefault="00686EC7" w:rsidP="00141BAA">
            <w:pPr>
              <w:spacing w:before="40" w:after="40"/>
              <w:rPr>
                <w:color w:val="000000"/>
                <w:sz w:val="22"/>
                <w:szCs w:val="22"/>
              </w:rPr>
            </w:pPr>
            <w:r w:rsidRPr="000C156A">
              <w:rPr>
                <w:color w:val="000000"/>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BDE927" w14:textId="77777777" w:rsidR="00686EC7" w:rsidRPr="000C156A" w:rsidRDefault="00686EC7" w:rsidP="00141BAA">
            <w:pPr>
              <w:spacing w:before="40" w:after="40"/>
              <w:rPr>
                <w:color w:val="000000"/>
                <w:sz w:val="22"/>
                <w:szCs w:val="22"/>
              </w:rPr>
            </w:pPr>
            <w:r w:rsidRPr="000C156A">
              <w:rPr>
                <w:color w:val="000000"/>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A670A1" w14:textId="77777777" w:rsidR="00686EC7" w:rsidRPr="000C156A" w:rsidRDefault="00686EC7" w:rsidP="00141BAA">
            <w:pPr>
              <w:spacing w:before="40" w:after="40"/>
              <w:rPr>
                <w:color w:val="000000"/>
                <w:sz w:val="22"/>
                <w:szCs w:val="22"/>
              </w:rPr>
            </w:pPr>
            <w:r w:rsidRPr="000C156A">
              <w:rPr>
                <w:color w:val="000000"/>
                <w:sz w:val="22"/>
                <w:szCs w:val="22"/>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3BCD3F" w14:textId="77777777" w:rsidR="00686EC7" w:rsidRPr="000C156A" w:rsidRDefault="00686EC7" w:rsidP="00141BAA">
            <w:pPr>
              <w:spacing w:before="40" w:after="40"/>
              <w:rPr>
                <w:color w:val="000000"/>
                <w:sz w:val="22"/>
                <w:szCs w:val="22"/>
              </w:rPr>
            </w:pPr>
            <w:r w:rsidRPr="000C156A">
              <w:rPr>
                <w:color w:val="000000"/>
                <w:sz w:val="22"/>
                <w:szCs w:val="22"/>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3DADEC" w14:textId="77777777" w:rsidR="00686EC7" w:rsidRPr="000C156A" w:rsidRDefault="00686EC7" w:rsidP="00141BAA">
            <w:pPr>
              <w:spacing w:before="40" w:after="40"/>
              <w:rPr>
                <w:color w:val="000000"/>
                <w:sz w:val="22"/>
                <w:szCs w:val="22"/>
              </w:rPr>
            </w:pPr>
            <w:r w:rsidRPr="000C156A">
              <w:rPr>
                <w:color w:val="000000"/>
                <w:sz w:val="22"/>
                <w:szCs w:val="22"/>
              </w:rPr>
              <w:t> </w:t>
            </w:r>
          </w:p>
        </w:tc>
      </w:tr>
      <w:tr w:rsidR="00686EC7" w:rsidRPr="000C156A" w14:paraId="53FB04A6" w14:textId="77777777" w:rsidTr="00141BAA">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8F44BB" w14:textId="77777777" w:rsidR="00686EC7" w:rsidRPr="000C156A" w:rsidRDefault="00686EC7" w:rsidP="00141BAA">
            <w:pPr>
              <w:spacing w:before="40" w:after="40"/>
              <w:jc w:val="center"/>
              <w:rPr>
                <w:rFonts w:cs="Arial"/>
                <w:b/>
                <w:bCs/>
                <w:sz w:val="22"/>
                <w:szCs w:val="22"/>
              </w:rPr>
            </w:pPr>
            <w:r w:rsidRPr="000C156A">
              <w:rPr>
                <w:rFonts w:cs="Arial"/>
                <w:b/>
                <w:bCs/>
                <w:sz w:val="22"/>
                <w:szCs w:val="22"/>
              </w:rPr>
              <w:t>TLC 2009</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4CAB87" w14:textId="77777777" w:rsidR="00686EC7" w:rsidRPr="000C156A" w:rsidRDefault="00686EC7" w:rsidP="00141BAA">
            <w:pPr>
              <w:spacing w:before="40" w:after="40"/>
              <w:rPr>
                <w:color w:val="000000"/>
                <w:sz w:val="22"/>
                <w:szCs w:val="22"/>
              </w:rPr>
            </w:pPr>
            <w:r w:rsidRPr="000C156A">
              <w:rPr>
                <w:color w:val="000000"/>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D1B9B" w14:textId="77777777" w:rsidR="00686EC7" w:rsidRPr="000C156A" w:rsidRDefault="00686EC7" w:rsidP="00141BAA">
            <w:pPr>
              <w:spacing w:before="40" w:after="40"/>
              <w:rPr>
                <w:color w:val="000000"/>
                <w:sz w:val="22"/>
                <w:szCs w:val="22"/>
              </w:rPr>
            </w:pPr>
            <w:r w:rsidRPr="000C156A">
              <w:rPr>
                <w:color w:val="000000"/>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F8E0AC" w14:textId="77777777" w:rsidR="00686EC7" w:rsidRPr="000C156A" w:rsidRDefault="00686EC7" w:rsidP="00141BAA">
            <w:pPr>
              <w:spacing w:before="40" w:after="40"/>
              <w:rPr>
                <w:color w:val="000000"/>
                <w:sz w:val="22"/>
                <w:szCs w:val="22"/>
              </w:rPr>
            </w:pPr>
            <w:r w:rsidRPr="000C156A">
              <w:rPr>
                <w:color w:val="000000"/>
                <w:sz w:val="22"/>
                <w:szCs w:val="22"/>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D01EBF" w14:textId="77777777" w:rsidR="00686EC7" w:rsidRPr="000C156A" w:rsidRDefault="00686EC7" w:rsidP="00141BAA">
            <w:pPr>
              <w:spacing w:before="40" w:after="40"/>
              <w:rPr>
                <w:b/>
                <w:bCs/>
                <w:sz w:val="22"/>
                <w:szCs w:val="22"/>
              </w:rPr>
            </w:pPr>
            <w:r w:rsidRPr="000C156A">
              <w:rPr>
                <w:b/>
                <w:bCs/>
                <w:sz w:val="22"/>
                <w:szCs w:val="22"/>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384D51" w14:textId="112A419C" w:rsidR="00686EC7" w:rsidRPr="000C156A" w:rsidRDefault="00686EC7" w:rsidP="00141BAA">
            <w:pPr>
              <w:spacing w:before="40" w:after="40"/>
              <w:jc w:val="right"/>
              <w:rPr>
                <w:b/>
                <w:bCs/>
                <w:sz w:val="22"/>
                <w:szCs w:val="22"/>
              </w:rPr>
            </w:pPr>
            <w:r w:rsidRPr="000C156A">
              <w:rPr>
                <w:b/>
                <w:bCs/>
                <w:sz w:val="22"/>
                <w:szCs w:val="22"/>
              </w:rPr>
              <w:t>68</w:t>
            </w:r>
            <w:r w:rsidR="001A59E5" w:rsidRPr="000C156A">
              <w:rPr>
                <w:b/>
                <w:bCs/>
                <w:sz w:val="22"/>
                <w:szCs w:val="22"/>
              </w:rPr>
              <w:t xml:space="preserve"> </w:t>
            </w:r>
            <w:r w:rsidRPr="000C156A">
              <w:rPr>
                <w:b/>
                <w:bCs/>
                <w:sz w:val="22"/>
                <w:szCs w:val="22"/>
              </w:rPr>
              <w:t>625.00</w:t>
            </w:r>
          </w:p>
        </w:tc>
      </w:tr>
    </w:tbl>
    <w:p w14:paraId="5FEE478B" w14:textId="77777777" w:rsidR="00686EC7" w:rsidRPr="000C156A" w:rsidRDefault="00686EC7" w:rsidP="00E03BB2">
      <w:pPr>
        <w:pStyle w:val="Annextitle"/>
        <w:rPr>
          <w:rFonts w:asciiTheme="minorHAnsi" w:eastAsiaTheme="minorEastAsia" w:hAnsiTheme="minorHAnsi"/>
          <w:lang w:eastAsia="zh-CN"/>
        </w:rPr>
      </w:pPr>
      <w:r w:rsidRPr="000C156A">
        <w:rPr>
          <w:rFonts w:asciiTheme="minorHAnsi" w:eastAsiaTheme="minorEastAsia" w:hAnsiTheme="minorHAnsi" w:hint="eastAsia"/>
          <w:lang w:eastAsia="zh-CN"/>
        </w:rPr>
        <w:lastRenderedPageBreak/>
        <w:t>截至</w:t>
      </w:r>
      <w:r w:rsidRPr="000C156A">
        <w:rPr>
          <w:rFonts w:asciiTheme="minorHAnsi" w:eastAsiaTheme="minorEastAsia" w:hAnsiTheme="minorHAnsi"/>
          <w:lang w:eastAsia="zh-CN"/>
        </w:rPr>
        <w:t>2020</w:t>
      </w:r>
      <w:r w:rsidRPr="000C156A">
        <w:rPr>
          <w:rFonts w:asciiTheme="minorHAnsi" w:eastAsiaTheme="minorEastAsia" w:hAnsiTheme="minorHAnsi" w:hint="eastAsia"/>
          <w:lang w:eastAsia="zh-CN"/>
        </w:rPr>
        <w:t>年</w:t>
      </w:r>
      <w:r w:rsidRPr="000C156A">
        <w:rPr>
          <w:rFonts w:asciiTheme="minorHAnsi" w:eastAsiaTheme="minorEastAsia" w:hAnsiTheme="minorHAnsi"/>
          <w:lang w:eastAsia="zh-CN"/>
        </w:rPr>
        <w:t>12</w:t>
      </w:r>
      <w:r w:rsidRPr="000C156A">
        <w:rPr>
          <w:rFonts w:asciiTheme="minorHAnsi" w:eastAsiaTheme="minorEastAsia" w:hAnsiTheme="minorHAnsi" w:hint="eastAsia"/>
          <w:lang w:eastAsia="zh-CN"/>
        </w:rPr>
        <w:t>月</w:t>
      </w:r>
      <w:r w:rsidRPr="000C156A">
        <w:rPr>
          <w:rFonts w:asciiTheme="minorHAnsi" w:eastAsiaTheme="minorEastAsia" w:hAnsiTheme="minorHAnsi" w:hint="eastAsia"/>
          <w:lang w:eastAsia="zh-CN"/>
        </w:rPr>
        <w:t>31</w:t>
      </w:r>
      <w:r w:rsidRPr="000C156A">
        <w:rPr>
          <w:rFonts w:asciiTheme="minorHAnsi" w:eastAsiaTheme="minorEastAsia" w:hAnsiTheme="minorHAnsi" w:hint="eastAsia"/>
          <w:lang w:eastAsia="zh-CN"/>
        </w:rPr>
        <w:t>日已结账的国际电联电信展活动的债务方名单（</w:t>
      </w:r>
      <w:r w:rsidRPr="000C156A">
        <w:rPr>
          <w:rFonts w:asciiTheme="minorHAnsi" w:eastAsia="STKaiti" w:hAnsiTheme="minorHAnsi" w:hint="eastAsia"/>
          <w:lang w:eastAsia="zh-CN"/>
        </w:rPr>
        <w:t>续</w:t>
      </w:r>
      <w:r w:rsidRPr="000C156A">
        <w:rPr>
          <w:rFonts w:asciiTheme="minorHAnsi" w:eastAsiaTheme="minorEastAsia" w:hAnsiTheme="minorHAnsi" w:hint="eastAsia"/>
          <w:lang w:eastAsia="zh-CN"/>
        </w:rPr>
        <w:t>）</w:t>
      </w:r>
    </w:p>
    <w:tbl>
      <w:tblPr>
        <w:tblW w:w="10006" w:type="dxa"/>
        <w:tblInd w:w="137" w:type="dxa"/>
        <w:tblLook w:val="04A0" w:firstRow="1" w:lastRow="0" w:firstColumn="1" w:lastColumn="0" w:noHBand="0" w:noVBand="1"/>
      </w:tblPr>
      <w:tblGrid>
        <w:gridCol w:w="1071"/>
        <w:gridCol w:w="1433"/>
        <w:gridCol w:w="3464"/>
        <w:gridCol w:w="1368"/>
        <w:gridCol w:w="1395"/>
        <w:gridCol w:w="1275"/>
      </w:tblGrid>
      <w:tr w:rsidR="00686EC7" w:rsidRPr="000C156A" w14:paraId="7A863227" w14:textId="77777777" w:rsidTr="00141BAA">
        <w:trPr>
          <w:trHeight w:val="448"/>
        </w:trPr>
        <w:tc>
          <w:tcPr>
            <w:tcW w:w="1071" w:type="dxa"/>
            <w:tcBorders>
              <w:top w:val="single" w:sz="4" w:space="0" w:color="auto"/>
              <w:left w:val="single" w:sz="4" w:space="0" w:color="auto"/>
              <w:bottom w:val="single" w:sz="4" w:space="0" w:color="auto"/>
              <w:right w:val="single" w:sz="4" w:space="0" w:color="auto"/>
            </w:tcBorders>
            <w:hideMark/>
          </w:tcPr>
          <w:p w14:paraId="533B8745"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活动</w:t>
            </w:r>
          </w:p>
        </w:tc>
        <w:tc>
          <w:tcPr>
            <w:tcW w:w="1433" w:type="dxa"/>
            <w:tcBorders>
              <w:top w:val="single" w:sz="4" w:space="0" w:color="auto"/>
              <w:left w:val="nil"/>
              <w:bottom w:val="single" w:sz="4" w:space="0" w:color="auto"/>
              <w:right w:val="single" w:sz="4" w:space="0" w:color="auto"/>
            </w:tcBorders>
            <w:hideMark/>
          </w:tcPr>
          <w:p w14:paraId="2DC151DC"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国家</w:t>
            </w:r>
          </w:p>
        </w:tc>
        <w:tc>
          <w:tcPr>
            <w:tcW w:w="3464" w:type="dxa"/>
            <w:tcBorders>
              <w:top w:val="single" w:sz="4" w:space="0" w:color="auto"/>
              <w:left w:val="nil"/>
              <w:bottom w:val="single" w:sz="4" w:space="0" w:color="auto"/>
              <w:right w:val="single" w:sz="4" w:space="0" w:color="auto"/>
            </w:tcBorders>
            <w:hideMark/>
          </w:tcPr>
          <w:p w14:paraId="6C6E3F0F"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公司</w:t>
            </w:r>
          </w:p>
        </w:tc>
        <w:tc>
          <w:tcPr>
            <w:tcW w:w="1368" w:type="dxa"/>
            <w:tcBorders>
              <w:top w:val="single" w:sz="4" w:space="0" w:color="auto"/>
              <w:left w:val="nil"/>
              <w:bottom w:val="single" w:sz="4" w:space="0" w:color="auto"/>
              <w:right w:val="single" w:sz="4" w:space="0" w:color="auto"/>
            </w:tcBorders>
            <w:hideMark/>
          </w:tcPr>
          <w:p w14:paraId="5C760FFE"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发票金额</w:t>
            </w:r>
          </w:p>
        </w:tc>
        <w:tc>
          <w:tcPr>
            <w:tcW w:w="1395" w:type="dxa"/>
            <w:tcBorders>
              <w:top w:val="single" w:sz="4" w:space="0" w:color="auto"/>
              <w:left w:val="nil"/>
              <w:bottom w:val="single" w:sz="4" w:space="0" w:color="auto"/>
              <w:right w:val="single" w:sz="4" w:space="0" w:color="auto"/>
            </w:tcBorders>
            <w:hideMark/>
          </w:tcPr>
          <w:p w14:paraId="385072B1"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收到付款</w:t>
            </w:r>
          </w:p>
        </w:tc>
        <w:tc>
          <w:tcPr>
            <w:tcW w:w="1275" w:type="dxa"/>
            <w:tcBorders>
              <w:top w:val="single" w:sz="4" w:space="0" w:color="auto"/>
              <w:left w:val="nil"/>
              <w:bottom w:val="single" w:sz="4" w:space="0" w:color="auto"/>
              <w:right w:val="single" w:sz="4" w:space="0" w:color="auto"/>
            </w:tcBorders>
            <w:hideMark/>
          </w:tcPr>
          <w:p w14:paraId="014CCDF7" w14:textId="77777777" w:rsidR="00686EC7" w:rsidRPr="000C156A" w:rsidRDefault="00686EC7" w:rsidP="00141BAA">
            <w:pPr>
              <w:pStyle w:val="Tablehead"/>
              <w:rPr>
                <w:rFonts w:asciiTheme="minorHAnsi" w:eastAsiaTheme="minorEastAsia" w:hAnsiTheme="minorHAnsi"/>
                <w:szCs w:val="22"/>
                <w:lang w:eastAsia="zh-CN"/>
              </w:rPr>
            </w:pPr>
            <w:r w:rsidRPr="000C156A">
              <w:rPr>
                <w:rFonts w:asciiTheme="minorHAnsi" w:eastAsiaTheme="minorEastAsia" w:hAnsiTheme="minorHAnsi" w:hint="eastAsia"/>
                <w:szCs w:val="22"/>
              </w:rPr>
              <w:t>欠款</w:t>
            </w:r>
            <w:r w:rsidRPr="000C156A">
              <w:rPr>
                <w:rFonts w:asciiTheme="minorHAnsi" w:eastAsiaTheme="minorEastAsia" w:hAnsiTheme="minorHAnsi" w:hint="eastAsia"/>
                <w:szCs w:val="22"/>
                <w:lang w:eastAsia="zh-CN"/>
              </w:rPr>
              <w:t>余额</w:t>
            </w:r>
          </w:p>
        </w:tc>
      </w:tr>
      <w:tr w:rsidR="00686EC7" w:rsidRPr="000C156A" w14:paraId="146E4C59" w14:textId="77777777" w:rsidTr="00141BAA">
        <w:trPr>
          <w:trHeight w:val="263"/>
        </w:trPr>
        <w:tc>
          <w:tcPr>
            <w:tcW w:w="1071" w:type="dxa"/>
            <w:tcBorders>
              <w:top w:val="nil"/>
              <w:left w:val="single" w:sz="4" w:space="0" w:color="auto"/>
              <w:bottom w:val="single" w:sz="4" w:space="0" w:color="auto"/>
              <w:right w:val="single" w:sz="4" w:space="0" w:color="auto"/>
            </w:tcBorders>
            <w:noWrap/>
            <w:vAlign w:val="bottom"/>
            <w:hideMark/>
          </w:tcPr>
          <w:p w14:paraId="093EEF91" w14:textId="77777777" w:rsidR="00686EC7" w:rsidRPr="000C156A" w:rsidRDefault="00686EC7" w:rsidP="00141BAA">
            <w:pPr>
              <w:jc w:val="center"/>
              <w:rPr>
                <w:rFonts w:cs="Arial"/>
                <w:b/>
                <w:bCs/>
                <w:sz w:val="22"/>
                <w:szCs w:val="22"/>
              </w:rPr>
            </w:pPr>
            <w:r w:rsidRPr="000C156A">
              <w:rPr>
                <w:rFonts w:cs="Arial"/>
                <w:b/>
                <w:bCs/>
                <w:sz w:val="22"/>
                <w:szCs w:val="22"/>
              </w:rPr>
              <w:t> </w:t>
            </w:r>
          </w:p>
        </w:tc>
        <w:tc>
          <w:tcPr>
            <w:tcW w:w="1433" w:type="dxa"/>
            <w:tcBorders>
              <w:top w:val="nil"/>
              <w:left w:val="nil"/>
              <w:bottom w:val="single" w:sz="4" w:space="0" w:color="auto"/>
              <w:right w:val="single" w:sz="4" w:space="0" w:color="auto"/>
            </w:tcBorders>
            <w:noWrap/>
            <w:vAlign w:val="bottom"/>
            <w:hideMark/>
          </w:tcPr>
          <w:p w14:paraId="4E79542F" w14:textId="77777777" w:rsidR="00686EC7" w:rsidRPr="000C156A" w:rsidRDefault="00686EC7" w:rsidP="00141BAA">
            <w:pPr>
              <w:jc w:val="center"/>
              <w:rPr>
                <w:rFonts w:cs="Arial"/>
                <w:b/>
                <w:bCs/>
                <w:sz w:val="22"/>
                <w:szCs w:val="22"/>
              </w:rPr>
            </w:pPr>
            <w:r w:rsidRPr="000C156A">
              <w:rPr>
                <w:rFonts w:cs="Arial"/>
                <w:b/>
                <w:bCs/>
                <w:sz w:val="22"/>
                <w:szCs w:val="22"/>
              </w:rPr>
              <w:t> </w:t>
            </w:r>
          </w:p>
        </w:tc>
        <w:tc>
          <w:tcPr>
            <w:tcW w:w="3464" w:type="dxa"/>
            <w:tcBorders>
              <w:top w:val="nil"/>
              <w:left w:val="nil"/>
              <w:bottom w:val="single" w:sz="4" w:space="0" w:color="auto"/>
              <w:right w:val="single" w:sz="4" w:space="0" w:color="auto"/>
            </w:tcBorders>
            <w:noWrap/>
            <w:vAlign w:val="bottom"/>
            <w:hideMark/>
          </w:tcPr>
          <w:p w14:paraId="1F9F65FE" w14:textId="77777777" w:rsidR="00686EC7" w:rsidRPr="000C156A" w:rsidRDefault="00686EC7" w:rsidP="00141BAA">
            <w:pPr>
              <w:jc w:val="center"/>
              <w:rPr>
                <w:rFonts w:cs="Arial"/>
                <w:sz w:val="22"/>
                <w:szCs w:val="22"/>
              </w:rPr>
            </w:pPr>
            <w:r w:rsidRPr="000C156A">
              <w:rPr>
                <w:rFonts w:cs="Arial"/>
                <w:sz w:val="22"/>
                <w:szCs w:val="22"/>
              </w:rPr>
              <w:t> </w:t>
            </w:r>
          </w:p>
        </w:tc>
        <w:tc>
          <w:tcPr>
            <w:tcW w:w="1368" w:type="dxa"/>
            <w:tcBorders>
              <w:top w:val="nil"/>
              <w:left w:val="nil"/>
              <w:bottom w:val="single" w:sz="4" w:space="0" w:color="auto"/>
              <w:right w:val="single" w:sz="4" w:space="0" w:color="auto"/>
            </w:tcBorders>
            <w:noWrap/>
            <w:vAlign w:val="bottom"/>
            <w:hideMark/>
          </w:tcPr>
          <w:p w14:paraId="41188FB9" w14:textId="77777777" w:rsidR="00686EC7" w:rsidRPr="000C156A" w:rsidRDefault="00686EC7" w:rsidP="00141BAA">
            <w:pPr>
              <w:jc w:val="center"/>
              <w:rPr>
                <w:rFonts w:cs="Arial"/>
                <w:sz w:val="22"/>
                <w:szCs w:val="22"/>
              </w:rPr>
            </w:pPr>
            <w:r w:rsidRPr="000C156A">
              <w:rPr>
                <w:rFonts w:cs="Arial"/>
                <w:sz w:val="22"/>
                <w:szCs w:val="22"/>
              </w:rPr>
              <w:t> </w:t>
            </w:r>
          </w:p>
        </w:tc>
        <w:tc>
          <w:tcPr>
            <w:tcW w:w="1395" w:type="dxa"/>
            <w:tcBorders>
              <w:top w:val="nil"/>
              <w:left w:val="nil"/>
              <w:bottom w:val="single" w:sz="4" w:space="0" w:color="auto"/>
              <w:right w:val="single" w:sz="4" w:space="0" w:color="auto"/>
            </w:tcBorders>
            <w:noWrap/>
            <w:vAlign w:val="bottom"/>
            <w:hideMark/>
          </w:tcPr>
          <w:p w14:paraId="664E8CDD" w14:textId="77777777" w:rsidR="00686EC7" w:rsidRPr="000C156A" w:rsidRDefault="00686EC7" w:rsidP="00141BAA">
            <w:pPr>
              <w:jc w:val="center"/>
              <w:rPr>
                <w:rFonts w:cs="Arial"/>
                <w:sz w:val="22"/>
                <w:szCs w:val="22"/>
              </w:rPr>
            </w:pPr>
            <w:r w:rsidRPr="000C156A">
              <w:rPr>
                <w:rFonts w:cs="Arial"/>
                <w:sz w:val="22"/>
                <w:szCs w:val="22"/>
              </w:rPr>
              <w:t> </w:t>
            </w:r>
          </w:p>
        </w:tc>
        <w:tc>
          <w:tcPr>
            <w:tcW w:w="1275" w:type="dxa"/>
            <w:tcBorders>
              <w:top w:val="nil"/>
              <w:left w:val="nil"/>
              <w:bottom w:val="single" w:sz="4" w:space="0" w:color="auto"/>
              <w:right w:val="single" w:sz="4" w:space="0" w:color="auto"/>
            </w:tcBorders>
            <w:noWrap/>
            <w:vAlign w:val="bottom"/>
            <w:hideMark/>
          </w:tcPr>
          <w:p w14:paraId="6E7EE043" w14:textId="77777777" w:rsidR="00686EC7" w:rsidRPr="000C156A" w:rsidRDefault="00686EC7" w:rsidP="00141BAA">
            <w:pPr>
              <w:jc w:val="center"/>
              <w:rPr>
                <w:rFonts w:cs="Arial"/>
                <w:sz w:val="22"/>
                <w:szCs w:val="22"/>
              </w:rPr>
            </w:pPr>
            <w:r w:rsidRPr="000C156A">
              <w:rPr>
                <w:rFonts w:cs="Arial"/>
                <w:sz w:val="22"/>
                <w:szCs w:val="22"/>
              </w:rPr>
              <w:t> </w:t>
            </w:r>
          </w:p>
        </w:tc>
      </w:tr>
      <w:tr w:rsidR="00686EC7" w:rsidRPr="000C156A" w14:paraId="17EF65D3" w14:textId="77777777" w:rsidTr="00141BAA">
        <w:trPr>
          <w:trHeight w:val="263"/>
        </w:trPr>
        <w:tc>
          <w:tcPr>
            <w:tcW w:w="1071" w:type="dxa"/>
            <w:tcBorders>
              <w:top w:val="nil"/>
              <w:left w:val="single" w:sz="4" w:space="0" w:color="auto"/>
              <w:bottom w:val="single" w:sz="4" w:space="0" w:color="auto"/>
              <w:right w:val="single" w:sz="4" w:space="0" w:color="auto"/>
            </w:tcBorders>
            <w:noWrap/>
            <w:vAlign w:val="bottom"/>
          </w:tcPr>
          <w:p w14:paraId="6673BC49" w14:textId="77777777" w:rsidR="00686EC7" w:rsidRPr="000C156A" w:rsidRDefault="00686EC7" w:rsidP="00141BAA">
            <w:pPr>
              <w:jc w:val="center"/>
              <w:rPr>
                <w:color w:val="000000"/>
                <w:sz w:val="22"/>
                <w:szCs w:val="22"/>
              </w:rPr>
            </w:pPr>
            <w:r w:rsidRPr="000C156A">
              <w:rPr>
                <w:color w:val="000000"/>
                <w:sz w:val="22"/>
                <w:szCs w:val="22"/>
              </w:rPr>
              <w:t>TLC 2011</w:t>
            </w:r>
          </w:p>
        </w:tc>
        <w:tc>
          <w:tcPr>
            <w:tcW w:w="1433" w:type="dxa"/>
            <w:tcBorders>
              <w:top w:val="nil"/>
              <w:left w:val="nil"/>
              <w:bottom w:val="single" w:sz="4" w:space="0" w:color="auto"/>
              <w:right w:val="single" w:sz="4" w:space="0" w:color="auto"/>
            </w:tcBorders>
            <w:noWrap/>
            <w:vAlign w:val="bottom"/>
          </w:tcPr>
          <w:p w14:paraId="010B2114" w14:textId="77777777" w:rsidR="00686EC7" w:rsidRPr="000C156A" w:rsidRDefault="00686EC7" w:rsidP="00141BAA">
            <w:pPr>
              <w:jc w:val="center"/>
              <w:rPr>
                <w:color w:val="000000"/>
                <w:sz w:val="22"/>
                <w:szCs w:val="22"/>
              </w:rPr>
            </w:pPr>
            <w:r w:rsidRPr="000C156A">
              <w:rPr>
                <w:rFonts w:hint="eastAsia"/>
                <w:color w:val="000000"/>
                <w:sz w:val="22"/>
                <w:szCs w:val="22"/>
                <w:lang w:val="en-US" w:eastAsia="zh-CN"/>
              </w:rPr>
              <w:t>瑞士</w:t>
            </w:r>
          </w:p>
        </w:tc>
        <w:tc>
          <w:tcPr>
            <w:tcW w:w="3464" w:type="dxa"/>
            <w:tcBorders>
              <w:top w:val="nil"/>
              <w:left w:val="nil"/>
              <w:bottom w:val="single" w:sz="4" w:space="0" w:color="auto"/>
              <w:right w:val="single" w:sz="4" w:space="0" w:color="auto"/>
            </w:tcBorders>
            <w:noWrap/>
            <w:vAlign w:val="bottom"/>
          </w:tcPr>
          <w:p w14:paraId="2300A69A" w14:textId="77777777" w:rsidR="00686EC7" w:rsidRPr="000C156A" w:rsidRDefault="00686EC7" w:rsidP="00141BAA">
            <w:pPr>
              <w:rPr>
                <w:sz w:val="22"/>
                <w:szCs w:val="22"/>
              </w:rPr>
            </w:pPr>
            <w:r w:rsidRPr="000C156A">
              <w:rPr>
                <w:sz w:val="22"/>
                <w:szCs w:val="22"/>
              </w:rPr>
              <w:t>2011</w:t>
            </w:r>
            <w:r w:rsidRPr="000C156A">
              <w:rPr>
                <w:rFonts w:hint="eastAsia"/>
                <w:sz w:val="22"/>
                <w:szCs w:val="22"/>
                <w:lang w:eastAsia="zh-CN"/>
              </w:rPr>
              <w:t>年客户世界</w:t>
            </w:r>
            <w:r w:rsidRPr="000C156A">
              <w:rPr>
                <w:sz w:val="22"/>
                <w:szCs w:val="22"/>
                <w:lang w:val="en-US" w:eastAsia="zh-CN"/>
              </w:rPr>
              <w:t>*</w:t>
            </w:r>
          </w:p>
        </w:tc>
        <w:tc>
          <w:tcPr>
            <w:tcW w:w="1368" w:type="dxa"/>
            <w:tcBorders>
              <w:top w:val="nil"/>
              <w:left w:val="nil"/>
              <w:bottom w:val="single" w:sz="4" w:space="0" w:color="auto"/>
              <w:right w:val="single" w:sz="4" w:space="0" w:color="auto"/>
            </w:tcBorders>
            <w:noWrap/>
            <w:vAlign w:val="bottom"/>
          </w:tcPr>
          <w:p w14:paraId="6B042D79" w14:textId="3DEE392F" w:rsidR="00686EC7" w:rsidRPr="000C156A" w:rsidRDefault="00686EC7" w:rsidP="00141BAA">
            <w:pPr>
              <w:overflowPunct/>
              <w:autoSpaceDE/>
              <w:autoSpaceDN/>
              <w:adjustRightInd/>
              <w:spacing w:before="0"/>
              <w:jc w:val="right"/>
              <w:textAlignment w:val="auto"/>
              <w:rPr>
                <w:color w:val="000000"/>
                <w:sz w:val="22"/>
                <w:szCs w:val="22"/>
                <w:lang w:val="en-US" w:eastAsia="zh-CN"/>
              </w:rPr>
            </w:pPr>
            <w:r w:rsidRPr="000C156A">
              <w:rPr>
                <w:color w:val="000000"/>
                <w:sz w:val="22"/>
                <w:szCs w:val="22"/>
                <w:lang w:val="en-US" w:eastAsia="zh-CN"/>
              </w:rPr>
              <w:t>203</w:t>
            </w:r>
            <w:r w:rsidR="001A59E5" w:rsidRPr="000C156A">
              <w:rPr>
                <w:color w:val="000000"/>
                <w:sz w:val="22"/>
                <w:szCs w:val="22"/>
                <w:lang w:val="en-US" w:eastAsia="zh-CN"/>
              </w:rPr>
              <w:t xml:space="preserve"> </w:t>
            </w:r>
            <w:r w:rsidRPr="000C156A">
              <w:rPr>
                <w:color w:val="000000"/>
                <w:sz w:val="22"/>
                <w:szCs w:val="22"/>
                <w:lang w:val="en-US" w:eastAsia="zh-CN"/>
              </w:rPr>
              <w:t>243.05</w:t>
            </w:r>
          </w:p>
        </w:tc>
        <w:tc>
          <w:tcPr>
            <w:tcW w:w="1395" w:type="dxa"/>
            <w:tcBorders>
              <w:top w:val="nil"/>
              <w:left w:val="nil"/>
              <w:bottom w:val="single" w:sz="4" w:space="0" w:color="auto"/>
              <w:right w:val="single" w:sz="4" w:space="0" w:color="auto"/>
            </w:tcBorders>
            <w:noWrap/>
            <w:vAlign w:val="bottom"/>
          </w:tcPr>
          <w:p w14:paraId="1A5163E6" w14:textId="212FBECB" w:rsidR="00686EC7" w:rsidRPr="000C156A" w:rsidRDefault="00686EC7" w:rsidP="00141BAA">
            <w:pPr>
              <w:overflowPunct/>
              <w:autoSpaceDE/>
              <w:autoSpaceDN/>
              <w:adjustRightInd/>
              <w:spacing w:before="0"/>
              <w:jc w:val="right"/>
              <w:textAlignment w:val="auto"/>
              <w:rPr>
                <w:color w:val="000000"/>
                <w:sz w:val="22"/>
                <w:szCs w:val="22"/>
                <w:lang w:val="en-US" w:eastAsia="zh-CN"/>
              </w:rPr>
            </w:pPr>
            <w:r w:rsidRPr="000C156A">
              <w:rPr>
                <w:color w:val="000000"/>
                <w:sz w:val="22"/>
                <w:szCs w:val="22"/>
                <w:lang w:val="en-US" w:eastAsia="zh-CN"/>
              </w:rPr>
              <w:t>194</w:t>
            </w:r>
            <w:r w:rsidR="001A59E5" w:rsidRPr="000C156A">
              <w:rPr>
                <w:color w:val="000000"/>
                <w:sz w:val="22"/>
                <w:szCs w:val="22"/>
                <w:lang w:val="en-US" w:eastAsia="zh-CN"/>
              </w:rPr>
              <w:t xml:space="preserve"> </w:t>
            </w:r>
            <w:r w:rsidRPr="000C156A">
              <w:rPr>
                <w:color w:val="000000"/>
                <w:sz w:val="22"/>
                <w:szCs w:val="22"/>
                <w:lang w:val="en-US" w:eastAsia="zh-CN"/>
              </w:rPr>
              <w:t>643.25</w:t>
            </w:r>
          </w:p>
        </w:tc>
        <w:tc>
          <w:tcPr>
            <w:tcW w:w="1275" w:type="dxa"/>
            <w:tcBorders>
              <w:top w:val="nil"/>
              <w:left w:val="nil"/>
              <w:bottom w:val="single" w:sz="4" w:space="0" w:color="auto"/>
              <w:right w:val="single" w:sz="4" w:space="0" w:color="auto"/>
            </w:tcBorders>
            <w:noWrap/>
            <w:vAlign w:val="bottom"/>
          </w:tcPr>
          <w:p w14:paraId="3F721DD6" w14:textId="2DB9E731" w:rsidR="00686EC7" w:rsidRPr="000C156A" w:rsidRDefault="00686EC7" w:rsidP="00141BAA">
            <w:pPr>
              <w:overflowPunct/>
              <w:autoSpaceDE/>
              <w:autoSpaceDN/>
              <w:adjustRightInd/>
              <w:spacing w:before="0"/>
              <w:jc w:val="right"/>
              <w:textAlignment w:val="auto"/>
              <w:rPr>
                <w:sz w:val="22"/>
                <w:szCs w:val="22"/>
                <w:lang w:val="en-US" w:eastAsia="zh-CN"/>
              </w:rPr>
            </w:pPr>
            <w:r w:rsidRPr="000C156A">
              <w:rPr>
                <w:sz w:val="22"/>
                <w:szCs w:val="22"/>
                <w:lang w:val="en-US" w:eastAsia="zh-CN"/>
              </w:rPr>
              <w:t>8</w:t>
            </w:r>
            <w:r w:rsidR="001A59E5" w:rsidRPr="000C156A">
              <w:rPr>
                <w:sz w:val="22"/>
                <w:szCs w:val="22"/>
                <w:lang w:val="en-US" w:eastAsia="zh-CN"/>
              </w:rPr>
              <w:t xml:space="preserve"> </w:t>
            </w:r>
            <w:r w:rsidRPr="000C156A">
              <w:rPr>
                <w:sz w:val="22"/>
                <w:szCs w:val="22"/>
                <w:lang w:val="en-US" w:eastAsia="zh-CN"/>
              </w:rPr>
              <w:t>599.80</w:t>
            </w:r>
          </w:p>
        </w:tc>
      </w:tr>
      <w:tr w:rsidR="00686EC7" w:rsidRPr="000C156A" w14:paraId="1D4AF6FB" w14:textId="77777777" w:rsidTr="00141BAA">
        <w:trPr>
          <w:trHeight w:val="263"/>
        </w:trPr>
        <w:tc>
          <w:tcPr>
            <w:tcW w:w="1071" w:type="dxa"/>
            <w:tcBorders>
              <w:top w:val="nil"/>
              <w:left w:val="single" w:sz="4" w:space="0" w:color="auto"/>
              <w:bottom w:val="single" w:sz="4" w:space="0" w:color="auto"/>
              <w:right w:val="single" w:sz="4" w:space="0" w:color="auto"/>
            </w:tcBorders>
            <w:noWrap/>
            <w:vAlign w:val="bottom"/>
          </w:tcPr>
          <w:p w14:paraId="56220347" w14:textId="77777777" w:rsidR="00686EC7" w:rsidRPr="000C156A" w:rsidRDefault="00686EC7" w:rsidP="00141BAA">
            <w:pPr>
              <w:jc w:val="center"/>
              <w:rPr>
                <w:color w:val="000000"/>
                <w:sz w:val="22"/>
                <w:szCs w:val="22"/>
              </w:rPr>
            </w:pPr>
            <w:r w:rsidRPr="000C156A">
              <w:rPr>
                <w:color w:val="000000"/>
                <w:sz w:val="22"/>
                <w:szCs w:val="22"/>
              </w:rPr>
              <w:t> </w:t>
            </w:r>
          </w:p>
        </w:tc>
        <w:tc>
          <w:tcPr>
            <w:tcW w:w="1433" w:type="dxa"/>
            <w:tcBorders>
              <w:top w:val="nil"/>
              <w:left w:val="nil"/>
              <w:bottom w:val="single" w:sz="4" w:space="0" w:color="auto"/>
              <w:right w:val="single" w:sz="4" w:space="0" w:color="auto"/>
            </w:tcBorders>
            <w:noWrap/>
            <w:vAlign w:val="bottom"/>
          </w:tcPr>
          <w:p w14:paraId="71E49A66" w14:textId="77777777" w:rsidR="00686EC7" w:rsidRPr="000C156A" w:rsidRDefault="00686EC7" w:rsidP="00141BAA">
            <w:pPr>
              <w:rPr>
                <w:color w:val="000000"/>
                <w:sz w:val="22"/>
                <w:szCs w:val="22"/>
              </w:rPr>
            </w:pPr>
            <w:r w:rsidRPr="000C156A">
              <w:rPr>
                <w:color w:val="000000"/>
                <w:sz w:val="22"/>
                <w:szCs w:val="22"/>
              </w:rPr>
              <w:t> </w:t>
            </w:r>
          </w:p>
        </w:tc>
        <w:tc>
          <w:tcPr>
            <w:tcW w:w="3464" w:type="dxa"/>
            <w:tcBorders>
              <w:top w:val="nil"/>
              <w:left w:val="nil"/>
              <w:bottom w:val="single" w:sz="4" w:space="0" w:color="auto"/>
              <w:right w:val="single" w:sz="4" w:space="0" w:color="auto"/>
            </w:tcBorders>
            <w:noWrap/>
            <w:vAlign w:val="bottom"/>
          </w:tcPr>
          <w:p w14:paraId="6A043290" w14:textId="77777777" w:rsidR="00686EC7" w:rsidRPr="000C156A" w:rsidRDefault="00686EC7" w:rsidP="00141BAA">
            <w:pPr>
              <w:rPr>
                <w:color w:val="000000"/>
                <w:sz w:val="22"/>
                <w:szCs w:val="22"/>
              </w:rPr>
            </w:pPr>
            <w:r w:rsidRPr="000C156A">
              <w:rPr>
                <w:color w:val="000000"/>
                <w:sz w:val="22"/>
                <w:szCs w:val="22"/>
              </w:rPr>
              <w:t> </w:t>
            </w:r>
          </w:p>
        </w:tc>
        <w:tc>
          <w:tcPr>
            <w:tcW w:w="1368" w:type="dxa"/>
            <w:tcBorders>
              <w:top w:val="nil"/>
              <w:left w:val="nil"/>
              <w:bottom w:val="single" w:sz="4" w:space="0" w:color="auto"/>
              <w:right w:val="single" w:sz="4" w:space="0" w:color="auto"/>
            </w:tcBorders>
            <w:noWrap/>
            <w:vAlign w:val="bottom"/>
          </w:tcPr>
          <w:p w14:paraId="3E14B3BA" w14:textId="77777777" w:rsidR="00686EC7" w:rsidRPr="000C156A" w:rsidRDefault="00686EC7" w:rsidP="00141BAA">
            <w:pPr>
              <w:overflowPunct/>
              <w:autoSpaceDE/>
              <w:autoSpaceDN/>
              <w:adjustRightInd/>
              <w:spacing w:before="0"/>
              <w:textAlignment w:val="auto"/>
              <w:rPr>
                <w:color w:val="000000"/>
                <w:sz w:val="22"/>
                <w:szCs w:val="22"/>
                <w:lang w:val="en-US" w:eastAsia="zh-CN"/>
              </w:rPr>
            </w:pPr>
            <w:r w:rsidRPr="000C156A">
              <w:rPr>
                <w:color w:val="000000"/>
                <w:sz w:val="22"/>
                <w:szCs w:val="22"/>
                <w:lang w:val="en-US" w:eastAsia="zh-CN"/>
              </w:rPr>
              <w:t> </w:t>
            </w:r>
          </w:p>
        </w:tc>
        <w:tc>
          <w:tcPr>
            <w:tcW w:w="1395" w:type="dxa"/>
            <w:tcBorders>
              <w:top w:val="nil"/>
              <w:left w:val="nil"/>
              <w:bottom w:val="single" w:sz="4" w:space="0" w:color="auto"/>
              <w:right w:val="single" w:sz="4" w:space="0" w:color="auto"/>
            </w:tcBorders>
            <w:noWrap/>
            <w:vAlign w:val="bottom"/>
          </w:tcPr>
          <w:p w14:paraId="3B3FB240" w14:textId="77777777" w:rsidR="00686EC7" w:rsidRPr="000C156A" w:rsidRDefault="00686EC7" w:rsidP="00141BAA">
            <w:pPr>
              <w:overflowPunct/>
              <w:autoSpaceDE/>
              <w:autoSpaceDN/>
              <w:adjustRightInd/>
              <w:spacing w:before="0"/>
              <w:textAlignment w:val="auto"/>
              <w:rPr>
                <w:color w:val="000000"/>
                <w:sz w:val="22"/>
                <w:szCs w:val="22"/>
                <w:lang w:val="en-US" w:eastAsia="zh-CN"/>
              </w:rPr>
            </w:pPr>
            <w:r w:rsidRPr="000C156A">
              <w:rPr>
                <w:color w:val="000000"/>
                <w:sz w:val="22"/>
                <w:szCs w:val="22"/>
                <w:lang w:val="en-US" w:eastAsia="zh-CN"/>
              </w:rPr>
              <w:t> </w:t>
            </w:r>
          </w:p>
        </w:tc>
        <w:tc>
          <w:tcPr>
            <w:tcW w:w="1275" w:type="dxa"/>
            <w:tcBorders>
              <w:top w:val="nil"/>
              <w:left w:val="nil"/>
              <w:bottom w:val="single" w:sz="4" w:space="0" w:color="auto"/>
              <w:right w:val="single" w:sz="4" w:space="0" w:color="auto"/>
            </w:tcBorders>
            <w:noWrap/>
            <w:vAlign w:val="bottom"/>
          </w:tcPr>
          <w:p w14:paraId="15A60643" w14:textId="77777777" w:rsidR="00686EC7" w:rsidRPr="000C156A" w:rsidRDefault="00686EC7" w:rsidP="00141BAA">
            <w:pPr>
              <w:overflowPunct/>
              <w:autoSpaceDE/>
              <w:autoSpaceDN/>
              <w:adjustRightInd/>
              <w:spacing w:before="0"/>
              <w:textAlignment w:val="auto"/>
              <w:rPr>
                <w:color w:val="000000"/>
                <w:sz w:val="22"/>
                <w:szCs w:val="22"/>
                <w:lang w:val="en-US" w:eastAsia="zh-CN"/>
              </w:rPr>
            </w:pPr>
            <w:r w:rsidRPr="000C156A">
              <w:rPr>
                <w:color w:val="000000"/>
                <w:sz w:val="22"/>
                <w:szCs w:val="22"/>
                <w:lang w:val="en-US" w:eastAsia="zh-CN"/>
              </w:rPr>
              <w:t> </w:t>
            </w:r>
          </w:p>
        </w:tc>
      </w:tr>
      <w:tr w:rsidR="00686EC7" w:rsidRPr="000C156A" w14:paraId="717AAA3D" w14:textId="77777777" w:rsidTr="00141BAA">
        <w:trPr>
          <w:trHeight w:val="263"/>
        </w:trPr>
        <w:tc>
          <w:tcPr>
            <w:tcW w:w="1071" w:type="dxa"/>
            <w:tcBorders>
              <w:top w:val="nil"/>
              <w:left w:val="single" w:sz="4" w:space="0" w:color="auto"/>
              <w:bottom w:val="single" w:sz="4" w:space="0" w:color="auto"/>
              <w:right w:val="single" w:sz="4" w:space="0" w:color="auto"/>
            </w:tcBorders>
            <w:noWrap/>
            <w:vAlign w:val="bottom"/>
          </w:tcPr>
          <w:p w14:paraId="5FF1CF54" w14:textId="77777777" w:rsidR="00686EC7" w:rsidRPr="000C156A" w:rsidRDefault="00686EC7" w:rsidP="00141BAA">
            <w:pPr>
              <w:jc w:val="center"/>
              <w:rPr>
                <w:rFonts w:cs="Arial"/>
                <w:b/>
                <w:bCs/>
                <w:sz w:val="22"/>
                <w:szCs w:val="22"/>
              </w:rPr>
            </w:pPr>
            <w:r w:rsidRPr="000C156A">
              <w:rPr>
                <w:b/>
                <w:bCs/>
                <w:color w:val="000000"/>
                <w:sz w:val="22"/>
                <w:szCs w:val="22"/>
              </w:rPr>
              <w:t>TLC 2011</w:t>
            </w:r>
          </w:p>
        </w:tc>
        <w:tc>
          <w:tcPr>
            <w:tcW w:w="1433" w:type="dxa"/>
            <w:tcBorders>
              <w:top w:val="nil"/>
              <w:left w:val="nil"/>
              <w:bottom w:val="single" w:sz="4" w:space="0" w:color="auto"/>
              <w:right w:val="single" w:sz="4" w:space="0" w:color="auto"/>
            </w:tcBorders>
            <w:noWrap/>
            <w:vAlign w:val="bottom"/>
          </w:tcPr>
          <w:p w14:paraId="5AABA2AE" w14:textId="77777777" w:rsidR="00686EC7" w:rsidRPr="000C156A" w:rsidRDefault="00686EC7" w:rsidP="00141BAA">
            <w:pPr>
              <w:rPr>
                <w:color w:val="000000"/>
                <w:sz w:val="22"/>
                <w:szCs w:val="22"/>
              </w:rPr>
            </w:pPr>
            <w:r w:rsidRPr="000C156A">
              <w:rPr>
                <w:color w:val="000000"/>
                <w:sz w:val="22"/>
                <w:szCs w:val="22"/>
              </w:rPr>
              <w:t> </w:t>
            </w:r>
          </w:p>
        </w:tc>
        <w:tc>
          <w:tcPr>
            <w:tcW w:w="3464" w:type="dxa"/>
            <w:tcBorders>
              <w:top w:val="nil"/>
              <w:left w:val="nil"/>
              <w:bottom w:val="single" w:sz="4" w:space="0" w:color="auto"/>
              <w:right w:val="single" w:sz="4" w:space="0" w:color="auto"/>
            </w:tcBorders>
            <w:noWrap/>
            <w:vAlign w:val="bottom"/>
          </w:tcPr>
          <w:p w14:paraId="058CCCE6" w14:textId="77777777" w:rsidR="00686EC7" w:rsidRPr="000C156A" w:rsidRDefault="00686EC7" w:rsidP="00141BAA">
            <w:pPr>
              <w:rPr>
                <w:color w:val="000000"/>
                <w:sz w:val="22"/>
                <w:szCs w:val="22"/>
              </w:rPr>
            </w:pPr>
            <w:r w:rsidRPr="000C156A">
              <w:rPr>
                <w:color w:val="000000"/>
                <w:sz w:val="22"/>
                <w:szCs w:val="22"/>
              </w:rPr>
              <w:t> </w:t>
            </w:r>
          </w:p>
        </w:tc>
        <w:tc>
          <w:tcPr>
            <w:tcW w:w="1368" w:type="dxa"/>
            <w:tcBorders>
              <w:top w:val="nil"/>
              <w:left w:val="nil"/>
              <w:bottom w:val="single" w:sz="4" w:space="0" w:color="auto"/>
              <w:right w:val="single" w:sz="4" w:space="0" w:color="auto"/>
            </w:tcBorders>
            <w:noWrap/>
            <w:vAlign w:val="bottom"/>
          </w:tcPr>
          <w:p w14:paraId="059D4550" w14:textId="77777777" w:rsidR="00686EC7" w:rsidRPr="000C156A" w:rsidRDefault="00686EC7" w:rsidP="00141BAA">
            <w:pPr>
              <w:overflowPunct/>
              <w:autoSpaceDE/>
              <w:autoSpaceDN/>
              <w:adjustRightInd/>
              <w:spacing w:before="0"/>
              <w:textAlignment w:val="auto"/>
              <w:rPr>
                <w:color w:val="000000"/>
                <w:sz w:val="22"/>
                <w:szCs w:val="22"/>
                <w:lang w:val="en-US" w:eastAsia="zh-CN"/>
              </w:rPr>
            </w:pPr>
            <w:r w:rsidRPr="000C156A">
              <w:rPr>
                <w:color w:val="000000"/>
                <w:sz w:val="22"/>
                <w:szCs w:val="22"/>
                <w:lang w:val="en-US" w:eastAsia="zh-CN"/>
              </w:rPr>
              <w:t> </w:t>
            </w:r>
          </w:p>
        </w:tc>
        <w:tc>
          <w:tcPr>
            <w:tcW w:w="1395" w:type="dxa"/>
            <w:tcBorders>
              <w:top w:val="nil"/>
              <w:left w:val="nil"/>
              <w:bottom w:val="single" w:sz="4" w:space="0" w:color="auto"/>
              <w:right w:val="single" w:sz="4" w:space="0" w:color="auto"/>
            </w:tcBorders>
            <w:noWrap/>
            <w:vAlign w:val="bottom"/>
          </w:tcPr>
          <w:p w14:paraId="7D78B28D" w14:textId="77777777" w:rsidR="00686EC7" w:rsidRPr="000C156A" w:rsidRDefault="00686EC7" w:rsidP="00141BAA">
            <w:pPr>
              <w:overflowPunct/>
              <w:autoSpaceDE/>
              <w:autoSpaceDN/>
              <w:adjustRightInd/>
              <w:spacing w:before="0"/>
              <w:textAlignment w:val="auto"/>
              <w:rPr>
                <w:b/>
                <w:bCs/>
                <w:sz w:val="22"/>
                <w:szCs w:val="22"/>
                <w:lang w:val="en-US" w:eastAsia="zh-CN"/>
              </w:rPr>
            </w:pPr>
            <w:r w:rsidRPr="000C156A">
              <w:rPr>
                <w:b/>
                <w:bCs/>
                <w:sz w:val="22"/>
                <w:szCs w:val="22"/>
                <w:lang w:val="en-US" w:eastAsia="zh-CN"/>
              </w:rPr>
              <w:t> </w:t>
            </w:r>
          </w:p>
        </w:tc>
        <w:tc>
          <w:tcPr>
            <w:tcW w:w="1275" w:type="dxa"/>
            <w:tcBorders>
              <w:top w:val="nil"/>
              <w:left w:val="nil"/>
              <w:bottom w:val="single" w:sz="4" w:space="0" w:color="auto"/>
              <w:right w:val="single" w:sz="4" w:space="0" w:color="auto"/>
            </w:tcBorders>
            <w:noWrap/>
            <w:vAlign w:val="bottom"/>
          </w:tcPr>
          <w:p w14:paraId="1A66B6AC" w14:textId="00BE2F9E" w:rsidR="00686EC7" w:rsidRPr="000C156A" w:rsidRDefault="00686EC7" w:rsidP="00141BAA">
            <w:pPr>
              <w:overflowPunct/>
              <w:autoSpaceDE/>
              <w:autoSpaceDN/>
              <w:adjustRightInd/>
              <w:spacing w:before="0"/>
              <w:jc w:val="right"/>
              <w:textAlignment w:val="auto"/>
              <w:rPr>
                <w:b/>
                <w:bCs/>
                <w:sz w:val="22"/>
                <w:szCs w:val="22"/>
                <w:lang w:val="en-US" w:eastAsia="zh-CN"/>
              </w:rPr>
            </w:pPr>
            <w:r w:rsidRPr="000C156A">
              <w:rPr>
                <w:b/>
                <w:bCs/>
                <w:sz w:val="22"/>
                <w:szCs w:val="22"/>
                <w:lang w:val="en-US" w:eastAsia="zh-CN"/>
              </w:rPr>
              <w:t>8</w:t>
            </w:r>
            <w:r w:rsidR="001A59E5" w:rsidRPr="000C156A">
              <w:rPr>
                <w:b/>
                <w:bCs/>
                <w:sz w:val="22"/>
                <w:szCs w:val="22"/>
                <w:lang w:val="en-US" w:eastAsia="zh-CN"/>
              </w:rPr>
              <w:t xml:space="preserve"> </w:t>
            </w:r>
            <w:r w:rsidRPr="000C156A">
              <w:rPr>
                <w:b/>
                <w:bCs/>
                <w:sz w:val="22"/>
                <w:szCs w:val="22"/>
                <w:lang w:val="en-US" w:eastAsia="zh-CN"/>
              </w:rPr>
              <w:t>599.80</w:t>
            </w:r>
          </w:p>
        </w:tc>
      </w:tr>
    </w:tbl>
    <w:p w14:paraId="09E1EA7D" w14:textId="77777777" w:rsidR="00686EC7" w:rsidRPr="000C156A" w:rsidRDefault="00686EC7" w:rsidP="00686EC7">
      <w:pPr>
        <w:pStyle w:val="TableText0"/>
        <w:rPr>
          <w:rFonts w:eastAsia="STKaiti"/>
          <w:szCs w:val="22"/>
          <w:lang w:val="en-GB" w:eastAsia="zh-CN"/>
        </w:rPr>
      </w:pPr>
    </w:p>
    <w:tbl>
      <w:tblPr>
        <w:tblW w:w="10006" w:type="dxa"/>
        <w:tblInd w:w="137" w:type="dxa"/>
        <w:tblLook w:val="04A0" w:firstRow="1" w:lastRow="0" w:firstColumn="1" w:lastColumn="0" w:noHBand="0" w:noVBand="1"/>
      </w:tblPr>
      <w:tblGrid>
        <w:gridCol w:w="1071"/>
        <w:gridCol w:w="1433"/>
        <w:gridCol w:w="3464"/>
        <w:gridCol w:w="1368"/>
        <w:gridCol w:w="1395"/>
        <w:gridCol w:w="1275"/>
      </w:tblGrid>
      <w:tr w:rsidR="00686EC7" w:rsidRPr="000C156A" w14:paraId="09966D1E" w14:textId="77777777" w:rsidTr="00141BAA">
        <w:trPr>
          <w:trHeight w:val="448"/>
        </w:trPr>
        <w:tc>
          <w:tcPr>
            <w:tcW w:w="1071" w:type="dxa"/>
            <w:tcBorders>
              <w:top w:val="single" w:sz="4" w:space="0" w:color="auto"/>
              <w:left w:val="single" w:sz="4" w:space="0" w:color="auto"/>
              <w:bottom w:val="single" w:sz="4" w:space="0" w:color="auto"/>
              <w:right w:val="single" w:sz="4" w:space="0" w:color="auto"/>
            </w:tcBorders>
            <w:hideMark/>
          </w:tcPr>
          <w:p w14:paraId="3AED687F"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活动</w:t>
            </w:r>
          </w:p>
        </w:tc>
        <w:tc>
          <w:tcPr>
            <w:tcW w:w="1433" w:type="dxa"/>
            <w:tcBorders>
              <w:top w:val="single" w:sz="4" w:space="0" w:color="auto"/>
              <w:left w:val="nil"/>
              <w:bottom w:val="single" w:sz="4" w:space="0" w:color="auto"/>
              <w:right w:val="single" w:sz="4" w:space="0" w:color="auto"/>
            </w:tcBorders>
            <w:hideMark/>
          </w:tcPr>
          <w:p w14:paraId="40CE949F"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国家</w:t>
            </w:r>
          </w:p>
        </w:tc>
        <w:tc>
          <w:tcPr>
            <w:tcW w:w="3464" w:type="dxa"/>
            <w:tcBorders>
              <w:top w:val="single" w:sz="4" w:space="0" w:color="auto"/>
              <w:left w:val="nil"/>
              <w:bottom w:val="single" w:sz="4" w:space="0" w:color="auto"/>
              <w:right w:val="single" w:sz="4" w:space="0" w:color="auto"/>
            </w:tcBorders>
            <w:hideMark/>
          </w:tcPr>
          <w:p w14:paraId="50287259"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公司</w:t>
            </w:r>
          </w:p>
        </w:tc>
        <w:tc>
          <w:tcPr>
            <w:tcW w:w="1368" w:type="dxa"/>
            <w:tcBorders>
              <w:top w:val="single" w:sz="4" w:space="0" w:color="auto"/>
              <w:left w:val="nil"/>
              <w:bottom w:val="single" w:sz="4" w:space="0" w:color="auto"/>
              <w:right w:val="single" w:sz="4" w:space="0" w:color="auto"/>
            </w:tcBorders>
            <w:hideMark/>
          </w:tcPr>
          <w:p w14:paraId="3AB7B153"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发票金额</w:t>
            </w:r>
          </w:p>
        </w:tc>
        <w:tc>
          <w:tcPr>
            <w:tcW w:w="1395" w:type="dxa"/>
            <w:tcBorders>
              <w:top w:val="single" w:sz="4" w:space="0" w:color="auto"/>
              <w:left w:val="nil"/>
              <w:bottom w:val="single" w:sz="4" w:space="0" w:color="auto"/>
              <w:right w:val="single" w:sz="4" w:space="0" w:color="auto"/>
            </w:tcBorders>
            <w:hideMark/>
          </w:tcPr>
          <w:p w14:paraId="341A93B2"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收到付款</w:t>
            </w:r>
          </w:p>
        </w:tc>
        <w:tc>
          <w:tcPr>
            <w:tcW w:w="1275" w:type="dxa"/>
            <w:tcBorders>
              <w:top w:val="single" w:sz="4" w:space="0" w:color="auto"/>
              <w:left w:val="nil"/>
              <w:bottom w:val="single" w:sz="4" w:space="0" w:color="auto"/>
              <w:right w:val="single" w:sz="4" w:space="0" w:color="auto"/>
            </w:tcBorders>
            <w:hideMark/>
          </w:tcPr>
          <w:p w14:paraId="7AA0E5A2" w14:textId="77777777" w:rsidR="00686EC7" w:rsidRPr="000C156A" w:rsidRDefault="00686EC7" w:rsidP="00141BAA">
            <w:pPr>
              <w:pStyle w:val="Tablehead"/>
              <w:rPr>
                <w:rFonts w:asciiTheme="minorHAnsi" w:eastAsiaTheme="minorEastAsia" w:hAnsiTheme="minorHAnsi"/>
                <w:szCs w:val="22"/>
                <w:lang w:eastAsia="zh-CN"/>
              </w:rPr>
            </w:pPr>
            <w:r w:rsidRPr="000C156A">
              <w:rPr>
                <w:rFonts w:asciiTheme="minorHAnsi" w:eastAsiaTheme="minorEastAsia" w:hAnsiTheme="minorHAnsi" w:hint="eastAsia"/>
                <w:szCs w:val="22"/>
              </w:rPr>
              <w:t>欠款</w:t>
            </w:r>
            <w:r w:rsidRPr="000C156A">
              <w:rPr>
                <w:rFonts w:asciiTheme="minorHAnsi" w:eastAsiaTheme="minorEastAsia" w:hAnsiTheme="minorHAnsi" w:hint="eastAsia"/>
                <w:szCs w:val="22"/>
                <w:lang w:eastAsia="zh-CN"/>
              </w:rPr>
              <w:t>余额</w:t>
            </w:r>
          </w:p>
        </w:tc>
      </w:tr>
      <w:tr w:rsidR="00686EC7" w:rsidRPr="000C156A" w14:paraId="037879F1" w14:textId="77777777" w:rsidTr="00141BAA">
        <w:trPr>
          <w:trHeight w:val="263"/>
        </w:trPr>
        <w:tc>
          <w:tcPr>
            <w:tcW w:w="1071" w:type="dxa"/>
            <w:tcBorders>
              <w:top w:val="nil"/>
              <w:left w:val="single" w:sz="4" w:space="0" w:color="auto"/>
              <w:bottom w:val="single" w:sz="4" w:space="0" w:color="auto"/>
              <w:right w:val="single" w:sz="4" w:space="0" w:color="auto"/>
            </w:tcBorders>
            <w:noWrap/>
            <w:vAlign w:val="bottom"/>
            <w:hideMark/>
          </w:tcPr>
          <w:p w14:paraId="6AE4D5B6" w14:textId="77777777" w:rsidR="00686EC7" w:rsidRPr="000C156A" w:rsidRDefault="00686EC7" w:rsidP="00141BAA">
            <w:pPr>
              <w:overflowPunct/>
              <w:autoSpaceDE/>
              <w:adjustRightInd/>
              <w:spacing w:before="0"/>
              <w:jc w:val="center"/>
              <w:rPr>
                <w:rFonts w:asciiTheme="minorHAnsi" w:hAnsiTheme="minorHAnsi" w:cs="Arial"/>
                <w:b/>
                <w:bCs/>
                <w:sz w:val="22"/>
                <w:szCs w:val="22"/>
                <w:lang w:val="en-US" w:eastAsia="zh-CN"/>
              </w:rPr>
            </w:pPr>
            <w:r w:rsidRPr="000C156A">
              <w:rPr>
                <w:rFonts w:asciiTheme="minorHAnsi" w:hAnsiTheme="minorHAnsi" w:cs="Arial"/>
                <w:b/>
                <w:bCs/>
                <w:sz w:val="22"/>
                <w:szCs w:val="22"/>
                <w:lang w:val="en-US" w:eastAsia="zh-CN"/>
              </w:rPr>
              <w:t> </w:t>
            </w:r>
          </w:p>
        </w:tc>
        <w:tc>
          <w:tcPr>
            <w:tcW w:w="1433" w:type="dxa"/>
            <w:tcBorders>
              <w:top w:val="nil"/>
              <w:left w:val="nil"/>
              <w:bottom w:val="single" w:sz="4" w:space="0" w:color="auto"/>
              <w:right w:val="single" w:sz="4" w:space="0" w:color="auto"/>
            </w:tcBorders>
            <w:noWrap/>
            <w:vAlign w:val="bottom"/>
            <w:hideMark/>
          </w:tcPr>
          <w:p w14:paraId="67E7A1B3" w14:textId="77777777" w:rsidR="00686EC7" w:rsidRPr="000C156A" w:rsidRDefault="00686EC7" w:rsidP="00141BAA">
            <w:pPr>
              <w:overflowPunct/>
              <w:autoSpaceDE/>
              <w:adjustRightInd/>
              <w:spacing w:before="0"/>
              <w:jc w:val="center"/>
              <w:rPr>
                <w:rFonts w:asciiTheme="minorHAnsi" w:hAnsiTheme="minorHAnsi" w:cs="Arial"/>
                <w:b/>
                <w:bCs/>
                <w:sz w:val="22"/>
                <w:szCs w:val="22"/>
                <w:lang w:val="en-US" w:eastAsia="zh-CN"/>
              </w:rPr>
            </w:pPr>
            <w:r w:rsidRPr="000C156A">
              <w:rPr>
                <w:rFonts w:asciiTheme="minorHAnsi" w:hAnsiTheme="minorHAnsi" w:cs="Arial"/>
                <w:b/>
                <w:bCs/>
                <w:sz w:val="22"/>
                <w:szCs w:val="22"/>
                <w:lang w:val="en-US" w:eastAsia="zh-CN"/>
              </w:rPr>
              <w:t> </w:t>
            </w:r>
          </w:p>
        </w:tc>
        <w:tc>
          <w:tcPr>
            <w:tcW w:w="3464" w:type="dxa"/>
            <w:tcBorders>
              <w:top w:val="nil"/>
              <w:left w:val="nil"/>
              <w:bottom w:val="single" w:sz="4" w:space="0" w:color="auto"/>
              <w:right w:val="single" w:sz="4" w:space="0" w:color="auto"/>
            </w:tcBorders>
            <w:noWrap/>
            <w:vAlign w:val="bottom"/>
            <w:hideMark/>
          </w:tcPr>
          <w:p w14:paraId="3C333029" w14:textId="77777777" w:rsidR="00686EC7" w:rsidRPr="000C156A" w:rsidRDefault="00686EC7" w:rsidP="00141BAA">
            <w:pPr>
              <w:overflowPunct/>
              <w:autoSpaceDE/>
              <w:adjustRightInd/>
              <w:spacing w:before="0"/>
              <w:jc w:val="center"/>
              <w:rPr>
                <w:rFonts w:asciiTheme="minorHAnsi" w:hAnsiTheme="minorHAnsi" w:cs="Arial"/>
                <w:sz w:val="22"/>
                <w:szCs w:val="22"/>
                <w:lang w:val="en-US" w:eastAsia="zh-CN"/>
              </w:rPr>
            </w:pPr>
            <w:r w:rsidRPr="000C156A">
              <w:rPr>
                <w:rFonts w:asciiTheme="minorHAnsi" w:hAnsiTheme="minorHAnsi" w:cs="Arial"/>
                <w:sz w:val="22"/>
                <w:szCs w:val="22"/>
                <w:lang w:val="en-US" w:eastAsia="zh-CN"/>
              </w:rPr>
              <w:t> </w:t>
            </w:r>
          </w:p>
        </w:tc>
        <w:tc>
          <w:tcPr>
            <w:tcW w:w="1368" w:type="dxa"/>
            <w:tcBorders>
              <w:top w:val="nil"/>
              <w:left w:val="nil"/>
              <w:bottom w:val="single" w:sz="4" w:space="0" w:color="auto"/>
              <w:right w:val="single" w:sz="4" w:space="0" w:color="auto"/>
            </w:tcBorders>
            <w:noWrap/>
            <w:vAlign w:val="bottom"/>
            <w:hideMark/>
          </w:tcPr>
          <w:p w14:paraId="12CB7076" w14:textId="77777777" w:rsidR="00686EC7" w:rsidRPr="000C156A" w:rsidRDefault="00686EC7" w:rsidP="00141BAA">
            <w:pPr>
              <w:overflowPunct/>
              <w:autoSpaceDE/>
              <w:adjustRightInd/>
              <w:spacing w:before="0"/>
              <w:jc w:val="center"/>
              <w:rPr>
                <w:rFonts w:ascii="Arial" w:hAnsi="Arial" w:cs="Arial"/>
                <w:sz w:val="22"/>
                <w:szCs w:val="22"/>
                <w:lang w:val="en-US" w:eastAsia="zh-CN"/>
              </w:rPr>
            </w:pPr>
            <w:r w:rsidRPr="000C156A">
              <w:rPr>
                <w:rFonts w:ascii="Arial" w:hAnsi="Arial" w:cs="Arial"/>
                <w:sz w:val="22"/>
                <w:szCs w:val="22"/>
                <w:lang w:val="en-US" w:eastAsia="zh-CN"/>
              </w:rPr>
              <w:t> </w:t>
            </w:r>
          </w:p>
        </w:tc>
        <w:tc>
          <w:tcPr>
            <w:tcW w:w="1395" w:type="dxa"/>
            <w:tcBorders>
              <w:top w:val="nil"/>
              <w:left w:val="nil"/>
              <w:bottom w:val="single" w:sz="4" w:space="0" w:color="auto"/>
              <w:right w:val="single" w:sz="4" w:space="0" w:color="auto"/>
            </w:tcBorders>
            <w:noWrap/>
            <w:vAlign w:val="bottom"/>
            <w:hideMark/>
          </w:tcPr>
          <w:p w14:paraId="21A610FF" w14:textId="77777777" w:rsidR="00686EC7" w:rsidRPr="000C156A" w:rsidRDefault="00686EC7" w:rsidP="00141BAA">
            <w:pPr>
              <w:overflowPunct/>
              <w:autoSpaceDE/>
              <w:adjustRightInd/>
              <w:spacing w:before="0"/>
              <w:jc w:val="center"/>
              <w:rPr>
                <w:rFonts w:ascii="Arial" w:hAnsi="Arial" w:cs="Arial"/>
                <w:sz w:val="22"/>
                <w:szCs w:val="22"/>
                <w:lang w:val="en-US" w:eastAsia="zh-CN"/>
              </w:rPr>
            </w:pPr>
            <w:r w:rsidRPr="000C156A">
              <w:rPr>
                <w:rFonts w:ascii="Arial" w:hAnsi="Arial" w:cs="Arial"/>
                <w:sz w:val="22"/>
                <w:szCs w:val="22"/>
                <w:lang w:val="en-US" w:eastAsia="zh-CN"/>
              </w:rPr>
              <w:t> </w:t>
            </w:r>
          </w:p>
        </w:tc>
        <w:tc>
          <w:tcPr>
            <w:tcW w:w="1275" w:type="dxa"/>
            <w:tcBorders>
              <w:top w:val="nil"/>
              <w:left w:val="nil"/>
              <w:bottom w:val="single" w:sz="4" w:space="0" w:color="auto"/>
              <w:right w:val="single" w:sz="4" w:space="0" w:color="auto"/>
            </w:tcBorders>
            <w:noWrap/>
            <w:vAlign w:val="bottom"/>
            <w:hideMark/>
          </w:tcPr>
          <w:p w14:paraId="7AE6CDF7" w14:textId="77777777" w:rsidR="00686EC7" w:rsidRPr="000C156A" w:rsidRDefault="00686EC7" w:rsidP="00141BAA">
            <w:pPr>
              <w:overflowPunct/>
              <w:autoSpaceDE/>
              <w:adjustRightInd/>
              <w:spacing w:before="0"/>
              <w:jc w:val="center"/>
              <w:rPr>
                <w:rFonts w:ascii="Arial" w:hAnsi="Arial" w:cs="Arial"/>
                <w:sz w:val="22"/>
                <w:szCs w:val="22"/>
                <w:lang w:val="en-US" w:eastAsia="zh-CN"/>
              </w:rPr>
            </w:pPr>
            <w:r w:rsidRPr="000C156A">
              <w:rPr>
                <w:rFonts w:ascii="Arial" w:hAnsi="Arial" w:cs="Arial"/>
                <w:sz w:val="22"/>
                <w:szCs w:val="22"/>
                <w:lang w:val="en-US" w:eastAsia="zh-CN"/>
              </w:rPr>
              <w:t> </w:t>
            </w:r>
          </w:p>
        </w:tc>
      </w:tr>
      <w:tr w:rsidR="00686EC7" w:rsidRPr="000C156A" w14:paraId="5081E93E" w14:textId="77777777" w:rsidTr="00141BAA">
        <w:trPr>
          <w:trHeight w:val="263"/>
        </w:trPr>
        <w:tc>
          <w:tcPr>
            <w:tcW w:w="1071" w:type="dxa"/>
            <w:tcBorders>
              <w:top w:val="nil"/>
              <w:left w:val="single" w:sz="4" w:space="0" w:color="auto"/>
              <w:bottom w:val="single" w:sz="4" w:space="0" w:color="auto"/>
              <w:right w:val="single" w:sz="4" w:space="0" w:color="auto"/>
            </w:tcBorders>
            <w:noWrap/>
            <w:vAlign w:val="bottom"/>
            <w:hideMark/>
          </w:tcPr>
          <w:p w14:paraId="3FEAB3BF" w14:textId="77777777" w:rsidR="00686EC7" w:rsidRPr="000C156A" w:rsidRDefault="00686EC7" w:rsidP="00141BAA">
            <w:pPr>
              <w:overflowPunct/>
              <w:autoSpaceDE/>
              <w:adjustRightInd/>
              <w:spacing w:before="0"/>
              <w:jc w:val="center"/>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TLC 2014</w:t>
            </w:r>
          </w:p>
        </w:tc>
        <w:tc>
          <w:tcPr>
            <w:tcW w:w="1433" w:type="dxa"/>
            <w:tcBorders>
              <w:top w:val="nil"/>
              <w:left w:val="nil"/>
              <w:bottom w:val="single" w:sz="4" w:space="0" w:color="auto"/>
              <w:right w:val="single" w:sz="4" w:space="0" w:color="auto"/>
            </w:tcBorders>
            <w:noWrap/>
            <w:vAlign w:val="bottom"/>
            <w:hideMark/>
          </w:tcPr>
          <w:p w14:paraId="29FE6BC6"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hint="eastAsia"/>
                <w:color w:val="000000"/>
                <w:sz w:val="22"/>
                <w:szCs w:val="22"/>
                <w:lang w:val="en-US" w:eastAsia="zh-CN"/>
              </w:rPr>
              <w:t>刚果</w:t>
            </w:r>
          </w:p>
        </w:tc>
        <w:tc>
          <w:tcPr>
            <w:tcW w:w="3464" w:type="dxa"/>
            <w:tcBorders>
              <w:top w:val="nil"/>
              <w:left w:val="nil"/>
              <w:bottom w:val="single" w:sz="4" w:space="0" w:color="auto"/>
              <w:right w:val="single" w:sz="4" w:space="0" w:color="auto"/>
            </w:tcBorders>
            <w:noWrap/>
            <w:vAlign w:val="bottom"/>
            <w:hideMark/>
          </w:tcPr>
          <w:p w14:paraId="2079460D"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eastAsiaTheme="minorEastAsia" w:hAnsiTheme="minorHAnsi" w:hint="eastAsia"/>
                <w:sz w:val="22"/>
                <w:szCs w:val="22"/>
                <w:lang w:eastAsia="zh-CN"/>
              </w:rPr>
              <w:t>邮政部</w:t>
            </w:r>
          </w:p>
        </w:tc>
        <w:tc>
          <w:tcPr>
            <w:tcW w:w="1368" w:type="dxa"/>
            <w:tcBorders>
              <w:top w:val="nil"/>
              <w:left w:val="nil"/>
              <w:bottom w:val="single" w:sz="4" w:space="0" w:color="auto"/>
              <w:right w:val="single" w:sz="4" w:space="0" w:color="auto"/>
            </w:tcBorders>
            <w:noWrap/>
            <w:vAlign w:val="bottom"/>
            <w:hideMark/>
          </w:tcPr>
          <w:p w14:paraId="67812042" w14:textId="5D6A7E6C" w:rsidR="00686EC7" w:rsidRPr="000C156A" w:rsidRDefault="00686EC7" w:rsidP="00141BAA">
            <w:pPr>
              <w:overflowPunct/>
              <w:autoSpaceDE/>
              <w:adjustRightInd/>
              <w:spacing w:before="0"/>
              <w:jc w:val="right"/>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110</w:t>
            </w:r>
            <w:r w:rsidR="001A59E5" w:rsidRPr="000C156A">
              <w:rPr>
                <w:rFonts w:asciiTheme="minorHAnsi" w:hAnsiTheme="minorHAnsi"/>
                <w:color w:val="000000"/>
                <w:sz w:val="22"/>
                <w:szCs w:val="22"/>
                <w:lang w:val="en-US" w:eastAsia="zh-CN"/>
              </w:rPr>
              <w:t xml:space="preserve"> </w:t>
            </w:r>
            <w:r w:rsidRPr="000C156A">
              <w:rPr>
                <w:rFonts w:asciiTheme="minorHAnsi" w:hAnsiTheme="minorHAnsi"/>
                <w:color w:val="000000"/>
                <w:sz w:val="22"/>
                <w:szCs w:val="22"/>
                <w:lang w:val="en-US" w:eastAsia="zh-CN"/>
              </w:rPr>
              <w:t>000.00</w:t>
            </w:r>
          </w:p>
        </w:tc>
        <w:tc>
          <w:tcPr>
            <w:tcW w:w="1395" w:type="dxa"/>
            <w:tcBorders>
              <w:top w:val="nil"/>
              <w:left w:val="nil"/>
              <w:bottom w:val="single" w:sz="4" w:space="0" w:color="auto"/>
              <w:right w:val="single" w:sz="4" w:space="0" w:color="auto"/>
            </w:tcBorders>
            <w:noWrap/>
            <w:vAlign w:val="bottom"/>
            <w:hideMark/>
          </w:tcPr>
          <w:p w14:paraId="5FBF8560" w14:textId="77777777" w:rsidR="00686EC7" w:rsidRPr="000C156A" w:rsidRDefault="00686EC7" w:rsidP="00141BAA">
            <w:pPr>
              <w:overflowPunct/>
              <w:autoSpaceDE/>
              <w:adjustRightInd/>
              <w:spacing w:before="0"/>
              <w:jc w:val="right"/>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0.00</w:t>
            </w:r>
          </w:p>
        </w:tc>
        <w:tc>
          <w:tcPr>
            <w:tcW w:w="1275" w:type="dxa"/>
            <w:tcBorders>
              <w:top w:val="nil"/>
              <w:left w:val="nil"/>
              <w:bottom w:val="single" w:sz="4" w:space="0" w:color="auto"/>
              <w:right w:val="single" w:sz="4" w:space="0" w:color="auto"/>
            </w:tcBorders>
            <w:noWrap/>
            <w:vAlign w:val="bottom"/>
            <w:hideMark/>
          </w:tcPr>
          <w:p w14:paraId="516CA850" w14:textId="2B87844D" w:rsidR="00686EC7" w:rsidRPr="000C156A" w:rsidRDefault="00686EC7" w:rsidP="00141BAA">
            <w:pPr>
              <w:overflowPunct/>
              <w:autoSpaceDE/>
              <w:adjustRightInd/>
              <w:spacing w:before="0"/>
              <w:jc w:val="right"/>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110</w:t>
            </w:r>
            <w:r w:rsidR="001A59E5" w:rsidRPr="000C156A">
              <w:rPr>
                <w:rFonts w:asciiTheme="minorHAnsi" w:hAnsiTheme="minorHAnsi"/>
                <w:color w:val="000000"/>
                <w:sz w:val="22"/>
                <w:szCs w:val="22"/>
                <w:lang w:val="en-US" w:eastAsia="zh-CN"/>
              </w:rPr>
              <w:t xml:space="preserve"> </w:t>
            </w:r>
            <w:r w:rsidRPr="000C156A">
              <w:rPr>
                <w:rFonts w:asciiTheme="minorHAnsi" w:hAnsiTheme="minorHAnsi"/>
                <w:color w:val="000000"/>
                <w:sz w:val="22"/>
                <w:szCs w:val="22"/>
                <w:lang w:val="en-US" w:eastAsia="zh-CN"/>
              </w:rPr>
              <w:t>000.00</w:t>
            </w:r>
          </w:p>
        </w:tc>
      </w:tr>
      <w:tr w:rsidR="00686EC7" w:rsidRPr="000C156A" w14:paraId="7153F6D1" w14:textId="77777777" w:rsidTr="00141BAA">
        <w:trPr>
          <w:trHeight w:val="263"/>
        </w:trPr>
        <w:tc>
          <w:tcPr>
            <w:tcW w:w="1071" w:type="dxa"/>
            <w:tcBorders>
              <w:top w:val="nil"/>
              <w:left w:val="single" w:sz="4" w:space="0" w:color="auto"/>
              <w:bottom w:val="single" w:sz="4" w:space="0" w:color="auto"/>
              <w:right w:val="single" w:sz="4" w:space="0" w:color="auto"/>
            </w:tcBorders>
            <w:noWrap/>
            <w:vAlign w:val="bottom"/>
            <w:hideMark/>
          </w:tcPr>
          <w:p w14:paraId="22DDC3BF" w14:textId="77777777" w:rsidR="00686EC7" w:rsidRPr="000C156A" w:rsidRDefault="00686EC7" w:rsidP="00141BAA">
            <w:pPr>
              <w:overflowPunct/>
              <w:autoSpaceDE/>
              <w:adjustRightInd/>
              <w:spacing w:before="0"/>
              <w:jc w:val="center"/>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433" w:type="dxa"/>
            <w:tcBorders>
              <w:top w:val="nil"/>
              <w:left w:val="nil"/>
              <w:bottom w:val="single" w:sz="4" w:space="0" w:color="auto"/>
              <w:right w:val="single" w:sz="4" w:space="0" w:color="auto"/>
            </w:tcBorders>
            <w:noWrap/>
            <w:vAlign w:val="bottom"/>
            <w:hideMark/>
          </w:tcPr>
          <w:p w14:paraId="30AB3028"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3464" w:type="dxa"/>
            <w:tcBorders>
              <w:top w:val="nil"/>
              <w:left w:val="nil"/>
              <w:bottom w:val="single" w:sz="4" w:space="0" w:color="auto"/>
              <w:right w:val="single" w:sz="4" w:space="0" w:color="auto"/>
            </w:tcBorders>
            <w:noWrap/>
            <w:vAlign w:val="bottom"/>
            <w:hideMark/>
          </w:tcPr>
          <w:p w14:paraId="32634A18"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368" w:type="dxa"/>
            <w:tcBorders>
              <w:top w:val="nil"/>
              <w:left w:val="nil"/>
              <w:bottom w:val="single" w:sz="4" w:space="0" w:color="auto"/>
              <w:right w:val="single" w:sz="4" w:space="0" w:color="auto"/>
            </w:tcBorders>
            <w:noWrap/>
            <w:vAlign w:val="bottom"/>
            <w:hideMark/>
          </w:tcPr>
          <w:p w14:paraId="261E5336"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395" w:type="dxa"/>
            <w:tcBorders>
              <w:top w:val="nil"/>
              <w:left w:val="nil"/>
              <w:bottom w:val="single" w:sz="4" w:space="0" w:color="auto"/>
              <w:right w:val="single" w:sz="4" w:space="0" w:color="auto"/>
            </w:tcBorders>
            <w:noWrap/>
            <w:vAlign w:val="bottom"/>
            <w:hideMark/>
          </w:tcPr>
          <w:p w14:paraId="746B05F2"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275" w:type="dxa"/>
            <w:tcBorders>
              <w:top w:val="nil"/>
              <w:left w:val="nil"/>
              <w:bottom w:val="single" w:sz="4" w:space="0" w:color="auto"/>
              <w:right w:val="single" w:sz="4" w:space="0" w:color="auto"/>
            </w:tcBorders>
            <w:noWrap/>
            <w:vAlign w:val="bottom"/>
            <w:hideMark/>
          </w:tcPr>
          <w:p w14:paraId="48D0121E"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r>
      <w:tr w:rsidR="00686EC7" w:rsidRPr="000C156A" w14:paraId="517FA71D" w14:textId="77777777" w:rsidTr="00141BAA">
        <w:trPr>
          <w:trHeight w:val="263"/>
        </w:trPr>
        <w:tc>
          <w:tcPr>
            <w:tcW w:w="1071" w:type="dxa"/>
            <w:tcBorders>
              <w:top w:val="nil"/>
              <w:left w:val="single" w:sz="4" w:space="0" w:color="auto"/>
              <w:bottom w:val="single" w:sz="4" w:space="0" w:color="auto"/>
              <w:right w:val="single" w:sz="4" w:space="0" w:color="auto"/>
            </w:tcBorders>
            <w:noWrap/>
            <w:vAlign w:val="bottom"/>
            <w:hideMark/>
          </w:tcPr>
          <w:p w14:paraId="3D309BAC" w14:textId="77777777" w:rsidR="00686EC7" w:rsidRPr="000C156A" w:rsidRDefault="00686EC7" w:rsidP="00141BAA">
            <w:pPr>
              <w:overflowPunct/>
              <w:autoSpaceDE/>
              <w:adjustRightInd/>
              <w:spacing w:before="0"/>
              <w:jc w:val="center"/>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TLC 2014</w:t>
            </w:r>
          </w:p>
        </w:tc>
        <w:tc>
          <w:tcPr>
            <w:tcW w:w="1433" w:type="dxa"/>
            <w:tcBorders>
              <w:top w:val="nil"/>
              <w:left w:val="nil"/>
              <w:bottom w:val="single" w:sz="4" w:space="0" w:color="auto"/>
              <w:right w:val="single" w:sz="4" w:space="0" w:color="auto"/>
            </w:tcBorders>
            <w:noWrap/>
            <w:vAlign w:val="bottom"/>
            <w:hideMark/>
          </w:tcPr>
          <w:p w14:paraId="0CD0F71F"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3464" w:type="dxa"/>
            <w:tcBorders>
              <w:top w:val="nil"/>
              <w:left w:val="nil"/>
              <w:bottom w:val="single" w:sz="4" w:space="0" w:color="auto"/>
              <w:right w:val="single" w:sz="4" w:space="0" w:color="auto"/>
            </w:tcBorders>
            <w:noWrap/>
            <w:vAlign w:val="bottom"/>
            <w:hideMark/>
          </w:tcPr>
          <w:p w14:paraId="47A50760"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368" w:type="dxa"/>
            <w:tcBorders>
              <w:top w:val="nil"/>
              <w:left w:val="nil"/>
              <w:bottom w:val="single" w:sz="4" w:space="0" w:color="auto"/>
              <w:right w:val="single" w:sz="4" w:space="0" w:color="auto"/>
            </w:tcBorders>
            <w:noWrap/>
            <w:vAlign w:val="bottom"/>
            <w:hideMark/>
          </w:tcPr>
          <w:p w14:paraId="2118C0AC"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395" w:type="dxa"/>
            <w:tcBorders>
              <w:top w:val="nil"/>
              <w:left w:val="nil"/>
              <w:bottom w:val="single" w:sz="4" w:space="0" w:color="auto"/>
              <w:right w:val="single" w:sz="4" w:space="0" w:color="auto"/>
            </w:tcBorders>
            <w:noWrap/>
            <w:vAlign w:val="bottom"/>
            <w:hideMark/>
          </w:tcPr>
          <w:p w14:paraId="4DA4554F" w14:textId="77777777" w:rsidR="00686EC7" w:rsidRPr="000C156A" w:rsidRDefault="00686EC7" w:rsidP="00141BAA">
            <w:pPr>
              <w:overflowPunct/>
              <w:autoSpaceDE/>
              <w:adjustRightInd/>
              <w:spacing w:before="0"/>
              <w:rPr>
                <w:rFonts w:asciiTheme="minorHAnsi" w:hAnsiTheme="minorHAnsi" w:cs="Arial"/>
                <w:b/>
                <w:bCs/>
                <w:sz w:val="22"/>
                <w:szCs w:val="22"/>
                <w:lang w:val="en-US" w:eastAsia="zh-CN"/>
              </w:rPr>
            </w:pPr>
            <w:r w:rsidRPr="000C156A">
              <w:rPr>
                <w:rFonts w:asciiTheme="minorHAnsi" w:hAnsiTheme="minorHAnsi" w:cs="Arial"/>
                <w:b/>
                <w:bCs/>
                <w:sz w:val="22"/>
                <w:szCs w:val="22"/>
                <w:lang w:val="en-US" w:eastAsia="zh-CN"/>
              </w:rPr>
              <w:t> </w:t>
            </w:r>
          </w:p>
        </w:tc>
        <w:tc>
          <w:tcPr>
            <w:tcW w:w="1275" w:type="dxa"/>
            <w:tcBorders>
              <w:top w:val="nil"/>
              <w:left w:val="nil"/>
              <w:bottom w:val="single" w:sz="4" w:space="0" w:color="auto"/>
              <w:right w:val="single" w:sz="4" w:space="0" w:color="auto"/>
            </w:tcBorders>
            <w:noWrap/>
            <w:vAlign w:val="bottom"/>
            <w:hideMark/>
          </w:tcPr>
          <w:p w14:paraId="346994D6" w14:textId="2302ADBE" w:rsidR="00686EC7" w:rsidRPr="000C156A" w:rsidRDefault="00686EC7" w:rsidP="00141BAA">
            <w:pPr>
              <w:overflowPunct/>
              <w:autoSpaceDE/>
              <w:adjustRightInd/>
              <w:spacing w:before="0"/>
              <w:jc w:val="right"/>
              <w:rPr>
                <w:rFonts w:asciiTheme="minorHAnsi" w:hAnsiTheme="minorHAnsi" w:cs="Arial"/>
                <w:b/>
                <w:bCs/>
                <w:sz w:val="22"/>
                <w:szCs w:val="22"/>
                <w:lang w:val="en-US" w:eastAsia="zh-CN"/>
              </w:rPr>
            </w:pPr>
            <w:r w:rsidRPr="000C156A">
              <w:rPr>
                <w:rFonts w:asciiTheme="minorHAnsi" w:hAnsiTheme="minorHAnsi" w:cs="Arial"/>
                <w:b/>
                <w:bCs/>
                <w:sz w:val="22"/>
                <w:szCs w:val="22"/>
                <w:lang w:val="en-US" w:eastAsia="zh-CN"/>
              </w:rPr>
              <w:t>110</w:t>
            </w:r>
            <w:r w:rsidR="001A59E5" w:rsidRPr="000C156A">
              <w:rPr>
                <w:rFonts w:asciiTheme="minorHAnsi" w:hAnsiTheme="minorHAnsi" w:cs="Arial"/>
                <w:b/>
                <w:bCs/>
                <w:sz w:val="22"/>
                <w:szCs w:val="22"/>
                <w:lang w:val="en-US" w:eastAsia="zh-CN"/>
              </w:rPr>
              <w:t xml:space="preserve"> </w:t>
            </w:r>
            <w:r w:rsidRPr="000C156A">
              <w:rPr>
                <w:rFonts w:asciiTheme="minorHAnsi" w:hAnsiTheme="minorHAnsi" w:cs="Arial"/>
                <w:b/>
                <w:bCs/>
                <w:sz w:val="22"/>
                <w:szCs w:val="22"/>
                <w:lang w:val="en-US" w:eastAsia="zh-CN"/>
              </w:rPr>
              <w:t>000.00</w:t>
            </w:r>
          </w:p>
        </w:tc>
      </w:tr>
    </w:tbl>
    <w:p w14:paraId="293AE76B" w14:textId="77777777" w:rsidR="00686EC7" w:rsidRPr="000C156A" w:rsidRDefault="00686EC7" w:rsidP="00686EC7">
      <w:pPr>
        <w:rPr>
          <w:sz w:val="22"/>
          <w:szCs w:val="22"/>
        </w:rPr>
      </w:pPr>
    </w:p>
    <w:tbl>
      <w:tblPr>
        <w:tblW w:w="10006" w:type="dxa"/>
        <w:tblInd w:w="137" w:type="dxa"/>
        <w:tblLook w:val="04A0" w:firstRow="1" w:lastRow="0" w:firstColumn="1" w:lastColumn="0" w:noHBand="0" w:noVBand="1"/>
      </w:tblPr>
      <w:tblGrid>
        <w:gridCol w:w="1071"/>
        <w:gridCol w:w="1433"/>
        <w:gridCol w:w="3464"/>
        <w:gridCol w:w="1368"/>
        <w:gridCol w:w="1395"/>
        <w:gridCol w:w="1275"/>
      </w:tblGrid>
      <w:tr w:rsidR="00686EC7" w:rsidRPr="000C156A" w14:paraId="46E21A62" w14:textId="77777777" w:rsidTr="00141BAA">
        <w:trPr>
          <w:trHeight w:val="448"/>
        </w:trPr>
        <w:tc>
          <w:tcPr>
            <w:tcW w:w="1071" w:type="dxa"/>
            <w:tcBorders>
              <w:top w:val="single" w:sz="4" w:space="0" w:color="auto"/>
              <w:left w:val="single" w:sz="4" w:space="0" w:color="auto"/>
              <w:bottom w:val="single" w:sz="4" w:space="0" w:color="auto"/>
              <w:right w:val="single" w:sz="4" w:space="0" w:color="auto"/>
            </w:tcBorders>
            <w:hideMark/>
          </w:tcPr>
          <w:p w14:paraId="53CCAC37"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活动</w:t>
            </w:r>
          </w:p>
        </w:tc>
        <w:tc>
          <w:tcPr>
            <w:tcW w:w="1433" w:type="dxa"/>
            <w:tcBorders>
              <w:top w:val="single" w:sz="4" w:space="0" w:color="auto"/>
              <w:left w:val="nil"/>
              <w:bottom w:val="single" w:sz="4" w:space="0" w:color="auto"/>
              <w:right w:val="single" w:sz="4" w:space="0" w:color="auto"/>
            </w:tcBorders>
            <w:hideMark/>
          </w:tcPr>
          <w:p w14:paraId="6DF7AA98"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国家</w:t>
            </w:r>
          </w:p>
        </w:tc>
        <w:tc>
          <w:tcPr>
            <w:tcW w:w="3464" w:type="dxa"/>
            <w:tcBorders>
              <w:top w:val="single" w:sz="4" w:space="0" w:color="auto"/>
              <w:left w:val="nil"/>
              <w:bottom w:val="single" w:sz="4" w:space="0" w:color="auto"/>
              <w:right w:val="single" w:sz="4" w:space="0" w:color="auto"/>
            </w:tcBorders>
            <w:hideMark/>
          </w:tcPr>
          <w:p w14:paraId="515889A5"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公司</w:t>
            </w:r>
          </w:p>
        </w:tc>
        <w:tc>
          <w:tcPr>
            <w:tcW w:w="1368" w:type="dxa"/>
            <w:tcBorders>
              <w:top w:val="single" w:sz="4" w:space="0" w:color="auto"/>
              <w:left w:val="nil"/>
              <w:bottom w:val="single" w:sz="4" w:space="0" w:color="auto"/>
              <w:right w:val="single" w:sz="4" w:space="0" w:color="auto"/>
            </w:tcBorders>
            <w:hideMark/>
          </w:tcPr>
          <w:p w14:paraId="4CA565AB"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发票金额</w:t>
            </w:r>
          </w:p>
        </w:tc>
        <w:tc>
          <w:tcPr>
            <w:tcW w:w="1395" w:type="dxa"/>
            <w:tcBorders>
              <w:top w:val="single" w:sz="4" w:space="0" w:color="auto"/>
              <w:left w:val="nil"/>
              <w:bottom w:val="single" w:sz="4" w:space="0" w:color="auto"/>
              <w:right w:val="single" w:sz="4" w:space="0" w:color="auto"/>
            </w:tcBorders>
            <w:hideMark/>
          </w:tcPr>
          <w:p w14:paraId="003A2C17"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收到付款</w:t>
            </w:r>
          </w:p>
        </w:tc>
        <w:tc>
          <w:tcPr>
            <w:tcW w:w="1275" w:type="dxa"/>
            <w:tcBorders>
              <w:top w:val="single" w:sz="4" w:space="0" w:color="auto"/>
              <w:left w:val="nil"/>
              <w:bottom w:val="single" w:sz="4" w:space="0" w:color="auto"/>
              <w:right w:val="single" w:sz="4" w:space="0" w:color="auto"/>
            </w:tcBorders>
            <w:hideMark/>
          </w:tcPr>
          <w:p w14:paraId="52BA0F19"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欠款金额</w:t>
            </w:r>
          </w:p>
        </w:tc>
      </w:tr>
      <w:tr w:rsidR="00686EC7" w:rsidRPr="000C156A" w14:paraId="21CF0644" w14:textId="77777777" w:rsidTr="00141BAA">
        <w:trPr>
          <w:trHeight w:val="263"/>
        </w:trPr>
        <w:tc>
          <w:tcPr>
            <w:tcW w:w="1071" w:type="dxa"/>
            <w:tcBorders>
              <w:top w:val="nil"/>
              <w:left w:val="single" w:sz="4" w:space="0" w:color="auto"/>
              <w:bottom w:val="single" w:sz="4" w:space="0" w:color="auto"/>
              <w:right w:val="single" w:sz="4" w:space="0" w:color="auto"/>
            </w:tcBorders>
            <w:noWrap/>
            <w:vAlign w:val="bottom"/>
            <w:hideMark/>
          </w:tcPr>
          <w:p w14:paraId="6B1B03D5" w14:textId="77777777" w:rsidR="00686EC7" w:rsidRPr="000C156A" w:rsidRDefault="00686EC7" w:rsidP="00141BAA">
            <w:pPr>
              <w:overflowPunct/>
              <w:autoSpaceDE/>
              <w:adjustRightInd/>
              <w:spacing w:before="0"/>
              <w:jc w:val="center"/>
              <w:rPr>
                <w:rFonts w:asciiTheme="minorHAnsi" w:hAnsiTheme="minorHAnsi" w:cs="Arial"/>
                <w:b/>
                <w:bCs/>
                <w:sz w:val="22"/>
                <w:szCs w:val="22"/>
                <w:lang w:val="en-US" w:eastAsia="zh-CN"/>
              </w:rPr>
            </w:pPr>
            <w:r w:rsidRPr="000C156A">
              <w:rPr>
                <w:rFonts w:asciiTheme="minorHAnsi" w:hAnsiTheme="minorHAnsi" w:cs="Arial"/>
                <w:b/>
                <w:bCs/>
                <w:sz w:val="22"/>
                <w:szCs w:val="22"/>
                <w:lang w:val="en-US" w:eastAsia="zh-CN"/>
              </w:rPr>
              <w:t> </w:t>
            </w:r>
          </w:p>
        </w:tc>
        <w:tc>
          <w:tcPr>
            <w:tcW w:w="1433" w:type="dxa"/>
            <w:tcBorders>
              <w:top w:val="nil"/>
              <w:left w:val="nil"/>
              <w:bottom w:val="single" w:sz="4" w:space="0" w:color="auto"/>
              <w:right w:val="single" w:sz="4" w:space="0" w:color="auto"/>
            </w:tcBorders>
            <w:noWrap/>
            <w:vAlign w:val="bottom"/>
            <w:hideMark/>
          </w:tcPr>
          <w:p w14:paraId="066EE13E" w14:textId="77777777" w:rsidR="00686EC7" w:rsidRPr="000C156A" w:rsidRDefault="00686EC7" w:rsidP="00141BAA">
            <w:pPr>
              <w:overflowPunct/>
              <w:autoSpaceDE/>
              <w:adjustRightInd/>
              <w:spacing w:before="0"/>
              <w:jc w:val="center"/>
              <w:rPr>
                <w:rFonts w:asciiTheme="minorHAnsi" w:hAnsiTheme="minorHAnsi" w:cs="Arial"/>
                <w:b/>
                <w:bCs/>
                <w:sz w:val="22"/>
                <w:szCs w:val="22"/>
                <w:lang w:val="en-US" w:eastAsia="zh-CN"/>
              </w:rPr>
            </w:pPr>
            <w:r w:rsidRPr="000C156A">
              <w:rPr>
                <w:rFonts w:asciiTheme="minorHAnsi" w:hAnsiTheme="minorHAnsi" w:cs="Arial"/>
                <w:b/>
                <w:bCs/>
                <w:sz w:val="22"/>
                <w:szCs w:val="22"/>
                <w:lang w:val="en-US" w:eastAsia="zh-CN"/>
              </w:rPr>
              <w:t> </w:t>
            </w:r>
          </w:p>
        </w:tc>
        <w:tc>
          <w:tcPr>
            <w:tcW w:w="3464" w:type="dxa"/>
            <w:tcBorders>
              <w:top w:val="nil"/>
              <w:left w:val="nil"/>
              <w:bottom w:val="single" w:sz="4" w:space="0" w:color="auto"/>
              <w:right w:val="single" w:sz="4" w:space="0" w:color="auto"/>
            </w:tcBorders>
            <w:noWrap/>
            <w:vAlign w:val="bottom"/>
            <w:hideMark/>
          </w:tcPr>
          <w:p w14:paraId="66C3B980" w14:textId="77777777" w:rsidR="00686EC7" w:rsidRPr="000C156A" w:rsidRDefault="00686EC7" w:rsidP="00141BAA">
            <w:pPr>
              <w:overflowPunct/>
              <w:autoSpaceDE/>
              <w:adjustRightInd/>
              <w:spacing w:before="0"/>
              <w:jc w:val="center"/>
              <w:rPr>
                <w:rFonts w:asciiTheme="minorHAnsi" w:hAnsiTheme="minorHAnsi" w:cs="Arial"/>
                <w:sz w:val="22"/>
                <w:szCs w:val="22"/>
                <w:lang w:val="en-US" w:eastAsia="zh-CN"/>
              </w:rPr>
            </w:pPr>
            <w:r w:rsidRPr="000C156A">
              <w:rPr>
                <w:rFonts w:asciiTheme="minorHAnsi" w:hAnsiTheme="minorHAnsi" w:cs="Arial"/>
                <w:sz w:val="22"/>
                <w:szCs w:val="22"/>
                <w:lang w:val="en-US" w:eastAsia="zh-CN"/>
              </w:rPr>
              <w:t> </w:t>
            </w:r>
          </w:p>
        </w:tc>
        <w:tc>
          <w:tcPr>
            <w:tcW w:w="1368" w:type="dxa"/>
            <w:tcBorders>
              <w:top w:val="nil"/>
              <w:left w:val="nil"/>
              <w:bottom w:val="single" w:sz="4" w:space="0" w:color="auto"/>
              <w:right w:val="single" w:sz="4" w:space="0" w:color="auto"/>
            </w:tcBorders>
            <w:noWrap/>
            <w:vAlign w:val="bottom"/>
            <w:hideMark/>
          </w:tcPr>
          <w:p w14:paraId="7DB04341" w14:textId="77777777" w:rsidR="00686EC7" w:rsidRPr="000C156A" w:rsidRDefault="00686EC7" w:rsidP="00141BAA">
            <w:pPr>
              <w:overflowPunct/>
              <w:autoSpaceDE/>
              <w:adjustRightInd/>
              <w:spacing w:before="0"/>
              <w:jc w:val="center"/>
              <w:rPr>
                <w:rFonts w:ascii="Arial" w:hAnsi="Arial" w:cs="Arial"/>
                <w:sz w:val="22"/>
                <w:szCs w:val="22"/>
                <w:lang w:val="en-US" w:eastAsia="zh-CN"/>
              </w:rPr>
            </w:pPr>
            <w:r w:rsidRPr="000C156A">
              <w:rPr>
                <w:rFonts w:ascii="Arial" w:hAnsi="Arial" w:cs="Arial"/>
                <w:sz w:val="22"/>
                <w:szCs w:val="22"/>
                <w:lang w:val="en-US" w:eastAsia="zh-CN"/>
              </w:rPr>
              <w:t> </w:t>
            </w:r>
          </w:p>
        </w:tc>
        <w:tc>
          <w:tcPr>
            <w:tcW w:w="1395" w:type="dxa"/>
            <w:tcBorders>
              <w:top w:val="nil"/>
              <w:left w:val="nil"/>
              <w:bottom w:val="single" w:sz="4" w:space="0" w:color="auto"/>
              <w:right w:val="single" w:sz="4" w:space="0" w:color="auto"/>
            </w:tcBorders>
            <w:noWrap/>
            <w:vAlign w:val="bottom"/>
            <w:hideMark/>
          </w:tcPr>
          <w:p w14:paraId="6E111A0F" w14:textId="77777777" w:rsidR="00686EC7" w:rsidRPr="000C156A" w:rsidRDefault="00686EC7" w:rsidP="00141BAA">
            <w:pPr>
              <w:overflowPunct/>
              <w:autoSpaceDE/>
              <w:adjustRightInd/>
              <w:spacing w:before="0"/>
              <w:jc w:val="center"/>
              <w:rPr>
                <w:rFonts w:ascii="Arial" w:hAnsi="Arial" w:cs="Arial"/>
                <w:sz w:val="22"/>
                <w:szCs w:val="22"/>
                <w:lang w:val="en-US" w:eastAsia="zh-CN"/>
              </w:rPr>
            </w:pPr>
            <w:r w:rsidRPr="000C156A">
              <w:rPr>
                <w:rFonts w:ascii="Arial" w:hAnsi="Arial" w:cs="Arial"/>
                <w:sz w:val="22"/>
                <w:szCs w:val="22"/>
                <w:lang w:val="en-US" w:eastAsia="zh-CN"/>
              </w:rPr>
              <w:t> </w:t>
            </w:r>
          </w:p>
        </w:tc>
        <w:tc>
          <w:tcPr>
            <w:tcW w:w="1275" w:type="dxa"/>
            <w:tcBorders>
              <w:top w:val="nil"/>
              <w:left w:val="nil"/>
              <w:bottom w:val="single" w:sz="4" w:space="0" w:color="auto"/>
              <w:right w:val="single" w:sz="4" w:space="0" w:color="auto"/>
            </w:tcBorders>
            <w:noWrap/>
            <w:vAlign w:val="bottom"/>
            <w:hideMark/>
          </w:tcPr>
          <w:p w14:paraId="21219E9F" w14:textId="77777777" w:rsidR="00686EC7" w:rsidRPr="000C156A" w:rsidRDefault="00686EC7" w:rsidP="00141BAA">
            <w:pPr>
              <w:overflowPunct/>
              <w:autoSpaceDE/>
              <w:adjustRightInd/>
              <w:spacing w:before="0"/>
              <w:jc w:val="center"/>
              <w:rPr>
                <w:rFonts w:ascii="Arial" w:hAnsi="Arial" w:cs="Arial"/>
                <w:sz w:val="22"/>
                <w:szCs w:val="22"/>
                <w:lang w:val="en-US" w:eastAsia="zh-CN"/>
              </w:rPr>
            </w:pPr>
            <w:r w:rsidRPr="000C156A">
              <w:rPr>
                <w:rFonts w:ascii="Arial" w:hAnsi="Arial" w:cs="Arial"/>
                <w:sz w:val="22"/>
                <w:szCs w:val="22"/>
                <w:lang w:val="en-US" w:eastAsia="zh-CN"/>
              </w:rPr>
              <w:t> </w:t>
            </w:r>
          </w:p>
        </w:tc>
      </w:tr>
      <w:tr w:rsidR="00686EC7" w:rsidRPr="000C156A" w14:paraId="4D1312BA" w14:textId="77777777" w:rsidTr="00141BAA">
        <w:trPr>
          <w:trHeight w:val="263"/>
        </w:trPr>
        <w:tc>
          <w:tcPr>
            <w:tcW w:w="1071" w:type="dxa"/>
            <w:tcBorders>
              <w:top w:val="nil"/>
              <w:left w:val="single" w:sz="4" w:space="0" w:color="auto"/>
              <w:bottom w:val="single" w:sz="4" w:space="0" w:color="auto"/>
              <w:right w:val="single" w:sz="4" w:space="0" w:color="auto"/>
            </w:tcBorders>
            <w:noWrap/>
            <w:vAlign w:val="bottom"/>
            <w:hideMark/>
          </w:tcPr>
          <w:p w14:paraId="1E3023A4" w14:textId="77777777" w:rsidR="00686EC7" w:rsidRPr="000C156A" w:rsidRDefault="00686EC7" w:rsidP="00141BAA">
            <w:pPr>
              <w:overflowPunct/>
              <w:autoSpaceDE/>
              <w:adjustRightInd/>
              <w:spacing w:before="0"/>
              <w:jc w:val="center"/>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TLC 2015</w:t>
            </w:r>
          </w:p>
        </w:tc>
        <w:tc>
          <w:tcPr>
            <w:tcW w:w="1433" w:type="dxa"/>
            <w:tcBorders>
              <w:top w:val="nil"/>
              <w:left w:val="nil"/>
              <w:bottom w:val="single" w:sz="4" w:space="0" w:color="auto"/>
              <w:right w:val="single" w:sz="4" w:space="0" w:color="auto"/>
            </w:tcBorders>
            <w:noWrap/>
            <w:vAlign w:val="bottom"/>
            <w:hideMark/>
          </w:tcPr>
          <w:p w14:paraId="37D40240" w14:textId="77777777" w:rsidR="00686EC7" w:rsidRPr="000C156A" w:rsidRDefault="00686EC7" w:rsidP="00141BAA">
            <w:pPr>
              <w:overflowPunct/>
              <w:autoSpaceDE/>
              <w:adjustRightInd/>
              <w:spacing w:before="0"/>
              <w:rPr>
                <w:rFonts w:asciiTheme="minorHAnsi" w:eastAsiaTheme="minorEastAsia" w:hAnsiTheme="minorHAnsi"/>
                <w:color w:val="000000"/>
                <w:sz w:val="22"/>
                <w:szCs w:val="22"/>
                <w:lang w:val="en-US" w:eastAsia="zh-CN"/>
              </w:rPr>
            </w:pPr>
            <w:r w:rsidRPr="000C156A">
              <w:rPr>
                <w:rFonts w:hint="eastAsia"/>
                <w:color w:val="000000"/>
                <w:sz w:val="22"/>
                <w:szCs w:val="22"/>
              </w:rPr>
              <w:t>斯里兰卡</w:t>
            </w:r>
          </w:p>
        </w:tc>
        <w:tc>
          <w:tcPr>
            <w:tcW w:w="3464" w:type="dxa"/>
            <w:tcBorders>
              <w:top w:val="nil"/>
              <w:left w:val="nil"/>
              <w:bottom w:val="single" w:sz="4" w:space="0" w:color="auto"/>
              <w:right w:val="single" w:sz="4" w:space="0" w:color="auto"/>
            </w:tcBorders>
            <w:noWrap/>
            <w:vAlign w:val="bottom"/>
            <w:hideMark/>
          </w:tcPr>
          <w:p w14:paraId="5B672984"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color w:val="000000"/>
                <w:sz w:val="22"/>
                <w:szCs w:val="22"/>
              </w:rPr>
              <w:t>Negete Private Ltd.</w:t>
            </w:r>
          </w:p>
        </w:tc>
        <w:tc>
          <w:tcPr>
            <w:tcW w:w="1368" w:type="dxa"/>
            <w:tcBorders>
              <w:top w:val="nil"/>
              <w:left w:val="nil"/>
              <w:bottom w:val="single" w:sz="4" w:space="0" w:color="auto"/>
              <w:right w:val="single" w:sz="4" w:space="0" w:color="auto"/>
            </w:tcBorders>
            <w:noWrap/>
            <w:vAlign w:val="bottom"/>
            <w:hideMark/>
          </w:tcPr>
          <w:p w14:paraId="1FB085BF" w14:textId="665C4489" w:rsidR="00686EC7" w:rsidRPr="000C156A" w:rsidRDefault="00686EC7" w:rsidP="00141BAA">
            <w:pPr>
              <w:overflowPunct/>
              <w:autoSpaceDE/>
              <w:adjustRightInd/>
              <w:spacing w:before="0"/>
              <w:jc w:val="right"/>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1</w:t>
            </w:r>
            <w:r w:rsidR="001A59E5" w:rsidRPr="000C156A">
              <w:rPr>
                <w:rFonts w:asciiTheme="minorHAnsi" w:hAnsiTheme="minorHAnsi"/>
                <w:color w:val="000000"/>
                <w:sz w:val="22"/>
                <w:szCs w:val="22"/>
                <w:lang w:val="en-US" w:eastAsia="zh-CN"/>
              </w:rPr>
              <w:t xml:space="preserve"> </w:t>
            </w:r>
            <w:r w:rsidRPr="000C156A">
              <w:rPr>
                <w:rFonts w:asciiTheme="minorHAnsi" w:hAnsiTheme="minorHAnsi"/>
                <w:color w:val="000000"/>
                <w:sz w:val="22"/>
                <w:szCs w:val="22"/>
                <w:lang w:val="en-US" w:eastAsia="zh-CN"/>
              </w:rPr>
              <w:t>200.00</w:t>
            </w:r>
          </w:p>
        </w:tc>
        <w:tc>
          <w:tcPr>
            <w:tcW w:w="1395" w:type="dxa"/>
            <w:tcBorders>
              <w:top w:val="nil"/>
              <w:left w:val="nil"/>
              <w:bottom w:val="single" w:sz="4" w:space="0" w:color="auto"/>
              <w:right w:val="single" w:sz="4" w:space="0" w:color="auto"/>
            </w:tcBorders>
            <w:noWrap/>
            <w:vAlign w:val="bottom"/>
            <w:hideMark/>
          </w:tcPr>
          <w:p w14:paraId="5207AD3A" w14:textId="77777777" w:rsidR="00686EC7" w:rsidRPr="000C156A" w:rsidRDefault="00686EC7" w:rsidP="00141BAA">
            <w:pPr>
              <w:overflowPunct/>
              <w:autoSpaceDE/>
              <w:adjustRightInd/>
              <w:spacing w:before="0"/>
              <w:jc w:val="right"/>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0.00</w:t>
            </w:r>
          </w:p>
        </w:tc>
        <w:tc>
          <w:tcPr>
            <w:tcW w:w="1275" w:type="dxa"/>
            <w:tcBorders>
              <w:top w:val="nil"/>
              <w:left w:val="nil"/>
              <w:bottom w:val="single" w:sz="4" w:space="0" w:color="auto"/>
              <w:right w:val="single" w:sz="4" w:space="0" w:color="auto"/>
            </w:tcBorders>
            <w:noWrap/>
            <w:vAlign w:val="bottom"/>
            <w:hideMark/>
          </w:tcPr>
          <w:p w14:paraId="0B8D76CB" w14:textId="4C43AC7A" w:rsidR="00686EC7" w:rsidRPr="000C156A" w:rsidRDefault="00686EC7" w:rsidP="00141BAA">
            <w:pPr>
              <w:overflowPunct/>
              <w:autoSpaceDE/>
              <w:adjustRightInd/>
              <w:spacing w:before="0"/>
              <w:jc w:val="right"/>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1</w:t>
            </w:r>
            <w:r w:rsidR="001A59E5" w:rsidRPr="000C156A">
              <w:rPr>
                <w:rFonts w:asciiTheme="minorHAnsi" w:hAnsiTheme="minorHAnsi"/>
                <w:color w:val="000000"/>
                <w:sz w:val="22"/>
                <w:szCs w:val="22"/>
                <w:lang w:val="en-US" w:eastAsia="zh-CN"/>
              </w:rPr>
              <w:t xml:space="preserve"> </w:t>
            </w:r>
            <w:r w:rsidRPr="000C156A">
              <w:rPr>
                <w:rFonts w:asciiTheme="minorHAnsi" w:hAnsiTheme="minorHAnsi"/>
                <w:color w:val="000000"/>
                <w:sz w:val="22"/>
                <w:szCs w:val="22"/>
                <w:lang w:val="en-US" w:eastAsia="zh-CN"/>
              </w:rPr>
              <w:t>200.00</w:t>
            </w:r>
          </w:p>
        </w:tc>
      </w:tr>
      <w:tr w:rsidR="00686EC7" w:rsidRPr="000C156A" w14:paraId="6CB66703" w14:textId="77777777" w:rsidTr="00141BAA">
        <w:trPr>
          <w:trHeight w:val="263"/>
        </w:trPr>
        <w:tc>
          <w:tcPr>
            <w:tcW w:w="1071" w:type="dxa"/>
            <w:tcBorders>
              <w:top w:val="nil"/>
              <w:left w:val="single" w:sz="4" w:space="0" w:color="auto"/>
              <w:bottom w:val="single" w:sz="4" w:space="0" w:color="auto"/>
              <w:right w:val="single" w:sz="4" w:space="0" w:color="auto"/>
            </w:tcBorders>
            <w:noWrap/>
            <w:vAlign w:val="bottom"/>
            <w:hideMark/>
          </w:tcPr>
          <w:p w14:paraId="6FC24042" w14:textId="77777777" w:rsidR="00686EC7" w:rsidRPr="000C156A" w:rsidRDefault="00686EC7" w:rsidP="00141BAA">
            <w:pPr>
              <w:overflowPunct/>
              <w:autoSpaceDE/>
              <w:adjustRightInd/>
              <w:spacing w:before="0"/>
              <w:jc w:val="center"/>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TLC 2015</w:t>
            </w:r>
          </w:p>
        </w:tc>
        <w:tc>
          <w:tcPr>
            <w:tcW w:w="1433" w:type="dxa"/>
            <w:tcBorders>
              <w:top w:val="nil"/>
              <w:left w:val="nil"/>
              <w:bottom w:val="single" w:sz="4" w:space="0" w:color="auto"/>
              <w:right w:val="single" w:sz="4" w:space="0" w:color="auto"/>
            </w:tcBorders>
            <w:noWrap/>
            <w:vAlign w:val="bottom"/>
            <w:hideMark/>
          </w:tcPr>
          <w:p w14:paraId="0A282A40" w14:textId="77777777" w:rsidR="00686EC7" w:rsidRPr="000C156A" w:rsidRDefault="00686EC7" w:rsidP="00141BAA">
            <w:pPr>
              <w:overflowPunct/>
              <w:autoSpaceDE/>
              <w:adjustRightInd/>
              <w:spacing w:before="0"/>
              <w:rPr>
                <w:rFonts w:asciiTheme="minorHAnsi" w:eastAsiaTheme="minorEastAsia" w:hAnsiTheme="minorHAnsi"/>
                <w:color w:val="000000"/>
                <w:sz w:val="22"/>
                <w:szCs w:val="22"/>
                <w:lang w:val="en-US" w:eastAsia="zh-CN"/>
              </w:rPr>
            </w:pPr>
            <w:r w:rsidRPr="000C156A">
              <w:rPr>
                <w:rFonts w:hint="eastAsia"/>
                <w:color w:val="000000"/>
                <w:sz w:val="22"/>
                <w:szCs w:val="22"/>
              </w:rPr>
              <w:t>埃及</w:t>
            </w:r>
          </w:p>
        </w:tc>
        <w:tc>
          <w:tcPr>
            <w:tcW w:w="3464" w:type="dxa"/>
            <w:tcBorders>
              <w:top w:val="nil"/>
              <w:left w:val="nil"/>
              <w:bottom w:val="single" w:sz="4" w:space="0" w:color="auto"/>
              <w:right w:val="single" w:sz="4" w:space="0" w:color="auto"/>
            </w:tcBorders>
            <w:noWrap/>
            <w:vAlign w:val="bottom"/>
            <w:hideMark/>
          </w:tcPr>
          <w:p w14:paraId="41E99FE8"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Tawasol IT</w:t>
            </w:r>
          </w:p>
        </w:tc>
        <w:tc>
          <w:tcPr>
            <w:tcW w:w="1368" w:type="dxa"/>
            <w:tcBorders>
              <w:top w:val="nil"/>
              <w:left w:val="nil"/>
              <w:bottom w:val="single" w:sz="4" w:space="0" w:color="auto"/>
              <w:right w:val="single" w:sz="4" w:space="0" w:color="auto"/>
            </w:tcBorders>
            <w:noWrap/>
            <w:vAlign w:val="bottom"/>
            <w:hideMark/>
          </w:tcPr>
          <w:p w14:paraId="3AA86C23" w14:textId="2B4160E4" w:rsidR="00686EC7" w:rsidRPr="000C156A" w:rsidRDefault="00686EC7" w:rsidP="00141BAA">
            <w:pPr>
              <w:overflowPunct/>
              <w:autoSpaceDE/>
              <w:adjustRightInd/>
              <w:spacing w:before="0"/>
              <w:jc w:val="right"/>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1</w:t>
            </w:r>
            <w:r w:rsidR="001A59E5" w:rsidRPr="000C156A">
              <w:rPr>
                <w:rFonts w:asciiTheme="minorHAnsi" w:hAnsiTheme="minorHAnsi"/>
                <w:color w:val="000000"/>
                <w:sz w:val="22"/>
                <w:szCs w:val="22"/>
                <w:lang w:val="en-US" w:eastAsia="zh-CN"/>
              </w:rPr>
              <w:t xml:space="preserve"> </w:t>
            </w:r>
            <w:r w:rsidRPr="000C156A">
              <w:rPr>
                <w:rFonts w:asciiTheme="minorHAnsi" w:hAnsiTheme="minorHAnsi"/>
                <w:color w:val="000000"/>
                <w:sz w:val="22"/>
                <w:szCs w:val="22"/>
                <w:lang w:val="en-US" w:eastAsia="zh-CN"/>
              </w:rPr>
              <w:t>200.00</w:t>
            </w:r>
          </w:p>
        </w:tc>
        <w:tc>
          <w:tcPr>
            <w:tcW w:w="1395" w:type="dxa"/>
            <w:tcBorders>
              <w:top w:val="nil"/>
              <w:left w:val="nil"/>
              <w:bottom w:val="single" w:sz="4" w:space="0" w:color="auto"/>
              <w:right w:val="single" w:sz="4" w:space="0" w:color="auto"/>
            </w:tcBorders>
            <w:noWrap/>
            <w:vAlign w:val="bottom"/>
            <w:hideMark/>
          </w:tcPr>
          <w:p w14:paraId="6A4940EC" w14:textId="77777777" w:rsidR="00686EC7" w:rsidRPr="000C156A" w:rsidRDefault="00686EC7" w:rsidP="00141BAA">
            <w:pPr>
              <w:overflowPunct/>
              <w:autoSpaceDE/>
              <w:adjustRightInd/>
              <w:spacing w:before="0"/>
              <w:jc w:val="right"/>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0.00</w:t>
            </w:r>
          </w:p>
        </w:tc>
        <w:tc>
          <w:tcPr>
            <w:tcW w:w="1275" w:type="dxa"/>
            <w:tcBorders>
              <w:top w:val="nil"/>
              <w:left w:val="nil"/>
              <w:bottom w:val="single" w:sz="4" w:space="0" w:color="auto"/>
              <w:right w:val="single" w:sz="4" w:space="0" w:color="auto"/>
            </w:tcBorders>
            <w:noWrap/>
            <w:vAlign w:val="bottom"/>
            <w:hideMark/>
          </w:tcPr>
          <w:p w14:paraId="174C7F25" w14:textId="122D6B50" w:rsidR="00686EC7" w:rsidRPr="000C156A" w:rsidRDefault="00686EC7" w:rsidP="00141BAA">
            <w:pPr>
              <w:overflowPunct/>
              <w:autoSpaceDE/>
              <w:adjustRightInd/>
              <w:spacing w:before="0"/>
              <w:jc w:val="right"/>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1</w:t>
            </w:r>
            <w:r w:rsidR="001A59E5" w:rsidRPr="000C156A">
              <w:rPr>
                <w:rFonts w:asciiTheme="minorHAnsi" w:hAnsiTheme="minorHAnsi"/>
                <w:color w:val="000000"/>
                <w:sz w:val="22"/>
                <w:szCs w:val="22"/>
                <w:lang w:val="en-US" w:eastAsia="zh-CN"/>
              </w:rPr>
              <w:t xml:space="preserve"> </w:t>
            </w:r>
            <w:r w:rsidRPr="000C156A">
              <w:rPr>
                <w:rFonts w:asciiTheme="minorHAnsi" w:hAnsiTheme="minorHAnsi"/>
                <w:color w:val="000000"/>
                <w:sz w:val="22"/>
                <w:szCs w:val="22"/>
                <w:lang w:val="en-US" w:eastAsia="zh-CN"/>
              </w:rPr>
              <w:t>200.00</w:t>
            </w:r>
          </w:p>
        </w:tc>
      </w:tr>
      <w:tr w:rsidR="00686EC7" w:rsidRPr="000C156A" w14:paraId="26942F58" w14:textId="77777777" w:rsidTr="00141BAA">
        <w:trPr>
          <w:trHeight w:val="263"/>
        </w:trPr>
        <w:tc>
          <w:tcPr>
            <w:tcW w:w="1071" w:type="dxa"/>
            <w:tcBorders>
              <w:top w:val="nil"/>
              <w:left w:val="single" w:sz="4" w:space="0" w:color="auto"/>
              <w:bottom w:val="single" w:sz="4" w:space="0" w:color="auto"/>
              <w:right w:val="single" w:sz="4" w:space="0" w:color="auto"/>
            </w:tcBorders>
            <w:noWrap/>
            <w:vAlign w:val="bottom"/>
            <w:hideMark/>
          </w:tcPr>
          <w:p w14:paraId="2C9ABD40" w14:textId="77777777" w:rsidR="00686EC7" w:rsidRPr="000C156A" w:rsidRDefault="00686EC7" w:rsidP="00141BAA">
            <w:pPr>
              <w:overflowPunct/>
              <w:autoSpaceDE/>
              <w:adjustRightInd/>
              <w:spacing w:before="0"/>
              <w:jc w:val="center"/>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433" w:type="dxa"/>
            <w:tcBorders>
              <w:top w:val="nil"/>
              <w:left w:val="nil"/>
              <w:bottom w:val="single" w:sz="4" w:space="0" w:color="auto"/>
              <w:right w:val="single" w:sz="4" w:space="0" w:color="auto"/>
            </w:tcBorders>
            <w:noWrap/>
            <w:vAlign w:val="bottom"/>
            <w:hideMark/>
          </w:tcPr>
          <w:p w14:paraId="475B0E1A"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3464" w:type="dxa"/>
            <w:tcBorders>
              <w:top w:val="nil"/>
              <w:left w:val="nil"/>
              <w:bottom w:val="single" w:sz="4" w:space="0" w:color="auto"/>
              <w:right w:val="single" w:sz="4" w:space="0" w:color="auto"/>
            </w:tcBorders>
            <w:noWrap/>
            <w:vAlign w:val="bottom"/>
            <w:hideMark/>
          </w:tcPr>
          <w:p w14:paraId="0B38CAB9"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368" w:type="dxa"/>
            <w:tcBorders>
              <w:top w:val="nil"/>
              <w:left w:val="nil"/>
              <w:bottom w:val="single" w:sz="4" w:space="0" w:color="auto"/>
              <w:right w:val="single" w:sz="4" w:space="0" w:color="auto"/>
            </w:tcBorders>
            <w:noWrap/>
            <w:vAlign w:val="bottom"/>
            <w:hideMark/>
          </w:tcPr>
          <w:p w14:paraId="1CC5D56E"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395" w:type="dxa"/>
            <w:tcBorders>
              <w:top w:val="nil"/>
              <w:left w:val="nil"/>
              <w:bottom w:val="single" w:sz="4" w:space="0" w:color="auto"/>
              <w:right w:val="single" w:sz="4" w:space="0" w:color="auto"/>
            </w:tcBorders>
            <w:noWrap/>
            <w:vAlign w:val="bottom"/>
            <w:hideMark/>
          </w:tcPr>
          <w:p w14:paraId="6C99959B"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275" w:type="dxa"/>
            <w:tcBorders>
              <w:top w:val="nil"/>
              <w:left w:val="nil"/>
              <w:bottom w:val="single" w:sz="4" w:space="0" w:color="auto"/>
              <w:right w:val="single" w:sz="4" w:space="0" w:color="auto"/>
            </w:tcBorders>
            <w:noWrap/>
            <w:vAlign w:val="bottom"/>
            <w:hideMark/>
          </w:tcPr>
          <w:p w14:paraId="5B0D416F"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r>
      <w:tr w:rsidR="00686EC7" w:rsidRPr="000C156A" w14:paraId="50FA2517" w14:textId="77777777" w:rsidTr="00141BAA">
        <w:trPr>
          <w:trHeight w:val="263"/>
        </w:trPr>
        <w:tc>
          <w:tcPr>
            <w:tcW w:w="1071" w:type="dxa"/>
            <w:tcBorders>
              <w:top w:val="nil"/>
              <w:left w:val="single" w:sz="4" w:space="0" w:color="auto"/>
              <w:bottom w:val="single" w:sz="4" w:space="0" w:color="auto"/>
              <w:right w:val="single" w:sz="4" w:space="0" w:color="auto"/>
            </w:tcBorders>
            <w:noWrap/>
            <w:vAlign w:val="bottom"/>
            <w:hideMark/>
          </w:tcPr>
          <w:p w14:paraId="1DE90BA7" w14:textId="77777777" w:rsidR="00686EC7" w:rsidRPr="000C156A" w:rsidRDefault="00686EC7" w:rsidP="00141BAA">
            <w:pPr>
              <w:overflowPunct/>
              <w:autoSpaceDE/>
              <w:adjustRightInd/>
              <w:spacing w:before="0"/>
              <w:jc w:val="center"/>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TLC 2015</w:t>
            </w:r>
          </w:p>
        </w:tc>
        <w:tc>
          <w:tcPr>
            <w:tcW w:w="1433" w:type="dxa"/>
            <w:tcBorders>
              <w:top w:val="nil"/>
              <w:left w:val="nil"/>
              <w:bottom w:val="single" w:sz="4" w:space="0" w:color="auto"/>
              <w:right w:val="single" w:sz="4" w:space="0" w:color="auto"/>
            </w:tcBorders>
            <w:noWrap/>
            <w:vAlign w:val="bottom"/>
            <w:hideMark/>
          </w:tcPr>
          <w:p w14:paraId="1070C07D"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3464" w:type="dxa"/>
            <w:tcBorders>
              <w:top w:val="nil"/>
              <w:left w:val="nil"/>
              <w:bottom w:val="single" w:sz="4" w:space="0" w:color="auto"/>
              <w:right w:val="single" w:sz="4" w:space="0" w:color="auto"/>
            </w:tcBorders>
            <w:noWrap/>
            <w:vAlign w:val="bottom"/>
            <w:hideMark/>
          </w:tcPr>
          <w:p w14:paraId="50954570"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368" w:type="dxa"/>
            <w:tcBorders>
              <w:top w:val="nil"/>
              <w:left w:val="nil"/>
              <w:bottom w:val="single" w:sz="4" w:space="0" w:color="auto"/>
              <w:right w:val="single" w:sz="4" w:space="0" w:color="auto"/>
            </w:tcBorders>
            <w:noWrap/>
            <w:vAlign w:val="bottom"/>
            <w:hideMark/>
          </w:tcPr>
          <w:p w14:paraId="0995C537"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395" w:type="dxa"/>
            <w:tcBorders>
              <w:top w:val="nil"/>
              <w:left w:val="nil"/>
              <w:bottom w:val="single" w:sz="4" w:space="0" w:color="auto"/>
              <w:right w:val="single" w:sz="4" w:space="0" w:color="auto"/>
            </w:tcBorders>
            <w:noWrap/>
            <w:vAlign w:val="bottom"/>
            <w:hideMark/>
          </w:tcPr>
          <w:p w14:paraId="51BB7531" w14:textId="77777777" w:rsidR="00686EC7" w:rsidRPr="000C156A" w:rsidRDefault="00686EC7" w:rsidP="00141BAA">
            <w:pPr>
              <w:overflowPunct/>
              <w:autoSpaceDE/>
              <w:adjustRightInd/>
              <w:spacing w:before="0"/>
              <w:rPr>
                <w:rFonts w:asciiTheme="minorHAnsi" w:hAnsiTheme="minorHAnsi" w:cs="Arial"/>
                <w:b/>
                <w:bCs/>
                <w:sz w:val="22"/>
                <w:szCs w:val="22"/>
                <w:lang w:val="en-US" w:eastAsia="zh-CN"/>
              </w:rPr>
            </w:pPr>
            <w:r w:rsidRPr="000C156A">
              <w:rPr>
                <w:rFonts w:asciiTheme="minorHAnsi" w:hAnsiTheme="minorHAnsi" w:cs="Arial"/>
                <w:b/>
                <w:bCs/>
                <w:sz w:val="22"/>
                <w:szCs w:val="22"/>
                <w:lang w:val="en-US" w:eastAsia="zh-CN"/>
              </w:rPr>
              <w:t> </w:t>
            </w:r>
          </w:p>
        </w:tc>
        <w:tc>
          <w:tcPr>
            <w:tcW w:w="1275" w:type="dxa"/>
            <w:tcBorders>
              <w:top w:val="nil"/>
              <w:left w:val="nil"/>
              <w:bottom w:val="single" w:sz="4" w:space="0" w:color="auto"/>
              <w:right w:val="single" w:sz="4" w:space="0" w:color="auto"/>
            </w:tcBorders>
            <w:noWrap/>
            <w:vAlign w:val="bottom"/>
            <w:hideMark/>
          </w:tcPr>
          <w:p w14:paraId="1F8BCB12" w14:textId="4F52142B" w:rsidR="00686EC7" w:rsidRPr="000C156A" w:rsidRDefault="00686EC7" w:rsidP="00141BAA">
            <w:pPr>
              <w:overflowPunct/>
              <w:autoSpaceDE/>
              <w:adjustRightInd/>
              <w:spacing w:before="0"/>
              <w:jc w:val="right"/>
              <w:rPr>
                <w:rFonts w:asciiTheme="minorHAnsi" w:hAnsiTheme="minorHAnsi" w:cs="Arial"/>
                <w:b/>
                <w:bCs/>
                <w:sz w:val="22"/>
                <w:szCs w:val="22"/>
                <w:lang w:val="en-US" w:eastAsia="zh-CN"/>
              </w:rPr>
            </w:pPr>
            <w:r w:rsidRPr="000C156A">
              <w:rPr>
                <w:rFonts w:asciiTheme="minorHAnsi" w:hAnsiTheme="minorHAnsi" w:cs="Arial"/>
                <w:b/>
                <w:bCs/>
                <w:sz w:val="22"/>
                <w:szCs w:val="22"/>
                <w:lang w:val="en-US" w:eastAsia="zh-CN"/>
              </w:rPr>
              <w:t>2</w:t>
            </w:r>
            <w:r w:rsidR="001A59E5" w:rsidRPr="000C156A">
              <w:rPr>
                <w:rFonts w:asciiTheme="minorHAnsi" w:hAnsiTheme="minorHAnsi" w:cs="Arial"/>
                <w:b/>
                <w:bCs/>
                <w:sz w:val="22"/>
                <w:szCs w:val="22"/>
                <w:lang w:val="en-US" w:eastAsia="zh-CN"/>
              </w:rPr>
              <w:t xml:space="preserve"> </w:t>
            </w:r>
            <w:r w:rsidRPr="000C156A">
              <w:rPr>
                <w:rFonts w:asciiTheme="minorHAnsi" w:hAnsiTheme="minorHAnsi" w:cs="Arial"/>
                <w:b/>
                <w:bCs/>
                <w:sz w:val="22"/>
                <w:szCs w:val="22"/>
                <w:lang w:val="en-US" w:eastAsia="zh-CN"/>
              </w:rPr>
              <w:t>400.00</w:t>
            </w:r>
          </w:p>
        </w:tc>
      </w:tr>
    </w:tbl>
    <w:p w14:paraId="276DBBFF" w14:textId="77777777" w:rsidR="00686EC7" w:rsidRPr="000C156A" w:rsidRDefault="00686EC7" w:rsidP="00686EC7">
      <w:pPr>
        <w:rPr>
          <w:sz w:val="22"/>
          <w:szCs w:val="22"/>
          <w:lang w:eastAsia="zh-CN"/>
        </w:rPr>
      </w:pPr>
    </w:p>
    <w:tbl>
      <w:tblPr>
        <w:tblW w:w="10036" w:type="dxa"/>
        <w:tblInd w:w="137" w:type="dxa"/>
        <w:tblLook w:val="04A0" w:firstRow="1" w:lastRow="0" w:firstColumn="1" w:lastColumn="0" w:noHBand="0" w:noVBand="1"/>
      </w:tblPr>
      <w:tblGrid>
        <w:gridCol w:w="1071"/>
        <w:gridCol w:w="1463"/>
        <w:gridCol w:w="3464"/>
        <w:gridCol w:w="1368"/>
        <w:gridCol w:w="1395"/>
        <w:gridCol w:w="1275"/>
      </w:tblGrid>
      <w:tr w:rsidR="00686EC7" w:rsidRPr="000C156A" w14:paraId="5D5E117A" w14:textId="77777777" w:rsidTr="00141BAA">
        <w:trPr>
          <w:trHeight w:val="448"/>
        </w:trPr>
        <w:tc>
          <w:tcPr>
            <w:tcW w:w="1071" w:type="dxa"/>
            <w:tcBorders>
              <w:top w:val="single" w:sz="4" w:space="0" w:color="auto"/>
              <w:left w:val="single" w:sz="4" w:space="0" w:color="auto"/>
              <w:bottom w:val="single" w:sz="4" w:space="0" w:color="auto"/>
              <w:right w:val="single" w:sz="4" w:space="0" w:color="auto"/>
            </w:tcBorders>
            <w:hideMark/>
          </w:tcPr>
          <w:p w14:paraId="37D1FAE8"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活动</w:t>
            </w:r>
          </w:p>
        </w:tc>
        <w:tc>
          <w:tcPr>
            <w:tcW w:w="1463" w:type="dxa"/>
            <w:tcBorders>
              <w:top w:val="single" w:sz="4" w:space="0" w:color="auto"/>
              <w:left w:val="nil"/>
              <w:bottom w:val="single" w:sz="4" w:space="0" w:color="auto"/>
              <w:right w:val="single" w:sz="4" w:space="0" w:color="auto"/>
            </w:tcBorders>
            <w:hideMark/>
          </w:tcPr>
          <w:p w14:paraId="0D9364E2"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国家</w:t>
            </w:r>
          </w:p>
        </w:tc>
        <w:tc>
          <w:tcPr>
            <w:tcW w:w="3464" w:type="dxa"/>
            <w:tcBorders>
              <w:top w:val="single" w:sz="4" w:space="0" w:color="auto"/>
              <w:left w:val="nil"/>
              <w:bottom w:val="single" w:sz="4" w:space="0" w:color="auto"/>
              <w:right w:val="single" w:sz="4" w:space="0" w:color="auto"/>
            </w:tcBorders>
            <w:hideMark/>
          </w:tcPr>
          <w:p w14:paraId="6A91FA55"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公司</w:t>
            </w:r>
          </w:p>
        </w:tc>
        <w:tc>
          <w:tcPr>
            <w:tcW w:w="1368" w:type="dxa"/>
            <w:tcBorders>
              <w:top w:val="single" w:sz="4" w:space="0" w:color="auto"/>
              <w:left w:val="nil"/>
              <w:bottom w:val="single" w:sz="4" w:space="0" w:color="auto"/>
              <w:right w:val="single" w:sz="4" w:space="0" w:color="auto"/>
            </w:tcBorders>
            <w:hideMark/>
          </w:tcPr>
          <w:p w14:paraId="7D3D6C9C"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发票金额</w:t>
            </w:r>
          </w:p>
        </w:tc>
        <w:tc>
          <w:tcPr>
            <w:tcW w:w="1395" w:type="dxa"/>
            <w:tcBorders>
              <w:top w:val="single" w:sz="4" w:space="0" w:color="auto"/>
              <w:left w:val="nil"/>
              <w:bottom w:val="single" w:sz="4" w:space="0" w:color="auto"/>
              <w:right w:val="single" w:sz="4" w:space="0" w:color="auto"/>
            </w:tcBorders>
            <w:hideMark/>
          </w:tcPr>
          <w:p w14:paraId="387CA5CB"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收到付款</w:t>
            </w:r>
          </w:p>
        </w:tc>
        <w:tc>
          <w:tcPr>
            <w:tcW w:w="1275" w:type="dxa"/>
            <w:tcBorders>
              <w:top w:val="single" w:sz="4" w:space="0" w:color="auto"/>
              <w:left w:val="nil"/>
              <w:bottom w:val="single" w:sz="4" w:space="0" w:color="auto"/>
              <w:right w:val="single" w:sz="4" w:space="0" w:color="auto"/>
            </w:tcBorders>
            <w:hideMark/>
          </w:tcPr>
          <w:p w14:paraId="20F11FCF"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欠款金额</w:t>
            </w:r>
          </w:p>
        </w:tc>
      </w:tr>
      <w:tr w:rsidR="00686EC7" w:rsidRPr="000C156A" w14:paraId="61A1C638" w14:textId="77777777" w:rsidTr="00141BAA">
        <w:trPr>
          <w:trHeight w:val="263"/>
        </w:trPr>
        <w:tc>
          <w:tcPr>
            <w:tcW w:w="1071" w:type="dxa"/>
            <w:tcBorders>
              <w:top w:val="nil"/>
              <w:left w:val="single" w:sz="4" w:space="0" w:color="auto"/>
              <w:bottom w:val="single" w:sz="4" w:space="0" w:color="auto"/>
              <w:right w:val="single" w:sz="4" w:space="0" w:color="auto"/>
            </w:tcBorders>
            <w:noWrap/>
            <w:vAlign w:val="bottom"/>
            <w:hideMark/>
          </w:tcPr>
          <w:p w14:paraId="7CD167E2" w14:textId="77777777" w:rsidR="00686EC7" w:rsidRPr="000C156A" w:rsidRDefault="00686EC7" w:rsidP="00141BAA">
            <w:pPr>
              <w:overflowPunct/>
              <w:autoSpaceDE/>
              <w:adjustRightInd/>
              <w:spacing w:before="0"/>
              <w:jc w:val="center"/>
              <w:rPr>
                <w:rFonts w:asciiTheme="minorHAnsi" w:hAnsiTheme="minorHAnsi" w:cs="Arial"/>
                <w:b/>
                <w:bCs/>
                <w:sz w:val="22"/>
                <w:szCs w:val="22"/>
                <w:lang w:val="en-US" w:eastAsia="zh-CN"/>
              </w:rPr>
            </w:pPr>
            <w:r w:rsidRPr="000C156A">
              <w:rPr>
                <w:rFonts w:asciiTheme="minorHAnsi" w:hAnsiTheme="minorHAnsi" w:cs="Arial"/>
                <w:b/>
                <w:bCs/>
                <w:sz w:val="22"/>
                <w:szCs w:val="22"/>
                <w:lang w:val="en-US" w:eastAsia="zh-CN"/>
              </w:rPr>
              <w:t> </w:t>
            </w:r>
          </w:p>
        </w:tc>
        <w:tc>
          <w:tcPr>
            <w:tcW w:w="1463" w:type="dxa"/>
            <w:tcBorders>
              <w:top w:val="nil"/>
              <w:left w:val="nil"/>
              <w:bottom w:val="single" w:sz="4" w:space="0" w:color="auto"/>
              <w:right w:val="single" w:sz="4" w:space="0" w:color="auto"/>
            </w:tcBorders>
            <w:noWrap/>
            <w:vAlign w:val="bottom"/>
            <w:hideMark/>
          </w:tcPr>
          <w:p w14:paraId="088B3EE4" w14:textId="77777777" w:rsidR="00686EC7" w:rsidRPr="000C156A" w:rsidRDefault="00686EC7" w:rsidP="00141BAA">
            <w:pPr>
              <w:overflowPunct/>
              <w:autoSpaceDE/>
              <w:adjustRightInd/>
              <w:spacing w:before="0"/>
              <w:jc w:val="center"/>
              <w:rPr>
                <w:rFonts w:asciiTheme="minorHAnsi" w:hAnsiTheme="minorHAnsi" w:cs="Arial"/>
                <w:b/>
                <w:bCs/>
                <w:sz w:val="22"/>
                <w:szCs w:val="22"/>
                <w:lang w:val="en-US" w:eastAsia="zh-CN"/>
              </w:rPr>
            </w:pPr>
            <w:r w:rsidRPr="000C156A">
              <w:rPr>
                <w:rFonts w:asciiTheme="minorHAnsi" w:hAnsiTheme="minorHAnsi" w:cs="Arial"/>
                <w:b/>
                <w:bCs/>
                <w:sz w:val="22"/>
                <w:szCs w:val="22"/>
                <w:lang w:val="en-US" w:eastAsia="zh-CN"/>
              </w:rPr>
              <w:t> </w:t>
            </w:r>
          </w:p>
        </w:tc>
        <w:tc>
          <w:tcPr>
            <w:tcW w:w="3464" w:type="dxa"/>
            <w:tcBorders>
              <w:top w:val="nil"/>
              <w:left w:val="nil"/>
              <w:bottom w:val="single" w:sz="4" w:space="0" w:color="auto"/>
              <w:right w:val="single" w:sz="4" w:space="0" w:color="auto"/>
            </w:tcBorders>
            <w:noWrap/>
            <w:vAlign w:val="bottom"/>
            <w:hideMark/>
          </w:tcPr>
          <w:p w14:paraId="60F878FB" w14:textId="77777777" w:rsidR="00686EC7" w:rsidRPr="000C156A" w:rsidRDefault="00686EC7" w:rsidP="00141BAA">
            <w:pPr>
              <w:overflowPunct/>
              <w:autoSpaceDE/>
              <w:adjustRightInd/>
              <w:spacing w:before="0"/>
              <w:jc w:val="center"/>
              <w:rPr>
                <w:rFonts w:asciiTheme="minorHAnsi" w:hAnsiTheme="minorHAnsi" w:cs="Arial"/>
                <w:sz w:val="22"/>
                <w:szCs w:val="22"/>
                <w:lang w:val="en-US" w:eastAsia="zh-CN"/>
              </w:rPr>
            </w:pPr>
            <w:r w:rsidRPr="000C156A">
              <w:rPr>
                <w:rFonts w:asciiTheme="minorHAnsi" w:hAnsiTheme="minorHAnsi" w:cs="Arial"/>
                <w:sz w:val="22"/>
                <w:szCs w:val="22"/>
                <w:lang w:val="en-US" w:eastAsia="zh-CN"/>
              </w:rPr>
              <w:t> </w:t>
            </w:r>
          </w:p>
        </w:tc>
        <w:tc>
          <w:tcPr>
            <w:tcW w:w="1368" w:type="dxa"/>
            <w:tcBorders>
              <w:top w:val="nil"/>
              <w:left w:val="nil"/>
              <w:bottom w:val="single" w:sz="4" w:space="0" w:color="auto"/>
              <w:right w:val="single" w:sz="4" w:space="0" w:color="auto"/>
            </w:tcBorders>
            <w:noWrap/>
            <w:vAlign w:val="bottom"/>
            <w:hideMark/>
          </w:tcPr>
          <w:p w14:paraId="37463251" w14:textId="77777777" w:rsidR="00686EC7" w:rsidRPr="000C156A" w:rsidRDefault="00686EC7" w:rsidP="00141BAA">
            <w:pPr>
              <w:overflowPunct/>
              <w:autoSpaceDE/>
              <w:adjustRightInd/>
              <w:spacing w:before="0"/>
              <w:jc w:val="center"/>
              <w:rPr>
                <w:rFonts w:ascii="Arial" w:hAnsi="Arial" w:cs="Arial"/>
                <w:sz w:val="22"/>
                <w:szCs w:val="22"/>
                <w:lang w:val="en-US" w:eastAsia="zh-CN"/>
              </w:rPr>
            </w:pPr>
            <w:r w:rsidRPr="000C156A">
              <w:rPr>
                <w:rFonts w:ascii="Arial" w:hAnsi="Arial" w:cs="Arial"/>
                <w:sz w:val="22"/>
                <w:szCs w:val="22"/>
                <w:lang w:val="en-US" w:eastAsia="zh-CN"/>
              </w:rPr>
              <w:t> </w:t>
            </w:r>
          </w:p>
        </w:tc>
        <w:tc>
          <w:tcPr>
            <w:tcW w:w="1395" w:type="dxa"/>
            <w:tcBorders>
              <w:top w:val="nil"/>
              <w:left w:val="nil"/>
              <w:bottom w:val="single" w:sz="4" w:space="0" w:color="auto"/>
              <w:right w:val="single" w:sz="4" w:space="0" w:color="auto"/>
            </w:tcBorders>
            <w:noWrap/>
            <w:vAlign w:val="bottom"/>
            <w:hideMark/>
          </w:tcPr>
          <w:p w14:paraId="1B050DF1" w14:textId="77777777" w:rsidR="00686EC7" w:rsidRPr="000C156A" w:rsidRDefault="00686EC7" w:rsidP="00141BAA">
            <w:pPr>
              <w:overflowPunct/>
              <w:autoSpaceDE/>
              <w:adjustRightInd/>
              <w:spacing w:before="0"/>
              <w:jc w:val="center"/>
              <w:rPr>
                <w:rFonts w:ascii="Arial" w:hAnsi="Arial" w:cs="Arial"/>
                <w:sz w:val="22"/>
                <w:szCs w:val="22"/>
                <w:lang w:val="en-US" w:eastAsia="zh-CN"/>
              </w:rPr>
            </w:pPr>
            <w:r w:rsidRPr="000C156A">
              <w:rPr>
                <w:rFonts w:ascii="Arial" w:hAnsi="Arial" w:cs="Arial"/>
                <w:sz w:val="22"/>
                <w:szCs w:val="22"/>
                <w:lang w:val="en-US" w:eastAsia="zh-CN"/>
              </w:rPr>
              <w:t> </w:t>
            </w:r>
          </w:p>
        </w:tc>
        <w:tc>
          <w:tcPr>
            <w:tcW w:w="1275" w:type="dxa"/>
            <w:tcBorders>
              <w:top w:val="nil"/>
              <w:left w:val="nil"/>
              <w:bottom w:val="single" w:sz="4" w:space="0" w:color="auto"/>
              <w:right w:val="single" w:sz="4" w:space="0" w:color="auto"/>
            </w:tcBorders>
            <w:noWrap/>
            <w:vAlign w:val="bottom"/>
            <w:hideMark/>
          </w:tcPr>
          <w:p w14:paraId="2BF49917" w14:textId="77777777" w:rsidR="00686EC7" w:rsidRPr="000C156A" w:rsidRDefault="00686EC7" w:rsidP="00141BAA">
            <w:pPr>
              <w:overflowPunct/>
              <w:autoSpaceDE/>
              <w:adjustRightInd/>
              <w:spacing w:before="0"/>
              <w:jc w:val="center"/>
              <w:rPr>
                <w:rFonts w:ascii="Arial" w:hAnsi="Arial" w:cs="Arial"/>
                <w:sz w:val="22"/>
                <w:szCs w:val="22"/>
                <w:lang w:val="en-US" w:eastAsia="zh-CN"/>
              </w:rPr>
            </w:pPr>
            <w:r w:rsidRPr="000C156A">
              <w:rPr>
                <w:rFonts w:ascii="Arial" w:hAnsi="Arial" w:cs="Arial"/>
                <w:sz w:val="22"/>
                <w:szCs w:val="22"/>
                <w:lang w:val="en-US" w:eastAsia="zh-CN"/>
              </w:rPr>
              <w:t> </w:t>
            </w:r>
          </w:p>
        </w:tc>
      </w:tr>
      <w:tr w:rsidR="00686EC7" w:rsidRPr="000C156A" w14:paraId="5DAAE830" w14:textId="77777777" w:rsidTr="00141BAA">
        <w:trPr>
          <w:trHeight w:val="263"/>
        </w:trPr>
        <w:tc>
          <w:tcPr>
            <w:tcW w:w="1071" w:type="dxa"/>
            <w:tcBorders>
              <w:top w:val="nil"/>
              <w:left w:val="single" w:sz="4" w:space="0" w:color="auto"/>
              <w:bottom w:val="single" w:sz="4" w:space="0" w:color="auto"/>
              <w:right w:val="single" w:sz="4" w:space="0" w:color="auto"/>
            </w:tcBorders>
            <w:noWrap/>
            <w:vAlign w:val="bottom"/>
            <w:hideMark/>
          </w:tcPr>
          <w:p w14:paraId="163E3B65" w14:textId="77777777" w:rsidR="00686EC7" w:rsidRPr="000C156A" w:rsidRDefault="00686EC7" w:rsidP="00141BAA">
            <w:pPr>
              <w:overflowPunct/>
              <w:autoSpaceDE/>
              <w:adjustRightInd/>
              <w:spacing w:before="0"/>
              <w:jc w:val="center"/>
              <w:rPr>
                <w:rFonts w:asciiTheme="minorHAnsi" w:hAnsiTheme="minorHAnsi"/>
                <w:sz w:val="22"/>
                <w:szCs w:val="22"/>
                <w:lang w:val="en-US" w:eastAsia="zh-CN"/>
              </w:rPr>
            </w:pPr>
            <w:r w:rsidRPr="000C156A">
              <w:rPr>
                <w:rFonts w:asciiTheme="minorHAnsi" w:hAnsiTheme="minorHAnsi"/>
                <w:sz w:val="22"/>
                <w:szCs w:val="22"/>
                <w:lang w:val="en-US" w:eastAsia="zh-CN"/>
              </w:rPr>
              <w:t>TLC 2016</w:t>
            </w:r>
          </w:p>
        </w:tc>
        <w:tc>
          <w:tcPr>
            <w:tcW w:w="1463" w:type="dxa"/>
            <w:tcBorders>
              <w:top w:val="nil"/>
              <w:left w:val="nil"/>
              <w:bottom w:val="single" w:sz="4" w:space="0" w:color="auto"/>
              <w:right w:val="single" w:sz="4" w:space="0" w:color="auto"/>
            </w:tcBorders>
            <w:noWrap/>
            <w:vAlign w:val="bottom"/>
            <w:hideMark/>
          </w:tcPr>
          <w:p w14:paraId="6C795E7E" w14:textId="77777777" w:rsidR="00686EC7" w:rsidRPr="000C156A" w:rsidRDefault="00686EC7" w:rsidP="00141BAA">
            <w:pPr>
              <w:overflowPunct/>
              <w:autoSpaceDE/>
              <w:adjustRightInd/>
              <w:spacing w:before="0"/>
              <w:rPr>
                <w:rFonts w:asciiTheme="minorHAnsi" w:hAnsiTheme="minorHAnsi"/>
                <w:sz w:val="22"/>
                <w:szCs w:val="22"/>
                <w:lang w:val="en-US" w:eastAsia="zh-CN"/>
              </w:rPr>
            </w:pPr>
            <w:r w:rsidRPr="000C156A">
              <w:rPr>
                <w:rFonts w:asciiTheme="minorHAnsi" w:hAnsiTheme="minorHAnsi" w:hint="eastAsia"/>
                <w:sz w:val="22"/>
                <w:szCs w:val="22"/>
                <w:lang w:val="en-US" w:eastAsia="zh-CN"/>
              </w:rPr>
              <w:t>乌干达</w:t>
            </w:r>
          </w:p>
        </w:tc>
        <w:tc>
          <w:tcPr>
            <w:tcW w:w="3464" w:type="dxa"/>
            <w:tcBorders>
              <w:top w:val="nil"/>
              <w:left w:val="nil"/>
              <w:bottom w:val="single" w:sz="4" w:space="0" w:color="auto"/>
              <w:right w:val="single" w:sz="4" w:space="0" w:color="auto"/>
            </w:tcBorders>
            <w:noWrap/>
            <w:vAlign w:val="bottom"/>
            <w:hideMark/>
          </w:tcPr>
          <w:p w14:paraId="072AE896" w14:textId="77777777" w:rsidR="00686EC7" w:rsidRPr="000C156A" w:rsidRDefault="00686EC7" w:rsidP="00141BAA">
            <w:pPr>
              <w:overflowPunct/>
              <w:autoSpaceDE/>
              <w:adjustRightInd/>
              <w:spacing w:before="0"/>
              <w:rPr>
                <w:rFonts w:asciiTheme="minorHAnsi" w:hAnsiTheme="minorHAnsi"/>
                <w:sz w:val="22"/>
                <w:szCs w:val="22"/>
                <w:lang w:val="en-US" w:eastAsia="zh-CN"/>
              </w:rPr>
            </w:pPr>
            <w:r w:rsidRPr="000C156A">
              <w:rPr>
                <w:rFonts w:asciiTheme="minorHAnsi" w:hAnsiTheme="minorHAnsi"/>
                <w:sz w:val="22"/>
                <w:szCs w:val="22"/>
                <w:lang w:val="en-US" w:eastAsia="zh-CN"/>
              </w:rPr>
              <w:t>Abercom(U)</w:t>
            </w:r>
          </w:p>
        </w:tc>
        <w:tc>
          <w:tcPr>
            <w:tcW w:w="1368" w:type="dxa"/>
            <w:tcBorders>
              <w:top w:val="nil"/>
              <w:left w:val="nil"/>
              <w:bottom w:val="single" w:sz="4" w:space="0" w:color="auto"/>
              <w:right w:val="single" w:sz="4" w:space="0" w:color="auto"/>
            </w:tcBorders>
            <w:noWrap/>
            <w:vAlign w:val="bottom"/>
            <w:hideMark/>
          </w:tcPr>
          <w:p w14:paraId="142969AF" w14:textId="123679CB" w:rsidR="00686EC7" w:rsidRPr="000C156A" w:rsidRDefault="00686EC7" w:rsidP="00141BAA">
            <w:pPr>
              <w:overflowPunct/>
              <w:autoSpaceDE/>
              <w:adjustRightInd/>
              <w:spacing w:before="0"/>
              <w:jc w:val="right"/>
              <w:rPr>
                <w:sz w:val="22"/>
                <w:szCs w:val="22"/>
                <w:lang w:val="en-US" w:eastAsia="zh-CN"/>
              </w:rPr>
            </w:pPr>
            <w:r w:rsidRPr="000C156A">
              <w:rPr>
                <w:sz w:val="22"/>
                <w:szCs w:val="22"/>
                <w:lang w:val="en-US" w:eastAsia="zh-CN"/>
              </w:rPr>
              <w:t>1</w:t>
            </w:r>
            <w:r w:rsidR="001A59E5" w:rsidRPr="000C156A">
              <w:rPr>
                <w:sz w:val="22"/>
                <w:szCs w:val="22"/>
                <w:lang w:val="en-US" w:eastAsia="zh-CN"/>
              </w:rPr>
              <w:t xml:space="preserve"> </w:t>
            </w:r>
            <w:r w:rsidRPr="000C156A">
              <w:rPr>
                <w:sz w:val="22"/>
                <w:szCs w:val="22"/>
                <w:lang w:val="en-US" w:eastAsia="zh-CN"/>
              </w:rPr>
              <w:t>200.00</w:t>
            </w:r>
          </w:p>
        </w:tc>
        <w:tc>
          <w:tcPr>
            <w:tcW w:w="1395" w:type="dxa"/>
            <w:tcBorders>
              <w:top w:val="nil"/>
              <w:left w:val="nil"/>
              <w:bottom w:val="single" w:sz="4" w:space="0" w:color="auto"/>
              <w:right w:val="single" w:sz="4" w:space="0" w:color="auto"/>
            </w:tcBorders>
            <w:noWrap/>
            <w:vAlign w:val="bottom"/>
            <w:hideMark/>
          </w:tcPr>
          <w:p w14:paraId="13C811FA" w14:textId="77777777" w:rsidR="00686EC7" w:rsidRPr="000C156A" w:rsidRDefault="00686EC7" w:rsidP="00141BAA">
            <w:pPr>
              <w:overflowPunct/>
              <w:autoSpaceDE/>
              <w:adjustRightInd/>
              <w:spacing w:before="0"/>
              <w:jc w:val="right"/>
              <w:rPr>
                <w:sz w:val="22"/>
                <w:szCs w:val="22"/>
                <w:lang w:val="en-US" w:eastAsia="zh-CN"/>
              </w:rPr>
            </w:pPr>
            <w:r w:rsidRPr="000C156A">
              <w:rPr>
                <w:sz w:val="22"/>
                <w:szCs w:val="22"/>
                <w:lang w:val="en-US" w:eastAsia="zh-CN"/>
              </w:rPr>
              <w:t>0.00</w:t>
            </w:r>
          </w:p>
        </w:tc>
        <w:tc>
          <w:tcPr>
            <w:tcW w:w="1275" w:type="dxa"/>
            <w:tcBorders>
              <w:top w:val="nil"/>
              <w:left w:val="nil"/>
              <w:bottom w:val="single" w:sz="4" w:space="0" w:color="auto"/>
              <w:right w:val="single" w:sz="4" w:space="0" w:color="auto"/>
            </w:tcBorders>
            <w:noWrap/>
            <w:vAlign w:val="bottom"/>
            <w:hideMark/>
          </w:tcPr>
          <w:p w14:paraId="7D666E85" w14:textId="12E5837B" w:rsidR="00686EC7" w:rsidRPr="000C156A" w:rsidRDefault="00686EC7" w:rsidP="00141BAA">
            <w:pPr>
              <w:overflowPunct/>
              <w:autoSpaceDE/>
              <w:adjustRightInd/>
              <w:spacing w:before="0"/>
              <w:jc w:val="right"/>
              <w:rPr>
                <w:sz w:val="22"/>
                <w:szCs w:val="22"/>
                <w:lang w:val="en-US" w:eastAsia="zh-CN"/>
              </w:rPr>
            </w:pPr>
            <w:r w:rsidRPr="000C156A">
              <w:rPr>
                <w:sz w:val="22"/>
                <w:szCs w:val="22"/>
                <w:lang w:val="en-US" w:eastAsia="zh-CN"/>
              </w:rPr>
              <w:t>1</w:t>
            </w:r>
            <w:r w:rsidR="001A59E5" w:rsidRPr="000C156A">
              <w:rPr>
                <w:sz w:val="22"/>
                <w:szCs w:val="22"/>
                <w:lang w:val="en-US" w:eastAsia="zh-CN"/>
              </w:rPr>
              <w:t xml:space="preserve"> </w:t>
            </w:r>
            <w:r w:rsidRPr="000C156A">
              <w:rPr>
                <w:sz w:val="22"/>
                <w:szCs w:val="22"/>
                <w:lang w:val="en-US" w:eastAsia="zh-CN"/>
              </w:rPr>
              <w:t>200.00</w:t>
            </w:r>
          </w:p>
        </w:tc>
      </w:tr>
      <w:tr w:rsidR="00686EC7" w:rsidRPr="000C156A" w14:paraId="2B95FF93" w14:textId="77777777" w:rsidTr="00141BAA">
        <w:trPr>
          <w:trHeight w:val="263"/>
        </w:trPr>
        <w:tc>
          <w:tcPr>
            <w:tcW w:w="1071" w:type="dxa"/>
            <w:tcBorders>
              <w:top w:val="nil"/>
              <w:left w:val="single" w:sz="4" w:space="0" w:color="auto"/>
              <w:bottom w:val="single" w:sz="4" w:space="0" w:color="auto"/>
              <w:right w:val="single" w:sz="4" w:space="0" w:color="auto"/>
            </w:tcBorders>
            <w:noWrap/>
            <w:vAlign w:val="bottom"/>
            <w:hideMark/>
          </w:tcPr>
          <w:p w14:paraId="009A6DA8" w14:textId="77777777" w:rsidR="00686EC7" w:rsidRPr="000C156A" w:rsidRDefault="00686EC7" w:rsidP="00141BAA">
            <w:pPr>
              <w:overflowPunct/>
              <w:autoSpaceDE/>
              <w:adjustRightInd/>
              <w:spacing w:before="0"/>
              <w:jc w:val="center"/>
              <w:rPr>
                <w:rFonts w:asciiTheme="minorHAnsi" w:hAnsiTheme="minorHAnsi"/>
                <w:sz w:val="22"/>
                <w:szCs w:val="22"/>
                <w:lang w:val="en-US" w:eastAsia="zh-CN"/>
              </w:rPr>
            </w:pPr>
            <w:r w:rsidRPr="000C156A">
              <w:rPr>
                <w:rFonts w:asciiTheme="minorHAnsi" w:hAnsiTheme="minorHAnsi"/>
                <w:sz w:val="22"/>
                <w:szCs w:val="22"/>
                <w:lang w:val="en-US" w:eastAsia="zh-CN"/>
              </w:rPr>
              <w:t>TLC 2016</w:t>
            </w:r>
          </w:p>
        </w:tc>
        <w:tc>
          <w:tcPr>
            <w:tcW w:w="1463" w:type="dxa"/>
            <w:tcBorders>
              <w:top w:val="nil"/>
              <w:left w:val="nil"/>
              <w:bottom w:val="single" w:sz="4" w:space="0" w:color="auto"/>
              <w:right w:val="single" w:sz="4" w:space="0" w:color="auto"/>
            </w:tcBorders>
            <w:noWrap/>
            <w:vAlign w:val="bottom"/>
            <w:hideMark/>
          </w:tcPr>
          <w:p w14:paraId="3F6D6EF1"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hint="eastAsia"/>
                <w:color w:val="000000"/>
                <w:sz w:val="22"/>
                <w:szCs w:val="22"/>
                <w:lang w:val="en-US" w:eastAsia="zh-CN"/>
              </w:rPr>
              <w:t>肯尼亚</w:t>
            </w:r>
          </w:p>
        </w:tc>
        <w:tc>
          <w:tcPr>
            <w:tcW w:w="3464" w:type="dxa"/>
            <w:tcBorders>
              <w:top w:val="nil"/>
              <w:left w:val="nil"/>
              <w:bottom w:val="single" w:sz="4" w:space="0" w:color="auto"/>
              <w:right w:val="single" w:sz="4" w:space="0" w:color="auto"/>
            </w:tcBorders>
            <w:noWrap/>
            <w:vAlign w:val="bottom"/>
            <w:hideMark/>
          </w:tcPr>
          <w:p w14:paraId="6445F422"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FarmDrive</w:t>
            </w:r>
          </w:p>
        </w:tc>
        <w:tc>
          <w:tcPr>
            <w:tcW w:w="1368" w:type="dxa"/>
            <w:tcBorders>
              <w:top w:val="nil"/>
              <w:left w:val="nil"/>
              <w:bottom w:val="single" w:sz="4" w:space="0" w:color="auto"/>
              <w:right w:val="single" w:sz="4" w:space="0" w:color="auto"/>
            </w:tcBorders>
            <w:noWrap/>
            <w:vAlign w:val="bottom"/>
            <w:hideMark/>
          </w:tcPr>
          <w:p w14:paraId="6AB3A6D3" w14:textId="500B96EE" w:rsidR="00686EC7" w:rsidRPr="000C156A" w:rsidRDefault="00686EC7" w:rsidP="00141BAA">
            <w:pPr>
              <w:overflowPunct/>
              <w:autoSpaceDE/>
              <w:adjustRightInd/>
              <w:spacing w:before="0"/>
              <w:jc w:val="right"/>
              <w:rPr>
                <w:color w:val="000000"/>
                <w:sz w:val="22"/>
                <w:szCs w:val="22"/>
                <w:lang w:val="en-US" w:eastAsia="zh-CN"/>
              </w:rPr>
            </w:pPr>
            <w:r w:rsidRPr="000C156A">
              <w:rPr>
                <w:color w:val="000000"/>
                <w:sz w:val="22"/>
                <w:szCs w:val="22"/>
                <w:lang w:val="en-US" w:eastAsia="zh-CN"/>
              </w:rPr>
              <w:t>1</w:t>
            </w:r>
            <w:r w:rsidR="001A59E5" w:rsidRPr="000C156A">
              <w:rPr>
                <w:color w:val="000000"/>
                <w:sz w:val="22"/>
                <w:szCs w:val="22"/>
                <w:lang w:val="en-US" w:eastAsia="zh-CN"/>
              </w:rPr>
              <w:t xml:space="preserve"> </w:t>
            </w:r>
            <w:r w:rsidRPr="000C156A">
              <w:rPr>
                <w:color w:val="000000"/>
                <w:sz w:val="22"/>
                <w:szCs w:val="22"/>
                <w:lang w:val="en-US" w:eastAsia="zh-CN"/>
              </w:rPr>
              <w:t>200.00</w:t>
            </w:r>
          </w:p>
        </w:tc>
        <w:tc>
          <w:tcPr>
            <w:tcW w:w="1395" w:type="dxa"/>
            <w:tcBorders>
              <w:top w:val="nil"/>
              <w:left w:val="nil"/>
              <w:bottom w:val="single" w:sz="4" w:space="0" w:color="auto"/>
              <w:right w:val="single" w:sz="4" w:space="0" w:color="auto"/>
            </w:tcBorders>
            <w:noWrap/>
            <w:vAlign w:val="bottom"/>
            <w:hideMark/>
          </w:tcPr>
          <w:p w14:paraId="0913CAC4" w14:textId="77777777" w:rsidR="00686EC7" w:rsidRPr="000C156A" w:rsidRDefault="00686EC7" w:rsidP="00141BAA">
            <w:pPr>
              <w:overflowPunct/>
              <w:autoSpaceDE/>
              <w:adjustRightInd/>
              <w:spacing w:before="0"/>
              <w:jc w:val="right"/>
              <w:rPr>
                <w:color w:val="000000"/>
                <w:sz w:val="22"/>
                <w:szCs w:val="22"/>
                <w:lang w:val="en-US" w:eastAsia="zh-CN"/>
              </w:rPr>
            </w:pPr>
            <w:r w:rsidRPr="000C156A">
              <w:rPr>
                <w:color w:val="000000"/>
                <w:sz w:val="22"/>
                <w:szCs w:val="22"/>
                <w:lang w:val="en-US" w:eastAsia="zh-CN"/>
              </w:rPr>
              <w:t>0.00</w:t>
            </w:r>
          </w:p>
        </w:tc>
        <w:tc>
          <w:tcPr>
            <w:tcW w:w="1275" w:type="dxa"/>
            <w:tcBorders>
              <w:top w:val="nil"/>
              <w:left w:val="nil"/>
              <w:bottom w:val="single" w:sz="4" w:space="0" w:color="auto"/>
              <w:right w:val="single" w:sz="4" w:space="0" w:color="auto"/>
            </w:tcBorders>
            <w:noWrap/>
            <w:vAlign w:val="bottom"/>
            <w:hideMark/>
          </w:tcPr>
          <w:p w14:paraId="57567A13" w14:textId="50925878" w:rsidR="00686EC7" w:rsidRPr="000C156A" w:rsidRDefault="00686EC7" w:rsidP="00141BAA">
            <w:pPr>
              <w:overflowPunct/>
              <w:autoSpaceDE/>
              <w:adjustRightInd/>
              <w:spacing w:before="0"/>
              <w:jc w:val="right"/>
              <w:rPr>
                <w:sz w:val="22"/>
                <w:szCs w:val="22"/>
                <w:lang w:val="en-US" w:eastAsia="zh-CN"/>
              </w:rPr>
            </w:pPr>
            <w:r w:rsidRPr="000C156A">
              <w:rPr>
                <w:sz w:val="22"/>
                <w:szCs w:val="22"/>
                <w:lang w:val="en-US" w:eastAsia="zh-CN"/>
              </w:rPr>
              <w:t>1</w:t>
            </w:r>
            <w:r w:rsidR="001A59E5" w:rsidRPr="000C156A">
              <w:rPr>
                <w:sz w:val="22"/>
                <w:szCs w:val="22"/>
                <w:lang w:val="en-US" w:eastAsia="zh-CN"/>
              </w:rPr>
              <w:t xml:space="preserve"> </w:t>
            </w:r>
            <w:r w:rsidRPr="000C156A">
              <w:rPr>
                <w:sz w:val="22"/>
                <w:szCs w:val="22"/>
                <w:lang w:val="en-US" w:eastAsia="zh-CN"/>
              </w:rPr>
              <w:t>200.00</w:t>
            </w:r>
          </w:p>
        </w:tc>
      </w:tr>
      <w:tr w:rsidR="00686EC7" w:rsidRPr="000C156A" w14:paraId="4A7B974C" w14:textId="77777777" w:rsidTr="00141BAA">
        <w:trPr>
          <w:trHeight w:val="263"/>
        </w:trPr>
        <w:tc>
          <w:tcPr>
            <w:tcW w:w="1071" w:type="dxa"/>
            <w:tcBorders>
              <w:top w:val="nil"/>
              <w:left w:val="single" w:sz="4" w:space="0" w:color="auto"/>
              <w:bottom w:val="single" w:sz="4" w:space="0" w:color="auto"/>
              <w:right w:val="single" w:sz="4" w:space="0" w:color="auto"/>
            </w:tcBorders>
            <w:noWrap/>
            <w:vAlign w:val="bottom"/>
            <w:hideMark/>
          </w:tcPr>
          <w:p w14:paraId="347A679F" w14:textId="77777777" w:rsidR="00686EC7" w:rsidRPr="000C156A" w:rsidRDefault="00686EC7" w:rsidP="00141BAA">
            <w:pPr>
              <w:overflowPunct/>
              <w:autoSpaceDE/>
              <w:adjustRightInd/>
              <w:spacing w:before="0"/>
              <w:jc w:val="center"/>
              <w:rPr>
                <w:rFonts w:asciiTheme="minorHAnsi" w:hAnsiTheme="minorHAnsi"/>
                <w:sz w:val="22"/>
                <w:szCs w:val="22"/>
                <w:lang w:val="en-US" w:eastAsia="zh-CN"/>
              </w:rPr>
            </w:pPr>
            <w:r w:rsidRPr="000C156A">
              <w:rPr>
                <w:rFonts w:asciiTheme="minorHAnsi" w:hAnsiTheme="minorHAnsi"/>
                <w:sz w:val="22"/>
                <w:szCs w:val="22"/>
                <w:lang w:val="en-US" w:eastAsia="zh-CN"/>
              </w:rPr>
              <w:t>TLC 2016</w:t>
            </w:r>
          </w:p>
        </w:tc>
        <w:tc>
          <w:tcPr>
            <w:tcW w:w="1463" w:type="dxa"/>
            <w:tcBorders>
              <w:top w:val="nil"/>
              <w:left w:val="nil"/>
              <w:bottom w:val="single" w:sz="4" w:space="0" w:color="auto"/>
              <w:right w:val="single" w:sz="4" w:space="0" w:color="auto"/>
            </w:tcBorders>
            <w:noWrap/>
            <w:vAlign w:val="bottom"/>
            <w:hideMark/>
          </w:tcPr>
          <w:p w14:paraId="56E60199"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hint="eastAsia"/>
                <w:color w:val="000000"/>
                <w:sz w:val="22"/>
                <w:szCs w:val="22"/>
                <w:lang w:val="en-US" w:eastAsia="zh-CN"/>
              </w:rPr>
              <w:t>阿根廷</w:t>
            </w:r>
          </w:p>
        </w:tc>
        <w:tc>
          <w:tcPr>
            <w:tcW w:w="3464" w:type="dxa"/>
            <w:tcBorders>
              <w:top w:val="nil"/>
              <w:left w:val="nil"/>
              <w:bottom w:val="single" w:sz="4" w:space="0" w:color="auto"/>
              <w:right w:val="single" w:sz="4" w:space="0" w:color="auto"/>
            </w:tcBorders>
            <w:noWrap/>
            <w:vAlign w:val="bottom"/>
            <w:hideMark/>
          </w:tcPr>
          <w:p w14:paraId="50D82552"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hint="eastAsia"/>
                <w:color w:val="000000"/>
                <w:sz w:val="22"/>
                <w:szCs w:val="22"/>
                <w:lang w:val="en-US" w:eastAsia="zh-CN"/>
              </w:rPr>
              <w:t>通信部</w:t>
            </w:r>
          </w:p>
        </w:tc>
        <w:tc>
          <w:tcPr>
            <w:tcW w:w="1368" w:type="dxa"/>
            <w:tcBorders>
              <w:top w:val="nil"/>
              <w:left w:val="nil"/>
              <w:bottom w:val="single" w:sz="4" w:space="0" w:color="auto"/>
              <w:right w:val="single" w:sz="4" w:space="0" w:color="auto"/>
            </w:tcBorders>
            <w:noWrap/>
            <w:vAlign w:val="bottom"/>
            <w:hideMark/>
          </w:tcPr>
          <w:p w14:paraId="0F1C935C" w14:textId="121A1B4A" w:rsidR="00686EC7" w:rsidRPr="000C156A" w:rsidRDefault="00686EC7" w:rsidP="00141BAA">
            <w:pPr>
              <w:overflowPunct/>
              <w:autoSpaceDE/>
              <w:adjustRightInd/>
              <w:spacing w:before="0"/>
              <w:jc w:val="right"/>
              <w:rPr>
                <w:color w:val="000000"/>
                <w:sz w:val="22"/>
                <w:szCs w:val="22"/>
                <w:lang w:val="en-US" w:eastAsia="zh-CN"/>
              </w:rPr>
            </w:pPr>
            <w:r w:rsidRPr="000C156A">
              <w:rPr>
                <w:color w:val="000000"/>
                <w:sz w:val="22"/>
                <w:szCs w:val="22"/>
                <w:lang w:val="en-US" w:eastAsia="zh-CN"/>
              </w:rPr>
              <w:t>40</w:t>
            </w:r>
            <w:r w:rsidR="001A59E5" w:rsidRPr="000C156A">
              <w:rPr>
                <w:color w:val="000000"/>
                <w:sz w:val="22"/>
                <w:szCs w:val="22"/>
                <w:lang w:val="en-US" w:eastAsia="zh-CN"/>
              </w:rPr>
              <w:t xml:space="preserve"> </w:t>
            </w:r>
            <w:r w:rsidRPr="000C156A">
              <w:rPr>
                <w:color w:val="000000"/>
                <w:sz w:val="22"/>
                <w:szCs w:val="22"/>
                <w:lang w:val="en-US" w:eastAsia="zh-CN"/>
              </w:rPr>
              <w:t>000.00</w:t>
            </w:r>
          </w:p>
        </w:tc>
        <w:tc>
          <w:tcPr>
            <w:tcW w:w="1395" w:type="dxa"/>
            <w:tcBorders>
              <w:top w:val="nil"/>
              <w:left w:val="nil"/>
              <w:bottom w:val="single" w:sz="4" w:space="0" w:color="auto"/>
              <w:right w:val="single" w:sz="4" w:space="0" w:color="auto"/>
            </w:tcBorders>
            <w:noWrap/>
            <w:vAlign w:val="bottom"/>
            <w:hideMark/>
          </w:tcPr>
          <w:p w14:paraId="564DD85C" w14:textId="77777777" w:rsidR="00686EC7" w:rsidRPr="000C156A" w:rsidRDefault="00686EC7" w:rsidP="00141BAA">
            <w:pPr>
              <w:overflowPunct/>
              <w:autoSpaceDE/>
              <w:adjustRightInd/>
              <w:spacing w:before="0"/>
              <w:jc w:val="right"/>
              <w:rPr>
                <w:color w:val="000000"/>
                <w:sz w:val="22"/>
                <w:szCs w:val="22"/>
                <w:lang w:val="en-US" w:eastAsia="zh-CN"/>
              </w:rPr>
            </w:pPr>
            <w:r w:rsidRPr="000C156A">
              <w:rPr>
                <w:color w:val="000000"/>
                <w:sz w:val="22"/>
                <w:szCs w:val="22"/>
                <w:lang w:val="en-US" w:eastAsia="zh-CN"/>
              </w:rPr>
              <w:t>0.00</w:t>
            </w:r>
          </w:p>
        </w:tc>
        <w:tc>
          <w:tcPr>
            <w:tcW w:w="1275" w:type="dxa"/>
            <w:tcBorders>
              <w:top w:val="nil"/>
              <w:left w:val="nil"/>
              <w:bottom w:val="single" w:sz="4" w:space="0" w:color="auto"/>
              <w:right w:val="single" w:sz="4" w:space="0" w:color="auto"/>
            </w:tcBorders>
            <w:noWrap/>
            <w:vAlign w:val="bottom"/>
            <w:hideMark/>
          </w:tcPr>
          <w:p w14:paraId="03721426" w14:textId="397E69D8" w:rsidR="00686EC7" w:rsidRPr="000C156A" w:rsidRDefault="00686EC7" w:rsidP="00141BAA">
            <w:pPr>
              <w:overflowPunct/>
              <w:autoSpaceDE/>
              <w:adjustRightInd/>
              <w:spacing w:before="0"/>
              <w:jc w:val="right"/>
              <w:rPr>
                <w:sz w:val="22"/>
                <w:szCs w:val="22"/>
                <w:lang w:val="en-US" w:eastAsia="zh-CN"/>
              </w:rPr>
            </w:pPr>
            <w:r w:rsidRPr="000C156A">
              <w:rPr>
                <w:sz w:val="22"/>
                <w:szCs w:val="22"/>
                <w:lang w:val="en-US" w:eastAsia="zh-CN"/>
              </w:rPr>
              <w:t>40</w:t>
            </w:r>
            <w:r w:rsidR="001A59E5" w:rsidRPr="000C156A">
              <w:rPr>
                <w:sz w:val="22"/>
                <w:szCs w:val="22"/>
                <w:lang w:val="en-US" w:eastAsia="zh-CN"/>
              </w:rPr>
              <w:t xml:space="preserve"> </w:t>
            </w:r>
            <w:r w:rsidRPr="000C156A">
              <w:rPr>
                <w:sz w:val="22"/>
                <w:szCs w:val="22"/>
                <w:lang w:val="en-US" w:eastAsia="zh-CN"/>
              </w:rPr>
              <w:t>000.00</w:t>
            </w:r>
          </w:p>
        </w:tc>
      </w:tr>
      <w:tr w:rsidR="00686EC7" w:rsidRPr="000C156A" w14:paraId="6470A938" w14:textId="77777777" w:rsidTr="00141BAA">
        <w:trPr>
          <w:trHeight w:val="263"/>
        </w:trPr>
        <w:tc>
          <w:tcPr>
            <w:tcW w:w="1071" w:type="dxa"/>
            <w:tcBorders>
              <w:top w:val="nil"/>
              <w:left w:val="single" w:sz="4" w:space="0" w:color="auto"/>
              <w:bottom w:val="single" w:sz="4" w:space="0" w:color="auto"/>
              <w:right w:val="single" w:sz="4" w:space="0" w:color="auto"/>
            </w:tcBorders>
            <w:noWrap/>
            <w:vAlign w:val="bottom"/>
            <w:hideMark/>
          </w:tcPr>
          <w:p w14:paraId="02681FDF" w14:textId="77777777" w:rsidR="00686EC7" w:rsidRPr="000C156A" w:rsidRDefault="00686EC7" w:rsidP="00141BAA">
            <w:pPr>
              <w:overflowPunct/>
              <w:autoSpaceDE/>
              <w:adjustRightInd/>
              <w:spacing w:before="0"/>
              <w:jc w:val="center"/>
              <w:rPr>
                <w:rFonts w:asciiTheme="minorHAnsi" w:hAnsiTheme="minorHAnsi"/>
                <w:sz w:val="22"/>
                <w:szCs w:val="22"/>
                <w:lang w:val="en-US" w:eastAsia="zh-CN"/>
              </w:rPr>
            </w:pPr>
            <w:r w:rsidRPr="000C156A">
              <w:rPr>
                <w:rFonts w:asciiTheme="minorHAnsi" w:hAnsiTheme="minorHAnsi"/>
                <w:sz w:val="22"/>
                <w:szCs w:val="22"/>
                <w:lang w:val="en-US" w:eastAsia="zh-CN"/>
              </w:rPr>
              <w:t>TLC 2016</w:t>
            </w:r>
          </w:p>
        </w:tc>
        <w:tc>
          <w:tcPr>
            <w:tcW w:w="1463" w:type="dxa"/>
            <w:tcBorders>
              <w:top w:val="nil"/>
              <w:left w:val="nil"/>
              <w:bottom w:val="single" w:sz="4" w:space="0" w:color="auto"/>
              <w:right w:val="single" w:sz="4" w:space="0" w:color="auto"/>
            </w:tcBorders>
            <w:noWrap/>
            <w:vAlign w:val="bottom"/>
            <w:hideMark/>
          </w:tcPr>
          <w:p w14:paraId="6F9B58A5"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hint="eastAsia"/>
                <w:color w:val="000000"/>
                <w:sz w:val="22"/>
                <w:szCs w:val="22"/>
                <w:lang w:val="en-US" w:eastAsia="zh-CN"/>
              </w:rPr>
              <w:t>苏丹</w:t>
            </w:r>
          </w:p>
        </w:tc>
        <w:tc>
          <w:tcPr>
            <w:tcW w:w="3464" w:type="dxa"/>
            <w:tcBorders>
              <w:top w:val="nil"/>
              <w:left w:val="nil"/>
              <w:bottom w:val="single" w:sz="4" w:space="0" w:color="auto"/>
              <w:right w:val="single" w:sz="4" w:space="0" w:color="auto"/>
            </w:tcBorders>
            <w:noWrap/>
            <w:vAlign w:val="bottom"/>
            <w:hideMark/>
          </w:tcPr>
          <w:p w14:paraId="35A49959"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hint="eastAsia"/>
                <w:color w:val="000000"/>
                <w:sz w:val="22"/>
                <w:szCs w:val="22"/>
                <w:lang w:val="en-US" w:eastAsia="zh-CN"/>
              </w:rPr>
              <w:t>国家信息中心</w:t>
            </w:r>
          </w:p>
        </w:tc>
        <w:tc>
          <w:tcPr>
            <w:tcW w:w="1368" w:type="dxa"/>
            <w:tcBorders>
              <w:top w:val="nil"/>
              <w:left w:val="nil"/>
              <w:bottom w:val="single" w:sz="4" w:space="0" w:color="auto"/>
              <w:right w:val="single" w:sz="4" w:space="0" w:color="auto"/>
            </w:tcBorders>
            <w:noWrap/>
            <w:vAlign w:val="bottom"/>
            <w:hideMark/>
          </w:tcPr>
          <w:p w14:paraId="069BA900" w14:textId="3CDD35F6" w:rsidR="00686EC7" w:rsidRPr="000C156A" w:rsidRDefault="00686EC7" w:rsidP="00141BAA">
            <w:pPr>
              <w:overflowPunct/>
              <w:autoSpaceDE/>
              <w:adjustRightInd/>
              <w:spacing w:before="0"/>
              <w:jc w:val="right"/>
              <w:rPr>
                <w:color w:val="000000"/>
                <w:sz w:val="22"/>
                <w:szCs w:val="22"/>
                <w:lang w:val="en-US" w:eastAsia="zh-CN"/>
              </w:rPr>
            </w:pPr>
            <w:r w:rsidRPr="000C156A">
              <w:rPr>
                <w:color w:val="000000"/>
                <w:sz w:val="22"/>
                <w:szCs w:val="22"/>
                <w:lang w:val="en-US" w:eastAsia="zh-CN"/>
              </w:rPr>
              <w:t>50</w:t>
            </w:r>
            <w:r w:rsidR="001A59E5" w:rsidRPr="000C156A">
              <w:rPr>
                <w:color w:val="000000"/>
                <w:sz w:val="22"/>
                <w:szCs w:val="22"/>
                <w:lang w:val="en-US" w:eastAsia="zh-CN"/>
              </w:rPr>
              <w:t xml:space="preserve"> </w:t>
            </w:r>
            <w:r w:rsidRPr="000C156A">
              <w:rPr>
                <w:color w:val="000000"/>
                <w:sz w:val="22"/>
                <w:szCs w:val="22"/>
                <w:lang w:val="en-US" w:eastAsia="zh-CN"/>
              </w:rPr>
              <w:t>000.00</w:t>
            </w:r>
          </w:p>
        </w:tc>
        <w:tc>
          <w:tcPr>
            <w:tcW w:w="1395" w:type="dxa"/>
            <w:tcBorders>
              <w:top w:val="nil"/>
              <w:left w:val="nil"/>
              <w:bottom w:val="single" w:sz="4" w:space="0" w:color="auto"/>
              <w:right w:val="single" w:sz="4" w:space="0" w:color="auto"/>
            </w:tcBorders>
            <w:noWrap/>
            <w:vAlign w:val="bottom"/>
            <w:hideMark/>
          </w:tcPr>
          <w:p w14:paraId="1CAF2B49" w14:textId="77777777" w:rsidR="00686EC7" w:rsidRPr="000C156A" w:rsidRDefault="00686EC7" w:rsidP="00141BAA">
            <w:pPr>
              <w:overflowPunct/>
              <w:autoSpaceDE/>
              <w:adjustRightInd/>
              <w:spacing w:before="0"/>
              <w:jc w:val="right"/>
              <w:rPr>
                <w:color w:val="000000"/>
                <w:sz w:val="22"/>
                <w:szCs w:val="22"/>
                <w:lang w:val="en-US" w:eastAsia="zh-CN"/>
              </w:rPr>
            </w:pPr>
            <w:r w:rsidRPr="000C156A">
              <w:rPr>
                <w:color w:val="000000"/>
                <w:sz w:val="22"/>
                <w:szCs w:val="22"/>
                <w:lang w:val="en-US" w:eastAsia="zh-CN"/>
              </w:rPr>
              <w:t>0.00</w:t>
            </w:r>
          </w:p>
        </w:tc>
        <w:tc>
          <w:tcPr>
            <w:tcW w:w="1275" w:type="dxa"/>
            <w:tcBorders>
              <w:top w:val="nil"/>
              <w:left w:val="nil"/>
              <w:bottom w:val="single" w:sz="4" w:space="0" w:color="auto"/>
              <w:right w:val="single" w:sz="4" w:space="0" w:color="auto"/>
            </w:tcBorders>
            <w:noWrap/>
            <w:vAlign w:val="bottom"/>
            <w:hideMark/>
          </w:tcPr>
          <w:p w14:paraId="071C5189" w14:textId="79CA31F5" w:rsidR="00686EC7" w:rsidRPr="000C156A" w:rsidRDefault="00686EC7" w:rsidP="00141BAA">
            <w:pPr>
              <w:overflowPunct/>
              <w:autoSpaceDE/>
              <w:adjustRightInd/>
              <w:spacing w:before="0"/>
              <w:jc w:val="right"/>
              <w:rPr>
                <w:sz w:val="22"/>
                <w:szCs w:val="22"/>
                <w:lang w:val="en-US" w:eastAsia="zh-CN"/>
              </w:rPr>
            </w:pPr>
            <w:r w:rsidRPr="000C156A">
              <w:rPr>
                <w:sz w:val="22"/>
                <w:szCs w:val="22"/>
                <w:lang w:val="en-US" w:eastAsia="zh-CN"/>
              </w:rPr>
              <w:t>50</w:t>
            </w:r>
            <w:r w:rsidR="001A59E5" w:rsidRPr="000C156A">
              <w:rPr>
                <w:sz w:val="22"/>
                <w:szCs w:val="22"/>
                <w:lang w:val="en-US" w:eastAsia="zh-CN"/>
              </w:rPr>
              <w:t xml:space="preserve"> </w:t>
            </w:r>
            <w:r w:rsidRPr="000C156A">
              <w:rPr>
                <w:sz w:val="22"/>
                <w:szCs w:val="22"/>
                <w:lang w:val="en-US" w:eastAsia="zh-CN"/>
              </w:rPr>
              <w:t>000.00</w:t>
            </w:r>
          </w:p>
        </w:tc>
      </w:tr>
      <w:tr w:rsidR="00686EC7" w:rsidRPr="000C156A" w14:paraId="61653393" w14:textId="77777777" w:rsidTr="00141BAA">
        <w:trPr>
          <w:trHeight w:val="263"/>
        </w:trPr>
        <w:tc>
          <w:tcPr>
            <w:tcW w:w="1071" w:type="dxa"/>
            <w:tcBorders>
              <w:top w:val="nil"/>
              <w:left w:val="single" w:sz="4" w:space="0" w:color="auto"/>
              <w:bottom w:val="single" w:sz="4" w:space="0" w:color="auto"/>
              <w:right w:val="single" w:sz="4" w:space="0" w:color="auto"/>
            </w:tcBorders>
            <w:noWrap/>
            <w:vAlign w:val="bottom"/>
            <w:hideMark/>
          </w:tcPr>
          <w:p w14:paraId="5118A8E0" w14:textId="77777777" w:rsidR="00686EC7" w:rsidRPr="000C156A" w:rsidRDefault="00686EC7" w:rsidP="00141BAA">
            <w:pPr>
              <w:overflowPunct/>
              <w:autoSpaceDE/>
              <w:adjustRightInd/>
              <w:spacing w:before="0"/>
              <w:jc w:val="center"/>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463" w:type="dxa"/>
            <w:tcBorders>
              <w:top w:val="nil"/>
              <w:left w:val="nil"/>
              <w:bottom w:val="single" w:sz="4" w:space="0" w:color="auto"/>
              <w:right w:val="single" w:sz="4" w:space="0" w:color="auto"/>
            </w:tcBorders>
            <w:noWrap/>
            <w:vAlign w:val="bottom"/>
            <w:hideMark/>
          </w:tcPr>
          <w:p w14:paraId="3A1389EB"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3464" w:type="dxa"/>
            <w:tcBorders>
              <w:top w:val="nil"/>
              <w:left w:val="nil"/>
              <w:bottom w:val="single" w:sz="4" w:space="0" w:color="auto"/>
              <w:right w:val="single" w:sz="4" w:space="0" w:color="auto"/>
            </w:tcBorders>
            <w:noWrap/>
            <w:vAlign w:val="bottom"/>
            <w:hideMark/>
          </w:tcPr>
          <w:p w14:paraId="1A9ECF78"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368" w:type="dxa"/>
            <w:tcBorders>
              <w:top w:val="nil"/>
              <w:left w:val="nil"/>
              <w:bottom w:val="single" w:sz="4" w:space="0" w:color="auto"/>
              <w:right w:val="single" w:sz="4" w:space="0" w:color="auto"/>
            </w:tcBorders>
            <w:noWrap/>
            <w:vAlign w:val="bottom"/>
            <w:hideMark/>
          </w:tcPr>
          <w:p w14:paraId="5989F2ED" w14:textId="77777777" w:rsidR="00686EC7" w:rsidRPr="000C156A" w:rsidRDefault="00686EC7" w:rsidP="00141BAA">
            <w:pPr>
              <w:overflowPunct/>
              <w:autoSpaceDE/>
              <w:adjustRightInd/>
              <w:spacing w:before="0"/>
              <w:rPr>
                <w:color w:val="000000"/>
                <w:sz w:val="22"/>
                <w:szCs w:val="22"/>
                <w:lang w:val="en-US" w:eastAsia="zh-CN"/>
              </w:rPr>
            </w:pPr>
            <w:r w:rsidRPr="000C156A">
              <w:rPr>
                <w:color w:val="000000"/>
                <w:sz w:val="22"/>
                <w:szCs w:val="22"/>
                <w:lang w:val="en-US" w:eastAsia="zh-CN"/>
              </w:rPr>
              <w:t> </w:t>
            </w:r>
          </w:p>
        </w:tc>
        <w:tc>
          <w:tcPr>
            <w:tcW w:w="1395" w:type="dxa"/>
            <w:tcBorders>
              <w:top w:val="nil"/>
              <w:left w:val="nil"/>
              <w:bottom w:val="single" w:sz="4" w:space="0" w:color="auto"/>
              <w:right w:val="single" w:sz="4" w:space="0" w:color="auto"/>
            </w:tcBorders>
            <w:noWrap/>
            <w:vAlign w:val="bottom"/>
            <w:hideMark/>
          </w:tcPr>
          <w:p w14:paraId="1C39611D" w14:textId="77777777" w:rsidR="00686EC7" w:rsidRPr="000C156A" w:rsidRDefault="00686EC7" w:rsidP="00141BAA">
            <w:pPr>
              <w:overflowPunct/>
              <w:autoSpaceDE/>
              <w:adjustRightInd/>
              <w:spacing w:before="0"/>
              <w:rPr>
                <w:color w:val="000000"/>
                <w:sz w:val="22"/>
                <w:szCs w:val="22"/>
                <w:lang w:val="en-US" w:eastAsia="zh-CN"/>
              </w:rPr>
            </w:pPr>
            <w:r w:rsidRPr="000C156A">
              <w:rPr>
                <w:color w:val="000000"/>
                <w:sz w:val="22"/>
                <w:szCs w:val="22"/>
                <w:lang w:val="en-US" w:eastAsia="zh-CN"/>
              </w:rPr>
              <w:t> </w:t>
            </w:r>
          </w:p>
        </w:tc>
        <w:tc>
          <w:tcPr>
            <w:tcW w:w="1275" w:type="dxa"/>
            <w:tcBorders>
              <w:top w:val="nil"/>
              <w:left w:val="nil"/>
              <w:bottom w:val="single" w:sz="4" w:space="0" w:color="auto"/>
              <w:right w:val="single" w:sz="4" w:space="0" w:color="auto"/>
            </w:tcBorders>
            <w:noWrap/>
            <w:vAlign w:val="bottom"/>
            <w:hideMark/>
          </w:tcPr>
          <w:p w14:paraId="604F6867" w14:textId="77777777" w:rsidR="00686EC7" w:rsidRPr="000C156A" w:rsidRDefault="00686EC7" w:rsidP="00141BAA">
            <w:pPr>
              <w:overflowPunct/>
              <w:autoSpaceDE/>
              <w:adjustRightInd/>
              <w:spacing w:before="0"/>
              <w:rPr>
                <w:color w:val="000000"/>
                <w:sz w:val="22"/>
                <w:szCs w:val="22"/>
                <w:lang w:val="en-US" w:eastAsia="zh-CN"/>
              </w:rPr>
            </w:pPr>
            <w:r w:rsidRPr="000C156A">
              <w:rPr>
                <w:color w:val="000000"/>
                <w:sz w:val="22"/>
                <w:szCs w:val="22"/>
                <w:lang w:val="en-US" w:eastAsia="zh-CN"/>
              </w:rPr>
              <w:t> </w:t>
            </w:r>
          </w:p>
        </w:tc>
      </w:tr>
      <w:tr w:rsidR="00686EC7" w:rsidRPr="000C156A" w14:paraId="791D82D9" w14:textId="77777777" w:rsidTr="00141BAA">
        <w:trPr>
          <w:trHeight w:val="263"/>
        </w:trPr>
        <w:tc>
          <w:tcPr>
            <w:tcW w:w="1071" w:type="dxa"/>
            <w:tcBorders>
              <w:top w:val="nil"/>
              <w:left w:val="single" w:sz="4" w:space="0" w:color="auto"/>
              <w:bottom w:val="single" w:sz="4" w:space="0" w:color="auto"/>
              <w:right w:val="single" w:sz="4" w:space="0" w:color="auto"/>
            </w:tcBorders>
            <w:noWrap/>
            <w:vAlign w:val="bottom"/>
            <w:hideMark/>
          </w:tcPr>
          <w:p w14:paraId="0278676C" w14:textId="77777777" w:rsidR="00686EC7" w:rsidRPr="000C156A" w:rsidRDefault="00686EC7" w:rsidP="00141BAA">
            <w:pPr>
              <w:overflowPunct/>
              <w:autoSpaceDE/>
              <w:adjustRightInd/>
              <w:spacing w:before="0"/>
              <w:jc w:val="center"/>
              <w:rPr>
                <w:rFonts w:asciiTheme="minorHAnsi" w:hAnsiTheme="minorHAnsi"/>
                <w:bCs/>
                <w:color w:val="000000"/>
                <w:sz w:val="22"/>
                <w:szCs w:val="22"/>
                <w:lang w:val="en-US" w:eastAsia="zh-CN"/>
              </w:rPr>
            </w:pPr>
            <w:r w:rsidRPr="000C156A">
              <w:rPr>
                <w:rFonts w:asciiTheme="minorHAnsi" w:hAnsiTheme="minorHAnsi"/>
                <w:bCs/>
                <w:color w:val="000000"/>
                <w:sz w:val="22"/>
                <w:szCs w:val="22"/>
                <w:lang w:val="en-US" w:eastAsia="zh-CN"/>
              </w:rPr>
              <w:t>TLC 2016</w:t>
            </w:r>
          </w:p>
        </w:tc>
        <w:tc>
          <w:tcPr>
            <w:tcW w:w="1463" w:type="dxa"/>
            <w:tcBorders>
              <w:top w:val="nil"/>
              <w:left w:val="nil"/>
              <w:bottom w:val="single" w:sz="4" w:space="0" w:color="auto"/>
              <w:right w:val="single" w:sz="4" w:space="0" w:color="auto"/>
            </w:tcBorders>
            <w:noWrap/>
            <w:vAlign w:val="bottom"/>
            <w:hideMark/>
          </w:tcPr>
          <w:p w14:paraId="6024459E"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3464" w:type="dxa"/>
            <w:tcBorders>
              <w:top w:val="nil"/>
              <w:left w:val="nil"/>
              <w:bottom w:val="single" w:sz="4" w:space="0" w:color="auto"/>
              <w:right w:val="single" w:sz="4" w:space="0" w:color="auto"/>
            </w:tcBorders>
            <w:noWrap/>
            <w:vAlign w:val="bottom"/>
            <w:hideMark/>
          </w:tcPr>
          <w:p w14:paraId="6A8F9EC2" w14:textId="77777777" w:rsidR="00686EC7" w:rsidRPr="000C156A" w:rsidRDefault="00686EC7" w:rsidP="00141BAA">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368" w:type="dxa"/>
            <w:tcBorders>
              <w:top w:val="nil"/>
              <w:left w:val="nil"/>
              <w:bottom w:val="single" w:sz="4" w:space="0" w:color="auto"/>
              <w:right w:val="single" w:sz="4" w:space="0" w:color="auto"/>
            </w:tcBorders>
            <w:noWrap/>
            <w:vAlign w:val="bottom"/>
            <w:hideMark/>
          </w:tcPr>
          <w:p w14:paraId="22CA5996" w14:textId="77777777" w:rsidR="00686EC7" w:rsidRPr="000C156A" w:rsidRDefault="00686EC7" w:rsidP="00141BAA">
            <w:pPr>
              <w:overflowPunct/>
              <w:autoSpaceDE/>
              <w:adjustRightInd/>
              <w:spacing w:before="0"/>
              <w:rPr>
                <w:color w:val="000000"/>
                <w:sz w:val="22"/>
                <w:szCs w:val="22"/>
                <w:lang w:val="en-US" w:eastAsia="zh-CN"/>
              </w:rPr>
            </w:pPr>
            <w:r w:rsidRPr="000C156A">
              <w:rPr>
                <w:color w:val="000000"/>
                <w:sz w:val="22"/>
                <w:szCs w:val="22"/>
                <w:lang w:val="en-US" w:eastAsia="zh-CN"/>
              </w:rPr>
              <w:t> </w:t>
            </w:r>
          </w:p>
        </w:tc>
        <w:tc>
          <w:tcPr>
            <w:tcW w:w="1395" w:type="dxa"/>
            <w:tcBorders>
              <w:top w:val="nil"/>
              <w:left w:val="nil"/>
              <w:bottom w:val="single" w:sz="4" w:space="0" w:color="auto"/>
              <w:right w:val="single" w:sz="4" w:space="0" w:color="auto"/>
            </w:tcBorders>
            <w:noWrap/>
            <w:vAlign w:val="bottom"/>
            <w:hideMark/>
          </w:tcPr>
          <w:p w14:paraId="47DB928E" w14:textId="77777777" w:rsidR="00686EC7" w:rsidRPr="000C156A" w:rsidRDefault="00686EC7" w:rsidP="00141BAA">
            <w:pPr>
              <w:overflowPunct/>
              <w:autoSpaceDE/>
              <w:adjustRightInd/>
              <w:spacing w:before="0"/>
              <w:rPr>
                <w:rFonts w:ascii="Arial" w:hAnsi="Arial" w:cs="Arial"/>
                <w:b/>
                <w:bCs/>
                <w:sz w:val="22"/>
                <w:szCs w:val="22"/>
                <w:lang w:val="en-US" w:eastAsia="zh-CN"/>
              </w:rPr>
            </w:pPr>
            <w:r w:rsidRPr="000C156A">
              <w:rPr>
                <w:rFonts w:ascii="Arial" w:hAnsi="Arial" w:cs="Arial"/>
                <w:b/>
                <w:bCs/>
                <w:sz w:val="22"/>
                <w:szCs w:val="22"/>
                <w:lang w:val="en-US" w:eastAsia="zh-CN"/>
              </w:rPr>
              <w:t> </w:t>
            </w:r>
          </w:p>
        </w:tc>
        <w:tc>
          <w:tcPr>
            <w:tcW w:w="1275" w:type="dxa"/>
            <w:tcBorders>
              <w:top w:val="nil"/>
              <w:left w:val="nil"/>
              <w:bottom w:val="single" w:sz="4" w:space="0" w:color="auto"/>
              <w:right w:val="single" w:sz="4" w:space="0" w:color="auto"/>
            </w:tcBorders>
            <w:noWrap/>
            <w:vAlign w:val="bottom"/>
            <w:hideMark/>
          </w:tcPr>
          <w:p w14:paraId="4D921ADE" w14:textId="1177C941" w:rsidR="00686EC7" w:rsidRPr="000C156A" w:rsidRDefault="00686EC7" w:rsidP="00141BAA">
            <w:pPr>
              <w:overflowPunct/>
              <w:autoSpaceDE/>
              <w:adjustRightInd/>
              <w:spacing w:before="0"/>
              <w:jc w:val="right"/>
              <w:rPr>
                <w:rFonts w:ascii="Arial" w:hAnsi="Arial" w:cs="Arial"/>
                <w:b/>
                <w:bCs/>
                <w:sz w:val="22"/>
                <w:szCs w:val="22"/>
                <w:lang w:val="en-US" w:eastAsia="zh-CN"/>
              </w:rPr>
            </w:pPr>
            <w:r w:rsidRPr="000C156A">
              <w:rPr>
                <w:rFonts w:cs="Arial"/>
                <w:b/>
                <w:bCs/>
                <w:sz w:val="22"/>
                <w:szCs w:val="22"/>
              </w:rPr>
              <w:t>92</w:t>
            </w:r>
            <w:r w:rsidR="001A59E5" w:rsidRPr="000C156A">
              <w:rPr>
                <w:rFonts w:cs="Arial"/>
                <w:b/>
                <w:bCs/>
                <w:sz w:val="22"/>
                <w:szCs w:val="22"/>
              </w:rPr>
              <w:t xml:space="preserve"> </w:t>
            </w:r>
            <w:r w:rsidRPr="000C156A">
              <w:rPr>
                <w:rFonts w:cs="Arial"/>
                <w:b/>
                <w:bCs/>
                <w:sz w:val="22"/>
                <w:szCs w:val="22"/>
              </w:rPr>
              <w:t>400.00</w:t>
            </w:r>
          </w:p>
        </w:tc>
      </w:tr>
    </w:tbl>
    <w:p w14:paraId="7C31B49E" w14:textId="77777777" w:rsidR="00686EC7" w:rsidRPr="000C156A" w:rsidRDefault="00686EC7" w:rsidP="00686EC7">
      <w:pPr>
        <w:overflowPunct/>
        <w:autoSpaceDE/>
        <w:autoSpaceDN/>
        <w:adjustRightInd/>
        <w:spacing w:before="0"/>
        <w:textAlignment w:val="auto"/>
        <w:rPr>
          <w:b/>
          <w:bCs/>
          <w:lang w:eastAsia="zh-CN"/>
        </w:rPr>
      </w:pPr>
      <w:r w:rsidRPr="000C156A">
        <w:rPr>
          <w:b/>
          <w:bCs/>
          <w:lang w:eastAsia="zh-CN"/>
        </w:rPr>
        <w:br w:type="page"/>
      </w:r>
    </w:p>
    <w:p w14:paraId="19EAFFEC" w14:textId="77777777" w:rsidR="00686EC7" w:rsidRPr="000C156A" w:rsidRDefault="00686EC7" w:rsidP="00E03BB2">
      <w:pPr>
        <w:pStyle w:val="Annextitle"/>
        <w:rPr>
          <w:rFonts w:asciiTheme="minorHAnsi" w:eastAsiaTheme="minorEastAsia" w:hAnsiTheme="minorHAnsi"/>
          <w:lang w:eastAsia="zh-CN"/>
        </w:rPr>
      </w:pPr>
      <w:r w:rsidRPr="000C156A">
        <w:rPr>
          <w:rFonts w:asciiTheme="minorHAnsi" w:eastAsiaTheme="minorEastAsia" w:hAnsiTheme="minorHAnsi" w:hint="eastAsia"/>
          <w:lang w:eastAsia="zh-CN"/>
        </w:rPr>
        <w:lastRenderedPageBreak/>
        <w:t>截至</w:t>
      </w:r>
      <w:r w:rsidRPr="000C156A">
        <w:rPr>
          <w:rFonts w:asciiTheme="minorHAnsi" w:eastAsiaTheme="minorEastAsia" w:hAnsiTheme="minorHAnsi"/>
          <w:lang w:eastAsia="zh-CN"/>
        </w:rPr>
        <w:t>2020</w:t>
      </w:r>
      <w:r w:rsidRPr="000C156A">
        <w:rPr>
          <w:rFonts w:asciiTheme="minorHAnsi" w:eastAsiaTheme="minorEastAsia" w:hAnsiTheme="minorHAnsi" w:hint="eastAsia"/>
          <w:lang w:eastAsia="zh-CN"/>
        </w:rPr>
        <w:t>年</w:t>
      </w:r>
      <w:r w:rsidRPr="000C156A">
        <w:rPr>
          <w:rFonts w:asciiTheme="minorHAnsi" w:eastAsiaTheme="minorEastAsia" w:hAnsiTheme="minorHAnsi"/>
          <w:lang w:eastAsia="zh-CN"/>
        </w:rPr>
        <w:t>12</w:t>
      </w:r>
      <w:r w:rsidRPr="000C156A">
        <w:rPr>
          <w:rFonts w:asciiTheme="minorHAnsi" w:eastAsiaTheme="minorEastAsia" w:hAnsiTheme="minorHAnsi" w:hint="eastAsia"/>
          <w:lang w:eastAsia="zh-CN"/>
        </w:rPr>
        <w:t>月</w:t>
      </w:r>
      <w:r w:rsidRPr="000C156A">
        <w:rPr>
          <w:rFonts w:asciiTheme="minorHAnsi" w:eastAsiaTheme="minorEastAsia" w:hAnsiTheme="minorHAnsi" w:hint="eastAsia"/>
          <w:lang w:eastAsia="zh-CN"/>
        </w:rPr>
        <w:t>31</w:t>
      </w:r>
      <w:r w:rsidRPr="000C156A">
        <w:rPr>
          <w:rFonts w:asciiTheme="minorHAnsi" w:eastAsiaTheme="minorEastAsia" w:hAnsiTheme="minorHAnsi" w:hint="eastAsia"/>
          <w:lang w:eastAsia="zh-CN"/>
        </w:rPr>
        <w:t>日已结账的国际电联电信展活动的债务方名单（</w:t>
      </w:r>
      <w:r w:rsidRPr="000C156A">
        <w:rPr>
          <w:rFonts w:asciiTheme="minorHAnsi" w:eastAsia="STKaiti" w:hAnsiTheme="minorHAnsi" w:hint="eastAsia"/>
          <w:lang w:eastAsia="zh-CN"/>
        </w:rPr>
        <w:t>完</w:t>
      </w:r>
      <w:r w:rsidRPr="000C156A">
        <w:rPr>
          <w:rFonts w:asciiTheme="minorHAnsi" w:eastAsiaTheme="minorEastAsia" w:hAnsiTheme="minorHAnsi" w:hint="eastAsia"/>
          <w:lang w:eastAsia="zh-CN"/>
        </w:rPr>
        <w:t>）</w:t>
      </w:r>
    </w:p>
    <w:tbl>
      <w:tblPr>
        <w:tblW w:w="5000" w:type="pct"/>
        <w:tblLayout w:type="fixed"/>
        <w:tblCellMar>
          <w:left w:w="0" w:type="dxa"/>
          <w:right w:w="0" w:type="dxa"/>
        </w:tblCellMar>
        <w:tblLook w:val="04A0" w:firstRow="1" w:lastRow="0" w:firstColumn="1" w:lastColumn="0" w:noHBand="0" w:noVBand="1"/>
      </w:tblPr>
      <w:tblGrid>
        <w:gridCol w:w="1555"/>
        <w:gridCol w:w="1134"/>
        <w:gridCol w:w="3405"/>
        <w:gridCol w:w="1132"/>
        <w:gridCol w:w="1134"/>
        <w:gridCol w:w="1269"/>
      </w:tblGrid>
      <w:tr w:rsidR="00686EC7" w:rsidRPr="000C156A" w14:paraId="44487B57" w14:textId="77777777" w:rsidTr="00141BAA">
        <w:trPr>
          <w:trHeight w:val="525"/>
        </w:trPr>
        <w:tc>
          <w:tcPr>
            <w:tcW w:w="80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768B136"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活动</w:t>
            </w:r>
          </w:p>
        </w:tc>
        <w:tc>
          <w:tcPr>
            <w:tcW w:w="58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6635277"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国家</w:t>
            </w:r>
          </w:p>
        </w:tc>
        <w:tc>
          <w:tcPr>
            <w:tcW w:w="17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B5F5DA6"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公司</w:t>
            </w:r>
          </w:p>
        </w:tc>
        <w:tc>
          <w:tcPr>
            <w:tcW w:w="58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498688C"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发票金额</w:t>
            </w:r>
          </w:p>
        </w:tc>
        <w:tc>
          <w:tcPr>
            <w:tcW w:w="58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5EF8206"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收到付款</w:t>
            </w:r>
          </w:p>
        </w:tc>
        <w:tc>
          <w:tcPr>
            <w:tcW w:w="65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05BFEBD" w14:textId="77777777" w:rsidR="00686EC7" w:rsidRPr="000C156A" w:rsidRDefault="00686EC7" w:rsidP="00141BAA">
            <w:pPr>
              <w:pStyle w:val="Tablehead"/>
              <w:rPr>
                <w:rFonts w:asciiTheme="minorHAnsi" w:eastAsiaTheme="minorEastAsia" w:hAnsiTheme="minorHAnsi"/>
                <w:szCs w:val="22"/>
              </w:rPr>
            </w:pPr>
            <w:r w:rsidRPr="000C156A">
              <w:rPr>
                <w:rFonts w:asciiTheme="minorHAnsi" w:eastAsiaTheme="minorEastAsia" w:hAnsiTheme="minorHAnsi" w:hint="eastAsia"/>
                <w:szCs w:val="22"/>
              </w:rPr>
              <w:t>欠款金额</w:t>
            </w:r>
          </w:p>
        </w:tc>
      </w:tr>
      <w:tr w:rsidR="00686EC7" w:rsidRPr="000C156A" w14:paraId="2870C6E9" w14:textId="77777777" w:rsidTr="00141BAA">
        <w:trPr>
          <w:trHeight w:val="300"/>
        </w:trPr>
        <w:tc>
          <w:tcPr>
            <w:tcW w:w="8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B09AEA" w14:textId="77777777" w:rsidR="00686EC7" w:rsidRPr="000C156A" w:rsidRDefault="00686EC7" w:rsidP="00141BAA">
            <w:pPr>
              <w:jc w:val="center"/>
              <w:rPr>
                <w:rFonts w:cs="Arial"/>
                <w:b/>
                <w:bCs/>
                <w:sz w:val="22"/>
                <w:szCs w:val="22"/>
              </w:rPr>
            </w:pPr>
            <w:r w:rsidRPr="000C156A">
              <w:rPr>
                <w:rFonts w:cs="Arial"/>
                <w:b/>
                <w:bCs/>
                <w:sz w:val="22"/>
                <w:szCs w:val="22"/>
              </w:rPr>
              <w:t> </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33C279" w14:textId="77777777" w:rsidR="00686EC7" w:rsidRPr="000C156A" w:rsidRDefault="00686EC7" w:rsidP="00141BAA">
            <w:pPr>
              <w:jc w:val="center"/>
              <w:rPr>
                <w:rFonts w:cs="Arial"/>
                <w:b/>
                <w:bCs/>
                <w:sz w:val="22"/>
                <w:szCs w:val="22"/>
              </w:rPr>
            </w:pPr>
            <w:r w:rsidRPr="000C156A">
              <w:rPr>
                <w:rFonts w:cs="Arial"/>
                <w:b/>
                <w:bCs/>
                <w:sz w:val="22"/>
                <w:szCs w:val="22"/>
              </w:rPr>
              <w:t> </w:t>
            </w:r>
          </w:p>
        </w:tc>
        <w:tc>
          <w:tcPr>
            <w:tcW w:w="17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87007" w14:textId="77777777" w:rsidR="00686EC7" w:rsidRPr="000C156A" w:rsidRDefault="00686EC7" w:rsidP="00141BAA">
            <w:pPr>
              <w:jc w:val="center"/>
              <w:rPr>
                <w:rFonts w:cs="Arial"/>
                <w:sz w:val="22"/>
                <w:szCs w:val="22"/>
              </w:rPr>
            </w:pPr>
            <w:r w:rsidRPr="000C156A">
              <w:rPr>
                <w:rFonts w:cs="Arial"/>
                <w:sz w:val="22"/>
                <w:szCs w:val="22"/>
              </w:rPr>
              <w:t> </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AE8EBE" w14:textId="77777777" w:rsidR="00686EC7" w:rsidRPr="000C156A" w:rsidRDefault="00686EC7" w:rsidP="00141BAA">
            <w:pPr>
              <w:jc w:val="center"/>
              <w:rPr>
                <w:rFonts w:cs="Arial"/>
                <w:sz w:val="22"/>
                <w:szCs w:val="22"/>
              </w:rPr>
            </w:pPr>
            <w:r w:rsidRPr="000C156A">
              <w:rPr>
                <w:rFonts w:cs="Arial"/>
                <w:sz w:val="22"/>
                <w:szCs w:val="22"/>
              </w:rPr>
              <w:t> </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A6CC76" w14:textId="77777777" w:rsidR="00686EC7" w:rsidRPr="000C156A" w:rsidRDefault="00686EC7" w:rsidP="00141BAA">
            <w:pPr>
              <w:jc w:val="center"/>
              <w:rPr>
                <w:rFonts w:cs="Arial"/>
                <w:sz w:val="22"/>
                <w:szCs w:val="22"/>
              </w:rPr>
            </w:pPr>
            <w:r w:rsidRPr="000C156A">
              <w:rPr>
                <w:rFonts w:cs="Arial"/>
                <w:sz w:val="22"/>
                <w:szCs w:val="22"/>
              </w:rPr>
              <w:t> </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FEC8F8" w14:textId="77777777" w:rsidR="00686EC7" w:rsidRPr="000C156A" w:rsidRDefault="00686EC7" w:rsidP="00141BAA">
            <w:pPr>
              <w:jc w:val="center"/>
              <w:rPr>
                <w:rFonts w:cs="Arial"/>
                <w:sz w:val="22"/>
                <w:szCs w:val="22"/>
              </w:rPr>
            </w:pPr>
            <w:r w:rsidRPr="000C156A">
              <w:rPr>
                <w:rFonts w:cs="Arial"/>
                <w:sz w:val="22"/>
                <w:szCs w:val="22"/>
              </w:rPr>
              <w:t> </w:t>
            </w:r>
          </w:p>
        </w:tc>
      </w:tr>
      <w:tr w:rsidR="00686EC7" w:rsidRPr="000C156A" w14:paraId="37DCF5A2" w14:textId="77777777" w:rsidTr="00141BAA">
        <w:trPr>
          <w:trHeight w:val="300"/>
        </w:trPr>
        <w:tc>
          <w:tcPr>
            <w:tcW w:w="8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8B9304" w14:textId="77777777" w:rsidR="00686EC7" w:rsidRPr="000C156A" w:rsidRDefault="00686EC7" w:rsidP="00141BAA">
            <w:pPr>
              <w:jc w:val="center"/>
              <w:rPr>
                <w:sz w:val="22"/>
                <w:szCs w:val="22"/>
              </w:rPr>
            </w:pPr>
            <w:r w:rsidRPr="000C156A">
              <w:rPr>
                <w:sz w:val="22"/>
                <w:szCs w:val="22"/>
              </w:rPr>
              <w:t>TLC 2017</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93C709" w14:textId="77777777" w:rsidR="00686EC7" w:rsidRPr="000C156A" w:rsidRDefault="00686EC7" w:rsidP="00141BAA">
            <w:pPr>
              <w:rPr>
                <w:sz w:val="22"/>
                <w:szCs w:val="22"/>
              </w:rPr>
            </w:pPr>
            <w:r w:rsidRPr="000C156A">
              <w:rPr>
                <w:rFonts w:hint="eastAsia"/>
                <w:sz w:val="22"/>
                <w:szCs w:val="22"/>
              </w:rPr>
              <w:t>也门</w:t>
            </w:r>
          </w:p>
        </w:tc>
        <w:tc>
          <w:tcPr>
            <w:tcW w:w="17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478228" w14:textId="77777777" w:rsidR="00686EC7" w:rsidRPr="000C156A" w:rsidRDefault="00686EC7" w:rsidP="00141BAA">
            <w:pPr>
              <w:rPr>
                <w:sz w:val="22"/>
                <w:szCs w:val="22"/>
              </w:rPr>
            </w:pPr>
            <w:r w:rsidRPr="000C156A">
              <w:rPr>
                <w:sz w:val="22"/>
                <w:szCs w:val="22"/>
              </w:rPr>
              <w:t>AnaMehani</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5902DD" w14:textId="03D7A3CA" w:rsidR="00686EC7" w:rsidRPr="000C156A" w:rsidRDefault="00686EC7" w:rsidP="00141BAA">
            <w:pPr>
              <w:overflowPunct/>
              <w:autoSpaceDE/>
              <w:autoSpaceDN/>
              <w:adjustRightInd/>
              <w:spacing w:before="0"/>
              <w:jc w:val="right"/>
              <w:textAlignment w:val="auto"/>
              <w:rPr>
                <w:sz w:val="22"/>
                <w:szCs w:val="22"/>
                <w:lang w:val="en-US"/>
              </w:rPr>
            </w:pPr>
            <w:r w:rsidRPr="000C156A">
              <w:rPr>
                <w:sz w:val="22"/>
                <w:szCs w:val="22"/>
                <w:lang w:val="en-US"/>
              </w:rPr>
              <w:t>1</w:t>
            </w:r>
            <w:r w:rsidR="001A59E5" w:rsidRPr="000C156A">
              <w:rPr>
                <w:sz w:val="22"/>
                <w:szCs w:val="22"/>
                <w:lang w:val="en-US"/>
              </w:rPr>
              <w:t xml:space="preserve"> </w:t>
            </w:r>
            <w:r w:rsidRPr="000C156A">
              <w:rPr>
                <w:sz w:val="22"/>
                <w:szCs w:val="22"/>
                <w:lang w:val="en-US"/>
              </w:rPr>
              <w:t>200.00</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CF92F4" w14:textId="77777777" w:rsidR="00686EC7" w:rsidRPr="000C156A" w:rsidRDefault="00686EC7" w:rsidP="00141BAA">
            <w:pPr>
              <w:overflowPunct/>
              <w:autoSpaceDE/>
              <w:autoSpaceDN/>
              <w:adjustRightInd/>
              <w:spacing w:before="0"/>
              <w:jc w:val="right"/>
              <w:textAlignment w:val="auto"/>
              <w:rPr>
                <w:sz w:val="22"/>
                <w:szCs w:val="22"/>
                <w:lang w:val="en-US"/>
              </w:rPr>
            </w:pPr>
            <w:r w:rsidRPr="000C156A">
              <w:rPr>
                <w:sz w:val="22"/>
                <w:szCs w:val="22"/>
                <w:lang w:val="en-US"/>
              </w:rPr>
              <w:t>0.00</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457D19" w14:textId="4A2D73C3" w:rsidR="00686EC7" w:rsidRPr="000C156A" w:rsidRDefault="00686EC7" w:rsidP="00141BAA">
            <w:pPr>
              <w:overflowPunct/>
              <w:autoSpaceDE/>
              <w:autoSpaceDN/>
              <w:adjustRightInd/>
              <w:spacing w:before="0"/>
              <w:jc w:val="right"/>
              <w:textAlignment w:val="auto"/>
              <w:rPr>
                <w:sz w:val="22"/>
                <w:szCs w:val="22"/>
                <w:lang w:val="en-US"/>
              </w:rPr>
            </w:pPr>
            <w:r w:rsidRPr="000C156A">
              <w:rPr>
                <w:sz w:val="22"/>
                <w:szCs w:val="22"/>
                <w:lang w:val="en-US"/>
              </w:rPr>
              <w:t>1</w:t>
            </w:r>
            <w:r w:rsidR="001A59E5" w:rsidRPr="000C156A">
              <w:rPr>
                <w:sz w:val="22"/>
                <w:szCs w:val="22"/>
                <w:lang w:val="en-US"/>
              </w:rPr>
              <w:t xml:space="preserve"> </w:t>
            </w:r>
            <w:r w:rsidRPr="000C156A">
              <w:rPr>
                <w:sz w:val="22"/>
                <w:szCs w:val="22"/>
                <w:lang w:val="en-US"/>
              </w:rPr>
              <w:t>200.00</w:t>
            </w:r>
          </w:p>
        </w:tc>
      </w:tr>
      <w:tr w:rsidR="00686EC7" w:rsidRPr="000C156A" w14:paraId="4E9E6260" w14:textId="77777777" w:rsidTr="00141BAA">
        <w:trPr>
          <w:trHeight w:val="300"/>
        </w:trPr>
        <w:tc>
          <w:tcPr>
            <w:tcW w:w="8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C8219E" w14:textId="77777777" w:rsidR="00686EC7" w:rsidRPr="000C156A" w:rsidRDefault="00686EC7" w:rsidP="00141BAA">
            <w:pPr>
              <w:jc w:val="center"/>
              <w:rPr>
                <w:sz w:val="22"/>
                <w:szCs w:val="22"/>
              </w:rPr>
            </w:pPr>
            <w:r w:rsidRPr="000C156A">
              <w:rPr>
                <w:sz w:val="22"/>
                <w:szCs w:val="22"/>
              </w:rPr>
              <w:t>TLC 2017</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BE751A" w14:textId="77777777" w:rsidR="00686EC7" w:rsidRPr="000C156A" w:rsidRDefault="00686EC7" w:rsidP="00141BAA">
            <w:pPr>
              <w:rPr>
                <w:color w:val="000000"/>
                <w:sz w:val="22"/>
                <w:szCs w:val="22"/>
              </w:rPr>
            </w:pPr>
            <w:r w:rsidRPr="000C156A">
              <w:rPr>
                <w:rFonts w:hint="eastAsia"/>
                <w:color w:val="000000"/>
                <w:sz w:val="22"/>
                <w:szCs w:val="22"/>
              </w:rPr>
              <w:t>喀麦隆</w:t>
            </w:r>
          </w:p>
        </w:tc>
        <w:tc>
          <w:tcPr>
            <w:tcW w:w="17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9F43F5" w14:textId="77777777" w:rsidR="00686EC7" w:rsidRPr="000C156A" w:rsidRDefault="00686EC7" w:rsidP="00141BAA">
            <w:pPr>
              <w:rPr>
                <w:color w:val="000000"/>
                <w:sz w:val="22"/>
                <w:szCs w:val="22"/>
              </w:rPr>
            </w:pPr>
            <w:r w:rsidRPr="000C156A">
              <w:rPr>
                <w:rFonts w:hint="eastAsia"/>
                <w:color w:val="000000"/>
                <w:sz w:val="22"/>
                <w:szCs w:val="22"/>
                <w:lang w:eastAsia="zh-CN"/>
              </w:rPr>
              <w:t>技术部公民协会</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FEDBDB" w14:textId="728412E4" w:rsidR="00686EC7" w:rsidRPr="000C156A" w:rsidRDefault="00686EC7" w:rsidP="00141BAA">
            <w:pPr>
              <w:overflowPunct/>
              <w:autoSpaceDE/>
              <w:autoSpaceDN/>
              <w:adjustRightInd/>
              <w:spacing w:before="0"/>
              <w:jc w:val="right"/>
              <w:textAlignment w:val="auto"/>
              <w:rPr>
                <w:color w:val="000000"/>
                <w:sz w:val="22"/>
                <w:szCs w:val="22"/>
                <w:lang w:val="en-US"/>
              </w:rPr>
            </w:pPr>
            <w:r w:rsidRPr="000C156A">
              <w:rPr>
                <w:color w:val="000000"/>
                <w:sz w:val="22"/>
                <w:szCs w:val="22"/>
                <w:lang w:val="en-US"/>
              </w:rPr>
              <w:t>1</w:t>
            </w:r>
            <w:r w:rsidR="001A59E5" w:rsidRPr="000C156A">
              <w:rPr>
                <w:color w:val="000000"/>
                <w:sz w:val="22"/>
                <w:szCs w:val="22"/>
                <w:lang w:val="en-US"/>
              </w:rPr>
              <w:t xml:space="preserve"> </w:t>
            </w:r>
            <w:r w:rsidRPr="000C156A">
              <w:rPr>
                <w:color w:val="000000"/>
                <w:sz w:val="22"/>
                <w:szCs w:val="22"/>
                <w:lang w:val="en-US"/>
              </w:rPr>
              <w:t>200.00</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452FD5" w14:textId="77777777" w:rsidR="00686EC7" w:rsidRPr="000C156A" w:rsidRDefault="00686EC7" w:rsidP="00141BAA">
            <w:pPr>
              <w:overflowPunct/>
              <w:autoSpaceDE/>
              <w:autoSpaceDN/>
              <w:adjustRightInd/>
              <w:spacing w:before="0"/>
              <w:jc w:val="right"/>
              <w:textAlignment w:val="auto"/>
              <w:rPr>
                <w:color w:val="000000"/>
                <w:sz w:val="22"/>
                <w:szCs w:val="22"/>
                <w:lang w:val="en-US"/>
              </w:rPr>
            </w:pPr>
            <w:r w:rsidRPr="000C156A">
              <w:rPr>
                <w:color w:val="000000"/>
                <w:sz w:val="22"/>
                <w:szCs w:val="22"/>
                <w:lang w:val="en-US"/>
              </w:rPr>
              <w:t>0.00</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8DEF6" w14:textId="2CB8BC5D" w:rsidR="00686EC7" w:rsidRPr="000C156A" w:rsidRDefault="00686EC7" w:rsidP="00141BAA">
            <w:pPr>
              <w:overflowPunct/>
              <w:autoSpaceDE/>
              <w:autoSpaceDN/>
              <w:adjustRightInd/>
              <w:spacing w:before="0"/>
              <w:jc w:val="right"/>
              <w:textAlignment w:val="auto"/>
              <w:rPr>
                <w:sz w:val="22"/>
                <w:szCs w:val="22"/>
                <w:lang w:val="en-US"/>
              </w:rPr>
            </w:pPr>
            <w:r w:rsidRPr="000C156A">
              <w:rPr>
                <w:sz w:val="22"/>
                <w:szCs w:val="22"/>
                <w:lang w:val="en-US"/>
              </w:rPr>
              <w:t>1</w:t>
            </w:r>
            <w:r w:rsidR="001A59E5" w:rsidRPr="000C156A">
              <w:rPr>
                <w:sz w:val="22"/>
                <w:szCs w:val="22"/>
                <w:lang w:val="en-US"/>
              </w:rPr>
              <w:t xml:space="preserve"> </w:t>
            </w:r>
            <w:r w:rsidRPr="000C156A">
              <w:rPr>
                <w:sz w:val="22"/>
                <w:szCs w:val="22"/>
                <w:lang w:val="en-US"/>
              </w:rPr>
              <w:t>200.00</w:t>
            </w:r>
          </w:p>
        </w:tc>
      </w:tr>
      <w:tr w:rsidR="00686EC7" w:rsidRPr="000C156A" w14:paraId="7E6AC972" w14:textId="77777777" w:rsidTr="00141BAA">
        <w:trPr>
          <w:trHeight w:val="300"/>
        </w:trPr>
        <w:tc>
          <w:tcPr>
            <w:tcW w:w="8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D30E301" w14:textId="77777777" w:rsidR="00686EC7" w:rsidRPr="000C156A" w:rsidRDefault="00686EC7" w:rsidP="00141BAA">
            <w:pPr>
              <w:jc w:val="center"/>
              <w:rPr>
                <w:sz w:val="22"/>
                <w:szCs w:val="22"/>
              </w:rPr>
            </w:pPr>
            <w:r w:rsidRPr="000C156A">
              <w:rPr>
                <w:sz w:val="22"/>
                <w:szCs w:val="22"/>
              </w:rPr>
              <w:t>TLC 2017</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78166F1" w14:textId="77777777" w:rsidR="00686EC7" w:rsidRPr="000C156A" w:rsidRDefault="00686EC7" w:rsidP="00141BAA">
            <w:pPr>
              <w:rPr>
                <w:color w:val="000000"/>
                <w:sz w:val="22"/>
                <w:szCs w:val="22"/>
              </w:rPr>
            </w:pPr>
            <w:r w:rsidRPr="000C156A">
              <w:rPr>
                <w:rFonts w:hint="eastAsia"/>
                <w:color w:val="000000"/>
                <w:sz w:val="22"/>
                <w:szCs w:val="22"/>
                <w:lang w:eastAsia="zh-CN"/>
              </w:rPr>
              <w:t>贝宁</w:t>
            </w:r>
          </w:p>
        </w:tc>
        <w:tc>
          <w:tcPr>
            <w:tcW w:w="17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A5713A0" w14:textId="77777777" w:rsidR="00686EC7" w:rsidRPr="000C156A" w:rsidRDefault="00686EC7" w:rsidP="00141BAA">
            <w:pPr>
              <w:rPr>
                <w:color w:val="000000"/>
                <w:sz w:val="22"/>
                <w:szCs w:val="22"/>
                <w:lang w:val="fr-CH"/>
              </w:rPr>
            </w:pPr>
            <w:r w:rsidRPr="000C156A">
              <w:rPr>
                <w:rFonts w:hint="eastAsia"/>
                <w:color w:val="000000"/>
                <w:sz w:val="22"/>
                <w:szCs w:val="22"/>
                <w:lang w:val="fr-CH" w:eastAsia="zh-CN"/>
              </w:rPr>
              <w:t>数字经济部</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998C66F" w14:textId="693ABA49" w:rsidR="00686EC7" w:rsidRPr="000C156A" w:rsidRDefault="00686EC7" w:rsidP="00141BAA">
            <w:pPr>
              <w:overflowPunct/>
              <w:autoSpaceDE/>
              <w:autoSpaceDN/>
              <w:adjustRightInd/>
              <w:spacing w:before="0"/>
              <w:jc w:val="right"/>
              <w:textAlignment w:val="auto"/>
              <w:rPr>
                <w:color w:val="000000"/>
                <w:sz w:val="22"/>
                <w:szCs w:val="22"/>
                <w:lang w:val="en-US"/>
              </w:rPr>
            </w:pPr>
            <w:r w:rsidRPr="000C156A">
              <w:rPr>
                <w:color w:val="000000"/>
                <w:sz w:val="22"/>
                <w:szCs w:val="22"/>
                <w:lang w:val="en-US"/>
              </w:rPr>
              <w:t>50</w:t>
            </w:r>
            <w:r w:rsidR="001A59E5" w:rsidRPr="000C156A">
              <w:rPr>
                <w:color w:val="000000"/>
                <w:sz w:val="22"/>
                <w:szCs w:val="22"/>
                <w:lang w:val="en-US"/>
              </w:rPr>
              <w:t xml:space="preserve"> </w:t>
            </w:r>
            <w:r w:rsidRPr="000C156A">
              <w:rPr>
                <w:color w:val="000000"/>
                <w:sz w:val="22"/>
                <w:szCs w:val="22"/>
                <w:lang w:val="en-US" w:eastAsia="zh-CN"/>
              </w:rPr>
              <w:t>000</w:t>
            </w:r>
            <w:r w:rsidRPr="000C156A">
              <w:rPr>
                <w:color w:val="000000"/>
                <w:sz w:val="22"/>
                <w:szCs w:val="22"/>
                <w:lang w:val="en-US"/>
              </w:rPr>
              <w:t>.00</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501339E" w14:textId="4A9BA7D5" w:rsidR="00686EC7" w:rsidRPr="000C156A" w:rsidRDefault="00686EC7" w:rsidP="00141BAA">
            <w:pPr>
              <w:overflowPunct/>
              <w:autoSpaceDE/>
              <w:autoSpaceDN/>
              <w:adjustRightInd/>
              <w:spacing w:before="0"/>
              <w:jc w:val="right"/>
              <w:textAlignment w:val="auto"/>
              <w:rPr>
                <w:color w:val="000000"/>
                <w:sz w:val="22"/>
                <w:szCs w:val="22"/>
                <w:lang w:val="en-US"/>
              </w:rPr>
            </w:pPr>
            <w:r w:rsidRPr="000C156A">
              <w:rPr>
                <w:color w:val="000000"/>
                <w:sz w:val="22"/>
                <w:szCs w:val="22"/>
                <w:lang w:val="en-US" w:eastAsia="zh-CN"/>
              </w:rPr>
              <w:t>47</w:t>
            </w:r>
            <w:r w:rsidR="001A59E5" w:rsidRPr="000C156A">
              <w:rPr>
                <w:color w:val="000000"/>
                <w:sz w:val="22"/>
                <w:szCs w:val="22"/>
                <w:lang w:val="en-US" w:eastAsia="zh-CN"/>
              </w:rPr>
              <w:t xml:space="preserve"> </w:t>
            </w:r>
            <w:r w:rsidRPr="000C156A">
              <w:rPr>
                <w:color w:val="000000"/>
                <w:sz w:val="22"/>
                <w:szCs w:val="22"/>
                <w:lang w:val="en-US" w:eastAsia="zh-CN"/>
              </w:rPr>
              <w:t>048.89</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A25FD14" w14:textId="5E3AD458" w:rsidR="00686EC7" w:rsidRPr="000C156A" w:rsidRDefault="00686EC7" w:rsidP="00141BAA">
            <w:pPr>
              <w:overflowPunct/>
              <w:autoSpaceDE/>
              <w:autoSpaceDN/>
              <w:adjustRightInd/>
              <w:spacing w:before="0"/>
              <w:jc w:val="right"/>
              <w:textAlignment w:val="auto"/>
              <w:rPr>
                <w:sz w:val="22"/>
                <w:szCs w:val="22"/>
                <w:lang w:val="en-US"/>
              </w:rPr>
            </w:pPr>
            <w:r w:rsidRPr="000C156A">
              <w:rPr>
                <w:sz w:val="22"/>
                <w:szCs w:val="22"/>
                <w:lang w:val="en-US" w:eastAsia="zh-CN"/>
              </w:rPr>
              <w:t>2</w:t>
            </w:r>
            <w:r w:rsidR="001A59E5" w:rsidRPr="000C156A">
              <w:rPr>
                <w:sz w:val="22"/>
                <w:szCs w:val="22"/>
                <w:lang w:val="en-US" w:eastAsia="zh-CN"/>
              </w:rPr>
              <w:t xml:space="preserve"> </w:t>
            </w:r>
            <w:r w:rsidRPr="000C156A">
              <w:rPr>
                <w:sz w:val="22"/>
                <w:szCs w:val="22"/>
                <w:lang w:val="en-US" w:eastAsia="zh-CN"/>
              </w:rPr>
              <w:t>951.11</w:t>
            </w:r>
          </w:p>
        </w:tc>
      </w:tr>
      <w:tr w:rsidR="00686EC7" w:rsidRPr="000C156A" w14:paraId="4DB1417D" w14:textId="77777777" w:rsidTr="00141BAA">
        <w:trPr>
          <w:trHeight w:val="300"/>
        </w:trPr>
        <w:tc>
          <w:tcPr>
            <w:tcW w:w="8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BF0ACE" w14:textId="77777777" w:rsidR="00686EC7" w:rsidRPr="000C156A" w:rsidRDefault="00686EC7" w:rsidP="00141BAA">
            <w:pPr>
              <w:jc w:val="center"/>
              <w:rPr>
                <w:sz w:val="22"/>
                <w:szCs w:val="22"/>
              </w:rPr>
            </w:pPr>
            <w:r w:rsidRPr="000C156A">
              <w:rPr>
                <w:sz w:val="22"/>
                <w:szCs w:val="22"/>
              </w:rPr>
              <w:t>TLC 2017</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0E6C5B" w14:textId="77777777" w:rsidR="00686EC7" w:rsidRPr="000C156A" w:rsidRDefault="00686EC7" w:rsidP="00141BAA">
            <w:pPr>
              <w:rPr>
                <w:color w:val="000000"/>
                <w:sz w:val="22"/>
                <w:szCs w:val="22"/>
              </w:rPr>
            </w:pPr>
            <w:r w:rsidRPr="000C156A">
              <w:rPr>
                <w:rFonts w:hint="eastAsia"/>
                <w:color w:val="000000"/>
                <w:sz w:val="22"/>
                <w:szCs w:val="22"/>
              </w:rPr>
              <w:t>加蓬</w:t>
            </w:r>
          </w:p>
        </w:tc>
        <w:tc>
          <w:tcPr>
            <w:tcW w:w="17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5FD200" w14:textId="77777777" w:rsidR="00686EC7" w:rsidRPr="000C156A" w:rsidRDefault="00686EC7" w:rsidP="00141BAA">
            <w:pPr>
              <w:rPr>
                <w:color w:val="000000"/>
                <w:sz w:val="22"/>
                <w:szCs w:val="22"/>
              </w:rPr>
            </w:pPr>
            <w:r w:rsidRPr="000C156A">
              <w:rPr>
                <w:rFonts w:hint="eastAsia"/>
                <w:color w:val="000000"/>
                <w:sz w:val="22"/>
                <w:szCs w:val="22"/>
              </w:rPr>
              <w:t>数字经济部</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08160E" w14:textId="73618E81" w:rsidR="00686EC7" w:rsidRPr="000C156A" w:rsidRDefault="00686EC7" w:rsidP="00141BAA">
            <w:pPr>
              <w:overflowPunct/>
              <w:autoSpaceDE/>
              <w:autoSpaceDN/>
              <w:adjustRightInd/>
              <w:spacing w:before="0"/>
              <w:jc w:val="right"/>
              <w:textAlignment w:val="auto"/>
              <w:rPr>
                <w:color w:val="000000"/>
                <w:sz w:val="22"/>
                <w:szCs w:val="22"/>
                <w:lang w:val="en-US"/>
              </w:rPr>
            </w:pPr>
            <w:r w:rsidRPr="000C156A">
              <w:rPr>
                <w:color w:val="000000"/>
                <w:sz w:val="22"/>
                <w:szCs w:val="22"/>
                <w:lang w:val="en-US"/>
              </w:rPr>
              <w:t>138</w:t>
            </w:r>
            <w:r w:rsidR="001A59E5" w:rsidRPr="000C156A">
              <w:rPr>
                <w:color w:val="000000"/>
                <w:sz w:val="22"/>
                <w:szCs w:val="22"/>
                <w:lang w:val="en-US"/>
              </w:rPr>
              <w:t xml:space="preserve"> </w:t>
            </w:r>
            <w:r w:rsidRPr="000C156A">
              <w:rPr>
                <w:color w:val="000000"/>
                <w:sz w:val="22"/>
                <w:szCs w:val="22"/>
                <w:lang w:val="en-US"/>
              </w:rPr>
              <w:t>000.00</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2D893" w14:textId="77777777" w:rsidR="00686EC7" w:rsidRPr="000C156A" w:rsidRDefault="00686EC7" w:rsidP="00141BAA">
            <w:pPr>
              <w:overflowPunct/>
              <w:autoSpaceDE/>
              <w:autoSpaceDN/>
              <w:adjustRightInd/>
              <w:spacing w:before="0"/>
              <w:jc w:val="right"/>
              <w:textAlignment w:val="auto"/>
              <w:rPr>
                <w:color w:val="000000"/>
                <w:sz w:val="22"/>
                <w:szCs w:val="22"/>
                <w:lang w:val="en-US"/>
              </w:rPr>
            </w:pPr>
            <w:r w:rsidRPr="000C156A">
              <w:rPr>
                <w:color w:val="000000"/>
                <w:sz w:val="22"/>
                <w:szCs w:val="22"/>
                <w:lang w:val="en-US"/>
              </w:rPr>
              <w:t>0.00</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7B4FCE" w14:textId="09AFDF97" w:rsidR="00686EC7" w:rsidRPr="000C156A" w:rsidRDefault="00686EC7" w:rsidP="00141BAA">
            <w:pPr>
              <w:overflowPunct/>
              <w:autoSpaceDE/>
              <w:autoSpaceDN/>
              <w:adjustRightInd/>
              <w:spacing w:before="0"/>
              <w:jc w:val="right"/>
              <w:textAlignment w:val="auto"/>
              <w:rPr>
                <w:sz w:val="22"/>
                <w:szCs w:val="22"/>
                <w:lang w:val="en-US"/>
              </w:rPr>
            </w:pPr>
            <w:r w:rsidRPr="000C156A">
              <w:rPr>
                <w:sz w:val="22"/>
                <w:szCs w:val="22"/>
                <w:lang w:val="en-US"/>
              </w:rPr>
              <w:t>138</w:t>
            </w:r>
            <w:r w:rsidR="001A59E5" w:rsidRPr="000C156A">
              <w:rPr>
                <w:sz w:val="22"/>
                <w:szCs w:val="22"/>
                <w:lang w:val="en-US"/>
              </w:rPr>
              <w:t xml:space="preserve"> </w:t>
            </w:r>
            <w:r w:rsidRPr="000C156A">
              <w:rPr>
                <w:sz w:val="22"/>
                <w:szCs w:val="22"/>
                <w:lang w:val="en-US"/>
              </w:rPr>
              <w:t>000.00</w:t>
            </w:r>
          </w:p>
        </w:tc>
      </w:tr>
      <w:tr w:rsidR="00686EC7" w:rsidRPr="000C156A" w14:paraId="71BF1A0A" w14:textId="77777777" w:rsidTr="00141BAA">
        <w:trPr>
          <w:trHeight w:val="300"/>
        </w:trPr>
        <w:tc>
          <w:tcPr>
            <w:tcW w:w="8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2A4655" w14:textId="77777777" w:rsidR="00686EC7" w:rsidRPr="000C156A" w:rsidRDefault="00686EC7" w:rsidP="00141BAA">
            <w:pPr>
              <w:jc w:val="center"/>
              <w:rPr>
                <w:color w:val="000000"/>
                <w:sz w:val="22"/>
                <w:szCs w:val="22"/>
              </w:rPr>
            </w:pPr>
            <w:r w:rsidRPr="000C156A">
              <w:rPr>
                <w:color w:val="000000"/>
                <w:sz w:val="22"/>
                <w:szCs w:val="22"/>
              </w:rPr>
              <w:t> </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D8F044" w14:textId="77777777" w:rsidR="00686EC7" w:rsidRPr="000C156A" w:rsidRDefault="00686EC7" w:rsidP="00141BAA">
            <w:pPr>
              <w:rPr>
                <w:color w:val="000000"/>
                <w:sz w:val="22"/>
                <w:szCs w:val="22"/>
              </w:rPr>
            </w:pPr>
            <w:r w:rsidRPr="000C156A">
              <w:rPr>
                <w:color w:val="000000"/>
                <w:sz w:val="22"/>
                <w:szCs w:val="22"/>
              </w:rPr>
              <w:t> </w:t>
            </w:r>
          </w:p>
        </w:tc>
        <w:tc>
          <w:tcPr>
            <w:tcW w:w="17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861BD3" w14:textId="77777777" w:rsidR="00686EC7" w:rsidRPr="000C156A" w:rsidRDefault="00686EC7" w:rsidP="00141BAA">
            <w:pPr>
              <w:rPr>
                <w:color w:val="000000"/>
                <w:sz w:val="22"/>
                <w:szCs w:val="22"/>
              </w:rPr>
            </w:pPr>
            <w:r w:rsidRPr="000C156A">
              <w:rPr>
                <w:color w:val="000000"/>
                <w:sz w:val="22"/>
                <w:szCs w:val="22"/>
              </w:rPr>
              <w:t> </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E62D31" w14:textId="77777777" w:rsidR="00686EC7" w:rsidRPr="000C156A" w:rsidRDefault="00686EC7" w:rsidP="00141BAA">
            <w:pPr>
              <w:overflowPunct/>
              <w:autoSpaceDE/>
              <w:autoSpaceDN/>
              <w:adjustRightInd/>
              <w:spacing w:before="0"/>
              <w:textAlignment w:val="auto"/>
              <w:rPr>
                <w:color w:val="000000"/>
                <w:sz w:val="22"/>
                <w:szCs w:val="22"/>
                <w:lang w:val="en-US"/>
              </w:rPr>
            </w:pPr>
            <w:r w:rsidRPr="000C156A">
              <w:rPr>
                <w:color w:val="000000"/>
                <w:sz w:val="22"/>
                <w:szCs w:val="22"/>
                <w:lang w:val="en-US"/>
              </w:rPr>
              <w:t> </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608BD6" w14:textId="77777777" w:rsidR="00686EC7" w:rsidRPr="000C156A" w:rsidRDefault="00686EC7" w:rsidP="00141BAA">
            <w:pPr>
              <w:overflowPunct/>
              <w:autoSpaceDE/>
              <w:autoSpaceDN/>
              <w:adjustRightInd/>
              <w:spacing w:before="0"/>
              <w:textAlignment w:val="auto"/>
              <w:rPr>
                <w:color w:val="000000"/>
                <w:sz w:val="22"/>
                <w:szCs w:val="22"/>
                <w:lang w:val="en-US"/>
              </w:rPr>
            </w:pPr>
            <w:r w:rsidRPr="000C156A">
              <w:rPr>
                <w:color w:val="000000"/>
                <w:sz w:val="22"/>
                <w:szCs w:val="22"/>
                <w:lang w:val="en-US"/>
              </w:rPr>
              <w:t> </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1852F" w14:textId="77777777" w:rsidR="00686EC7" w:rsidRPr="000C156A" w:rsidRDefault="00686EC7" w:rsidP="00141BAA">
            <w:pPr>
              <w:overflowPunct/>
              <w:autoSpaceDE/>
              <w:autoSpaceDN/>
              <w:adjustRightInd/>
              <w:spacing w:before="0"/>
              <w:textAlignment w:val="auto"/>
              <w:rPr>
                <w:color w:val="000000"/>
                <w:sz w:val="22"/>
                <w:szCs w:val="22"/>
                <w:lang w:val="en-US"/>
              </w:rPr>
            </w:pPr>
            <w:r w:rsidRPr="000C156A">
              <w:rPr>
                <w:color w:val="000000"/>
                <w:sz w:val="22"/>
                <w:szCs w:val="22"/>
                <w:lang w:val="en-US"/>
              </w:rPr>
              <w:t> </w:t>
            </w:r>
          </w:p>
        </w:tc>
      </w:tr>
      <w:tr w:rsidR="00686EC7" w:rsidRPr="000C156A" w14:paraId="1D480E19" w14:textId="77777777" w:rsidTr="00141BAA">
        <w:trPr>
          <w:trHeight w:val="300"/>
        </w:trPr>
        <w:tc>
          <w:tcPr>
            <w:tcW w:w="8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6D3CA" w14:textId="77777777" w:rsidR="00686EC7" w:rsidRPr="000C156A" w:rsidRDefault="00686EC7" w:rsidP="00141BAA">
            <w:pPr>
              <w:jc w:val="center"/>
              <w:rPr>
                <w:b/>
                <w:bCs/>
                <w:color w:val="000000"/>
                <w:sz w:val="22"/>
                <w:szCs w:val="22"/>
              </w:rPr>
            </w:pPr>
            <w:r w:rsidRPr="000C156A">
              <w:rPr>
                <w:b/>
                <w:bCs/>
                <w:color w:val="000000"/>
                <w:sz w:val="22"/>
                <w:szCs w:val="22"/>
              </w:rPr>
              <w:t>TLC 2017</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07C46C" w14:textId="77777777" w:rsidR="00686EC7" w:rsidRPr="000C156A" w:rsidRDefault="00686EC7" w:rsidP="00141BAA">
            <w:pPr>
              <w:rPr>
                <w:color w:val="000000"/>
                <w:sz w:val="22"/>
                <w:szCs w:val="22"/>
              </w:rPr>
            </w:pPr>
            <w:r w:rsidRPr="000C156A">
              <w:rPr>
                <w:color w:val="000000"/>
                <w:sz w:val="22"/>
                <w:szCs w:val="22"/>
              </w:rPr>
              <w:t> </w:t>
            </w:r>
          </w:p>
        </w:tc>
        <w:tc>
          <w:tcPr>
            <w:tcW w:w="17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074D7C" w14:textId="77777777" w:rsidR="00686EC7" w:rsidRPr="000C156A" w:rsidRDefault="00686EC7" w:rsidP="00141BAA">
            <w:pPr>
              <w:rPr>
                <w:color w:val="000000"/>
                <w:sz w:val="22"/>
                <w:szCs w:val="22"/>
              </w:rPr>
            </w:pPr>
            <w:r w:rsidRPr="000C156A">
              <w:rPr>
                <w:color w:val="000000"/>
                <w:sz w:val="22"/>
                <w:szCs w:val="22"/>
              </w:rPr>
              <w:t> </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45740" w14:textId="77777777" w:rsidR="00686EC7" w:rsidRPr="000C156A" w:rsidRDefault="00686EC7" w:rsidP="00141BAA">
            <w:pPr>
              <w:overflowPunct/>
              <w:autoSpaceDE/>
              <w:autoSpaceDN/>
              <w:adjustRightInd/>
              <w:spacing w:before="0"/>
              <w:textAlignment w:val="auto"/>
              <w:rPr>
                <w:color w:val="000000"/>
                <w:sz w:val="22"/>
                <w:szCs w:val="22"/>
                <w:lang w:val="en-US"/>
              </w:rPr>
            </w:pPr>
            <w:r w:rsidRPr="000C156A">
              <w:rPr>
                <w:color w:val="000000"/>
                <w:sz w:val="22"/>
                <w:szCs w:val="22"/>
                <w:lang w:val="en-US"/>
              </w:rPr>
              <w:t> </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041DD8" w14:textId="77777777" w:rsidR="00686EC7" w:rsidRPr="000C156A" w:rsidRDefault="00686EC7" w:rsidP="00141BAA">
            <w:pPr>
              <w:overflowPunct/>
              <w:autoSpaceDE/>
              <w:autoSpaceDN/>
              <w:adjustRightInd/>
              <w:spacing w:before="0"/>
              <w:textAlignment w:val="auto"/>
              <w:rPr>
                <w:rFonts w:ascii="Arial" w:hAnsi="Arial"/>
                <w:b/>
                <w:sz w:val="22"/>
                <w:szCs w:val="22"/>
                <w:lang w:val="en-US"/>
              </w:rPr>
            </w:pPr>
            <w:r w:rsidRPr="000C156A">
              <w:rPr>
                <w:rFonts w:ascii="Arial" w:hAnsi="Arial"/>
                <w:b/>
                <w:sz w:val="22"/>
                <w:szCs w:val="22"/>
                <w:lang w:val="en-US"/>
              </w:rPr>
              <w:t> </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F9E160" w14:textId="4C585504" w:rsidR="00686EC7" w:rsidRPr="000C156A" w:rsidRDefault="00686EC7" w:rsidP="00141BAA">
            <w:pPr>
              <w:overflowPunct/>
              <w:autoSpaceDE/>
              <w:autoSpaceDN/>
              <w:adjustRightInd/>
              <w:spacing w:before="0"/>
              <w:jc w:val="right"/>
              <w:textAlignment w:val="auto"/>
              <w:rPr>
                <w:b/>
                <w:sz w:val="22"/>
                <w:szCs w:val="22"/>
                <w:lang w:val="en-US"/>
              </w:rPr>
            </w:pPr>
            <w:r w:rsidRPr="000C156A">
              <w:rPr>
                <w:rFonts w:cs="Arial"/>
                <w:b/>
                <w:bCs/>
                <w:sz w:val="22"/>
                <w:szCs w:val="22"/>
                <w:lang w:val="en-US" w:eastAsia="zh-CN"/>
              </w:rPr>
              <w:t>143</w:t>
            </w:r>
            <w:r w:rsidR="001A59E5" w:rsidRPr="000C156A">
              <w:rPr>
                <w:rFonts w:cs="Arial"/>
                <w:b/>
                <w:bCs/>
                <w:sz w:val="22"/>
                <w:szCs w:val="22"/>
                <w:lang w:val="en-US" w:eastAsia="zh-CN"/>
              </w:rPr>
              <w:t xml:space="preserve"> </w:t>
            </w:r>
            <w:r w:rsidRPr="000C156A">
              <w:rPr>
                <w:rFonts w:cs="Arial"/>
                <w:b/>
                <w:bCs/>
                <w:sz w:val="22"/>
                <w:szCs w:val="22"/>
                <w:lang w:val="en-US" w:eastAsia="zh-CN"/>
              </w:rPr>
              <w:t>351.11</w:t>
            </w:r>
          </w:p>
        </w:tc>
      </w:tr>
    </w:tbl>
    <w:p w14:paraId="70518FF9" w14:textId="77777777" w:rsidR="00686EC7" w:rsidRPr="000C156A" w:rsidRDefault="00686EC7" w:rsidP="00686EC7">
      <w:pPr>
        <w:spacing w:before="0"/>
        <w:rPr>
          <w:sz w:val="22"/>
          <w:szCs w:val="22"/>
        </w:rPr>
      </w:pPr>
    </w:p>
    <w:tbl>
      <w:tblPr>
        <w:tblW w:w="5000" w:type="pct"/>
        <w:tblLook w:val="04A0" w:firstRow="1" w:lastRow="0" w:firstColumn="1" w:lastColumn="0" w:noHBand="0" w:noVBand="1"/>
      </w:tblPr>
      <w:tblGrid>
        <w:gridCol w:w="1691"/>
        <w:gridCol w:w="1533"/>
        <w:gridCol w:w="2738"/>
        <w:gridCol w:w="1219"/>
        <w:gridCol w:w="1129"/>
        <w:gridCol w:w="1319"/>
      </w:tblGrid>
      <w:tr w:rsidR="00686EC7" w:rsidRPr="000C156A" w14:paraId="37BAA46E" w14:textId="77777777" w:rsidTr="00141BAA">
        <w:trPr>
          <w:trHeight w:val="510"/>
        </w:trPr>
        <w:tc>
          <w:tcPr>
            <w:tcW w:w="878" w:type="pct"/>
            <w:tcBorders>
              <w:top w:val="single" w:sz="4" w:space="0" w:color="auto"/>
              <w:left w:val="single" w:sz="4" w:space="0" w:color="auto"/>
              <w:bottom w:val="single" w:sz="4" w:space="0" w:color="auto"/>
              <w:right w:val="single" w:sz="4" w:space="0" w:color="auto"/>
            </w:tcBorders>
            <w:shd w:val="clear" w:color="auto" w:fill="auto"/>
            <w:hideMark/>
          </w:tcPr>
          <w:p w14:paraId="040D3AD2" w14:textId="77777777" w:rsidR="00686EC7" w:rsidRPr="000C156A" w:rsidRDefault="00686EC7" w:rsidP="00141BAA">
            <w:pPr>
              <w:overflowPunct/>
              <w:autoSpaceDE/>
              <w:autoSpaceDN/>
              <w:adjustRightInd/>
              <w:spacing w:before="0"/>
              <w:jc w:val="center"/>
              <w:textAlignment w:val="auto"/>
              <w:rPr>
                <w:rFonts w:ascii="Arial" w:hAnsi="Arial" w:cs="Arial"/>
                <w:b/>
                <w:bCs/>
                <w:sz w:val="22"/>
                <w:szCs w:val="22"/>
                <w:lang w:val="en-US" w:eastAsia="zh-CN"/>
              </w:rPr>
            </w:pPr>
            <w:r w:rsidRPr="000C156A">
              <w:rPr>
                <w:rFonts w:asciiTheme="minorHAnsi" w:eastAsiaTheme="minorEastAsia" w:hAnsiTheme="minorHAnsi" w:hint="eastAsia"/>
                <w:b/>
                <w:bCs/>
                <w:sz w:val="22"/>
                <w:szCs w:val="22"/>
              </w:rPr>
              <w:t>活动</w:t>
            </w:r>
          </w:p>
        </w:tc>
        <w:tc>
          <w:tcPr>
            <w:tcW w:w="796" w:type="pct"/>
            <w:tcBorders>
              <w:top w:val="single" w:sz="4" w:space="0" w:color="auto"/>
              <w:left w:val="nil"/>
              <w:bottom w:val="single" w:sz="4" w:space="0" w:color="auto"/>
              <w:right w:val="single" w:sz="4" w:space="0" w:color="auto"/>
            </w:tcBorders>
            <w:shd w:val="clear" w:color="auto" w:fill="auto"/>
            <w:hideMark/>
          </w:tcPr>
          <w:p w14:paraId="0A964B68" w14:textId="77777777" w:rsidR="00686EC7" w:rsidRPr="000C156A" w:rsidRDefault="00686EC7" w:rsidP="00141BAA">
            <w:pPr>
              <w:overflowPunct/>
              <w:autoSpaceDE/>
              <w:autoSpaceDN/>
              <w:adjustRightInd/>
              <w:spacing w:before="0"/>
              <w:jc w:val="center"/>
              <w:textAlignment w:val="auto"/>
              <w:rPr>
                <w:rFonts w:ascii="Arial" w:hAnsi="Arial" w:cs="Arial"/>
                <w:b/>
                <w:bCs/>
                <w:sz w:val="22"/>
                <w:szCs w:val="22"/>
                <w:lang w:val="en-US" w:eastAsia="zh-CN"/>
              </w:rPr>
            </w:pPr>
            <w:r w:rsidRPr="000C156A">
              <w:rPr>
                <w:rFonts w:asciiTheme="minorHAnsi" w:eastAsiaTheme="minorEastAsia" w:hAnsiTheme="minorHAnsi" w:hint="eastAsia"/>
                <w:b/>
                <w:bCs/>
                <w:sz w:val="22"/>
                <w:szCs w:val="22"/>
              </w:rPr>
              <w:t>国家</w:t>
            </w:r>
          </w:p>
        </w:tc>
        <w:tc>
          <w:tcPr>
            <w:tcW w:w="1422" w:type="pct"/>
            <w:tcBorders>
              <w:top w:val="single" w:sz="4" w:space="0" w:color="auto"/>
              <w:left w:val="nil"/>
              <w:bottom w:val="single" w:sz="4" w:space="0" w:color="auto"/>
              <w:right w:val="single" w:sz="4" w:space="0" w:color="auto"/>
            </w:tcBorders>
            <w:shd w:val="clear" w:color="auto" w:fill="auto"/>
            <w:hideMark/>
          </w:tcPr>
          <w:p w14:paraId="42D78256" w14:textId="77777777" w:rsidR="00686EC7" w:rsidRPr="000C156A" w:rsidRDefault="00686EC7" w:rsidP="00141BAA">
            <w:pPr>
              <w:overflowPunct/>
              <w:autoSpaceDE/>
              <w:autoSpaceDN/>
              <w:adjustRightInd/>
              <w:spacing w:before="0"/>
              <w:jc w:val="center"/>
              <w:textAlignment w:val="auto"/>
              <w:rPr>
                <w:rFonts w:ascii="Arial" w:hAnsi="Arial" w:cs="Arial"/>
                <w:b/>
                <w:bCs/>
                <w:sz w:val="22"/>
                <w:szCs w:val="22"/>
                <w:lang w:val="en-US" w:eastAsia="zh-CN"/>
              </w:rPr>
            </w:pPr>
            <w:r w:rsidRPr="000C156A">
              <w:rPr>
                <w:rFonts w:asciiTheme="minorHAnsi" w:eastAsiaTheme="minorEastAsia" w:hAnsiTheme="minorHAnsi" w:hint="eastAsia"/>
                <w:b/>
                <w:bCs/>
                <w:sz w:val="22"/>
                <w:szCs w:val="22"/>
              </w:rPr>
              <w:t>公司</w:t>
            </w:r>
          </w:p>
        </w:tc>
        <w:tc>
          <w:tcPr>
            <w:tcW w:w="633" w:type="pct"/>
            <w:tcBorders>
              <w:top w:val="single" w:sz="4" w:space="0" w:color="auto"/>
              <w:left w:val="nil"/>
              <w:bottom w:val="single" w:sz="4" w:space="0" w:color="auto"/>
              <w:right w:val="single" w:sz="4" w:space="0" w:color="auto"/>
            </w:tcBorders>
            <w:shd w:val="clear" w:color="auto" w:fill="auto"/>
            <w:hideMark/>
          </w:tcPr>
          <w:p w14:paraId="60B007DD" w14:textId="77777777" w:rsidR="00686EC7" w:rsidRPr="000C156A" w:rsidRDefault="00686EC7" w:rsidP="00141BAA">
            <w:pPr>
              <w:overflowPunct/>
              <w:autoSpaceDE/>
              <w:autoSpaceDN/>
              <w:adjustRightInd/>
              <w:spacing w:before="0"/>
              <w:jc w:val="center"/>
              <w:textAlignment w:val="auto"/>
              <w:rPr>
                <w:rFonts w:ascii="Arial" w:hAnsi="Arial" w:cs="Arial"/>
                <w:b/>
                <w:bCs/>
                <w:sz w:val="22"/>
                <w:szCs w:val="22"/>
                <w:lang w:val="en-US" w:eastAsia="zh-CN"/>
              </w:rPr>
            </w:pPr>
            <w:r w:rsidRPr="000C156A">
              <w:rPr>
                <w:rFonts w:asciiTheme="minorHAnsi" w:eastAsiaTheme="minorEastAsia" w:hAnsiTheme="minorHAnsi" w:hint="eastAsia"/>
                <w:b/>
                <w:bCs/>
                <w:sz w:val="22"/>
                <w:szCs w:val="22"/>
              </w:rPr>
              <w:t>发票金额</w:t>
            </w:r>
          </w:p>
        </w:tc>
        <w:tc>
          <w:tcPr>
            <w:tcW w:w="586" w:type="pct"/>
            <w:tcBorders>
              <w:top w:val="single" w:sz="4" w:space="0" w:color="auto"/>
              <w:left w:val="nil"/>
              <w:bottom w:val="single" w:sz="4" w:space="0" w:color="auto"/>
              <w:right w:val="single" w:sz="4" w:space="0" w:color="auto"/>
            </w:tcBorders>
            <w:shd w:val="clear" w:color="auto" w:fill="auto"/>
            <w:hideMark/>
          </w:tcPr>
          <w:p w14:paraId="5C2A9555" w14:textId="77777777" w:rsidR="00686EC7" w:rsidRPr="000C156A" w:rsidRDefault="00686EC7" w:rsidP="00141BAA">
            <w:pPr>
              <w:overflowPunct/>
              <w:autoSpaceDE/>
              <w:autoSpaceDN/>
              <w:adjustRightInd/>
              <w:spacing w:before="0"/>
              <w:jc w:val="center"/>
              <w:textAlignment w:val="auto"/>
              <w:rPr>
                <w:rFonts w:ascii="Arial" w:hAnsi="Arial" w:cs="Arial"/>
                <w:b/>
                <w:bCs/>
                <w:sz w:val="22"/>
                <w:szCs w:val="22"/>
                <w:lang w:val="en-US" w:eastAsia="zh-CN"/>
              </w:rPr>
            </w:pPr>
            <w:r w:rsidRPr="000C156A">
              <w:rPr>
                <w:rFonts w:asciiTheme="minorHAnsi" w:eastAsiaTheme="minorEastAsia" w:hAnsiTheme="minorHAnsi" w:hint="eastAsia"/>
                <w:b/>
                <w:bCs/>
                <w:sz w:val="22"/>
                <w:szCs w:val="22"/>
              </w:rPr>
              <w:t>收到付款</w:t>
            </w:r>
          </w:p>
        </w:tc>
        <w:tc>
          <w:tcPr>
            <w:tcW w:w="686" w:type="pct"/>
            <w:tcBorders>
              <w:top w:val="single" w:sz="4" w:space="0" w:color="auto"/>
              <w:left w:val="nil"/>
              <w:bottom w:val="single" w:sz="4" w:space="0" w:color="auto"/>
              <w:right w:val="single" w:sz="4" w:space="0" w:color="auto"/>
            </w:tcBorders>
            <w:shd w:val="clear" w:color="auto" w:fill="auto"/>
            <w:hideMark/>
          </w:tcPr>
          <w:p w14:paraId="68AFB4DE" w14:textId="77777777" w:rsidR="00686EC7" w:rsidRPr="000C156A" w:rsidRDefault="00686EC7" w:rsidP="00141BAA">
            <w:pPr>
              <w:overflowPunct/>
              <w:autoSpaceDE/>
              <w:autoSpaceDN/>
              <w:adjustRightInd/>
              <w:spacing w:before="0"/>
              <w:jc w:val="center"/>
              <w:textAlignment w:val="auto"/>
              <w:rPr>
                <w:rFonts w:ascii="Arial" w:hAnsi="Arial" w:cs="Arial"/>
                <w:b/>
                <w:bCs/>
                <w:sz w:val="22"/>
                <w:szCs w:val="22"/>
                <w:lang w:val="en-US" w:eastAsia="zh-CN"/>
              </w:rPr>
            </w:pPr>
            <w:r w:rsidRPr="000C156A">
              <w:rPr>
                <w:rFonts w:asciiTheme="minorHAnsi" w:eastAsiaTheme="minorEastAsia" w:hAnsiTheme="minorHAnsi" w:hint="eastAsia"/>
                <w:b/>
                <w:bCs/>
                <w:sz w:val="22"/>
                <w:szCs w:val="22"/>
              </w:rPr>
              <w:t>欠款金额</w:t>
            </w:r>
          </w:p>
        </w:tc>
      </w:tr>
      <w:tr w:rsidR="00686EC7" w:rsidRPr="000C156A" w14:paraId="10BE72FB" w14:textId="77777777" w:rsidTr="00141BAA">
        <w:trPr>
          <w:trHeight w:val="300"/>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14:paraId="0E42EC80" w14:textId="77777777" w:rsidR="00686EC7" w:rsidRPr="000C156A" w:rsidRDefault="00686EC7" w:rsidP="00141BAA">
            <w:pPr>
              <w:overflowPunct/>
              <w:autoSpaceDE/>
              <w:autoSpaceDN/>
              <w:adjustRightInd/>
              <w:spacing w:before="0"/>
              <w:jc w:val="center"/>
              <w:textAlignment w:val="auto"/>
              <w:rPr>
                <w:rFonts w:ascii="Arial" w:hAnsi="Arial" w:cs="Arial"/>
                <w:b/>
                <w:bCs/>
                <w:sz w:val="22"/>
                <w:szCs w:val="22"/>
                <w:lang w:val="en-US" w:eastAsia="zh-CN"/>
              </w:rPr>
            </w:pPr>
            <w:r w:rsidRPr="000C156A">
              <w:rPr>
                <w:rFonts w:ascii="Arial" w:hAnsi="Arial" w:cs="Arial"/>
                <w:b/>
                <w:bCs/>
                <w:sz w:val="22"/>
                <w:szCs w:val="22"/>
                <w:lang w:val="en-US" w:eastAsia="zh-CN"/>
              </w:rPr>
              <w:t> </w:t>
            </w:r>
          </w:p>
        </w:tc>
        <w:tc>
          <w:tcPr>
            <w:tcW w:w="796" w:type="pct"/>
            <w:tcBorders>
              <w:top w:val="nil"/>
              <w:left w:val="nil"/>
              <w:bottom w:val="single" w:sz="4" w:space="0" w:color="auto"/>
              <w:right w:val="single" w:sz="4" w:space="0" w:color="auto"/>
            </w:tcBorders>
            <w:shd w:val="clear" w:color="auto" w:fill="auto"/>
            <w:noWrap/>
            <w:vAlign w:val="bottom"/>
            <w:hideMark/>
          </w:tcPr>
          <w:p w14:paraId="3877AA7D" w14:textId="77777777" w:rsidR="00686EC7" w:rsidRPr="000C156A" w:rsidRDefault="00686EC7" w:rsidP="00141BAA">
            <w:pPr>
              <w:overflowPunct/>
              <w:autoSpaceDE/>
              <w:autoSpaceDN/>
              <w:adjustRightInd/>
              <w:spacing w:before="0"/>
              <w:jc w:val="center"/>
              <w:textAlignment w:val="auto"/>
              <w:rPr>
                <w:rFonts w:ascii="Arial" w:hAnsi="Arial" w:cs="Arial"/>
                <w:b/>
                <w:bCs/>
                <w:sz w:val="22"/>
                <w:szCs w:val="22"/>
                <w:lang w:val="en-US" w:eastAsia="zh-CN"/>
              </w:rPr>
            </w:pPr>
            <w:r w:rsidRPr="000C156A">
              <w:rPr>
                <w:rFonts w:ascii="Arial" w:hAnsi="Arial" w:cs="Arial"/>
                <w:b/>
                <w:bCs/>
                <w:sz w:val="22"/>
                <w:szCs w:val="22"/>
                <w:lang w:val="en-US" w:eastAsia="zh-CN"/>
              </w:rPr>
              <w:t> </w:t>
            </w:r>
          </w:p>
        </w:tc>
        <w:tc>
          <w:tcPr>
            <w:tcW w:w="1422" w:type="pct"/>
            <w:tcBorders>
              <w:top w:val="nil"/>
              <w:left w:val="nil"/>
              <w:bottom w:val="single" w:sz="4" w:space="0" w:color="auto"/>
              <w:right w:val="single" w:sz="4" w:space="0" w:color="auto"/>
            </w:tcBorders>
            <w:shd w:val="clear" w:color="auto" w:fill="auto"/>
            <w:noWrap/>
            <w:vAlign w:val="bottom"/>
            <w:hideMark/>
          </w:tcPr>
          <w:p w14:paraId="61D45BE5" w14:textId="77777777" w:rsidR="00686EC7" w:rsidRPr="000C156A" w:rsidRDefault="00686EC7" w:rsidP="00141BAA">
            <w:pPr>
              <w:overflowPunct/>
              <w:autoSpaceDE/>
              <w:autoSpaceDN/>
              <w:adjustRightInd/>
              <w:spacing w:before="0"/>
              <w:jc w:val="center"/>
              <w:textAlignment w:val="auto"/>
              <w:rPr>
                <w:rFonts w:ascii="Arial" w:hAnsi="Arial" w:cs="Arial"/>
                <w:sz w:val="22"/>
                <w:szCs w:val="22"/>
                <w:lang w:val="en-US" w:eastAsia="zh-CN"/>
              </w:rPr>
            </w:pPr>
            <w:r w:rsidRPr="000C156A">
              <w:rPr>
                <w:rFonts w:ascii="Arial" w:hAnsi="Arial" w:cs="Arial"/>
                <w:sz w:val="22"/>
                <w:szCs w:val="22"/>
                <w:lang w:val="en-US" w:eastAsia="zh-CN"/>
              </w:rPr>
              <w:t> </w:t>
            </w:r>
          </w:p>
        </w:tc>
        <w:tc>
          <w:tcPr>
            <w:tcW w:w="633" w:type="pct"/>
            <w:tcBorders>
              <w:top w:val="nil"/>
              <w:left w:val="nil"/>
              <w:bottom w:val="single" w:sz="4" w:space="0" w:color="auto"/>
              <w:right w:val="single" w:sz="4" w:space="0" w:color="auto"/>
            </w:tcBorders>
            <w:shd w:val="clear" w:color="auto" w:fill="auto"/>
            <w:noWrap/>
            <w:vAlign w:val="bottom"/>
            <w:hideMark/>
          </w:tcPr>
          <w:p w14:paraId="2AD63BE8" w14:textId="77777777" w:rsidR="00686EC7" w:rsidRPr="000C156A" w:rsidRDefault="00686EC7" w:rsidP="00141BAA">
            <w:pPr>
              <w:overflowPunct/>
              <w:autoSpaceDE/>
              <w:autoSpaceDN/>
              <w:adjustRightInd/>
              <w:spacing w:before="0"/>
              <w:jc w:val="center"/>
              <w:textAlignment w:val="auto"/>
              <w:rPr>
                <w:rFonts w:ascii="Arial" w:hAnsi="Arial" w:cs="Arial"/>
                <w:sz w:val="22"/>
                <w:szCs w:val="22"/>
                <w:lang w:val="en-US" w:eastAsia="zh-CN"/>
              </w:rPr>
            </w:pPr>
            <w:r w:rsidRPr="000C156A">
              <w:rPr>
                <w:rFonts w:ascii="Arial" w:hAnsi="Arial" w:cs="Arial"/>
                <w:sz w:val="22"/>
                <w:szCs w:val="22"/>
                <w:lang w:val="en-US" w:eastAsia="zh-CN"/>
              </w:rPr>
              <w:t> </w:t>
            </w:r>
          </w:p>
        </w:tc>
        <w:tc>
          <w:tcPr>
            <w:tcW w:w="586" w:type="pct"/>
            <w:tcBorders>
              <w:top w:val="nil"/>
              <w:left w:val="nil"/>
              <w:bottom w:val="single" w:sz="4" w:space="0" w:color="auto"/>
              <w:right w:val="single" w:sz="4" w:space="0" w:color="auto"/>
            </w:tcBorders>
            <w:shd w:val="clear" w:color="auto" w:fill="auto"/>
            <w:noWrap/>
            <w:vAlign w:val="bottom"/>
            <w:hideMark/>
          </w:tcPr>
          <w:p w14:paraId="77C4F358" w14:textId="77777777" w:rsidR="00686EC7" w:rsidRPr="000C156A" w:rsidRDefault="00686EC7" w:rsidP="00141BAA">
            <w:pPr>
              <w:overflowPunct/>
              <w:autoSpaceDE/>
              <w:autoSpaceDN/>
              <w:adjustRightInd/>
              <w:spacing w:before="0"/>
              <w:jc w:val="center"/>
              <w:textAlignment w:val="auto"/>
              <w:rPr>
                <w:rFonts w:ascii="Arial" w:hAnsi="Arial" w:cs="Arial"/>
                <w:sz w:val="22"/>
                <w:szCs w:val="22"/>
                <w:lang w:val="en-US" w:eastAsia="zh-CN"/>
              </w:rPr>
            </w:pPr>
            <w:r w:rsidRPr="000C156A">
              <w:rPr>
                <w:rFonts w:ascii="Arial" w:hAnsi="Arial" w:cs="Arial"/>
                <w:sz w:val="22"/>
                <w:szCs w:val="22"/>
                <w:lang w:val="en-US" w:eastAsia="zh-CN"/>
              </w:rPr>
              <w:t> </w:t>
            </w:r>
          </w:p>
        </w:tc>
        <w:tc>
          <w:tcPr>
            <w:tcW w:w="686" w:type="pct"/>
            <w:tcBorders>
              <w:top w:val="nil"/>
              <w:left w:val="nil"/>
              <w:bottom w:val="single" w:sz="4" w:space="0" w:color="auto"/>
              <w:right w:val="single" w:sz="4" w:space="0" w:color="auto"/>
            </w:tcBorders>
            <w:shd w:val="clear" w:color="auto" w:fill="auto"/>
            <w:noWrap/>
            <w:vAlign w:val="bottom"/>
            <w:hideMark/>
          </w:tcPr>
          <w:p w14:paraId="59B85C6C" w14:textId="77777777" w:rsidR="00686EC7" w:rsidRPr="000C156A" w:rsidRDefault="00686EC7" w:rsidP="00141BAA">
            <w:pPr>
              <w:overflowPunct/>
              <w:autoSpaceDE/>
              <w:autoSpaceDN/>
              <w:adjustRightInd/>
              <w:spacing w:before="0"/>
              <w:jc w:val="center"/>
              <w:textAlignment w:val="auto"/>
              <w:rPr>
                <w:rFonts w:ascii="Arial" w:hAnsi="Arial" w:cs="Arial"/>
                <w:sz w:val="22"/>
                <w:szCs w:val="22"/>
                <w:lang w:val="en-US" w:eastAsia="zh-CN"/>
              </w:rPr>
            </w:pPr>
            <w:r w:rsidRPr="000C156A">
              <w:rPr>
                <w:rFonts w:ascii="Arial" w:hAnsi="Arial" w:cs="Arial"/>
                <w:sz w:val="22"/>
                <w:szCs w:val="22"/>
                <w:lang w:val="en-US" w:eastAsia="zh-CN"/>
              </w:rPr>
              <w:t> </w:t>
            </w:r>
          </w:p>
        </w:tc>
      </w:tr>
      <w:tr w:rsidR="00686EC7" w:rsidRPr="000C156A" w14:paraId="651A927C" w14:textId="77777777" w:rsidTr="00141BAA">
        <w:trPr>
          <w:trHeight w:val="300"/>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14:paraId="754DAF31" w14:textId="77777777" w:rsidR="00686EC7" w:rsidRPr="000C156A" w:rsidRDefault="00686EC7" w:rsidP="00141BAA">
            <w:pPr>
              <w:overflowPunct/>
              <w:autoSpaceDE/>
              <w:autoSpaceDN/>
              <w:adjustRightInd/>
              <w:spacing w:before="0"/>
              <w:jc w:val="center"/>
              <w:textAlignment w:val="auto"/>
              <w:rPr>
                <w:sz w:val="22"/>
                <w:szCs w:val="22"/>
                <w:lang w:val="en-US" w:eastAsia="zh-CN"/>
              </w:rPr>
            </w:pPr>
            <w:r w:rsidRPr="000C156A">
              <w:rPr>
                <w:sz w:val="22"/>
                <w:szCs w:val="22"/>
                <w:lang w:val="en-US" w:eastAsia="zh-CN"/>
              </w:rPr>
              <w:t>TLC 2018</w:t>
            </w:r>
          </w:p>
        </w:tc>
        <w:tc>
          <w:tcPr>
            <w:tcW w:w="796" w:type="pct"/>
            <w:tcBorders>
              <w:top w:val="nil"/>
              <w:left w:val="nil"/>
              <w:bottom w:val="single" w:sz="4" w:space="0" w:color="auto"/>
              <w:right w:val="single" w:sz="4" w:space="0" w:color="auto"/>
            </w:tcBorders>
            <w:shd w:val="clear" w:color="auto" w:fill="auto"/>
            <w:noWrap/>
            <w:vAlign w:val="bottom"/>
            <w:hideMark/>
          </w:tcPr>
          <w:p w14:paraId="4046EADB" w14:textId="77777777" w:rsidR="00686EC7" w:rsidRPr="000C156A" w:rsidRDefault="00686EC7" w:rsidP="00141BAA">
            <w:pPr>
              <w:overflowPunct/>
              <w:autoSpaceDE/>
              <w:autoSpaceDN/>
              <w:adjustRightInd/>
              <w:spacing w:before="0"/>
              <w:textAlignment w:val="auto"/>
              <w:rPr>
                <w:color w:val="000000"/>
                <w:sz w:val="22"/>
                <w:szCs w:val="22"/>
                <w:lang w:val="en-US" w:eastAsia="zh-CN"/>
              </w:rPr>
            </w:pPr>
            <w:r w:rsidRPr="000C156A">
              <w:rPr>
                <w:rFonts w:hint="eastAsia"/>
                <w:color w:val="000000"/>
                <w:sz w:val="22"/>
                <w:szCs w:val="22"/>
                <w:lang w:val="en-US" w:eastAsia="zh-CN"/>
              </w:rPr>
              <w:t>南非</w:t>
            </w:r>
          </w:p>
        </w:tc>
        <w:tc>
          <w:tcPr>
            <w:tcW w:w="1422" w:type="pct"/>
            <w:tcBorders>
              <w:top w:val="nil"/>
              <w:left w:val="nil"/>
              <w:bottom w:val="single" w:sz="4" w:space="0" w:color="auto"/>
              <w:right w:val="single" w:sz="4" w:space="0" w:color="auto"/>
            </w:tcBorders>
            <w:shd w:val="clear" w:color="auto" w:fill="auto"/>
            <w:noWrap/>
            <w:vAlign w:val="bottom"/>
            <w:hideMark/>
          </w:tcPr>
          <w:p w14:paraId="7BAC975E" w14:textId="77777777" w:rsidR="00686EC7" w:rsidRPr="000C156A" w:rsidRDefault="00686EC7" w:rsidP="00141BAA">
            <w:pPr>
              <w:overflowPunct/>
              <w:autoSpaceDE/>
              <w:autoSpaceDN/>
              <w:adjustRightInd/>
              <w:spacing w:before="0"/>
              <w:textAlignment w:val="auto"/>
              <w:rPr>
                <w:sz w:val="22"/>
                <w:szCs w:val="22"/>
                <w:lang w:val="en-US" w:eastAsia="zh-CN"/>
              </w:rPr>
            </w:pPr>
            <w:r w:rsidRPr="000C156A">
              <w:rPr>
                <w:sz w:val="22"/>
                <w:szCs w:val="22"/>
                <w:lang w:val="en-US" w:eastAsia="zh-CN"/>
              </w:rPr>
              <w:t>Ekasi Gaming</w:t>
            </w:r>
          </w:p>
        </w:tc>
        <w:tc>
          <w:tcPr>
            <w:tcW w:w="633" w:type="pct"/>
            <w:tcBorders>
              <w:top w:val="nil"/>
              <w:left w:val="nil"/>
              <w:bottom w:val="single" w:sz="4" w:space="0" w:color="auto"/>
              <w:right w:val="single" w:sz="4" w:space="0" w:color="auto"/>
            </w:tcBorders>
            <w:shd w:val="clear" w:color="auto" w:fill="auto"/>
            <w:noWrap/>
            <w:vAlign w:val="bottom"/>
            <w:hideMark/>
          </w:tcPr>
          <w:p w14:paraId="2737D9C0" w14:textId="77777777" w:rsidR="00686EC7" w:rsidRPr="000C156A" w:rsidRDefault="00686EC7" w:rsidP="00141BAA">
            <w:pPr>
              <w:overflowPunct/>
              <w:autoSpaceDE/>
              <w:autoSpaceDN/>
              <w:adjustRightInd/>
              <w:spacing w:before="0"/>
              <w:jc w:val="right"/>
              <w:textAlignment w:val="auto"/>
              <w:rPr>
                <w:sz w:val="22"/>
                <w:szCs w:val="22"/>
                <w:lang w:val="en-US" w:eastAsia="zh-CN"/>
              </w:rPr>
            </w:pPr>
            <w:r w:rsidRPr="000C156A">
              <w:rPr>
                <w:sz w:val="22"/>
                <w:szCs w:val="22"/>
                <w:lang w:val="en-US" w:eastAsia="zh-CN"/>
              </w:rPr>
              <w:t>800.00</w:t>
            </w:r>
          </w:p>
        </w:tc>
        <w:tc>
          <w:tcPr>
            <w:tcW w:w="586" w:type="pct"/>
            <w:tcBorders>
              <w:top w:val="nil"/>
              <w:left w:val="nil"/>
              <w:bottom w:val="single" w:sz="4" w:space="0" w:color="auto"/>
              <w:right w:val="single" w:sz="4" w:space="0" w:color="auto"/>
            </w:tcBorders>
            <w:shd w:val="clear" w:color="auto" w:fill="auto"/>
            <w:noWrap/>
            <w:vAlign w:val="bottom"/>
            <w:hideMark/>
          </w:tcPr>
          <w:p w14:paraId="24A9641B" w14:textId="77777777" w:rsidR="00686EC7" w:rsidRPr="000C156A" w:rsidRDefault="00686EC7" w:rsidP="00141BAA">
            <w:pPr>
              <w:overflowPunct/>
              <w:autoSpaceDE/>
              <w:autoSpaceDN/>
              <w:adjustRightInd/>
              <w:spacing w:before="0"/>
              <w:jc w:val="right"/>
              <w:textAlignment w:val="auto"/>
              <w:rPr>
                <w:sz w:val="22"/>
                <w:szCs w:val="22"/>
                <w:lang w:val="en-US" w:eastAsia="zh-CN"/>
              </w:rPr>
            </w:pPr>
            <w:r w:rsidRPr="000C156A">
              <w:rPr>
                <w:sz w:val="22"/>
                <w:szCs w:val="22"/>
                <w:lang w:val="en-US" w:eastAsia="zh-CN"/>
              </w:rPr>
              <w:t>0.00</w:t>
            </w:r>
          </w:p>
        </w:tc>
        <w:tc>
          <w:tcPr>
            <w:tcW w:w="686" w:type="pct"/>
            <w:tcBorders>
              <w:top w:val="nil"/>
              <w:left w:val="nil"/>
              <w:bottom w:val="single" w:sz="4" w:space="0" w:color="auto"/>
              <w:right w:val="single" w:sz="4" w:space="0" w:color="auto"/>
            </w:tcBorders>
            <w:shd w:val="clear" w:color="auto" w:fill="auto"/>
            <w:noWrap/>
            <w:vAlign w:val="bottom"/>
            <w:hideMark/>
          </w:tcPr>
          <w:p w14:paraId="117232FB" w14:textId="77777777" w:rsidR="00686EC7" w:rsidRPr="000C156A" w:rsidRDefault="00686EC7" w:rsidP="00141BAA">
            <w:pPr>
              <w:overflowPunct/>
              <w:autoSpaceDE/>
              <w:autoSpaceDN/>
              <w:adjustRightInd/>
              <w:spacing w:before="0"/>
              <w:jc w:val="right"/>
              <w:textAlignment w:val="auto"/>
              <w:rPr>
                <w:sz w:val="22"/>
                <w:szCs w:val="22"/>
                <w:lang w:val="en-US" w:eastAsia="zh-CN"/>
              </w:rPr>
            </w:pPr>
            <w:r w:rsidRPr="000C156A">
              <w:rPr>
                <w:sz w:val="22"/>
                <w:szCs w:val="22"/>
                <w:lang w:val="en-US" w:eastAsia="zh-CN"/>
              </w:rPr>
              <w:t>800.00</w:t>
            </w:r>
          </w:p>
        </w:tc>
      </w:tr>
      <w:tr w:rsidR="00686EC7" w:rsidRPr="000C156A" w14:paraId="73EF31D0" w14:textId="77777777" w:rsidTr="00141BAA">
        <w:trPr>
          <w:trHeight w:val="300"/>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14:paraId="47728DF1" w14:textId="77777777" w:rsidR="00686EC7" w:rsidRPr="000C156A" w:rsidRDefault="00686EC7" w:rsidP="00141BAA">
            <w:pPr>
              <w:overflowPunct/>
              <w:autoSpaceDE/>
              <w:autoSpaceDN/>
              <w:adjustRightInd/>
              <w:spacing w:before="0"/>
              <w:jc w:val="center"/>
              <w:textAlignment w:val="auto"/>
              <w:rPr>
                <w:sz w:val="22"/>
                <w:szCs w:val="22"/>
                <w:lang w:val="en-US" w:eastAsia="zh-CN"/>
              </w:rPr>
            </w:pPr>
            <w:r w:rsidRPr="000C156A">
              <w:rPr>
                <w:sz w:val="22"/>
                <w:szCs w:val="22"/>
                <w:lang w:val="en-US" w:eastAsia="zh-CN"/>
              </w:rPr>
              <w:t>TLC 2018</w:t>
            </w:r>
          </w:p>
        </w:tc>
        <w:tc>
          <w:tcPr>
            <w:tcW w:w="796" w:type="pct"/>
            <w:tcBorders>
              <w:top w:val="nil"/>
              <w:left w:val="nil"/>
              <w:bottom w:val="single" w:sz="4" w:space="0" w:color="auto"/>
              <w:right w:val="single" w:sz="4" w:space="0" w:color="auto"/>
            </w:tcBorders>
            <w:shd w:val="clear" w:color="auto" w:fill="auto"/>
            <w:noWrap/>
            <w:vAlign w:val="bottom"/>
            <w:hideMark/>
          </w:tcPr>
          <w:p w14:paraId="10BC29CD" w14:textId="77777777" w:rsidR="00686EC7" w:rsidRPr="000C156A" w:rsidRDefault="00686EC7" w:rsidP="00141BAA">
            <w:pPr>
              <w:overflowPunct/>
              <w:autoSpaceDE/>
              <w:autoSpaceDN/>
              <w:adjustRightInd/>
              <w:spacing w:before="0"/>
              <w:textAlignment w:val="auto"/>
              <w:rPr>
                <w:color w:val="000000"/>
                <w:sz w:val="22"/>
                <w:szCs w:val="22"/>
                <w:lang w:val="en-US" w:eastAsia="zh-CN"/>
              </w:rPr>
            </w:pPr>
            <w:r w:rsidRPr="000C156A">
              <w:rPr>
                <w:rFonts w:hint="eastAsia"/>
                <w:color w:val="000000"/>
                <w:sz w:val="22"/>
                <w:szCs w:val="22"/>
                <w:lang w:val="en-US" w:eastAsia="zh-CN"/>
              </w:rPr>
              <w:t>喀麦隆</w:t>
            </w:r>
          </w:p>
        </w:tc>
        <w:tc>
          <w:tcPr>
            <w:tcW w:w="1422" w:type="pct"/>
            <w:tcBorders>
              <w:top w:val="nil"/>
              <w:left w:val="nil"/>
              <w:bottom w:val="single" w:sz="4" w:space="0" w:color="auto"/>
              <w:right w:val="single" w:sz="4" w:space="0" w:color="auto"/>
            </w:tcBorders>
            <w:shd w:val="clear" w:color="auto" w:fill="auto"/>
            <w:noWrap/>
            <w:vAlign w:val="bottom"/>
            <w:hideMark/>
          </w:tcPr>
          <w:p w14:paraId="1D9C4962" w14:textId="77777777" w:rsidR="00686EC7" w:rsidRPr="000C156A" w:rsidRDefault="00686EC7" w:rsidP="00141BAA">
            <w:pPr>
              <w:overflowPunct/>
              <w:autoSpaceDE/>
              <w:autoSpaceDN/>
              <w:adjustRightInd/>
              <w:spacing w:before="0"/>
              <w:textAlignment w:val="auto"/>
              <w:rPr>
                <w:color w:val="000000"/>
                <w:sz w:val="22"/>
                <w:szCs w:val="22"/>
                <w:lang w:val="en-US" w:eastAsia="zh-CN"/>
              </w:rPr>
            </w:pPr>
            <w:r w:rsidRPr="000C156A">
              <w:rPr>
                <w:color w:val="000000"/>
                <w:sz w:val="22"/>
                <w:szCs w:val="22"/>
                <w:lang w:val="en-US" w:eastAsia="zh-CN"/>
              </w:rPr>
              <w:t>Iplans SA</w:t>
            </w:r>
          </w:p>
        </w:tc>
        <w:tc>
          <w:tcPr>
            <w:tcW w:w="633" w:type="pct"/>
            <w:tcBorders>
              <w:top w:val="nil"/>
              <w:left w:val="nil"/>
              <w:bottom w:val="single" w:sz="4" w:space="0" w:color="auto"/>
              <w:right w:val="single" w:sz="4" w:space="0" w:color="auto"/>
            </w:tcBorders>
            <w:shd w:val="clear" w:color="auto" w:fill="auto"/>
            <w:noWrap/>
            <w:vAlign w:val="bottom"/>
            <w:hideMark/>
          </w:tcPr>
          <w:p w14:paraId="0FB7F904" w14:textId="142A835B" w:rsidR="00686EC7" w:rsidRPr="000C156A" w:rsidRDefault="00686EC7" w:rsidP="00141BAA">
            <w:pPr>
              <w:overflowPunct/>
              <w:autoSpaceDE/>
              <w:autoSpaceDN/>
              <w:adjustRightInd/>
              <w:spacing w:before="0"/>
              <w:jc w:val="right"/>
              <w:textAlignment w:val="auto"/>
              <w:rPr>
                <w:color w:val="000000"/>
                <w:sz w:val="22"/>
                <w:szCs w:val="22"/>
                <w:lang w:val="en-US" w:eastAsia="zh-CN"/>
              </w:rPr>
            </w:pPr>
            <w:r w:rsidRPr="000C156A">
              <w:rPr>
                <w:color w:val="000000"/>
                <w:sz w:val="22"/>
                <w:szCs w:val="22"/>
                <w:lang w:val="en-US" w:eastAsia="zh-CN"/>
              </w:rPr>
              <w:t>1</w:t>
            </w:r>
            <w:r w:rsidR="001A59E5" w:rsidRPr="000C156A">
              <w:rPr>
                <w:color w:val="000000"/>
                <w:sz w:val="22"/>
                <w:szCs w:val="22"/>
                <w:lang w:val="en-US" w:eastAsia="zh-CN"/>
              </w:rPr>
              <w:t xml:space="preserve"> </w:t>
            </w:r>
            <w:r w:rsidRPr="000C156A">
              <w:rPr>
                <w:color w:val="000000"/>
                <w:sz w:val="22"/>
                <w:szCs w:val="22"/>
                <w:lang w:val="en-US" w:eastAsia="zh-CN"/>
              </w:rPr>
              <w:t>200.00</w:t>
            </w:r>
          </w:p>
        </w:tc>
        <w:tc>
          <w:tcPr>
            <w:tcW w:w="586" w:type="pct"/>
            <w:tcBorders>
              <w:top w:val="nil"/>
              <w:left w:val="nil"/>
              <w:bottom w:val="single" w:sz="4" w:space="0" w:color="auto"/>
              <w:right w:val="single" w:sz="4" w:space="0" w:color="auto"/>
            </w:tcBorders>
            <w:shd w:val="clear" w:color="auto" w:fill="auto"/>
            <w:noWrap/>
            <w:vAlign w:val="bottom"/>
            <w:hideMark/>
          </w:tcPr>
          <w:p w14:paraId="1FD8BBB6" w14:textId="77777777" w:rsidR="00686EC7" w:rsidRPr="000C156A" w:rsidRDefault="00686EC7" w:rsidP="00141BAA">
            <w:pPr>
              <w:overflowPunct/>
              <w:autoSpaceDE/>
              <w:autoSpaceDN/>
              <w:adjustRightInd/>
              <w:spacing w:before="0"/>
              <w:jc w:val="right"/>
              <w:textAlignment w:val="auto"/>
              <w:rPr>
                <w:color w:val="000000"/>
                <w:sz w:val="22"/>
                <w:szCs w:val="22"/>
                <w:lang w:val="en-US" w:eastAsia="zh-CN"/>
              </w:rPr>
            </w:pPr>
            <w:r w:rsidRPr="000C156A">
              <w:rPr>
                <w:color w:val="000000"/>
                <w:sz w:val="22"/>
                <w:szCs w:val="22"/>
                <w:lang w:val="en-US" w:eastAsia="zh-CN"/>
              </w:rPr>
              <w:t>0.00</w:t>
            </w:r>
          </w:p>
        </w:tc>
        <w:tc>
          <w:tcPr>
            <w:tcW w:w="686" w:type="pct"/>
            <w:tcBorders>
              <w:top w:val="nil"/>
              <w:left w:val="nil"/>
              <w:bottom w:val="single" w:sz="4" w:space="0" w:color="auto"/>
              <w:right w:val="single" w:sz="4" w:space="0" w:color="auto"/>
            </w:tcBorders>
            <w:shd w:val="clear" w:color="auto" w:fill="auto"/>
            <w:noWrap/>
            <w:vAlign w:val="bottom"/>
            <w:hideMark/>
          </w:tcPr>
          <w:p w14:paraId="58A603DE" w14:textId="413060D3" w:rsidR="00686EC7" w:rsidRPr="000C156A" w:rsidRDefault="00686EC7" w:rsidP="00141BAA">
            <w:pPr>
              <w:overflowPunct/>
              <w:autoSpaceDE/>
              <w:autoSpaceDN/>
              <w:adjustRightInd/>
              <w:spacing w:before="0"/>
              <w:jc w:val="right"/>
              <w:textAlignment w:val="auto"/>
              <w:rPr>
                <w:sz w:val="22"/>
                <w:szCs w:val="22"/>
                <w:lang w:val="en-US" w:eastAsia="zh-CN"/>
              </w:rPr>
            </w:pPr>
            <w:r w:rsidRPr="000C156A">
              <w:rPr>
                <w:sz w:val="22"/>
                <w:szCs w:val="22"/>
                <w:lang w:val="en-US" w:eastAsia="zh-CN"/>
              </w:rPr>
              <w:t>1</w:t>
            </w:r>
            <w:r w:rsidR="001A59E5" w:rsidRPr="000C156A">
              <w:rPr>
                <w:sz w:val="22"/>
                <w:szCs w:val="22"/>
                <w:lang w:val="en-US" w:eastAsia="zh-CN"/>
              </w:rPr>
              <w:t xml:space="preserve"> </w:t>
            </w:r>
            <w:r w:rsidRPr="000C156A">
              <w:rPr>
                <w:sz w:val="22"/>
                <w:szCs w:val="22"/>
                <w:lang w:val="en-US" w:eastAsia="zh-CN"/>
              </w:rPr>
              <w:t>200.00</w:t>
            </w:r>
          </w:p>
        </w:tc>
      </w:tr>
      <w:tr w:rsidR="00686EC7" w:rsidRPr="000C156A" w14:paraId="5BF74D55" w14:textId="77777777" w:rsidTr="00141BAA">
        <w:trPr>
          <w:trHeight w:val="300"/>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14:paraId="3A56F46B" w14:textId="77777777" w:rsidR="00686EC7" w:rsidRPr="000C156A" w:rsidRDefault="00686EC7" w:rsidP="00141BAA">
            <w:pPr>
              <w:overflowPunct/>
              <w:autoSpaceDE/>
              <w:autoSpaceDN/>
              <w:adjustRightInd/>
              <w:spacing w:before="0"/>
              <w:jc w:val="center"/>
              <w:textAlignment w:val="auto"/>
              <w:rPr>
                <w:sz w:val="22"/>
                <w:szCs w:val="22"/>
                <w:lang w:val="en-US" w:eastAsia="zh-CN"/>
              </w:rPr>
            </w:pPr>
            <w:r w:rsidRPr="000C156A">
              <w:rPr>
                <w:sz w:val="22"/>
                <w:szCs w:val="22"/>
                <w:lang w:val="en-US" w:eastAsia="zh-CN"/>
              </w:rPr>
              <w:t>TLC 2018</w:t>
            </w:r>
          </w:p>
        </w:tc>
        <w:tc>
          <w:tcPr>
            <w:tcW w:w="796" w:type="pct"/>
            <w:tcBorders>
              <w:top w:val="nil"/>
              <w:left w:val="nil"/>
              <w:bottom w:val="single" w:sz="4" w:space="0" w:color="auto"/>
              <w:right w:val="single" w:sz="4" w:space="0" w:color="auto"/>
            </w:tcBorders>
            <w:shd w:val="clear" w:color="auto" w:fill="auto"/>
            <w:noWrap/>
            <w:vAlign w:val="bottom"/>
            <w:hideMark/>
          </w:tcPr>
          <w:p w14:paraId="34EB9074" w14:textId="77777777" w:rsidR="00686EC7" w:rsidRPr="000C156A" w:rsidRDefault="00686EC7" w:rsidP="00141BAA">
            <w:pPr>
              <w:overflowPunct/>
              <w:autoSpaceDE/>
              <w:autoSpaceDN/>
              <w:adjustRightInd/>
              <w:spacing w:before="0"/>
              <w:textAlignment w:val="auto"/>
              <w:rPr>
                <w:color w:val="000000"/>
                <w:sz w:val="22"/>
                <w:szCs w:val="22"/>
                <w:lang w:val="en-US" w:eastAsia="zh-CN"/>
              </w:rPr>
            </w:pPr>
            <w:r w:rsidRPr="000C156A">
              <w:rPr>
                <w:rFonts w:hint="eastAsia"/>
                <w:color w:val="000000"/>
                <w:sz w:val="22"/>
                <w:szCs w:val="22"/>
                <w:lang w:val="en-US" w:eastAsia="zh-CN"/>
              </w:rPr>
              <w:t>英国</w:t>
            </w:r>
          </w:p>
        </w:tc>
        <w:tc>
          <w:tcPr>
            <w:tcW w:w="1422" w:type="pct"/>
            <w:tcBorders>
              <w:top w:val="nil"/>
              <w:left w:val="nil"/>
              <w:bottom w:val="single" w:sz="4" w:space="0" w:color="auto"/>
              <w:right w:val="single" w:sz="4" w:space="0" w:color="auto"/>
            </w:tcBorders>
            <w:shd w:val="clear" w:color="auto" w:fill="auto"/>
            <w:noWrap/>
            <w:vAlign w:val="bottom"/>
            <w:hideMark/>
          </w:tcPr>
          <w:p w14:paraId="4C1174FA" w14:textId="77777777" w:rsidR="00686EC7" w:rsidRPr="000C156A" w:rsidRDefault="00686EC7" w:rsidP="00141BAA">
            <w:pPr>
              <w:overflowPunct/>
              <w:autoSpaceDE/>
              <w:autoSpaceDN/>
              <w:adjustRightInd/>
              <w:spacing w:before="0"/>
              <w:textAlignment w:val="auto"/>
              <w:rPr>
                <w:color w:val="000000"/>
                <w:sz w:val="22"/>
                <w:szCs w:val="22"/>
                <w:lang w:val="en-US" w:eastAsia="zh-CN"/>
              </w:rPr>
            </w:pPr>
            <w:r w:rsidRPr="000C156A">
              <w:rPr>
                <w:color w:val="000000"/>
                <w:sz w:val="22"/>
                <w:szCs w:val="22"/>
                <w:lang w:val="en-US" w:eastAsia="zh-CN"/>
              </w:rPr>
              <w:t>Quika Limited</w:t>
            </w:r>
          </w:p>
        </w:tc>
        <w:tc>
          <w:tcPr>
            <w:tcW w:w="633" w:type="pct"/>
            <w:tcBorders>
              <w:top w:val="nil"/>
              <w:left w:val="nil"/>
              <w:bottom w:val="single" w:sz="4" w:space="0" w:color="auto"/>
              <w:right w:val="single" w:sz="4" w:space="0" w:color="auto"/>
            </w:tcBorders>
            <w:shd w:val="clear" w:color="auto" w:fill="auto"/>
            <w:noWrap/>
            <w:vAlign w:val="bottom"/>
            <w:hideMark/>
          </w:tcPr>
          <w:p w14:paraId="54C1758F" w14:textId="73490CF4" w:rsidR="00686EC7" w:rsidRPr="000C156A" w:rsidRDefault="00686EC7" w:rsidP="00141BAA">
            <w:pPr>
              <w:overflowPunct/>
              <w:autoSpaceDE/>
              <w:autoSpaceDN/>
              <w:adjustRightInd/>
              <w:spacing w:before="0"/>
              <w:jc w:val="right"/>
              <w:textAlignment w:val="auto"/>
              <w:rPr>
                <w:color w:val="000000"/>
                <w:sz w:val="22"/>
                <w:szCs w:val="22"/>
                <w:lang w:val="en-US" w:eastAsia="zh-CN"/>
              </w:rPr>
            </w:pPr>
            <w:r w:rsidRPr="000C156A">
              <w:rPr>
                <w:color w:val="000000"/>
                <w:sz w:val="22"/>
                <w:szCs w:val="22"/>
                <w:lang w:val="en-US" w:eastAsia="zh-CN"/>
              </w:rPr>
              <w:t>31</w:t>
            </w:r>
            <w:r w:rsidR="001A59E5" w:rsidRPr="000C156A">
              <w:rPr>
                <w:color w:val="000000"/>
                <w:sz w:val="22"/>
                <w:szCs w:val="22"/>
                <w:lang w:val="en-US" w:eastAsia="zh-CN"/>
              </w:rPr>
              <w:t xml:space="preserve"> </w:t>
            </w:r>
            <w:r w:rsidRPr="000C156A">
              <w:rPr>
                <w:color w:val="000000"/>
                <w:sz w:val="22"/>
                <w:szCs w:val="22"/>
                <w:lang w:val="en-US" w:eastAsia="zh-CN"/>
              </w:rPr>
              <w:t>800.00</w:t>
            </w:r>
          </w:p>
        </w:tc>
        <w:tc>
          <w:tcPr>
            <w:tcW w:w="586" w:type="pct"/>
            <w:tcBorders>
              <w:top w:val="nil"/>
              <w:left w:val="nil"/>
              <w:bottom w:val="single" w:sz="4" w:space="0" w:color="auto"/>
              <w:right w:val="single" w:sz="4" w:space="0" w:color="auto"/>
            </w:tcBorders>
            <w:shd w:val="clear" w:color="auto" w:fill="auto"/>
            <w:noWrap/>
            <w:vAlign w:val="bottom"/>
            <w:hideMark/>
          </w:tcPr>
          <w:p w14:paraId="1CC7C784" w14:textId="77777777" w:rsidR="00686EC7" w:rsidRPr="000C156A" w:rsidRDefault="00686EC7" w:rsidP="00141BAA">
            <w:pPr>
              <w:overflowPunct/>
              <w:autoSpaceDE/>
              <w:autoSpaceDN/>
              <w:adjustRightInd/>
              <w:spacing w:before="0"/>
              <w:jc w:val="right"/>
              <w:textAlignment w:val="auto"/>
              <w:rPr>
                <w:color w:val="000000"/>
                <w:sz w:val="22"/>
                <w:szCs w:val="22"/>
                <w:lang w:val="en-US" w:eastAsia="zh-CN"/>
              </w:rPr>
            </w:pPr>
            <w:r w:rsidRPr="000C156A">
              <w:rPr>
                <w:color w:val="000000"/>
                <w:sz w:val="22"/>
                <w:szCs w:val="22"/>
                <w:lang w:val="en-US" w:eastAsia="zh-CN"/>
              </w:rPr>
              <w:t>0.00</w:t>
            </w:r>
          </w:p>
        </w:tc>
        <w:tc>
          <w:tcPr>
            <w:tcW w:w="686" w:type="pct"/>
            <w:tcBorders>
              <w:top w:val="nil"/>
              <w:left w:val="nil"/>
              <w:bottom w:val="single" w:sz="4" w:space="0" w:color="auto"/>
              <w:right w:val="single" w:sz="4" w:space="0" w:color="auto"/>
            </w:tcBorders>
            <w:shd w:val="clear" w:color="auto" w:fill="auto"/>
            <w:noWrap/>
            <w:vAlign w:val="bottom"/>
            <w:hideMark/>
          </w:tcPr>
          <w:p w14:paraId="373DE141" w14:textId="518CB304" w:rsidR="00686EC7" w:rsidRPr="000C156A" w:rsidRDefault="00686EC7" w:rsidP="00141BAA">
            <w:pPr>
              <w:overflowPunct/>
              <w:autoSpaceDE/>
              <w:autoSpaceDN/>
              <w:adjustRightInd/>
              <w:spacing w:before="0"/>
              <w:jc w:val="right"/>
              <w:textAlignment w:val="auto"/>
              <w:rPr>
                <w:sz w:val="22"/>
                <w:szCs w:val="22"/>
                <w:lang w:val="en-US" w:eastAsia="zh-CN"/>
              </w:rPr>
            </w:pPr>
            <w:r w:rsidRPr="000C156A">
              <w:rPr>
                <w:sz w:val="22"/>
                <w:szCs w:val="22"/>
                <w:lang w:val="en-US" w:eastAsia="zh-CN"/>
              </w:rPr>
              <w:t>31</w:t>
            </w:r>
            <w:r w:rsidR="001A59E5" w:rsidRPr="000C156A">
              <w:rPr>
                <w:sz w:val="22"/>
                <w:szCs w:val="22"/>
                <w:lang w:val="en-US" w:eastAsia="zh-CN"/>
              </w:rPr>
              <w:t xml:space="preserve"> </w:t>
            </w:r>
            <w:r w:rsidRPr="000C156A">
              <w:rPr>
                <w:sz w:val="22"/>
                <w:szCs w:val="22"/>
                <w:lang w:val="en-US" w:eastAsia="zh-CN"/>
              </w:rPr>
              <w:t>800.00</w:t>
            </w:r>
          </w:p>
        </w:tc>
      </w:tr>
      <w:tr w:rsidR="00686EC7" w:rsidRPr="000C156A" w14:paraId="2EC50B6E" w14:textId="77777777" w:rsidTr="00141BAA">
        <w:trPr>
          <w:trHeight w:val="300"/>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14:paraId="395EA419" w14:textId="77777777" w:rsidR="00686EC7" w:rsidRPr="000C156A" w:rsidRDefault="00686EC7" w:rsidP="00141BAA">
            <w:pPr>
              <w:overflowPunct/>
              <w:autoSpaceDE/>
              <w:autoSpaceDN/>
              <w:adjustRightInd/>
              <w:spacing w:before="0"/>
              <w:jc w:val="center"/>
              <w:textAlignment w:val="auto"/>
              <w:rPr>
                <w:color w:val="000000"/>
                <w:sz w:val="22"/>
                <w:szCs w:val="22"/>
                <w:lang w:val="en-US" w:eastAsia="zh-CN"/>
              </w:rPr>
            </w:pPr>
            <w:r w:rsidRPr="000C156A">
              <w:rPr>
                <w:color w:val="000000"/>
                <w:sz w:val="22"/>
                <w:szCs w:val="22"/>
                <w:lang w:val="en-US" w:eastAsia="zh-CN"/>
              </w:rPr>
              <w:t> </w:t>
            </w:r>
          </w:p>
        </w:tc>
        <w:tc>
          <w:tcPr>
            <w:tcW w:w="796" w:type="pct"/>
            <w:tcBorders>
              <w:top w:val="nil"/>
              <w:left w:val="nil"/>
              <w:bottom w:val="single" w:sz="4" w:space="0" w:color="auto"/>
              <w:right w:val="single" w:sz="4" w:space="0" w:color="auto"/>
            </w:tcBorders>
            <w:shd w:val="clear" w:color="auto" w:fill="auto"/>
            <w:noWrap/>
            <w:vAlign w:val="bottom"/>
            <w:hideMark/>
          </w:tcPr>
          <w:p w14:paraId="7ECA3456" w14:textId="77777777" w:rsidR="00686EC7" w:rsidRPr="000C156A" w:rsidRDefault="00686EC7" w:rsidP="00141BAA">
            <w:pPr>
              <w:overflowPunct/>
              <w:autoSpaceDE/>
              <w:autoSpaceDN/>
              <w:adjustRightInd/>
              <w:spacing w:before="0"/>
              <w:textAlignment w:val="auto"/>
              <w:rPr>
                <w:color w:val="000000"/>
                <w:sz w:val="22"/>
                <w:szCs w:val="22"/>
                <w:lang w:val="en-US" w:eastAsia="zh-CN"/>
              </w:rPr>
            </w:pPr>
            <w:r w:rsidRPr="000C156A">
              <w:rPr>
                <w:color w:val="000000"/>
                <w:sz w:val="22"/>
                <w:szCs w:val="22"/>
                <w:lang w:val="en-US" w:eastAsia="zh-CN"/>
              </w:rPr>
              <w:t> </w:t>
            </w:r>
          </w:p>
        </w:tc>
        <w:tc>
          <w:tcPr>
            <w:tcW w:w="1422" w:type="pct"/>
            <w:tcBorders>
              <w:top w:val="nil"/>
              <w:left w:val="nil"/>
              <w:bottom w:val="single" w:sz="4" w:space="0" w:color="auto"/>
              <w:right w:val="single" w:sz="4" w:space="0" w:color="auto"/>
            </w:tcBorders>
            <w:shd w:val="clear" w:color="auto" w:fill="auto"/>
            <w:noWrap/>
            <w:vAlign w:val="bottom"/>
            <w:hideMark/>
          </w:tcPr>
          <w:p w14:paraId="2E46BE9B" w14:textId="77777777" w:rsidR="00686EC7" w:rsidRPr="000C156A" w:rsidRDefault="00686EC7" w:rsidP="00141BAA">
            <w:pPr>
              <w:overflowPunct/>
              <w:autoSpaceDE/>
              <w:autoSpaceDN/>
              <w:adjustRightInd/>
              <w:spacing w:before="0"/>
              <w:textAlignment w:val="auto"/>
              <w:rPr>
                <w:color w:val="000000"/>
                <w:sz w:val="22"/>
                <w:szCs w:val="22"/>
                <w:lang w:val="en-US" w:eastAsia="zh-CN"/>
              </w:rPr>
            </w:pPr>
            <w:r w:rsidRPr="000C156A">
              <w:rPr>
                <w:color w:val="000000"/>
                <w:sz w:val="22"/>
                <w:szCs w:val="22"/>
                <w:lang w:val="en-US" w:eastAsia="zh-CN"/>
              </w:rPr>
              <w:t> </w:t>
            </w:r>
          </w:p>
        </w:tc>
        <w:tc>
          <w:tcPr>
            <w:tcW w:w="633" w:type="pct"/>
            <w:tcBorders>
              <w:top w:val="nil"/>
              <w:left w:val="nil"/>
              <w:bottom w:val="single" w:sz="4" w:space="0" w:color="auto"/>
              <w:right w:val="single" w:sz="4" w:space="0" w:color="auto"/>
            </w:tcBorders>
            <w:shd w:val="clear" w:color="auto" w:fill="auto"/>
            <w:noWrap/>
            <w:vAlign w:val="bottom"/>
            <w:hideMark/>
          </w:tcPr>
          <w:p w14:paraId="6B0B016B" w14:textId="77777777" w:rsidR="00686EC7" w:rsidRPr="000C156A" w:rsidRDefault="00686EC7" w:rsidP="00141BAA">
            <w:pPr>
              <w:overflowPunct/>
              <w:autoSpaceDE/>
              <w:autoSpaceDN/>
              <w:adjustRightInd/>
              <w:spacing w:before="0"/>
              <w:textAlignment w:val="auto"/>
              <w:rPr>
                <w:color w:val="000000"/>
                <w:sz w:val="22"/>
                <w:szCs w:val="22"/>
                <w:lang w:val="en-US" w:eastAsia="zh-CN"/>
              </w:rPr>
            </w:pPr>
            <w:r w:rsidRPr="000C156A">
              <w:rPr>
                <w:color w:val="000000"/>
                <w:sz w:val="22"/>
                <w:szCs w:val="22"/>
                <w:lang w:val="en-US" w:eastAsia="zh-CN"/>
              </w:rPr>
              <w:t> </w:t>
            </w:r>
          </w:p>
        </w:tc>
        <w:tc>
          <w:tcPr>
            <w:tcW w:w="586" w:type="pct"/>
            <w:tcBorders>
              <w:top w:val="nil"/>
              <w:left w:val="nil"/>
              <w:bottom w:val="single" w:sz="4" w:space="0" w:color="auto"/>
              <w:right w:val="single" w:sz="4" w:space="0" w:color="auto"/>
            </w:tcBorders>
            <w:shd w:val="clear" w:color="auto" w:fill="auto"/>
            <w:noWrap/>
            <w:vAlign w:val="bottom"/>
            <w:hideMark/>
          </w:tcPr>
          <w:p w14:paraId="20426028" w14:textId="77777777" w:rsidR="00686EC7" w:rsidRPr="000C156A" w:rsidRDefault="00686EC7" w:rsidP="00141BAA">
            <w:pPr>
              <w:overflowPunct/>
              <w:autoSpaceDE/>
              <w:autoSpaceDN/>
              <w:adjustRightInd/>
              <w:spacing w:before="0"/>
              <w:textAlignment w:val="auto"/>
              <w:rPr>
                <w:color w:val="000000"/>
                <w:sz w:val="22"/>
                <w:szCs w:val="22"/>
                <w:lang w:val="en-US" w:eastAsia="zh-CN"/>
              </w:rPr>
            </w:pPr>
            <w:r w:rsidRPr="000C156A">
              <w:rPr>
                <w:color w:val="000000"/>
                <w:sz w:val="22"/>
                <w:szCs w:val="22"/>
                <w:lang w:val="en-US" w:eastAsia="zh-CN"/>
              </w:rPr>
              <w:t> </w:t>
            </w:r>
          </w:p>
        </w:tc>
        <w:tc>
          <w:tcPr>
            <w:tcW w:w="686" w:type="pct"/>
            <w:tcBorders>
              <w:top w:val="nil"/>
              <w:left w:val="nil"/>
              <w:bottom w:val="single" w:sz="4" w:space="0" w:color="auto"/>
              <w:right w:val="single" w:sz="4" w:space="0" w:color="auto"/>
            </w:tcBorders>
            <w:shd w:val="clear" w:color="auto" w:fill="auto"/>
            <w:noWrap/>
            <w:vAlign w:val="bottom"/>
            <w:hideMark/>
          </w:tcPr>
          <w:p w14:paraId="2D6FA2CB" w14:textId="77777777" w:rsidR="00686EC7" w:rsidRPr="000C156A" w:rsidRDefault="00686EC7" w:rsidP="00141BAA">
            <w:pPr>
              <w:overflowPunct/>
              <w:autoSpaceDE/>
              <w:autoSpaceDN/>
              <w:adjustRightInd/>
              <w:spacing w:before="0"/>
              <w:textAlignment w:val="auto"/>
              <w:rPr>
                <w:color w:val="000000"/>
                <w:sz w:val="22"/>
                <w:szCs w:val="22"/>
                <w:lang w:val="en-US" w:eastAsia="zh-CN"/>
              </w:rPr>
            </w:pPr>
            <w:r w:rsidRPr="000C156A">
              <w:rPr>
                <w:color w:val="000000"/>
                <w:sz w:val="22"/>
                <w:szCs w:val="22"/>
                <w:lang w:val="en-US" w:eastAsia="zh-CN"/>
              </w:rPr>
              <w:t> </w:t>
            </w:r>
          </w:p>
        </w:tc>
      </w:tr>
      <w:tr w:rsidR="00686EC7" w:rsidRPr="000C156A" w14:paraId="76653A43" w14:textId="77777777" w:rsidTr="00141BAA">
        <w:trPr>
          <w:trHeight w:val="300"/>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14:paraId="585451F4" w14:textId="77777777" w:rsidR="00686EC7" w:rsidRPr="000C156A" w:rsidRDefault="00686EC7" w:rsidP="00141BAA">
            <w:pPr>
              <w:overflowPunct/>
              <w:autoSpaceDE/>
              <w:autoSpaceDN/>
              <w:adjustRightInd/>
              <w:spacing w:before="0"/>
              <w:jc w:val="center"/>
              <w:textAlignment w:val="auto"/>
              <w:rPr>
                <w:sz w:val="22"/>
                <w:szCs w:val="22"/>
                <w:lang w:val="en-US" w:eastAsia="zh-CN"/>
              </w:rPr>
            </w:pPr>
            <w:r w:rsidRPr="000C156A">
              <w:rPr>
                <w:sz w:val="22"/>
                <w:szCs w:val="22"/>
                <w:lang w:val="en-US" w:eastAsia="zh-CN"/>
              </w:rPr>
              <w:t>TLC 2018</w:t>
            </w:r>
          </w:p>
        </w:tc>
        <w:tc>
          <w:tcPr>
            <w:tcW w:w="796" w:type="pct"/>
            <w:tcBorders>
              <w:top w:val="nil"/>
              <w:left w:val="nil"/>
              <w:bottom w:val="single" w:sz="4" w:space="0" w:color="auto"/>
              <w:right w:val="single" w:sz="4" w:space="0" w:color="auto"/>
            </w:tcBorders>
            <w:shd w:val="clear" w:color="auto" w:fill="auto"/>
            <w:noWrap/>
            <w:vAlign w:val="bottom"/>
            <w:hideMark/>
          </w:tcPr>
          <w:p w14:paraId="35D8D30F" w14:textId="77777777" w:rsidR="00686EC7" w:rsidRPr="000C156A" w:rsidRDefault="00686EC7" w:rsidP="00141BAA">
            <w:pPr>
              <w:overflowPunct/>
              <w:autoSpaceDE/>
              <w:autoSpaceDN/>
              <w:adjustRightInd/>
              <w:spacing w:before="0"/>
              <w:textAlignment w:val="auto"/>
              <w:rPr>
                <w:color w:val="000000"/>
                <w:sz w:val="22"/>
                <w:szCs w:val="22"/>
                <w:lang w:val="en-US" w:eastAsia="zh-CN"/>
              </w:rPr>
            </w:pPr>
            <w:r w:rsidRPr="000C156A">
              <w:rPr>
                <w:color w:val="000000"/>
                <w:sz w:val="22"/>
                <w:szCs w:val="22"/>
                <w:lang w:val="en-US" w:eastAsia="zh-CN"/>
              </w:rPr>
              <w:t> </w:t>
            </w:r>
          </w:p>
        </w:tc>
        <w:tc>
          <w:tcPr>
            <w:tcW w:w="1422" w:type="pct"/>
            <w:tcBorders>
              <w:top w:val="nil"/>
              <w:left w:val="nil"/>
              <w:bottom w:val="single" w:sz="4" w:space="0" w:color="auto"/>
              <w:right w:val="single" w:sz="4" w:space="0" w:color="auto"/>
            </w:tcBorders>
            <w:shd w:val="clear" w:color="auto" w:fill="auto"/>
            <w:noWrap/>
            <w:vAlign w:val="bottom"/>
            <w:hideMark/>
          </w:tcPr>
          <w:p w14:paraId="5A25C2FC" w14:textId="77777777" w:rsidR="00686EC7" w:rsidRPr="000C156A" w:rsidRDefault="00686EC7" w:rsidP="00141BAA">
            <w:pPr>
              <w:overflowPunct/>
              <w:autoSpaceDE/>
              <w:autoSpaceDN/>
              <w:adjustRightInd/>
              <w:spacing w:before="0"/>
              <w:textAlignment w:val="auto"/>
              <w:rPr>
                <w:color w:val="000000"/>
                <w:sz w:val="22"/>
                <w:szCs w:val="22"/>
                <w:lang w:val="en-US" w:eastAsia="zh-CN"/>
              </w:rPr>
            </w:pPr>
            <w:r w:rsidRPr="000C156A">
              <w:rPr>
                <w:color w:val="000000"/>
                <w:sz w:val="22"/>
                <w:szCs w:val="22"/>
                <w:lang w:val="en-US" w:eastAsia="zh-CN"/>
              </w:rPr>
              <w:t> </w:t>
            </w:r>
          </w:p>
        </w:tc>
        <w:tc>
          <w:tcPr>
            <w:tcW w:w="633" w:type="pct"/>
            <w:tcBorders>
              <w:top w:val="nil"/>
              <w:left w:val="nil"/>
              <w:bottom w:val="single" w:sz="4" w:space="0" w:color="auto"/>
              <w:right w:val="single" w:sz="4" w:space="0" w:color="auto"/>
            </w:tcBorders>
            <w:shd w:val="clear" w:color="auto" w:fill="auto"/>
            <w:noWrap/>
            <w:vAlign w:val="bottom"/>
            <w:hideMark/>
          </w:tcPr>
          <w:p w14:paraId="75B623E5" w14:textId="77777777" w:rsidR="00686EC7" w:rsidRPr="000C156A" w:rsidRDefault="00686EC7" w:rsidP="00141BAA">
            <w:pPr>
              <w:overflowPunct/>
              <w:autoSpaceDE/>
              <w:autoSpaceDN/>
              <w:adjustRightInd/>
              <w:spacing w:before="0"/>
              <w:textAlignment w:val="auto"/>
              <w:rPr>
                <w:color w:val="000000"/>
                <w:sz w:val="22"/>
                <w:szCs w:val="22"/>
                <w:lang w:val="en-US" w:eastAsia="zh-CN"/>
              </w:rPr>
            </w:pPr>
            <w:r w:rsidRPr="000C156A">
              <w:rPr>
                <w:color w:val="000000"/>
                <w:sz w:val="22"/>
                <w:szCs w:val="22"/>
                <w:lang w:val="en-US" w:eastAsia="zh-CN"/>
              </w:rPr>
              <w:t> </w:t>
            </w:r>
          </w:p>
        </w:tc>
        <w:tc>
          <w:tcPr>
            <w:tcW w:w="586" w:type="pct"/>
            <w:tcBorders>
              <w:top w:val="nil"/>
              <w:left w:val="nil"/>
              <w:bottom w:val="single" w:sz="4" w:space="0" w:color="auto"/>
              <w:right w:val="single" w:sz="4" w:space="0" w:color="auto"/>
            </w:tcBorders>
            <w:shd w:val="clear" w:color="auto" w:fill="auto"/>
            <w:noWrap/>
            <w:vAlign w:val="bottom"/>
            <w:hideMark/>
          </w:tcPr>
          <w:p w14:paraId="678C0D0A" w14:textId="77777777" w:rsidR="00686EC7" w:rsidRPr="000C156A" w:rsidRDefault="00686EC7" w:rsidP="00141BAA">
            <w:pPr>
              <w:overflowPunct/>
              <w:autoSpaceDE/>
              <w:autoSpaceDN/>
              <w:adjustRightInd/>
              <w:spacing w:before="0"/>
              <w:textAlignment w:val="auto"/>
              <w:rPr>
                <w:rFonts w:ascii="Arial" w:hAnsi="Arial" w:cs="Arial"/>
                <w:b/>
                <w:bCs/>
                <w:sz w:val="22"/>
                <w:szCs w:val="22"/>
                <w:lang w:val="en-US" w:eastAsia="zh-CN"/>
              </w:rPr>
            </w:pPr>
            <w:r w:rsidRPr="000C156A">
              <w:rPr>
                <w:rFonts w:ascii="Arial" w:hAnsi="Arial" w:cs="Arial"/>
                <w:b/>
                <w:bCs/>
                <w:sz w:val="22"/>
                <w:szCs w:val="22"/>
                <w:lang w:val="en-US" w:eastAsia="zh-CN"/>
              </w:rPr>
              <w:t> </w:t>
            </w:r>
          </w:p>
        </w:tc>
        <w:tc>
          <w:tcPr>
            <w:tcW w:w="686" w:type="pct"/>
            <w:tcBorders>
              <w:top w:val="nil"/>
              <w:left w:val="nil"/>
              <w:bottom w:val="single" w:sz="4" w:space="0" w:color="auto"/>
              <w:right w:val="single" w:sz="4" w:space="0" w:color="auto"/>
            </w:tcBorders>
            <w:shd w:val="clear" w:color="auto" w:fill="auto"/>
            <w:noWrap/>
            <w:vAlign w:val="bottom"/>
            <w:hideMark/>
          </w:tcPr>
          <w:p w14:paraId="02DD146D" w14:textId="618A2480" w:rsidR="00686EC7" w:rsidRPr="000C156A" w:rsidRDefault="00686EC7" w:rsidP="00141BAA">
            <w:pPr>
              <w:overflowPunct/>
              <w:autoSpaceDE/>
              <w:autoSpaceDN/>
              <w:adjustRightInd/>
              <w:spacing w:before="0"/>
              <w:jc w:val="right"/>
              <w:textAlignment w:val="auto"/>
              <w:rPr>
                <w:rFonts w:cs="Arial"/>
                <w:b/>
                <w:bCs/>
                <w:sz w:val="22"/>
                <w:szCs w:val="22"/>
                <w:lang w:val="en-US" w:eastAsia="zh-CN"/>
              </w:rPr>
            </w:pPr>
            <w:r w:rsidRPr="000C156A">
              <w:rPr>
                <w:rFonts w:cs="Arial"/>
                <w:b/>
                <w:bCs/>
                <w:sz w:val="22"/>
                <w:szCs w:val="22"/>
                <w:lang w:val="en-US" w:eastAsia="zh-CN"/>
              </w:rPr>
              <w:t>33</w:t>
            </w:r>
            <w:r w:rsidR="001A59E5" w:rsidRPr="000C156A">
              <w:rPr>
                <w:rFonts w:cs="Arial"/>
                <w:b/>
                <w:bCs/>
                <w:sz w:val="22"/>
                <w:szCs w:val="22"/>
                <w:lang w:val="en-US" w:eastAsia="zh-CN"/>
              </w:rPr>
              <w:t xml:space="preserve"> </w:t>
            </w:r>
            <w:r w:rsidRPr="000C156A">
              <w:rPr>
                <w:rFonts w:cs="Arial"/>
                <w:b/>
                <w:bCs/>
                <w:sz w:val="22"/>
                <w:szCs w:val="22"/>
                <w:lang w:val="en-US" w:eastAsia="zh-CN"/>
              </w:rPr>
              <w:t>800.00</w:t>
            </w:r>
          </w:p>
        </w:tc>
      </w:tr>
    </w:tbl>
    <w:p w14:paraId="2479240A" w14:textId="77777777" w:rsidR="00686EC7" w:rsidRPr="000C156A" w:rsidRDefault="00686EC7" w:rsidP="00686EC7">
      <w:pPr>
        <w:overflowPunct/>
        <w:autoSpaceDE/>
        <w:autoSpaceDN/>
        <w:adjustRightInd/>
        <w:spacing w:before="0"/>
        <w:textAlignment w:val="auto"/>
        <w:rPr>
          <w:sz w:val="22"/>
          <w:szCs w:val="22"/>
          <w:lang w:val="en-US"/>
        </w:rPr>
      </w:pPr>
    </w:p>
    <w:tbl>
      <w:tblPr>
        <w:tblStyle w:val="TableGrid"/>
        <w:tblW w:w="5000" w:type="pct"/>
        <w:tblLayout w:type="fixed"/>
        <w:tblLook w:val="04A0" w:firstRow="1" w:lastRow="0" w:firstColumn="1" w:lastColumn="0" w:noHBand="0" w:noVBand="1"/>
      </w:tblPr>
      <w:tblGrid>
        <w:gridCol w:w="1692"/>
        <w:gridCol w:w="1568"/>
        <w:gridCol w:w="2740"/>
        <w:gridCol w:w="1304"/>
        <w:gridCol w:w="1150"/>
        <w:gridCol w:w="1175"/>
      </w:tblGrid>
      <w:tr w:rsidR="00686EC7" w:rsidRPr="000C156A" w14:paraId="2F7CB5D1" w14:textId="77777777" w:rsidTr="00141BAA">
        <w:trPr>
          <w:trHeight w:val="300"/>
        </w:trPr>
        <w:tc>
          <w:tcPr>
            <w:tcW w:w="878" w:type="pct"/>
            <w:noWrap/>
            <w:hideMark/>
          </w:tcPr>
          <w:p w14:paraId="56685C3D" w14:textId="77777777" w:rsidR="00686EC7" w:rsidRPr="000C156A" w:rsidRDefault="00686EC7" w:rsidP="00141BAA">
            <w:pPr>
              <w:overflowPunct/>
              <w:autoSpaceDE/>
              <w:autoSpaceDN/>
              <w:adjustRightInd/>
              <w:spacing w:before="0"/>
              <w:jc w:val="center"/>
              <w:textAlignment w:val="auto"/>
              <w:rPr>
                <w:rFonts w:ascii="Arial" w:hAnsi="Arial"/>
                <w:b/>
                <w:bCs/>
                <w:sz w:val="22"/>
                <w:lang w:val="en-US" w:eastAsia="zh-CN"/>
              </w:rPr>
            </w:pPr>
            <w:r w:rsidRPr="000C156A">
              <w:rPr>
                <w:rFonts w:asciiTheme="minorHAnsi" w:eastAsiaTheme="minorEastAsia" w:hAnsiTheme="minorHAnsi" w:hint="eastAsia"/>
                <w:b/>
                <w:bCs/>
                <w:sz w:val="22"/>
              </w:rPr>
              <w:t>活动</w:t>
            </w:r>
          </w:p>
        </w:tc>
        <w:tc>
          <w:tcPr>
            <w:tcW w:w="814" w:type="pct"/>
            <w:noWrap/>
            <w:hideMark/>
          </w:tcPr>
          <w:p w14:paraId="7CA76A5F" w14:textId="77777777" w:rsidR="00686EC7" w:rsidRPr="000C156A" w:rsidRDefault="00686EC7" w:rsidP="00141BAA">
            <w:pPr>
              <w:overflowPunct/>
              <w:autoSpaceDE/>
              <w:autoSpaceDN/>
              <w:adjustRightInd/>
              <w:spacing w:before="0"/>
              <w:jc w:val="center"/>
              <w:textAlignment w:val="auto"/>
              <w:rPr>
                <w:rFonts w:ascii="Arial" w:hAnsi="Arial"/>
                <w:b/>
                <w:bCs/>
                <w:sz w:val="22"/>
                <w:lang w:val="en-US" w:eastAsia="zh-CN"/>
              </w:rPr>
            </w:pPr>
            <w:r w:rsidRPr="000C156A">
              <w:rPr>
                <w:rFonts w:asciiTheme="minorHAnsi" w:eastAsiaTheme="minorEastAsia" w:hAnsiTheme="minorHAnsi" w:hint="eastAsia"/>
                <w:b/>
                <w:bCs/>
                <w:sz w:val="22"/>
              </w:rPr>
              <w:t>国家</w:t>
            </w:r>
          </w:p>
        </w:tc>
        <w:tc>
          <w:tcPr>
            <w:tcW w:w="1423" w:type="pct"/>
            <w:noWrap/>
            <w:hideMark/>
          </w:tcPr>
          <w:p w14:paraId="3DA8B307" w14:textId="77777777" w:rsidR="00686EC7" w:rsidRPr="000C156A" w:rsidRDefault="00686EC7" w:rsidP="00141BAA">
            <w:pPr>
              <w:overflowPunct/>
              <w:autoSpaceDE/>
              <w:autoSpaceDN/>
              <w:adjustRightInd/>
              <w:spacing w:before="0"/>
              <w:jc w:val="center"/>
              <w:textAlignment w:val="auto"/>
              <w:rPr>
                <w:rFonts w:ascii="Arial" w:hAnsi="Arial"/>
                <w:b/>
                <w:bCs/>
                <w:sz w:val="22"/>
                <w:lang w:val="en-US" w:eastAsia="zh-CN"/>
              </w:rPr>
            </w:pPr>
            <w:r w:rsidRPr="000C156A">
              <w:rPr>
                <w:rFonts w:asciiTheme="minorHAnsi" w:eastAsiaTheme="minorEastAsia" w:hAnsiTheme="minorHAnsi" w:hint="eastAsia"/>
                <w:b/>
                <w:bCs/>
                <w:sz w:val="22"/>
              </w:rPr>
              <w:t>公司</w:t>
            </w:r>
          </w:p>
        </w:tc>
        <w:tc>
          <w:tcPr>
            <w:tcW w:w="677" w:type="pct"/>
            <w:noWrap/>
            <w:hideMark/>
          </w:tcPr>
          <w:p w14:paraId="0BE8D868" w14:textId="77777777" w:rsidR="00686EC7" w:rsidRPr="000C156A" w:rsidRDefault="00686EC7" w:rsidP="00141BAA">
            <w:pPr>
              <w:overflowPunct/>
              <w:autoSpaceDE/>
              <w:autoSpaceDN/>
              <w:adjustRightInd/>
              <w:spacing w:before="0"/>
              <w:jc w:val="center"/>
              <w:textAlignment w:val="auto"/>
              <w:rPr>
                <w:rFonts w:ascii="Arial" w:hAnsi="Arial"/>
                <w:b/>
                <w:bCs/>
                <w:sz w:val="22"/>
                <w:lang w:val="en-US" w:eastAsia="zh-CN"/>
              </w:rPr>
            </w:pPr>
            <w:r w:rsidRPr="000C156A">
              <w:rPr>
                <w:rFonts w:asciiTheme="minorHAnsi" w:eastAsiaTheme="minorEastAsia" w:hAnsiTheme="minorHAnsi" w:hint="eastAsia"/>
                <w:b/>
                <w:bCs/>
                <w:sz w:val="22"/>
              </w:rPr>
              <w:t>发票金额</w:t>
            </w:r>
          </w:p>
        </w:tc>
        <w:tc>
          <w:tcPr>
            <w:tcW w:w="597" w:type="pct"/>
            <w:noWrap/>
            <w:hideMark/>
          </w:tcPr>
          <w:p w14:paraId="7EC2BE7B" w14:textId="77777777" w:rsidR="00686EC7" w:rsidRPr="000C156A" w:rsidRDefault="00686EC7" w:rsidP="00141BAA">
            <w:pPr>
              <w:overflowPunct/>
              <w:autoSpaceDE/>
              <w:autoSpaceDN/>
              <w:adjustRightInd/>
              <w:spacing w:before="0"/>
              <w:jc w:val="center"/>
              <w:textAlignment w:val="auto"/>
              <w:rPr>
                <w:rFonts w:ascii="Arial" w:hAnsi="Arial"/>
                <w:b/>
                <w:bCs/>
                <w:sz w:val="22"/>
                <w:lang w:val="en-US" w:eastAsia="zh-CN"/>
              </w:rPr>
            </w:pPr>
            <w:r w:rsidRPr="000C156A">
              <w:rPr>
                <w:rFonts w:asciiTheme="minorHAnsi" w:eastAsiaTheme="minorEastAsia" w:hAnsiTheme="minorHAnsi" w:hint="eastAsia"/>
                <w:b/>
                <w:bCs/>
                <w:sz w:val="22"/>
              </w:rPr>
              <w:t>收到付款</w:t>
            </w:r>
          </w:p>
        </w:tc>
        <w:tc>
          <w:tcPr>
            <w:tcW w:w="610" w:type="pct"/>
            <w:noWrap/>
            <w:hideMark/>
          </w:tcPr>
          <w:p w14:paraId="10127770" w14:textId="77777777" w:rsidR="00686EC7" w:rsidRPr="000C156A" w:rsidRDefault="00686EC7" w:rsidP="00141BAA">
            <w:pPr>
              <w:overflowPunct/>
              <w:autoSpaceDE/>
              <w:autoSpaceDN/>
              <w:adjustRightInd/>
              <w:spacing w:before="0"/>
              <w:jc w:val="center"/>
              <w:textAlignment w:val="auto"/>
              <w:rPr>
                <w:rFonts w:ascii="Arial" w:hAnsi="Arial"/>
                <w:b/>
                <w:bCs/>
                <w:sz w:val="22"/>
                <w:lang w:val="en-US" w:eastAsia="zh-CN"/>
              </w:rPr>
            </w:pPr>
            <w:r w:rsidRPr="000C156A">
              <w:rPr>
                <w:rFonts w:asciiTheme="minorHAnsi" w:eastAsiaTheme="minorEastAsia" w:hAnsiTheme="minorHAnsi" w:hint="eastAsia"/>
                <w:b/>
                <w:bCs/>
                <w:sz w:val="22"/>
              </w:rPr>
              <w:t>欠款金额</w:t>
            </w:r>
          </w:p>
        </w:tc>
      </w:tr>
      <w:tr w:rsidR="00686EC7" w:rsidRPr="000C156A" w14:paraId="4A2FA1B7" w14:textId="77777777" w:rsidTr="00141BAA">
        <w:trPr>
          <w:trHeight w:val="300"/>
        </w:trPr>
        <w:tc>
          <w:tcPr>
            <w:tcW w:w="878" w:type="pct"/>
            <w:noWrap/>
            <w:hideMark/>
          </w:tcPr>
          <w:p w14:paraId="5E57DA42" w14:textId="77777777" w:rsidR="00686EC7" w:rsidRPr="000C156A" w:rsidRDefault="00686EC7" w:rsidP="00141BAA">
            <w:pPr>
              <w:overflowPunct/>
              <w:autoSpaceDE/>
              <w:autoSpaceDN/>
              <w:adjustRightInd/>
              <w:spacing w:before="0"/>
              <w:textAlignment w:val="auto"/>
              <w:rPr>
                <w:b/>
                <w:bCs/>
                <w:sz w:val="22"/>
              </w:rPr>
            </w:pPr>
            <w:r w:rsidRPr="000C156A">
              <w:rPr>
                <w:b/>
                <w:bCs/>
                <w:sz w:val="22"/>
              </w:rPr>
              <w:t> </w:t>
            </w:r>
          </w:p>
        </w:tc>
        <w:tc>
          <w:tcPr>
            <w:tcW w:w="814" w:type="pct"/>
            <w:noWrap/>
            <w:hideMark/>
          </w:tcPr>
          <w:p w14:paraId="6B5CECD1" w14:textId="77777777" w:rsidR="00686EC7" w:rsidRPr="000C156A" w:rsidRDefault="00686EC7" w:rsidP="00141BAA">
            <w:pPr>
              <w:overflowPunct/>
              <w:autoSpaceDE/>
              <w:autoSpaceDN/>
              <w:adjustRightInd/>
              <w:spacing w:before="0"/>
              <w:textAlignment w:val="auto"/>
              <w:rPr>
                <w:b/>
                <w:bCs/>
                <w:sz w:val="22"/>
              </w:rPr>
            </w:pPr>
            <w:r w:rsidRPr="000C156A">
              <w:rPr>
                <w:b/>
                <w:bCs/>
                <w:sz w:val="22"/>
              </w:rPr>
              <w:t> </w:t>
            </w:r>
          </w:p>
        </w:tc>
        <w:tc>
          <w:tcPr>
            <w:tcW w:w="1423" w:type="pct"/>
            <w:noWrap/>
            <w:hideMark/>
          </w:tcPr>
          <w:p w14:paraId="66F5FBC5" w14:textId="77777777" w:rsidR="00686EC7" w:rsidRPr="000C156A" w:rsidRDefault="00686EC7" w:rsidP="00141BAA">
            <w:pPr>
              <w:overflowPunct/>
              <w:autoSpaceDE/>
              <w:autoSpaceDN/>
              <w:adjustRightInd/>
              <w:spacing w:before="0"/>
              <w:textAlignment w:val="auto"/>
              <w:rPr>
                <w:sz w:val="22"/>
              </w:rPr>
            </w:pPr>
            <w:r w:rsidRPr="000C156A">
              <w:rPr>
                <w:sz w:val="22"/>
              </w:rPr>
              <w:t> </w:t>
            </w:r>
          </w:p>
        </w:tc>
        <w:tc>
          <w:tcPr>
            <w:tcW w:w="677" w:type="pct"/>
            <w:noWrap/>
            <w:hideMark/>
          </w:tcPr>
          <w:p w14:paraId="05C89980" w14:textId="77777777" w:rsidR="00686EC7" w:rsidRPr="000C156A" w:rsidRDefault="00686EC7" w:rsidP="00141BAA">
            <w:pPr>
              <w:overflowPunct/>
              <w:autoSpaceDE/>
              <w:autoSpaceDN/>
              <w:adjustRightInd/>
              <w:spacing w:before="0"/>
              <w:textAlignment w:val="auto"/>
              <w:rPr>
                <w:sz w:val="22"/>
              </w:rPr>
            </w:pPr>
            <w:r w:rsidRPr="000C156A">
              <w:rPr>
                <w:sz w:val="22"/>
              </w:rPr>
              <w:t> </w:t>
            </w:r>
          </w:p>
        </w:tc>
        <w:tc>
          <w:tcPr>
            <w:tcW w:w="597" w:type="pct"/>
            <w:noWrap/>
            <w:hideMark/>
          </w:tcPr>
          <w:p w14:paraId="7BB56A4F" w14:textId="77777777" w:rsidR="00686EC7" w:rsidRPr="000C156A" w:rsidRDefault="00686EC7" w:rsidP="00141BAA">
            <w:pPr>
              <w:overflowPunct/>
              <w:autoSpaceDE/>
              <w:autoSpaceDN/>
              <w:adjustRightInd/>
              <w:spacing w:before="0"/>
              <w:textAlignment w:val="auto"/>
              <w:rPr>
                <w:sz w:val="22"/>
              </w:rPr>
            </w:pPr>
            <w:r w:rsidRPr="000C156A">
              <w:rPr>
                <w:sz w:val="22"/>
              </w:rPr>
              <w:t> </w:t>
            </w:r>
          </w:p>
        </w:tc>
        <w:tc>
          <w:tcPr>
            <w:tcW w:w="610" w:type="pct"/>
            <w:noWrap/>
            <w:hideMark/>
          </w:tcPr>
          <w:p w14:paraId="79BC5C58" w14:textId="77777777" w:rsidR="00686EC7" w:rsidRPr="000C156A" w:rsidRDefault="00686EC7" w:rsidP="00141BAA">
            <w:pPr>
              <w:overflowPunct/>
              <w:autoSpaceDE/>
              <w:autoSpaceDN/>
              <w:adjustRightInd/>
              <w:spacing w:before="0"/>
              <w:textAlignment w:val="auto"/>
              <w:rPr>
                <w:sz w:val="22"/>
              </w:rPr>
            </w:pPr>
            <w:r w:rsidRPr="000C156A">
              <w:rPr>
                <w:sz w:val="22"/>
              </w:rPr>
              <w:t> </w:t>
            </w:r>
          </w:p>
        </w:tc>
      </w:tr>
      <w:tr w:rsidR="00686EC7" w:rsidRPr="000C156A" w14:paraId="73F2B4AF" w14:textId="77777777" w:rsidTr="00141BAA">
        <w:trPr>
          <w:trHeight w:val="300"/>
        </w:trPr>
        <w:tc>
          <w:tcPr>
            <w:tcW w:w="878" w:type="pct"/>
            <w:noWrap/>
            <w:hideMark/>
          </w:tcPr>
          <w:p w14:paraId="205BCC2A" w14:textId="77777777" w:rsidR="00686EC7" w:rsidRPr="000C156A" w:rsidRDefault="00686EC7" w:rsidP="00141BAA">
            <w:pPr>
              <w:overflowPunct/>
              <w:autoSpaceDE/>
              <w:autoSpaceDN/>
              <w:adjustRightInd/>
              <w:spacing w:before="0"/>
              <w:textAlignment w:val="auto"/>
              <w:rPr>
                <w:sz w:val="22"/>
              </w:rPr>
            </w:pPr>
            <w:bookmarkStart w:id="1246" w:name="_Hlk40865933"/>
            <w:r w:rsidRPr="000C156A">
              <w:rPr>
                <w:sz w:val="22"/>
              </w:rPr>
              <w:t>TLC 2019</w:t>
            </w:r>
          </w:p>
        </w:tc>
        <w:tc>
          <w:tcPr>
            <w:tcW w:w="814" w:type="pct"/>
            <w:noWrap/>
            <w:hideMark/>
          </w:tcPr>
          <w:p w14:paraId="7CB42332" w14:textId="77777777" w:rsidR="00686EC7" w:rsidRPr="000C156A" w:rsidRDefault="00686EC7" w:rsidP="00141BAA">
            <w:pPr>
              <w:overflowPunct/>
              <w:autoSpaceDE/>
              <w:autoSpaceDN/>
              <w:adjustRightInd/>
              <w:spacing w:before="0"/>
              <w:textAlignment w:val="auto"/>
              <w:rPr>
                <w:rFonts w:asciiTheme="minorEastAsia" w:eastAsiaTheme="minorEastAsia" w:hAnsiTheme="minorEastAsia"/>
                <w:sz w:val="22"/>
              </w:rPr>
            </w:pPr>
            <w:r w:rsidRPr="000C156A">
              <w:rPr>
                <w:rFonts w:asciiTheme="minorEastAsia" w:eastAsiaTheme="minorEastAsia" w:hAnsiTheme="minorEastAsia"/>
                <w:sz w:val="22"/>
              </w:rPr>
              <w:t>刚果</w:t>
            </w:r>
          </w:p>
        </w:tc>
        <w:tc>
          <w:tcPr>
            <w:tcW w:w="1423" w:type="pct"/>
            <w:noWrap/>
            <w:hideMark/>
          </w:tcPr>
          <w:p w14:paraId="25B7415B" w14:textId="77777777" w:rsidR="00686EC7" w:rsidRPr="000C156A" w:rsidRDefault="00686EC7" w:rsidP="00141BAA">
            <w:pPr>
              <w:overflowPunct/>
              <w:autoSpaceDE/>
              <w:autoSpaceDN/>
              <w:adjustRightInd/>
              <w:spacing w:before="0"/>
              <w:textAlignment w:val="auto"/>
              <w:rPr>
                <w:sz w:val="22"/>
                <w:lang w:val="fr-FR" w:eastAsia="zh-CN"/>
              </w:rPr>
            </w:pPr>
            <w:r w:rsidRPr="000C156A">
              <w:rPr>
                <w:rFonts w:hint="eastAsia"/>
                <w:sz w:val="22"/>
                <w:lang w:val="fr-FR" w:eastAsia="zh-CN"/>
              </w:rPr>
              <w:t>综合发展中心（</w:t>
            </w:r>
            <w:r w:rsidRPr="000C156A">
              <w:rPr>
                <w:rFonts w:hint="eastAsia"/>
                <w:sz w:val="22"/>
                <w:lang w:val="fr-FR" w:eastAsia="zh-CN"/>
              </w:rPr>
              <w:t>IDC</w:t>
            </w:r>
            <w:r w:rsidRPr="000C156A">
              <w:rPr>
                <w:rFonts w:hint="eastAsia"/>
                <w:sz w:val="22"/>
                <w:lang w:val="fr-FR" w:eastAsia="zh-CN"/>
              </w:rPr>
              <w:t>）</w:t>
            </w:r>
          </w:p>
        </w:tc>
        <w:tc>
          <w:tcPr>
            <w:tcW w:w="677" w:type="pct"/>
            <w:noWrap/>
            <w:hideMark/>
          </w:tcPr>
          <w:p w14:paraId="02531435" w14:textId="74310641" w:rsidR="00686EC7" w:rsidRPr="000C156A" w:rsidRDefault="00686EC7" w:rsidP="00141BAA">
            <w:pPr>
              <w:overflowPunct/>
              <w:autoSpaceDE/>
              <w:autoSpaceDN/>
              <w:adjustRightInd/>
              <w:spacing w:before="0"/>
              <w:jc w:val="right"/>
              <w:textAlignment w:val="auto"/>
              <w:rPr>
                <w:sz w:val="22"/>
              </w:rPr>
            </w:pPr>
            <w:r w:rsidRPr="000C156A">
              <w:rPr>
                <w:sz w:val="22"/>
              </w:rPr>
              <w:t>5</w:t>
            </w:r>
            <w:r w:rsidR="001A59E5" w:rsidRPr="000C156A">
              <w:rPr>
                <w:sz w:val="22"/>
              </w:rPr>
              <w:t xml:space="preserve"> </w:t>
            </w:r>
            <w:r w:rsidRPr="000C156A">
              <w:rPr>
                <w:sz w:val="22"/>
              </w:rPr>
              <w:t>400.00</w:t>
            </w:r>
          </w:p>
        </w:tc>
        <w:tc>
          <w:tcPr>
            <w:tcW w:w="597" w:type="pct"/>
            <w:noWrap/>
            <w:hideMark/>
          </w:tcPr>
          <w:p w14:paraId="483AE80E" w14:textId="77777777" w:rsidR="00686EC7" w:rsidRPr="000C156A" w:rsidRDefault="00686EC7" w:rsidP="00141BAA">
            <w:pPr>
              <w:overflowPunct/>
              <w:autoSpaceDE/>
              <w:autoSpaceDN/>
              <w:adjustRightInd/>
              <w:spacing w:before="0"/>
              <w:jc w:val="right"/>
              <w:textAlignment w:val="auto"/>
              <w:rPr>
                <w:sz w:val="22"/>
              </w:rPr>
            </w:pPr>
            <w:r w:rsidRPr="000C156A">
              <w:rPr>
                <w:sz w:val="22"/>
              </w:rPr>
              <w:t>0.00</w:t>
            </w:r>
          </w:p>
        </w:tc>
        <w:tc>
          <w:tcPr>
            <w:tcW w:w="610" w:type="pct"/>
            <w:noWrap/>
            <w:hideMark/>
          </w:tcPr>
          <w:p w14:paraId="16E540C6" w14:textId="3219341B" w:rsidR="00686EC7" w:rsidRPr="000C156A" w:rsidRDefault="00686EC7" w:rsidP="00141BAA">
            <w:pPr>
              <w:overflowPunct/>
              <w:autoSpaceDE/>
              <w:autoSpaceDN/>
              <w:adjustRightInd/>
              <w:spacing w:before="0"/>
              <w:jc w:val="right"/>
              <w:textAlignment w:val="auto"/>
              <w:rPr>
                <w:sz w:val="22"/>
              </w:rPr>
            </w:pPr>
            <w:r w:rsidRPr="000C156A">
              <w:rPr>
                <w:sz w:val="22"/>
              </w:rPr>
              <w:t>5</w:t>
            </w:r>
            <w:r w:rsidR="001A59E5" w:rsidRPr="000C156A">
              <w:rPr>
                <w:sz w:val="22"/>
              </w:rPr>
              <w:t xml:space="preserve"> </w:t>
            </w:r>
            <w:r w:rsidRPr="000C156A">
              <w:rPr>
                <w:sz w:val="22"/>
              </w:rPr>
              <w:t>400.00</w:t>
            </w:r>
          </w:p>
        </w:tc>
      </w:tr>
      <w:tr w:rsidR="00686EC7" w:rsidRPr="000C156A" w14:paraId="6E38B4FC" w14:textId="77777777" w:rsidTr="00141BAA">
        <w:trPr>
          <w:trHeight w:val="300"/>
        </w:trPr>
        <w:tc>
          <w:tcPr>
            <w:tcW w:w="878" w:type="pct"/>
            <w:noWrap/>
            <w:hideMark/>
          </w:tcPr>
          <w:p w14:paraId="410A85BA" w14:textId="77777777" w:rsidR="00686EC7" w:rsidRPr="000C156A" w:rsidRDefault="00686EC7" w:rsidP="00141BAA">
            <w:pPr>
              <w:overflowPunct/>
              <w:autoSpaceDE/>
              <w:autoSpaceDN/>
              <w:adjustRightInd/>
              <w:spacing w:before="0"/>
              <w:textAlignment w:val="auto"/>
              <w:rPr>
                <w:sz w:val="22"/>
              </w:rPr>
            </w:pPr>
            <w:r w:rsidRPr="000C156A">
              <w:rPr>
                <w:sz w:val="22"/>
              </w:rPr>
              <w:t>TLC 2019</w:t>
            </w:r>
          </w:p>
        </w:tc>
        <w:tc>
          <w:tcPr>
            <w:tcW w:w="814" w:type="pct"/>
            <w:noWrap/>
            <w:vAlign w:val="bottom"/>
            <w:hideMark/>
          </w:tcPr>
          <w:p w14:paraId="4BB8F6A1" w14:textId="77777777" w:rsidR="00686EC7" w:rsidRPr="000C156A" w:rsidRDefault="00686EC7" w:rsidP="00141BAA">
            <w:pPr>
              <w:overflowPunct/>
              <w:autoSpaceDE/>
              <w:autoSpaceDN/>
              <w:adjustRightInd/>
              <w:spacing w:before="0"/>
              <w:textAlignment w:val="auto"/>
              <w:rPr>
                <w:rFonts w:asciiTheme="minorEastAsia" w:eastAsiaTheme="minorEastAsia" w:hAnsiTheme="minorEastAsia"/>
                <w:color w:val="000000"/>
                <w:sz w:val="22"/>
                <w:lang w:val="en-US" w:eastAsia="zh-CN"/>
              </w:rPr>
            </w:pPr>
            <w:r w:rsidRPr="000C156A">
              <w:rPr>
                <w:rFonts w:asciiTheme="minorEastAsia" w:eastAsiaTheme="minorEastAsia" w:hAnsiTheme="minorEastAsia"/>
                <w:sz w:val="22"/>
              </w:rPr>
              <w:t>南非</w:t>
            </w:r>
          </w:p>
        </w:tc>
        <w:tc>
          <w:tcPr>
            <w:tcW w:w="1423" w:type="pct"/>
            <w:noWrap/>
            <w:hideMark/>
          </w:tcPr>
          <w:p w14:paraId="11DA51F6" w14:textId="77777777" w:rsidR="00686EC7" w:rsidRPr="000C156A" w:rsidRDefault="00686EC7" w:rsidP="00141BAA">
            <w:pPr>
              <w:overflowPunct/>
              <w:autoSpaceDE/>
              <w:autoSpaceDN/>
              <w:adjustRightInd/>
              <w:spacing w:before="0"/>
              <w:textAlignment w:val="auto"/>
              <w:rPr>
                <w:sz w:val="22"/>
              </w:rPr>
            </w:pPr>
            <w:r w:rsidRPr="000C156A">
              <w:rPr>
                <w:sz w:val="22"/>
              </w:rPr>
              <w:t>Orizur</w:t>
            </w:r>
            <w:r w:rsidRPr="000C156A">
              <w:rPr>
                <w:rFonts w:ascii="SimSun" w:hAnsi="SimSun" w:cs="SimSun" w:hint="eastAsia"/>
                <w:sz w:val="22"/>
                <w:lang w:eastAsia="zh-CN"/>
              </w:rPr>
              <w:t>咨询公司</w:t>
            </w:r>
          </w:p>
        </w:tc>
        <w:tc>
          <w:tcPr>
            <w:tcW w:w="677" w:type="pct"/>
            <w:noWrap/>
            <w:hideMark/>
          </w:tcPr>
          <w:p w14:paraId="7F870B2D" w14:textId="7743492B" w:rsidR="00686EC7" w:rsidRPr="000C156A" w:rsidRDefault="00686EC7" w:rsidP="00141BAA">
            <w:pPr>
              <w:overflowPunct/>
              <w:autoSpaceDE/>
              <w:autoSpaceDN/>
              <w:adjustRightInd/>
              <w:spacing w:before="0"/>
              <w:jc w:val="right"/>
              <w:textAlignment w:val="auto"/>
              <w:rPr>
                <w:sz w:val="22"/>
              </w:rPr>
            </w:pPr>
            <w:r w:rsidRPr="000C156A">
              <w:rPr>
                <w:sz w:val="22"/>
              </w:rPr>
              <w:t>1</w:t>
            </w:r>
            <w:r w:rsidR="001A59E5" w:rsidRPr="000C156A">
              <w:rPr>
                <w:sz w:val="22"/>
              </w:rPr>
              <w:t xml:space="preserve"> </w:t>
            </w:r>
            <w:r w:rsidRPr="000C156A">
              <w:rPr>
                <w:sz w:val="22"/>
              </w:rPr>
              <w:t>000.00</w:t>
            </w:r>
          </w:p>
        </w:tc>
        <w:tc>
          <w:tcPr>
            <w:tcW w:w="597" w:type="pct"/>
            <w:noWrap/>
            <w:hideMark/>
          </w:tcPr>
          <w:p w14:paraId="7AC4C21E" w14:textId="77777777" w:rsidR="00686EC7" w:rsidRPr="000C156A" w:rsidRDefault="00686EC7" w:rsidP="00141BAA">
            <w:pPr>
              <w:overflowPunct/>
              <w:autoSpaceDE/>
              <w:autoSpaceDN/>
              <w:adjustRightInd/>
              <w:spacing w:before="0"/>
              <w:jc w:val="right"/>
              <w:textAlignment w:val="auto"/>
              <w:rPr>
                <w:sz w:val="22"/>
              </w:rPr>
            </w:pPr>
            <w:r w:rsidRPr="000C156A">
              <w:rPr>
                <w:sz w:val="22"/>
              </w:rPr>
              <w:t>0.00</w:t>
            </w:r>
          </w:p>
        </w:tc>
        <w:tc>
          <w:tcPr>
            <w:tcW w:w="610" w:type="pct"/>
            <w:noWrap/>
            <w:hideMark/>
          </w:tcPr>
          <w:p w14:paraId="6957F401" w14:textId="152CB65F" w:rsidR="00686EC7" w:rsidRPr="000C156A" w:rsidRDefault="00686EC7" w:rsidP="00141BAA">
            <w:pPr>
              <w:overflowPunct/>
              <w:autoSpaceDE/>
              <w:autoSpaceDN/>
              <w:adjustRightInd/>
              <w:spacing w:before="0"/>
              <w:jc w:val="right"/>
              <w:textAlignment w:val="auto"/>
              <w:rPr>
                <w:sz w:val="22"/>
              </w:rPr>
            </w:pPr>
            <w:r w:rsidRPr="000C156A">
              <w:rPr>
                <w:sz w:val="22"/>
              </w:rPr>
              <w:t>1</w:t>
            </w:r>
            <w:r w:rsidR="001A59E5" w:rsidRPr="000C156A">
              <w:rPr>
                <w:sz w:val="22"/>
              </w:rPr>
              <w:t xml:space="preserve"> </w:t>
            </w:r>
            <w:r w:rsidRPr="000C156A">
              <w:rPr>
                <w:sz w:val="22"/>
              </w:rPr>
              <w:t>000.00</w:t>
            </w:r>
          </w:p>
        </w:tc>
      </w:tr>
      <w:tr w:rsidR="00686EC7" w:rsidRPr="000C156A" w14:paraId="0BC58643" w14:textId="77777777" w:rsidTr="00141BAA">
        <w:trPr>
          <w:trHeight w:val="300"/>
        </w:trPr>
        <w:tc>
          <w:tcPr>
            <w:tcW w:w="878" w:type="pct"/>
            <w:noWrap/>
            <w:hideMark/>
          </w:tcPr>
          <w:p w14:paraId="10841399" w14:textId="77777777" w:rsidR="00686EC7" w:rsidRPr="000C156A" w:rsidRDefault="00686EC7" w:rsidP="00141BAA">
            <w:pPr>
              <w:overflowPunct/>
              <w:autoSpaceDE/>
              <w:autoSpaceDN/>
              <w:adjustRightInd/>
              <w:spacing w:before="0"/>
              <w:textAlignment w:val="auto"/>
              <w:rPr>
                <w:sz w:val="22"/>
              </w:rPr>
            </w:pPr>
            <w:r w:rsidRPr="000C156A">
              <w:rPr>
                <w:sz w:val="22"/>
              </w:rPr>
              <w:t>TLC 2019</w:t>
            </w:r>
          </w:p>
        </w:tc>
        <w:tc>
          <w:tcPr>
            <w:tcW w:w="814" w:type="pct"/>
            <w:noWrap/>
            <w:hideMark/>
          </w:tcPr>
          <w:p w14:paraId="35F0855C" w14:textId="77777777" w:rsidR="00686EC7" w:rsidRPr="000C156A" w:rsidRDefault="00686EC7" w:rsidP="00141BAA">
            <w:pPr>
              <w:overflowPunct/>
              <w:autoSpaceDE/>
              <w:autoSpaceDN/>
              <w:adjustRightInd/>
              <w:spacing w:before="0"/>
              <w:textAlignment w:val="auto"/>
              <w:rPr>
                <w:rFonts w:asciiTheme="minorEastAsia" w:eastAsiaTheme="minorEastAsia" w:hAnsiTheme="minorEastAsia"/>
                <w:sz w:val="22"/>
              </w:rPr>
            </w:pPr>
            <w:r w:rsidRPr="000C156A">
              <w:rPr>
                <w:rFonts w:asciiTheme="minorEastAsia" w:eastAsiaTheme="minorEastAsia" w:hAnsiTheme="minorEastAsia"/>
                <w:sz w:val="22"/>
              </w:rPr>
              <w:t>阿联</w:t>
            </w:r>
            <w:r w:rsidRPr="000C156A">
              <w:rPr>
                <w:rFonts w:asciiTheme="minorEastAsia" w:eastAsiaTheme="minorEastAsia" w:hAnsiTheme="minorEastAsia" w:hint="eastAsia"/>
                <w:sz w:val="22"/>
              </w:rPr>
              <w:t>酋</w:t>
            </w:r>
          </w:p>
        </w:tc>
        <w:tc>
          <w:tcPr>
            <w:tcW w:w="1423" w:type="pct"/>
            <w:noWrap/>
            <w:hideMark/>
          </w:tcPr>
          <w:p w14:paraId="6738FDC6" w14:textId="77777777" w:rsidR="00686EC7" w:rsidRPr="000C156A" w:rsidRDefault="00686EC7" w:rsidP="00141BAA">
            <w:pPr>
              <w:overflowPunct/>
              <w:autoSpaceDE/>
              <w:autoSpaceDN/>
              <w:adjustRightInd/>
              <w:spacing w:before="0"/>
              <w:textAlignment w:val="auto"/>
              <w:rPr>
                <w:sz w:val="22"/>
              </w:rPr>
            </w:pPr>
            <w:r w:rsidRPr="000C156A">
              <w:rPr>
                <w:sz w:val="22"/>
              </w:rPr>
              <w:t>Smart Life for IT</w:t>
            </w:r>
          </w:p>
        </w:tc>
        <w:tc>
          <w:tcPr>
            <w:tcW w:w="677" w:type="pct"/>
            <w:noWrap/>
            <w:hideMark/>
          </w:tcPr>
          <w:p w14:paraId="106C8F97" w14:textId="3A6E4B92" w:rsidR="00686EC7" w:rsidRPr="000C156A" w:rsidRDefault="00686EC7" w:rsidP="00141BAA">
            <w:pPr>
              <w:overflowPunct/>
              <w:autoSpaceDE/>
              <w:autoSpaceDN/>
              <w:adjustRightInd/>
              <w:spacing w:before="0"/>
              <w:jc w:val="right"/>
              <w:textAlignment w:val="auto"/>
              <w:rPr>
                <w:sz w:val="22"/>
              </w:rPr>
            </w:pPr>
            <w:r w:rsidRPr="000C156A">
              <w:rPr>
                <w:sz w:val="22"/>
              </w:rPr>
              <w:t>5</w:t>
            </w:r>
            <w:r w:rsidR="001A59E5" w:rsidRPr="000C156A">
              <w:rPr>
                <w:sz w:val="22"/>
              </w:rPr>
              <w:t xml:space="preserve"> </w:t>
            </w:r>
            <w:r w:rsidRPr="000C156A">
              <w:rPr>
                <w:sz w:val="22"/>
              </w:rPr>
              <w:t>400.00</w:t>
            </w:r>
          </w:p>
        </w:tc>
        <w:tc>
          <w:tcPr>
            <w:tcW w:w="597" w:type="pct"/>
            <w:noWrap/>
            <w:hideMark/>
          </w:tcPr>
          <w:p w14:paraId="2FCD5498" w14:textId="77777777" w:rsidR="00686EC7" w:rsidRPr="000C156A" w:rsidRDefault="00686EC7" w:rsidP="00141BAA">
            <w:pPr>
              <w:overflowPunct/>
              <w:autoSpaceDE/>
              <w:autoSpaceDN/>
              <w:adjustRightInd/>
              <w:spacing w:before="0"/>
              <w:jc w:val="right"/>
              <w:textAlignment w:val="auto"/>
              <w:rPr>
                <w:sz w:val="22"/>
              </w:rPr>
            </w:pPr>
            <w:r w:rsidRPr="000C156A">
              <w:rPr>
                <w:sz w:val="22"/>
              </w:rPr>
              <w:t>0.00</w:t>
            </w:r>
          </w:p>
        </w:tc>
        <w:tc>
          <w:tcPr>
            <w:tcW w:w="610" w:type="pct"/>
            <w:noWrap/>
            <w:hideMark/>
          </w:tcPr>
          <w:p w14:paraId="733322A8" w14:textId="26002765" w:rsidR="00686EC7" w:rsidRPr="000C156A" w:rsidRDefault="00686EC7" w:rsidP="00141BAA">
            <w:pPr>
              <w:overflowPunct/>
              <w:autoSpaceDE/>
              <w:autoSpaceDN/>
              <w:adjustRightInd/>
              <w:spacing w:before="0"/>
              <w:jc w:val="right"/>
              <w:textAlignment w:val="auto"/>
              <w:rPr>
                <w:sz w:val="22"/>
              </w:rPr>
            </w:pPr>
            <w:r w:rsidRPr="000C156A">
              <w:rPr>
                <w:sz w:val="22"/>
              </w:rPr>
              <w:t>5</w:t>
            </w:r>
            <w:r w:rsidR="001A59E5" w:rsidRPr="000C156A">
              <w:rPr>
                <w:sz w:val="22"/>
              </w:rPr>
              <w:t xml:space="preserve"> </w:t>
            </w:r>
            <w:r w:rsidRPr="000C156A">
              <w:rPr>
                <w:sz w:val="22"/>
              </w:rPr>
              <w:t>400.00</w:t>
            </w:r>
          </w:p>
        </w:tc>
      </w:tr>
      <w:tr w:rsidR="00686EC7" w:rsidRPr="000C156A" w14:paraId="263D81A3" w14:textId="77777777" w:rsidTr="00141BAA">
        <w:trPr>
          <w:trHeight w:val="300"/>
        </w:trPr>
        <w:tc>
          <w:tcPr>
            <w:tcW w:w="878" w:type="pct"/>
            <w:noWrap/>
            <w:hideMark/>
          </w:tcPr>
          <w:p w14:paraId="33BC7C4D" w14:textId="77777777" w:rsidR="00686EC7" w:rsidRPr="000C156A" w:rsidRDefault="00686EC7" w:rsidP="00141BAA">
            <w:pPr>
              <w:overflowPunct/>
              <w:autoSpaceDE/>
              <w:autoSpaceDN/>
              <w:adjustRightInd/>
              <w:spacing w:before="0"/>
              <w:textAlignment w:val="auto"/>
              <w:rPr>
                <w:sz w:val="22"/>
              </w:rPr>
            </w:pPr>
            <w:r w:rsidRPr="000C156A">
              <w:rPr>
                <w:sz w:val="22"/>
              </w:rPr>
              <w:t>TLC 2019</w:t>
            </w:r>
          </w:p>
        </w:tc>
        <w:tc>
          <w:tcPr>
            <w:tcW w:w="814" w:type="pct"/>
            <w:noWrap/>
            <w:hideMark/>
          </w:tcPr>
          <w:p w14:paraId="60F96625" w14:textId="77777777" w:rsidR="00686EC7" w:rsidRPr="000C156A" w:rsidRDefault="00686EC7" w:rsidP="00141BAA">
            <w:pPr>
              <w:overflowPunct/>
              <w:autoSpaceDE/>
              <w:autoSpaceDN/>
              <w:adjustRightInd/>
              <w:spacing w:before="0"/>
              <w:textAlignment w:val="auto"/>
              <w:rPr>
                <w:rFonts w:asciiTheme="minorEastAsia" w:eastAsiaTheme="minorEastAsia" w:hAnsiTheme="minorEastAsia"/>
                <w:sz w:val="22"/>
              </w:rPr>
            </w:pPr>
            <w:r w:rsidRPr="000C156A">
              <w:rPr>
                <w:rFonts w:asciiTheme="minorEastAsia" w:eastAsiaTheme="minorEastAsia" w:hAnsiTheme="minorEastAsia"/>
                <w:sz w:val="22"/>
              </w:rPr>
              <w:t>加纳</w:t>
            </w:r>
          </w:p>
        </w:tc>
        <w:tc>
          <w:tcPr>
            <w:tcW w:w="1423" w:type="pct"/>
            <w:noWrap/>
            <w:hideMark/>
          </w:tcPr>
          <w:p w14:paraId="5AD080EB" w14:textId="77777777" w:rsidR="00686EC7" w:rsidRPr="000C156A" w:rsidRDefault="00686EC7" w:rsidP="00141BAA">
            <w:pPr>
              <w:overflowPunct/>
              <w:autoSpaceDE/>
              <w:autoSpaceDN/>
              <w:adjustRightInd/>
              <w:spacing w:before="0"/>
              <w:textAlignment w:val="auto"/>
              <w:rPr>
                <w:sz w:val="22"/>
                <w:lang w:eastAsia="zh-CN"/>
              </w:rPr>
            </w:pPr>
            <w:r w:rsidRPr="000C156A">
              <w:rPr>
                <w:sz w:val="22"/>
                <w:lang w:eastAsia="zh-CN"/>
              </w:rPr>
              <w:t>Tawo</w:t>
            </w:r>
            <w:r w:rsidRPr="000C156A">
              <w:rPr>
                <w:rFonts w:ascii="SimSun" w:hAnsi="SimSun" w:cs="SimSun" w:hint="eastAsia"/>
                <w:sz w:val="22"/>
                <w:lang w:eastAsia="zh-CN"/>
              </w:rPr>
              <w:t>移动技术公司</w:t>
            </w:r>
          </w:p>
        </w:tc>
        <w:tc>
          <w:tcPr>
            <w:tcW w:w="677" w:type="pct"/>
            <w:noWrap/>
            <w:hideMark/>
          </w:tcPr>
          <w:p w14:paraId="0BEE8B4B" w14:textId="57A97D17" w:rsidR="00686EC7" w:rsidRPr="000C156A" w:rsidRDefault="00686EC7" w:rsidP="00141BAA">
            <w:pPr>
              <w:overflowPunct/>
              <w:autoSpaceDE/>
              <w:autoSpaceDN/>
              <w:adjustRightInd/>
              <w:spacing w:before="0"/>
              <w:jc w:val="right"/>
              <w:textAlignment w:val="auto"/>
              <w:rPr>
                <w:sz w:val="22"/>
              </w:rPr>
            </w:pPr>
            <w:r w:rsidRPr="000C156A">
              <w:rPr>
                <w:sz w:val="22"/>
              </w:rPr>
              <w:t>1</w:t>
            </w:r>
            <w:r w:rsidR="001A59E5" w:rsidRPr="000C156A">
              <w:rPr>
                <w:sz w:val="22"/>
              </w:rPr>
              <w:t xml:space="preserve"> </w:t>
            </w:r>
            <w:r w:rsidRPr="000C156A">
              <w:rPr>
                <w:sz w:val="22"/>
              </w:rPr>
              <w:t>000.00</w:t>
            </w:r>
          </w:p>
        </w:tc>
        <w:tc>
          <w:tcPr>
            <w:tcW w:w="597" w:type="pct"/>
            <w:noWrap/>
            <w:hideMark/>
          </w:tcPr>
          <w:p w14:paraId="59628081" w14:textId="77777777" w:rsidR="00686EC7" w:rsidRPr="000C156A" w:rsidRDefault="00686EC7" w:rsidP="00141BAA">
            <w:pPr>
              <w:overflowPunct/>
              <w:autoSpaceDE/>
              <w:autoSpaceDN/>
              <w:adjustRightInd/>
              <w:spacing w:before="0"/>
              <w:jc w:val="right"/>
              <w:textAlignment w:val="auto"/>
              <w:rPr>
                <w:sz w:val="22"/>
              </w:rPr>
            </w:pPr>
            <w:r w:rsidRPr="000C156A">
              <w:rPr>
                <w:sz w:val="22"/>
              </w:rPr>
              <w:t>0.00</w:t>
            </w:r>
          </w:p>
        </w:tc>
        <w:tc>
          <w:tcPr>
            <w:tcW w:w="610" w:type="pct"/>
            <w:noWrap/>
            <w:hideMark/>
          </w:tcPr>
          <w:p w14:paraId="32E8C0E9" w14:textId="7FEAB38C" w:rsidR="00686EC7" w:rsidRPr="000C156A" w:rsidRDefault="00686EC7" w:rsidP="00141BAA">
            <w:pPr>
              <w:overflowPunct/>
              <w:autoSpaceDE/>
              <w:autoSpaceDN/>
              <w:adjustRightInd/>
              <w:spacing w:before="0"/>
              <w:jc w:val="right"/>
              <w:textAlignment w:val="auto"/>
              <w:rPr>
                <w:sz w:val="22"/>
              </w:rPr>
            </w:pPr>
            <w:r w:rsidRPr="000C156A">
              <w:rPr>
                <w:sz w:val="22"/>
              </w:rPr>
              <w:t>1</w:t>
            </w:r>
            <w:r w:rsidR="001A59E5" w:rsidRPr="000C156A">
              <w:rPr>
                <w:sz w:val="22"/>
              </w:rPr>
              <w:t xml:space="preserve"> </w:t>
            </w:r>
            <w:r w:rsidRPr="000C156A">
              <w:rPr>
                <w:sz w:val="22"/>
              </w:rPr>
              <w:t>000.00</w:t>
            </w:r>
          </w:p>
        </w:tc>
      </w:tr>
      <w:tr w:rsidR="00686EC7" w:rsidRPr="000C156A" w14:paraId="6E8AA47F" w14:textId="77777777" w:rsidTr="00141BAA">
        <w:trPr>
          <w:trHeight w:val="300"/>
        </w:trPr>
        <w:tc>
          <w:tcPr>
            <w:tcW w:w="878" w:type="pct"/>
            <w:noWrap/>
            <w:hideMark/>
          </w:tcPr>
          <w:p w14:paraId="20A31FA3" w14:textId="77777777" w:rsidR="00686EC7" w:rsidRPr="000C156A" w:rsidRDefault="00686EC7" w:rsidP="00141BAA">
            <w:pPr>
              <w:overflowPunct/>
              <w:autoSpaceDE/>
              <w:autoSpaceDN/>
              <w:adjustRightInd/>
              <w:spacing w:before="0"/>
              <w:textAlignment w:val="auto"/>
              <w:rPr>
                <w:sz w:val="22"/>
              </w:rPr>
            </w:pPr>
            <w:r w:rsidRPr="000C156A">
              <w:rPr>
                <w:sz w:val="22"/>
              </w:rPr>
              <w:t>TLC 2019</w:t>
            </w:r>
          </w:p>
        </w:tc>
        <w:tc>
          <w:tcPr>
            <w:tcW w:w="814" w:type="pct"/>
            <w:noWrap/>
            <w:hideMark/>
          </w:tcPr>
          <w:p w14:paraId="2D016664" w14:textId="77777777" w:rsidR="00686EC7" w:rsidRPr="000C156A" w:rsidRDefault="00686EC7" w:rsidP="00141BAA">
            <w:pPr>
              <w:overflowPunct/>
              <w:autoSpaceDE/>
              <w:autoSpaceDN/>
              <w:adjustRightInd/>
              <w:spacing w:before="0"/>
              <w:textAlignment w:val="auto"/>
              <w:rPr>
                <w:rFonts w:asciiTheme="minorEastAsia" w:eastAsiaTheme="minorEastAsia" w:hAnsiTheme="minorEastAsia"/>
                <w:sz w:val="22"/>
              </w:rPr>
            </w:pPr>
            <w:r w:rsidRPr="000C156A">
              <w:rPr>
                <w:rFonts w:asciiTheme="minorEastAsia" w:eastAsiaTheme="minorEastAsia" w:hAnsiTheme="minorEastAsia"/>
                <w:sz w:val="22"/>
              </w:rPr>
              <w:t>印度</w:t>
            </w:r>
          </w:p>
        </w:tc>
        <w:tc>
          <w:tcPr>
            <w:tcW w:w="1423" w:type="pct"/>
            <w:noWrap/>
            <w:hideMark/>
          </w:tcPr>
          <w:p w14:paraId="29C1CA52" w14:textId="77777777" w:rsidR="00686EC7" w:rsidRPr="000C156A" w:rsidRDefault="00686EC7" w:rsidP="00141BAA">
            <w:pPr>
              <w:overflowPunct/>
              <w:autoSpaceDE/>
              <w:autoSpaceDN/>
              <w:adjustRightInd/>
              <w:spacing w:before="0"/>
              <w:textAlignment w:val="auto"/>
              <w:rPr>
                <w:sz w:val="22"/>
              </w:rPr>
            </w:pPr>
            <w:r w:rsidRPr="000C156A">
              <w:rPr>
                <w:rFonts w:ascii="SimSun" w:hAnsi="SimSun" w:cs="SimSun" w:hint="eastAsia"/>
                <w:sz w:val="22"/>
                <w:lang w:eastAsia="zh-CN"/>
              </w:rPr>
              <w:t>印度电信耳机公司</w:t>
            </w:r>
          </w:p>
        </w:tc>
        <w:tc>
          <w:tcPr>
            <w:tcW w:w="677" w:type="pct"/>
            <w:noWrap/>
            <w:hideMark/>
          </w:tcPr>
          <w:p w14:paraId="0A7B63EA" w14:textId="77777777" w:rsidR="00686EC7" w:rsidRPr="000C156A" w:rsidRDefault="00686EC7" w:rsidP="00141BAA">
            <w:pPr>
              <w:overflowPunct/>
              <w:autoSpaceDE/>
              <w:autoSpaceDN/>
              <w:adjustRightInd/>
              <w:spacing w:before="0"/>
              <w:jc w:val="right"/>
              <w:textAlignment w:val="auto"/>
              <w:rPr>
                <w:sz w:val="22"/>
              </w:rPr>
            </w:pPr>
            <w:r w:rsidRPr="000C156A">
              <w:rPr>
                <w:sz w:val="22"/>
              </w:rPr>
              <w:t>800.00</w:t>
            </w:r>
          </w:p>
        </w:tc>
        <w:tc>
          <w:tcPr>
            <w:tcW w:w="597" w:type="pct"/>
            <w:noWrap/>
            <w:hideMark/>
          </w:tcPr>
          <w:p w14:paraId="3AB4BD5B" w14:textId="77777777" w:rsidR="00686EC7" w:rsidRPr="000C156A" w:rsidRDefault="00686EC7" w:rsidP="00141BAA">
            <w:pPr>
              <w:overflowPunct/>
              <w:autoSpaceDE/>
              <w:autoSpaceDN/>
              <w:adjustRightInd/>
              <w:spacing w:before="0"/>
              <w:jc w:val="right"/>
              <w:textAlignment w:val="auto"/>
              <w:rPr>
                <w:sz w:val="22"/>
              </w:rPr>
            </w:pPr>
            <w:r w:rsidRPr="000C156A">
              <w:rPr>
                <w:sz w:val="22"/>
              </w:rPr>
              <w:t>0.00</w:t>
            </w:r>
          </w:p>
        </w:tc>
        <w:tc>
          <w:tcPr>
            <w:tcW w:w="610" w:type="pct"/>
            <w:noWrap/>
            <w:hideMark/>
          </w:tcPr>
          <w:p w14:paraId="42D1327C" w14:textId="77777777" w:rsidR="00686EC7" w:rsidRPr="000C156A" w:rsidRDefault="00686EC7" w:rsidP="00141BAA">
            <w:pPr>
              <w:overflowPunct/>
              <w:autoSpaceDE/>
              <w:autoSpaceDN/>
              <w:adjustRightInd/>
              <w:spacing w:before="0"/>
              <w:jc w:val="right"/>
              <w:textAlignment w:val="auto"/>
              <w:rPr>
                <w:sz w:val="22"/>
              </w:rPr>
            </w:pPr>
            <w:r w:rsidRPr="000C156A">
              <w:rPr>
                <w:sz w:val="22"/>
              </w:rPr>
              <w:t>800.00</w:t>
            </w:r>
          </w:p>
        </w:tc>
      </w:tr>
      <w:tr w:rsidR="00686EC7" w:rsidRPr="000C156A" w14:paraId="262724E8" w14:textId="77777777" w:rsidTr="00141BAA">
        <w:trPr>
          <w:trHeight w:val="300"/>
        </w:trPr>
        <w:tc>
          <w:tcPr>
            <w:tcW w:w="878" w:type="pct"/>
            <w:noWrap/>
            <w:hideMark/>
          </w:tcPr>
          <w:p w14:paraId="57D59A17" w14:textId="77777777" w:rsidR="00686EC7" w:rsidRPr="000C156A" w:rsidRDefault="00686EC7" w:rsidP="00141BAA">
            <w:pPr>
              <w:overflowPunct/>
              <w:autoSpaceDE/>
              <w:autoSpaceDN/>
              <w:adjustRightInd/>
              <w:spacing w:before="0"/>
              <w:textAlignment w:val="auto"/>
              <w:rPr>
                <w:sz w:val="22"/>
              </w:rPr>
            </w:pPr>
            <w:r w:rsidRPr="000C156A">
              <w:rPr>
                <w:sz w:val="22"/>
              </w:rPr>
              <w:t>TLC 2019</w:t>
            </w:r>
          </w:p>
        </w:tc>
        <w:tc>
          <w:tcPr>
            <w:tcW w:w="814" w:type="pct"/>
            <w:noWrap/>
            <w:hideMark/>
          </w:tcPr>
          <w:p w14:paraId="38854B3C" w14:textId="77777777" w:rsidR="00686EC7" w:rsidRPr="000C156A" w:rsidRDefault="00686EC7" w:rsidP="00141BAA">
            <w:pPr>
              <w:overflowPunct/>
              <w:autoSpaceDE/>
              <w:autoSpaceDN/>
              <w:adjustRightInd/>
              <w:spacing w:before="0"/>
              <w:textAlignment w:val="auto"/>
              <w:rPr>
                <w:rFonts w:asciiTheme="minorEastAsia" w:eastAsiaTheme="minorEastAsia" w:hAnsiTheme="minorEastAsia"/>
                <w:sz w:val="22"/>
              </w:rPr>
            </w:pPr>
            <w:r w:rsidRPr="000C156A">
              <w:rPr>
                <w:rFonts w:asciiTheme="minorEastAsia" w:eastAsiaTheme="minorEastAsia" w:hAnsiTheme="minorEastAsia"/>
                <w:sz w:val="22"/>
              </w:rPr>
              <w:t>匈牙利</w:t>
            </w:r>
          </w:p>
        </w:tc>
        <w:tc>
          <w:tcPr>
            <w:tcW w:w="1423" w:type="pct"/>
            <w:noWrap/>
            <w:hideMark/>
          </w:tcPr>
          <w:p w14:paraId="6CA3FF55" w14:textId="77777777" w:rsidR="00686EC7" w:rsidRPr="000C156A" w:rsidRDefault="00686EC7" w:rsidP="00141BAA">
            <w:pPr>
              <w:overflowPunct/>
              <w:autoSpaceDE/>
              <w:autoSpaceDN/>
              <w:adjustRightInd/>
              <w:spacing w:before="0"/>
              <w:textAlignment w:val="auto"/>
              <w:rPr>
                <w:sz w:val="22"/>
              </w:rPr>
            </w:pPr>
            <w:r w:rsidRPr="000C156A">
              <w:rPr>
                <w:rFonts w:ascii="SimSun" w:hAnsi="SimSun" w:cs="SimSun" w:hint="eastAsia"/>
                <w:sz w:val="22"/>
                <w:lang w:eastAsia="zh-CN"/>
              </w:rPr>
              <w:t>数字未来基金会</w:t>
            </w:r>
          </w:p>
        </w:tc>
        <w:tc>
          <w:tcPr>
            <w:tcW w:w="677" w:type="pct"/>
            <w:noWrap/>
            <w:hideMark/>
          </w:tcPr>
          <w:p w14:paraId="6A87451B" w14:textId="4C83212B" w:rsidR="00686EC7" w:rsidRPr="000C156A" w:rsidRDefault="00686EC7" w:rsidP="00141BAA">
            <w:pPr>
              <w:overflowPunct/>
              <w:autoSpaceDE/>
              <w:autoSpaceDN/>
              <w:adjustRightInd/>
              <w:spacing w:before="0"/>
              <w:jc w:val="right"/>
              <w:textAlignment w:val="auto"/>
              <w:rPr>
                <w:sz w:val="22"/>
              </w:rPr>
            </w:pPr>
            <w:r w:rsidRPr="000C156A">
              <w:rPr>
                <w:sz w:val="22"/>
              </w:rPr>
              <w:t>48</w:t>
            </w:r>
            <w:r w:rsidR="001A59E5" w:rsidRPr="000C156A">
              <w:rPr>
                <w:sz w:val="22"/>
              </w:rPr>
              <w:t xml:space="preserve"> </w:t>
            </w:r>
            <w:r w:rsidRPr="000C156A">
              <w:rPr>
                <w:sz w:val="22"/>
              </w:rPr>
              <w:t>000.00</w:t>
            </w:r>
          </w:p>
        </w:tc>
        <w:tc>
          <w:tcPr>
            <w:tcW w:w="597" w:type="pct"/>
            <w:noWrap/>
            <w:hideMark/>
          </w:tcPr>
          <w:p w14:paraId="627305EE" w14:textId="77777777" w:rsidR="00686EC7" w:rsidRPr="000C156A" w:rsidRDefault="00686EC7" w:rsidP="00141BAA">
            <w:pPr>
              <w:overflowPunct/>
              <w:autoSpaceDE/>
              <w:autoSpaceDN/>
              <w:adjustRightInd/>
              <w:spacing w:before="0"/>
              <w:jc w:val="right"/>
              <w:textAlignment w:val="auto"/>
              <w:rPr>
                <w:sz w:val="22"/>
              </w:rPr>
            </w:pPr>
            <w:r w:rsidRPr="000C156A">
              <w:rPr>
                <w:sz w:val="22"/>
              </w:rPr>
              <w:t>0.00</w:t>
            </w:r>
          </w:p>
        </w:tc>
        <w:tc>
          <w:tcPr>
            <w:tcW w:w="610" w:type="pct"/>
            <w:noWrap/>
            <w:hideMark/>
          </w:tcPr>
          <w:p w14:paraId="71B77597" w14:textId="67D5AC8F" w:rsidR="00686EC7" w:rsidRPr="000C156A" w:rsidRDefault="00686EC7" w:rsidP="00141BAA">
            <w:pPr>
              <w:overflowPunct/>
              <w:autoSpaceDE/>
              <w:autoSpaceDN/>
              <w:adjustRightInd/>
              <w:spacing w:before="0"/>
              <w:jc w:val="right"/>
              <w:textAlignment w:val="auto"/>
              <w:rPr>
                <w:sz w:val="22"/>
              </w:rPr>
            </w:pPr>
            <w:r w:rsidRPr="000C156A">
              <w:rPr>
                <w:sz w:val="22"/>
              </w:rPr>
              <w:t>48</w:t>
            </w:r>
            <w:r w:rsidR="001A59E5" w:rsidRPr="000C156A">
              <w:rPr>
                <w:sz w:val="22"/>
              </w:rPr>
              <w:t xml:space="preserve"> </w:t>
            </w:r>
            <w:r w:rsidRPr="000C156A">
              <w:rPr>
                <w:sz w:val="22"/>
              </w:rPr>
              <w:t>000.00</w:t>
            </w:r>
          </w:p>
        </w:tc>
      </w:tr>
      <w:bookmarkEnd w:id="1246"/>
      <w:tr w:rsidR="00686EC7" w:rsidRPr="000C156A" w14:paraId="1C9104DF" w14:textId="77777777" w:rsidTr="00141BAA">
        <w:trPr>
          <w:trHeight w:val="300"/>
        </w:trPr>
        <w:tc>
          <w:tcPr>
            <w:tcW w:w="878" w:type="pct"/>
            <w:noWrap/>
            <w:hideMark/>
          </w:tcPr>
          <w:p w14:paraId="46BFA648" w14:textId="77777777" w:rsidR="00686EC7" w:rsidRPr="000C156A" w:rsidRDefault="00686EC7" w:rsidP="00141BAA">
            <w:pPr>
              <w:overflowPunct/>
              <w:autoSpaceDE/>
              <w:autoSpaceDN/>
              <w:adjustRightInd/>
              <w:spacing w:before="0"/>
              <w:textAlignment w:val="auto"/>
              <w:rPr>
                <w:sz w:val="22"/>
              </w:rPr>
            </w:pPr>
            <w:r w:rsidRPr="000C156A">
              <w:rPr>
                <w:sz w:val="22"/>
              </w:rPr>
              <w:t> </w:t>
            </w:r>
          </w:p>
        </w:tc>
        <w:tc>
          <w:tcPr>
            <w:tcW w:w="814" w:type="pct"/>
            <w:noWrap/>
            <w:hideMark/>
          </w:tcPr>
          <w:p w14:paraId="415AF55E" w14:textId="77777777" w:rsidR="00686EC7" w:rsidRPr="000C156A" w:rsidRDefault="00686EC7" w:rsidP="00141BAA">
            <w:pPr>
              <w:overflowPunct/>
              <w:autoSpaceDE/>
              <w:autoSpaceDN/>
              <w:adjustRightInd/>
              <w:spacing w:before="0"/>
              <w:textAlignment w:val="auto"/>
              <w:rPr>
                <w:sz w:val="22"/>
              </w:rPr>
            </w:pPr>
            <w:r w:rsidRPr="000C156A">
              <w:rPr>
                <w:sz w:val="22"/>
              </w:rPr>
              <w:t> </w:t>
            </w:r>
          </w:p>
        </w:tc>
        <w:tc>
          <w:tcPr>
            <w:tcW w:w="1423" w:type="pct"/>
            <w:noWrap/>
            <w:hideMark/>
          </w:tcPr>
          <w:p w14:paraId="5983EF7D" w14:textId="77777777" w:rsidR="00686EC7" w:rsidRPr="000C156A" w:rsidRDefault="00686EC7" w:rsidP="00141BAA">
            <w:pPr>
              <w:overflowPunct/>
              <w:autoSpaceDE/>
              <w:autoSpaceDN/>
              <w:adjustRightInd/>
              <w:spacing w:before="0"/>
              <w:textAlignment w:val="auto"/>
              <w:rPr>
                <w:sz w:val="22"/>
              </w:rPr>
            </w:pPr>
            <w:r w:rsidRPr="000C156A">
              <w:rPr>
                <w:sz w:val="22"/>
              </w:rPr>
              <w:t> </w:t>
            </w:r>
          </w:p>
        </w:tc>
        <w:tc>
          <w:tcPr>
            <w:tcW w:w="677" w:type="pct"/>
            <w:noWrap/>
            <w:hideMark/>
          </w:tcPr>
          <w:p w14:paraId="35876E2B" w14:textId="77777777" w:rsidR="00686EC7" w:rsidRPr="000C156A" w:rsidRDefault="00686EC7" w:rsidP="00141BAA">
            <w:pPr>
              <w:overflowPunct/>
              <w:autoSpaceDE/>
              <w:autoSpaceDN/>
              <w:adjustRightInd/>
              <w:spacing w:before="0"/>
              <w:jc w:val="right"/>
              <w:textAlignment w:val="auto"/>
              <w:rPr>
                <w:sz w:val="22"/>
              </w:rPr>
            </w:pPr>
            <w:r w:rsidRPr="000C156A">
              <w:rPr>
                <w:sz w:val="22"/>
              </w:rPr>
              <w:t> </w:t>
            </w:r>
          </w:p>
        </w:tc>
        <w:tc>
          <w:tcPr>
            <w:tcW w:w="597" w:type="pct"/>
            <w:noWrap/>
            <w:hideMark/>
          </w:tcPr>
          <w:p w14:paraId="279A46B5" w14:textId="77777777" w:rsidR="00686EC7" w:rsidRPr="000C156A" w:rsidRDefault="00686EC7" w:rsidP="00141BAA">
            <w:pPr>
              <w:overflowPunct/>
              <w:autoSpaceDE/>
              <w:autoSpaceDN/>
              <w:adjustRightInd/>
              <w:spacing w:before="0"/>
              <w:jc w:val="right"/>
              <w:textAlignment w:val="auto"/>
              <w:rPr>
                <w:sz w:val="22"/>
              </w:rPr>
            </w:pPr>
            <w:r w:rsidRPr="000C156A">
              <w:rPr>
                <w:sz w:val="22"/>
              </w:rPr>
              <w:t> </w:t>
            </w:r>
          </w:p>
        </w:tc>
        <w:tc>
          <w:tcPr>
            <w:tcW w:w="610" w:type="pct"/>
            <w:noWrap/>
            <w:hideMark/>
          </w:tcPr>
          <w:p w14:paraId="6497547C" w14:textId="77777777" w:rsidR="00686EC7" w:rsidRPr="000C156A" w:rsidRDefault="00686EC7" w:rsidP="00141BAA">
            <w:pPr>
              <w:overflowPunct/>
              <w:autoSpaceDE/>
              <w:autoSpaceDN/>
              <w:adjustRightInd/>
              <w:spacing w:before="0"/>
              <w:jc w:val="right"/>
              <w:textAlignment w:val="auto"/>
              <w:rPr>
                <w:sz w:val="22"/>
              </w:rPr>
            </w:pPr>
            <w:r w:rsidRPr="000C156A">
              <w:rPr>
                <w:sz w:val="22"/>
              </w:rPr>
              <w:t> </w:t>
            </w:r>
          </w:p>
        </w:tc>
      </w:tr>
      <w:tr w:rsidR="00686EC7" w:rsidRPr="000C156A" w14:paraId="0C7E72D3" w14:textId="77777777" w:rsidTr="00141BAA">
        <w:trPr>
          <w:trHeight w:val="300"/>
        </w:trPr>
        <w:tc>
          <w:tcPr>
            <w:tcW w:w="878" w:type="pct"/>
            <w:noWrap/>
            <w:hideMark/>
          </w:tcPr>
          <w:p w14:paraId="0274A11A" w14:textId="77777777" w:rsidR="00686EC7" w:rsidRPr="000C156A" w:rsidRDefault="00686EC7" w:rsidP="00141BAA">
            <w:pPr>
              <w:overflowPunct/>
              <w:autoSpaceDE/>
              <w:autoSpaceDN/>
              <w:adjustRightInd/>
              <w:spacing w:before="0"/>
              <w:textAlignment w:val="auto"/>
              <w:rPr>
                <w:sz w:val="22"/>
              </w:rPr>
            </w:pPr>
            <w:r w:rsidRPr="000C156A">
              <w:rPr>
                <w:sz w:val="22"/>
              </w:rPr>
              <w:t>TLC 2019</w:t>
            </w:r>
          </w:p>
        </w:tc>
        <w:tc>
          <w:tcPr>
            <w:tcW w:w="814" w:type="pct"/>
            <w:noWrap/>
            <w:hideMark/>
          </w:tcPr>
          <w:p w14:paraId="4F551DDD" w14:textId="77777777" w:rsidR="00686EC7" w:rsidRPr="000C156A" w:rsidRDefault="00686EC7" w:rsidP="00141BAA">
            <w:pPr>
              <w:overflowPunct/>
              <w:autoSpaceDE/>
              <w:autoSpaceDN/>
              <w:adjustRightInd/>
              <w:spacing w:before="0"/>
              <w:textAlignment w:val="auto"/>
              <w:rPr>
                <w:sz w:val="22"/>
              </w:rPr>
            </w:pPr>
            <w:r w:rsidRPr="000C156A">
              <w:rPr>
                <w:sz w:val="22"/>
              </w:rPr>
              <w:t> </w:t>
            </w:r>
          </w:p>
        </w:tc>
        <w:tc>
          <w:tcPr>
            <w:tcW w:w="1423" w:type="pct"/>
            <w:noWrap/>
            <w:hideMark/>
          </w:tcPr>
          <w:p w14:paraId="0F6782B4" w14:textId="77777777" w:rsidR="00686EC7" w:rsidRPr="000C156A" w:rsidRDefault="00686EC7" w:rsidP="00141BAA">
            <w:pPr>
              <w:overflowPunct/>
              <w:autoSpaceDE/>
              <w:autoSpaceDN/>
              <w:adjustRightInd/>
              <w:spacing w:before="0"/>
              <w:textAlignment w:val="auto"/>
              <w:rPr>
                <w:sz w:val="22"/>
              </w:rPr>
            </w:pPr>
            <w:r w:rsidRPr="000C156A">
              <w:rPr>
                <w:sz w:val="22"/>
              </w:rPr>
              <w:t> </w:t>
            </w:r>
          </w:p>
        </w:tc>
        <w:tc>
          <w:tcPr>
            <w:tcW w:w="677" w:type="pct"/>
            <w:noWrap/>
            <w:hideMark/>
          </w:tcPr>
          <w:p w14:paraId="110DEE96" w14:textId="77777777" w:rsidR="00686EC7" w:rsidRPr="000C156A" w:rsidRDefault="00686EC7" w:rsidP="00141BAA">
            <w:pPr>
              <w:overflowPunct/>
              <w:autoSpaceDE/>
              <w:autoSpaceDN/>
              <w:adjustRightInd/>
              <w:spacing w:before="0"/>
              <w:jc w:val="right"/>
              <w:textAlignment w:val="auto"/>
              <w:rPr>
                <w:sz w:val="22"/>
              </w:rPr>
            </w:pPr>
            <w:r w:rsidRPr="000C156A">
              <w:rPr>
                <w:sz w:val="22"/>
              </w:rPr>
              <w:t> </w:t>
            </w:r>
          </w:p>
        </w:tc>
        <w:tc>
          <w:tcPr>
            <w:tcW w:w="597" w:type="pct"/>
            <w:noWrap/>
            <w:hideMark/>
          </w:tcPr>
          <w:p w14:paraId="5E86B700" w14:textId="77777777" w:rsidR="00686EC7" w:rsidRPr="000C156A" w:rsidRDefault="00686EC7" w:rsidP="00141BAA">
            <w:pPr>
              <w:overflowPunct/>
              <w:autoSpaceDE/>
              <w:autoSpaceDN/>
              <w:adjustRightInd/>
              <w:spacing w:before="0"/>
              <w:jc w:val="right"/>
              <w:textAlignment w:val="auto"/>
              <w:rPr>
                <w:b/>
                <w:bCs/>
                <w:sz w:val="22"/>
              </w:rPr>
            </w:pPr>
            <w:r w:rsidRPr="000C156A">
              <w:rPr>
                <w:b/>
                <w:bCs/>
                <w:sz w:val="22"/>
              </w:rPr>
              <w:t> </w:t>
            </w:r>
          </w:p>
        </w:tc>
        <w:tc>
          <w:tcPr>
            <w:tcW w:w="610" w:type="pct"/>
            <w:noWrap/>
            <w:hideMark/>
          </w:tcPr>
          <w:p w14:paraId="712751EA" w14:textId="3C7719B3" w:rsidR="00686EC7" w:rsidRPr="000C156A" w:rsidRDefault="00686EC7" w:rsidP="00141BAA">
            <w:pPr>
              <w:overflowPunct/>
              <w:autoSpaceDE/>
              <w:autoSpaceDN/>
              <w:adjustRightInd/>
              <w:spacing w:before="0"/>
              <w:jc w:val="right"/>
              <w:textAlignment w:val="auto"/>
              <w:rPr>
                <w:b/>
                <w:bCs/>
                <w:sz w:val="22"/>
              </w:rPr>
            </w:pPr>
            <w:r w:rsidRPr="000C156A">
              <w:rPr>
                <w:b/>
                <w:bCs/>
                <w:sz w:val="22"/>
              </w:rPr>
              <w:t>61</w:t>
            </w:r>
            <w:r w:rsidR="001A59E5" w:rsidRPr="000C156A">
              <w:rPr>
                <w:b/>
                <w:bCs/>
                <w:sz w:val="22"/>
              </w:rPr>
              <w:t xml:space="preserve"> </w:t>
            </w:r>
            <w:r w:rsidRPr="000C156A">
              <w:rPr>
                <w:b/>
                <w:bCs/>
                <w:sz w:val="22"/>
              </w:rPr>
              <w:t>600.00</w:t>
            </w:r>
          </w:p>
        </w:tc>
      </w:tr>
    </w:tbl>
    <w:p w14:paraId="6A07C305" w14:textId="77777777" w:rsidR="00686EC7" w:rsidRPr="000C156A" w:rsidRDefault="00686EC7" w:rsidP="00686EC7">
      <w:pPr>
        <w:overflowPunct/>
        <w:autoSpaceDE/>
        <w:autoSpaceDN/>
        <w:adjustRightInd/>
        <w:spacing w:before="0"/>
        <w:textAlignment w:val="auto"/>
        <w:rPr>
          <w:sz w:val="22"/>
          <w:szCs w:val="18"/>
          <w:lang w:val="en-US"/>
        </w:rPr>
      </w:pPr>
    </w:p>
    <w:tbl>
      <w:tblPr>
        <w:tblW w:w="4080" w:type="dxa"/>
        <w:tblLook w:val="04A0" w:firstRow="1" w:lastRow="0" w:firstColumn="1" w:lastColumn="0" w:noHBand="0" w:noVBand="1"/>
      </w:tblPr>
      <w:tblGrid>
        <w:gridCol w:w="2360"/>
        <w:gridCol w:w="1720"/>
      </w:tblGrid>
      <w:tr w:rsidR="00686EC7" w:rsidRPr="000C156A" w14:paraId="3DED82E6" w14:textId="77777777" w:rsidTr="00141BAA">
        <w:trPr>
          <w:trHeight w:val="300"/>
        </w:trPr>
        <w:tc>
          <w:tcPr>
            <w:tcW w:w="2360" w:type="dxa"/>
            <w:tcBorders>
              <w:top w:val="nil"/>
              <w:left w:val="nil"/>
              <w:bottom w:val="nil"/>
              <w:right w:val="nil"/>
            </w:tcBorders>
            <w:shd w:val="clear" w:color="auto" w:fill="auto"/>
            <w:noWrap/>
            <w:vAlign w:val="bottom"/>
            <w:hideMark/>
          </w:tcPr>
          <w:p w14:paraId="46D183C3"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hint="eastAsia"/>
                <w:color w:val="000000"/>
                <w:sz w:val="22"/>
                <w:szCs w:val="22"/>
              </w:rPr>
              <w:t>全球债务方</w:t>
            </w:r>
          </w:p>
        </w:tc>
        <w:tc>
          <w:tcPr>
            <w:tcW w:w="1720" w:type="dxa"/>
            <w:tcBorders>
              <w:top w:val="nil"/>
              <w:left w:val="nil"/>
              <w:bottom w:val="nil"/>
              <w:right w:val="nil"/>
            </w:tcBorders>
            <w:shd w:val="clear" w:color="auto" w:fill="auto"/>
            <w:noWrap/>
            <w:vAlign w:val="bottom"/>
            <w:hideMark/>
          </w:tcPr>
          <w:p w14:paraId="6EB8ADB9" w14:textId="6CC9CC74" w:rsidR="00686EC7" w:rsidRPr="000C156A" w:rsidRDefault="00686EC7" w:rsidP="00141BAA">
            <w:pPr>
              <w:overflowPunct/>
              <w:autoSpaceDE/>
              <w:autoSpaceDN/>
              <w:adjustRightInd/>
              <w:spacing w:before="0"/>
              <w:jc w:val="right"/>
              <w:textAlignment w:val="auto"/>
              <w:rPr>
                <w:b/>
                <w:bCs/>
                <w:sz w:val="22"/>
                <w:szCs w:val="22"/>
                <w:lang w:eastAsia="en-GB"/>
              </w:rPr>
            </w:pPr>
            <w:r w:rsidRPr="000C156A">
              <w:rPr>
                <w:b/>
                <w:bCs/>
                <w:sz w:val="22"/>
                <w:szCs w:val="22"/>
                <w:lang w:eastAsia="en-GB"/>
              </w:rPr>
              <w:t>561</w:t>
            </w:r>
            <w:r w:rsidR="001A59E5" w:rsidRPr="000C156A">
              <w:rPr>
                <w:b/>
                <w:bCs/>
                <w:sz w:val="22"/>
                <w:szCs w:val="22"/>
                <w:lang w:eastAsia="en-GB"/>
              </w:rPr>
              <w:t xml:space="preserve"> </w:t>
            </w:r>
            <w:r w:rsidRPr="000C156A">
              <w:rPr>
                <w:b/>
                <w:bCs/>
                <w:sz w:val="22"/>
                <w:szCs w:val="22"/>
                <w:lang w:eastAsia="en-GB"/>
              </w:rPr>
              <w:t>525.91</w:t>
            </w:r>
          </w:p>
        </w:tc>
      </w:tr>
      <w:tr w:rsidR="00686EC7" w:rsidRPr="000C156A" w14:paraId="140945AE" w14:textId="77777777" w:rsidTr="00141BAA">
        <w:trPr>
          <w:trHeight w:val="300"/>
        </w:trPr>
        <w:tc>
          <w:tcPr>
            <w:tcW w:w="2360" w:type="dxa"/>
            <w:tcBorders>
              <w:top w:val="nil"/>
              <w:left w:val="nil"/>
              <w:bottom w:val="nil"/>
              <w:right w:val="nil"/>
            </w:tcBorders>
            <w:shd w:val="clear" w:color="auto" w:fill="auto"/>
            <w:noWrap/>
            <w:vAlign w:val="bottom"/>
            <w:hideMark/>
          </w:tcPr>
          <w:p w14:paraId="5BC39296"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hint="eastAsia"/>
                <w:color w:val="000000"/>
                <w:sz w:val="22"/>
                <w:szCs w:val="22"/>
              </w:rPr>
              <w:t>非洲债务方</w:t>
            </w:r>
          </w:p>
        </w:tc>
        <w:tc>
          <w:tcPr>
            <w:tcW w:w="1720" w:type="dxa"/>
            <w:tcBorders>
              <w:top w:val="nil"/>
              <w:left w:val="nil"/>
              <w:bottom w:val="nil"/>
              <w:right w:val="nil"/>
            </w:tcBorders>
            <w:shd w:val="clear" w:color="auto" w:fill="auto"/>
            <w:noWrap/>
            <w:vAlign w:val="bottom"/>
            <w:hideMark/>
          </w:tcPr>
          <w:p w14:paraId="78DB66F2" w14:textId="25A389DC" w:rsidR="00686EC7" w:rsidRPr="000C156A" w:rsidRDefault="00686EC7" w:rsidP="00141BAA">
            <w:pPr>
              <w:overflowPunct/>
              <w:autoSpaceDE/>
              <w:autoSpaceDN/>
              <w:adjustRightInd/>
              <w:spacing w:before="0"/>
              <w:jc w:val="right"/>
              <w:textAlignment w:val="auto"/>
              <w:rPr>
                <w:b/>
                <w:bCs/>
                <w:sz w:val="22"/>
                <w:szCs w:val="22"/>
                <w:lang w:eastAsia="en-GB"/>
              </w:rPr>
            </w:pPr>
            <w:r w:rsidRPr="000C156A">
              <w:rPr>
                <w:b/>
                <w:bCs/>
                <w:sz w:val="22"/>
                <w:szCs w:val="22"/>
                <w:lang w:eastAsia="en-GB"/>
              </w:rPr>
              <w:t>40</w:t>
            </w:r>
            <w:r w:rsidR="001A59E5" w:rsidRPr="000C156A">
              <w:rPr>
                <w:b/>
                <w:bCs/>
                <w:sz w:val="22"/>
                <w:szCs w:val="22"/>
                <w:lang w:eastAsia="en-GB"/>
              </w:rPr>
              <w:t xml:space="preserve"> </w:t>
            </w:r>
            <w:r w:rsidRPr="000C156A">
              <w:rPr>
                <w:b/>
                <w:bCs/>
                <w:sz w:val="22"/>
                <w:szCs w:val="22"/>
                <w:lang w:eastAsia="en-GB"/>
              </w:rPr>
              <w:t>480.00</w:t>
            </w:r>
          </w:p>
        </w:tc>
      </w:tr>
      <w:tr w:rsidR="00686EC7" w:rsidRPr="000C156A" w14:paraId="6407AE6A" w14:textId="77777777" w:rsidTr="00141BAA">
        <w:trPr>
          <w:trHeight w:val="300"/>
        </w:trPr>
        <w:tc>
          <w:tcPr>
            <w:tcW w:w="2360" w:type="dxa"/>
            <w:tcBorders>
              <w:top w:val="nil"/>
              <w:left w:val="nil"/>
              <w:bottom w:val="nil"/>
              <w:right w:val="nil"/>
            </w:tcBorders>
            <w:shd w:val="clear" w:color="auto" w:fill="auto"/>
            <w:noWrap/>
            <w:vAlign w:val="bottom"/>
            <w:hideMark/>
          </w:tcPr>
          <w:p w14:paraId="42C2F01D" w14:textId="77777777" w:rsidR="00686EC7" w:rsidRPr="000C156A" w:rsidRDefault="00686EC7" w:rsidP="00141BAA">
            <w:pPr>
              <w:overflowPunct/>
              <w:autoSpaceDE/>
              <w:autoSpaceDN/>
              <w:adjustRightInd/>
              <w:spacing w:before="0"/>
              <w:jc w:val="right"/>
              <w:textAlignment w:val="auto"/>
              <w:rPr>
                <w:rFonts w:ascii="Arial" w:hAnsi="Arial" w:cs="Arial"/>
                <w:b/>
                <w:bCs/>
                <w:sz w:val="20"/>
                <w:lang w:eastAsia="en-GB"/>
              </w:rPr>
            </w:pPr>
          </w:p>
        </w:tc>
        <w:tc>
          <w:tcPr>
            <w:tcW w:w="1720" w:type="dxa"/>
            <w:tcBorders>
              <w:top w:val="nil"/>
              <w:left w:val="nil"/>
              <w:bottom w:val="nil"/>
              <w:right w:val="nil"/>
            </w:tcBorders>
            <w:shd w:val="clear" w:color="auto" w:fill="auto"/>
            <w:noWrap/>
            <w:vAlign w:val="bottom"/>
            <w:hideMark/>
          </w:tcPr>
          <w:p w14:paraId="4B826273" w14:textId="77777777" w:rsidR="00686EC7" w:rsidRPr="000C156A" w:rsidRDefault="00686EC7" w:rsidP="00141BAA">
            <w:pPr>
              <w:overflowPunct/>
              <w:autoSpaceDE/>
              <w:autoSpaceDN/>
              <w:adjustRightInd/>
              <w:spacing w:before="0"/>
              <w:textAlignment w:val="auto"/>
              <w:rPr>
                <w:sz w:val="22"/>
                <w:szCs w:val="22"/>
                <w:lang w:eastAsia="en-GB"/>
              </w:rPr>
            </w:pPr>
          </w:p>
        </w:tc>
      </w:tr>
      <w:tr w:rsidR="00686EC7" w:rsidRPr="000C156A" w14:paraId="3DFC1671" w14:textId="77777777" w:rsidTr="00141BAA">
        <w:trPr>
          <w:trHeight w:val="300"/>
        </w:trPr>
        <w:tc>
          <w:tcPr>
            <w:tcW w:w="2360" w:type="dxa"/>
            <w:tcBorders>
              <w:top w:val="nil"/>
              <w:left w:val="nil"/>
              <w:bottom w:val="nil"/>
              <w:right w:val="nil"/>
            </w:tcBorders>
            <w:shd w:val="clear" w:color="auto" w:fill="auto"/>
            <w:noWrap/>
            <w:vAlign w:val="bottom"/>
            <w:hideMark/>
          </w:tcPr>
          <w:p w14:paraId="15BB1424"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hint="eastAsia"/>
                <w:bCs/>
                <w:color w:val="000000"/>
                <w:sz w:val="22"/>
                <w:szCs w:val="22"/>
              </w:rPr>
              <w:t>债务方合计</w:t>
            </w:r>
          </w:p>
        </w:tc>
        <w:tc>
          <w:tcPr>
            <w:tcW w:w="1720" w:type="dxa"/>
            <w:tcBorders>
              <w:top w:val="nil"/>
              <w:left w:val="nil"/>
              <w:bottom w:val="nil"/>
              <w:right w:val="nil"/>
            </w:tcBorders>
            <w:shd w:val="clear" w:color="auto" w:fill="auto"/>
            <w:noWrap/>
            <w:vAlign w:val="bottom"/>
            <w:hideMark/>
          </w:tcPr>
          <w:p w14:paraId="450077AE" w14:textId="434F1BDA" w:rsidR="00686EC7" w:rsidRPr="000C156A" w:rsidRDefault="00686EC7" w:rsidP="00141BAA">
            <w:pPr>
              <w:overflowPunct/>
              <w:autoSpaceDE/>
              <w:autoSpaceDN/>
              <w:adjustRightInd/>
              <w:spacing w:before="0"/>
              <w:jc w:val="right"/>
              <w:textAlignment w:val="auto"/>
              <w:rPr>
                <w:b/>
                <w:bCs/>
                <w:sz w:val="22"/>
                <w:szCs w:val="22"/>
                <w:lang w:eastAsia="en-GB"/>
              </w:rPr>
            </w:pPr>
            <w:r w:rsidRPr="000C156A">
              <w:rPr>
                <w:b/>
                <w:bCs/>
                <w:sz w:val="22"/>
                <w:szCs w:val="22"/>
                <w:lang w:eastAsia="en-GB"/>
              </w:rPr>
              <w:t>602</w:t>
            </w:r>
            <w:r w:rsidR="001A59E5" w:rsidRPr="000C156A">
              <w:rPr>
                <w:b/>
                <w:bCs/>
                <w:sz w:val="22"/>
                <w:szCs w:val="22"/>
                <w:lang w:eastAsia="en-GB"/>
              </w:rPr>
              <w:t xml:space="preserve"> </w:t>
            </w:r>
            <w:r w:rsidRPr="000C156A">
              <w:rPr>
                <w:b/>
                <w:bCs/>
                <w:sz w:val="22"/>
                <w:szCs w:val="22"/>
                <w:lang w:eastAsia="en-GB"/>
              </w:rPr>
              <w:t>005.91</w:t>
            </w:r>
          </w:p>
        </w:tc>
      </w:tr>
    </w:tbl>
    <w:p w14:paraId="0AF5CACA" w14:textId="77777777" w:rsidR="00686EC7" w:rsidRPr="000C156A" w:rsidRDefault="00686EC7" w:rsidP="00686EC7">
      <w:pPr>
        <w:tabs>
          <w:tab w:val="left" w:pos="720"/>
        </w:tabs>
        <w:overflowPunct/>
        <w:autoSpaceDE/>
        <w:adjustRightInd/>
        <w:spacing w:before="0"/>
      </w:pPr>
      <w:r w:rsidRPr="000C156A">
        <w:br w:type="page"/>
      </w:r>
    </w:p>
    <w:p w14:paraId="127163C7" w14:textId="77777777" w:rsidR="00686EC7" w:rsidRPr="000C156A" w:rsidRDefault="00686EC7" w:rsidP="00686EC7">
      <w:pPr>
        <w:pStyle w:val="AnnexNo"/>
        <w:outlineLvl w:val="0"/>
        <w:rPr>
          <w:lang w:eastAsia="zh-CN"/>
        </w:rPr>
      </w:pPr>
      <w:bookmarkStart w:id="1247" w:name="_Toc357006014"/>
      <w:bookmarkStart w:id="1248" w:name="_Toc305776656"/>
      <w:bookmarkStart w:id="1249" w:name="_Toc482894807"/>
      <w:bookmarkStart w:id="1250" w:name="_Toc482894280"/>
      <w:bookmarkStart w:id="1251" w:name="_Toc41905920"/>
      <w:bookmarkStart w:id="1252" w:name="_Toc41908095"/>
      <w:bookmarkStart w:id="1253" w:name="_Toc73519312"/>
      <w:bookmarkStart w:id="1254" w:name="_Toc73636348"/>
      <w:r w:rsidRPr="000C156A">
        <w:rPr>
          <w:rFonts w:hint="eastAsia"/>
          <w:lang w:eastAsia="zh-CN"/>
        </w:rPr>
        <w:lastRenderedPageBreak/>
        <w:t>附件</w:t>
      </w:r>
      <w:bookmarkEnd w:id="1247"/>
      <w:bookmarkEnd w:id="1248"/>
      <w:bookmarkEnd w:id="1249"/>
      <w:bookmarkEnd w:id="1250"/>
      <w:r w:rsidRPr="000C156A">
        <w:rPr>
          <w:rFonts w:hint="eastAsia"/>
          <w:lang w:eastAsia="zh-CN"/>
        </w:rPr>
        <w:t>E</w:t>
      </w:r>
      <w:bookmarkEnd w:id="1251"/>
      <w:bookmarkEnd w:id="1252"/>
      <w:bookmarkEnd w:id="1253"/>
      <w:bookmarkEnd w:id="1254"/>
    </w:p>
    <w:p w14:paraId="230D8C35" w14:textId="77777777" w:rsidR="00686EC7" w:rsidRPr="000C156A" w:rsidRDefault="00686EC7" w:rsidP="005B3FF4">
      <w:pPr>
        <w:pStyle w:val="Annextitle"/>
        <w:rPr>
          <w:lang w:eastAsia="zh-CN"/>
        </w:rPr>
      </w:pPr>
      <w:r w:rsidRPr="000C156A">
        <w:rPr>
          <w:rFonts w:cs="Microsoft YaHei" w:hint="eastAsia"/>
          <w:lang w:val="fr-CH" w:eastAsia="zh-CN"/>
        </w:rPr>
        <w:t>截至</w:t>
      </w:r>
      <w:r w:rsidRPr="000C156A">
        <w:rPr>
          <w:lang w:eastAsia="zh-CN"/>
        </w:rPr>
        <w:t>20</w:t>
      </w:r>
      <w:r w:rsidRPr="000C156A">
        <w:rPr>
          <w:rFonts w:hint="eastAsia"/>
          <w:lang w:eastAsia="zh-CN"/>
        </w:rPr>
        <w:t>20</w:t>
      </w:r>
      <w:r w:rsidRPr="000C156A">
        <w:rPr>
          <w:rFonts w:cs="Microsoft YaHei" w:hint="eastAsia"/>
          <w:lang w:val="fr-CH" w:eastAsia="zh-CN"/>
        </w:rPr>
        <w:t>年</w:t>
      </w:r>
      <w:r w:rsidRPr="000C156A">
        <w:rPr>
          <w:lang w:eastAsia="zh-CN"/>
        </w:rPr>
        <w:t>12</w:t>
      </w:r>
      <w:r w:rsidRPr="000C156A">
        <w:rPr>
          <w:rFonts w:cs="Microsoft YaHei" w:hint="eastAsia"/>
          <w:lang w:val="fr-CH" w:eastAsia="zh-CN"/>
        </w:rPr>
        <w:t>月</w:t>
      </w:r>
      <w:r w:rsidRPr="000C156A">
        <w:rPr>
          <w:lang w:eastAsia="zh-CN"/>
        </w:rPr>
        <w:t>31</w:t>
      </w:r>
      <w:r w:rsidRPr="000C156A">
        <w:rPr>
          <w:rFonts w:cs="Microsoft YaHei" w:hint="eastAsia"/>
          <w:lang w:val="fr-CH" w:eastAsia="zh-CN"/>
        </w:rPr>
        <w:t>日未付款的赞助方名单</w:t>
      </w:r>
    </w:p>
    <w:tbl>
      <w:tblPr>
        <w:tblW w:w="10320" w:type="dxa"/>
        <w:tblLook w:val="04A0" w:firstRow="1" w:lastRow="0" w:firstColumn="1" w:lastColumn="0" w:noHBand="0" w:noVBand="1"/>
      </w:tblPr>
      <w:tblGrid>
        <w:gridCol w:w="2260"/>
        <w:gridCol w:w="2600"/>
        <w:gridCol w:w="1920"/>
        <w:gridCol w:w="1420"/>
        <w:gridCol w:w="2120"/>
      </w:tblGrid>
      <w:tr w:rsidR="00686EC7" w:rsidRPr="000C156A" w14:paraId="431CBB3C" w14:textId="77777777" w:rsidTr="00141BAA">
        <w:trPr>
          <w:trHeight w:val="300"/>
        </w:trPr>
        <w:tc>
          <w:tcPr>
            <w:tcW w:w="2260" w:type="dxa"/>
            <w:tcBorders>
              <w:top w:val="single" w:sz="4" w:space="0" w:color="000000"/>
              <w:left w:val="single" w:sz="4" w:space="0" w:color="000000"/>
              <w:bottom w:val="nil"/>
              <w:right w:val="single" w:sz="4" w:space="0" w:color="000000"/>
            </w:tcBorders>
            <w:shd w:val="clear" w:color="auto" w:fill="auto"/>
            <w:noWrap/>
            <w:vAlign w:val="bottom"/>
            <w:hideMark/>
          </w:tcPr>
          <w:p w14:paraId="59C88899" w14:textId="77777777" w:rsidR="00686EC7" w:rsidRPr="000C156A" w:rsidRDefault="00686EC7" w:rsidP="00141BAA">
            <w:pPr>
              <w:overflowPunct/>
              <w:autoSpaceDE/>
              <w:autoSpaceDN/>
              <w:adjustRightInd/>
              <w:spacing w:before="0"/>
              <w:jc w:val="center"/>
              <w:textAlignment w:val="auto"/>
              <w:rPr>
                <w:rFonts w:cs="Calibri"/>
                <w:color w:val="000000"/>
                <w:sz w:val="22"/>
                <w:szCs w:val="22"/>
                <w:lang w:eastAsia="zh-CN"/>
              </w:rPr>
            </w:pPr>
            <w:bookmarkStart w:id="1255" w:name="_MON_1402743587"/>
            <w:bookmarkStart w:id="1256" w:name="_MON_1402743680"/>
            <w:bookmarkStart w:id="1257" w:name="_MON_1488987921"/>
            <w:bookmarkEnd w:id="1255"/>
            <w:bookmarkEnd w:id="1256"/>
            <w:bookmarkEnd w:id="1257"/>
            <w:r w:rsidRPr="000C156A">
              <w:rPr>
                <w:rFonts w:cs="Calibri"/>
                <w:color w:val="000000"/>
                <w:sz w:val="22"/>
                <w:szCs w:val="22"/>
                <w:lang w:eastAsia="zh-CN"/>
              </w:rPr>
              <w:t> </w:t>
            </w:r>
          </w:p>
        </w:tc>
        <w:tc>
          <w:tcPr>
            <w:tcW w:w="2600" w:type="dxa"/>
            <w:tcBorders>
              <w:top w:val="single" w:sz="4" w:space="0" w:color="000000"/>
              <w:left w:val="nil"/>
              <w:bottom w:val="nil"/>
              <w:right w:val="single" w:sz="4" w:space="0" w:color="000000"/>
            </w:tcBorders>
            <w:shd w:val="clear" w:color="auto" w:fill="auto"/>
            <w:noWrap/>
            <w:vAlign w:val="bottom"/>
            <w:hideMark/>
          </w:tcPr>
          <w:p w14:paraId="7D2D2A06" w14:textId="77777777" w:rsidR="00686EC7" w:rsidRPr="000C156A" w:rsidRDefault="00686EC7" w:rsidP="00141BAA">
            <w:pPr>
              <w:overflowPunct/>
              <w:autoSpaceDE/>
              <w:autoSpaceDN/>
              <w:adjustRightInd/>
              <w:spacing w:before="0"/>
              <w:jc w:val="center"/>
              <w:textAlignment w:val="auto"/>
              <w:rPr>
                <w:rFonts w:cs="Calibri"/>
                <w:color w:val="000000"/>
                <w:sz w:val="22"/>
                <w:szCs w:val="22"/>
                <w:lang w:eastAsia="zh-CN"/>
              </w:rPr>
            </w:pPr>
            <w:r w:rsidRPr="000C156A">
              <w:rPr>
                <w:rFonts w:cs="Calibri"/>
                <w:color w:val="000000"/>
                <w:sz w:val="22"/>
                <w:szCs w:val="22"/>
                <w:lang w:eastAsia="zh-CN"/>
              </w:rPr>
              <w:t> </w:t>
            </w:r>
          </w:p>
        </w:tc>
        <w:tc>
          <w:tcPr>
            <w:tcW w:w="1920" w:type="dxa"/>
            <w:tcBorders>
              <w:top w:val="single" w:sz="4" w:space="0" w:color="000000"/>
              <w:left w:val="nil"/>
              <w:bottom w:val="nil"/>
              <w:right w:val="single" w:sz="4" w:space="0" w:color="000000"/>
            </w:tcBorders>
            <w:shd w:val="clear" w:color="auto" w:fill="auto"/>
            <w:noWrap/>
            <w:vAlign w:val="bottom"/>
            <w:hideMark/>
          </w:tcPr>
          <w:p w14:paraId="48B21D38" w14:textId="77777777" w:rsidR="00686EC7" w:rsidRPr="000C156A" w:rsidRDefault="00686EC7" w:rsidP="00141BAA">
            <w:pPr>
              <w:overflowPunct/>
              <w:autoSpaceDE/>
              <w:autoSpaceDN/>
              <w:adjustRightInd/>
              <w:spacing w:before="0"/>
              <w:jc w:val="center"/>
              <w:textAlignment w:val="auto"/>
              <w:rPr>
                <w:rFonts w:cs="Calibri"/>
                <w:color w:val="000000"/>
                <w:sz w:val="22"/>
                <w:szCs w:val="22"/>
                <w:lang w:eastAsia="zh-CN"/>
              </w:rPr>
            </w:pPr>
            <w:r w:rsidRPr="000C156A">
              <w:rPr>
                <w:rFonts w:cs="Calibri"/>
                <w:color w:val="000000"/>
                <w:sz w:val="22"/>
                <w:szCs w:val="22"/>
                <w:lang w:eastAsia="zh-CN"/>
              </w:rPr>
              <w:t> </w:t>
            </w:r>
          </w:p>
        </w:tc>
        <w:tc>
          <w:tcPr>
            <w:tcW w:w="1420" w:type="dxa"/>
            <w:tcBorders>
              <w:top w:val="single" w:sz="4" w:space="0" w:color="000000"/>
              <w:left w:val="nil"/>
              <w:bottom w:val="nil"/>
              <w:right w:val="single" w:sz="4" w:space="0" w:color="000000"/>
            </w:tcBorders>
            <w:shd w:val="clear" w:color="auto" w:fill="auto"/>
            <w:noWrap/>
            <w:vAlign w:val="bottom"/>
            <w:hideMark/>
          </w:tcPr>
          <w:p w14:paraId="7417BCB1" w14:textId="77777777" w:rsidR="00686EC7" w:rsidRPr="000C156A" w:rsidRDefault="00686EC7" w:rsidP="00141BAA">
            <w:pPr>
              <w:overflowPunct/>
              <w:autoSpaceDE/>
              <w:autoSpaceDN/>
              <w:adjustRightInd/>
              <w:spacing w:before="0"/>
              <w:jc w:val="center"/>
              <w:textAlignment w:val="auto"/>
              <w:rPr>
                <w:rFonts w:cs="Calibri"/>
                <w:color w:val="000000"/>
                <w:sz w:val="22"/>
                <w:szCs w:val="22"/>
                <w:lang w:eastAsia="zh-CN"/>
              </w:rPr>
            </w:pPr>
          </w:p>
        </w:tc>
        <w:tc>
          <w:tcPr>
            <w:tcW w:w="2120" w:type="dxa"/>
            <w:tcBorders>
              <w:top w:val="single" w:sz="4" w:space="0" w:color="000000"/>
              <w:left w:val="nil"/>
              <w:bottom w:val="nil"/>
              <w:right w:val="single" w:sz="4" w:space="0" w:color="000000"/>
            </w:tcBorders>
            <w:shd w:val="clear" w:color="auto" w:fill="auto"/>
            <w:noWrap/>
            <w:vAlign w:val="bottom"/>
            <w:hideMark/>
          </w:tcPr>
          <w:p w14:paraId="4DAEB9DA" w14:textId="77777777" w:rsidR="00686EC7" w:rsidRPr="000C156A" w:rsidRDefault="00686EC7" w:rsidP="00141BAA">
            <w:pPr>
              <w:overflowPunct/>
              <w:autoSpaceDE/>
              <w:autoSpaceDN/>
              <w:adjustRightInd/>
              <w:spacing w:before="0"/>
              <w:jc w:val="center"/>
              <w:textAlignment w:val="auto"/>
              <w:rPr>
                <w:rFonts w:cs="Calibri"/>
                <w:color w:val="000000"/>
                <w:sz w:val="22"/>
                <w:szCs w:val="22"/>
                <w:lang w:eastAsia="zh-CN"/>
              </w:rPr>
            </w:pPr>
            <w:r w:rsidRPr="000C156A">
              <w:rPr>
                <w:rFonts w:cs="Calibri"/>
                <w:color w:val="000000"/>
                <w:sz w:val="22"/>
                <w:szCs w:val="22"/>
                <w:lang w:eastAsia="zh-CN"/>
              </w:rPr>
              <w:t> </w:t>
            </w:r>
          </w:p>
        </w:tc>
      </w:tr>
      <w:tr w:rsidR="00686EC7" w:rsidRPr="000C156A" w14:paraId="14C1859A" w14:textId="77777777" w:rsidTr="00141BAA">
        <w:trPr>
          <w:trHeight w:val="300"/>
        </w:trPr>
        <w:tc>
          <w:tcPr>
            <w:tcW w:w="2260" w:type="dxa"/>
            <w:tcBorders>
              <w:top w:val="nil"/>
              <w:left w:val="single" w:sz="4" w:space="0" w:color="000000"/>
              <w:bottom w:val="nil"/>
              <w:right w:val="single" w:sz="4" w:space="0" w:color="000000"/>
            </w:tcBorders>
            <w:shd w:val="clear" w:color="auto" w:fill="auto"/>
            <w:noWrap/>
            <w:vAlign w:val="center"/>
            <w:hideMark/>
          </w:tcPr>
          <w:p w14:paraId="4047BADF" w14:textId="77777777" w:rsidR="00686EC7" w:rsidRPr="000C156A" w:rsidRDefault="00686EC7" w:rsidP="00141BAA">
            <w:pPr>
              <w:overflowPunct/>
              <w:autoSpaceDE/>
              <w:autoSpaceDN/>
              <w:adjustRightInd/>
              <w:spacing w:before="0"/>
              <w:jc w:val="center"/>
              <w:textAlignment w:val="auto"/>
              <w:rPr>
                <w:rFonts w:cs="Calibri"/>
                <w:b/>
                <w:bCs/>
                <w:color w:val="000000"/>
                <w:sz w:val="22"/>
                <w:szCs w:val="22"/>
                <w:lang w:eastAsia="en-GB"/>
              </w:rPr>
            </w:pPr>
            <w:r w:rsidRPr="000C156A">
              <w:rPr>
                <w:rFonts w:asciiTheme="minorHAnsi" w:eastAsiaTheme="minorEastAsia" w:hAnsiTheme="minorHAnsi" w:hint="eastAsia"/>
                <w:b/>
                <w:bCs/>
                <w:sz w:val="22"/>
                <w:szCs w:val="22"/>
                <w:lang w:eastAsia="zh-CN"/>
              </w:rPr>
              <w:t>国家</w:t>
            </w:r>
          </w:p>
        </w:tc>
        <w:tc>
          <w:tcPr>
            <w:tcW w:w="2600" w:type="dxa"/>
            <w:tcBorders>
              <w:top w:val="nil"/>
              <w:left w:val="nil"/>
              <w:bottom w:val="nil"/>
              <w:right w:val="single" w:sz="4" w:space="0" w:color="000000"/>
            </w:tcBorders>
            <w:shd w:val="clear" w:color="auto" w:fill="auto"/>
            <w:noWrap/>
            <w:vAlign w:val="center"/>
            <w:hideMark/>
          </w:tcPr>
          <w:p w14:paraId="1AD8E132" w14:textId="77777777" w:rsidR="00686EC7" w:rsidRPr="000C156A" w:rsidRDefault="00686EC7" w:rsidP="00141BAA">
            <w:pPr>
              <w:overflowPunct/>
              <w:autoSpaceDE/>
              <w:autoSpaceDN/>
              <w:adjustRightInd/>
              <w:spacing w:before="0"/>
              <w:jc w:val="center"/>
              <w:textAlignment w:val="auto"/>
              <w:rPr>
                <w:rFonts w:cs="Calibri"/>
                <w:b/>
                <w:bCs/>
                <w:color w:val="000000"/>
                <w:sz w:val="22"/>
                <w:szCs w:val="22"/>
                <w:lang w:eastAsia="en-GB"/>
              </w:rPr>
            </w:pPr>
            <w:r w:rsidRPr="000C156A">
              <w:rPr>
                <w:rFonts w:asciiTheme="minorHAnsi" w:eastAsiaTheme="minorEastAsia" w:hAnsiTheme="minorHAnsi" w:hint="eastAsia"/>
                <w:b/>
                <w:bCs/>
                <w:sz w:val="22"/>
                <w:szCs w:val="22"/>
                <w:lang w:eastAsia="zh-CN"/>
              </w:rPr>
              <w:t>公司</w:t>
            </w:r>
          </w:p>
        </w:tc>
        <w:tc>
          <w:tcPr>
            <w:tcW w:w="1920" w:type="dxa"/>
            <w:tcBorders>
              <w:top w:val="nil"/>
              <w:left w:val="nil"/>
              <w:bottom w:val="nil"/>
              <w:right w:val="single" w:sz="4" w:space="0" w:color="000000"/>
            </w:tcBorders>
            <w:shd w:val="clear" w:color="auto" w:fill="auto"/>
            <w:noWrap/>
            <w:vAlign w:val="center"/>
            <w:hideMark/>
          </w:tcPr>
          <w:p w14:paraId="0D43E906" w14:textId="77777777" w:rsidR="00686EC7" w:rsidRPr="000C156A" w:rsidRDefault="00686EC7" w:rsidP="00141BAA">
            <w:pPr>
              <w:overflowPunct/>
              <w:autoSpaceDE/>
              <w:autoSpaceDN/>
              <w:adjustRightInd/>
              <w:spacing w:before="0"/>
              <w:jc w:val="center"/>
              <w:textAlignment w:val="auto"/>
              <w:rPr>
                <w:rFonts w:cs="Calibri"/>
                <w:b/>
                <w:bCs/>
                <w:color w:val="000000"/>
                <w:sz w:val="22"/>
                <w:szCs w:val="22"/>
                <w:lang w:eastAsia="en-GB"/>
              </w:rPr>
            </w:pPr>
            <w:r w:rsidRPr="000C156A">
              <w:rPr>
                <w:rFonts w:asciiTheme="minorHAnsi" w:eastAsiaTheme="minorEastAsia" w:hAnsiTheme="minorHAnsi" w:hint="eastAsia"/>
                <w:b/>
                <w:bCs/>
                <w:sz w:val="22"/>
                <w:szCs w:val="22"/>
                <w:lang w:eastAsia="zh-CN"/>
              </w:rPr>
              <w:t>发票金额</w:t>
            </w:r>
          </w:p>
        </w:tc>
        <w:tc>
          <w:tcPr>
            <w:tcW w:w="1420" w:type="dxa"/>
            <w:tcBorders>
              <w:top w:val="nil"/>
              <w:left w:val="nil"/>
              <w:bottom w:val="nil"/>
              <w:right w:val="single" w:sz="4" w:space="0" w:color="000000"/>
            </w:tcBorders>
            <w:shd w:val="clear" w:color="auto" w:fill="auto"/>
            <w:noWrap/>
            <w:vAlign w:val="center"/>
            <w:hideMark/>
          </w:tcPr>
          <w:p w14:paraId="014F44F4" w14:textId="77777777" w:rsidR="00686EC7" w:rsidRPr="000C156A" w:rsidRDefault="00686EC7" w:rsidP="00141BAA">
            <w:pPr>
              <w:overflowPunct/>
              <w:autoSpaceDE/>
              <w:autoSpaceDN/>
              <w:adjustRightInd/>
              <w:spacing w:before="0"/>
              <w:jc w:val="center"/>
              <w:textAlignment w:val="auto"/>
              <w:rPr>
                <w:rFonts w:cs="Calibri"/>
                <w:b/>
                <w:bCs/>
                <w:color w:val="000000"/>
                <w:sz w:val="22"/>
                <w:szCs w:val="22"/>
                <w:lang w:eastAsia="en-GB"/>
              </w:rPr>
            </w:pPr>
            <w:r w:rsidRPr="000C156A">
              <w:rPr>
                <w:rFonts w:asciiTheme="minorHAnsi" w:eastAsiaTheme="minorEastAsia" w:hAnsiTheme="minorHAnsi" w:hint="eastAsia"/>
                <w:b/>
                <w:bCs/>
                <w:sz w:val="22"/>
                <w:szCs w:val="22"/>
                <w:lang w:eastAsia="zh-CN"/>
              </w:rPr>
              <w:t>货币</w:t>
            </w:r>
          </w:p>
        </w:tc>
        <w:tc>
          <w:tcPr>
            <w:tcW w:w="2120" w:type="dxa"/>
            <w:tcBorders>
              <w:top w:val="nil"/>
              <w:left w:val="nil"/>
              <w:bottom w:val="nil"/>
              <w:right w:val="single" w:sz="4" w:space="0" w:color="000000"/>
            </w:tcBorders>
            <w:shd w:val="clear" w:color="auto" w:fill="auto"/>
            <w:noWrap/>
            <w:vAlign w:val="center"/>
            <w:hideMark/>
          </w:tcPr>
          <w:p w14:paraId="5914F9D7" w14:textId="77777777" w:rsidR="00686EC7" w:rsidRPr="000C156A" w:rsidRDefault="00686EC7" w:rsidP="00141BAA">
            <w:pPr>
              <w:overflowPunct/>
              <w:autoSpaceDE/>
              <w:autoSpaceDN/>
              <w:adjustRightInd/>
              <w:spacing w:before="0"/>
              <w:jc w:val="center"/>
              <w:textAlignment w:val="auto"/>
              <w:rPr>
                <w:rFonts w:cs="Calibri"/>
                <w:b/>
                <w:bCs/>
                <w:color w:val="000000"/>
                <w:sz w:val="22"/>
                <w:szCs w:val="22"/>
                <w:lang w:eastAsia="en-GB"/>
              </w:rPr>
            </w:pPr>
            <w:r w:rsidRPr="000C156A">
              <w:rPr>
                <w:rFonts w:asciiTheme="minorHAnsi" w:eastAsiaTheme="minorEastAsia" w:hAnsiTheme="minorHAnsi" w:hint="eastAsia"/>
                <w:b/>
                <w:bCs/>
                <w:sz w:val="22"/>
                <w:szCs w:val="22"/>
                <w:lang w:eastAsia="zh-CN"/>
              </w:rPr>
              <w:t>余额</w:t>
            </w:r>
          </w:p>
        </w:tc>
      </w:tr>
      <w:tr w:rsidR="00686EC7" w:rsidRPr="000C156A" w14:paraId="01C04FDD" w14:textId="77777777" w:rsidTr="00141BAA">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5F2F1160" w14:textId="77777777" w:rsidR="00686EC7" w:rsidRPr="000C156A" w:rsidRDefault="00686EC7" w:rsidP="00141BAA">
            <w:pPr>
              <w:overflowPunct/>
              <w:autoSpaceDE/>
              <w:autoSpaceDN/>
              <w:adjustRightInd/>
              <w:spacing w:before="0"/>
              <w:jc w:val="center"/>
              <w:textAlignment w:val="auto"/>
              <w:rPr>
                <w:rFonts w:cs="Calibri"/>
                <w:b/>
                <w:bCs/>
                <w:color w:val="000000"/>
                <w:sz w:val="22"/>
                <w:szCs w:val="22"/>
                <w:lang w:eastAsia="en-GB"/>
              </w:rPr>
            </w:pPr>
            <w:r w:rsidRPr="000C156A">
              <w:rPr>
                <w:rFonts w:cs="Calibri"/>
                <w:b/>
                <w:bCs/>
                <w:color w:val="000000"/>
                <w:sz w:val="22"/>
                <w:szCs w:val="22"/>
                <w:lang w:eastAsia="en-GB"/>
              </w:rPr>
              <w:t> </w:t>
            </w:r>
          </w:p>
        </w:tc>
        <w:tc>
          <w:tcPr>
            <w:tcW w:w="2600" w:type="dxa"/>
            <w:tcBorders>
              <w:top w:val="nil"/>
              <w:left w:val="nil"/>
              <w:bottom w:val="single" w:sz="4" w:space="0" w:color="000000"/>
              <w:right w:val="single" w:sz="4" w:space="0" w:color="000000"/>
            </w:tcBorders>
            <w:shd w:val="clear" w:color="auto" w:fill="auto"/>
            <w:noWrap/>
            <w:vAlign w:val="bottom"/>
            <w:hideMark/>
          </w:tcPr>
          <w:p w14:paraId="2BBA8510" w14:textId="77777777" w:rsidR="00686EC7" w:rsidRPr="000C156A" w:rsidRDefault="00686EC7" w:rsidP="00141BAA">
            <w:pPr>
              <w:overflowPunct/>
              <w:autoSpaceDE/>
              <w:autoSpaceDN/>
              <w:adjustRightInd/>
              <w:spacing w:before="0"/>
              <w:jc w:val="center"/>
              <w:textAlignment w:val="auto"/>
              <w:rPr>
                <w:rFonts w:cs="Calibri"/>
                <w:color w:val="000000"/>
                <w:sz w:val="22"/>
                <w:szCs w:val="22"/>
                <w:lang w:eastAsia="en-GB"/>
              </w:rPr>
            </w:pPr>
            <w:r w:rsidRPr="000C156A">
              <w:rPr>
                <w:rFonts w:cs="Calibri"/>
                <w:color w:val="000000"/>
                <w:sz w:val="22"/>
                <w:szCs w:val="22"/>
                <w:lang w:eastAsia="en-GB"/>
              </w:rPr>
              <w:t> </w:t>
            </w:r>
          </w:p>
        </w:tc>
        <w:tc>
          <w:tcPr>
            <w:tcW w:w="1920" w:type="dxa"/>
            <w:tcBorders>
              <w:top w:val="nil"/>
              <w:left w:val="nil"/>
              <w:bottom w:val="single" w:sz="4" w:space="0" w:color="000000"/>
              <w:right w:val="single" w:sz="4" w:space="0" w:color="000000"/>
            </w:tcBorders>
            <w:shd w:val="clear" w:color="auto" w:fill="auto"/>
            <w:noWrap/>
            <w:vAlign w:val="bottom"/>
            <w:hideMark/>
          </w:tcPr>
          <w:p w14:paraId="2D8F93F3" w14:textId="77777777" w:rsidR="00686EC7" w:rsidRPr="000C156A" w:rsidRDefault="00686EC7" w:rsidP="00141BAA">
            <w:pPr>
              <w:overflowPunct/>
              <w:autoSpaceDE/>
              <w:autoSpaceDN/>
              <w:adjustRightInd/>
              <w:spacing w:before="0"/>
              <w:jc w:val="center"/>
              <w:textAlignment w:val="auto"/>
              <w:rPr>
                <w:rFonts w:cs="Calibri"/>
                <w:b/>
                <w:bCs/>
                <w:color w:val="000000"/>
                <w:sz w:val="22"/>
                <w:szCs w:val="22"/>
                <w:lang w:eastAsia="en-GB"/>
              </w:rPr>
            </w:pPr>
            <w:r w:rsidRPr="000C156A">
              <w:rPr>
                <w:rFonts w:cs="Calibri"/>
                <w:b/>
                <w:bCs/>
                <w:color w:val="000000"/>
                <w:sz w:val="22"/>
                <w:szCs w:val="22"/>
                <w:lang w:eastAsia="en-GB"/>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782BA2A5" w14:textId="77777777" w:rsidR="00686EC7" w:rsidRPr="000C156A" w:rsidRDefault="00686EC7" w:rsidP="00141BAA">
            <w:pPr>
              <w:overflowPunct/>
              <w:autoSpaceDE/>
              <w:autoSpaceDN/>
              <w:adjustRightInd/>
              <w:spacing w:before="0"/>
              <w:jc w:val="center"/>
              <w:textAlignment w:val="auto"/>
              <w:rPr>
                <w:rFonts w:cs="Calibri"/>
                <w:b/>
                <w:bCs/>
                <w:color w:val="000000"/>
                <w:sz w:val="22"/>
                <w:szCs w:val="22"/>
                <w:lang w:eastAsia="en-GB"/>
              </w:rPr>
            </w:pPr>
          </w:p>
        </w:tc>
        <w:tc>
          <w:tcPr>
            <w:tcW w:w="2120" w:type="dxa"/>
            <w:tcBorders>
              <w:top w:val="nil"/>
              <w:left w:val="nil"/>
              <w:bottom w:val="single" w:sz="4" w:space="0" w:color="000000"/>
              <w:right w:val="single" w:sz="4" w:space="0" w:color="000000"/>
            </w:tcBorders>
            <w:shd w:val="clear" w:color="auto" w:fill="auto"/>
            <w:noWrap/>
            <w:vAlign w:val="bottom"/>
            <w:hideMark/>
          </w:tcPr>
          <w:p w14:paraId="3D0B9E2F" w14:textId="77777777" w:rsidR="00686EC7" w:rsidRPr="000C156A" w:rsidRDefault="00686EC7" w:rsidP="00141BAA">
            <w:pPr>
              <w:overflowPunct/>
              <w:autoSpaceDE/>
              <w:autoSpaceDN/>
              <w:adjustRightInd/>
              <w:spacing w:before="0"/>
              <w:jc w:val="center"/>
              <w:textAlignment w:val="auto"/>
              <w:rPr>
                <w:rFonts w:cs="Calibri"/>
                <w:b/>
                <w:bCs/>
                <w:color w:val="000000"/>
                <w:sz w:val="22"/>
                <w:szCs w:val="22"/>
                <w:lang w:eastAsia="en-GB"/>
              </w:rPr>
            </w:pPr>
            <w:r w:rsidRPr="000C156A">
              <w:rPr>
                <w:rFonts w:cs="Calibri"/>
                <w:b/>
                <w:bCs/>
                <w:color w:val="000000"/>
                <w:sz w:val="22"/>
                <w:szCs w:val="22"/>
                <w:lang w:eastAsia="en-GB"/>
              </w:rPr>
              <w:t> </w:t>
            </w:r>
          </w:p>
        </w:tc>
      </w:tr>
      <w:tr w:rsidR="00686EC7" w:rsidRPr="000C156A" w14:paraId="27E8318B" w14:textId="77777777" w:rsidTr="00141BAA">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49C47C25" w14:textId="77777777" w:rsidR="00686EC7" w:rsidRPr="000C156A" w:rsidRDefault="00686EC7" w:rsidP="00141BAA">
            <w:pPr>
              <w:overflowPunct/>
              <w:autoSpaceDE/>
              <w:autoSpaceDN/>
              <w:adjustRightInd/>
              <w:spacing w:before="0"/>
              <w:textAlignment w:val="auto"/>
              <w:rPr>
                <w:rFonts w:cs="Calibri"/>
                <w:b/>
                <w:bCs/>
                <w:color w:val="000000"/>
                <w:sz w:val="22"/>
                <w:szCs w:val="22"/>
                <w:lang w:eastAsia="en-GB"/>
              </w:rPr>
            </w:pPr>
            <w:r w:rsidRPr="000C156A">
              <w:rPr>
                <w:rFonts w:cs="Calibri"/>
                <w:b/>
                <w:bCs/>
                <w:color w:val="000000"/>
                <w:sz w:val="22"/>
                <w:szCs w:val="22"/>
                <w:lang w:eastAsia="en-GB"/>
              </w:rPr>
              <w:t> </w:t>
            </w:r>
          </w:p>
        </w:tc>
        <w:tc>
          <w:tcPr>
            <w:tcW w:w="2600" w:type="dxa"/>
            <w:tcBorders>
              <w:top w:val="nil"/>
              <w:left w:val="nil"/>
              <w:bottom w:val="single" w:sz="4" w:space="0" w:color="000000"/>
              <w:right w:val="single" w:sz="4" w:space="0" w:color="000000"/>
            </w:tcBorders>
            <w:shd w:val="clear" w:color="auto" w:fill="auto"/>
            <w:noWrap/>
            <w:vAlign w:val="bottom"/>
            <w:hideMark/>
          </w:tcPr>
          <w:p w14:paraId="11DB6D64" w14:textId="77777777" w:rsidR="00686EC7" w:rsidRPr="000C156A" w:rsidRDefault="00686EC7" w:rsidP="00141BAA">
            <w:pPr>
              <w:overflowPunct/>
              <w:autoSpaceDE/>
              <w:autoSpaceDN/>
              <w:adjustRightInd/>
              <w:spacing w:before="0"/>
              <w:jc w:val="center"/>
              <w:textAlignment w:val="auto"/>
              <w:rPr>
                <w:rFonts w:cs="Calibri"/>
                <w:color w:val="000000"/>
                <w:sz w:val="22"/>
                <w:szCs w:val="22"/>
                <w:lang w:eastAsia="en-GB"/>
              </w:rPr>
            </w:pPr>
            <w:r w:rsidRPr="000C156A">
              <w:rPr>
                <w:rFonts w:cs="Calibri"/>
                <w:color w:val="000000"/>
                <w:sz w:val="22"/>
                <w:szCs w:val="22"/>
                <w:lang w:eastAsia="en-GB"/>
              </w:rPr>
              <w:t> </w:t>
            </w:r>
          </w:p>
        </w:tc>
        <w:tc>
          <w:tcPr>
            <w:tcW w:w="1920" w:type="dxa"/>
            <w:tcBorders>
              <w:top w:val="nil"/>
              <w:left w:val="nil"/>
              <w:bottom w:val="single" w:sz="4" w:space="0" w:color="000000"/>
              <w:right w:val="single" w:sz="4" w:space="0" w:color="000000"/>
            </w:tcBorders>
            <w:shd w:val="clear" w:color="auto" w:fill="auto"/>
            <w:noWrap/>
            <w:vAlign w:val="bottom"/>
            <w:hideMark/>
          </w:tcPr>
          <w:p w14:paraId="2A00468F" w14:textId="77777777" w:rsidR="00686EC7" w:rsidRPr="000C156A" w:rsidRDefault="00686EC7" w:rsidP="00141BAA">
            <w:pPr>
              <w:overflowPunct/>
              <w:autoSpaceDE/>
              <w:autoSpaceDN/>
              <w:adjustRightInd/>
              <w:spacing w:before="0"/>
              <w:jc w:val="center"/>
              <w:textAlignment w:val="auto"/>
              <w:rPr>
                <w:rFonts w:cs="Calibri"/>
                <w:b/>
                <w:bCs/>
                <w:color w:val="000000"/>
                <w:sz w:val="22"/>
                <w:szCs w:val="22"/>
                <w:lang w:eastAsia="en-GB"/>
              </w:rPr>
            </w:pPr>
            <w:r w:rsidRPr="000C156A">
              <w:rPr>
                <w:rFonts w:cs="Calibri"/>
                <w:b/>
                <w:bCs/>
                <w:color w:val="000000"/>
                <w:sz w:val="22"/>
                <w:szCs w:val="22"/>
                <w:lang w:eastAsia="en-GB"/>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679F9C63" w14:textId="77777777" w:rsidR="00686EC7" w:rsidRPr="000C156A" w:rsidRDefault="00686EC7" w:rsidP="00141BAA">
            <w:pPr>
              <w:overflowPunct/>
              <w:autoSpaceDE/>
              <w:autoSpaceDN/>
              <w:adjustRightInd/>
              <w:spacing w:before="0"/>
              <w:jc w:val="center"/>
              <w:textAlignment w:val="auto"/>
              <w:rPr>
                <w:rFonts w:cs="Calibri"/>
                <w:b/>
                <w:bCs/>
                <w:color w:val="000000"/>
                <w:sz w:val="22"/>
                <w:szCs w:val="22"/>
                <w:lang w:eastAsia="en-GB"/>
              </w:rPr>
            </w:pPr>
          </w:p>
        </w:tc>
        <w:tc>
          <w:tcPr>
            <w:tcW w:w="2120" w:type="dxa"/>
            <w:tcBorders>
              <w:top w:val="nil"/>
              <w:left w:val="nil"/>
              <w:bottom w:val="single" w:sz="4" w:space="0" w:color="000000"/>
              <w:right w:val="single" w:sz="4" w:space="0" w:color="000000"/>
            </w:tcBorders>
            <w:shd w:val="clear" w:color="auto" w:fill="auto"/>
            <w:noWrap/>
            <w:vAlign w:val="bottom"/>
            <w:hideMark/>
          </w:tcPr>
          <w:p w14:paraId="713F63E5" w14:textId="77777777" w:rsidR="00686EC7" w:rsidRPr="000C156A" w:rsidRDefault="00686EC7" w:rsidP="00141BAA">
            <w:pPr>
              <w:overflowPunct/>
              <w:autoSpaceDE/>
              <w:autoSpaceDN/>
              <w:adjustRightInd/>
              <w:spacing w:before="0"/>
              <w:jc w:val="center"/>
              <w:textAlignment w:val="auto"/>
              <w:rPr>
                <w:rFonts w:cs="Calibri"/>
                <w:b/>
                <w:bCs/>
                <w:color w:val="000000"/>
                <w:sz w:val="22"/>
                <w:szCs w:val="22"/>
                <w:lang w:eastAsia="en-GB"/>
              </w:rPr>
            </w:pPr>
            <w:r w:rsidRPr="000C156A">
              <w:rPr>
                <w:rFonts w:cs="Calibri"/>
                <w:b/>
                <w:bCs/>
                <w:color w:val="000000"/>
                <w:sz w:val="22"/>
                <w:szCs w:val="22"/>
                <w:lang w:eastAsia="en-GB"/>
              </w:rPr>
              <w:t> </w:t>
            </w:r>
          </w:p>
        </w:tc>
      </w:tr>
      <w:tr w:rsidR="00686EC7" w:rsidRPr="000C156A" w14:paraId="51E0C0D0" w14:textId="77777777" w:rsidTr="00141BAA">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11C163F6"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Calibri" w:hint="eastAsia"/>
                <w:color w:val="000000"/>
                <w:sz w:val="22"/>
                <w:szCs w:val="22"/>
                <w:lang w:eastAsia="zh-CN"/>
              </w:rPr>
              <w:t>韩国</w:t>
            </w:r>
          </w:p>
        </w:tc>
        <w:tc>
          <w:tcPr>
            <w:tcW w:w="2600" w:type="dxa"/>
            <w:tcBorders>
              <w:top w:val="nil"/>
              <w:left w:val="nil"/>
              <w:bottom w:val="single" w:sz="4" w:space="0" w:color="000000"/>
              <w:right w:val="single" w:sz="4" w:space="0" w:color="000000"/>
            </w:tcBorders>
            <w:shd w:val="clear" w:color="auto" w:fill="auto"/>
            <w:noWrap/>
            <w:vAlign w:val="bottom"/>
            <w:hideMark/>
          </w:tcPr>
          <w:p w14:paraId="43248C44"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MIND AI</w:t>
            </w:r>
          </w:p>
        </w:tc>
        <w:tc>
          <w:tcPr>
            <w:tcW w:w="1920" w:type="dxa"/>
            <w:tcBorders>
              <w:top w:val="nil"/>
              <w:left w:val="nil"/>
              <w:bottom w:val="single" w:sz="4" w:space="0" w:color="000000"/>
              <w:right w:val="single" w:sz="4" w:space="0" w:color="000000"/>
            </w:tcBorders>
            <w:shd w:val="clear" w:color="auto" w:fill="auto"/>
            <w:noWrap/>
            <w:vAlign w:val="bottom"/>
            <w:hideMark/>
          </w:tcPr>
          <w:p w14:paraId="6C25D382" w14:textId="694D3725"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60</w:t>
            </w:r>
            <w:r w:rsidR="001A59E5" w:rsidRPr="000C156A">
              <w:rPr>
                <w:rFonts w:cs="Calibri"/>
                <w:color w:val="000000"/>
                <w:sz w:val="22"/>
                <w:szCs w:val="22"/>
                <w:lang w:eastAsia="en-GB"/>
              </w:rPr>
              <w:t xml:space="preserve"> </w:t>
            </w:r>
            <w:r w:rsidRPr="000C156A">
              <w:rPr>
                <w:rFonts w:cs="Calibri"/>
                <w:color w:val="000000"/>
                <w:sz w:val="22"/>
                <w:szCs w:val="22"/>
                <w:lang w:eastAsia="en-GB"/>
              </w:rPr>
              <w:t>000</w:t>
            </w:r>
          </w:p>
        </w:tc>
        <w:tc>
          <w:tcPr>
            <w:tcW w:w="1420" w:type="dxa"/>
            <w:tcBorders>
              <w:top w:val="nil"/>
              <w:left w:val="nil"/>
              <w:bottom w:val="single" w:sz="4" w:space="0" w:color="000000"/>
              <w:right w:val="single" w:sz="4" w:space="0" w:color="000000"/>
            </w:tcBorders>
            <w:shd w:val="clear" w:color="auto" w:fill="auto"/>
            <w:noWrap/>
            <w:vAlign w:val="bottom"/>
            <w:hideMark/>
          </w:tcPr>
          <w:p w14:paraId="02301505" w14:textId="77777777" w:rsidR="00686EC7" w:rsidRPr="000C156A" w:rsidRDefault="00686EC7" w:rsidP="00141BAA">
            <w:pPr>
              <w:overflowPunct/>
              <w:autoSpaceDE/>
              <w:autoSpaceDN/>
              <w:adjustRightInd/>
              <w:spacing w:before="0"/>
              <w:jc w:val="center"/>
              <w:textAlignment w:val="auto"/>
              <w:rPr>
                <w:rFonts w:cs="Calibri"/>
                <w:color w:val="000000"/>
                <w:sz w:val="22"/>
                <w:szCs w:val="22"/>
                <w:lang w:eastAsia="en-GB"/>
              </w:rPr>
            </w:pPr>
            <w:r w:rsidRPr="000C156A">
              <w:rPr>
                <w:rFonts w:cs="Calibri"/>
                <w:color w:val="000000"/>
                <w:sz w:val="22"/>
                <w:szCs w:val="22"/>
                <w:lang w:eastAsia="en-GB"/>
              </w:rPr>
              <w:t>CHF</w:t>
            </w:r>
          </w:p>
        </w:tc>
        <w:tc>
          <w:tcPr>
            <w:tcW w:w="2120" w:type="dxa"/>
            <w:tcBorders>
              <w:top w:val="nil"/>
              <w:left w:val="nil"/>
              <w:bottom w:val="single" w:sz="4" w:space="0" w:color="000000"/>
              <w:right w:val="single" w:sz="4" w:space="0" w:color="000000"/>
            </w:tcBorders>
            <w:shd w:val="clear" w:color="auto" w:fill="auto"/>
            <w:noWrap/>
            <w:vAlign w:val="bottom"/>
            <w:hideMark/>
          </w:tcPr>
          <w:p w14:paraId="09A31EC9" w14:textId="739B541A"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60</w:t>
            </w:r>
            <w:r w:rsidR="001A59E5" w:rsidRPr="000C156A">
              <w:rPr>
                <w:rFonts w:cs="Calibri"/>
                <w:color w:val="000000"/>
                <w:sz w:val="22"/>
                <w:szCs w:val="22"/>
                <w:lang w:eastAsia="en-GB"/>
              </w:rPr>
              <w:t xml:space="preserve"> </w:t>
            </w:r>
            <w:r w:rsidRPr="000C156A">
              <w:rPr>
                <w:rFonts w:cs="Calibri"/>
                <w:color w:val="000000"/>
                <w:sz w:val="22"/>
                <w:szCs w:val="22"/>
                <w:lang w:eastAsia="en-GB"/>
              </w:rPr>
              <w:t>000</w:t>
            </w:r>
          </w:p>
        </w:tc>
      </w:tr>
      <w:tr w:rsidR="00686EC7" w:rsidRPr="000C156A" w14:paraId="104C84E1" w14:textId="77777777" w:rsidTr="00141BAA">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3651DA73"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Microsoft YaHei" w:hint="eastAsia"/>
                <w:color w:val="000000"/>
                <w:sz w:val="22"/>
                <w:szCs w:val="22"/>
                <w:lang w:eastAsia="en-GB"/>
              </w:rPr>
              <w:t>英国</w:t>
            </w:r>
          </w:p>
        </w:tc>
        <w:tc>
          <w:tcPr>
            <w:tcW w:w="2600" w:type="dxa"/>
            <w:tcBorders>
              <w:top w:val="nil"/>
              <w:left w:val="nil"/>
              <w:bottom w:val="single" w:sz="4" w:space="0" w:color="000000"/>
              <w:right w:val="single" w:sz="4" w:space="0" w:color="000000"/>
            </w:tcBorders>
            <w:shd w:val="clear" w:color="auto" w:fill="auto"/>
            <w:noWrap/>
            <w:vAlign w:val="bottom"/>
            <w:hideMark/>
          </w:tcPr>
          <w:p w14:paraId="7D3631BC"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Calibri" w:hint="eastAsia"/>
                <w:color w:val="000000"/>
                <w:sz w:val="22"/>
                <w:szCs w:val="22"/>
                <w:lang w:eastAsia="zh-CN"/>
              </w:rPr>
              <w:t>海事卫星组织</w:t>
            </w:r>
          </w:p>
        </w:tc>
        <w:tc>
          <w:tcPr>
            <w:tcW w:w="1920" w:type="dxa"/>
            <w:tcBorders>
              <w:top w:val="nil"/>
              <w:left w:val="nil"/>
              <w:bottom w:val="single" w:sz="4" w:space="0" w:color="000000"/>
              <w:right w:val="single" w:sz="4" w:space="0" w:color="000000"/>
            </w:tcBorders>
            <w:shd w:val="clear" w:color="auto" w:fill="auto"/>
            <w:noWrap/>
            <w:vAlign w:val="bottom"/>
            <w:hideMark/>
          </w:tcPr>
          <w:p w14:paraId="231EEFD6" w14:textId="1F62A9B7"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w:t>
            </w:r>
            <w:r w:rsidR="001A59E5" w:rsidRPr="000C156A">
              <w:rPr>
                <w:rFonts w:cs="Calibri"/>
                <w:color w:val="000000"/>
                <w:sz w:val="22"/>
                <w:szCs w:val="22"/>
                <w:lang w:eastAsia="en-GB"/>
              </w:rPr>
              <w:t xml:space="preserve"> </w:t>
            </w:r>
            <w:r w:rsidRPr="000C156A">
              <w:rPr>
                <w:rFonts w:cs="Calibri"/>
                <w:color w:val="000000"/>
                <w:sz w:val="22"/>
                <w:szCs w:val="22"/>
                <w:lang w:eastAsia="en-GB"/>
              </w:rPr>
              <w:t>000</w:t>
            </w:r>
          </w:p>
        </w:tc>
        <w:tc>
          <w:tcPr>
            <w:tcW w:w="1420" w:type="dxa"/>
            <w:tcBorders>
              <w:top w:val="nil"/>
              <w:left w:val="nil"/>
              <w:bottom w:val="single" w:sz="4" w:space="0" w:color="000000"/>
              <w:right w:val="single" w:sz="4" w:space="0" w:color="000000"/>
            </w:tcBorders>
            <w:shd w:val="clear" w:color="auto" w:fill="auto"/>
            <w:noWrap/>
            <w:vAlign w:val="bottom"/>
            <w:hideMark/>
          </w:tcPr>
          <w:p w14:paraId="74E3A600" w14:textId="77777777" w:rsidR="00686EC7" w:rsidRPr="000C156A" w:rsidRDefault="00686EC7" w:rsidP="00141BAA">
            <w:pPr>
              <w:overflowPunct/>
              <w:autoSpaceDE/>
              <w:autoSpaceDN/>
              <w:adjustRightInd/>
              <w:spacing w:before="0"/>
              <w:jc w:val="center"/>
              <w:textAlignment w:val="auto"/>
              <w:rPr>
                <w:rFonts w:cs="Calibri"/>
                <w:color w:val="000000"/>
                <w:sz w:val="22"/>
                <w:szCs w:val="22"/>
                <w:lang w:eastAsia="en-GB"/>
              </w:rPr>
            </w:pPr>
            <w:r w:rsidRPr="000C156A">
              <w:rPr>
                <w:rFonts w:cs="Calibri"/>
                <w:color w:val="000000"/>
                <w:sz w:val="22"/>
                <w:szCs w:val="22"/>
                <w:lang w:eastAsia="en-GB"/>
              </w:rPr>
              <w:t>USD</w:t>
            </w:r>
          </w:p>
        </w:tc>
        <w:tc>
          <w:tcPr>
            <w:tcW w:w="2120" w:type="dxa"/>
            <w:tcBorders>
              <w:top w:val="nil"/>
              <w:left w:val="nil"/>
              <w:bottom w:val="single" w:sz="4" w:space="0" w:color="000000"/>
              <w:right w:val="single" w:sz="4" w:space="0" w:color="000000"/>
            </w:tcBorders>
            <w:shd w:val="clear" w:color="auto" w:fill="auto"/>
            <w:noWrap/>
            <w:vAlign w:val="bottom"/>
            <w:hideMark/>
          </w:tcPr>
          <w:p w14:paraId="5C645638" w14:textId="5E023124"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w:t>
            </w:r>
            <w:r w:rsidR="001A59E5" w:rsidRPr="000C156A">
              <w:rPr>
                <w:rFonts w:cs="Calibri"/>
                <w:color w:val="000000"/>
                <w:sz w:val="22"/>
                <w:szCs w:val="22"/>
                <w:lang w:eastAsia="en-GB"/>
              </w:rPr>
              <w:t xml:space="preserve"> </w:t>
            </w:r>
            <w:r w:rsidRPr="000C156A">
              <w:rPr>
                <w:rFonts w:cs="Calibri"/>
                <w:color w:val="000000"/>
                <w:sz w:val="22"/>
                <w:szCs w:val="22"/>
                <w:lang w:eastAsia="en-GB"/>
              </w:rPr>
              <w:t>000</w:t>
            </w:r>
          </w:p>
        </w:tc>
      </w:tr>
      <w:tr w:rsidR="00686EC7" w:rsidRPr="000C156A" w14:paraId="26064AA0" w14:textId="77777777" w:rsidTr="00141BAA">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629259BE"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Microsoft YaHei" w:hint="eastAsia"/>
                <w:color w:val="000000"/>
                <w:sz w:val="22"/>
                <w:szCs w:val="22"/>
                <w:lang w:eastAsia="en-GB"/>
              </w:rPr>
              <w:t>津巴布韦</w:t>
            </w:r>
          </w:p>
        </w:tc>
        <w:tc>
          <w:tcPr>
            <w:tcW w:w="2600" w:type="dxa"/>
            <w:tcBorders>
              <w:top w:val="nil"/>
              <w:left w:val="nil"/>
              <w:bottom w:val="single" w:sz="4" w:space="0" w:color="000000"/>
              <w:right w:val="single" w:sz="4" w:space="0" w:color="000000"/>
            </w:tcBorders>
            <w:shd w:val="clear" w:color="auto" w:fill="auto"/>
            <w:noWrap/>
            <w:vAlign w:val="bottom"/>
            <w:hideMark/>
          </w:tcPr>
          <w:p w14:paraId="2389BC18"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POTRAZ</w:t>
            </w:r>
          </w:p>
        </w:tc>
        <w:tc>
          <w:tcPr>
            <w:tcW w:w="1920" w:type="dxa"/>
            <w:tcBorders>
              <w:top w:val="nil"/>
              <w:left w:val="nil"/>
              <w:bottom w:val="single" w:sz="4" w:space="0" w:color="000000"/>
              <w:right w:val="single" w:sz="4" w:space="0" w:color="000000"/>
            </w:tcBorders>
            <w:shd w:val="clear" w:color="auto" w:fill="auto"/>
            <w:noWrap/>
            <w:vAlign w:val="bottom"/>
            <w:hideMark/>
          </w:tcPr>
          <w:p w14:paraId="7601B809" w14:textId="006CAAC5"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350</w:t>
            </w:r>
            <w:r w:rsidR="001A59E5" w:rsidRPr="000C156A">
              <w:rPr>
                <w:rFonts w:cs="Calibri"/>
                <w:color w:val="000000"/>
                <w:sz w:val="22"/>
                <w:szCs w:val="22"/>
                <w:lang w:eastAsia="en-GB"/>
              </w:rPr>
              <w:t xml:space="preserve"> </w:t>
            </w:r>
            <w:r w:rsidRPr="000C156A">
              <w:rPr>
                <w:rFonts w:cs="Calibri"/>
                <w:color w:val="000000"/>
                <w:sz w:val="22"/>
                <w:szCs w:val="22"/>
                <w:lang w:eastAsia="en-GB"/>
              </w:rPr>
              <w:t>194</w:t>
            </w:r>
          </w:p>
        </w:tc>
        <w:tc>
          <w:tcPr>
            <w:tcW w:w="1420" w:type="dxa"/>
            <w:tcBorders>
              <w:top w:val="nil"/>
              <w:left w:val="nil"/>
              <w:bottom w:val="single" w:sz="4" w:space="0" w:color="000000"/>
              <w:right w:val="single" w:sz="4" w:space="0" w:color="000000"/>
            </w:tcBorders>
            <w:shd w:val="clear" w:color="auto" w:fill="auto"/>
            <w:noWrap/>
            <w:vAlign w:val="bottom"/>
            <w:hideMark/>
          </w:tcPr>
          <w:p w14:paraId="3AFE30E0" w14:textId="77777777" w:rsidR="00686EC7" w:rsidRPr="000C156A" w:rsidRDefault="00686EC7" w:rsidP="00141BAA">
            <w:pPr>
              <w:overflowPunct/>
              <w:autoSpaceDE/>
              <w:autoSpaceDN/>
              <w:adjustRightInd/>
              <w:spacing w:before="0"/>
              <w:jc w:val="center"/>
              <w:textAlignment w:val="auto"/>
              <w:rPr>
                <w:rFonts w:cs="Calibri"/>
                <w:color w:val="000000"/>
                <w:sz w:val="22"/>
                <w:szCs w:val="22"/>
                <w:lang w:eastAsia="en-GB"/>
              </w:rPr>
            </w:pPr>
            <w:r w:rsidRPr="000C156A">
              <w:rPr>
                <w:rFonts w:cs="Calibri"/>
                <w:color w:val="000000"/>
                <w:sz w:val="22"/>
                <w:szCs w:val="22"/>
                <w:lang w:eastAsia="en-GB"/>
              </w:rPr>
              <w:t>EUR</w:t>
            </w:r>
          </w:p>
        </w:tc>
        <w:tc>
          <w:tcPr>
            <w:tcW w:w="2120" w:type="dxa"/>
            <w:tcBorders>
              <w:top w:val="nil"/>
              <w:left w:val="nil"/>
              <w:bottom w:val="single" w:sz="4" w:space="0" w:color="000000"/>
              <w:right w:val="single" w:sz="4" w:space="0" w:color="000000"/>
            </w:tcBorders>
            <w:shd w:val="clear" w:color="auto" w:fill="auto"/>
            <w:noWrap/>
            <w:vAlign w:val="bottom"/>
            <w:hideMark/>
          </w:tcPr>
          <w:p w14:paraId="44A5C1BD" w14:textId="301E5671"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350</w:t>
            </w:r>
            <w:r w:rsidR="001A59E5" w:rsidRPr="000C156A">
              <w:rPr>
                <w:rFonts w:cs="Calibri"/>
                <w:color w:val="000000"/>
                <w:sz w:val="22"/>
                <w:szCs w:val="22"/>
                <w:lang w:eastAsia="en-GB"/>
              </w:rPr>
              <w:t xml:space="preserve"> </w:t>
            </w:r>
            <w:r w:rsidRPr="000C156A">
              <w:rPr>
                <w:rFonts w:cs="Calibri"/>
                <w:color w:val="000000"/>
                <w:sz w:val="22"/>
                <w:szCs w:val="22"/>
                <w:lang w:eastAsia="en-GB"/>
              </w:rPr>
              <w:t>194</w:t>
            </w:r>
          </w:p>
        </w:tc>
      </w:tr>
      <w:tr w:rsidR="00686EC7" w:rsidRPr="000C156A" w14:paraId="63DF7810" w14:textId="77777777" w:rsidTr="00141BAA">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5A69A33B"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Microsoft YaHei" w:hint="eastAsia"/>
                <w:color w:val="000000"/>
                <w:sz w:val="22"/>
                <w:szCs w:val="22"/>
                <w:lang w:eastAsia="en-GB"/>
              </w:rPr>
              <w:t>瑞士</w:t>
            </w:r>
          </w:p>
        </w:tc>
        <w:tc>
          <w:tcPr>
            <w:tcW w:w="2600" w:type="dxa"/>
            <w:tcBorders>
              <w:top w:val="nil"/>
              <w:left w:val="nil"/>
              <w:bottom w:val="single" w:sz="4" w:space="0" w:color="000000"/>
              <w:right w:val="single" w:sz="4" w:space="0" w:color="000000"/>
            </w:tcBorders>
            <w:shd w:val="clear" w:color="auto" w:fill="auto"/>
            <w:noWrap/>
            <w:vAlign w:val="bottom"/>
            <w:hideMark/>
          </w:tcPr>
          <w:p w14:paraId="21A7F6BC"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Calibri" w:hint="eastAsia"/>
                <w:color w:val="000000"/>
                <w:sz w:val="22"/>
                <w:szCs w:val="22"/>
                <w:lang w:eastAsia="zh-CN"/>
              </w:rPr>
              <w:t>世界卫生组织</w:t>
            </w:r>
          </w:p>
        </w:tc>
        <w:tc>
          <w:tcPr>
            <w:tcW w:w="1920" w:type="dxa"/>
            <w:tcBorders>
              <w:top w:val="nil"/>
              <w:left w:val="nil"/>
              <w:bottom w:val="single" w:sz="4" w:space="0" w:color="000000"/>
              <w:right w:val="single" w:sz="4" w:space="0" w:color="000000"/>
            </w:tcBorders>
            <w:shd w:val="clear" w:color="auto" w:fill="auto"/>
            <w:noWrap/>
            <w:vAlign w:val="bottom"/>
            <w:hideMark/>
          </w:tcPr>
          <w:p w14:paraId="43B15E24" w14:textId="000D7D27"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250</w:t>
            </w:r>
            <w:r w:rsidR="001A59E5" w:rsidRPr="000C156A">
              <w:rPr>
                <w:rFonts w:cs="Calibri"/>
                <w:color w:val="000000"/>
                <w:sz w:val="22"/>
                <w:szCs w:val="22"/>
                <w:lang w:eastAsia="en-GB"/>
              </w:rPr>
              <w:t xml:space="preserve"> </w:t>
            </w:r>
            <w:r w:rsidRPr="000C156A">
              <w:rPr>
                <w:rFonts w:cs="Calibri"/>
                <w:color w:val="000000"/>
                <w:sz w:val="22"/>
                <w:szCs w:val="22"/>
                <w:lang w:eastAsia="en-GB"/>
              </w:rPr>
              <w:t>000</w:t>
            </w:r>
          </w:p>
        </w:tc>
        <w:tc>
          <w:tcPr>
            <w:tcW w:w="1420" w:type="dxa"/>
            <w:tcBorders>
              <w:top w:val="nil"/>
              <w:left w:val="nil"/>
              <w:bottom w:val="single" w:sz="4" w:space="0" w:color="000000"/>
              <w:right w:val="single" w:sz="4" w:space="0" w:color="000000"/>
            </w:tcBorders>
            <w:shd w:val="clear" w:color="auto" w:fill="auto"/>
            <w:noWrap/>
            <w:vAlign w:val="bottom"/>
            <w:hideMark/>
          </w:tcPr>
          <w:p w14:paraId="06756EBD" w14:textId="77777777" w:rsidR="00686EC7" w:rsidRPr="000C156A" w:rsidRDefault="00686EC7" w:rsidP="00141BAA">
            <w:pPr>
              <w:overflowPunct/>
              <w:autoSpaceDE/>
              <w:autoSpaceDN/>
              <w:adjustRightInd/>
              <w:spacing w:before="0"/>
              <w:jc w:val="center"/>
              <w:textAlignment w:val="auto"/>
              <w:rPr>
                <w:rFonts w:cs="Calibri"/>
                <w:color w:val="000000"/>
                <w:sz w:val="22"/>
                <w:szCs w:val="22"/>
                <w:lang w:eastAsia="en-GB"/>
              </w:rPr>
            </w:pPr>
            <w:r w:rsidRPr="000C156A">
              <w:rPr>
                <w:rFonts w:cs="Calibri"/>
                <w:color w:val="000000"/>
                <w:sz w:val="22"/>
                <w:szCs w:val="22"/>
                <w:lang w:eastAsia="en-GB"/>
              </w:rPr>
              <w:t>USD</w:t>
            </w:r>
          </w:p>
        </w:tc>
        <w:tc>
          <w:tcPr>
            <w:tcW w:w="2120" w:type="dxa"/>
            <w:tcBorders>
              <w:top w:val="nil"/>
              <w:left w:val="nil"/>
              <w:bottom w:val="single" w:sz="4" w:space="0" w:color="000000"/>
              <w:right w:val="single" w:sz="4" w:space="0" w:color="000000"/>
            </w:tcBorders>
            <w:shd w:val="clear" w:color="auto" w:fill="auto"/>
            <w:noWrap/>
            <w:vAlign w:val="bottom"/>
            <w:hideMark/>
          </w:tcPr>
          <w:p w14:paraId="6225EC19" w14:textId="00A0BE42"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250</w:t>
            </w:r>
            <w:r w:rsidR="001A59E5" w:rsidRPr="000C156A">
              <w:rPr>
                <w:rFonts w:cs="Calibri"/>
                <w:color w:val="000000"/>
                <w:sz w:val="22"/>
                <w:szCs w:val="22"/>
                <w:lang w:eastAsia="en-GB"/>
              </w:rPr>
              <w:t xml:space="preserve"> </w:t>
            </w:r>
            <w:r w:rsidRPr="000C156A">
              <w:rPr>
                <w:rFonts w:cs="Calibri"/>
                <w:color w:val="000000"/>
                <w:sz w:val="22"/>
                <w:szCs w:val="22"/>
                <w:lang w:eastAsia="en-GB"/>
              </w:rPr>
              <w:t>000</w:t>
            </w:r>
          </w:p>
        </w:tc>
      </w:tr>
      <w:tr w:rsidR="00686EC7" w:rsidRPr="000C156A" w14:paraId="0D421BBC" w14:textId="77777777" w:rsidTr="00141BAA">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0F0DD6C1"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Calibri" w:hint="eastAsia"/>
                <w:color w:val="000000"/>
                <w:sz w:val="22"/>
                <w:szCs w:val="22"/>
                <w:lang w:eastAsia="zh-CN"/>
              </w:rPr>
              <w:t>美国</w:t>
            </w:r>
          </w:p>
        </w:tc>
        <w:tc>
          <w:tcPr>
            <w:tcW w:w="2600" w:type="dxa"/>
            <w:tcBorders>
              <w:top w:val="nil"/>
              <w:left w:val="nil"/>
              <w:bottom w:val="single" w:sz="4" w:space="0" w:color="000000"/>
              <w:right w:val="single" w:sz="4" w:space="0" w:color="000000"/>
            </w:tcBorders>
            <w:shd w:val="clear" w:color="auto" w:fill="auto"/>
            <w:noWrap/>
            <w:vAlign w:val="bottom"/>
            <w:hideMark/>
          </w:tcPr>
          <w:p w14:paraId="20F474E5"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ITSO</w:t>
            </w:r>
          </w:p>
        </w:tc>
        <w:tc>
          <w:tcPr>
            <w:tcW w:w="1920" w:type="dxa"/>
            <w:tcBorders>
              <w:top w:val="nil"/>
              <w:left w:val="nil"/>
              <w:bottom w:val="single" w:sz="4" w:space="0" w:color="000000"/>
              <w:right w:val="single" w:sz="4" w:space="0" w:color="000000"/>
            </w:tcBorders>
            <w:shd w:val="clear" w:color="auto" w:fill="auto"/>
            <w:noWrap/>
            <w:vAlign w:val="bottom"/>
            <w:hideMark/>
          </w:tcPr>
          <w:p w14:paraId="5D35334E" w14:textId="6392CDCC"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30</w:t>
            </w:r>
            <w:r w:rsidR="001A59E5" w:rsidRPr="000C156A">
              <w:rPr>
                <w:rFonts w:cs="Calibri"/>
                <w:color w:val="000000"/>
                <w:sz w:val="22"/>
                <w:szCs w:val="22"/>
                <w:lang w:eastAsia="en-GB"/>
              </w:rPr>
              <w:t xml:space="preserve"> </w:t>
            </w:r>
            <w:r w:rsidRPr="000C156A">
              <w:rPr>
                <w:rFonts w:cs="Calibri"/>
                <w:color w:val="000000"/>
                <w:sz w:val="22"/>
                <w:szCs w:val="22"/>
                <w:lang w:eastAsia="en-GB"/>
              </w:rPr>
              <w:t>000</w:t>
            </w:r>
          </w:p>
        </w:tc>
        <w:tc>
          <w:tcPr>
            <w:tcW w:w="1420" w:type="dxa"/>
            <w:tcBorders>
              <w:top w:val="nil"/>
              <w:left w:val="nil"/>
              <w:bottom w:val="single" w:sz="4" w:space="0" w:color="000000"/>
              <w:right w:val="single" w:sz="4" w:space="0" w:color="000000"/>
            </w:tcBorders>
            <w:shd w:val="clear" w:color="auto" w:fill="auto"/>
            <w:noWrap/>
            <w:vAlign w:val="bottom"/>
            <w:hideMark/>
          </w:tcPr>
          <w:p w14:paraId="5CFE276D" w14:textId="77777777" w:rsidR="00686EC7" w:rsidRPr="000C156A" w:rsidRDefault="00686EC7" w:rsidP="00141BAA">
            <w:pPr>
              <w:overflowPunct/>
              <w:autoSpaceDE/>
              <w:autoSpaceDN/>
              <w:adjustRightInd/>
              <w:spacing w:before="0"/>
              <w:jc w:val="center"/>
              <w:textAlignment w:val="auto"/>
              <w:rPr>
                <w:rFonts w:cs="Calibri"/>
                <w:color w:val="000000"/>
                <w:sz w:val="22"/>
                <w:szCs w:val="22"/>
                <w:lang w:eastAsia="en-GB"/>
              </w:rPr>
            </w:pPr>
            <w:r w:rsidRPr="000C156A">
              <w:rPr>
                <w:rFonts w:cs="Calibri"/>
                <w:color w:val="000000"/>
                <w:sz w:val="22"/>
                <w:szCs w:val="22"/>
                <w:lang w:eastAsia="en-GB"/>
              </w:rPr>
              <w:t>USD</w:t>
            </w:r>
          </w:p>
        </w:tc>
        <w:tc>
          <w:tcPr>
            <w:tcW w:w="2120" w:type="dxa"/>
            <w:tcBorders>
              <w:top w:val="nil"/>
              <w:left w:val="nil"/>
              <w:bottom w:val="single" w:sz="4" w:space="0" w:color="000000"/>
              <w:right w:val="single" w:sz="4" w:space="0" w:color="000000"/>
            </w:tcBorders>
            <w:shd w:val="clear" w:color="auto" w:fill="auto"/>
            <w:noWrap/>
            <w:vAlign w:val="bottom"/>
            <w:hideMark/>
          </w:tcPr>
          <w:p w14:paraId="1D3B769D" w14:textId="43F4AE73"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30</w:t>
            </w:r>
            <w:r w:rsidR="001A59E5" w:rsidRPr="000C156A">
              <w:rPr>
                <w:rFonts w:cs="Calibri"/>
                <w:color w:val="000000"/>
                <w:sz w:val="22"/>
                <w:szCs w:val="22"/>
                <w:lang w:eastAsia="en-GB"/>
              </w:rPr>
              <w:t xml:space="preserve"> </w:t>
            </w:r>
            <w:r w:rsidRPr="000C156A">
              <w:rPr>
                <w:rFonts w:cs="Calibri"/>
                <w:color w:val="000000"/>
                <w:sz w:val="22"/>
                <w:szCs w:val="22"/>
                <w:lang w:eastAsia="en-GB"/>
              </w:rPr>
              <w:t>000</w:t>
            </w:r>
          </w:p>
        </w:tc>
      </w:tr>
      <w:tr w:rsidR="00686EC7" w:rsidRPr="000C156A" w14:paraId="77BD23AD" w14:textId="77777777" w:rsidTr="00141BAA">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3C2EC5B4"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Microsoft YaHei" w:hint="eastAsia"/>
                <w:color w:val="000000"/>
                <w:sz w:val="22"/>
                <w:szCs w:val="22"/>
                <w:lang w:eastAsia="en-GB"/>
              </w:rPr>
              <w:t>瑞士</w:t>
            </w:r>
          </w:p>
        </w:tc>
        <w:tc>
          <w:tcPr>
            <w:tcW w:w="2600" w:type="dxa"/>
            <w:tcBorders>
              <w:top w:val="nil"/>
              <w:left w:val="nil"/>
              <w:bottom w:val="single" w:sz="4" w:space="0" w:color="000000"/>
              <w:right w:val="single" w:sz="4" w:space="0" w:color="000000"/>
            </w:tcBorders>
            <w:shd w:val="clear" w:color="auto" w:fill="auto"/>
            <w:noWrap/>
            <w:vAlign w:val="bottom"/>
            <w:hideMark/>
          </w:tcPr>
          <w:p w14:paraId="69634C07"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ICANN</w:t>
            </w:r>
          </w:p>
        </w:tc>
        <w:tc>
          <w:tcPr>
            <w:tcW w:w="1920" w:type="dxa"/>
            <w:tcBorders>
              <w:top w:val="nil"/>
              <w:left w:val="nil"/>
              <w:bottom w:val="single" w:sz="4" w:space="0" w:color="000000"/>
              <w:right w:val="single" w:sz="4" w:space="0" w:color="000000"/>
            </w:tcBorders>
            <w:shd w:val="clear" w:color="auto" w:fill="auto"/>
            <w:noWrap/>
            <w:vAlign w:val="bottom"/>
            <w:hideMark/>
          </w:tcPr>
          <w:p w14:paraId="216886E1" w14:textId="15D88AF1"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15</w:t>
            </w:r>
            <w:r w:rsidR="001A59E5" w:rsidRPr="000C156A">
              <w:rPr>
                <w:rFonts w:cs="Calibri"/>
                <w:color w:val="000000"/>
                <w:sz w:val="22"/>
                <w:szCs w:val="22"/>
                <w:lang w:eastAsia="en-GB"/>
              </w:rPr>
              <w:t xml:space="preserve"> </w:t>
            </w:r>
            <w:r w:rsidRPr="000C156A">
              <w:rPr>
                <w:rFonts w:cs="Calibri"/>
                <w:color w:val="000000"/>
                <w:sz w:val="22"/>
                <w:szCs w:val="22"/>
                <w:lang w:eastAsia="en-GB"/>
              </w:rPr>
              <w:t>000</w:t>
            </w:r>
          </w:p>
        </w:tc>
        <w:tc>
          <w:tcPr>
            <w:tcW w:w="1420" w:type="dxa"/>
            <w:tcBorders>
              <w:top w:val="nil"/>
              <w:left w:val="nil"/>
              <w:bottom w:val="single" w:sz="4" w:space="0" w:color="000000"/>
              <w:right w:val="single" w:sz="4" w:space="0" w:color="000000"/>
            </w:tcBorders>
            <w:shd w:val="clear" w:color="auto" w:fill="auto"/>
            <w:noWrap/>
            <w:vAlign w:val="bottom"/>
            <w:hideMark/>
          </w:tcPr>
          <w:p w14:paraId="420B3384" w14:textId="77777777" w:rsidR="00686EC7" w:rsidRPr="000C156A" w:rsidRDefault="00686EC7" w:rsidP="00141BAA">
            <w:pPr>
              <w:overflowPunct/>
              <w:autoSpaceDE/>
              <w:autoSpaceDN/>
              <w:adjustRightInd/>
              <w:spacing w:before="0"/>
              <w:jc w:val="center"/>
              <w:textAlignment w:val="auto"/>
              <w:rPr>
                <w:rFonts w:cs="Calibri"/>
                <w:color w:val="000000"/>
                <w:sz w:val="22"/>
                <w:szCs w:val="22"/>
                <w:lang w:eastAsia="en-GB"/>
              </w:rPr>
            </w:pPr>
            <w:r w:rsidRPr="000C156A">
              <w:rPr>
                <w:rFonts w:cs="Calibri"/>
                <w:color w:val="000000"/>
                <w:sz w:val="22"/>
                <w:szCs w:val="22"/>
                <w:lang w:eastAsia="en-GB"/>
              </w:rPr>
              <w:t>CHF</w:t>
            </w:r>
          </w:p>
        </w:tc>
        <w:tc>
          <w:tcPr>
            <w:tcW w:w="2120" w:type="dxa"/>
            <w:tcBorders>
              <w:top w:val="nil"/>
              <w:left w:val="nil"/>
              <w:bottom w:val="single" w:sz="4" w:space="0" w:color="000000"/>
              <w:right w:val="single" w:sz="4" w:space="0" w:color="000000"/>
            </w:tcBorders>
            <w:shd w:val="clear" w:color="auto" w:fill="auto"/>
            <w:noWrap/>
            <w:vAlign w:val="bottom"/>
            <w:hideMark/>
          </w:tcPr>
          <w:p w14:paraId="42C41742" w14:textId="1C865672"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15</w:t>
            </w:r>
            <w:r w:rsidR="001A59E5" w:rsidRPr="000C156A">
              <w:rPr>
                <w:rFonts w:cs="Calibri"/>
                <w:color w:val="000000"/>
                <w:sz w:val="22"/>
                <w:szCs w:val="22"/>
                <w:lang w:eastAsia="en-GB"/>
              </w:rPr>
              <w:t xml:space="preserve"> </w:t>
            </w:r>
            <w:r w:rsidRPr="000C156A">
              <w:rPr>
                <w:rFonts w:cs="Calibri"/>
                <w:color w:val="000000"/>
                <w:sz w:val="22"/>
                <w:szCs w:val="22"/>
                <w:lang w:eastAsia="en-GB"/>
              </w:rPr>
              <w:t>000</w:t>
            </w:r>
          </w:p>
        </w:tc>
      </w:tr>
      <w:tr w:rsidR="00686EC7" w:rsidRPr="000C156A" w14:paraId="2F6AF26C" w14:textId="77777777" w:rsidTr="00141BAA">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2E0EA8D9"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Microsoft YaHei" w:hint="eastAsia"/>
                <w:color w:val="000000"/>
                <w:sz w:val="22"/>
                <w:szCs w:val="22"/>
                <w:lang w:eastAsia="en-GB"/>
              </w:rPr>
              <w:t>沙特阿拉伯</w:t>
            </w:r>
          </w:p>
        </w:tc>
        <w:tc>
          <w:tcPr>
            <w:tcW w:w="2600" w:type="dxa"/>
            <w:tcBorders>
              <w:top w:val="nil"/>
              <w:left w:val="nil"/>
              <w:bottom w:val="single" w:sz="4" w:space="0" w:color="000000"/>
              <w:right w:val="single" w:sz="4" w:space="0" w:color="000000"/>
            </w:tcBorders>
            <w:shd w:val="clear" w:color="auto" w:fill="auto"/>
            <w:noWrap/>
            <w:vAlign w:val="bottom"/>
            <w:hideMark/>
          </w:tcPr>
          <w:p w14:paraId="03705032"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NCA</w:t>
            </w:r>
          </w:p>
        </w:tc>
        <w:tc>
          <w:tcPr>
            <w:tcW w:w="1920" w:type="dxa"/>
            <w:tcBorders>
              <w:top w:val="nil"/>
              <w:left w:val="nil"/>
              <w:bottom w:val="single" w:sz="4" w:space="0" w:color="000000"/>
              <w:right w:val="single" w:sz="4" w:space="0" w:color="000000"/>
            </w:tcBorders>
            <w:shd w:val="clear" w:color="auto" w:fill="auto"/>
            <w:noWrap/>
            <w:vAlign w:val="bottom"/>
            <w:hideMark/>
          </w:tcPr>
          <w:p w14:paraId="06C14CF5" w14:textId="7B7AD592"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854</w:t>
            </w:r>
            <w:r w:rsidR="001A59E5" w:rsidRPr="000C156A">
              <w:rPr>
                <w:rFonts w:cs="Calibri"/>
                <w:color w:val="000000"/>
                <w:sz w:val="22"/>
                <w:szCs w:val="22"/>
                <w:lang w:eastAsia="en-GB"/>
              </w:rPr>
              <w:t xml:space="preserve"> </w:t>
            </w:r>
            <w:r w:rsidRPr="000C156A">
              <w:rPr>
                <w:rFonts w:cs="Calibri"/>
                <w:color w:val="000000"/>
                <w:sz w:val="22"/>
                <w:szCs w:val="22"/>
                <w:lang w:eastAsia="en-GB"/>
              </w:rPr>
              <w:t>116</w:t>
            </w:r>
          </w:p>
        </w:tc>
        <w:tc>
          <w:tcPr>
            <w:tcW w:w="1420" w:type="dxa"/>
            <w:tcBorders>
              <w:top w:val="nil"/>
              <w:left w:val="nil"/>
              <w:bottom w:val="single" w:sz="4" w:space="0" w:color="000000"/>
              <w:right w:val="single" w:sz="4" w:space="0" w:color="000000"/>
            </w:tcBorders>
            <w:shd w:val="clear" w:color="auto" w:fill="auto"/>
            <w:noWrap/>
            <w:vAlign w:val="bottom"/>
            <w:hideMark/>
          </w:tcPr>
          <w:p w14:paraId="40B20EB9" w14:textId="77777777" w:rsidR="00686EC7" w:rsidRPr="000C156A" w:rsidRDefault="00686EC7" w:rsidP="00141BAA">
            <w:pPr>
              <w:overflowPunct/>
              <w:autoSpaceDE/>
              <w:autoSpaceDN/>
              <w:adjustRightInd/>
              <w:spacing w:before="0"/>
              <w:jc w:val="center"/>
              <w:textAlignment w:val="auto"/>
              <w:rPr>
                <w:rFonts w:cs="Calibri"/>
                <w:color w:val="000000"/>
                <w:sz w:val="22"/>
                <w:szCs w:val="22"/>
                <w:lang w:eastAsia="en-GB"/>
              </w:rPr>
            </w:pPr>
            <w:r w:rsidRPr="000C156A">
              <w:rPr>
                <w:rFonts w:cs="Calibri"/>
                <w:color w:val="000000"/>
                <w:sz w:val="22"/>
                <w:szCs w:val="22"/>
                <w:lang w:eastAsia="en-GB"/>
              </w:rPr>
              <w:t>USD</w:t>
            </w:r>
          </w:p>
        </w:tc>
        <w:tc>
          <w:tcPr>
            <w:tcW w:w="2120" w:type="dxa"/>
            <w:tcBorders>
              <w:top w:val="nil"/>
              <w:left w:val="nil"/>
              <w:bottom w:val="single" w:sz="4" w:space="0" w:color="000000"/>
              <w:right w:val="single" w:sz="4" w:space="0" w:color="000000"/>
            </w:tcBorders>
            <w:shd w:val="clear" w:color="auto" w:fill="auto"/>
            <w:noWrap/>
            <w:vAlign w:val="bottom"/>
            <w:hideMark/>
          </w:tcPr>
          <w:p w14:paraId="09EBA022" w14:textId="5ACCDF14"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52</w:t>
            </w:r>
            <w:r w:rsidR="001A59E5" w:rsidRPr="000C156A">
              <w:rPr>
                <w:rFonts w:cs="Calibri"/>
                <w:color w:val="000000"/>
                <w:sz w:val="22"/>
                <w:szCs w:val="22"/>
                <w:lang w:eastAsia="en-GB"/>
              </w:rPr>
              <w:t xml:space="preserve"> </w:t>
            </w:r>
            <w:r w:rsidRPr="000C156A">
              <w:rPr>
                <w:rFonts w:cs="Calibri"/>
                <w:color w:val="000000"/>
                <w:sz w:val="22"/>
                <w:szCs w:val="22"/>
                <w:lang w:eastAsia="en-GB"/>
              </w:rPr>
              <w:t>716</w:t>
            </w:r>
          </w:p>
        </w:tc>
      </w:tr>
      <w:tr w:rsidR="00686EC7" w:rsidRPr="000C156A" w14:paraId="734E44B5" w14:textId="77777777" w:rsidTr="00141BAA">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34E2EA4F"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Microsoft YaHei" w:hint="eastAsia"/>
                <w:color w:val="000000"/>
                <w:sz w:val="22"/>
                <w:szCs w:val="22"/>
                <w:lang w:eastAsia="en-GB"/>
              </w:rPr>
              <w:t>匈牙利</w:t>
            </w:r>
          </w:p>
        </w:tc>
        <w:tc>
          <w:tcPr>
            <w:tcW w:w="2600" w:type="dxa"/>
            <w:tcBorders>
              <w:top w:val="nil"/>
              <w:left w:val="nil"/>
              <w:bottom w:val="single" w:sz="4" w:space="0" w:color="000000"/>
              <w:right w:val="single" w:sz="4" w:space="0" w:color="000000"/>
            </w:tcBorders>
            <w:shd w:val="clear" w:color="auto" w:fill="auto"/>
            <w:noWrap/>
            <w:vAlign w:val="bottom"/>
            <w:hideMark/>
          </w:tcPr>
          <w:p w14:paraId="0043A0B6"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Calibri" w:hint="eastAsia"/>
                <w:color w:val="000000"/>
                <w:sz w:val="22"/>
                <w:szCs w:val="22"/>
                <w:lang w:eastAsia="zh-CN"/>
              </w:rPr>
              <w:t>宽带基金会</w:t>
            </w:r>
          </w:p>
        </w:tc>
        <w:tc>
          <w:tcPr>
            <w:tcW w:w="1920" w:type="dxa"/>
            <w:tcBorders>
              <w:top w:val="nil"/>
              <w:left w:val="nil"/>
              <w:bottom w:val="single" w:sz="4" w:space="0" w:color="000000"/>
              <w:right w:val="single" w:sz="4" w:space="0" w:color="000000"/>
            </w:tcBorders>
            <w:shd w:val="clear" w:color="auto" w:fill="auto"/>
            <w:noWrap/>
            <w:vAlign w:val="bottom"/>
            <w:hideMark/>
          </w:tcPr>
          <w:p w14:paraId="3D790896" w14:textId="61AEA63C"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129</w:t>
            </w:r>
            <w:r w:rsidR="001A59E5" w:rsidRPr="000C156A">
              <w:rPr>
                <w:rFonts w:cs="Calibri"/>
                <w:color w:val="000000"/>
                <w:sz w:val="22"/>
                <w:szCs w:val="22"/>
                <w:lang w:eastAsia="en-GB"/>
              </w:rPr>
              <w:t xml:space="preserve"> </w:t>
            </w:r>
            <w:r w:rsidRPr="000C156A">
              <w:rPr>
                <w:rFonts w:cs="Calibri"/>
                <w:color w:val="000000"/>
                <w:sz w:val="22"/>
                <w:szCs w:val="22"/>
                <w:lang w:eastAsia="en-GB"/>
              </w:rPr>
              <w:t>968</w:t>
            </w:r>
            <w:r w:rsidR="001A59E5" w:rsidRPr="000C156A">
              <w:rPr>
                <w:rFonts w:cs="Calibri"/>
                <w:color w:val="000000"/>
                <w:sz w:val="22"/>
                <w:szCs w:val="22"/>
                <w:lang w:eastAsia="en-GB"/>
              </w:rPr>
              <w:t xml:space="preserve"> </w:t>
            </w:r>
            <w:r w:rsidRPr="000C156A">
              <w:rPr>
                <w:rFonts w:cs="Calibri"/>
                <w:color w:val="000000"/>
                <w:sz w:val="22"/>
                <w:szCs w:val="22"/>
                <w:lang w:eastAsia="en-GB"/>
              </w:rPr>
              <w:t>000</w:t>
            </w:r>
          </w:p>
        </w:tc>
        <w:tc>
          <w:tcPr>
            <w:tcW w:w="1420" w:type="dxa"/>
            <w:tcBorders>
              <w:top w:val="nil"/>
              <w:left w:val="nil"/>
              <w:bottom w:val="single" w:sz="4" w:space="0" w:color="000000"/>
              <w:right w:val="single" w:sz="4" w:space="0" w:color="000000"/>
            </w:tcBorders>
            <w:shd w:val="clear" w:color="auto" w:fill="auto"/>
            <w:noWrap/>
            <w:vAlign w:val="bottom"/>
            <w:hideMark/>
          </w:tcPr>
          <w:p w14:paraId="674B2B3F" w14:textId="77777777" w:rsidR="00686EC7" w:rsidRPr="000C156A" w:rsidRDefault="00686EC7" w:rsidP="00141BAA">
            <w:pPr>
              <w:overflowPunct/>
              <w:autoSpaceDE/>
              <w:autoSpaceDN/>
              <w:adjustRightInd/>
              <w:spacing w:before="0"/>
              <w:jc w:val="center"/>
              <w:textAlignment w:val="auto"/>
              <w:rPr>
                <w:rFonts w:cs="Calibri"/>
                <w:color w:val="000000"/>
                <w:sz w:val="22"/>
                <w:szCs w:val="22"/>
                <w:lang w:eastAsia="en-GB"/>
              </w:rPr>
            </w:pPr>
            <w:r w:rsidRPr="000C156A">
              <w:rPr>
                <w:rFonts w:cs="Calibri"/>
                <w:color w:val="000000"/>
                <w:sz w:val="22"/>
                <w:szCs w:val="22"/>
                <w:lang w:eastAsia="en-GB"/>
              </w:rPr>
              <w:t>HUF</w:t>
            </w:r>
          </w:p>
        </w:tc>
        <w:tc>
          <w:tcPr>
            <w:tcW w:w="2120" w:type="dxa"/>
            <w:tcBorders>
              <w:top w:val="nil"/>
              <w:left w:val="nil"/>
              <w:bottom w:val="single" w:sz="4" w:space="0" w:color="000000"/>
              <w:right w:val="single" w:sz="4" w:space="0" w:color="000000"/>
            </w:tcBorders>
            <w:shd w:val="clear" w:color="auto" w:fill="auto"/>
            <w:noWrap/>
            <w:vAlign w:val="bottom"/>
            <w:hideMark/>
          </w:tcPr>
          <w:p w14:paraId="49C7066C" w14:textId="3A6ED099"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117</w:t>
            </w:r>
            <w:r w:rsidR="001A59E5" w:rsidRPr="000C156A">
              <w:rPr>
                <w:rFonts w:cs="Calibri"/>
                <w:color w:val="000000"/>
                <w:sz w:val="22"/>
                <w:szCs w:val="22"/>
                <w:lang w:eastAsia="en-GB"/>
              </w:rPr>
              <w:t xml:space="preserve"> </w:t>
            </w:r>
            <w:r w:rsidRPr="000C156A">
              <w:rPr>
                <w:rFonts w:cs="Calibri"/>
                <w:color w:val="000000"/>
                <w:sz w:val="22"/>
                <w:szCs w:val="22"/>
                <w:lang w:eastAsia="en-GB"/>
              </w:rPr>
              <w:t>548</w:t>
            </w:r>
            <w:r w:rsidR="001A59E5" w:rsidRPr="000C156A">
              <w:rPr>
                <w:rFonts w:cs="Calibri"/>
                <w:color w:val="000000"/>
                <w:sz w:val="22"/>
                <w:szCs w:val="22"/>
                <w:lang w:eastAsia="en-GB"/>
              </w:rPr>
              <w:t xml:space="preserve"> </w:t>
            </w:r>
            <w:r w:rsidRPr="000C156A">
              <w:rPr>
                <w:rFonts w:cs="Calibri"/>
                <w:color w:val="000000"/>
                <w:sz w:val="22"/>
                <w:szCs w:val="22"/>
                <w:lang w:eastAsia="en-GB"/>
              </w:rPr>
              <w:t>000</w:t>
            </w:r>
          </w:p>
        </w:tc>
      </w:tr>
      <w:tr w:rsidR="00686EC7" w:rsidRPr="000C156A" w14:paraId="196248FF" w14:textId="77777777" w:rsidTr="00141BAA">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1CAECE0A"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Microsoft YaHei" w:hint="eastAsia"/>
                <w:color w:val="000000"/>
                <w:sz w:val="22"/>
                <w:szCs w:val="22"/>
                <w:lang w:eastAsia="en-GB"/>
              </w:rPr>
              <w:t>巴哈马</w:t>
            </w:r>
          </w:p>
        </w:tc>
        <w:tc>
          <w:tcPr>
            <w:tcW w:w="2600" w:type="dxa"/>
            <w:tcBorders>
              <w:top w:val="nil"/>
              <w:left w:val="nil"/>
              <w:bottom w:val="single" w:sz="4" w:space="0" w:color="000000"/>
              <w:right w:val="single" w:sz="4" w:space="0" w:color="000000"/>
            </w:tcBorders>
            <w:shd w:val="clear" w:color="auto" w:fill="auto"/>
            <w:noWrap/>
            <w:vAlign w:val="bottom"/>
            <w:hideMark/>
          </w:tcPr>
          <w:p w14:paraId="792319E4"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Calibri" w:hint="eastAsia"/>
                <w:color w:val="000000"/>
                <w:sz w:val="22"/>
                <w:szCs w:val="22"/>
                <w:lang w:eastAsia="zh-CN"/>
              </w:rPr>
              <w:t>常务秘书</w:t>
            </w:r>
          </w:p>
        </w:tc>
        <w:tc>
          <w:tcPr>
            <w:tcW w:w="1920" w:type="dxa"/>
            <w:tcBorders>
              <w:top w:val="nil"/>
              <w:left w:val="nil"/>
              <w:bottom w:val="single" w:sz="4" w:space="0" w:color="000000"/>
              <w:right w:val="single" w:sz="4" w:space="0" w:color="000000"/>
            </w:tcBorders>
            <w:shd w:val="clear" w:color="auto" w:fill="auto"/>
            <w:noWrap/>
            <w:vAlign w:val="bottom"/>
            <w:hideMark/>
          </w:tcPr>
          <w:p w14:paraId="52A52BE0" w14:textId="47169C15"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365</w:t>
            </w:r>
            <w:r w:rsidR="001A59E5" w:rsidRPr="000C156A">
              <w:rPr>
                <w:rFonts w:cs="Calibri"/>
                <w:color w:val="000000"/>
                <w:sz w:val="22"/>
                <w:szCs w:val="22"/>
                <w:lang w:eastAsia="en-GB"/>
              </w:rPr>
              <w:t xml:space="preserve"> </w:t>
            </w:r>
            <w:r w:rsidRPr="000C156A">
              <w:rPr>
                <w:rFonts w:cs="Calibri"/>
                <w:color w:val="000000"/>
                <w:sz w:val="22"/>
                <w:szCs w:val="22"/>
                <w:lang w:eastAsia="en-GB"/>
              </w:rPr>
              <w:t>500</w:t>
            </w:r>
          </w:p>
        </w:tc>
        <w:tc>
          <w:tcPr>
            <w:tcW w:w="1420" w:type="dxa"/>
            <w:tcBorders>
              <w:top w:val="nil"/>
              <w:left w:val="nil"/>
              <w:bottom w:val="single" w:sz="4" w:space="0" w:color="000000"/>
              <w:right w:val="single" w:sz="4" w:space="0" w:color="000000"/>
            </w:tcBorders>
            <w:shd w:val="clear" w:color="auto" w:fill="auto"/>
            <w:noWrap/>
            <w:vAlign w:val="bottom"/>
            <w:hideMark/>
          </w:tcPr>
          <w:p w14:paraId="25910785" w14:textId="77777777" w:rsidR="00686EC7" w:rsidRPr="000C156A" w:rsidRDefault="00686EC7" w:rsidP="00141BAA">
            <w:pPr>
              <w:overflowPunct/>
              <w:autoSpaceDE/>
              <w:autoSpaceDN/>
              <w:adjustRightInd/>
              <w:spacing w:before="0"/>
              <w:jc w:val="center"/>
              <w:textAlignment w:val="auto"/>
              <w:rPr>
                <w:rFonts w:cs="Calibri"/>
                <w:color w:val="000000"/>
                <w:sz w:val="22"/>
                <w:szCs w:val="22"/>
                <w:lang w:eastAsia="en-GB"/>
              </w:rPr>
            </w:pPr>
            <w:r w:rsidRPr="000C156A">
              <w:rPr>
                <w:rFonts w:cs="Calibri"/>
                <w:color w:val="000000"/>
                <w:sz w:val="22"/>
                <w:szCs w:val="22"/>
                <w:lang w:eastAsia="en-GB"/>
              </w:rPr>
              <w:t>USD</w:t>
            </w:r>
          </w:p>
        </w:tc>
        <w:tc>
          <w:tcPr>
            <w:tcW w:w="2120" w:type="dxa"/>
            <w:tcBorders>
              <w:top w:val="nil"/>
              <w:left w:val="nil"/>
              <w:bottom w:val="single" w:sz="4" w:space="0" w:color="000000"/>
              <w:right w:val="single" w:sz="4" w:space="0" w:color="000000"/>
            </w:tcBorders>
            <w:shd w:val="clear" w:color="auto" w:fill="auto"/>
            <w:noWrap/>
            <w:vAlign w:val="bottom"/>
            <w:hideMark/>
          </w:tcPr>
          <w:p w14:paraId="47DA364F" w14:textId="77777777"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500</w:t>
            </w:r>
          </w:p>
        </w:tc>
      </w:tr>
      <w:tr w:rsidR="00686EC7" w:rsidRPr="000C156A" w14:paraId="37EF484C" w14:textId="77777777" w:rsidTr="00141BAA">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6A971F5F"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Microsoft YaHei" w:hint="eastAsia"/>
                <w:color w:val="000000"/>
                <w:sz w:val="22"/>
                <w:szCs w:val="22"/>
                <w:lang w:eastAsia="en-GB"/>
              </w:rPr>
              <w:t>瑞士</w:t>
            </w:r>
          </w:p>
        </w:tc>
        <w:tc>
          <w:tcPr>
            <w:tcW w:w="2600" w:type="dxa"/>
            <w:tcBorders>
              <w:top w:val="nil"/>
              <w:left w:val="nil"/>
              <w:bottom w:val="single" w:sz="4" w:space="0" w:color="000000"/>
              <w:right w:val="single" w:sz="4" w:space="0" w:color="000000"/>
            </w:tcBorders>
            <w:shd w:val="clear" w:color="auto" w:fill="auto"/>
            <w:noWrap/>
            <w:vAlign w:val="bottom"/>
            <w:hideMark/>
          </w:tcPr>
          <w:p w14:paraId="429B7D51" w14:textId="77777777" w:rsidR="00686EC7" w:rsidRPr="000C156A" w:rsidRDefault="00686EC7" w:rsidP="00141BAA">
            <w:pPr>
              <w:overflowPunct/>
              <w:autoSpaceDE/>
              <w:autoSpaceDN/>
              <w:adjustRightInd/>
              <w:spacing w:before="0"/>
              <w:textAlignment w:val="auto"/>
              <w:rPr>
                <w:rFonts w:cs="Calibri"/>
                <w:color w:val="000000"/>
                <w:sz w:val="22"/>
                <w:szCs w:val="22"/>
                <w:lang w:val="en-US" w:eastAsia="en-GB"/>
              </w:rPr>
            </w:pPr>
            <w:r w:rsidRPr="000C156A">
              <w:rPr>
                <w:rFonts w:cs="Calibri" w:hint="eastAsia"/>
                <w:color w:val="000000"/>
                <w:sz w:val="22"/>
                <w:szCs w:val="22"/>
                <w:lang w:eastAsia="zh-CN"/>
              </w:rPr>
              <w:t>国际劳工组织</w:t>
            </w:r>
          </w:p>
        </w:tc>
        <w:tc>
          <w:tcPr>
            <w:tcW w:w="1920" w:type="dxa"/>
            <w:tcBorders>
              <w:top w:val="nil"/>
              <w:left w:val="nil"/>
              <w:bottom w:val="single" w:sz="4" w:space="0" w:color="000000"/>
              <w:right w:val="single" w:sz="4" w:space="0" w:color="000000"/>
            </w:tcBorders>
            <w:shd w:val="clear" w:color="auto" w:fill="auto"/>
            <w:noWrap/>
            <w:vAlign w:val="bottom"/>
            <w:hideMark/>
          </w:tcPr>
          <w:p w14:paraId="6223654A" w14:textId="44DEDDE2"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25</w:t>
            </w:r>
            <w:r w:rsidR="001A59E5" w:rsidRPr="000C156A">
              <w:rPr>
                <w:rFonts w:cs="Calibri"/>
                <w:color w:val="000000"/>
                <w:sz w:val="22"/>
                <w:szCs w:val="22"/>
                <w:lang w:eastAsia="en-GB"/>
              </w:rPr>
              <w:t xml:space="preserve"> </w:t>
            </w:r>
            <w:r w:rsidRPr="000C156A">
              <w:rPr>
                <w:rFonts w:cs="Calibri"/>
                <w:color w:val="000000"/>
                <w:sz w:val="22"/>
                <w:szCs w:val="22"/>
                <w:lang w:eastAsia="en-GB"/>
              </w:rPr>
              <w:t>000</w:t>
            </w:r>
          </w:p>
        </w:tc>
        <w:tc>
          <w:tcPr>
            <w:tcW w:w="1420" w:type="dxa"/>
            <w:tcBorders>
              <w:top w:val="nil"/>
              <w:left w:val="nil"/>
              <w:bottom w:val="single" w:sz="4" w:space="0" w:color="000000"/>
              <w:right w:val="single" w:sz="4" w:space="0" w:color="000000"/>
            </w:tcBorders>
            <w:shd w:val="clear" w:color="auto" w:fill="auto"/>
            <w:noWrap/>
            <w:vAlign w:val="bottom"/>
            <w:hideMark/>
          </w:tcPr>
          <w:p w14:paraId="02F1B20F" w14:textId="77777777" w:rsidR="00686EC7" w:rsidRPr="000C156A" w:rsidRDefault="00686EC7" w:rsidP="00141BAA">
            <w:pPr>
              <w:overflowPunct/>
              <w:autoSpaceDE/>
              <w:autoSpaceDN/>
              <w:adjustRightInd/>
              <w:spacing w:before="0"/>
              <w:jc w:val="center"/>
              <w:textAlignment w:val="auto"/>
              <w:rPr>
                <w:rFonts w:cs="Calibri"/>
                <w:color w:val="000000"/>
                <w:sz w:val="22"/>
                <w:szCs w:val="22"/>
                <w:lang w:eastAsia="en-GB"/>
              </w:rPr>
            </w:pPr>
            <w:r w:rsidRPr="000C156A">
              <w:rPr>
                <w:rFonts w:cs="Calibri"/>
                <w:color w:val="000000"/>
                <w:sz w:val="22"/>
                <w:szCs w:val="22"/>
                <w:lang w:eastAsia="en-GB"/>
              </w:rPr>
              <w:t>USD</w:t>
            </w:r>
          </w:p>
        </w:tc>
        <w:tc>
          <w:tcPr>
            <w:tcW w:w="2120" w:type="dxa"/>
            <w:tcBorders>
              <w:top w:val="nil"/>
              <w:left w:val="nil"/>
              <w:bottom w:val="single" w:sz="4" w:space="0" w:color="000000"/>
              <w:right w:val="single" w:sz="4" w:space="0" w:color="000000"/>
            </w:tcBorders>
            <w:shd w:val="clear" w:color="auto" w:fill="auto"/>
            <w:noWrap/>
            <w:vAlign w:val="bottom"/>
            <w:hideMark/>
          </w:tcPr>
          <w:p w14:paraId="0D48ABB0" w14:textId="0EC2AC13"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25</w:t>
            </w:r>
            <w:r w:rsidR="001A59E5" w:rsidRPr="000C156A">
              <w:rPr>
                <w:rFonts w:cs="Calibri"/>
                <w:color w:val="000000"/>
                <w:sz w:val="22"/>
                <w:szCs w:val="22"/>
                <w:lang w:eastAsia="en-GB"/>
              </w:rPr>
              <w:t xml:space="preserve"> </w:t>
            </w:r>
            <w:r w:rsidRPr="000C156A">
              <w:rPr>
                <w:rFonts w:cs="Calibri"/>
                <w:color w:val="000000"/>
                <w:sz w:val="22"/>
                <w:szCs w:val="22"/>
                <w:lang w:eastAsia="en-GB"/>
              </w:rPr>
              <w:t>000</w:t>
            </w:r>
          </w:p>
        </w:tc>
      </w:tr>
      <w:tr w:rsidR="00686EC7" w:rsidRPr="000C156A" w14:paraId="0EFB64DA" w14:textId="77777777" w:rsidTr="00141BAA">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71B54F68"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Microsoft YaHei" w:hint="eastAsia"/>
                <w:color w:val="000000"/>
                <w:sz w:val="22"/>
                <w:szCs w:val="22"/>
                <w:lang w:eastAsia="en-GB"/>
              </w:rPr>
              <w:t>贝宁</w:t>
            </w:r>
          </w:p>
        </w:tc>
        <w:tc>
          <w:tcPr>
            <w:tcW w:w="2600" w:type="dxa"/>
            <w:tcBorders>
              <w:top w:val="nil"/>
              <w:left w:val="nil"/>
              <w:bottom w:val="single" w:sz="4" w:space="0" w:color="000000"/>
              <w:right w:val="single" w:sz="4" w:space="0" w:color="000000"/>
            </w:tcBorders>
            <w:shd w:val="clear" w:color="auto" w:fill="auto"/>
            <w:noWrap/>
            <w:vAlign w:val="bottom"/>
            <w:hideMark/>
          </w:tcPr>
          <w:p w14:paraId="53B44875"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UNPFA</w:t>
            </w:r>
          </w:p>
        </w:tc>
        <w:tc>
          <w:tcPr>
            <w:tcW w:w="1920" w:type="dxa"/>
            <w:tcBorders>
              <w:top w:val="nil"/>
              <w:left w:val="nil"/>
              <w:bottom w:val="single" w:sz="4" w:space="0" w:color="000000"/>
              <w:right w:val="single" w:sz="4" w:space="0" w:color="000000"/>
            </w:tcBorders>
            <w:shd w:val="clear" w:color="auto" w:fill="auto"/>
            <w:noWrap/>
            <w:vAlign w:val="bottom"/>
            <w:hideMark/>
          </w:tcPr>
          <w:p w14:paraId="464C9E20" w14:textId="62115A02"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75</w:t>
            </w:r>
            <w:r w:rsidR="001A59E5" w:rsidRPr="000C156A">
              <w:rPr>
                <w:rFonts w:cs="Calibri"/>
                <w:color w:val="000000"/>
                <w:sz w:val="22"/>
                <w:szCs w:val="22"/>
                <w:lang w:eastAsia="en-GB"/>
              </w:rPr>
              <w:t xml:space="preserve"> </w:t>
            </w:r>
            <w:r w:rsidRPr="000C156A">
              <w:rPr>
                <w:rFonts w:cs="Calibri"/>
                <w:color w:val="000000"/>
                <w:sz w:val="22"/>
                <w:szCs w:val="22"/>
                <w:lang w:eastAsia="en-GB"/>
              </w:rPr>
              <w:t>000</w:t>
            </w:r>
          </w:p>
        </w:tc>
        <w:tc>
          <w:tcPr>
            <w:tcW w:w="1420" w:type="dxa"/>
            <w:tcBorders>
              <w:top w:val="nil"/>
              <w:left w:val="nil"/>
              <w:bottom w:val="single" w:sz="4" w:space="0" w:color="000000"/>
              <w:right w:val="single" w:sz="4" w:space="0" w:color="000000"/>
            </w:tcBorders>
            <w:shd w:val="clear" w:color="auto" w:fill="auto"/>
            <w:noWrap/>
            <w:vAlign w:val="bottom"/>
            <w:hideMark/>
          </w:tcPr>
          <w:p w14:paraId="045B0181" w14:textId="77777777" w:rsidR="00686EC7" w:rsidRPr="000C156A" w:rsidRDefault="00686EC7" w:rsidP="00141BAA">
            <w:pPr>
              <w:overflowPunct/>
              <w:autoSpaceDE/>
              <w:autoSpaceDN/>
              <w:adjustRightInd/>
              <w:spacing w:before="0"/>
              <w:jc w:val="center"/>
              <w:textAlignment w:val="auto"/>
              <w:rPr>
                <w:rFonts w:cs="Calibri"/>
                <w:color w:val="000000"/>
                <w:sz w:val="22"/>
                <w:szCs w:val="22"/>
                <w:lang w:eastAsia="en-GB"/>
              </w:rPr>
            </w:pPr>
            <w:r w:rsidRPr="000C156A">
              <w:rPr>
                <w:rFonts w:cs="Calibri"/>
                <w:color w:val="000000"/>
                <w:sz w:val="22"/>
                <w:szCs w:val="22"/>
                <w:lang w:eastAsia="en-GB"/>
              </w:rPr>
              <w:t>USD</w:t>
            </w:r>
          </w:p>
        </w:tc>
        <w:tc>
          <w:tcPr>
            <w:tcW w:w="2120" w:type="dxa"/>
            <w:tcBorders>
              <w:top w:val="nil"/>
              <w:left w:val="nil"/>
              <w:bottom w:val="single" w:sz="4" w:space="0" w:color="000000"/>
              <w:right w:val="single" w:sz="4" w:space="0" w:color="000000"/>
            </w:tcBorders>
            <w:shd w:val="clear" w:color="auto" w:fill="auto"/>
            <w:noWrap/>
            <w:vAlign w:val="bottom"/>
            <w:hideMark/>
          </w:tcPr>
          <w:p w14:paraId="3255571B" w14:textId="212BE706"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75</w:t>
            </w:r>
            <w:r w:rsidR="001A59E5" w:rsidRPr="000C156A">
              <w:rPr>
                <w:rFonts w:cs="Calibri"/>
                <w:color w:val="000000"/>
                <w:sz w:val="22"/>
                <w:szCs w:val="22"/>
                <w:lang w:eastAsia="en-GB"/>
              </w:rPr>
              <w:t xml:space="preserve"> </w:t>
            </w:r>
            <w:r w:rsidRPr="000C156A">
              <w:rPr>
                <w:rFonts w:cs="Calibri"/>
                <w:color w:val="000000"/>
                <w:sz w:val="22"/>
                <w:szCs w:val="22"/>
                <w:lang w:eastAsia="en-GB"/>
              </w:rPr>
              <w:t>000</w:t>
            </w:r>
          </w:p>
        </w:tc>
      </w:tr>
      <w:tr w:rsidR="00686EC7" w:rsidRPr="000C156A" w14:paraId="3A14FF27" w14:textId="77777777" w:rsidTr="00141BAA">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5D58C1F4"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Microsoft YaHei" w:hint="eastAsia"/>
                <w:color w:val="000000"/>
                <w:sz w:val="22"/>
                <w:szCs w:val="22"/>
                <w:lang w:eastAsia="en-GB"/>
              </w:rPr>
              <w:t>沙特阿拉伯</w:t>
            </w:r>
          </w:p>
        </w:tc>
        <w:tc>
          <w:tcPr>
            <w:tcW w:w="2600" w:type="dxa"/>
            <w:tcBorders>
              <w:top w:val="nil"/>
              <w:left w:val="nil"/>
              <w:bottom w:val="single" w:sz="4" w:space="0" w:color="000000"/>
              <w:right w:val="single" w:sz="4" w:space="0" w:color="000000"/>
            </w:tcBorders>
            <w:shd w:val="clear" w:color="auto" w:fill="auto"/>
            <w:noWrap/>
            <w:vAlign w:val="bottom"/>
            <w:hideMark/>
          </w:tcPr>
          <w:p w14:paraId="3115A7C6"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BADIR</w:t>
            </w:r>
          </w:p>
        </w:tc>
        <w:tc>
          <w:tcPr>
            <w:tcW w:w="1920" w:type="dxa"/>
            <w:tcBorders>
              <w:top w:val="nil"/>
              <w:left w:val="nil"/>
              <w:bottom w:val="single" w:sz="4" w:space="0" w:color="000000"/>
              <w:right w:val="single" w:sz="4" w:space="0" w:color="000000"/>
            </w:tcBorders>
            <w:shd w:val="clear" w:color="auto" w:fill="auto"/>
            <w:noWrap/>
            <w:vAlign w:val="bottom"/>
            <w:hideMark/>
          </w:tcPr>
          <w:p w14:paraId="26D2339E" w14:textId="353082C6"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358</w:t>
            </w:r>
            <w:r w:rsidR="001A59E5" w:rsidRPr="000C156A">
              <w:rPr>
                <w:rFonts w:cs="Calibri"/>
                <w:color w:val="000000"/>
                <w:sz w:val="22"/>
                <w:szCs w:val="22"/>
                <w:lang w:eastAsia="en-GB"/>
              </w:rPr>
              <w:t xml:space="preserve"> </w:t>
            </w:r>
            <w:r w:rsidRPr="000C156A">
              <w:rPr>
                <w:rFonts w:cs="Calibri"/>
                <w:color w:val="000000"/>
                <w:sz w:val="22"/>
                <w:szCs w:val="22"/>
                <w:lang w:eastAsia="en-GB"/>
              </w:rPr>
              <w:t>450</w:t>
            </w:r>
          </w:p>
        </w:tc>
        <w:tc>
          <w:tcPr>
            <w:tcW w:w="1420" w:type="dxa"/>
            <w:tcBorders>
              <w:top w:val="nil"/>
              <w:left w:val="nil"/>
              <w:bottom w:val="single" w:sz="4" w:space="0" w:color="000000"/>
              <w:right w:val="single" w:sz="4" w:space="0" w:color="000000"/>
            </w:tcBorders>
            <w:shd w:val="clear" w:color="auto" w:fill="auto"/>
            <w:noWrap/>
            <w:vAlign w:val="bottom"/>
            <w:hideMark/>
          </w:tcPr>
          <w:p w14:paraId="69130252" w14:textId="77777777" w:rsidR="00686EC7" w:rsidRPr="000C156A" w:rsidRDefault="00686EC7" w:rsidP="00141BAA">
            <w:pPr>
              <w:overflowPunct/>
              <w:autoSpaceDE/>
              <w:autoSpaceDN/>
              <w:adjustRightInd/>
              <w:spacing w:before="0"/>
              <w:jc w:val="center"/>
              <w:textAlignment w:val="auto"/>
              <w:rPr>
                <w:rFonts w:cs="Calibri"/>
                <w:color w:val="000000"/>
                <w:sz w:val="22"/>
                <w:szCs w:val="22"/>
                <w:lang w:eastAsia="en-GB"/>
              </w:rPr>
            </w:pPr>
            <w:r w:rsidRPr="000C156A">
              <w:rPr>
                <w:rFonts w:cs="Calibri"/>
                <w:color w:val="000000"/>
                <w:sz w:val="22"/>
                <w:szCs w:val="22"/>
                <w:lang w:eastAsia="en-GB"/>
              </w:rPr>
              <w:t>USD</w:t>
            </w:r>
          </w:p>
        </w:tc>
        <w:tc>
          <w:tcPr>
            <w:tcW w:w="2120" w:type="dxa"/>
            <w:tcBorders>
              <w:top w:val="nil"/>
              <w:left w:val="nil"/>
              <w:bottom w:val="single" w:sz="4" w:space="0" w:color="000000"/>
              <w:right w:val="single" w:sz="4" w:space="0" w:color="000000"/>
            </w:tcBorders>
            <w:shd w:val="clear" w:color="auto" w:fill="auto"/>
            <w:noWrap/>
            <w:vAlign w:val="bottom"/>
            <w:hideMark/>
          </w:tcPr>
          <w:p w14:paraId="194D0066" w14:textId="3D1D0AE4"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358</w:t>
            </w:r>
            <w:r w:rsidR="001A59E5" w:rsidRPr="000C156A">
              <w:rPr>
                <w:rFonts w:cs="Calibri"/>
                <w:color w:val="000000"/>
                <w:sz w:val="22"/>
                <w:szCs w:val="22"/>
                <w:lang w:eastAsia="en-GB"/>
              </w:rPr>
              <w:t xml:space="preserve"> </w:t>
            </w:r>
            <w:r w:rsidRPr="000C156A">
              <w:rPr>
                <w:rFonts w:cs="Calibri"/>
                <w:color w:val="000000"/>
                <w:sz w:val="22"/>
                <w:szCs w:val="22"/>
                <w:lang w:eastAsia="en-GB"/>
              </w:rPr>
              <w:t>450</w:t>
            </w:r>
          </w:p>
        </w:tc>
      </w:tr>
      <w:tr w:rsidR="00686EC7" w:rsidRPr="000C156A" w14:paraId="4B8C7702" w14:textId="77777777" w:rsidTr="00141BAA">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528D5A8D"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Calibri" w:hint="eastAsia"/>
                <w:color w:val="000000"/>
                <w:sz w:val="22"/>
                <w:szCs w:val="22"/>
                <w:lang w:eastAsia="zh-CN"/>
              </w:rPr>
              <w:t>美国</w:t>
            </w:r>
          </w:p>
        </w:tc>
        <w:tc>
          <w:tcPr>
            <w:tcW w:w="2600" w:type="dxa"/>
            <w:tcBorders>
              <w:top w:val="nil"/>
              <w:left w:val="nil"/>
              <w:bottom w:val="single" w:sz="4" w:space="0" w:color="000000"/>
              <w:right w:val="single" w:sz="4" w:space="0" w:color="000000"/>
            </w:tcBorders>
            <w:shd w:val="clear" w:color="auto" w:fill="auto"/>
            <w:noWrap/>
            <w:vAlign w:val="bottom"/>
            <w:hideMark/>
          </w:tcPr>
          <w:p w14:paraId="13D7B5D5"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Pink Lion</w:t>
            </w:r>
          </w:p>
        </w:tc>
        <w:tc>
          <w:tcPr>
            <w:tcW w:w="1920" w:type="dxa"/>
            <w:tcBorders>
              <w:top w:val="nil"/>
              <w:left w:val="nil"/>
              <w:bottom w:val="single" w:sz="4" w:space="0" w:color="000000"/>
              <w:right w:val="single" w:sz="4" w:space="0" w:color="000000"/>
            </w:tcBorders>
            <w:shd w:val="clear" w:color="auto" w:fill="auto"/>
            <w:noWrap/>
            <w:vAlign w:val="bottom"/>
            <w:hideMark/>
          </w:tcPr>
          <w:p w14:paraId="5567615A" w14:textId="5F9F9EA2"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5</w:t>
            </w:r>
            <w:r w:rsidR="001A59E5" w:rsidRPr="000C156A">
              <w:rPr>
                <w:rFonts w:cs="Calibri"/>
                <w:color w:val="000000"/>
                <w:sz w:val="22"/>
                <w:szCs w:val="22"/>
                <w:lang w:eastAsia="en-GB"/>
              </w:rPr>
              <w:t xml:space="preserve"> </w:t>
            </w:r>
            <w:r w:rsidRPr="000C156A">
              <w:rPr>
                <w:rFonts w:cs="Calibri"/>
                <w:color w:val="000000"/>
                <w:sz w:val="22"/>
                <w:szCs w:val="22"/>
                <w:lang w:eastAsia="en-GB"/>
              </w:rPr>
              <w:t>000</w:t>
            </w:r>
          </w:p>
        </w:tc>
        <w:tc>
          <w:tcPr>
            <w:tcW w:w="1420" w:type="dxa"/>
            <w:tcBorders>
              <w:top w:val="nil"/>
              <w:left w:val="nil"/>
              <w:bottom w:val="single" w:sz="4" w:space="0" w:color="000000"/>
              <w:right w:val="single" w:sz="4" w:space="0" w:color="000000"/>
            </w:tcBorders>
            <w:shd w:val="clear" w:color="auto" w:fill="auto"/>
            <w:noWrap/>
            <w:vAlign w:val="bottom"/>
            <w:hideMark/>
          </w:tcPr>
          <w:p w14:paraId="7A0EA3A4" w14:textId="77777777" w:rsidR="00686EC7" w:rsidRPr="000C156A" w:rsidRDefault="00686EC7" w:rsidP="00141BAA">
            <w:pPr>
              <w:overflowPunct/>
              <w:autoSpaceDE/>
              <w:autoSpaceDN/>
              <w:adjustRightInd/>
              <w:spacing w:before="0"/>
              <w:jc w:val="center"/>
              <w:textAlignment w:val="auto"/>
              <w:rPr>
                <w:rFonts w:cs="Calibri"/>
                <w:color w:val="000000"/>
                <w:sz w:val="22"/>
                <w:szCs w:val="22"/>
                <w:lang w:eastAsia="en-GB"/>
              </w:rPr>
            </w:pPr>
            <w:r w:rsidRPr="000C156A">
              <w:rPr>
                <w:rFonts w:cs="Calibri"/>
                <w:color w:val="000000"/>
                <w:sz w:val="22"/>
                <w:szCs w:val="22"/>
                <w:lang w:eastAsia="en-GB"/>
              </w:rPr>
              <w:t>CHF</w:t>
            </w:r>
          </w:p>
        </w:tc>
        <w:tc>
          <w:tcPr>
            <w:tcW w:w="2120" w:type="dxa"/>
            <w:tcBorders>
              <w:top w:val="nil"/>
              <w:left w:val="nil"/>
              <w:bottom w:val="single" w:sz="4" w:space="0" w:color="000000"/>
              <w:right w:val="single" w:sz="4" w:space="0" w:color="000000"/>
            </w:tcBorders>
            <w:shd w:val="clear" w:color="auto" w:fill="auto"/>
            <w:noWrap/>
            <w:vAlign w:val="bottom"/>
            <w:hideMark/>
          </w:tcPr>
          <w:p w14:paraId="1EA8C4A4" w14:textId="7F4BF14B"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5</w:t>
            </w:r>
            <w:r w:rsidR="001A59E5" w:rsidRPr="000C156A">
              <w:rPr>
                <w:rFonts w:cs="Calibri"/>
                <w:color w:val="000000"/>
                <w:sz w:val="22"/>
                <w:szCs w:val="22"/>
                <w:lang w:eastAsia="en-GB"/>
              </w:rPr>
              <w:t xml:space="preserve"> </w:t>
            </w:r>
            <w:r w:rsidRPr="000C156A">
              <w:rPr>
                <w:rFonts w:cs="Calibri"/>
                <w:color w:val="000000"/>
                <w:sz w:val="22"/>
                <w:szCs w:val="22"/>
                <w:lang w:eastAsia="en-GB"/>
              </w:rPr>
              <w:t>000</w:t>
            </w:r>
          </w:p>
        </w:tc>
      </w:tr>
      <w:tr w:rsidR="00686EC7" w:rsidRPr="000C156A" w14:paraId="506EC424" w14:textId="77777777" w:rsidTr="00141BAA">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66BE60BD"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Microsoft YaHei" w:hint="eastAsia"/>
                <w:color w:val="000000"/>
                <w:sz w:val="22"/>
                <w:szCs w:val="22"/>
                <w:lang w:eastAsia="en-GB"/>
              </w:rPr>
              <w:t>瑞士</w:t>
            </w:r>
          </w:p>
        </w:tc>
        <w:tc>
          <w:tcPr>
            <w:tcW w:w="2600" w:type="dxa"/>
            <w:tcBorders>
              <w:top w:val="nil"/>
              <w:left w:val="nil"/>
              <w:bottom w:val="single" w:sz="4" w:space="0" w:color="000000"/>
              <w:right w:val="single" w:sz="4" w:space="0" w:color="000000"/>
            </w:tcBorders>
            <w:shd w:val="clear" w:color="auto" w:fill="auto"/>
            <w:noWrap/>
            <w:vAlign w:val="bottom"/>
            <w:hideMark/>
          </w:tcPr>
          <w:p w14:paraId="30922AC5" w14:textId="77777777" w:rsidR="00686EC7" w:rsidRPr="000C156A" w:rsidRDefault="00686EC7" w:rsidP="00141BAA">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Immersion4</w:t>
            </w:r>
          </w:p>
        </w:tc>
        <w:tc>
          <w:tcPr>
            <w:tcW w:w="1920" w:type="dxa"/>
            <w:tcBorders>
              <w:top w:val="nil"/>
              <w:left w:val="nil"/>
              <w:bottom w:val="single" w:sz="4" w:space="0" w:color="000000"/>
              <w:right w:val="single" w:sz="4" w:space="0" w:color="000000"/>
            </w:tcBorders>
            <w:shd w:val="clear" w:color="auto" w:fill="auto"/>
            <w:noWrap/>
            <w:vAlign w:val="bottom"/>
            <w:hideMark/>
          </w:tcPr>
          <w:p w14:paraId="727FA7EC" w14:textId="26913DE8"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50</w:t>
            </w:r>
            <w:r w:rsidR="001A59E5" w:rsidRPr="000C156A">
              <w:rPr>
                <w:rFonts w:cs="Calibri"/>
                <w:color w:val="000000"/>
                <w:sz w:val="22"/>
                <w:szCs w:val="22"/>
                <w:lang w:eastAsia="en-GB"/>
              </w:rPr>
              <w:t xml:space="preserve"> </w:t>
            </w:r>
            <w:r w:rsidRPr="000C156A">
              <w:rPr>
                <w:rFonts w:cs="Calibri"/>
                <w:color w:val="000000"/>
                <w:sz w:val="22"/>
                <w:szCs w:val="22"/>
                <w:lang w:eastAsia="en-GB"/>
              </w:rPr>
              <w:t>000</w:t>
            </w:r>
          </w:p>
        </w:tc>
        <w:tc>
          <w:tcPr>
            <w:tcW w:w="1420" w:type="dxa"/>
            <w:tcBorders>
              <w:top w:val="nil"/>
              <w:left w:val="nil"/>
              <w:bottom w:val="single" w:sz="4" w:space="0" w:color="000000"/>
              <w:right w:val="single" w:sz="4" w:space="0" w:color="000000"/>
            </w:tcBorders>
            <w:shd w:val="clear" w:color="auto" w:fill="auto"/>
            <w:noWrap/>
            <w:vAlign w:val="bottom"/>
            <w:hideMark/>
          </w:tcPr>
          <w:p w14:paraId="2659F934" w14:textId="77777777" w:rsidR="00686EC7" w:rsidRPr="000C156A" w:rsidRDefault="00686EC7" w:rsidP="00141BAA">
            <w:pPr>
              <w:overflowPunct/>
              <w:autoSpaceDE/>
              <w:autoSpaceDN/>
              <w:adjustRightInd/>
              <w:spacing w:before="0"/>
              <w:jc w:val="center"/>
              <w:textAlignment w:val="auto"/>
              <w:rPr>
                <w:rFonts w:cs="Calibri"/>
                <w:color w:val="000000"/>
                <w:sz w:val="22"/>
                <w:szCs w:val="22"/>
                <w:lang w:eastAsia="en-GB"/>
              </w:rPr>
            </w:pPr>
            <w:r w:rsidRPr="000C156A">
              <w:rPr>
                <w:rFonts w:cs="Calibri"/>
                <w:color w:val="000000"/>
                <w:sz w:val="22"/>
                <w:szCs w:val="22"/>
                <w:lang w:eastAsia="en-GB"/>
              </w:rPr>
              <w:t>CHF</w:t>
            </w:r>
          </w:p>
        </w:tc>
        <w:tc>
          <w:tcPr>
            <w:tcW w:w="2120" w:type="dxa"/>
            <w:tcBorders>
              <w:top w:val="nil"/>
              <w:left w:val="nil"/>
              <w:bottom w:val="single" w:sz="4" w:space="0" w:color="000000"/>
              <w:right w:val="single" w:sz="4" w:space="0" w:color="000000"/>
            </w:tcBorders>
            <w:shd w:val="clear" w:color="auto" w:fill="auto"/>
            <w:noWrap/>
            <w:vAlign w:val="bottom"/>
            <w:hideMark/>
          </w:tcPr>
          <w:p w14:paraId="64BA0C17" w14:textId="303F8D62" w:rsidR="00686EC7" w:rsidRPr="000C156A" w:rsidRDefault="00686EC7" w:rsidP="00141BAA">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50</w:t>
            </w:r>
            <w:r w:rsidR="001A59E5" w:rsidRPr="000C156A">
              <w:rPr>
                <w:rFonts w:cs="Calibri"/>
                <w:color w:val="000000"/>
                <w:sz w:val="22"/>
                <w:szCs w:val="22"/>
                <w:lang w:eastAsia="en-GB"/>
              </w:rPr>
              <w:t xml:space="preserve"> </w:t>
            </w:r>
            <w:r w:rsidRPr="000C156A">
              <w:rPr>
                <w:rFonts w:cs="Calibri"/>
                <w:color w:val="000000"/>
                <w:sz w:val="22"/>
                <w:szCs w:val="22"/>
                <w:lang w:eastAsia="en-GB"/>
              </w:rPr>
              <w:t>000</w:t>
            </w:r>
          </w:p>
        </w:tc>
      </w:tr>
    </w:tbl>
    <w:p w14:paraId="44678799" w14:textId="77777777" w:rsidR="00686EC7" w:rsidRPr="000C156A" w:rsidRDefault="00686EC7" w:rsidP="00686EC7">
      <w:pPr>
        <w:overflowPunct/>
        <w:autoSpaceDE/>
        <w:autoSpaceDN/>
        <w:adjustRightInd/>
        <w:spacing w:before="360"/>
        <w:jc w:val="center"/>
        <w:textAlignment w:val="auto"/>
        <w:rPr>
          <w:rFonts w:ascii="Times New Roman" w:hAnsi="Times New Roman"/>
          <w:szCs w:val="24"/>
          <w:lang w:eastAsia="zh-CN"/>
        </w:rPr>
      </w:pPr>
      <w:r w:rsidRPr="000C156A">
        <w:rPr>
          <w:rFonts w:ascii="Times New Roman" w:hAnsi="Times New Roman"/>
          <w:szCs w:val="24"/>
          <w:lang w:eastAsia="zh-CN"/>
        </w:rPr>
        <w:t>______________</w:t>
      </w:r>
    </w:p>
    <w:sectPr w:rsidR="00686EC7" w:rsidRPr="000C156A" w:rsidSect="0089653C">
      <w:headerReference w:type="default" r:id="rId77"/>
      <w:footerReference w:type="default" r:id="rId78"/>
      <w:footerReference w:type="first" r:id="rId79"/>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C1319" w14:textId="77777777" w:rsidR="00A100EC" w:rsidRDefault="00A100EC">
      <w:r>
        <w:separator/>
      </w:r>
    </w:p>
  </w:endnote>
  <w:endnote w:type="continuationSeparator" w:id="0">
    <w:p w14:paraId="43A1B5F4" w14:textId="77777777" w:rsidR="00A100EC" w:rsidRDefault="00A100EC">
      <w:r>
        <w:continuationSeparator/>
      </w:r>
    </w:p>
  </w:endnote>
  <w:endnote w:type="continuationNotice" w:id="1">
    <w:p w14:paraId="5B7207D1" w14:textId="77777777" w:rsidR="00A100EC" w:rsidRDefault="00A100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enir Next LT Pro">
    <w:charset w:val="00"/>
    <w:family w:val="swiss"/>
    <w:pitch w:val="variable"/>
    <w:sig w:usb0="800000EF" w:usb1="5000204A" w:usb2="00000000" w:usb3="00000000" w:csb0="00000093"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TKaiti">
    <w:altName w:val="华文楷体"/>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63" w:name="_Hlk72490679"/>
  <w:bookmarkStart w:id="964" w:name="_Hlk72490680"/>
  <w:bookmarkStart w:id="965" w:name="_Hlk72490720"/>
  <w:bookmarkStart w:id="966" w:name="_Hlk72490721"/>
  <w:p w14:paraId="78252BE0" w14:textId="61A2B922" w:rsidR="00A100EC" w:rsidRPr="008A1B23" w:rsidRDefault="00A100EC" w:rsidP="005D02F0">
    <w:pPr>
      <w:pStyle w:val="Footer"/>
      <w:rPr>
        <w:color w:val="F2F2F2" w:themeColor="background1" w:themeShade="F2"/>
        <w:lang w:val="fr-FR"/>
      </w:rPr>
    </w:pPr>
    <w:r w:rsidRPr="008A1B23">
      <w:rPr>
        <w:color w:val="F2F2F2" w:themeColor="background1" w:themeShade="F2"/>
      </w:rPr>
      <w:fldChar w:fldCharType="begin"/>
    </w:r>
    <w:r w:rsidRPr="008A1B23">
      <w:rPr>
        <w:color w:val="F2F2F2" w:themeColor="background1" w:themeShade="F2"/>
        <w:lang w:val="fr-FR"/>
      </w:rPr>
      <w:instrText xml:space="preserve"> FILENAME \p  \* MERGEFORMAT </w:instrText>
    </w:r>
    <w:r w:rsidRPr="008A1B23">
      <w:rPr>
        <w:color w:val="F2F2F2" w:themeColor="background1" w:themeShade="F2"/>
      </w:rPr>
      <w:fldChar w:fldCharType="separate"/>
    </w:r>
    <w:r w:rsidRPr="008A1B23">
      <w:rPr>
        <w:color w:val="F2F2F2" w:themeColor="background1" w:themeShade="F2"/>
        <w:lang w:val="fr-FR"/>
      </w:rPr>
      <w:t>P:\CHI\SG\CONSEIL\C21\000\042C.docx</w:t>
    </w:r>
    <w:r w:rsidRPr="008A1B23">
      <w:rPr>
        <w:color w:val="F2F2F2" w:themeColor="background1" w:themeShade="F2"/>
      </w:rPr>
      <w:fldChar w:fldCharType="end"/>
    </w:r>
    <w:r w:rsidRPr="008A1B23">
      <w:rPr>
        <w:color w:val="F2F2F2" w:themeColor="background1" w:themeShade="F2"/>
        <w:lang w:val="fr-FR"/>
      </w:rPr>
      <w:t xml:space="preserve"> (483238)</w:t>
    </w:r>
    <w:bookmarkEnd w:id="963"/>
    <w:bookmarkEnd w:id="964"/>
    <w:bookmarkEnd w:id="965"/>
    <w:bookmarkEnd w:id="966"/>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77BCC" w14:textId="41F47953" w:rsidR="00A100EC" w:rsidRPr="00CF028B" w:rsidRDefault="00A100EC" w:rsidP="00CF028B">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624EC" w14:textId="783E9FFF" w:rsidR="00A100EC" w:rsidRPr="008A1B23" w:rsidRDefault="00A100EC" w:rsidP="005D02F0">
    <w:pPr>
      <w:pStyle w:val="Footer"/>
      <w:rPr>
        <w:color w:val="F2F2F2" w:themeColor="background1" w:themeShade="F2"/>
        <w:lang w:val="fr-FR"/>
      </w:rPr>
    </w:pPr>
    <w:r w:rsidRPr="008A1B23">
      <w:rPr>
        <w:color w:val="F2F2F2" w:themeColor="background1" w:themeShade="F2"/>
      </w:rPr>
      <w:fldChar w:fldCharType="begin"/>
    </w:r>
    <w:r w:rsidRPr="008A1B23">
      <w:rPr>
        <w:color w:val="F2F2F2" w:themeColor="background1" w:themeShade="F2"/>
        <w:lang w:val="fr-FR"/>
      </w:rPr>
      <w:instrText xml:space="preserve"> FILENAME \p  \* MERGEFORMAT </w:instrText>
    </w:r>
    <w:r w:rsidRPr="008A1B23">
      <w:rPr>
        <w:color w:val="F2F2F2" w:themeColor="background1" w:themeShade="F2"/>
      </w:rPr>
      <w:fldChar w:fldCharType="separate"/>
    </w:r>
    <w:r w:rsidRPr="008A1B23">
      <w:rPr>
        <w:color w:val="F2F2F2" w:themeColor="background1" w:themeShade="F2"/>
        <w:lang w:val="fr-FR"/>
      </w:rPr>
      <w:t>P:\CHI\SG\CONSEIL\C21\000\042C.docx</w:t>
    </w:r>
    <w:r w:rsidRPr="008A1B23">
      <w:rPr>
        <w:color w:val="F2F2F2" w:themeColor="background1" w:themeShade="F2"/>
      </w:rPr>
      <w:fldChar w:fldCharType="end"/>
    </w:r>
    <w:r w:rsidRPr="008A1B23">
      <w:rPr>
        <w:color w:val="F2F2F2" w:themeColor="background1" w:themeShade="F2"/>
        <w:lang w:val="fr-FR"/>
      </w:rPr>
      <w:t xml:space="preserve"> (483238)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DDF66" w14:textId="6C56EB11" w:rsidR="00A100EC" w:rsidRPr="008A1B23" w:rsidRDefault="00A100EC" w:rsidP="00141BAA">
    <w:pPr>
      <w:pStyle w:val="Footer"/>
      <w:rPr>
        <w:color w:val="F2F2F2" w:themeColor="background1" w:themeShade="F2"/>
        <w:lang w:val="fr-FR"/>
      </w:rPr>
    </w:pPr>
    <w:r w:rsidRPr="008A1B23">
      <w:rPr>
        <w:color w:val="F2F2F2" w:themeColor="background1" w:themeShade="F2"/>
      </w:rPr>
      <w:fldChar w:fldCharType="begin"/>
    </w:r>
    <w:r w:rsidRPr="008A1B23">
      <w:rPr>
        <w:color w:val="F2F2F2" w:themeColor="background1" w:themeShade="F2"/>
        <w:lang w:val="fr-FR"/>
      </w:rPr>
      <w:instrText xml:space="preserve"> FILENAME \p  \* MERGEFORMAT </w:instrText>
    </w:r>
    <w:r w:rsidRPr="008A1B23">
      <w:rPr>
        <w:color w:val="F2F2F2" w:themeColor="background1" w:themeShade="F2"/>
      </w:rPr>
      <w:fldChar w:fldCharType="separate"/>
    </w:r>
    <w:r w:rsidRPr="008A1B23">
      <w:rPr>
        <w:color w:val="F2F2F2" w:themeColor="background1" w:themeShade="F2"/>
        <w:lang w:val="fr-FR"/>
      </w:rPr>
      <w:t>P:\CHI\SG\CONSEIL\C21\000\042C.docx</w:t>
    </w:r>
    <w:r w:rsidRPr="008A1B23">
      <w:rPr>
        <w:color w:val="F2F2F2" w:themeColor="background1" w:themeShade="F2"/>
      </w:rPr>
      <w:fldChar w:fldCharType="end"/>
    </w:r>
    <w:r w:rsidRPr="008A1B23">
      <w:rPr>
        <w:color w:val="F2F2F2" w:themeColor="background1" w:themeShade="F2"/>
        <w:lang w:val="fr-FR"/>
      </w:rPr>
      <w:t xml:space="preserve"> (483238)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4D688" w14:textId="05AAF467" w:rsidR="00A100EC" w:rsidRPr="008A1B23" w:rsidRDefault="00A100EC" w:rsidP="00141BAA">
    <w:pPr>
      <w:pStyle w:val="Footer"/>
      <w:rPr>
        <w:color w:val="F2F2F2" w:themeColor="background1" w:themeShade="F2"/>
        <w:lang w:val="fr-FR"/>
      </w:rPr>
    </w:pPr>
    <w:r w:rsidRPr="008A1B23">
      <w:rPr>
        <w:color w:val="F2F2F2" w:themeColor="background1" w:themeShade="F2"/>
      </w:rPr>
      <w:fldChar w:fldCharType="begin"/>
    </w:r>
    <w:r w:rsidRPr="008A1B23">
      <w:rPr>
        <w:color w:val="F2F2F2" w:themeColor="background1" w:themeShade="F2"/>
        <w:lang w:val="fr-FR"/>
      </w:rPr>
      <w:instrText xml:space="preserve"> FILENAME \p  \* MERGEFORMAT </w:instrText>
    </w:r>
    <w:r w:rsidRPr="008A1B23">
      <w:rPr>
        <w:color w:val="F2F2F2" w:themeColor="background1" w:themeShade="F2"/>
      </w:rPr>
      <w:fldChar w:fldCharType="separate"/>
    </w:r>
    <w:r w:rsidRPr="008A1B23">
      <w:rPr>
        <w:color w:val="F2F2F2" w:themeColor="background1" w:themeShade="F2"/>
        <w:lang w:val="fr-FR"/>
      </w:rPr>
      <w:t>P:\CHI\SG\CONSEIL\C21\000\042C.docx</w:t>
    </w:r>
    <w:r w:rsidRPr="008A1B23">
      <w:rPr>
        <w:color w:val="F2F2F2" w:themeColor="background1" w:themeShade="F2"/>
      </w:rPr>
      <w:fldChar w:fldCharType="end"/>
    </w:r>
    <w:r w:rsidRPr="008A1B23">
      <w:rPr>
        <w:color w:val="F2F2F2" w:themeColor="background1" w:themeShade="F2"/>
        <w:lang w:val="fr-FR"/>
      </w:rPr>
      <w:t xml:space="preserve"> (483238)</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9AB84" w14:textId="253D58B6" w:rsidR="00A100EC" w:rsidRPr="008A1B23" w:rsidRDefault="00A100EC" w:rsidP="00141BAA">
    <w:pPr>
      <w:pStyle w:val="Footer"/>
      <w:rPr>
        <w:color w:val="F2F2F2" w:themeColor="background1" w:themeShade="F2"/>
        <w:lang w:val="fr-FR"/>
      </w:rPr>
    </w:pPr>
    <w:r w:rsidRPr="008A1B23">
      <w:rPr>
        <w:color w:val="F2F2F2" w:themeColor="background1" w:themeShade="F2"/>
      </w:rPr>
      <w:fldChar w:fldCharType="begin"/>
    </w:r>
    <w:r w:rsidRPr="008A1B23">
      <w:rPr>
        <w:color w:val="F2F2F2" w:themeColor="background1" w:themeShade="F2"/>
        <w:lang w:val="fr-FR"/>
      </w:rPr>
      <w:instrText xml:space="preserve"> FILENAME \p  \* MERGEFORMAT </w:instrText>
    </w:r>
    <w:r w:rsidRPr="008A1B23">
      <w:rPr>
        <w:color w:val="F2F2F2" w:themeColor="background1" w:themeShade="F2"/>
      </w:rPr>
      <w:fldChar w:fldCharType="separate"/>
    </w:r>
    <w:r w:rsidRPr="008A1B23">
      <w:rPr>
        <w:color w:val="F2F2F2" w:themeColor="background1" w:themeShade="F2"/>
        <w:lang w:val="fr-FR"/>
      </w:rPr>
      <w:t>P:\CHI\SG\CONSEIL\C21\000\042C.docx</w:t>
    </w:r>
    <w:r w:rsidRPr="008A1B23">
      <w:rPr>
        <w:color w:val="F2F2F2" w:themeColor="background1" w:themeShade="F2"/>
      </w:rPr>
      <w:fldChar w:fldCharType="end"/>
    </w:r>
    <w:r w:rsidRPr="008A1B23">
      <w:rPr>
        <w:color w:val="F2F2F2" w:themeColor="background1" w:themeShade="F2"/>
        <w:lang w:val="fr-FR"/>
      </w:rPr>
      <w:t xml:space="preserve"> (483238)</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761E3" w14:textId="75EE08AC" w:rsidR="00A100EC" w:rsidRPr="008A1B23" w:rsidRDefault="00A100EC" w:rsidP="00141BAA">
    <w:pPr>
      <w:pStyle w:val="Footer"/>
      <w:rPr>
        <w:color w:val="F2F2F2" w:themeColor="background1" w:themeShade="F2"/>
        <w:lang w:val="fr-FR"/>
      </w:rPr>
    </w:pPr>
    <w:r w:rsidRPr="008A1B23">
      <w:rPr>
        <w:color w:val="F2F2F2" w:themeColor="background1" w:themeShade="F2"/>
      </w:rPr>
      <w:fldChar w:fldCharType="begin"/>
    </w:r>
    <w:r w:rsidRPr="008A1B23">
      <w:rPr>
        <w:color w:val="F2F2F2" w:themeColor="background1" w:themeShade="F2"/>
        <w:lang w:val="fr-FR"/>
      </w:rPr>
      <w:instrText xml:space="preserve"> FILENAME \p  \* MERGEFORMAT </w:instrText>
    </w:r>
    <w:r w:rsidRPr="008A1B23">
      <w:rPr>
        <w:color w:val="F2F2F2" w:themeColor="background1" w:themeShade="F2"/>
      </w:rPr>
      <w:fldChar w:fldCharType="separate"/>
    </w:r>
    <w:r w:rsidRPr="008A1B23">
      <w:rPr>
        <w:color w:val="F2F2F2" w:themeColor="background1" w:themeShade="F2"/>
        <w:lang w:val="fr-FR"/>
      </w:rPr>
      <w:t>P:\CHI\SG\CONSEIL\C21\000\042C.docx</w:t>
    </w:r>
    <w:r w:rsidRPr="008A1B23">
      <w:rPr>
        <w:color w:val="F2F2F2" w:themeColor="background1" w:themeShade="F2"/>
      </w:rPr>
      <w:fldChar w:fldCharType="end"/>
    </w:r>
    <w:r w:rsidRPr="008A1B23">
      <w:rPr>
        <w:color w:val="F2F2F2" w:themeColor="background1" w:themeShade="F2"/>
        <w:lang w:val="fr-FR"/>
      </w:rPr>
      <w:t xml:space="preserve"> (483238)</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FD888" w14:textId="7EDDF043" w:rsidR="00A100EC" w:rsidRPr="008A1B23" w:rsidRDefault="00A100EC">
    <w:pPr>
      <w:pStyle w:val="Footer"/>
      <w:rPr>
        <w:color w:val="F2F2F2" w:themeColor="background1" w:themeShade="F2"/>
        <w:lang w:val="fr-CH"/>
      </w:rPr>
    </w:pPr>
    <w:r w:rsidRPr="008A1B23">
      <w:rPr>
        <w:color w:val="F2F2F2" w:themeColor="background1" w:themeShade="F2"/>
      </w:rPr>
      <w:fldChar w:fldCharType="begin"/>
    </w:r>
    <w:r w:rsidRPr="008A1B23">
      <w:rPr>
        <w:color w:val="F2F2F2" w:themeColor="background1" w:themeShade="F2"/>
        <w:lang w:val="fr-FR"/>
      </w:rPr>
      <w:instrText xml:space="preserve"> FILENAME \p  \* MERGEFORMAT </w:instrText>
    </w:r>
    <w:r w:rsidRPr="008A1B23">
      <w:rPr>
        <w:color w:val="F2F2F2" w:themeColor="background1" w:themeShade="F2"/>
      </w:rPr>
      <w:fldChar w:fldCharType="separate"/>
    </w:r>
    <w:r w:rsidRPr="008A1B23">
      <w:rPr>
        <w:color w:val="F2F2F2" w:themeColor="background1" w:themeShade="F2"/>
        <w:lang w:val="fr-FR"/>
      </w:rPr>
      <w:t>P:\CHI\SG\CONSEIL\C21\000\042C.docx</w:t>
    </w:r>
    <w:r w:rsidRPr="008A1B23">
      <w:rPr>
        <w:color w:val="F2F2F2" w:themeColor="background1" w:themeShade="F2"/>
      </w:rPr>
      <w:fldChar w:fldCharType="end"/>
    </w:r>
    <w:r w:rsidRPr="008A1B23">
      <w:rPr>
        <w:color w:val="F2F2F2" w:themeColor="background1" w:themeShade="F2"/>
        <w:lang w:val="fr-CH"/>
      </w:rPr>
      <w:t xml:space="preserve"> (483238)</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8183A" w14:textId="5A3D5C95" w:rsidR="00A100EC" w:rsidRPr="008A1B23" w:rsidRDefault="00A100EC" w:rsidP="00686EC7">
    <w:pPr>
      <w:pStyle w:val="Footer"/>
      <w:rPr>
        <w:color w:val="F2F2F2" w:themeColor="background1" w:themeShade="F2"/>
        <w:lang w:val="fr-FR"/>
      </w:rPr>
    </w:pPr>
    <w:r w:rsidRPr="008A1B23">
      <w:rPr>
        <w:color w:val="F2F2F2" w:themeColor="background1" w:themeShade="F2"/>
      </w:rPr>
      <w:fldChar w:fldCharType="begin"/>
    </w:r>
    <w:r w:rsidRPr="008A1B23">
      <w:rPr>
        <w:color w:val="F2F2F2" w:themeColor="background1" w:themeShade="F2"/>
        <w:lang w:val="fr-FR"/>
      </w:rPr>
      <w:instrText xml:space="preserve"> FILENAME \p  \* MERGEFORMAT </w:instrText>
    </w:r>
    <w:r w:rsidRPr="008A1B23">
      <w:rPr>
        <w:color w:val="F2F2F2" w:themeColor="background1" w:themeShade="F2"/>
      </w:rPr>
      <w:fldChar w:fldCharType="separate"/>
    </w:r>
    <w:r w:rsidRPr="008A1B23">
      <w:rPr>
        <w:color w:val="F2F2F2" w:themeColor="background1" w:themeShade="F2"/>
        <w:lang w:val="fr-FR"/>
      </w:rPr>
      <w:t>P:\CHI\SG\CONSEIL\C21\000\042C.docx</w:t>
    </w:r>
    <w:r w:rsidRPr="008A1B23">
      <w:rPr>
        <w:color w:val="F2F2F2" w:themeColor="background1" w:themeShade="F2"/>
      </w:rPr>
      <w:fldChar w:fldCharType="end"/>
    </w:r>
    <w:r w:rsidRPr="008A1B23">
      <w:rPr>
        <w:color w:val="F2F2F2" w:themeColor="background1" w:themeShade="F2"/>
        <w:lang w:val="fr-FR"/>
      </w:rPr>
      <w:t xml:space="preserve"> (483238)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23608" w14:textId="77777777" w:rsidR="00A100EC" w:rsidRDefault="00A100EC">
      <w:r>
        <w:t>____________________</w:t>
      </w:r>
    </w:p>
  </w:footnote>
  <w:footnote w:type="continuationSeparator" w:id="0">
    <w:p w14:paraId="3DAEF9EE" w14:textId="77777777" w:rsidR="00A100EC" w:rsidRDefault="00A100EC">
      <w:r>
        <w:continuationSeparator/>
      </w:r>
    </w:p>
  </w:footnote>
  <w:footnote w:type="continuationNotice" w:id="1">
    <w:p w14:paraId="11B21A38" w14:textId="77777777" w:rsidR="00A100EC" w:rsidRDefault="00A100E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DBC7" w14:textId="5312A4EF" w:rsidR="00A100EC" w:rsidRDefault="00A100EC" w:rsidP="005D02F0">
    <w:pPr>
      <w:pStyle w:val="Header"/>
    </w:pPr>
    <w:r>
      <w:fldChar w:fldCharType="begin"/>
    </w:r>
    <w:r>
      <w:instrText>PAGE</w:instrText>
    </w:r>
    <w:r>
      <w:fldChar w:fldCharType="separate"/>
    </w:r>
    <w:r w:rsidR="00C00DAA">
      <w:rPr>
        <w:noProof/>
      </w:rPr>
      <w:t>58</w:t>
    </w:r>
    <w:r>
      <w:rPr>
        <w:noProof/>
      </w:rPr>
      <w:fldChar w:fldCharType="end"/>
    </w:r>
  </w:p>
  <w:p w14:paraId="0EAE30A5" w14:textId="2C5F310F" w:rsidR="00A100EC" w:rsidRDefault="00A100EC" w:rsidP="005D02F0">
    <w:pPr>
      <w:pStyle w:val="Header"/>
      <w:rPr>
        <w:lang w:eastAsia="zh-CN"/>
      </w:rPr>
    </w:pPr>
    <w:r>
      <w:t>C22/</w:t>
    </w:r>
    <w:r>
      <w:rPr>
        <w:lang w:eastAsia="zh-CN"/>
      </w:rPr>
      <w:t>42</w:t>
    </w:r>
    <w:r>
      <w:t>-C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358F2" w14:textId="17DA56C4" w:rsidR="00A100EC" w:rsidRDefault="00A100EC" w:rsidP="005D02F0">
    <w:pPr>
      <w:pStyle w:val="Header"/>
    </w:pPr>
    <w:r>
      <w:fldChar w:fldCharType="begin"/>
    </w:r>
    <w:r>
      <w:instrText>PAGE</w:instrText>
    </w:r>
    <w:r>
      <w:fldChar w:fldCharType="separate"/>
    </w:r>
    <w:r w:rsidR="00480CDF">
      <w:rPr>
        <w:noProof/>
      </w:rPr>
      <w:t>61</w:t>
    </w:r>
    <w:r>
      <w:rPr>
        <w:noProof/>
      </w:rPr>
      <w:fldChar w:fldCharType="end"/>
    </w:r>
  </w:p>
  <w:p w14:paraId="48E7F3F6" w14:textId="77777777" w:rsidR="00A100EC" w:rsidRDefault="00A100EC" w:rsidP="005D02F0">
    <w:pPr>
      <w:pStyle w:val="Header"/>
    </w:pPr>
    <w:r>
      <w:t>C21/</w:t>
    </w:r>
    <w:r>
      <w:rPr>
        <w:lang w:eastAsia="zh-CN"/>
      </w:rPr>
      <w:t>42</w:t>
    </w:r>
    <w:r>
      <w:t>-C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9CF59" w14:textId="79C74C20" w:rsidR="00A100EC" w:rsidRDefault="00A100EC" w:rsidP="00141BAA">
    <w:pPr>
      <w:pStyle w:val="Header"/>
    </w:pPr>
    <w:r>
      <w:fldChar w:fldCharType="begin"/>
    </w:r>
    <w:r>
      <w:instrText>PAGE</w:instrText>
    </w:r>
    <w:r>
      <w:fldChar w:fldCharType="separate"/>
    </w:r>
    <w:r w:rsidR="00C00DAA">
      <w:rPr>
        <w:noProof/>
      </w:rPr>
      <w:t>75</w:t>
    </w:r>
    <w:r>
      <w:rPr>
        <w:noProof/>
      </w:rPr>
      <w:fldChar w:fldCharType="end"/>
    </w:r>
  </w:p>
  <w:p w14:paraId="23247036" w14:textId="77777777" w:rsidR="00A100EC" w:rsidRDefault="00A100EC">
    <w:pPr>
      <w:pStyle w:val="Header"/>
    </w:pPr>
    <w:r>
      <w:t>C21/</w:t>
    </w:r>
    <w:r>
      <w:rPr>
        <w:lang w:eastAsia="zh-CN"/>
      </w:rPr>
      <w:t>42</w:t>
    </w:r>
    <w:r>
      <w:t>-C</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25BD4" w14:textId="54C8315B" w:rsidR="00A100EC" w:rsidRDefault="00A100EC" w:rsidP="00141BAA">
    <w:pPr>
      <w:pStyle w:val="Header"/>
    </w:pPr>
    <w:r>
      <w:fldChar w:fldCharType="begin"/>
    </w:r>
    <w:r>
      <w:instrText>PAGE</w:instrText>
    </w:r>
    <w:r>
      <w:fldChar w:fldCharType="separate"/>
    </w:r>
    <w:r w:rsidR="00480CDF">
      <w:rPr>
        <w:noProof/>
      </w:rPr>
      <w:t>100</w:t>
    </w:r>
    <w:r>
      <w:rPr>
        <w:noProof/>
      </w:rPr>
      <w:fldChar w:fldCharType="end"/>
    </w:r>
  </w:p>
  <w:p w14:paraId="68498E88" w14:textId="77777777" w:rsidR="00A100EC" w:rsidRDefault="00A100EC" w:rsidP="00141BAA">
    <w:pPr>
      <w:pStyle w:val="Header"/>
    </w:pPr>
    <w:r>
      <w:t>C2</w:t>
    </w:r>
    <w:r>
      <w:rPr>
        <w:rFonts w:hint="eastAsia"/>
        <w:lang w:eastAsia="zh-CN"/>
      </w:rPr>
      <w:t>1</w:t>
    </w:r>
    <w:r>
      <w:t>/</w:t>
    </w:r>
    <w:r>
      <w:rPr>
        <w:lang w:eastAsia="zh-CN"/>
      </w:rPr>
      <w:t>42</w:t>
    </w:r>
    <w:r>
      <w:rPr>
        <w:rFonts w:hint="eastAsia"/>
        <w:lang w:eastAsia="zh-CN"/>
      </w:rPr>
      <w:t>-</w:t>
    </w:r>
    <w:r>
      <w:t>C</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B340" w14:textId="7D8BFBA5" w:rsidR="00A100EC" w:rsidRDefault="00A100EC" w:rsidP="00141BAA">
    <w:pPr>
      <w:pStyle w:val="Header"/>
    </w:pPr>
    <w:r>
      <w:fldChar w:fldCharType="begin"/>
    </w:r>
    <w:r>
      <w:instrText>PAGE</w:instrText>
    </w:r>
    <w:r>
      <w:fldChar w:fldCharType="separate"/>
    </w:r>
    <w:r w:rsidR="00C00DAA">
      <w:rPr>
        <w:noProof/>
      </w:rPr>
      <w:t>101</w:t>
    </w:r>
    <w:r>
      <w:rPr>
        <w:noProof/>
      </w:rPr>
      <w:fldChar w:fldCharType="end"/>
    </w:r>
  </w:p>
  <w:p w14:paraId="141F7DDD" w14:textId="77777777" w:rsidR="00A100EC" w:rsidRPr="006E6A26" w:rsidRDefault="00A100EC" w:rsidP="00141BAA">
    <w:pPr>
      <w:pStyle w:val="Header"/>
    </w:pPr>
    <w:r>
      <w:t>C2</w:t>
    </w:r>
    <w:r>
      <w:rPr>
        <w:rFonts w:hint="eastAsia"/>
        <w:lang w:eastAsia="zh-CN"/>
      </w:rPr>
      <w:t>1</w:t>
    </w:r>
    <w:r>
      <w:t>/</w:t>
    </w:r>
    <w:r>
      <w:rPr>
        <w:lang w:eastAsia="zh-CN"/>
      </w:rPr>
      <w:t>42</w:t>
    </w:r>
    <w:r>
      <w:rPr>
        <w:rFonts w:hint="eastAsia"/>
        <w:lang w:eastAsia="zh-CN"/>
      </w:rPr>
      <w:t>-</w:t>
    </w:r>
    <w:r>
      <w:t>C</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44FA0" w14:textId="4C8CE1CB" w:rsidR="00A100EC" w:rsidRPr="00671310" w:rsidRDefault="00A100EC" w:rsidP="00671310">
    <w:pPr>
      <w:pStyle w:val="Header"/>
      <w:rPr>
        <w:lang w:val="fr-FR"/>
      </w:rPr>
    </w:pPr>
    <w:r w:rsidRPr="00671310">
      <w:rPr>
        <w:lang w:val="fr-FR"/>
      </w:rPr>
      <w:fldChar w:fldCharType="begin"/>
    </w:r>
    <w:r w:rsidRPr="00671310">
      <w:rPr>
        <w:lang w:val="fr-FR"/>
      </w:rPr>
      <w:instrText>PAGE</w:instrText>
    </w:r>
    <w:r w:rsidRPr="00671310">
      <w:rPr>
        <w:lang w:val="fr-FR"/>
      </w:rPr>
      <w:fldChar w:fldCharType="separate"/>
    </w:r>
    <w:r w:rsidR="00480CDF">
      <w:rPr>
        <w:noProof/>
        <w:lang w:val="fr-FR"/>
      </w:rPr>
      <w:t>108</w:t>
    </w:r>
    <w:r w:rsidRPr="00671310">
      <w:fldChar w:fldCharType="end"/>
    </w:r>
  </w:p>
  <w:p w14:paraId="2A90F677" w14:textId="79136716" w:rsidR="00A100EC" w:rsidRPr="00671310" w:rsidRDefault="00A100EC">
    <w:pPr>
      <w:pStyle w:val="Header"/>
      <w:rPr>
        <w:lang w:val="fr-FR"/>
      </w:rPr>
    </w:pPr>
    <w:r w:rsidRPr="00671310">
      <w:rPr>
        <w:lang w:val="fr-FR"/>
      </w:rPr>
      <w:t>C21/</w:t>
    </w:r>
    <w:r>
      <w:rPr>
        <w:lang w:val="fr-FR"/>
      </w:rPr>
      <w:t>42</w:t>
    </w:r>
    <w:r w:rsidRPr="00671310">
      <w:rPr>
        <w:lang w:val="fr-FR"/>
      </w:rP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054C3"/>
    <w:multiLevelType w:val="multilevel"/>
    <w:tmpl w:val="48BE3954"/>
    <w:lvl w:ilvl="0">
      <w:start w:val="1"/>
      <w:numFmt w:val="decimal"/>
      <w:lvlText w:val="Note %1."/>
      <w:lvlJc w:val="left"/>
      <w:pPr>
        <w:ind w:left="1134" w:hanging="113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18324E"/>
    <w:multiLevelType w:val="hybridMultilevel"/>
    <w:tmpl w:val="E71CD634"/>
    <w:lvl w:ilvl="0" w:tplc="04090001">
      <w:start w:val="1"/>
      <w:numFmt w:val="bullet"/>
      <w:lvlText w:val=""/>
      <w:lvlJc w:val="left"/>
      <w:pPr>
        <w:ind w:left="360" w:hanging="360"/>
      </w:pPr>
      <w:rPr>
        <w:rFonts w:ascii="Symbol" w:hAnsi="Symbol" w:hint="default"/>
      </w:rPr>
    </w:lvl>
    <w:lvl w:ilvl="1" w:tplc="86CCCC90">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221B4D"/>
    <w:multiLevelType w:val="hybridMultilevel"/>
    <w:tmpl w:val="FFD2A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C50783"/>
    <w:multiLevelType w:val="hybridMultilevel"/>
    <w:tmpl w:val="5052B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1F0874"/>
    <w:multiLevelType w:val="hybridMultilevel"/>
    <w:tmpl w:val="1A5E0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6"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4E6247"/>
    <w:multiLevelType w:val="multilevel"/>
    <w:tmpl w:val="23F6E536"/>
    <w:styleLink w:val="Style3"/>
    <w:lvl w:ilvl="0">
      <w:start w:val="1"/>
      <w:numFmt w:val="decimal"/>
      <w:lvlText w:val="Note %1."/>
      <w:lvlJc w:val="left"/>
      <w:pPr>
        <w:ind w:left="1418" w:hanging="141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5A94BE9"/>
    <w:multiLevelType w:val="hybridMultilevel"/>
    <w:tmpl w:val="5342697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1" w15:restartNumberingAfterBreak="0">
    <w:nsid w:val="5DD5008D"/>
    <w:multiLevelType w:val="hybridMultilevel"/>
    <w:tmpl w:val="847E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A0457E"/>
    <w:multiLevelType w:val="hybridMultilevel"/>
    <w:tmpl w:val="F12E1872"/>
    <w:lvl w:ilvl="0" w:tplc="E38E575C">
      <w:start w:val="1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23412C"/>
    <w:multiLevelType w:val="multilevel"/>
    <w:tmpl w:val="59B25D6E"/>
    <w:styleLink w:val="Style2"/>
    <w:lvl w:ilvl="0">
      <w:start w:val="1"/>
      <w:numFmt w:val="decimal"/>
      <w:lvlText w:val="Note %1."/>
      <w:lvlJc w:val="left"/>
      <w:pPr>
        <w:ind w:left="1701" w:hanging="170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FC6C25"/>
    <w:multiLevelType w:val="hybridMultilevel"/>
    <w:tmpl w:val="3782ECA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9" w15:restartNumberingAfterBreak="0">
    <w:nsid w:val="7CFE61AF"/>
    <w:multiLevelType w:val="hybridMultilevel"/>
    <w:tmpl w:val="5F54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D654DE"/>
    <w:multiLevelType w:val="hybridMultilevel"/>
    <w:tmpl w:val="3864DAF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8"/>
    <w:lvlOverride w:ilvl="0">
      <w:startOverride w:val="1"/>
    </w:lvlOverride>
  </w:num>
  <w:num w:numId="4">
    <w:abstractNumId w:val="7"/>
  </w:num>
  <w:num w:numId="5">
    <w:abstractNumId w:val="6"/>
  </w:num>
  <w:num w:numId="6">
    <w:abstractNumId w:val="5"/>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7"/>
  </w:num>
  <w:num w:numId="12">
    <w:abstractNumId w:val="26"/>
  </w:num>
  <w:num w:numId="13">
    <w:abstractNumId w:val="4"/>
  </w:num>
  <w:num w:numId="14">
    <w:abstractNumId w:val="10"/>
  </w:num>
  <w:num w:numId="15">
    <w:abstractNumId w:val="13"/>
  </w:num>
  <w:num w:numId="16">
    <w:abstractNumId w:val="12"/>
  </w:num>
  <w:num w:numId="17">
    <w:abstractNumId w:val="14"/>
  </w:num>
  <w:num w:numId="18">
    <w:abstractNumId w:val="21"/>
  </w:num>
  <w:num w:numId="19">
    <w:abstractNumId w:val="29"/>
  </w:num>
  <w:num w:numId="20">
    <w:abstractNumId w:val="11"/>
  </w:num>
  <w:num w:numId="21">
    <w:abstractNumId w:val="28"/>
  </w:num>
  <w:num w:numId="22">
    <w:abstractNumId w:val="30"/>
  </w:num>
  <w:num w:numId="23">
    <w:abstractNumId w:val="20"/>
  </w:num>
  <w:num w:numId="24">
    <w:abstractNumId w:val="22"/>
  </w:num>
  <w:num w:numId="25">
    <w:abstractNumId w:val="15"/>
  </w:num>
  <w:num w:numId="26">
    <w:abstractNumId w:val="9"/>
  </w:num>
  <w:num w:numId="27">
    <w:abstractNumId w:val="18"/>
  </w:num>
  <w:num w:numId="28">
    <w:abstractNumId w:val="19"/>
  </w:num>
  <w:num w:numId="29">
    <w:abstractNumId w:val="24"/>
  </w:num>
  <w:num w:numId="30">
    <w:abstractNumId w:val="27"/>
  </w:num>
  <w:num w:numId="31">
    <w:abstractNumId w:val="25"/>
  </w:num>
  <w:num w:numId="3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hideSpellingError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s-E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4"/>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3A"/>
    <w:rsid w:val="00000316"/>
    <w:rsid w:val="0000034A"/>
    <w:rsid w:val="00000F22"/>
    <w:rsid w:val="00000F4E"/>
    <w:rsid w:val="0000145D"/>
    <w:rsid w:val="00001E2A"/>
    <w:rsid w:val="0000231C"/>
    <w:rsid w:val="000023CF"/>
    <w:rsid w:val="00002A6A"/>
    <w:rsid w:val="00002F47"/>
    <w:rsid w:val="000030C7"/>
    <w:rsid w:val="00003231"/>
    <w:rsid w:val="00003385"/>
    <w:rsid w:val="000035AD"/>
    <w:rsid w:val="00003604"/>
    <w:rsid w:val="0000441F"/>
    <w:rsid w:val="00004716"/>
    <w:rsid w:val="000048DE"/>
    <w:rsid w:val="0000519D"/>
    <w:rsid w:val="00005567"/>
    <w:rsid w:val="000057EB"/>
    <w:rsid w:val="000058E9"/>
    <w:rsid w:val="00006047"/>
    <w:rsid w:val="00006360"/>
    <w:rsid w:val="000064A3"/>
    <w:rsid w:val="00006D78"/>
    <w:rsid w:val="00007059"/>
    <w:rsid w:val="00007237"/>
    <w:rsid w:val="00007623"/>
    <w:rsid w:val="00007C90"/>
    <w:rsid w:val="00007DE0"/>
    <w:rsid w:val="000101B2"/>
    <w:rsid w:val="0001022D"/>
    <w:rsid w:val="00010470"/>
    <w:rsid w:val="000107D0"/>
    <w:rsid w:val="00010F28"/>
    <w:rsid w:val="00011770"/>
    <w:rsid w:val="00011DD9"/>
    <w:rsid w:val="000121F2"/>
    <w:rsid w:val="000122F4"/>
    <w:rsid w:val="00012800"/>
    <w:rsid w:val="000129E1"/>
    <w:rsid w:val="00012E08"/>
    <w:rsid w:val="000131DC"/>
    <w:rsid w:val="0001347D"/>
    <w:rsid w:val="00013557"/>
    <w:rsid w:val="00014050"/>
    <w:rsid w:val="000144D1"/>
    <w:rsid w:val="00014CFD"/>
    <w:rsid w:val="0001527A"/>
    <w:rsid w:val="0001593F"/>
    <w:rsid w:val="000160FC"/>
    <w:rsid w:val="000164C0"/>
    <w:rsid w:val="00016646"/>
    <w:rsid w:val="00016864"/>
    <w:rsid w:val="00016ACA"/>
    <w:rsid w:val="00017338"/>
    <w:rsid w:val="00017A10"/>
    <w:rsid w:val="00017A86"/>
    <w:rsid w:val="00017E95"/>
    <w:rsid w:val="00017FE2"/>
    <w:rsid w:val="00020379"/>
    <w:rsid w:val="000209BE"/>
    <w:rsid w:val="00020FFC"/>
    <w:rsid w:val="0002150F"/>
    <w:rsid w:val="0002174A"/>
    <w:rsid w:val="000219D0"/>
    <w:rsid w:val="00021C50"/>
    <w:rsid w:val="00023B58"/>
    <w:rsid w:val="00023B7F"/>
    <w:rsid w:val="00023E34"/>
    <w:rsid w:val="00023E3A"/>
    <w:rsid w:val="0002495B"/>
    <w:rsid w:val="00024C30"/>
    <w:rsid w:val="00024C3D"/>
    <w:rsid w:val="00025236"/>
    <w:rsid w:val="000253DE"/>
    <w:rsid w:val="00025E7E"/>
    <w:rsid w:val="000261EA"/>
    <w:rsid w:val="000267BA"/>
    <w:rsid w:val="000269FB"/>
    <w:rsid w:val="00026C1B"/>
    <w:rsid w:val="00026D70"/>
    <w:rsid w:val="00026F0C"/>
    <w:rsid w:val="00026FD5"/>
    <w:rsid w:val="0002718D"/>
    <w:rsid w:val="0002725C"/>
    <w:rsid w:val="000272E7"/>
    <w:rsid w:val="0002763A"/>
    <w:rsid w:val="00027A1B"/>
    <w:rsid w:val="00027FE6"/>
    <w:rsid w:val="00030950"/>
    <w:rsid w:val="00030985"/>
    <w:rsid w:val="00030A07"/>
    <w:rsid w:val="00030B60"/>
    <w:rsid w:val="00031036"/>
    <w:rsid w:val="00031055"/>
    <w:rsid w:val="000310BD"/>
    <w:rsid w:val="00031250"/>
    <w:rsid w:val="00031853"/>
    <w:rsid w:val="00031C08"/>
    <w:rsid w:val="00031F42"/>
    <w:rsid w:val="00031FC9"/>
    <w:rsid w:val="000328AA"/>
    <w:rsid w:val="000329E0"/>
    <w:rsid w:val="00032AFD"/>
    <w:rsid w:val="00032E50"/>
    <w:rsid w:val="0003310F"/>
    <w:rsid w:val="00033ADB"/>
    <w:rsid w:val="0003422E"/>
    <w:rsid w:val="00034580"/>
    <w:rsid w:val="00034CDD"/>
    <w:rsid w:val="00035625"/>
    <w:rsid w:val="0003593F"/>
    <w:rsid w:val="00035C3C"/>
    <w:rsid w:val="00035CC0"/>
    <w:rsid w:val="00036345"/>
    <w:rsid w:val="000366D6"/>
    <w:rsid w:val="00036C1A"/>
    <w:rsid w:val="00037126"/>
    <w:rsid w:val="000375BC"/>
    <w:rsid w:val="0003780D"/>
    <w:rsid w:val="00037B59"/>
    <w:rsid w:val="00037E97"/>
    <w:rsid w:val="000400CB"/>
    <w:rsid w:val="000404E5"/>
    <w:rsid w:val="00040BEE"/>
    <w:rsid w:val="00041286"/>
    <w:rsid w:val="00041613"/>
    <w:rsid w:val="0004198C"/>
    <w:rsid w:val="00042672"/>
    <w:rsid w:val="00042DB1"/>
    <w:rsid w:val="0004364D"/>
    <w:rsid w:val="000438C1"/>
    <w:rsid w:val="00043BAD"/>
    <w:rsid w:val="00043E76"/>
    <w:rsid w:val="000441E5"/>
    <w:rsid w:val="00044652"/>
    <w:rsid w:val="00044F18"/>
    <w:rsid w:val="00045558"/>
    <w:rsid w:val="00045580"/>
    <w:rsid w:val="0004612D"/>
    <w:rsid w:val="0004686A"/>
    <w:rsid w:val="000469A9"/>
    <w:rsid w:val="00047036"/>
    <w:rsid w:val="0004773A"/>
    <w:rsid w:val="00047B6A"/>
    <w:rsid w:val="00047CBF"/>
    <w:rsid w:val="0005027A"/>
    <w:rsid w:val="00050D8B"/>
    <w:rsid w:val="0005128E"/>
    <w:rsid w:val="000517FE"/>
    <w:rsid w:val="0005188C"/>
    <w:rsid w:val="00051DEF"/>
    <w:rsid w:val="00051DF9"/>
    <w:rsid w:val="00051F22"/>
    <w:rsid w:val="00052258"/>
    <w:rsid w:val="000526D3"/>
    <w:rsid w:val="00052741"/>
    <w:rsid w:val="0005295D"/>
    <w:rsid w:val="00052E7D"/>
    <w:rsid w:val="00052E82"/>
    <w:rsid w:val="000536EE"/>
    <w:rsid w:val="00054185"/>
    <w:rsid w:val="00054ED6"/>
    <w:rsid w:val="00055095"/>
    <w:rsid w:val="0005517C"/>
    <w:rsid w:val="000552CF"/>
    <w:rsid w:val="000558EA"/>
    <w:rsid w:val="0005594B"/>
    <w:rsid w:val="00055B07"/>
    <w:rsid w:val="00055DB4"/>
    <w:rsid w:val="00056474"/>
    <w:rsid w:val="000567C2"/>
    <w:rsid w:val="00056C6D"/>
    <w:rsid w:val="00056E64"/>
    <w:rsid w:val="000572A5"/>
    <w:rsid w:val="0005747F"/>
    <w:rsid w:val="000575B0"/>
    <w:rsid w:val="000576B2"/>
    <w:rsid w:val="00057918"/>
    <w:rsid w:val="00057B81"/>
    <w:rsid w:val="00057E5B"/>
    <w:rsid w:val="000601BB"/>
    <w:rsid w:val="00060B07"/>
    <w:rsid w:val="00060C69"/>
    <w:rsid w:val="000619B5"/>
    <w:rsid w:val="0006298F"/>
    <w:rsid w:val="00062A4B"/>
    <w:rsid w:val="00063016"/>
    <w:rsid w:val="0006353A"/>
    <w:rsid w:val="000637A1"/>
    <w:rsid w:val="000638E2"/>
    <w:rsid w:val="00063B70"/>
    <w:rsid w:val="00063D3A"/>
    <w:rsid w:val="0006469C"/>
    <w:rsid w:val="000646CD"/>
    <w:rsid w:val="00064B78"/>
    <w:rsid w:val="00064D23"/>
    <w:rsid w:val="000654A6"/>
    <w:rsid w:val="000655C2"/>
    <w:rsid w:val="000668E5"/>
    <w:rsid w:val="000670EF"/>
    <w:rsid w:val="0006748A"/>
    <w:rsid w:val="0006785E"/>
    <w:rsid w:val="00067BEC"/>
    <w:rsid w:val="00070018"/>
    <w:rsid w:val="0007008D"/>
    <w:rsid w:val="000700CF"/>
    <w:rsid w:val="00071109"/>
    <w:rsid w:val="000711B5"/>
    <w:rsid w:val="00071CB4"/>
    <w:rsid w:val="00071E13"/>
    <w:rsid w:val="00072486"/>
    <w:rsid w:val="00072842"/>
    <w:rsid w:val="00073094"/>
    <w:rsid w:val="0007311E"/>
    <w:rsid w:val="00073504"/>
    <w:rsid w:val="00073540"/>
    <w:rsid w:val="00073B1A"/>
    <w:rsid w:val="00074F8B"/>
    <w:rsid w:val="0007677D"/>
    <w:rsid w:val="00076AF6"/>
    <w:rsid w:val="00076BA4"/>
    <w:rsid w:val="00076BD9"/>
    <w:rsid w:val="00076D29"/>
    <w:rsid w:val="00076E97"/>
    <w:rsid w:val="00076F5E"/>
    <w:rsid w:val="000772B8"/>
    <w:rsid w:val="000777AD"/>
    <w:rsid w:val="00077949"/>
    <w:rsid w:val="00077DA4"/>
    <w:rsid w:val="00080AA7"/>
    <w:rsid w:val="00080E3A"/>
    <w:rsid w:val="00080FFB"/>
    <w:rsid w:val="00081388"/>
    <w:rsid w:val="0008158D"/>
    <w:rsid w:val="00081A0A"/>
    <w:rsid w:val="00083075"/>
    <w:rsid w:val="000837F8"/>
    <w:rsid w:val="00083FDC"/>
    <w:rsid w:val="00084365"/>
    <w:rsid w:val="000847C2"/>
    <w:rsid w:val="00084EBD"/>
    <w:rsid w:val="000853C6"/>
    <w:rsid w:val="000854EA"/>
    <w:rsid w:val="0008578B"/>
    <w:rsid w:val="00085B3E"/>
    <w:rsid w:val="00085CF2"/>
    <w:rsid w:val="00085D2D"/>
    <w:rsid w:val="00085D97"/>
    <w:rsid w:val="00086335"/>
    <w:rsid w:val="00086951"/>
    <w:rsid w:val="00086983"/>
    <w:rsid w:val="0008710E"/>
    <w:rsid w:val="0008739D"/>
    <w:rsid w:val="00090EF1"/>
    <w:rsid w:val="00091339"/>
    <w:rsid w:val="00091827"/>
    <w:rsid w:val="000927AB"/>
    <w:rsid w:val="00093031"/>
    <w:rsid w:val="0009357B"/>
    <w:rsid w:val="0009399A"/>
    <w:rsid w:val="000943A1"/>
    <w:rsid w:val="00094519"/>
    <w:rsid w:val="000956FB"/>
    <w:rsid w:val="00095828"/>
    <w:rsid w:val="000963B5"/>
    <w:rsid w:val="00096DB6"/>
    <w:rsid w:val="00096DD0"/>
    <w:rsid w:val="000970C5"/>
    <w:rsid w:val="00097483"/>
    <w:rsid w:val="00097791"/>
    <w:rsid w:val="000977A5"/>
    <w:rsid w:val="00097FA9"/>
    <w:rsid w:val="000A039E"/>
    <w:rsid w:val="000A12B9"/>
    <w:rsid w:val="000A1858"/>
    <w:rsid w:val="000A1DAE"/>
    <w:rsid w:val="000A25CF"/>
    <w:rsid w:val="000A304A"/>
    <w:rsid w:val="000A3546"/>
    <w:rsid w:val="000A370B"/>
    <w:rsid w:val="000A4004"/>
    <w:rsid w:val="000A4526"/>
    <w:rsid w:val="000A4959"/>
    <w:rsid w:val="000A4A07"/>
    <w:rsid w:val="000A4D7A"/>
    <w:rsid w:val="000A510A"/>
    <w:rsid w:val="000A5565"/>
    <w:rsid w:val="000A5717"/>
    <w:rsid w:val="000A59FF"/>
    <w:rsid w:val="000A5A87"/>
    <w:rsid w:val="000A5AAD"/>
    <w:rsid w:val="000A5F7A"/>
    <w:rsid w:val="000A61AF"/>
    <w:rsid w:val="000A65A9"/>
    <w:rsid w:val="000A6669"/>
    <w:rsid w:val="000A6EEF"/>
    <w:rsid w:val="000A72CE"/>
    <w:rsid w:val="000A772A"/>
    <w:rsid w:val="000A7955"/>
    <w:rsid w:val="000B0105"/>
    <w:rsid w:val="000B01B2"/>
    <w:rsid w:val="000B066C"/>
    <w:rsid w:val="000B07D0"/>
    <w:rsid w:val="000B07D2"/>
    <w:rsid w:val="000B08FB"/>
    <w:rsid w:val="000B0D62"/>
    <w:rsid w:val="000B14FE"/>
    <w:rsid w:val="000B1705"/>
    <w:rsid w:val="000B17D8"/>
    <w:rsid w:val="000B1910"/>
    <w:rsid w:val="000B1C1D"/>
    <w:rsid w:val="000B1E0A"/>
    <w:rsid w:val="000B29D3"/>
    <w:rsid w:val="000B2A4E"/>
    <w:rsid w:val="000B37AD"/>
    <w:rsid w:val="000B4210"/>
    <w:rsid w:val="000B4355"/>
    <w:rsid w:val="000B4718"/>
    <w:rsid w:val="000B52FD"/>
    <w:rsid w:val="000B57C0"/>
    <w:rsid w:val="000B5814"/>
    <w:rsid w:val="000B5CC5"/>
    <w:rsid w:val="000B5DE2"/>
    <w:rsid w:val="000B600F"/>
    <w:rsid w:val="000B67FC"/>
    <w:rsid w:val="000B6C0A"/>
    <w:rsid w:val="000B7B31"/>
    <w:rsid w:val="000B7B44"/>
    <w:rsid w:val="000B7C64"/>
    <w:rsid w:val="000B7F2E"/>
    <w:rsid w:val="000B7FA9"/>
    <w:rsid w:val="000C01CC"/>
    <w:rsid w:val="000C0A67"/>
    <w:rsid w:val="000C0BA8"/>
    <w:rsid w:val="000C0E4B"/>
    <w:rsid w:val="000C10C6"/>
    <w:rsid w:val="000C1156"/>
    <w:rsid w:val="000C156A"/>
    <w:rsid w:val="000C191B"/>
    <w:rsid w:val="000C20FE"/>
    <w:rsid w:val="000C24E5"/>
    <w:rsid w:val="000C2557"/>
    <w:rsid w:val="000C2D54"/>
    <w:rsid w:val="000C372B"/>
    <w:rsid w:val="000C3A91"/>
    <w:rsid w:val="000C3C2F"/>
    <w:rsid w:val="000C484A"/>
    <w:rsid w:val="000C4E6C"/>
    <w:rsid w:val="000C50E9"/>
    <w:rsid w:val="000C52ED"/>
    <w:rsid w:val="000C5501"/>
    <w:rsid w:val="000C56B9"/>
    <w:rsid w:val="000C5D44"/>
    <w:rsid w:val="000C6300"/>
    <w:rsid w:val="000C6652"/>
    <w:rsid w:val="000C6876"/>
    <w:rsid w:val="000C6D3F"/>
    <w:rsid w:val="000C6EB7"/>
    <w:rsid w:val="000C705A"/>
    <w:rsid w:val="000C7AEF"/>
    <w:rsid w:val="000C7B24"/>
    <w:rsid w:val="000D01C6"/>
    <w:rsid w:val="000D01E6"/>
    <w:rsid w:val="000D09E0"/>
    <w:rsid w:val="000D0E36"/>
    <w:rsid w:val="000D0E63"/>
    <w:rsid w:val="000D0F63"/>
    <w:rsid w:val="000D181D"/>
    <w:rsid w:val="000D3471"/>
    <w:rsid w:val="000D35B7"/>
    <w:rsid w:val="000D369A"/>
    <w:rsid w:val="000D3893"/>
    <w:rsid w:val="000D3C40"/>
    <w:rsid w:val="000D3D0F"/>
    <w:rsid w:val="000D4435"/>
    <w:rsid w:val="000D5EEB"/>
    <w:rsid w:val="000D6073"/>
    <w:rsid w:val="000D67A3"/>
    <w:rsid w:val="000D68BA"/>
    <w:rsid w:val="000D6C1A"/>
    <w:rsid w:val="000D745E"/>
    <w:rsid w:val="000D74C7"/>
    <w:rsid w:val="000D752E"/>
    <w:rsid w:val="000D75B2"/>
    <w:rsid w:val="000D762F"/>
    <w:rsid w:val="000D7BF0"/>
    <w:rsid w:val="000D7C4D"/>
    <w:rsid w:val="000E0027"/>
    <w:rsid w:val="000E0715"/>
    <w:rsid w:val="000E079B"/>
    <w:rsid w:val="000E117A"/>
    <w:rsid w:val="000E1459"/>
    <w:rsid w:val="000E1AB5"/>
    <w:rsid w:val="000E1B73"/>
    <w:rsid w:val="000E2727"/>
    <w:rsid w:val="000E2789"/>
    <w:rsid w:val="000E27B5"/>
    <w:rsid w:val="000E2B5E"/>
    <w:rsid w:val="000E32E7"/>
    <w:rsid w:val="000E373D"/>
    <w:rsid w:val="000E3BF2"/>
    <w:rsid w:val="000E3C2D"/>
    <w:rsid w:val="000E3C95"/>
    <w:rsid w:val="000E3FD9"/>
    <w:rsid w:val="000E531A"/>
    <w:rsid w:val="000E536A"/>
    <w:rsid w:val="000E7755"/>
    <w:rsid w:val="000E7A6E"/>
    <w:rsid w:val="000E7B75"/>
    <w:rsid w:val="000E7D94"/>
    <w:rsid w:val="000F01E2"/>
    <w:rsid w:val="000F0509"/>
    <w:rsid w:val="000F0920"/>
    <w:rsid w:val="000F096E"/>
    <w:rsid w:val="000F0B22"/>
    <w:rsid w:val="000F0FF4"/>
    <w:rsid w:val="000F100B"/>
    <w:rsid w:val="000F144A"/>
    <w:rsid w:val="000F1ABC"/>
    <w:rsid w:val="000F1F01"/>
    <w:rsid w:val="000F214E"/>
    <w:rsid w:val="000F23A1"/>
    <w:rsid w:val="000F2FBB"/>
    <w:rsid w:val="000F3090"/>
    <w:rsid w:val="000F37B4"/>
    <w:rsid w:val="000F3E13"/>
    <w:rsid w:val="000F48C3"/>
    <w:rsid w:val="000F4A52"/>
    <w:rsid w:val="000F4C63"/>
    <w:rsid w:val="000F573C"/>
    <w:rsid w:val="000F59E0"/>
    <w:rsid w:val="000F5CAD"/>
    <w:rsid w:val="000F6431"/>
    <w:rsid w:val="000F7767"/>
    <w:rsid w:val="000F7C48"/>
    <w:rsid w:val="000F7D4B"/>
    <w:rsid w:val="000F7F99"/>
    <w:rsid w:val="001002AE"/>
    <w:rsid w:val="00100DD6"/>
    <w:rsid w:val="00100E44"/>
    <w:rsid w:val="0010139B"/>
    <w:rsid w:val="001013F9"/>
    <w:rsid w:val="0010152D"/>
    <w:rsid w:val="00101841"/>
    <w:rsid w:val="001018AB"/>
    <w:rsid w:val="00101A82"/>
    <w:rsid w:val="00101D46"/>
    <w:rsid w:val="00101F4B"/>
    <w:rsid w:val="00101FB9"/>
    <w:rsid w:val="001022C1"/>
    <w:rsid w:val="00102349"/>
    <w:rsid w:val="00102367"/>
    <w:rsid w:val="00102375"/>
    <w:rsid w:val="00102909"/>
    <w:rsid w:val="00102E76"/>
    <w:rsid w:val="001030D3"/>
    <w:rsid w:val="00103988"/>
    <w:rsid w:val="00103D66"/>
    <w:rsid w:val="00103E9A"/>
    <w:rsid w:val="001041D5"/>
    <w:rsid w:val="0010429A"/>
    <w:rsid w:val="001042F3"/>
    <w:rsid w:val="001043DD"/>
    <w:rsid w:val="001046A7"/>
    <w:rsid w:val="0010479A"/>
    <w:rsid w:val="00104965"/>
    <w:rsid w:val="00104A3E"/>
    <w:rsid w:val="00105904"/>
    <w:rsid w:val="00106C0D"/>
    <w:rsid w:val="00106D57"/>
    <w:rsid w:val="00106DFB"/>
    <w:rsid w:val="0010738C"/>
    <w:rsid w:val="0010743B"/>
    <w:rsid w:val="0010750A"/>
    <w:rsid w:val="00107CAD"/>
    <w:rsid w:val="00107E99"/>
    <w:rsid w:val="00110874"/>
    <w:rsid w:val="00110DB6"/>
    <w:rsid w:val="00110E1F"/>
    <w:rsid w:val="00111040"/>
    <w:rsid w:val="0011120B"/>
    <w:rsid w:val="001114BA"/>
    <w:rsid w:val="00111A74"/>
    <w:rsid w:val="00111BDD"/>
    <w:rsid w:val="00111E44"/>
    <w:rsid w:val="001121F5"/>
    <w:rsid w:val="00112515"/>
    <w:rsid w:val="00112742"/>
    <w:rsid w:val="001129E7"/>
    <w:rsid w:val="00112B74"/>
    <w:rsid w:val="00112BCF"/>
    <w:rsid w:val="001136E7"/>
    <w:rsid w:val="001137A8"/>
    <w:rsid w:val="001137C4"/>
    <w:rsid w:val="001139AF"/>
    <w:rsid w:val="00113C37"/>
    <w:rsid w:val="001141E7"/>
    <w:rsid w:val="00114765"/>
    <w:rsid w:val="00114D24"/>
    <w:rsid w:val="001151CA"/>
    <w:rsid w:val="0011568C"/>
    <w:rsid w:val="00115ABA"/>
    <w:rsid w:val="00115BA0"/>
    <w:rsid w:val="0011687A"/>
    <w:rsid w:val="001171B2"/>
    <w:rsid w:val="00117473"/>
    <w:rsid w:val="001179F2"/>
    <w:rsid w:val="00117CC8"/>
    <w:rsid w:val="00117D29"/>
    <w:rsid w:val="00117E81"/>
    <w:rsid w:val="00117F57"/>
    <w:rsid w:val="001202C7"/>
    <w:rsid w:val="00120A66"/>
    <w:rsid w:val="00120C62"/>
    <w:rsid w:val="00120D3E"/>
    <w:rsid w:val="00121088"/>
    <w:rsid w:val="001216B1"/>
    <w:rsid w:val="0012192B"/>
    <w:rsid w:val="00121D1F"/>
    <w:rsid w:val="00121D6F"/>
    <w:rsid w:val="00121E95"/>
    <w:rsid w:val="00121FC0"/>
    <w:rsid w:val="001224E6"/>
    <w:rsid w:val="00122724"/>
    <w:rsid w:val="00122725"/>
    <w:rsid w:val="00122AD8"/>
    <w:rsid w:val="00122B8A"/>
    <w:rsid w:val="00122B9A"/>
    <w:rsid w:val="001250AB"/>
    <w:rsid w:val="0012580D"/>
    <w:rsid w:val="00125A2F"/>
    <w:rsid w:val="001264B8"/>
    <w:rsid w:val="00126F56"/>
    <w:rsid w:val="00127756"/>
    <w:rsid w:val="00127825"/>
    <w:rsid w:val="00127A7E"/>
    <w:rsid w:val="00127D3C"/>
    <w:rsid w:val="00127D8B"/>
    <w:rsid w:val="00130014"/>
    <w:rsid w:val="00130406"/>
    <w:rsid w:val="001311C1"/>
    <w:rsid w:val="00132398"/>
    <w:rsid w:val="00132DFB"/>
    <w:rsid w:val="0013355D"/>
    <w:rsid w:val="0013363C"/>
    <w:rsid w:val="00133DFF"/>
    <w:rsid w:val="00133F8D"/>
    <w:rsid w:val="00133FD7"/>
    <w:rsid w:val="001343D2"/>
    <w:rsid w:val="00134657"/>
    <w:rsid w:val="00134BF2"/>
    <w:rsid w:val="0013545B"/>
    <w:rsid w:val="00135998"/>
    <w:rsid w:val="00135F5E"/>
    <w:rsid w:val="00136AF7"/>
    <w:rsid w:val="001373D1"/>
    <w:rsid w:val="00137A94"/>
    <w:rsid w:val="00137F6F"/>
    <w:rsid w:val="00140423"/>
    <w:rsid w:val="00140CAE"/>
    <w:rsid w:val="00140CE1"/>
    <w:rsid w:val="00140CE6"/>
    <w:rsid w:val="0014121B"/>
    <w:rsid w:val="0014124F"/>
    <w:rsid w:val="00141AD2"/>
    <w:rsid w:val="00141BAA"/>
    <w:rsid w:val="00142681"/>
    <w:rsid w:val="001427DD"/>
    <w:rsid w:val="001429DC"/>
    <w:rsid w:val="00142CF1"/>
    <w:rsid w:val="00143130"/>
    <w:rsid w:val="0014314E"/>
    <w:rsid w:val="00143305"/>
    <w:rsid w:val="00143615"/>
    <w:rsid w:val="00143A8A"/>
    <w:rsid w:val="001449B0"/>
    <w:rsid w:val="00144A30"/>
    <w:rsid w:val="00144CFF"/>
    <w:rsid w:val="001452AA"/>
    <w:rsid w:val="001453BA"/>
    <w:rsid w:val="00145B1C"/>
    <w:rsid w:val="00145B2E"/>
    <w:rsid w:val="00145BBE"/>
    <w:rsid w:val="00145D69"/>
    <w:rsid w:val="00145FB8"/>
    <w:rsid w:val="001463A0"/>
    <w:rsid w:val="00147240"/>
    <w:rsid w:val="00147CC2"/>
    <w:rsid w:val="00147CDA"/>
    <w:rsid w:val="00147EB6"/>
    <w:rsid w:val="00150691"/>
    <w:rsid w:val="001506CF"/>
    <w:rsid w:val="001509C2"/>
    <w:rsid w:val="00150FE0"/>
    <w:rsid w:val="00152277"/>
    <w:rsid w:val="00153705"/>
    <w:rsid w:val="00153A3C"/>
    <w:rsid w:val="00153B9C"/>
    <w:rsid w:val="00153D9C"/>
    <w:rsid w:val="00154FEB"/>
    <w:rsid w:val="0015517E"/>
    <w:rsid w:val="00155545"/>
    <w:rsid w:val="0015572D"/>
    <w:rsid w:val="0015582C"/>
    <w:rsid w:val="00155C63"/>
    <w:rsid w:val="0015612B"/>
    <w:rsid w:val="0015627A"/>
    <w:rsid w:val="0015643B"/>
    <w:rsid w:val="00157069"/>
    <w:rsid w:val="001572ED"/>
    <w:rsid w:val="001573DA"/>
    <w:rsid w:val="00157548"/>
    <w:rsid w:val="00157645"/>
    <w:rsid w:val="001577D5"/>
    <w:rsid w:val="00157DD2"/>
    <w:rsid w:val="00157ECE"/>
    <w:rsid w:val="001601FE"/>
    <w:rsid w:val="0016062E"/>
    <w:rsid w:val="00161957"/>
    <w:rsid w:val="00161F31"/>
    <w:rsid w:val="00162853"/>
    <w:rsid w:val="001631AD"/>
    <w:rsid w:val="00163310"/>
    <w:rsid w:val="00163F83"/>
    <w:rsid w:val="0016566A"/>
    <w:rsid w:val="00165788"/>
    <w:rsid w:val="00165BEF"/>
    <w:rsid w:val="00166040"/>
    <w:rsid w:val="00166147"/>
    <w:rsid w:val="00166717"/>
    <w:rsid w:val="00166AFA"/>
    <w:rsid w:val="00166F0A"/>
    <w:rsid w:val="0016746D"/>
    <w:rsid w:val="001678E2"/>
    <w:rsid w:val="00167E73"/>
    <w:rsid w:val="0017017E"/>
    <w:rsid w:val="001702E6"/>
    <w:rsid w:val="00170598"/>
    <w:rsid w:val="00170C8F"/>
    <w:rsid w:val="0017128F"/>
    <w:rsid w:val="00171543"/>
    <w:rsid w:val="0017188F"/>
    <w:rsid w:val="001718BD"/>
    <w:rsid w:val="00171BE6"/>
    <w:rsid w:val="00171C51"/>
    <w:rsid w:val="00171D37"/>
    <w:rsid w:val="001725BC"/>
    <w:rsid w:val="0017275E"/>
    <w:rsid w:val="00172D50"/>
    <w:rsid w:val="00172E99"/>
    <w:rsid w:val="00173010"/>
    <w:rsid w:val="001730F7"/>
    <w:rsid w:val="001731EC"/>
    <w:rsid w:val="00173287"/>
    <w:rsid w:val="0017363F"/>
    <w:rsid w:val="00173D7F"/>
    <w:rsid w:val="0017476D"/>
    <w:rsid w:val="00174CC9"/>
    <w:rsid w:val="00174F23"/>
    <w:rsid w:val="0017539C"/>
    <w:rsid w:val="001753D3"/>
    <w:rsid w:val="00175AC2"/>
    <w:rsid w:val="00175F39"/>
    <w:rsid w:val="0017609F"/>
    <w:rsid w:val="001762E6"/>
    <w:rsid w:val="00176614"/>
    <w:rsid w:val="0017709E"/>
    <w:rsid w:val="001770B6"/>
    <w:rsid w:val="001773E6"/>
    <w:rsid w:val="00177904"/>
    <w:rsid w:val="0018017B"/>
    <w:rsid w:val="00180ABD"/>
    <w:rsid w:val="00181704"/>
    <w:rsid w:val="00181973"/>
    <w:rsid w:val="00181EC7"/>
    <w:rsid w:val="00182450"/>
    <w:rsid w:val="00182457"/>
    <w:rsid w:val="00182F90"/>
    <w:rsid w:val="00183289"/>
    <w:rsid w:val="00183A73"/>
    <w:rsid w:val="00183E85"/>
    <w:rsid w:val="0018495A"/>
    <w:rsid w:val="0018545A"/>
    <w:rsid w:val="0018566A"/>
    <w:rsid w:val="00185A58"/>
    <w:rsid w:val="00185C60"/>
    <w:rsid w:val="00186465"/>
    <w:rsid w:val="001870B6"/>
    <w:rsid w:val="00187270"/>
    <w:rsid w:val="00187B09"/>
    <w:rsid w:val="001900EF"/>
    <w:rsid w:val="001901A1"/>
    <w:rsid w:val="001902ED"/>
    <w:rsid w:val="001905FD"/>
    <w:rsid w:val="001906A8"/>
    <w:rsid w:val="00190C86"/>
    <w:rsid w:val="001915FF"/>
    <w:rsid w:val="00191F5B"/>
    <w:rsid w:val="0019239F"/>
    <w:rsid w:val="0019302B"/>
    <w:rsid w:val="0019329D"/>
    <w:rsid w:val="00193964"/>
    <w:rsid w:val="00193AEF"/>
    <w:rsid w:val="00193D7F"/>
    <w:rsid w:val="0019414C"/>
    <w:rsid w:val="001945EA"/>
    <w:rsid w:val="001948E1"/>
    <w:rsid w:val="001949F5"/>
    <w:rsid w:val="0019503C"/>
    <w:rsid w:val="0019688C"/>
    <w:rsid w:val="00196B8F"/>
    <w:rsid w:val="00196BE1"/>
    <w:rsid w:val="001972BC"/>
    <w:rsid w:val="00197C93"/>
    <w:rsid w:val="001A030C"/>
    <w:rsid w:val="001A0500"/>
    <w:rsid w:val="001A064E"/>
    <w:rsid w:val="001A071A"/>
    <w:rsid w:val="001A0867"/>
    <w:rsid w:val="001A09AB"/>
    <w:rsid w:val="001A13C6"/>
    <w:rsid w:val="001A13F2"/>
    <w:rsid w:val="001A15FE"/>
    <w:rsid w:val="001A217C"/>
    <w:rsid w:val="001A2491"/>
    <w:rsid w:val="001A29CB"/>
    <w:rsid w:val="001A2AFC"/>
    <w:rsid w:val="001A2DD3"/>
    <w:rsid w:val="001A30FA"/>
    <w:rsid w:val="001A316A"/>
    <w:rsid w:val="001A3353"/>
    <w:rsid w:val="001A386C"/>
    <w:rsid w:val="001A4448"/>
    <w:rsid w:val="001A460C"/>
    <w:rsid w:val="001A4FE7"/>
    <w:rsid w:val="001A59E5"/>
    <w:rsid w:val="001A5D63"/>
    <w:rsid w:val="001A5E6E"/>
    <w:rsid w:val="001A62E3"/>
    <w:rsid w:val="001A6652"/>
    <w:rsid w:val="001A6694"/>
    <w:rsid w:val="001A66BA"/>
    <w:rsid w:val="001A690A"/>
    <w:rsid w:val="001A7854"/>
    <w:rsid w:val="001A7BAE"/>
    <w:rsid w:val="001A7DAA"/>
    <w:rsid w:val="001A7FEB"/>
    <w:rsid w:val="001B0422"/>
    <w:rsid w:val="001B0FA2"/>
    <w:rsid w:val="001B1109"/>
    <w:rsid w:val="001B12F4"/>
    <w:rsid w:val="001B1B7B"/>
    <w:rsid w:val="001B25AE"/>
    <w:rsid w:val="001B276A"/>
    <w:rsid w:val="001B2BA7"/>
    <w:rsid w:val="001B2BB8"/>
    <w:rsid w:val="001B2DD7"/>
    <w:rsid w:val="001B324F"/>
    <w:rsid w:val="001B36F0"/>
    <w:rsid w:val="001B3B7A"/>
    <w:rsid w:val="001B3ED9"/>
    <w:rsid w:val="001B40AC"/>
    <w:rsid w:val="001B42C1"/>
    <w:rsid w:val="001B4E72"/>
    <w:rsid w:val="001B58AF"/>
    <w:rsid w:val="001B5947"/>
    <w:rsid w:val="001B6571"/>
    <w:rsid w:val="001B68FA"/>
    <w:rsid w:val="001B6AF0"/>
    <w:rsid w:val="001B6D51"/>
    <w:rsid w:val="001B7091"/>
    <w:rsid w:val="001B7334"/>
    <w:rsid w:val="001C0566"/>
    <w:rsid w:val="001C064F"/>
    <w:rsid w:val="001C0691"/>
    <w:rsid w:val="001C0780"/>
    <w:rsid w:val="001C0D86"/>
    <w:rsid w:val="001C1407"/>
    <w:rsid w:val="001C16BA"/>
    <w:rsid w:val="001C16E5"/>
    <w:rsid w:val="001C18AE"/>
    <w:rsid w:val="001C1A00"/>
    <w:rsid w:val="001C1B8E"/>
    <w:rsid w:val="001C24A5"/>
    <w:rsid w:val="001C2713"/>
    <w:rsid w:val="001C2D49"/>
    <w:rsid w:val="001C2F60"/>
    <w:rsid w:val="001C30CA"/>
    <w:rsid w:val="001C37B5"/>
    <w:rsid w:val="001C43C2"/>
    <w:rsid w:val="001C47A1"/>
    <w:rsid w:val="001C4CD2"/>
    <w:rsid w:val="001C567E"/>
    <w:rsid w:val="001C577B"/>
    <w:rsid w:val="001C59DF"/>
    <w:rsid w:val="001C5A82"/>
    <w:rsid w:val="001C5C4E"/>
    <w:rsid w:val="001C5E82"/>
    <w:rsid w:val="001C5FC2"/>
    <w:rsid w:val="001C6080"/>
    <w:rsid w:val="001C628E"/>
    <w:rsid w:val="001C6301"/>
    <w:rsid w:val="001C63B9"/>
    <w:rsid w:val="001C656D"/>
    <w:rsid w:val="001C6CE6"/>
    <w:rsid w:val="001C745C"/>
    <w:rsid w:val="001C7678"/>
    <w:rsid w:val="001C77B1"/>
    <w:rsid w:val="001C7EE6"/>
    <w:rsid w:val="001D0638"/>
    <w:rsid w:val="001D1397"/>
    <w:rsid w:val="001D1593"/>
    <w:rsid w:val="001D1778"/>
    <w:rsid w:val="001D1A57"/>
    <w:rsid w:val="001D1F3B"/>
    <w:rsid w:val="001D2112"/>
    <w:rsid w:val="001D233F"/>
    <w:rsid w:val="001D235F"/>
    <w:rsid w:val="001D2416"/>
    <w:rsid w:val="001D2D81"/>
    <w:rsid w:val="001D2D8C"/>
    <w:rsid w:val="001D3DC0"/>
    <w:rsid w:val="001D3EA2"/>
    <w:rsid w:val="001D4B87"/>
    <w:rsid w:val="001D5100"/>
    <w:rsid w:val="001D573B"/>
    <w:rsid w:val="001D5EBC"/>
    <w:rsid w:val="001D6E9C"/>
    <w:rsid w:val="001D7052"/>
    <w:rsid w:val="001D72CD"/>
    <w:rsid w:val="001D7761"/>
    <w:rsid w:val="001D77B9"/>
    <w:rsid w:val="001D7B12"/>
    <w:rsid w:val="001D7FEB"/>
    <w:rsid w:val="001E0019"/>
    <w:rsid w:val="001E07BF"/>
    <w:rsid w:val="001E0F7B"/>
    <w:rsid w:val="001E189D"/>
    <w:rsid w:val="001E1AC1"/>
    <w:rsid w:val="001E1D65"/>
    <w:rsid w:val="001E291F"/>
    <w:rsid w:val="001E2BC4"/>
    <w:rsid w:val="001E2DC6"/>
    <w:rsid w:val="001E33F5"/>
    <w:rsid w:val="001E34A1"/>
    <w:rsid w:val="001E39EF"/>
    <w:rsid w:val="001E3B5A"/>
    <w:rsid w:val="001E3C76"/>
    <w:rsid w:val="001E3E34"/>
    <w:rsid w:val="001E4C2D"/>
    <w:rsid w:val="001E5B6F"/>
    <w:rsid w:val="001E5D0E"/>
    <w:rsid w:val="001E5F00"/>
    <w:rsid w:val="001E66E2"/>
    <w:rsid w:val="001E6BC3"/>
    <w:rsid w:val="001E6BE5"/>
    <w:rsid w:val="001E7B3F"/>
    <w:rsid w:val="001F0045"/>
    <w:rsid w:val="001F0129"/>
    <w:rsid w:val="001F0354"/>
    <w:rsid w:val="001F04DA"/>
    <w:rsid w:val="001F08C3"/>
    <w:rsid w:val="001F0A2B"/>
    <w:rsid w:val="001F0AA7"/>
    <w:rsid w:val="001F0C93"/>
    <w:rsid w:val="001F162A"/>
    <w:rsid w:val="001F2326"/>
    <w:rsid w:val="001F289E"/>
    <w:rsid w:val="001F2AEE"/>
    <w:rsid w:val="001F32BE"/>
    <w:rsid w:val="001F42C6"/>
    <w:rsid w:val="001F44E8"/>
    <w:rsid w:val="001F458B"/>
    <w:rsid w:val="001F4955"/>
    <w:rsid w:val="001F501C"/>
    <w:rsid w:val="001F52C8"/>
    <w:rsid w:val="001F5400"/>
    <w:rsid w:val="001F54A4"/>
    <w:rsid w:val="001F5D3E"/>
    <w:rsid w:val="001F611F"/>
    <w:rsid w:val="001F613A"/>
    <w:rsid w:val="001F61C9"/>
    <w:rsid w:val="001F64CA"/>
    <w:rsid w:val="001F65E2"/>
    <w:rsid w:val="001F6E8B"/>
    <w:rsid w:val="001F777E"/>
    <w:rsid w:val="0020008B"/>
    <w:rsid w:val="00200431"/>
    <w:rsid w:val="002005B0"/>
    <w:rsid w:val="00200697"/>
    <w:rsid w:val="00201A26"/>
    <w:rsid w:val="002029BD"/>
    <w:rsid w:val="00202A0A"/>
    <w:rsid w:val="002032D5"/>
    <w:rsid w:val="002038A4"/>
    <w:rsid w:val="002039FB"/>
    <w:rsid w:val="00203A5C"/>
    <w:rsid w:val="00203EA2"/>
    <w:rsid w:val="00203F0F"/>
    <w:rsid w:val="00204246"/>
    <w:rsid w:val="002042D9"/>
    <w:rsid w:val="002042FC"/>
    <w:rsid w:val="0020451C"/>
    <w:rsid w:val="0020485E"/>
    <w:rsid w:val="00204D24"/>
    <w:rsid w:val="00205267"/>
    <w:rsid w:val="00205674"/>
    <w:rsid w:val="00205768"/>
    <w:rsid w:val="002058FE"/>
    <w:rsid w:val="00206540"/>
    <w:rsid w:val="00206895"/>
    <w:rsid w:val="0020696D"/>
    <w:rsid w:val="00206B2B"/>
    <w:rsid w:val="002070E3"/>
    <w:rsid w:val="002074E5"/>
    <w:rsid w:val="0020756D"/>
    <w:rsid w:val="002102A0"/>
    <w:rsid w:val="00210C5D"/>
    <w:rsid w:val="00210C72"/>
    <w:rsid w:val="002115C7"/>
    <w:rsid w:val="002119FD"/>
    <w:rsid w:val="00211A65"/>
    <w:rsid w:val="00211FB4"/>
    <w:rsid w:val="00211FE5"/>
    <w:rsid w:val="002122C8"/>
    <w:rsid w:val="00212CAA"/>
    <w:rsid w:val="00212FA3"/>
    <w:rsid w:val="002130E0"/>
    <w:rsid w:val="002131B9"/>
    <w:rsid w:val="002131E9"/>
    <w:rsid w:val="00213A8F"/>
    <w:rsid w:val="002143A3"/>
    <w:rsid w:val="00214B9C"/>
    <w:rsid w:val="00214D9D"/>
    <w:rsid w:val="0021519A"/>
    <w:rsid w:val="002156E2"/>
    <w:rsid w:val="00215F9D"/>
    <w:rsid w:val="00216229"/>
    <w:rsid w:val="002163A6"/>
    <w:rsid w:val="0021649B"/>
    <w:rsid w:val="00216F74"/>
    <w:rsid w:val="002173A1"/>
    <w:rsid w:val="0021769C"/>
    <w:rsid w:val="0022016E"/>
    <w:rsid w:val="00220795"/>
    <w:rsid w:val="002214BA"/>
    <w:rsid w:val="00221E3D"/>
    <w:rsid w:val="00221F7F"/>
    <w:rsid w:val="002226AD"/>
    <w:rsid w:val="00222A9C"/>
    <w:rsid w:val="00222F3C"/>
    <w:rsid w:val="00223394"/>
    <w:rsid w:val="0022373A"/>
    <w:rsid w:val="00223C3F"/>
    <w:rsid w:val="00223F7C"/>
    <w:rsid w:val="00224A06"/>
    <w:rsid w:val="0022546A"/>
    <w:rsid w:val="00225690"/>
    <w:rsid w:val="00225714"/>
    <w:rsid w:val="002257A2"/>
    <w:rsid w:val="002259A6"/>
    <w:rsid w:val="00225EA2"/>
    <w:rsid w:val="00225EF3"/>
    <w:rsid w:val="00227201"/>
    <w:rsid w:val="002274EB"/>
    <w:rsid w:val="0022762F"/>
    <w:rsid w:val="002279E6"/>
    <w:rsid w:val="00227D54"/>
    <w:rsid w:val="00227E07"/>
    <w:rsid w:val="00227E6E"/>
    <w:rsid w:val="00230092"/>
    <w:rsid w:val="002300FD"/>
    <w:rsid w:val="00230AFF"/>
    <w:rsid w:val="00230FA1"/>
    <w:rsid w:val="00231437"/>
    <w:rsid w:val="00231502"/>
    <w:rsid w:val="002315B7"/>
    <w:rsid w:val="00231B1B"/>
    <w:rsid w:val="00231BCB"/>
    <w:rsid w:val="00231C39"/>
    <w:rsid w:val="00231CF2"/>
    <w:rsid w:val="00232CAE"/>
    <w:rsid w:val="00232F87"/>
    <w:rsid w:val="00233177"/>
    <w:rsid w:val="0023317A"/>
    <w:rsid w:val="00233605"/>
    <w:rsid w:val="0023376F"/>
    <w:rsid w:val="00234CF8"/>
    <w:rsid w:val="00234E5C"/>
    <w:rsid w:val="00235271"/>
    <w:rsid w:val="002352F1"/>
    <w:rsid w:val="0023560D"/>
    <w:rsid w:val="00235917"/>
    <w:rsid w:val="00235C58"/>
    <w:rsid w:val="00236397"/>
    <w:rsid w:val="0023654B"/>
    <w:rsid w:val="0023683A"/>
    <w:rsid w:val="00236F8C"/>
    <w:rsid w:val="00237BB2"/>
    <w:rsid w:val="0024091A"/>
    <w:rsid w:val="00240B92"/>
    <w:rsid w:val="00241AC1"/>
    <w:rsid w:val="00241C5E"/>
    <w:rsid w:val="00241C79"/>
    <w:rsid w:val="00241FA3"/>
    <w:rsid w:val="002422A7"/>
    <w:rsid w:val="00242F33"/>
    <w:rsid w:val="002439D2"/>
    <w:rsid w:val="0024440B"/>
    <w:rsid w:val="0024469D"/>
    <w:rsid w:val="00244AF4"/>
    <w:rsid w:val="00245A02"/>
    <w:rsid w:val="00245D8B"/>
    <w:rsid w:val="00245FBE"/>
    <w:rsid w:val="00246EA4"/>
    <w:rsid w:val="00246F81"/>
    <w:rsid w:val="00247287"/>
    <w:rsid w:val="0025003C"/>
    <w:rsid w:val="002500C6"/>
    <w:rsid w:val="002502E2"/>
    <w:rsid w:val="002506D6"/>
    <w:rsid w:val="00250AA8"/>
    <w:rsid w:val="00250CAB"/>
    <w:rsid w:val="00250F9D"/>
    <w:rsid w:val="0025138C"/>
    <w:rsid w:val="00251842"/>
    <w:rsid w:val="00251F5B"/>
    <w:rsid w:val="002525A7"/>
    <w:rsid w:val="00252A68"/>
    <w:rsid w:val="00252A75"/>
    <w:rsid w:val="00252C2A"/>
    <w:rsid w:val="002534CB"/>
    <w:rsid w:val="00253C58"/>
    <w:rsid w:val="00254224"/>
    <w:rsid w:val="002558B9"/>
    <w:rsid w:val="00255BC4"/>
    <w:rsid w:val="002560A2"/>
    <w:rsid w:val="002564F9"/>
    <w:rsid w:val="0025697D"/>
    <w:rsid w:val="00256F5B"/>
    <w:rsid w:val="002573DC"/>
    <w:rsid w:val="0026023A"/>
    <w:rsid w:val="00260AED"/>
    <w:rsid w:val="00260DDB"/>
    <w:rsid w:val="00261536"/>
    <w:rsid w:val="00261599"/>
    <w:rsid w:val="002616AC"/>
    <w:rsid w:val="00261BAD"/>
    <w:rsid w:val="00262010"/>
    <w:rsid w:val="002620D2"/>
    <w:rsid w:val="0026242F"/>
    <w:rsid w:val="00262685"/>
    <w:rsid w:val="00262A98"/>
    <w:rsid w:val="00262E0A"/>
    <w:rsid w:val="00262F02"/>
    <w:rsid w:val="00263027"/>
    <w:rsid w:val="002636E0"/>
    <w:rsid w:val="002639B7"/>
    <w:rsid w:val="00264036"/>
    <w:rsid w:val="0026425D"/>
    <w:rsid w:val="002649E9"/>
    <w:rsid w:val="0026533B"/>
    <w:rsid w:val="0026569D"/>
    <w:rsid w:val="00265875"/>
    <w:rsid w:val="00266440"/>
    <w:rsid w:val="00266A50"/>
    <w:rsid w:val="0026707C"/>
    <w:rsid w:val="0026716A"/>
    <w:rsid w:val="00267454"/>
    <w:rsid w:val="00267AD6"/>
    <w:rsid w:val="002702D4"/>
    <w:rsid w:val="00270D7A"/>
    <w:rsid w:val="002718BD"/>
    <w:rsid w:val="002719C0"/>
    <w:rsid w:val="00271B4E"/>
    <w:rsid w:val="002720E5"/>
    <w:rsid w:val="002721D1"/>
    <w:rsid w:val="0027303B"/>
    <w:rsid w:val="00273504"/>
    <w:rsid w:val="00273640"/>
    <w:rsid w:val="00273B29"/>
    <w:rsid w:val="00273F43"/>
    <w:rsid w:val="002741CF"/>
    <w:rsid w:val="002746F2"/>
    <w:rsid w:val="00274EB1"/>
    <w:rsid w:val="002753A3"/>
    <w:rsid w:val="00275689"/>
    <w:rsid w:val="002757CC"/>
    <w:rsid w:val="0027608F"/>
    <w:rsid w:val="00276273"/>
    <w:rsid w:val="002762FD"/>
    <w:rsid w:val="0027747B"/>
    <w:rsid w:val="00277753"/>
    <w:rsid w:val="00277DF7"/>
    <w:rsid w:val="002809DB"/>
    <w:rsid w:val="0028109B"/>
    <w:rsid w:val="002810A1"/>
    <w:rsid w:val="0028127C"/>
    <w:rsid w:val="00281624"/>
    <w:rsid w:val="002818C2"/>
    <w:rsid w:val="00281EF4"/>
    <w:rsid w:val="00282468"/>
    <w:rsid w:val="00282BC2"/>
    <w:rsid w:val="00282DC1"/>
    <w:rsid w:val="0028353F"/>
    <w:rsid w:val="0028367F"/>
    <w:rsid w:val="002838CD"/>
    <w:rsid w:val="00283B5F"/>
    <w:rsid w:val="00283CD7"/>
    <w:rsid w:val="0028442A"/>
    <w:rsid w:val="00284487"/>
    <w:rsid w:val="00284AFF"/>
    <w:rsid w:val="00284E11"/>
    <w:rsid w:val="00284E52"/>
    <w:rsid w:val="00285128"/>
    <w:rsid w:val="002856FD"/>
    <w:rsid w:val="00285C3A"/>
    <w:rsid w:val="0028615B"/>
    <w:rsid w:val="00286634"/>
    <w:rsid w:val="00286942"/>
    <w:rsid w:val="00286FCA"/>
    <w:rsid w:val="00287217"/>
    <w:rsid w:val="00287256"/>
    <w:rsid w:val="00287591"/>
    <w:rsid w:val="002877D4"/>
    <w:rsid w:val="00287A1E"/>
    <w:rsid w:val="002908CA"/>
    <w:rsid w:val="00290C5B"/>
    <w:rsid w:val="0029124F"/>
    <w:rsid w:val="002918F2"/>
    <w:rsid w:val="0029191C"/>
    <w:rsid w:val="00291AD2"/>
    <w:rsid w:val="00291E03"/>
    <w:rsid w:val="00292686"/>
    <w:rsid w:val="002926B9"/>
    <w:rsid w:val="00292796"/>
    <w:rsid w:val="002928BE"/>
    <w:rsid w:val="00292A47"/>
    <w:rsid w:val="00292FEB"/>
    <w:rsid w:val="00293249"/>
    <w:rsid w:val="002934A2"/>
    <w:rsid w:val="00293F3F"/>
    <w:rsid w:val="00293F5C"/>
    <w:rsid w:val="002942E9"/>
    <w:rsid w:val="0029451E"/>
    <w:rsid w:val="00294628"/>
    <w:rsid w:val="00294A68"/>
    <w:rsid w:val="00294DC1"/>
    <w:rsid w:val="00294EED"/>
    <w:rsid w:val="00294F70"/>
    <w:rsid w:val="00295484"/>
    <w:rsid w:val="00295659"/>
    <w:rsid w:val="00295CF1"/>
    <w:rsid w:val="00295D48"/>
    <w:rsid w:val="00295F5A"/>
    <w:rsid w:val="002965FC"/>
    <w:rsid w:val="00296667"/>
    <w:rsid w:val="00296678"/>
    <w:rsid w:val="00296930"/>
    <w:rsid w:val="00296D10"/>
    <w:rsid w:val="002970EC"/>
    <w:rsid w:val="00297599"/>
    <w:rsid w:val="00297C74"/>
    <w:rsid w:val="00297ECF"/>
    <w:rsid w:val="002A0C57"/>
    <w:rsid w:val="002A169B"/>
    <w:rsid w:val="002A1897"/>
    <w:rsid w:val="002A199F"/>
    <w:rsid w:val="002A1BBE"/>
    <w:rsid w:val="002A2109"/>
    <w:rsid w:val="002A30A5"/>
    <w:rsid w:val="002A3CEF"/>
    <w:rsid w:val="002A4126"/>
    <w:rsid w:val="002A45D1"/>
    <w:rsid w:val="002A47F2"/>
    <w:rsid w:val="002A4A7D"/>
    <w:rsid w:val="002A50A1"/>
    <w:rsid w:val="002A5A63"/>
    <w:rsid w:val="002A63D9"/>
    <w:rsid w:val="002A6A0C"/>
    <w:rsid w:val="002A6B53"/>
    <w:rsid w:val="002A6C8D"/>
    <w:rsid w:val="002A7759"/>
    <w:rsid w:val="002A7812"/>
    <w:rsid w:val="002A7D76"/>
    <w:rsid w:val="002B07DF"/>
    <w:rsid w:val="002B10BD"/>
    <w:rsid w:val="002B1A15"/>
    <w:rsid w:val="002B1F58"/>
    <w:rsid w:val="002B21D4"/>
    <w:rsid w:val="002B274B"/>
    <w:rsid w:val="002B3532"/>
    <w:rsid w:val="002B3C35"/>
    <w:rsid w:val="002B43D1"/>
    <w:rsid w:val="002B447E"/>
    <w:rsid w:val="002B454F"/>
    <w:rsid w:val="002B4605"/>
    <w:rsid w:val="002B478B"/>
    <w:rsid w:val="002B4AE9"/>
    <w:rsid w:val="002B52D8"/>
    <w:rsid w:val="002B55BB"/>
    <w:rsid w:val="002B58F6"/>
    <w:rsid w:val="002B6118"/>
    <w:rsid w:val="002B627A"/>
    <w:rsid w:val="002B687F"/>
    <w:rsid w:val="002B68AF"/>
    <w:rsid w:val="002B736C"/>
    <w:rsid w:val="002B7853"/>
    <w:rsid w:val="002B797A"/>
    <w:rsid w:val="002C0314"/>
    <w:rsid w:val="002C071F"/>
    <w:rsid w:val="002C079D"/>
    <w:rsid w:val="002C0C6C"/>
    <w:rsid w:val="002C0F27"/>
    <w:rsid w:val="002C15F2"/>
    <w:rsid w:val="002C1C7A"/>
    <w:rsid w:val="002C2107"/>
    <w:rsid w:val="002C2934"/>
    <w:rsid w:val="002C297D"/>
    <w:rsid w:val="002C2A7E"/>
    <w:rsid w:val="002C2DD2"/>
    <w:rsid w:val="002C2E8B"/>
    <w:rsid w:val="002C39C0"/>
    <w:rsid w:val="002C3B3C"/>
    <w:rsid w:val="002C4BD9"/>
    <w:rsid w:val="002C4D62"/>
    <w:rsid w:val="002C4EEF"/>
    <w:rsid w:val="002C5178"/>
    <w:rsid w:val="002C54AE"/>
    <w:rsid w:val="002C5B8A"/>
    <w:rsid w:val="002C67A0"/>
    <w:rsid w:val="002C69E6"/>
    <w:rsid w:val="002C6D66"/>
    <w:rsid w:val="002C6FAF"/>
    <w:rsid w:val="002C74A5"/>
    <w:rsid w:val="002C7A27"/>
    <w:rsid w:val="002C7E8A"/>
    <w:rsid w:val="002D0D72"/>
    <w:rsid w:val="002D0DE3"/>
    <w:rsid w:val="002D160C"/>
    <w:rsid w:val="002D218F"/>
    <w:rsid w:val="002D372F"/>
    <w:rsid w:val="002D37B7"/>
    <w:rsid w:val="002D451D"/>
    <w:rsid w:val="002D464B"/>
    <w:rsid w:val="002D50B7"/>
    <w:rsid w:val="002D54C6"/>
    <w:rsid w:val="002D64AC"/>
    <w:rsid w:val="002D6C39"/>
    <w:rsid w:val="002D6CEC"/>
    <w:rsid w:val="002D6F5B"/>
    <w:rsid w:val="002D7067"/>
    <w:rsid w:val="002D7603"/>
    <w:rsid w:val="002D76AD"/>
    <w:rsid w:val="002D7702"/>
    <w:rsid w:val="002D7A01"/>
    <w:rsid w:val="002D7E22"/>
    <w:rsid w:val="002D7E5E"/>
    <w:rsid w:val="002D7F19"/>
    <w:rsid w:val="002D7F2C"/>
    <w:rsid w:val="002E05BD"/>
    <w:rsid w:val="002E05E6"/>
    <w:rsid w:val="002E0C5F"/>
    <w:rsid w:val="002E13B8"/>
    <w:rsid w:val="002E15E7"/>
    <w:rsid w:val="002E19E3"/>
    <w:rsid w:val="002E2120"/>
    <w:rsid w:val="002E22C3"/>
    <w:rsid w:val="002E2C64"/>
    <w:rsid w:val="002E335F"/>
    <w:rsid w:val="002E36E6"/>
    <w:rsid w:val="002E44EA"/>
    <w:rsid w:val="002E4DA6"/>
    <w:rsid w:val="002E56CE"/>
    <w:rsid w:val="002E59F6"/>
    <w:rsid w:val="002E5A76"/>
    <w:rsid w:val="002E7333"/>
    <w:rsid w:val="002E7FDE"/>
    <w:rsid w:val="002F067F"/>
    <w:rsid w:val="002F085B"/>
    <w:rsid w:val="002F0A30"/>
    <w:rsid w:val="002F0DE3"/>
    <w:rsid w:val="002F117B"/>
    <w:rsid w:val="002F121E"/>
    <w:rsid w:val="002F1292"/>
    <w:rsid w:val="002F1496"/>
    <w:rsid w:val="002F14A4"/>
    <w:rsid w:val="002F1DC6"/>
    <w:rsid w:val="002F2C2A"/>
    <w:rsid w:val="002F2FD0"/>
    <w:rsid w:val="002F3008"/>
    <w:rsid w:val="002F321E"/>
    <w:rsid w:val="002F3628"/>
    <w:rsid w:val="002F37C1"/>
    <w:rsid w:val="002F37F1"/>
    <w:rsid w:val="002F3DDC"/>
    <w:rsid w:val="002F46E2"/>
    <w:rsid w:val="002F4E12"/>
    <w:rsid w:val="002F699A"/>
    <w:rsid w:val="002F6D53"/>
    <w:rsid w:val="002F6D8C"/>
    <w:rsid w:val="002F7375"/>
    <w:rsid w:val="002F7991"/>
    <w:rsid w:val="002F7CE1"/>
    <w:rsid w:val="003002B6"/>
    <w:rsid w:val="00300306"/>
    <w:rsid w:val="00300507"/>
    <w:rsid w:val="0030160F"/>
    <w:rsid w:val="003019A0"/>
    <w:rsid w:val="00301A56"/>
    <w:rsid w:val="003022B3"/>
    <w:rsid w:val="00302523"/>
    <w:rsid w:val="00302A22"/>
    <w:rsid w:val="00302B1A"/>
    <w:rsid w:val="003035BD"/>
    <w:rsid w:val="0030394C"/>
    <w:rsid w:val="00303CCC"/>
    <w:rsid w:val="00304294"/>
    <w:rsid w:val="003051CD"/>
    <w:rsid w:val="00305C8D"/>
    <w:rsid w:val="00305D17"/>
    <w:rsid w:val="0030625F"/>
    <w:rsid w:val="00306E07"/>
    <w:rsid w:val="00306F16"/>
    <w:rsid w:val="00307401"/>
    <w:rsid w:val="003077EE"/>
    <w:rsid w:val="0031017D"/>
    <w:rsid w:val="003102D6"/>
    <w:rsid w:val="003104A6"/>
    <w:rsid w:val="0031070E"/>
    <w:rsid w:val="00310CD4"/>
    <w:rsid w:val="00310FDB"/>
    <w:rsid w:val="003111C9"/>
    <w:rsid w:val="003111E5"/>
    <w:rsid w:val="0031134A"/>
    <w:rsid w:val="00311532"/>
    <w:rsid w:val="00311745"/>
    <w:rsid w:val="003121E3"/>
    <w:rsid w:val="00312779"/>
    <w:rsid w:val="003130E9"/>
    <w:rsid w:val="0031311C"/>
    <w:rsid w:val="0031493D"/>
    <w:rsid w:val="00314AB3"/>
    <w:rsid w:val="00315400"/>
    <w:rsid w:val="00315CB6"/>
    <w:rsid w:val="00316825"/>
    <w:rsid w:val="0031684D"/>
    <w:rsid w:val="0031790C"/>
    <w:rsid w:val="003200DC"/>
    <w:rsid w:val="003204CE"/>
    <w:rsid w:val="00320B21"/>
    <w:rsid w:val="00320D22"/>
    <w:rsid w:val="00320DDE"/>
    <w:rsid w:val="00321362"/>
    <w:rsid w:val="00321584"/>
    <w:rsid w:val="00321B9C"/>
    <w:rsid w:val="00322613"/>
    <w:rsid w:val="00322A52"/>
    <w:rsid w:val="00322C17"/>
    <w:rsid w:val="00322D0D"/>
    <w:rsid w:val="00322D20"/>
    <w:rsid w:val="00322E70"/>
    <w:rsid w:val="0032355A"/>
    <w:rsid w:val="00323967"/>
    <w:rsid w:val="00324035"/>
    <w:rsid w:val="0032422C"/>
    <w:rsid w:val="003249D5"/>
    <w:rsid w:val="003250C6"/>
    <w:rsid w:val="00325279"/>
    <w:rsid w:val="0032558F"/>
    <w:rsid w:val="00325D85"/>
    <w:rsid w:val="00325F0E"/>
    <w:rsid w:val="0032611D"/>
    <w:rsid w:val="00326677"/>
    <w:rsid w:val="003268A1"/>
    <w:rsid w:val="00326A7A"/>
    <w:rsid w:val="0032741D"/>
    <w:rsid w:val="003277DF"/>
    <w:rsid w:val="00327A6D"/>
    <w:rsid w:val="00330381"/>
    <w:rsid w:val="0033038F"/>
    <w:rsid w:val="003309BD"/>
    <w:rsid w:val="00330B16"/>
    <w:rsid w:val="00330EE8"/>
    <w:rsid w:val="0033122A"/>
    <w:rsid w:val="00331C33"/>
    <w:rsid w:val="00332099"/>
    <w:rsid w:val="0033223E"/>
    <w:rsid w:val="0033234B"/>
    <w:rsid w:val="0033238B"/>
    <w:rsid w:val="003323A0"/>
    <w:rsid w:val="003323CA"/>
    <w:rsid w:val="00332942"/>
    <w:rsid w:val="00332AAA"/>
    <w:rsid w:val="0033375C"/>
    <w:rsid w:val="003337D1"/>
    <w:rsid w:val="00333AD3"/>
    <w:rsid w:val="00334699"/>
    <w:rsid w:val="00334AF3"/>
    <w:rsid w:val="00334F08"/>
    <w:rsid w:val="0033557F"/>
    <w:rsid w:val="00335675"/>
    <w:rsid w:val="0033600B"/>
    <w:rsid w:val="003364B4"/>
    <w:rsid w:val="003365B7"/>
    <w:rsid w:val="00336641"/>
    <w:rsid w:val="00336899"/>
    <w:rsid w:val="003369AD"/>
    <w:rsid w:val="00336ADA"/>
    <w:rsid w:val="00336D8A"/>
    <w:rsid w:val="00337009"/>
    <w:rsid w:val="00337246"/>
    <w:rsid w:val="0033762C"/>
    <w:rsid w:val="00337E69"/>
    <w:rsid w:val="00340087"/>
    <w:rsid w:val="003401E8"/>
    <w:rsid w:val="00340211"/>
    <w:rsid w:val="00340607"/>
    <w:rsid w:val="00340AD4"/>
    <w:rsid w:val="00340CB9"/>
    <w:rsid w:val="00340EBD"/>
    <w:rsid w:val="00341680"/>
    <w:rsid w:val="00341817"/>
    <w:rsid w:val="0034182F"/>
    <w:rsid w:val="003418F3"/>
    <w:rsid w:val="00341FA6"/>
    <w:rsid w:val="003422EA"/>
    <w:rsid w:val="00342EDD"/>
    <w:rsid w:val="003430CA"/>
    <w:rsid w:val="00343703"/>
    <w:rsid w:val="0034398E"/>
    <w:rsid w:val="00344284"/>
    <w:rsid w:val="00344B4A"/>
    <w:rsid w:val="00344F8A"/>
    <w:rsid w:val="00345A1B"/>
    <w:rsid w:val="00345ACF"/>
    <w:rsid w:val="00345F60"/>
    <w:rsid w:val="00346504"/>
    <w:rsid w:val="00346828"/>
    <w:rsid w:val="00346AED"/>
    <w:rsid w:val="00346DA0"/>
    <w:rsid w:val="003502D0"/>
    <w:rsid w:val="003503D6"/>
    <w:rsid w:val="00350C94"/>
    <w:rsid w:val="0035100E"/>
    <w:rsid w:val="00351254"/>
    <w:rsid w:val="00352D54"/>
    <w:rsid w:val="003535E5"/>
    <w:rsid w:val="00353642"/>
    <w:rsid w:val="0035535B"/>
    <w:rsid w:val="0035555F"/>
    <w:rsid w:val="003556D3"/>
    <w:rsid w:val="00355A2A"/>
    <w:rsid w:val="003569A9"/>
    <w:rsid w:val="00356D30"/>
    <w:rsid w:val="00356DAA"/>
    <w:rsid w:val="00356EE1"/>
    <w:rsid w:val="00357A00"/>
    <w:rsid w:val="00357C34"/>
    <w:rsid w:val="003601E2"/>
    <w:rsid w:val="003604AE"/>
    <w:rsid w:val="00360556"/>
    <w:rsid w:val="00360AE8"/>
    <w:rsid w:val="00360BDB"/>
    <w:rsid w:val="00361A59"/>
    <w:rsid w:val="00362DBC"/>
    <w:rsid w:val="0036331B"/>
    <w:rsid w:val="00363757"/>
    <w:rsid w:val="00364129"/>
    <w:rsid w:val="003647F7"/>
    <w:rsid w:val="00364B96"/>
    <w:rsid w:val="003650AE"/>
    <w:rsid w:val="003650BB"/>
    <w:rsid w:val="003653F0"/>
    <w:rsid w:val="003656A7"/>
    <w:rsid w:val="00365B35"/>
    <w:rsid w:val="00365BD5"/>
    <w:rsid w:val="00365CB4"/>
    <w:rsid w:val="00365EB8"/>
    <w:rsid w:val="003661AD"/>
    <w:rsid w:val="00366D61"/>
    <w:rsid w:val="00367B82"/>
    <w:rsid w:val="0037002F"/>
    <w:rsid w:val="0037066B"/>
    <w:rsid w:val="00370AAC"/>
    <w:rsid w:val="003713F5"/>
    <w:rsid w:val="00371DE4"/>
    <w:rsid w:val="00371FC0"/>
    <w:rsid w:val="003721A3"/>
    <w:rsid w:val="003726E8"/>
    <w:rsid w:val="0037360A"/>
    <w:rsid w:val="00373677"/>
    <w:rsid w:val="00373C37"/>
    <w:rsid w:val="003743BC"/>
    <w:rsid w:val="0037473D"/>
    <w:rsid w:val="00374EDF"/>
    <w:rsid w:val="00375257"/>
    <w:rsid w:val="00375F06"/>
    <w:rsid w:val="0037618E"/>
    <w:rsid w:val="003770CE"/>
    <w:rsid w:val="0037721B"/>
    <w:rsid w:val="00377439"/>
    <w:rsid w:val="003774B3"/>
    <w:rsid w:val="00380F00"/>
    <w:rsid w:val="00381833"/>
    <w:rsid w:val="00381DE7"/>
    <w:rsid w:val="00382644"/>
    <w:rsid w:val="003829E6"/>
    <w:rsid w:val="00382BBA"/>
    <w:rsid w:val="00382D49"/>
    <w:rsid w:val="00383470"/>
    <w:rsid w:val="0038366E"/>
    <w:rsid w:val="003837B0"/>
    <w:rsid w:val="003839AE"/>
    <w:rsid w:val="00383BB6"/>
    <w:rsid w:val="00383DBC"/>
    <w:rsid w:val="00384558"/>
    <w:rsid w:val="00384798"/>
    <w:rsid w:val="00385328"/>
    <w:rsid w:val="00385A68"/>
    <w:rsid w:val="00385C10"/>
    <w:rsid w:val="00386643"/>
    <w:rsid w:val="00386843"/>
    <w:rsid w:val="00386A24"/>
    <w:rsid w:val="00386D58"/>
    <w:rsid w:val="00386E17"/>
    <w:rsid w:val="0038710F"/>
    <w:rsid w:val="0038754C"/>
    <w:rsid w:val="003878CA"/>
    <w:rsid w:val="003900A3"/>
    <w:rsid w:val="003901DA"/>
    <w:rsid w:val="0039021C"/>
    <w:rsid w:val="00390394"/>
    <w:rsid w:val="00390451"/>
    <w:rsid w:val="0039088D"/>
    <w:rsid w:val="003910CB"/>
    <w:rsid w:val="00392A49"/>
    <w:rsid w:val="00393012"/>
    <w:rsid w:val="003930B3"/>
    <w:rsid w:val="00393238"/>
    <w:rsid w:val="003935E0"/>
    <w:rsid w:val="003938C6"/>
    <w:rsid w:val="00393B7C"/>
    <w:rsid w:val="00393FB2"/>
    <w:rsid w:val="003942D4"/>
    <w:rsid w:val="00394D57"/>
    <w:rsid w:val="00395210"/>
    <w:rsid w:val="0039523B"/>
    <w:rsid w:val="00395439"/>
    <w:rsid w:val="003956A1"/>
    <w:rsid w:val="003958A8"/>
    <w:rsid w:val="00396439"/>
    <w:rsid w:val="003966D7"/>
    <w:rsid w:val="00396E01"/>
    <w:rsid w:val="00396F06"/>
    <w:rsid w:val="0039718D"/>
    <w:rsid w:val="0039719A"/>
    <w:rsid w:val="00397937"/>
    <w:rsid w:val="003A00A1"/>
    <w:rsid w:val="003A01C5"/>
    <w:rsid w:val="003A034C"/>
    <w:rsid w:val="003A03B8"/>
    <w:rsid w:val="003A0471"/>
    <w:rsid w:val="003A063D"/>
    <w:rsid w:val="003A072F"/>
    <w:rsid w:val="003A15F9"/>
    <w:rsid w:val="003A1D36"/>
    <w:rsid w:val="003A23CF"/>
    <w:rsid w:val="003A2689"/>
    <w:rsid w:val="003A3104"/>
    <w:rsid w:val="003A3D35"/>
    <w:rsid w:val="003A40AA"/>
    <w:rsid w:val="003A41C5"/>
    <w:rsid w:val="003A44F9"/>
    <w:rsid w:val="003A48FD"/>
    <w:rsid w:val="003A4C17"/>
    <w:rsid w:val="003A5446"/>
    <w:rsid w:val="003A585D"/>
    <w:rsid w:val="003A5BC8"/>
    <w:rsid w:val="003A65C0"/>
    <w:rsid w:val="003A694A"/>
    <w:rsid w:val="003A6956"/>
    <w:rsid w:val="003A72E0"/>
    <w:rsid w:val="003A7EEA"/>
    <w:rsid w:val="003B0186"/>
    <w:rsid w:val="003B199B"/>
    <w:rsid w:val="003B1E4F"/>
    <w:rsid w:val="003B1FBE"/>
    <w:rsid w:val="003B2476"/>
    <w:rsid w:val="003B24FD"/>
    <w:rsid w:val="003B2C52"/>
    <w:rsid w:val="003B3060"/>
    <w:rsid w:val="003B37C4"/>
    <w:rsid w:val="003B3A8B"/>
    <w:rsid w:val="003B4793"/>
    <w:rsid w:val="003B486D"/>
    <w:rsid w:val="003B4C9B"/>
    <w:rsid w:val="003B4DD2"/>
    <w:rsid w:val="003B536C"/>
    <w:rsid w:val="003B57D4"/>
    <w:rsid w:val="003B59E2"/>
    <w:rsid w:val="003B5BED"/>
    <w:rsid w:val="003B620C"/>
    <w:rsid w:val="003B7189"/>
    <w:rsid w:val="003B769A"/>
    <w:rsid w:val="003B7AD1"/>
    <w:rsid w:val="003B7E8E"/>
    <w:rsid w:val="003C014B"/>
    <w:rsid w:val="003C0740"/>
    <w:rsid w:val="003C076E"/>
    <w:rsid w:val="003C157E"/>
    <w:rsid w:val="003C17BD"/>
    <w:rsid w:val="003C1E2A"/>
    <w:rsid w:val="003C243E"/>
    <w:rsid w:val="003C2D58"/>
    <w:rsid w:val="003C2DE9"/>
    <w:rsid w:val="003C2EDC"/>
    <w:rsid w:val="003C399F"/>
    <w:rsid w:val="003C4507"/>
    <w:rsid w:val="003C4E71"/>
    <w:rsid w:val="003C4EF8"/>
    <w:rsid w:val="003C5125"/>
    <w:rsid w:val="003C548D"/>
    <w:rsid w:val="003C55D8"/>
    <w:rsid w:val="003C55E5"/>
    <w:rsid w:val="003C5A24"/>
    <w:rsid w:val="003C5C74"/>
    <w:rsid w:val="003C5DEF"/>
    <w:rsid w:val="003C5EAE"/>
    <w:rsid w:val="003C6628"/>
    <w:rsid w:val="003C7020"/>
    <w:rsid w:val="003C7122"/>
    <w:rsid w:val="003C79E0"/>
    <w:rsid w:val="003D053D"/>
    <w:rsid w:val="003D092F"/>
    <w:rsid w:val="003D0C8F"/>
    <w:rsid w:val="003D0DB7"/>
    <w:rsid w:val="003D1779"/>
    <w:rsid w:val="003D1970"/>
    <w:rsid w:val="003D2130"/>
    <w:rsid w:val="003D29B1"/>
    <w:rsid w:val="003D2AA4"/>
    <w:rsid w:val="003D2D1A"/>
    <w:rsid w:val="003D2D3A"/>
    <w:rsid w:val="003D31D4"/>
    <w:rsid w:val="003D31F2"/>
    <w:rsid w:val="003D37B1"/>
    <w:rsid w:val="003D3F53"/>
    <w:rsid w:val="003D4F3D"/>
    <w:rsid w:val="003D51D7"/>
    <w:rsid w:val="003D51EC"/>
    <w:rsid w:val="003D7054"/>
    <w:rsid w:val="003D7319"/>
    <w:rsid w:val="003D75D9"/>
    <w:rsid w:val="003D7899"/>
    <w:rsid w:val="003D789A"/>
    <w:rsid w:val="003D790D"/>
    <w:rsid w:val="003D7C98"/>
    <w:rsid w:val="003E01A3"/>
    <w:rsid w:val="003E04EB"/>
    <w:rsid w:val="003E0642"/>
    <w:rsid w:val="003E0A9F"/>
    <w:rsid w:val="003E0EC2"/>
    <w:rsid w:val="003E0F00"/>
    <w:rsid w:val="003E12FA"/>
    <w:rsid w:val="003E17A1"/>
    <w:rsid w:val="003E2B56"/>
    <w:rsid w:val="003E2BDB"/>
    <w:rsid w:val="003E338B"/>
    <w:rsid w:val="003E3A58"/>
    <w:rsid w:val="003E3A99"/>
    <w:rsid w:val="003E3E39"/>
    <w:rsid w:val="003E4096"/>
    <w:rsid w:val="003E4412"/>
    <w:rsid w:val="003E455A"/>
    <w:rsid w:val="003E4ACF"/>
    <w:rsid w:val="003E4C58"/>
    <w:rsid w:val="003E5D14"/>
    <w:rsid w:val="003E5E75"/>
    <w:rsid w:val="003E61B9"/>
    <w:rsid w:val="003E71E4"/>
    <w:rsid w:val="003E794C"/>
    <w:rsid w:val="003E7E8A"/>
    <w:rsid w:val="003F0401"/>
    <w:rsid w:val="003F07F6"/>
    <w:rsid w:val="003F0A24"/>
    <w:rsid w:val="003F0B6C"/>
    <w:rsid w:val="003F181E"/>
    <w:rsid w:val="003F1AD7"/>
    <w:rsid w:val="003F1C9C"/>
    <w:rsid w:val="003F1CB8"/>
    <w:rsid w:val="003F1DB4"/>
    <w:rsid w:val="003F298D"/>
    <w:rsid w:val="003F2DED"/>
    <w:rsid w:val="003F3364"/>
    <w:rsid w:val="003F36F0"/>
    <w:rsid w:val="003F3807"/>
    <w:rsid w:val="003F420F"/>
    <w:rsid w:val="003F4B1D"/>
    <w:rsid w:val="003F531D"/>
    <w:rsid w:val="003F59E7"/>
    <w:rsid w:val="003F6048"/>
    <w:rsid w:val="003F640B"/>
    <w:rsid w:val="003F677C"/>
    <w:rsid w:val="003F68B7"/>
    <w:rsid w:val="003F6A69"/>
    <w:rsid w:val="003F6E11"/>
    <w:rsid w:val="003F74FA"/>
    <w:rsid w:val="004009E9"/>
    <w:rsid w:val="0040121F"/>
    <w:rsid w:val="0040124B"/>
    <w:rsid w:val="00401641"/>
    <w:rsid w:val="0040165C"/>
    <w:rsid w:val="004037B0"/>
    <w:rsid w:val="00403835"/>
    <w:rsid w:val="00403EA7"/>
    <w:rsid w:val="0040435A"/>
    <w:rsid w:val="0040439A"/>
    <w:rsid w:val="0040468E"/>
    <w:rsid w:val="0040527C"/>
    <w:rsid w:val="0040529D"/>
    <w:rsid w:val="00405472"/>
    <w:rsid w:val="004057FE"/>
    <w:rsid w:val="00405EF1"/>
    <w:rsid w:val="00406641"/>
    <w:rsid w:val="00406EAC"/>
    <w:rsid w:val="00407287"/>
    <w:rsid w:val="004072A9"/>
    <w:rsid w:val="004077B8"/>
    <w:rsid w:val="00407889"/>
    <w:rsid w:val="00407FF6"/>
    <w:rsid w:val="004114B0"/>
    <w:rsid w:val="0041159C"/>
    <w:rsid w:val="004115BB"/>
    <w:rsid w:val="00411824"/>
    <w:rsid w:val="0041187F"/>
    <w:rsid w:val="0041284F"/>
    <w:rsid w:val="00412A3C"/>
    <w:rsid w:val="00412B8E"/>
    <w:rsid w:val="004133DB"/>
    <w:rsid w:val="00413613"/>
    <w:rsid w:val="0041376E"/>
    <w:rsid w:val="004139C1"/>
    <w:rsid w:val="00413A3C"/>
    <w:rsid w:val="00413C48"/>
    <w:rsid w:val="00413D30"/>
    <w:rsid w:val="004149F0"/>
    <w:rsid w:val="0041589C"/>
    <w:rsid w:val="004158DD"/>
    <w:rsid w:val="00415AA4"/>
    <w:rsid w:val="00415E94"/>
    <w:rsid w:val="00416089"/>
    <w:rsid w:val="004160EB"/>
    <w:rsid w:val="004178B4"/>
    <w:rsid w:val="00417D3C"/>
    <w:rsid w:val="00417F2D"/>
    <w:rsid w:val="00420554"/>
    <w:rsid w:val="004206B9"/>
    <w:rsid w:val="00420CCE"/>
    <w:rsid w:val="00420EB1"/>
    <w:rsid w:val="00421B13"/>
    <w:rsid w:val="004220BF"/>
    <w:rsid w:val="004223F2"/>
    <w:rsid w:val="004224A3"/>
    <w:rsid w:val="00422869"/>
    <w:rsid w:val="00422870"/>
    <w:rsid w:val="00422ED8"/>
    <w:rsid w:val="004239A3"/>
    <w:rsid w:val="00424990"/>
    <w:rsid w:val="00424DD4"/>
    <w:rsid w:val="00425004"/>
    <w:rsid w:val="004253CE"/>
    <w:rsid w:val="0042562F"/>
    <w:rsid w:val="00425B4F"/>
    <w:rsid w:val="0042612F"/>
    <w:rsid w:val="004269D4"/>
    <w:rsid w:val="004270D2"/>
    <w:rsid w:val="0042710D"/>
    <w:rsid w:val="004275F6"/>
    <w:rsid w:val="00427941"/>
    <w:rsid w:val="00427AAA"/>
    <w:rsid w:val="00427FE8"/>
    <w:rsid w:val="0043043D"/>
    <w:rsid w:val="00431D97"/>
    <w:rsid w:val="00431D9E"/>
    <w:rsid w:val="00432415"/>
    <w:rsid w:val="004324FE"/>
    <w:rsid w:val="00432A53"/>
    <w:rsid w:val="00432B3E"/>
    <w:rsid w:val="0043334A"/>
    <w:rsid w:val="0043389D"/>
    <w:rsid w:val="00433CE8"/>
    <w:rsid w:val="00433FE9"/>
    <w:rsid w:val="0043416A"/>
    <w:rsid w:val="004345F3"/>
    <w:rsid w:val="00434A5C"/>
    <w:rsid w:val="00434BE2"/>
    <w:rsid w:val="00434C5C"/>
    <w:rsid w:val="00434CD6"/>
    <w:rsid w:val="00434E0F"/>
    <w:rsid w:val="004353B0"/>
    <w:rsid w:val="004353D5"/>
    <w:rsid w:val="004357E9"/>
    <w:rsid w:val="00435880"/>
    <w:rsid w:val="00435A1A"/>
    <w:rsid w:val="00435B69"/>
    <w:rsid w:val="00435DD0"/>
    <w:rsid w:val="00436260"/>
    <w:rsid w:val="00436B63"/>
    <w:rsid w:val="00437011"/>
    <w:rsid w:val="004372CE"/>
    <w:rsid w:val="00437CF2"/>
    <w:rsid w:val="00437ED0"/>
    <w:rsid w:val="00440403"/>
    <w:rsid w:val="0044065F"/>
    <w:rsid w:val="004414EA"/>
    <w:rsid w:val="004425AA"/>
    <w:rsid w:val="00442986"/>
    <w:rsid w:val="00442A82"/>
    <w:rsid w:val="0044348A"/>
    <w:rsid w:val="00443E7F"/>
    <w:rsid w:val="00444119"/>
    <w:rsid w:val="004443FB"/>
    <w:rsid w:val="00444653"/>
    <w:rsid w:val="004454EE"/>
    <w:rsid w:val="004456F1"/>
    <w:rsid w:val="00445819"/>
    <w:rsid w:val="004460A8"/>
    <w:rsid w:val="00446B7A"/>
    <w:rsid w:val="00447753"/>
    <w:rsid w:val="00447F01"/>
    <w:rsid w:val="0045089E"/>
    <w:rsid w:val="00451382"/>
    <w:rsid w:val="00451448"/>
    <w:rsid w:val="0045188E"/>
    <w:rsid w:val="00451977"/>
    <w:rsid w:val="00452491"/>
    <w:rsid w:val="00452A81"/>
    <w:rsid w:val="00452FD0"/>
    <w:rsid w:val="0045306E"/>
    <w:rsid w:val="00453092"/>
    <w:rsid w:val="00453AD3"/>
    <w:rsid w:val="0045410A"/>
    <w:rsid w:val="004544D9"/>
    <w:rsid w:val="00454D42"/>
    <w:rsid w:val="0045550E"/>
    <w:rsid w:val="00455AE7"/>
    <w:rsid w:val="00455C4A"/>
    <w:rsid w:val="004561D1"/>
    <w:rsid w:val="004564CB"/>
    <w:rsid w:val="00456E9A"/>
    <w:rsid w:val="00457158"/>
    <w:rsid w:val="00457280"/>
    <w:rsid w:val="00457C1F"/>
    <w:rsid w:val="004607DD"/>
    <w:rsid w:val="00460A04"/>
    <w:rsid w:val="00461506"/>
    <w:rsid w:val="0046189A"/>
    <w:rsid w:val="004619A8"/>
    <w:rsid w:val="00461FA9"/>
    <w:rsid w:val="0046222D"/>
    <w:rsid w:val="00462279"/>
    <w:rsid w:val="00462CE6"/>
    <w:rsid w:val="004630BD"/>
    <w:rsid w:val="0046383E"/>
    <w:rsid w:val="00463AFD"/>
    <w:rsid w:val="00463C00"/>
    <w:rsid w:val="00463D16"/>
    <w:rsid w:val="00464363"/>
    <w:rsid w:val="004643EB"/>
    <w:rsid w:val="00464B16"/>
    <w:rsid w:val="00464D97"/>
    <w:rsid w:val="0046501B"/>
    <w:rsid w:val="004651F8"/>
    <w:rsid w:val="0046534A"/>
    <w:rsid w:val="004655C4"/>
    <w:rsid w:val="004655EE"/>
    <w:rsid w:val="00465C37"/>
    <w:rsid w:val="0046602C"/>
    <w:rsid w:val="0046692D"/>
    <w:rsid w:val="00466960"/>
    <w:rsid w:val="00466971"/>
    <w:rsid w:val="00466979"/>
    <w:rsid w:val="0046704C"/>
    <w:rsid w:val="0046729C"/>
    <w:rsid w:val="00467EBA"/>
    <w:rsid w:val="004702C9"/>
    <w:rsid w:val="004704D8"/>
    <w:rsid w:val="00470518"/>
    <w:rsid w:val="00471355"/>
    <w:rsid w:val="004716D5"/>
    <w:rsid w:val="00471941"/>
    <w:rsid w:val="00471A59"/>
    <w:rsid w:val="00472919"/>
    <w:rsid w:val="00472BD7"/>
    <w:rsid w:val="004737CF"/>
    <w:rsid w:val="004737F4"/>
    <w:rsid w:val="00473A47"/>
    <w:rsid w:val="004740D5"/>
    <w:rsid w:val="0047410F"/>
    <w:rsid w:val="00474330"/>
    <w:rsid w:val="00474967"/>
    <w:rsid w:val="00475164"/>
    <w:rsid w:val="004757AE"/>
    <w:rsid w:val="004759B0"/>
    <w:rsid w:val="00475B14"/>
    <w:rsid w:val="0047625B"/>
    <w:rsid w:val="00477089"/>
    <w:rsid w:val="004778E2"/>
    <w:rsid w:val="00477E6D"/>
    <w:rsid w:val="004800AA"/>
    <w:rsid w:val="004809C1"/>
    <w:rsid w:val="00480A04"/>
    <w:rsid w:val="00480CDF"/>
    <w:rsid w:val="00480E2E"/>
    <w:rsid w:val="00481040"/>
    <w:rsid w:val="00481F7C"/>
    <w:rsid w:val="004821B2"/>
    <w:rsid w:val="00482416"/>
    <w:rsid w:val="00482A2F"/>
    <w:rsid w:val="00482EBC"/>
    <w:rsid w:val="00484766"/>
    <w:rsid w:val="00484D04"/>
    <w:rsid w:val="00485135"/>
    <w:rsid w:val="004856FB"/>
    <w:rsid w:val="00485971"/>
    <w:rsid w:val="00486048"/>
    <w:rsid w:val="004861CA"/>
    <w:rsid w:val="00486C57"/>
    <w:rsid w:val="0048704A"/>
    <w:rsid w:val="0048724A"/>
    <w:rsid w:val="0048753A"/>
    <w:rsid w:val="0049005D"/>
    <w:rsid w:val="00490446"/>
    <w:rsid w:val="00490E72"/>
    <w:rsid w:val="00491286"/>
    <w:rsid w:val="00491360"/>
    <w:rsid w:val="004913CD"/>
    <w:rsid w:val="004921C8"/>
    <w:rsid w:val="004926DB"/>
    <w:rsid w:val="00493057"/>
    <w:rsid w:val="004930EA"/>
    <w:rsid w:val="00494397"/>
    <w:rsid w:val="00494478"/>
    <w:rsid w:val="0049475C"/>
    <w:rsid w:val="004949CF"/>
    <w:rsid w:val="00494A09"/>
    <w:rsid w:val="00494D7D"/>
    <w:rsid w:val="00494DE0"/>
    <w:rsid w:val="004950D1"/>
    <w:rsid w:val="004954EE"/>
    <w:rsid w:val="0049552A"/>
    <w:rsid w:val="004955C8"/>
    <w:rsid w:val="00495697"/>
    <w:rsid w:val="00496455"/>
    <w:rsid w:val="00496E3F"/>
    <w:rsid w:val="00496FD1"/>
    <w:rsid w:val="004970ED"/>
    <w:rsid w:val="00497323"/>
    <w:rsid w:val="004975CE"/>
    <w:rsid w:val="00497FF8"/>
    <w:rsid w:val="004A0D3B"/>
    <w:rsid w:val="004A102E"/>
    <w:rsid w:val="004A15A2"/>
    <w:rsid w:val="004A1AB7"/>
    <w:rsid w:val="004A1F3A"/>
    <w:rsid w:val="004A1FA4"/>
    <w:rsid w:val="004A1FF5"/>
    <w:rsid w:val="004A208E"/>
    <w:rsid w:val="004A2392"/>
    <w:rsid w:val="004A254E"/>
    <w:rsid w:val="004A3691"/>
    <w:rsid w:val="004A372B"/>
    <w:rsid w:val="004A48DB"/>
    <w:rsid w:val="004A4A3D"/>
    <w:rsid w:val="004A5275"/>
    <w:rsid w:val="004A60E8"/>
    <w:rsid w:val="004A65F4"/>
    <w:rsid w:val="004A6728"/>
    <w:rsid w:val="004A6781"/>
    <w:rsid w:val="004A6B03"/>
    <w:rsid w:val="004A70CD"/>
    <w:rsid w:val="004A7111"/>
    <w:rsid w:val="004B063E"/>
    <w:rsid w:val="004B14A4"/>
    <w:rsid w:val="004B15BE"/>
    <w:rsid w:val="004B1B55"/>
    <w:rsid w:val="004B1FF5"/>
    <w:rsid w:val="004B23C4"/>
    <w:rsid w:val="004B258B"/>
    <w:rsid w:val="004B2D90"/>
    <w:rsid w:val="004B31EC"/>
    <w:rsid w:val="004B34A5"/>
    <w:rsid w:val="004B36F9"/>
    <w:rsid w:val="004B454F"/>
    <w:rsid w:val="004B4CB3"/>
    <w:rsid w:val="004B55E5"/>
    <w:rsid w:val="004B570F"/>
    <w:rsid w:val="004B5C2B"/>
    <w:rsid w:val="004B5D26"/>
    <w:rsid w:val="004B6A22"/>
    <w:rsid w:val="004B6A34"/>
    <w:rsid w:val="004B6C76"/>
    <w:rsid w:val="004B6E99"/>
    <w:rsid w:val="004B707A"/>
    <w:rsid w:val="004B733A"/>
    <w:rsid w:val="004B76AA"/>
    <w:rsid w:val="004B7C16"/>
    <w:rsid w:val="004C01CB"/>
    <w:rsid w:val="004C07ED"/>
    <w:rsid w:val="004C167D"/>
    <w:rsid w:val="004C23C0"/>
    <w:rsid w:val="004C2EEE"/>
    <w:rsid w:val="004C2F58"/>
    <w:rsid w:val="004C3540"/>
    <w:rsid w:val="004C3987"/>
    <w:rsid w:val="004C3BB2"/>
    <w:rsid w:val="004C424A"/>
    <w:rsid w:val="004C4C2F"/>
    <w:rsid w:val="004C4C8C"/>
    <w:rsid w:val="004C53B4"/>
    <w:rsid w:val="004C53D1"/>
    <w:rsid w:val="004C5779"/>
    <w:rsid w:val="004C596C"/>
    <w:rsid w:val="004C6760"/>
    <w:rsid w:val="004C67B4"/>
    <w:rsid w:val="004C6943"/>
    <w:rsid w:val="004C6ECA"/>
    <w:rsid w:val="004C71C0"/>
    <w:rsid w:val="004C740E"/>
    <w:rsid w:val="004C7A90"/>
    <w:rsid w:val="004C7DCB"/>
    <w:rsid w:val="004D0671"/>
    <w:rsid w:val="004D0BAF"/>
    <w:rsid w:val="004D11EE"/>
    <w:rsid w:val="004D1228"/>
    <w:rsid w:val="004D14A6"/>
    <w:rsid w:val="004D1851"/>
    <w:rsid w:val="004D1BDA"/>
    <w:rsid w:val="004D1FCA"/>
    <w:rsid w:val="004D3687"/>
    <w:rsid w:val="004D3A2E"/>
    <w:rsid w:val="004D452B"/>
    <w:rsid w:val="004D4886"/>
    <w:rsid w:val="004D599D"/>
    <w:rsid w:val="004D5AF6"/>
    <w:rsid w:val="004D5C31"/>
    <w:rsid w:val="004D5EBB"/>
    <w:rsid w:val="004D6371"/>
    <w:rsid w:val="004D6495"/>
    <w:rsid w:val="004D71CF"/>
    <w:rsid w:val="004D740A"/>
    <w:rsid w:val="004D7ABD"/>
    <w:rsid w:val="004E04CA"/>
    <w:rsid w:val="004E0F69"/>
    <w:rsid w:val="004E134E"/>
    <w:rsid w:val="004E1D40"/>
    <w:rsid w:val="004E2529"/>
    <w:rsid w:val="004E2531"/>
    <w:rsid w:val="004E2561"/>
    <w:rsid w:val="004E2628"/>
    <w:rsid w:val="004E276D"/>
    <w:rsid w:val="004E2D38"/>
    <w:rsid w:val="004E2EA5"/>
    <w:rsid w:val="004E3180"/>
    <w:rsid w:val="004E3214"/>
    <w:rsid w:val="004E3325"/>
    <w:rsid w:val="004E338F"/>
    <w:rsid w:val="004E33EE"/>
    <w:rsid w:val="004E38F2"/>
    <w:rsid w:val="004E3A16"/>
    <w:rsid w:val="004E3AEB"/>
    <w:rsid w:val="004E3BD5"/>
    <w:rsid w:val="004E3C20"/>
    <w:rsid w:val="004E3EB8"/>
    <w:rsid w:val="004E4BA5"/>
    <w:rsid w:val="004E5360"/>
    <w:rsid w:val="004E54A6"/>
    <w:rsid w:val="004E5B3B"/>
    <w:rsid w:val="004E5C92"/>
    <w:rsid w:val="004E5FB6"/>
    <w:rsid w:val="004E656B"/>
    <w:rsid w:val="004E68DA"/>
    <w:rsid w:val="004E6E17"/>
    <w:rsid w:val="004F0546"/>
    <w:rsid w:val="004F0B5B"/>
    <w:rsid w:val="004F0BB7"/>
    <w:rsid w:val="004F0EF7"/>
    <w:rsid w:val="004F10D3"/>
    <w:rsid w:val="004F1263"/>
    <w:rsid w:val="004F13F5"/>
    <w:rsid w:val="004F154B"/>
    <w:rsid w:val="004F247A"/>
    <w:rsid w:val="004F2843"/>
    <w:rsid w:val="004F2C1E"/>
    <w:rsid w:val="004F2D53"/>
    <w:rsid w:val="004F31A2"/>
    <w:rsid w:val="004F3466"/>
    <w:rsid w:val="004F39C6"/>
    <w:rsid w:val="004F4192"/>
    <w:rsid w:val="004F42C5"/>
    <w:rsid w:val="004F46E7"/>
    <w:rsid w:val="004F4A3C"/>
    <w:rsid w:val="004F4C42"/>
    <w:rsid w:val="004F4DCC"/>
    <w:rsid w:val="004F544B"/>
    <w:rsid w:val="004F546C"/>
    <w:rsid w:val="004F54B1"/>
    <w:rsid w:val="004F54F3"/>
    <w:rsid w:val="004F5B84"/>
    <w:rsid w:val="004F5D38"/>
    <w:rsid w:val="004F6395"/>
    <w:rsid w:val="004F667E"/>
    <w:rsid w:val="004F6A8F"/>
    <w:rsid w:val="004F6AAB"/>
    <w:rsid w:val="004F6B9D"/>
    <w:rsid w:val="004F6BDD"/>
    <w:rsid w:val="004F6D1B"/>
    <w:rsid w:val="004F7674"/>
    <w:rsid w:val="004F78B5"/>
    <w:rsid w:val="004F7C6A"/>
    <w:rsid w:val="004F7CBD"/>
    <w:rsid w:val="004F7CE1"/>
    <w:rsid w:val="004F7FBF"/>
    <w:rsid w:val="00500933"/>
    <w:rsid w:val="0050134B"/>
    <w:rsid w:val="00501798"/>
    <w:rsid w:val="005019AB"/>
    <w:rsid w:val="0050223C"/>
    <w:rsid w:val="00502328"/>
    <w:rsid w:val="00502634"/>
    <w:rsid w:val="00502E68"/>
    <w:rsid w:val="00502E8C"/>
    <w:rsid w:val="00502F31"/>
    <w:rsid w:val="00503311"/>
    <w:rsid w:val="00503C3B"/>
    <w:rsid w:val="00503E0A"/>
    <w:rsid w:val="00504CA0"/>
    <w:rsid w:val="00504FC6"/>
    <w:rsid w:val="00505182"/>
    <w:rsid w:val="00505853"/>
    <w:rsid w:val="00505975"/>
    <w:rsid w:val="005059E0"/>
    <w:rsid w:val="005060A1"/>
    <w:rsid w:val="0050642A"/>
    <w:rsid w:val="00506F76"/>
    <w:rsid w:val="00507072"/>
    <w:rsid w:val="00507130"/>
    <w:rsid w:val="0050766A"/>
    <w:rsid w:val="0050773A"/>
    <w:rsid w:val="00507978"/>
    <w:rsid w:val="00507B2B"/>
    <w:rsid w:val="00507EC3"/>
    <w:rsid w:val="005100E5"/>
    <w:rsid w:val="005105FC"/>
    <w:rsid w:val="00510E57"/>
    <w:rsid w:val="00510F68"/>
    <w:rsid w:val="005110B0"/>
    <w:rsid w:val="005114D5"/>
    <w:rsid w:val="00511B8B"/>
    <w:rsid w:val="00511BE6"/>
    <w:rsid w:val="00512014"/>
    <w:rsid w:val="00512A07"/>
    <w:rsid w:val="00513039"/>
    <w:rsid w:val="005133DD"/>
    <w:rsid w:val="005138D2"/>
    <w:rsid w:val="00513D10"/>
    <w:rsid w:val="005140D0"/>
    <w:rsid w:val="00514176"/>
    <w:rsid w:val="0051439E"/>
    <w:rsid w:val="00514994"/>
    <w:rsid w:val="005149A5"/>
    <w:rsid w:val="00514ABA"/>
    <w:rsid w:val="0051547C"/>
    <w:rsid w:val="005161EC"/>
    <w:rsid w:val="005165F8"/>
    <w:rsid w:val="00516E3C"/>
    <w:rsid w:val="00517E1E"/>
    <w:rsid w:val="00520147"/>
    <w:rsid w:val="00520227"/>
    <w:rsid w:val="0052045A"/>
    <w:rsid w:val="005209B5"/>
    <w:rsid w:val="00520B2F"/>
    <w:rsid w:val="00520CC4"/>
    <w:rsid w:val="00520DE7"/>
    <w:rsid w:val="005213D3"/>
    <w:rsid w:val="00521DA3"/>
    <w:rsid w:val="0052202C"/>
    <w:rsid w:val="005220F3"/>
    <w:rsid w:val="00522674"/>
    <w:rsid w:val="00522773"/>
    <w:rsid w:val="00522AB5"/>
    <w:rsid w:val="00522C77"/>
    <w:rsid w:val="00523B11"/>
    <w:rsid w:val="00523DEA"/>
    <w:rsid w:val="005243FF"/>
    <w:rsid w:val="00524459"/>
    <w:rsid w:val="00524570"/>
    <w:rsid w:val="00524802"/>
    <w:rsid w:val="00524DF0"/>
    <w:rsid w:val="00525385"/>
    <w:rsid w:val="005254BD"/>
    <w:rsid w:val="0052589C"/>
    <w:rsid w:val="005265A1"/>
    <w:rsid w:val="0052697E"/>
    <w:rsid w:val="00526E73"/>
    <w:rsid w:val="00526ED9"/>
    <w:rsid w:val="00526F2F"/>
    <w:rsid w:val="0052728B"/>
    <w:rsid w:val="005311A3"/>
    <w:rsid w:val="005316DD"/>
    <w:rsid w:val="00531751"/>
    <w:rsid w:val="005317A1"/>
    <w:rsid w:val="0053187B"/>
    <w:rsid w:val="005318ED"/>
    <w:rsid w:val="00531E7A"/>
    <w:rsid w:val="0053234D"/>
    <w:rsid w:val="00532615"/>
    <w:rsid w:val="005327BF"/>
    <w:rsid w:val="005331CC"/>
    <w:rsid w:val="005337D9"/>
    <w:rsid w:val="00533F67"/>
    <w:rsid w:val="005347CD"/>
    <w:rsid w:val="00534C54"/>
    <w:rsid w:val="00535630"/>
    <w:rsid w:val="005357F2"/>
    <w:rsid w:val="00535923"/>
    <w:rsid w:val="005360F8"/>
    <w:rsid w:val="0053659D"/>
    <w:rsid w:val="005370BF"/>
    <w:rsid w:val="005401AC"/>
    <w:rsid w:val="005403CB"/>
    <w:rsid w:val="00540645"/>
    <w:rsid w:val="0054089F"/>
    <w:rsid w:val="00541078"/>
    <w:rsid w:val="005411F7"/>
    <w:rsid w:val="00541240"/>
    <w:rsid w:val="0054175A"/>
    <w:rsid w:val="00541C22"/>
    <w:rsid w:val="00541E64"/>
    <w:rsid w:val="005431D8"/>
    <w:rsid w:val="0054356A"/>
    <w:rsid w:val="005439C2"/>
    <w:rsid w:val="00544490"/>
    <w:rsid w:val="00544A6D"/>
    <w:rsid w:val="00545479"/>
    <w:rsid w:val="0054640C"/>
    <w:rsid w:val="00546F2F"/>
    <w:rsid w:val="005471F9"/>
    <w:rsid w:val="005473BE"/>
    <w:rsid w:val="005476AB"/>
    <w:rsid w:val="00547D83"/>
    <w:rsid w:val="0055044D"/>
    <w:rsid w:val="005507A6"/>
    <w:rsid w:val="00550B4B"/>
    <w:rsid w:val="00550C38"/>
    <w:rsid w:val="005512B2"/>
    <w:rsid w:val="0055134A"/>
    <w:rsid w:val="005513C2"/>
    <w:rsid w:val="00552377"/>
    <w:rsid w:val="005523E8"/>
    <w:rsid w:val="005527D3"/>
    <w:rsid w:val="00552D63"/>
    <w:rsid w:val="00552ED7"/>
    <w:rsid w:val="0055303A"/>
    <w:rsid w:val="0055392E"/>
    <w:rsid w:val="00553CB9"/>
    <w:rsid w:val="00553D8B"/>
    <w:rsid w:val="00555630"/>
    <w:rsid w:val="00556A5C"/>
    <w:rsid w:val="00556DF6"/>
    <w:rsid w:val="00556EE0"/>
    <w:rsid w:val="005574C0"/>
    <w:rsid w:val="005577BE"/>
    <w:rsid w:val="00557B83"/>
    <w:rsid w:val="00557CCC"/>
    <w:rsid w:val="00560AA4"/>
    <w:rsid w:val="00560B06"/>
    <w:rsid w:val="00560B1F"/>
    <w:rsid w:val="00560F4D"/>
    <w:rsid w:val="00561036"/>
    <w:rsid w:val="005615AA"/>
    <w:rsid w:val="00561A64"/>
    <w:rsid w:val="00561D82"/>
    <w:rsid w:val="005626E8"/>
    <w:rsid w:val="00562739"/>
    <w:rsid w:val="00562749"/>
    <w:rsid w:val="0056293B"/>
    <w:rsid w:val="00562BE7"/>
    <w:rsid w:val="0056307D"/>
    <w:rsid w:val="00563630"/>
    <w:rsid w:val="00564053"/>
    <w:rsid w:val="00564303"/>
    <w:rsid w:val="00564C2F"/>
    <w:rsid w:val="00564FBC"/>
    <w:rsid w:val="005650A3"/>
    <w:rsid w:val="00565184"/>
    <w:rsid w:val="00565B80"/>
    <w:rsid w:val="0056660A"/>
    <w:rsid w:val="00566938"/>
    <w:rsid w:val="005669A0"/>
    <w:rsid w:val="00566C46"/>
    <w:rsid w:val="0056715E"/>
    <w:rsid w:val="00567820"/>
    <w:rsid w:val="00567F77"/>
    <w:rsid w:val="00571283"/>
    <w:rsid w:val="0057131B"/>
    <w:rsid w:val="00571752"/>
    <w:rsid w:val="0057180A"/>
    <w:rsid w:val="00571FEF"/>
    <w:rsid w:val="00572192"/>
    <w:rsid w:val="0057296E"/>
    <w:rsid w:val="00572B45"/>
    <w:rsid w:val="00572EF0"/>
    <w:rsid w:val="00573302"/>
    <w:rsid w:val="00573AE3"/>
    <w:rsid w:val="00573B7A"/>
    <w:rsid w:val="00573C72"/>
    <w:rsid w:val="00573C83"/>
    <w:rsid w:val="00573FEE"/>
    <w:rsid w:val="0057403D"/>
    <w:rsid w:val="00574891"/>
    <w:rsid w:val="00574941"/>
    <w:rsid w:val="00575175"/>
    <w:rsid w:val="0057547E"/>
    <w:rsid w:val="00575550"/>
    <w:rsid w:val="00575862"/>
    <w:rsid w:val="005759A0"/>
    <w:rsid w:val="00575E1B"/>
    <w:rsid w:val="00575E9F"/>
    <w:rsid w:val="005760C0"/>
    <w:rsid w:val="005760D6"/>
    <w:rsid w:val="00576138"/>
    <w:rsid w:val="005764D3"/>
    <w:rsid w:val="005770A0"/>
    <w:rsid w:val="005770A6"/>
    <w:rsid w:val="00577566"/>
    <w:rsid w:val="00577A2A"/>
    <w:rsid w:val="00577EAD"/>
    <w:rsid w:val="005802F3"/>
    <w:rsid w:val="00580902"/>
    <w:rsid w:val="00580C69"/>
    <w:rsid w:val="00580E6D"/>
    <w:rsid w:val="00581490"/>
    <w:rsid w:val="005815FB"/>
    <w:rsid w:val="00581E1C"/>
    <w:rsid w:val="00582442"/>
    <w:rsid w:val="00582644"/>
    <w:rsid w:val="005826C4"/>
    <w:rsid w:val="0058284F"/>
    <w:rsid w:val="0058383A"/>
    <w:rsid w:val="00583D06"/>
    <w:rsid w:val="005843EF"/>
    <w:rsid w:val="00584643"/>
    <w:rsid w:val="005847AA"/>
    <w:rsid w:val="00585034"/>
    <w:rsid w:val="005856AA"/>
    <w:rsid w:val="00585AC2"/>
    <w:rsid w:val="00585AEF"/>
    <w:rsid w:val="005866F3"/>
    <w:rsid w:val="00586B02"/>
    <w:rsid w:val="00586CF9"/>
    <w:rsid w:val="0058760F"/>
    <w:rsid w:val="005900CB"/>
    <w:rsid w:val="00590433"/>
    <w:rsid w:val="00590601"/>
    <w:rsid w:val="005910CB"/>
    <w:rsid w:val="00591987"/>
    <w:rsid w:val="00592E8B"/>
    <w:rsid w:val="00593225"/>
    <w:rsid w:val="005936D8"/>
    <w:rsid w:val="0059374A"/>
    <w:rsid w:val="00593D2B"/>
    <w:rsid w:val="00594EBF"/>
    <w:rsid w:val="00594FBE"/>
    <w:rsid w:val="00595D74"/>
    <w:rsid w:val="0059627C"/>
    <w:rsid w:val="0059627D"/>
    <w:rsid w:val="00596323"/>
    <w:rsid w:val="005968B1"/>
    <w:rsid w:val="0059694B"/>
    <w:rsid w:val="0059707C"/>
    <w:rsid w:val="005A00FC"/>
    <w:rsid w:val="005A0A3C"/>
    <w:rsid w:val="005A0C98"/>
    <w:rsid w:val="005A0F7C"/>
    <w:rsid w:val="005A1161"/>
    <w:rsid w:val="005A1268"/>
    <w:rsid w:val="005A1428"/>
    <w:rsid w:val="005A1475"/>
    <w:rsid w:val="005A17A6"/>
    <w:rsid w:val="005A1AA3"/>
    <w:rsid w:val="005A1AF1"/>
    <w:rsid w:val="005A1B94"/>
    <w:rsid w:val="005A1E33"/>
    <w:rsid w:val="005A2039"/>
    <w:rsid w:val="005A21AA"/>
    <w:rsid w:val="005A22A6"/>
    <w:rsid w:val="005A3061"/>
    <w:rsid w:val="005A3FC9"/>
    <w:rsid w:val="005A48F6"/>
    <w:rsid w:val="005A49BC"/>
    <w:rsid w:val="005A4B34"/>
    <w:rsid w:val="005A4B88"/>
    <w:rsid w:val="005A587B"/>
    <w:rsid w:val="005A63BF"/>
    <w:rsid w:val="005A6458"/>
    <w:rsid w:val="005A69F7"/>
    <w:rsid w:val="005A6D74"/>
    <w:rsid w:val="005A70E3"/>
    <w:rsid w:val="005A71C5"/>
    <w:rsid w:val="005A77B7"/>
    <w:rsid w:val="005A7C0D"/>
    <w:rsid w:val="005A7EFF"/>
    <w:rsid w:val="005B045B"/>
    <w:rsid w:val="005B0810"/>
    <w:rsid w:val="005B0B73"/>
    <w:rsid w:val="005B24EB"/>
    <w:rsid w:val="005B2ACC"/>
    <w:rsid w:val="005B2BC0"/>
    <w:rsid w:val="005B2BCF"/>
    <w:rsid w:val="005B2EEB"/>
    <w:rsid w:val="005B2F8A"/>
    <w:rsid w:val="005B3F5A"/>
    <w:rsid w:val="005B3FF4"/>
    <w:rsid w:val="005B4D90"/>
    <w:rsid w:val="005B53AF"/>
    <w:rsid w:val="005B59BD"/>
    <w:rsid w:val="005B5BB6"/>
    <w:rsid w:val="005B6877"/>
    <w:rsid w:val="005B6E20"/>
    <w:rsid w:val="005B78B3"/>
    <w:rsid w:val="005C0647"/>
    <w:rsid w:val="005C0B9D"/>
    <w:rsid w:val="005C0E44"/>
    <w:rsid w:val="005C109F"/>
    <w:rsid w:val="005C10F8"/>
    <w:rsid w:val="005C167B"/>
    <w:rsid w:val="005C16BA"/>
    <w:rsid w:val="005C18B0"/>
    <w:rsid w:val="005C1ADA"/>
    <w:rsid w:val="005C1CF5"/>
    <w:rsid w:val="005C2524"/>
    <w:rsid w:val="005C2D0B"/>
    <w:rsid w:val="005C2FBE"/>
    <w:rsid w:val="005C3159"/>
    <w:rsid w:val="005C32EC"/>
    <w:rsid w:val="005C3405"/>
    <w:rsid w:val="005C3C40"/>
    <w:rsid w:val="005C3FA0"/>
    <w:rsid w:val="005C40DB"/>
    <w:rsid w:val="005C41A5"/>
    <w:rsid w:val="005C441C"/>
    <w:rsid w:val="005C4E9B"/>
    <w:rsid w:val="005C5070"/>
    <w:rsid w:val="005C5D4D"/>
    <w:rsid w:val="005C6F65"/>
    <w:rsid w:val="005C6FF0"/>
    <w:rsid w:val="005C7FA5"/>
    <w:rsid w:val="005D02F0"/>
    <w:rsid w:val="005D05E8"/>
    <w:rsid w:val="005D0BAE"/>
    <w:rsid w:val="005D1217"/>
    <w:rsid w:val="005D13F6"/>
    <w:rsid w:val="005D16FE"/>
    <w:rsid w:val="005D2C78"/>
    <w:rsid w:val="005D2F0C"/>
    <w:rsid w:val="005D3458"/>
    <w:rsid w:val="005D429C"/>
    <w:rsid w:val="005D480E"/>
    <w:rsid w:val="005D4B63"/>
    <w:rsid w:val="005D4B71"/>
    <w:rsid w:val="005D4CA4"/>
    <w:rsid w:val="005D558B"/>
    <w:rsid w:val="005D5832"/>
    <w:rsid w:val="005D61E0"/>
    <w:rsid w:val="005D62B8"/>
    <w:rsid w:val="005D6674"/>
    <w:rsid w:val="005D69D7"/>
    <w:rsid w:val="005D6DB9"/>
    <w:rsid w:val="005E05C6"/>
    <w:rsid w:val="005E0A3B"/>
    <w:rsid w:val="005E0B41"/>
    <w:rsid w:val="005E1167"/>
    <w:rsid w:val="005E2087"/>
    <w:rsid w:val="005E23D7"/>
    <w:rsid w:val="005E25BD"/>
    <w:rsid w:val="005E29E7"/>
    <w:rsid w:val="005E2AA5"/>
    <w:rsid w:val="005E3787"/>
    <w:rsid w:val="005E40C9"/>
    <w:rsid w:val="005E4116"/>
    <w:rsid w:val="005E49C1"/>
    <w:rsid w:val="005E4A04"/>
    <w:rsid w:val="005E4D8A"/>
    <w:rsid w:val="005E4EE3"/>
    <w:rsid w:val="005E55AF"/>
    <w:rsid w:val="005E5DB5"/>
    <w:rsid w:val="005E644E"/>
    <w:rsid w:val="005E6D77"/>
    <w:rsid w:val="005E6DA7"/>
    <w:rsid w:val="005E730F"/>
    <w:rsid w:val="005E77AA"/>
    <w:rsid w:val="005E7DCF"/>
    <w:rsid w:val="005E7EC2"/>
    <w:rsid w:val="005F01D8"/>
    <w:rsid w:val="005F0CBF"/>
    <w:rsid w:val="005F0FE2"/>
    <w:rsid w:val="005F10A5"/>
    <w:rsid w:val="005F1382"/>
    <w:rsid w:val="005F14DE"/>
    <w:rsid w:val="005F1DC6"/>
    <w:rsid w:val="005F1EB2"/>
    <w:rsid w:val="005F1FB4"/>
    <w:rsid w:val="005F20FC"/>
    <w:rsid w:val="005F212E"/>
    <w:rsid w:val="005F2235"/>
    <w:rsid w:val="005F2947"/>
    <w:rsid w:val="005F2AF6"/>
    <w:rsid w:val="005F2BA2"/>
    <w:rsid w:val="005F2F2F"/>
    <w:rsid w:val="005F3E99"/>
    <w:rsid w:val="005F3F1F"/>
    <w:rsid w:val="005F40D5"/>
    <w:rsid w:val="005F4C24"/>
    <w:rsid w:val="005F4CA7"/>
    <w:rsid w:val="005F53AC"/>
    <w:rsid w:val="005F5748"/>
    <w:rsid w:val="005F57BF"/>
    <w:rsid w:val="005F5CD2"/>
    <w:rsid w:val="005F5EA1"/>
    <w:rsid w:val="005F672B"/>
    <w:rsid w:val="005F7158"/>
    <w:rsid w:val="006002FA"/>
    <w:rsid w:val="006004CD"/>
    <w:rsid w:val="00600737"/>
    <w:rsid w:val="00600818"/>
    <w:rsid w:val="006014A1"/>
    <w:rsid w:val="00601A76"/>
    <w:rsid w:val="00601F3B"/>
    <w:rsid w:val="00601F7F"/>
    <w:rsid w:val="0060210E"/>
    <w:rsid w:val="00602513"/>
    <w:rsid w:val="00602CBC"/>
    <w:rsid w:val="0060308D"/>
    <w:rsid w:val="00603646"/>
    <w:rsid w:val="00603AD8"/>
    <w:rsid w:val="00603F80"/>
    <w:rsid w:val="00603FE9"/>
    <w:rsid w:val="006043EC"/>
    <w:rsid w:val="00604BE0"/>
    <w:rsid w:val="00604C65"/>
    <w:rsid w:val="00604E54"/>
    <w:rsid w:val="0060530C"/>
    <w:rsid w:val="0060541C"/>
    <w:rsid w:val="0060601A"/>
    <w:rsid w:val="00606754"/>
    <w:rsid w:val="0060737B"/>
    <w:rsid w:val="00607EC5"/>
    <w:rsid w:val="00610283"/>
    <w:rsid w:val="0061078E"/>
    <w:rsid w:val="006109C4"/>
    <w:rsid w:val="00610F4D"/>
    <w:rsid w:val="00611108"/>
    <w:rsid w:val="006113F3"/>
    <w:rsid w:val="0061170D"/>
    <w:rsid w:val="00611715"/>
    <w:rsid w:val="00611C14"/>
    <w:rsid w:val="00611D45"/>
    <w:rsid w:val="00613E4D"/>
    <w:rsid w:val="006145EF"/>
    <w:rsid w:val="00614BC3"/>
    <w:rsid w:val="00614C69"/>
    <w:rsid w:val="00614C84"/>
    <w:rsid w:val="00614E2E"/>
    <w:rsid w:val="006152AF"/>
    <w:rsid w:val="0061551D"/>
    <w:rsid w:val="00616F03"/>
    <w:rsid w:val="0061730D"/>
    <w:rsid w:val="00617541"/>
    <w:rsid w:val="00617746"/>
    <w:rsid w:val="00617BE8"/>
    <w:rsid w:val="00620270"/>
    <w:rsid w:val="00620B99"/>
    <w:rsid w:val="0062134A"/>
    <w:rsid w:val="006218E0"/>
    <w:rsid w:val="006218FC"/>
    <w:rsid w:val="00622372"/>
    <w:rsid w:val="006223DB"/>
    <w:rsid w:val="006229F9"/>
    <w:rsid w:val="0062315F"/>
    <w:rsid w:val="00623875"/>
    <w:rsid w:val="006239BE"/>
    <w:rsid w:val="00623B53"/>
    <w:rsid w:val="0062412D"/>
    <w:rsid w:val="00624CBE"/>
    <w:rsid w:val="0062532D"/>
    <w:rsid w:val="00625E67"/>
    <w:rsid w:val="00625FBE"/>
    <w:rsid w:val="006265FA"/>
    <w:rsid w:val="0062714C"/>
    <w:rsid w:val="00627892"/>
    <w:rsid w:val="00630181"/>
    <w:rsid w:val="006302A2"/>
    <w:rsid w:val="006304E5"/>
    <w:rsid w:val="00630E01"/>
    <w:rsid w:val="006310DF"/>
    <w:rsid w:val="0063126A"/>
    <w:rsid w:val="006315AD"/>
    <w:rsid w:val="006323CA"/>
    <w:rsid w:val="00632836"/>
    <w:rsid w:val="00632BC4"/>
    <w:rsid w:val="00632F65"/>
    <w:rsid w:val="0063415D"/>
    <w:rsid w:val="006346AA"/>
    <w:rsid w:val="00634C0A"/>
    <w:rsid w:val="00634F18"/>
    <w:rsid w:val="00635041"/>
    <w:rsid w:val="00635463"/>
    <w:rsid w:val="006359CC"/>
    <w:rsid w:val="00636548"/>
    <w:rsid w:val="00637561"/>
    <w:rsid w:val="00637D5A"/>
    <w:rsid w:val="00637F0F"/>
    <w:rsid w:val="0064024A"/>
    <w:rsid w:val="006402B5"/>
    <w:rsid w:val="006410A3"/>
    <w:rsid w:val="006413D5"/>
    <w:rsid w:val="00641A4B"/>
    <w:rsid w:val="006423EB"/>
    <w:rsid w:val="006423F1"/>
    <w:rsid w:val="006424AE"/>
    <w:rsid w:val="0064329C"/>
    <w:rsid w:val="00643593"/>
    <w:rsid w:val="00643AD9"/>
    <w:rsid w:val="006440EE"/>
    <w:rsid w:val="00644AAA"/>
    <w:rsid w:val="00644B84"/>
    <w:rsid w:val="00644E5A"/>
    <w:rsid w:val="006457F2"/>
    <w:rsid w:val="00645C3C"/>
    <w:rsid w:val="0064609A"/>
    <w:rsid w:val="00646A13"/>
    <w:rsid w:val="006472AF"/>
    <w:rsid w:val="006475EC"/>
    <w:rsid w:val="00647734"/>
    <w:rsid w:val="00647ABC"/>
    <w:rsid w:val="00647C67"/>
    <w:rsid w:val="00647FC5"/>
    <w:rsid w:val="00647FEE"/>
    <w:rsid w:val="00647FEF"/>
    <w:rsid w:val="00650370"/>
    <w:rsid w:val="00650464"/>
    <w:rsid w:val="006506EB"/>
    <w:rsid w:val="006506F5"/>
    <w:rsid w:val="00651019"/>
    <w:rsid w:val="00651476"/>
    <w:rsid w:val="00651A31"/>
    <w:rsid w:val="006526C4"/>
    <w:rsid w:val="006527FB"/>
    <w:rsid w:val="00652B05"/>
    <w:rsid w:val="0065310A"/>
    <w:rsid w:val="006535F1"/>
    <w:rsid w:val="00653956"/>
    <w:rsid w:val="00654448"/>
    <w:rsid w:val="00654CDE"/>
    <w:rsid w:val="00654F05"/>
    <w:rsid w:val="00655439"/>
    <w:rsid w:val="0065557D"/>
    <w:rsid w:val="00655EA9"/>
    <w:rsid w:val="00656DAF"/>
    <w:rsid w:val="00656DD5"/>
    <w:rsid w:val="00656E30"/>
    <w:rsid w:val="0065760C"/>
    <w:rsid w:val="0065792A"/>
    <w:rsid w:val="00657A3E"/>
    <w:rsid w:val="00657F02"/>
    <w:rsid w:val="00660011"/>
    <w:rsid w:val="00660278"/>
    <w:rsid w:val="006602B8"/>
    <w:rsid w:val="0066117D"/>
    <w:rsid w:val="006615C6"/>
    <w:rsid w:val="00661B43"/>
    <w:rsid w:val="00661D48"/>
    <w:rsid w:val="006625EF"/>
    <w:rsid w:val="006627FA"/>
    <w:rsid w:val="00662984"/>
    <w:rsid w:val="00662C8C"/>
    <w:rsid w:val="00663820"/>
    <w:rsid w:val="0066421D"/>
    <w:rsid w:val="00664283"/>
    <w:rsid w:val="00664C9A"/>
    <w:rsid w:val="00665442"/>
    <w:rsid w:val="00665E12"/>
    <w:rsid w:val="00665E85"/>
    <w:rsid w:val="00666555"/>
    <w:rsid w:val="00666608"/>
    <w:rsid w:val="00666A3F"/>
    <w:rsid w:val="00666B97"/>
    <w:rsid w:val="00667259"/>
    <w:rsid w:val="0066795A"/>
    <w:rsid w:val="00667D3F"/>
    <w:rsid w:val="00667D7D"/>
    <w:rsid w:val="00667DC9"/>
    <w:rsid w:val="00670084"/>
    <w:rsid w:val="006701DA"/>
    <w:rsid w:val="00670898"/>
    <w:rsid w:val="00671310"/>
    <w:rsid w:val="00671577"/>
    <w:rsid w:val="00671F36"/>
    <w:rsid w:val="00671FAB"/>
    <w:rsid w:val="0067259B"/>
    <w:rsid w:val="00672A3E"/>
    <w:rsid w:val="00672EBD"/>
    <w:rsid w:val="006730F7"/>
    <w:rsid w:val="006733C8"/>
    <w:rsid w:val="0067397F"/>
    <w:rsid w:val="00673C70"/>
    <w:rsid w:val="00673DE2"/>
    <w:rsid w:val="00675197"/>
    <w:rsid w:val="00675507"/>
    <w:rsid w:val="0067567A"/>
    <w:rsid w:val="00675719"/>
    <w:rsid w:val="00675AFE"/>
    <w:rsid w:val="00675BE3"/>
    <w:rsid w:val="00675C2C"/>
    <w:rsid w:val="0067628C"/>
    <w:rsid w:val="00676708"/>
    <w:rsid w:val="00676F97"/>
    <w:rsid w:val="00677C5B"/>
    <w:rsid w:val="00680084"/>
    <w:rsid w:val="0068015C"/>
    <w:rsid w:val="00680702"/>
    <w:rsid w:val="00680862"/>
    <w:rsid w:val="0068126F"/>
    <w:rsid w:val="0068271C"/>
    <w:rsid w:val="0068277A"/>
    <w:rsid w:val="00682949"/>
    <w:rsid w:val="00682DAD"/>
    <w:rsid w:val="00682E1B"/>
    <w:rsid w:val="006835AC"/>
    <w:rsid w:val="00683927"/>
    <w:rsid w:val="00683CBD"/>
    <w:rsid w:val="006842CC"/>
    <w:rsid w:val="00684370"/>
    <w:rsid w:val="00684A64"/>
    <w:rsid w:val="00685485"/>
    <w:rsid w:val="0068577A"/>
    <w:rsid w:val="006862E3"/>
    <w:rsid w:val="006863EC"/>
    <w:rsid w:val="00686C3B"/>
    <w:rsid w:val="00686D92"/>
    <w:rsid w:val="00686EC7"/>
    <w:rsid w:val="00686EEB"/>
    <w:rsid w:val="00687891"/>
    <w:rsid w:val="00687A2C"/>
    <w:rsid w:val="00687B90"/>
    <w:rsid w:val="0069080C"/>
    <w:rsid w:val="00690A1D"/>
    <w:rsid w:val="00690D65"/>
    <w:rsid w:val="0069118A"/>
    <w:rsid w:val="0069202C"/>
    <w:rsid w:val="0069266B"/>
    <w:rsid w:val="00692CF3"/>
    <w:rsid w:val="00692F1E"/>
    <w:rsid w:val="00693005"/>
    <w:rsid w:val="0069419C"/>
    <w:rsid w:val="006950FD"/>
    <w:rsid w:val="0069585F"/>
    <w:rsid w:val="00695AF2"/>
    <w:rsid w:val="00696E33"/>
    <w:rsid w:val="0069714D"/>
    <w:rsid w:val="0069715C"/>
    <w:rsid w:val="00697331"/>
    <w:rsid w:val="006973F1"/>
    <w:rsid w:val="00697427"/>
    <w:rsid w:val="0069784D"/>
    <w:rsid w:val="006978BC"/>
    <w:rsid w:val="006A014D"/>
    <w:rsid w:val="006A02F3"/>
    <w:rsid w:val="006A04AB"/>
    <w:rsid w:val="006A0894"/>
    <w:rsid w:val="006A0AC1"/>
    <w:rsid w:val="006A1159"/>
    <w:rsid w:val="006A1660"/>
    <w:rsid w:val="006A18DB"/>
    <w:rsid w:val="006A1954"/>
    <w:rsid w:val="006A1D68"/>
    <w:rsid w:val="006A1D7A"/>
    <w:rsid w:val="006A24C5"/>
    <w:rsid w:val="006A2571"/>
    <w:rsid w:val="006A2758"/>
    <w:rsid w:val="006A294A"/>
    <w:rsid w:val="006A2A67"/>
    <w:rsid w:val="006A2D12"/>
    <w:rsid w:val="006A2DD4"/>
    <w:rsid w:val="006A30F6"/>
    <w:rsid w:val="006A36A5"/>
    <w:rsid w:val="006A3AEB"/>
    <w:rsid w:val="006A3DA0"/>
    <w:rsid w:val="006A41FA"/>
    <w:rsid w:val="006A440E"/>
    <w:rsid w:val="006A4DB4"/>
    <w:rsid w:val="006A5037"/>
    <w:rsid w:val="006A557C"/>
    <w:rsid w:val="006A583E"/>
    <w:rsid w:val="006A59A2"/>
    <w:rsid w:val="006A5BA7"/>
    <w:rsid w:val="006A5D29"/>
    <w:rsid w:val="006A5DB7"/>
    <w:rsid w:val="006A5E5E"/>
    <w:rsid w:val="006A5EDF"/>
    <w:rsid w:val="006A687A"/>
    <w:rsid w:val="006A6B80"/>
    <w:rsid w:val="006A71D0"/>
    <w:rsid w:val="006A7317"/>
    <w:rsid w:val="006A7CF2"/>
    <w:rsid w:val="006A7D15"/>
    <w:rsid w:val="006B0DD4"/>
    <w:rsid w:val="006B154E"/>
    <w:rsid w:val="006B20FB"/>
    <w:rsid w:val="006B211B"/>
    <w:rsid w:val="006B2905"/>
    <w:rsid w:val="006B2E0B"/>
    <w:rsid w:val="006B382D"/>
    <w:rsid w:val="006B3C3A"/>
    <w:rsid w:val="006B43F0"/>
    <w:rsid w:val="006B444F"/>
    <w:rsid w:val="006B474B"/>
    <w:rsid w:val="006B4948"/>
    <w:rsid w:val="006B4A57"/>
    <w:rsid w:val="006B4D16"/>
    <w:rsid w:val="006B4FB7"/>
    <w:rsid w:val="006B5EB0"/>
    <w:rsid w:val="006B5EB8"/>
    <w:rsid w:val="006B62B7"/>
    <w:rsid w:val="006B674B"/>
    <w:rsid w:val="006B69B1"/>
    <w:rsid w:val="006B6DCC"/>
    <w:rsid w:val="006B71AA"/>
    <w:rsid w:val="006B7566"/>
    <w:rsid w:val="006B7A0C"/>
    <w:rsid w:val="006B7A76"/>
    <w:rsid w:val="006B7BB3"/>
    <w:rsid w:val="006B7C14"/>
    <w:rsid w:val="006C0DBF"/>
    <w:rsid w:val="006C2022"/>
    <w:rsid w:val="006C259C"/>
    <w:rsid w:val="006C27CD"/>
    <w:rsid w:val="006C3844"/>
    <w:rsid w:val="006C3F41"/>
    <w:rsid w:val="006C43E8"/>
    <w:rsid w:val="006C463B"/>
    <w:rsid w:val="006C5024"/>
    <w:rsid w:val="006C5847"/>
    <w:rsid w:val="006C5B22"/>
    <w:rsid w:val="006C601E"/>
    <w:rsid w:val="006C619C"/>
    <w:rsid w:val="006C6698"/>
    <w:rsid w:val="006C6C67"/>
    <w:rsid w:val="006C6EDD"/>
    <w:rsid w:val="006C7AC9"/>
    <w:rsid w:val="006C7F68"/>
    <w:rsid w:val="006C7F6B"/>
    <w:rsid w:val="006D0241"/>
    <w:rsid w:val="006D0B03"/>
    <w:rsid w:val="006D12F8"/>
    <w:rsid w:val="006D136E"/>
    <w:rsid w:val="006D17BB"/>
    <w:rsid w:val="006D17FE"/>
    <w:rsid w:val="006D1819"/>
    <w:rsid w:val="006D2152"/>
    <w:rsid w:val="006D25B6"/>
    <w:rsid w:val="006D2E61"/>
    <w:rsid w:val="006D34DE"/>
    <w:rsid w:val="006D3D13"/>
    <w:rsid w:val="006D490A"/>
    <w:rsid w:val="006D4E48"/>
    <w:rsid w:val="006D4EA6"/>
    <w:rsid w:val="006D57AA"/>
    <w:rsid w:val="006D5870"/>
    <w:rsid w:val="006D5914"/>
    <w:rsid w:val="006D5A50"/>
    <w:rsid w:val="006D5CED"/>
    <w:rsid w:val="006D6475"/>
    <w:rsid w:val="006D6709"/>
    <w:rsid w:val="006D6780"/>
    <w:rsid w:val="006D735A"/>
    <w:rsid w:val="006D747B"/>
    <w:rsid w:val="006E00F7"/>
    <w:rsid w:val="006E0D8A"/>
    <w:rsid w:val="006E0FFF"/>
    <w:rsid w:val="006E1E85"/>
    <w:rsid w:val="006E27BF"/>
    <w:rsid w:val="006E29CA"/>
    <w:rsid w:val="006E2C2C"/>
    <w:rsid w:val="006E41FC"/>
    <w:rsid w:val="006E5383"/>
    <w:rsid w:val="006E53B3"/>
    <w:rsid w:val="006E59A8"/>
    <w:rsid w:val="006E5D08"/>
    <w:rsid w:val="006E5DF8"/>
    <w:rsid w:val="006E6006"/>
    <w:rsid w:val="006E6075"/>
    <w:rsid w:val="006E6786"/>
    <w:rsid w:val="006E6A1D"/>
    <w:rsid w:val="006E6CD3"/>
    <w:rsid w:val="006E776D"/>
    <w:rsid w:val="006E7B78"/>
    <w:rsid w:val="006E7E19"/>
    <w:rsid w:val="006E7FE4"/>
    <w:rsid w:val="006F00AA"/>
    <w:rsid w:val="006F0140"/>
    <w:rsid w:val="006F0378"/>
    <w:rsid w:val="006F0592"/>
    <w:rsid w:val="006F05F5"/>
    <w:rsid w:val="006F0CE1"/>
    <w:rsid w:val="006F1824"/>
    <w:rsid w:val="006F1A96"/>
    <w:rsid w:val="006F1B9F"/>
    <w:rsid w:val="006F21D7"/>
    <w:rsid w:val="006F241C"/>
    <w:rsid w:val="006F39D5"/>
    <w:rsid w:val="006F3BBC"/>
    <w:rsid w:val="006F3EA2"/>
    <w:rsid w:val="006F4099"/>
    <w:rsid w:val="006F4122"/>
    <w:rsid w:val="006F42AE"/>
    <w:rsid w:val="006F47A2"/>
    <w:rsid w:val="006F507E"/>
    <w:rsid w:val="006F513C"/>
    <w:rsid w:val="006F5805"/>
    <w:rsid w:val="006F588C"/>
    <w:rsid w:val="006F5988"/>
    <w:rsid w:val="006F5C39"/>
    <w:rsid w:val="006F64EA"/>
    <w:rsid w:val="006F676A"/>
    <w:rsid w:val="006F6AF0"/>
    <w:rsid w:val="006F6DD5"/>
    <w:rsid w:val="006F73E8"/>
    <w:rsid w:val="006F7C19"/>
    <w:rsid w:val="006F7E85"/>
    <w:rsid w:val="0070000E"/>
    <w:rsid w:val="00700601"/>
    <w:rsid w:val="00701F73"/>
    <w:rsid w:val="007022E8"/>
    <w:rsid w:val="0070238B"/>
    <w:rsid w:val="007027ED"/>
    <w:rsid w:val="00703159"/>
    <w:rsid w:val="0070318B"/>
    <w:rsid w:val="0070333A"/>
    <w:rsid w:val="007039B0"/>
    <w:rsid w:val="00703D5D"/>
    <w:rsid w:val="00704252"/>
    <w:rsid w:val="00704988"/>
    <w:rsid w:val="00704A10"/>
    <w:rsid w:val="00704ACD"/>
    <w:rsid w:val="00704BBD"/>
    <w:rsid w:val="00704C2C"/>
    <w:rsid w:val="007050AA"/>
    <w:rsid w:val="00705167"/>
    <w:rsid w:val="00705267"/>
    <w:rsid w:val="00705DB9"/>
    <w:rsid w:val="00705F65"/>
    <w:rsid w:val="00706ADE"/>
    <w:rsid w:val="00706DDA"/>
    <w:rsid w:val="00706E3E"/>
    <w:rsid w:val="007072D0"/>
    <w:rsid w:val="007072E3"/>
    <w:rsid w:val="007111EB"/>
    <w:rsid w:val="0071138F"/>
    <w:rsid w:val="007117A0"/>
    <w:rsid w:val="0071197A"/>
    <w:rsid w:val="00711BF9"/>
    <w:rsid w:val="007125F1"/>
    <w:rsid w:val="0071266B"/>
    <w:rsid w:val="007129CA"/>
    <w:rsid w:val="00713597"/>
    <w:rsid w:val="00713865"/>
    <w:rsid w:val="00714BEB"/>
    <w:rsid w:val="0071503D"/>
    <w:rsid w:val="0071553A"/>
    <w:rsid w:val="007159FB"/>
    <w:rsid w:val="00715F85"/>
    <w:rsid w:val="0071603A"/>
    <w:rsid w:val="00716BCE"/>
    <w:rsid w:val="00716DA7"/>
    <w:rsid w:val="00716E82"/>
    <w:rsid w:val="00716E8A"/>
    <w:rsid w:val="007172E9"/>
    <w:rsid w:val="007177F2"/>
    <w:rsid w:val="00717A84"/>
    <w:rsid w:val="00717BB7"/>
    <w:rsid w:val="00717DC9"/>
    <w:rsid w:val="00717DDF"/>
    <w:rsid w:val="0072101D"/>
    <w:rsid w:val="007213E3"/>
    <w:rsid w:val="00721974"/>
    <w:rsid w:val="007223D6"/>
    <w:rsid w:val="00722508"/>
    <w:rsid w:val="00722E16"/>
    <w:rsid w:val="00723117"/>
    <w:rsid w:val="00723966"/>
    <w:rsid w:val="007245F8"/>
    <w:rsid w:val="00724851"/>
    <w:rsid w:val="0072533C"/>
    <w:rsid w:val="00725C89"/>
    <w:rsid w:val="00725EB5"/>
    <w:rsid w:val="0072662A"/>
    <w:rsid w:val="0072668D"/>
    <w:rsid w:val="00726B3A"/>
    <w:rsid w:val="00727007"/>
    <w:rsid w:val="0072713F"/>
    <w:rsid w:val="0072716E"/>
    <w:rsid w:val="007273C8"/>
    <w:rsid w:val="00727AB6"/>
    <w:rsid w:val="00727ACC"/>
    <w:rsid w:val="00727CB4"/>
    <w:rsid w:val="00727DA1"/>
    <w:rsid w:val="00727F1A"/>
    <w:rsid w:val="00731319"/>
    <w:rsid w:val="00731496"/>
    <w:rsid w:val="00731C4F"/>
    <w:rsid w:val="007322AE"/>
    <w:rsid w:val="00733742"/>
    <w:rsid w:val="00733DC3"/>
    <w:rsid w:val="00734446"/>
    <w:rsid w:val="00734B40"/>
    <w:rsid w:val="00734BD9"/>
    <w:rsid w:val="00734CB4"/>
    <w:rsid w:val="00735886"/>
    <w:rsid w:val="00735C7D"/>
    <w:rsid w:val="00736382"/>
    <w:rsid w:val="0073657E"/>
    <w:rsid w:val="00737D33"/>
    <w:rsid w:val="00740396"/>
    <w:rsid w:val="00740787"/>
    <w:rsid w:val="007407A6"/>
    <w:rsid w:val="00741B7B"/>
    <w:rsid w:val="00742906"/>
    <w:rsid w:val="00742D62"/>
    <w:rsid w:val="00743298"/>
    <w:rsid w:val="007433F4"/>
    <w:rsid w:val="007434DD"/>
    <w:rsid w:val="007438CA"/>
    <w:rsid w:val="00743C18"/>
    <w:rsid w:val="00743C8A"/>
    <w:rsid w:val="00743C9B"/>
    <w:rsid w:val="00743CC2"/>
    <w:rsid w:val="00744C2A"/>
    <w:rsid w:val="00744E47"/>
    <w:rsid w:val="0074509D"/>
    <w:rsid w:val="007450E4"/>
    <w:rsid w:val="0074519C"/>
    <w:rsid w:val="00745575"/>
    <w:rsid w:val="007456B0"/>
    <w:rsid w:val="0074630F"/>
    <w:rsid w:val="00746925"/>
    <w:rsid w:val="00746AF7"/>
    <w:rsid w:val="00746BAC"/>
    <w:rsid w:val="00747D96"/>
    <w:rsid w:val="00747E30"/>
    <w:rsid w:val="0075027E"/>
    <w:rsid w:val="0075051B"/>
    <w:rsid w:val="00750620"/>
    <w:rsid w:val="00750645"/>
    <w:rsid w:val="0075074C"/>
    <w:rsid w:val="0075084C"/>
    <w:rsid w:val="00750B67"/>
    <w:rsid w:val="00750CD1"/>
    <w:rsid w:val="007511F5"/>
    <w:rsid w:val="007515E4"/>
    <w:rsid w:val="00751913"/>
    <w:rsid w:val="00751D47"/>
    <w:rsid w:val="00752433"/>
    <w:rsid w:val="00752F2D"/>
    <w:rsid w:val="00753089"/>
    <w:rsid w:val="007535E9"/>
    <w:rsid w:val="00753AE6"/>
    <w:rsid w:val="00753BD2"/>
    <w:rsid w:val="00754501"/>
    <w:rsid w:val="00754E3B"/>
    <w:rsid w:val="00755453"/>
    <w:rsid w:val="00755AB8"/>
    <w:rsid w:val="00755B95"/>
    <w:rsid w:val="00755CF3"/>
    <w:rsid w:val="00755F77"/>
    <w:rsid w:val="007564E6"/>
    <w:rsid w:val="00757030"/>
    <w:rsid w:val="007570ED"/>
    <w:rsid w:val="007604B9"/>
    <w:rsid w:val="0076062A"/>
    <w:rsid w:val="007606DE"/>
    <w:rsid w:val="00760B93"/>
    <w:rsid w:val="00760ED5"/>
    <w:rsid w:val="00761757"/>
    <w:rsid w:val="00761864"/>
    <w:rsid w:val="00761A73"/>
    <w:rsid w:val="00761E04"/>
    <w:rsid w:val="007620E2"/>
    <w:rsid w:val="00762F82"/>
    <w:rsid w:val="00763710"/>
    <w:rsid w:val="0076371C"/>
    <w:rsid w:val="00763A13"/>
    <w:rsid w:val="00763B77"/>
    <w:rsid w:val="00764606"/>
    <w:rsid w:val="00764773"/>
    <w:rsid w:val="0076501D"/>
    <w:rsid w:val="00765043"/>
    <w:rsid w:val="0076578B"/>
    <w:rsid w:val="007659CA"/>
    <w:rsid w:val="00765F95"/>
    <w:rsid w:val="00765FB7"/>
    <w:rsid w:val="0076600A"/>
    <w:rsid w:val="0076607B"/>
    <w:rsid w:val="0076667B"/>
    <w:rsid w:val="007679B4"/>
    <w:rsid w:val="007679D3"/>
    <w:rsid w:val="0077026E"/>
    <w:rsid w:val="00770BD3"/>
    <w:rsid w:val="00770E74"/>
    <w:rsid w:val="0077175B"/>
    <w:rsid w:val="007717B7"/>
    <w:rsid w:val="00771B1C"/>
    <w:rsid w:val="00771D71"/>
    <w:rsid w:val="0077200F"/>
    <w:rsid w:val="00772528"/>
    <w:rsid w:val="007727BE"/>
    <w:rsid w:val="00772DA2"/>
    <w:rsid w:val="00772E50"/>
    <w:rsid w:val="0077328D"/>
    <w:rsid w:val="0077334B"/>
    <w:rsid w:val="00773920"/>
    <w:rsid w:val="00773C41"/>
    <w:rsid w:val="00773C7D"/>
    <w:rsid w:val="00774EE8"/>
    <w:rsid w:val="00775010"/>
    <w:rsid w:val="0077556E"/>
    <w:rsid w:val="0077576B"/>
    <w:rsid w:val="00775B37"/>
    <w:rsid w:val="00775BDE"/>
    <w:rsid w:val="0077677B"/>
    <w:rsid w:val="00776BA1"/>
    <w:rsid w:val="0077765F"/>
    <w:rsid w:val="007776C2"/>
    <w:rsid w:val="0077784F"/>
    <w:rsid w:val="00777EE7"/>
    <w:rsid w:val="007804C6"/>
    <w:rsid w:val="0078083C"/>
    <w:rsid w:val="00780A52"/>
    <w:rsid w:val="00780C78"/>
    <w:rsid w:val="00780F9B"/>
    <w:rsid w:val="00781AA3"/>
    <w:rsid w:val="00781AF1"/>
    <w:rsid w:val="007821B3"/>
    <w:rsid w:val="00782664"/>
    <w:rsid w:val="00782684"/>
    <w:rsid w:val="00782875"/>
    <w:rsid w:val="00782A48"/>
    <w:rsid w:val="00782C73"/>
    <w:rsid w:val="00782D6A"/>
    <w:rsid w:val="0078428B"/>
    <w:rsid w:val="00784410"/>
    <w:rsid w:val="0078444C"/>
    <w:rsid w:val="00784558"/>
    <w:rsid w:val="00784C09"/>
    <w:rsid w:val="00784C27"/>
    <w:rsid w:val="007851D7"/>
    <w:rsid w:val="007862AE"/>
    <w:rsid w:val="007862E1"/>
    <w:rsid w:val="00786ADB"/>
    <w:rsid w:val="00786C75"/>
    <w:rsid w:val="00787229"/>
    <w:rsid w:val="00787424"/>
    <w:rsid w:val="007874C1"/>
    <w:rsid w:val="00787B06"/>
    <w:rsid w:val="00787BEF"/>
    <w:rsid w:val="00790530"/>
    <w:rsid w:val="00790768"/>
    <w:rsid w:val="00790802"/>
    <w:rsid w:val="00790ECF"/>
    <w:rsid w:val="0079102D"/>
    <w:rsid w:val="007910A8"/>
    <w:rsid w:val="0079154C"/>
    <w:rsid w:val="0079229C"/>
    <w:rsid w:val="00792A58"/>
    <w:rsid w:val="00793132"/>
    <w:rsid w:val="00793631"/>
    <w:rsid w:val="0079385E"/>
    <w:rsid w:val="00793AF9"/>
    <w:rsid w:val="00793F23"/>
    <w:rsid w:val="00794115"/>
    <w:rsid w:val="00794363"/>
    <w:rsid w:val="00794572"/>
    <w:rsid w:val="00794B42"/>
    <w:rsid w:val="00794C2D"/>
    <w:rsid w:val="00794D34"/>
    <w:rsid w:val="00794D7F"/>
    <w:rsid w:val="00794DF4"/>
    <w:rsid w:val="0079539D"/>
    <w:rsid w:val="00795C11"/>
    <w:rsid w:val="00797D92"/>
    <w:rsid w:val="007A011D"/>
    <w:rsid w:val="007A0243"/>
    <w:rsid w:val="007A0272"/>
    <w:rsid w:val="007A03B2"/>
    <w:rsid w:val="007A065A"/>
    <w:rsid w:val="007A07CC"/>
    <w:rsid w:val="007A0968"/>
    <w:rsid w:val="007A0F7F"/>
    <w:rsid w:val="007A113F"/>
    <w:rsid w:val="007A1724"/>
    <w:rsid w:val="007A175C"/>
    <w:rsid w:val="007A24C0"/>
    <w:rsid w:val="007A2952"/>
    <w:rsid w:val="007A2E06"/>
    <w:rsid w:val="007A2F07"/>
    <w:rsid w:val="007A31E3"/>
    <w:rsid w:val="007A32EE"/>
    <w:rsid w:val="007A359B"/>
    <w:rsid w:val="007A3670"/>
    <w:rsid w:val="007A3A58"/>
    <w:rsid w:val="007A3A60"/>
    <w:rsid w:val="007A3D30"/>
    <w:rsid w:val="007A49F0"/>
    <w:rsid w:val="007A5027"/>
    <w:rsid w:val="007A552E"/>
    <w:rsid w:val="007A5BA4"/>
    <w:rsid w:val="007A5D22"/>
    <w:rsid w:val="007A6C3E"/>
    <w:rsid w:val="007A6C96"/>
    <w:rsid w:val="007A7D5C"/>
    <w:rsid w:val="007B02BD"/>
    <w:rsid w:val="007B0E8F"/>
    <w:rsid w:val="007B1582"/>
    <w:rsid w:val="007B1A87"/>
    <w:rsid w:val="007B1A94"/>
    <w:rsid w:val="007B201C"/>
    <w:rsid w:val="007B23F7"/>
    <w:rsid w:val="007B296E"/>
    <w:rsid w:val="007B2ED3"/>
    <w:rsid w:val="007B2F9B"/>
    <w:rsid w:val="007B36B9"/>
    <w:rsid w:val="007B4252"/>
    <w:rsid w:val="007B4ABB"/>
    <w:rsid w:val="007B4E6D"/>
    <w:rsid w:val="007B610D"/>
    <w:rsid w:val="007B626C"/>
    <w:rsid w:val="007B6432"/>
    <w:rsid w:val="007B65D8"/>
    <w:rsid w:val="007B725B"/>
    <w:rsid w:val="007B72B2"/>
    <w:rsid w:val="007B787B"/>
    <w:rsid w:val="007B798E"/>
    <w:rsid w:val="007C0243"/>
    <w:rsid w:val="007C0913"/>
    <w:rsid w:val="007C0A02"/>
    <w:rsid w:val="007C11C4"/>
    <w:rsid w:val="007C134E"/>
    <w:rsid w:val="007C1E1B"/>
    <w:rsid w:val="007C247D"/>
    <w:rsid w:val="007C269E"/>
    <w:rsid w:val="007C346B"/>
    <w:rsid w:val="007C3500"/>
    <w:rsid w:val="007C3A95"/>
    <w:rsid w:val="007C401D"/>
    <w:rsid w:val="007C4877"/>
    <w:rsid w:val="007C591C"/>
    <w:rsid w:val="007C5F44"/>
    <w:rsid w:val="007C640D"/>
    <w:rsid w:val="007C729C"/>
    <w:rsid w:val="007C7C22"/>
    <w:rsid w:val="007C7EEC"/>
    <w:rsid w:val="007D0087"/>
    <w:rsid w:val="007D0104"/>
    <w:rsid w:val="007D02A1"/>
    <w:rsid w:val="007D0AD0"/>
    <w:rsid w:val="007D11C9"/>
    <w:rsid w:val="007D1EB3"/>
    <w:rsid w:val="007D262D"/>
    <w:rsid w:val="007D3035"/>
    <w:rsid w:val="007D327E"/>
    <w:rsid w:val="007D3479"/>
    <w:rsid w:val="007D430B"/>
    <w:rsid w:val="007D48A7"/>
    <w:rsid w:val="007D4BBA"/>
    <w:rsid w:val="007D4CFA"/>
    <w:rsid w:val="007D50BC"/>
    <w:rsid w:val="007D6027"/>
    <w:rsid w:val="007D66FF"/>
    <w:rsid w:val="007D6710"/>
    <w:rsid w:val="007D71D7"/>
    <w:rsid w:val="007D7263"/>
    <w:rsid w:val="007D727C"/>
    <w:rsid w:val="007D74B7"/>
    <w:rsid w:val="007D7862"/>
    <w:rsid w:val="007D7C26"/>
    <w:rsid w:val="007E0227"/>
    <w:rsid w:val="007E0B11"/>
    <w:rsid w:val="007E0B5C"/>
    <w:rsid w:val="007E0E04"/>
    <w:rsid w:val="007E0E57"/>
    <w:rsid w:val="007E1137"/>
    <w:rsid w:val="007E1892"/>
    <w:rsid w:val="007E1F4C"/>
    <w:rsid w:val="007E2407"/>
    <w:rsid w:val="007E3570"/>
    <w:rsid w:val="007E35A4"/>
    <w:rsid w:val="007E37EB"/>
    <w:rsid w:val="007E38B2"/>
    <w:rsid w:val="007E3DA2"/>
    <w:rsid w:val="007E41D0"/>
    <w:rsid w:val="007E4890"/>
    <w:rsid w:val="007E4C8E"/>
    <w:rsid w:val="007E4FF1"/>
    <w:rsid w:val="007E643E"/>
    <w:rsid w:val="007E6BDD"/>
    <w:rsid w:val="007E6FB8"/>
    <w:rsid w:val="007E7031"/>
    <w:rsid w:val="007E7152"/>
    <w:rsid w:val="007E747B"/>
    <w:rsid w:val="007E74A0"/>
    <w:rsid w:val="007E7E8D"/>
    <w:rsid w:val="007F0059"/>
    <w:rsid w:val="007F05DE"/>
    <w:rsid w:val="007F1086"/>
    <w:rsid w:val="007F135E"/>
    <w:rsid w:val="007F15D9"/>
    <w:rsid w:val="007F1A93"/>
    <w:rsid w:val="007F2D35"/>
    <w:rsid w:val="007F3152"/>
    <w:rsid w:val="007F31F3"/>
    <w:rsid w:val="007F3645"/>
    <w:rsid w:val="007F3673"/>
    <w:rsid w:val="007F3844"/>
    <w:rsid w:val="007F3AE8"/>
    <w:rsid w:val="007F3C67"/>
    <w:rsid w:val="007F4321"/>
    <w:rsid w:val="007F4BA7"/>
    <w:rsid w:val="007F5068"/>
    <w:rsid w:val="007F5342"/>
    <w:rsid w:val="007F54FF"/>
    <w:rsid w:val="007F5651"/>
    <w:rsid w:val="007F57F4"/>
    <w:rsid w:val="007F5A01"/>
    <w:rsid w:val="007F5CC8"/>
    <w:rsid w:val="007F6331"/>
    <w:rsid w:val="007F696B"/>
    <w:rsid w:val="007F69FD"/>
    <w:rsid w:val="007F6BB1"/>
    <w:rsid w:val="007F6C8A"/>
    <w:rsid w:val="007F7150"/>
    <w:rsid w:val="007F76B4"/>
    <w:rsid w:val="007F7DDE"/>
    <w:rsid w:val="00800066"/>
    <w:rsid w:val="008000A3"/>
    <w:rsid w:val="00800181"/>
    <w:rsid w:val="0080027D"/>
    <w:rsid w:val="00800C85"/>
    <w:rsid w:val="008015AF"/>
    <w:rsid w:val="008015F2"/>
    <w:rsid w:val="0080180D"/>
    <w:rsid w:val="00801E9D"/>
    <w:rsid w:val="008025C3"/>
    <w:rsid w:val="0080265B"/>
    <w:rsid w:val="008027E2"/>
    <w:rsid w:val="00803257"/>
    <w:rsid w:val="00803B0F"/>
    <w:rsid w:val="00803C91"/>
    <w:rsid w:val="00804464"/>
    <w:rsid w:val="008048DB"/>
    <w:rsid w:val="00804CAC"/>
    <w:rsid w:val="00805121"/>
    <w:rsid w:val="00805C3D"/>
    <w:rsid w:val="00805EBD"/>
    <w:rsid w:val="008060D0"/>
    <w:rsid w:val="00806196"/>
    <w:rsid w:val="008061D4"/>
    <w:rsid w:val="008064C9"/>
    <w:rsid w:val="0080683B"/>
    <w:rsid w:val="008068EC"/>
    <w:rsid w:val="00806915"/>
    <w:rsid w:val="008076A8"/>
    <w:rsid w:val="00807A0A"/>
    <w:rsid w:val="00807CA0"/>
    <w:rsid w:val="00807EA7"/>
    <w:rsid w:val="0081037F"/>
    <w:rsid w:val="008104EA"/>
    <w:rsid w:val="0081094F"/>
    <w:rsid w:val="008109C7"/>
    <w:rsid w:val="00811734"/>
    <w:rsid w:val="00811DE8"/>
    <w:rsid w:val="00812107"/>
    <w:rsid w:val="008124C5"/>
    <w:rsid w:val="0081258F"/>
    <w:rsid w:val="008126DE"/>
    <w:rsid w:val="0081285D"/>
    <w:rsid w:val="00813119"/>
    <w:rsid w:val="0081365D"/>
    <w:rsid w:val="00813BB2"/>
    <w:rsid w:val="00813E5E"/>
    <w:rsid w:val="00813F2A"/>
    <w:rsid w:val="00813FE0"/>
    <w:rsid w:val="0081414D"/>
    <w:rsid w:val="008153C5"/>
    <w:rsid w:val="00815974"/>
    <w:rsid w:val="00815D94"/>
    <w:rsid w:val="00815E8A"/>
    <w:rsid w:val="00815EC5"/>
    <w:rsid w:val="00816778"/>
    <w:rsid w:val="00816B1B"/>
    <w:rsid w:val="0081729E"/>
    <w:rsid w:val="008179E3"/>
    <w:rsid w:val="00817E7E"/>
    <w:rsid w:val="00817F70"/>
    <w:rsid w:val="0082007B"/>
    <w:rsid w:val="00820ACD"/>
    <w:rsid w:val="00820C20"/>
    <w:rsid w:val="00821A38"/>
    <w:rsid w:val="00821A48"/>
    <w:rsid w:val="00821AE4"/>
    <w:rsid w:val="00821C1D"/>
    <w:rsid w:val="00821E4B"/>
    <w:rsid w:val="00822330"/>
    <w:rsid w:val="008223AF"/>
    <w:rsid w:val="00822ADB"/>
    <w:rsid w:val="00822ADD"/>
    <w:rsid w:val="00823212"/>
    <w:rsid w:val="008235A8"/>
    <w:rsid w:val="00823667"/>
    <w:rsid w:val="008241E6"/>
    <w:rsid w:val="00824F4A"/>
    <w:rsid w:val="00825048"/>
    <w:rsid w:val="0082519B"/>
    <w:rsid w:val="00825BE0"/>
    <w:rsid w:val="00826526"/>
    <w:rsid w:val="008267D8"/>
    <w:rsid w:val="00826B78"/>
    <w:rsid w:val="00826FAC"/>
    <w:rsid w:val="0082727D"/>
    <w:rsid w:val="00827653"/>
    <w:rsid w:val="00827D4B"/>
    <w:rsid w:val="00827FF8"/>
    <w:rsid w:val="0083040F"/>
    <w:rsid w:val="0083054B"/>
    <w:rsid w:val="008306E0"/>
    <w:rsid w:val="00830C3D"/>
    <w:rsid w:val="00830CA5"/>
    <w:rsid w:val="008311B0"/>
    <w:rsid w:val="008312AF"/>
    <w:rsid w:val="00831BFD"/>
    <w:rsid w:val="008321FB"/>
    <w:rsid w:val="00832C65"/>
    <w:rsid w:val="008330AF"/>
    <w:rsid w:val="008333CA"/>
    <w:rsid w:val="00833B63"/>
    <w:rsid w:val="00834016"/>
    <w:rsid w:val="00834D1F"/>
    <w:rsid w:val="00835082"/>
    <w:rsid w:val="0083581B"/>
    <w:rsid w:val="008362EC"/>
    <w:rsid w:val="0083697E"/>
    <w:rsid w:val="00836A61"/>
    <w:rsid w:val="00836BFE"/>
    <w:rsid w:val="00836DBF"/>
    <w:rsid w:val="008372E8"/>
    <w:rsid w:val="00840208"/>
    <w:rsid w:val="008405CB"/>
    <w:rsid w:val="00840795"/>
    <w:rsid w:val="00840990"/>
    <w:rsid w:val="00840A43"/>
    <w:rsid w:val="00840B74"/>
    <w:rsid w:val="00840C32"/>
    <w:rsid w:val="00840FBE"/>
    <w:rsid w:val="008412B6"/>
    <w:rsid w:val="00841300"/>
    <w:rsid w:val="00841305"/>
    <w:rsid w:val="00841449"/>
    <w:rsid w:val="00841874"/>
    <w:rsid w:val="00841ADF"/>
    <w:rsid w:val="00842AAC"/>
    <w:rsid w:val="008433A4"/>
    <w:rsid w:val="0084360A"/>
    <w:rsid w:val="00843991"/>
    <w:rsid w:val="00843FEA"/>
    <w:rsid w:val="008444CE"/>
    <w:rsid w:val="00844D34"/>
    <w:rsid w:val="0084510F"/>
    <w:rsid w:val="008452C8"/>
    <w:rsid w:val="008455F8"/>
    <w:rsid w:val="008458AD"/>
    <w:rsid w:val="008459BF"/>
    <w:rsid w:val="00845EAC"/>
    <w:rsid w:val="00845FE2"/>
    <w:rsid w:val="008463F3"/>
    <w:rsid w:val="00846D1B"/>
    <w:rsid w:val="008474F6"/>
    <w:rsid w:val="00847634"/>
    <w:rsid w:val="00847B64"/>
    <w:rsid w:val="00850810"/>
    <w:rsid w:val="0085093C"/>
    <w:rsid w:val="00850AE6"/>
    <w:rsid w:val="00850C5F"/>
    <w:rsid w:val="00851421"/>
    <w:rsid w:val="00851540"/>
    <w:rsid w:val="00851C2C"/>
    <w:rsid w:val="00851D7C"/>
    <w:rsid w:val="0085222A"/>
    <w:rsid w:val="00852DF4"/>
    <w:rsid w:val="00853014"/>
    <w:rsid w:val="00853033"/>
    <w:rsid w:val="0085330E"/>
    <w:rsid w:val="00853407"/>
    <w:rsid w:val="00853DD6"/>
    <w:rsid w:val="00853EC7"/>
    <w:rsid w:val="0085402F"/>
    <w:rsid w:val="008541AB"/>
    <w:rsid w:val="00854821"/>
    <w:rsid w:val="008553F0"/>
    <w:rsid w:val="00855697"/>
    <w:rsid w:val="00855924"/>
    <w:rsid w:val="00855D07"/>
    <w:rsid w:val="00855DD1"/>
    <w:rsid w:val="008564C4"/>
    <w:rsid w:val="008565D3"/>
    <w:rsid w:val="00856E7D"/>
    <w:rsid w:val="0085793B"/>
    <w:rsid w:val="00857ECC"/>
    <w:rsid w:val="00860B07"/>
    <w:rsid w:val="00860C6B"/>
    <w:rsid w:val="00860CE2"/>
    <w:rsid w:val="008617E3"/>
    <w:rsid w:val="00861EDA"/>
    <w:rsid w:val="00862169"/>
    <w:rsid w:val="008623F0"/>
    <w:rsid w:val="00862995"/>
    <w:rsid w:val="00862A0A"/>
    <w:rsid w:val="00862EAD"/>
    <w:rsid w:val="0086447F"/>
    <w:rsid w:val="00864622"/>
    <w:rsid w:val="00864A9D"/>
    <w:rsid w:val="00864AFF"/>
    <w:rsid w:val="00864D0F"/>
    <w:rsid w:val="008651F2"/>
    <w:rsid w:val="00865543"/>
    <w:rsid w:val="00865BCF"/>
    <w:rsid w:val="00866190"/>
    <w:rsid w:val="00866634"/>
    <w:rsid w:val="0086668E"/>
    <w:rsid w:val="00867032"/>
    <w:rsid w:val="0086719F"/>
    <w:rsid w:val="008671C5"/>
    <w:rsid w:val="0087089D"/>
    <w:rsid w:val="008708D2"/>
    <w:rsid w:val="008713B0"/>
    <w:rsid w:val="00871497"/>
    <w:rsid w:val="00872512"/>
    <w:rsid w:val="008738FA"/>
    <w:rsid w:val="00874368"/>
    <w:rsid w:val="00874499"/>
    <w:rsid w:val="00874565"/>
    <w:rsid w:val="008746FA"/>
    <w:rsid w:val="008747B0"/>
    <w:rsid w:val="00874A9C"/>
    <w:rsid w:val="00874BD5"/>
    <w:rsid w:val="00874EE3"/>
    <w:rsid w:val="0087549D"/>
    <w:rsid w:val="0087572A"/>
    <w:rsid w:val="008758AF"/>
    <w:rsid w:val="00875A9C"/>
    <w:rsid w:val="00875ED4"/>
    <w:rsid w:val="00876002"/>
    <w:rsid w:val="008761FD"/>
    <w:rsid w:val="00876378"/>
    <w:rsid w:val="00876866"/>
    <w:rsid w:val="008769F7"/>
    <w:rsid w:val="00876B46"/>
    <w:rsid w:val="00876DAD"/>
    <w:rsid w:val="00876E7C"/>
    <w:rsid w:val="008774D3"/>
    <w:rsid w:val="0087761F"/>
    <w:rsid w:val="0087768F"/>
    <w:rsid w:val="00877BA7"/>
    <w:rsid w:val="00877C20"/>
    <w:rsid w:val="00877C2C"/>
    <w:rsid w:val="00880866"/>
    <w:rsid w:val="008808AA"/>
    <w:rsid w:val="00880BD0"/>
    <w:rsid w:val="00881513"/>
    <w:rsid w:val="00881941"/>
    <w:rsid w:val="00882B3A"/>
    <w:rsid w:val="00883297"/>
    <w:rsid w:val="00883812"/>
    <w:rsid w:val="00883A18"/>
    <w:rsid w:val="00884AD0"/>
    <w:rsid w:val="00884D5A"/>
    <w:rsid w:val="00884EB9"/>
    <w:rsid w:val="00884F50"/>
    <w:rsid w:val="0088532C"/>
    <w:rsid w:val="00885437"/>
    <w:rsid w:val="008854E1"/>
    <w:rsid w:val="0088592C"/>
    <w:rsid w:val="00885D1B"/>
    <w:rsid w:val="00886FFF"/>
    <w:rsid w:val="008908AB"/>
    <w:rsid w:val="00890F6A"/>
    <w:rsid w:val="0089117B"/>
    <w:rsid w:val="00891C8C"/>
    <w:rsid w:val="00891E79"/>
    <w:rsid w:val="008924DD"/>
    <w:rsid w:val="00892947"/>
    <w:rsid w:val="00892E42"/>
    <w:rsid w:val="008935EA"/>
    <w:rsid w:val="00893CFA"/>
    <w:rsid w:val="00893D77"/>
    <w:rsid w:val="008941A4"/>
    <w:rsid w:val="008942C5"/>
    <w:rsid w:val="00894DA3"/>
    <w:rsid w:val="00894F92"/>
    <w:rsid w:val="0089539D"/>
    <w:rsid w:val="00895E88"/>
    <w:rsid w:val="008963B5"/>
    <w:rsid w:val="0089653C"/>
    <w:rsid w:val="00896AAE"/>
    <w:rsid w:val="0089730A"/>
    <w:rsid w:val="008979C4"/>
    <w:rsid w:val="00897D23"/>
    <w:rsid w:val="008A02ED"/>
    <w:rsid w:val="008A0416"/>
    <w:rsid w:val="008A0ADC"/>
    <w:rsid w:val="008A0B8C"/>
    <w:rsid w:val="008A0BF3"/>
    <w:rsid w:val="008A0E65"/>
    <w:rsid w:val="008A11D0"/>
    <w:rsid w:val="008A1508"/>
    <w:rsid w:val="008A1735"/>
    <w:rsid w:val="008A1B23"/>
    <w:rsid w:val="008A2B46"/>
    <w:rsid w:val="008A2F0A"/>
    <w:rsid w:val="008A3D92"/>
    <w:rsid w:val="008A3F5C"/>
    <w:rsid w:val="008A4001"/>
    <w:rsid w:val="008A44BD"/>
    <w:rsid w:val="008A5233"/>
    <w:rsid w:val="008A5701"/>
    <w:rsid w:val="008A5E54"/>
    <w:rsid w:val="008A623D"/>
    <w:rsid w:val="008A63B5"/>
    <w:rsid w:val="008A6431"/>
    <w:rsid w:val="008A643F"/>
    <w:rsid w:val="008A6529"/>
    <w:rsid w:val="008A67AB"/>
    <w:rsid w:val="008A687F"/>
    <w:rsid w:val="008A7383"/>
    <w:rsid w:val="008A7B41"/>
    <w:rsid w:val="008A7DDF"/>
    <w:rsid w:val="008A7F19"/>
    <w:rsid w:val="008A7FE5"/>
    <w:rsid w:val="008B0FBD"/>
    <w:rsid w:val="008B17CC"/>
    <w:rsid w:val="008B3D52"/>
    <w:rsid w:val="008B3D99"/>
    <w:rsid w:val="008B3FA9"/>
    <w:rsid w:val="008B3FE8"/>
    <w:rsid w:val="008B436A"/>
    <w:rsid w:val="008B49E5"/>
    <w:rsid w:val="008B4A6A"/>
    <w:rsid w:val="008B51A6"/>
    <w:rsid w:val="008B541E"/>
    <w:rsid w:val="008B552C"/>
    <w:rsid w:val="008B56DF"/>
    <w:rsid w:val="008B5723"/>
    <w:rsid w:val="008B59FD"/>
    <w:rsid w:val="008B6358"/>
    <w:rsid w:val="008B637D"/>
    <w:rsid w:val="008B6471"/>
    <w:rsid w:val="008B6C2F"/>
    <w:rsid w:val="008B6EC8"/>
    <w:rsid w:val="008B7182"/>
    <w:rsid w:val="008B75E3"/>
    <w:rsid w:val="008B7C85"/>
    <w:rsid w:val="008C004B"/>
    <w:rsid w:val="008C0477"/>
    <w:rsid w:val="008C09F7"/>
    <w:rsid w:val="008C1140"/>
    <w:rsid w:val="008C1495"/>
    <w:rsid w:val="008C188D"/>
    <w:rsid w:val="008C1A64"/>
    <w:rsid w:val="008C25A6"/>
    <w:rsid w:val="008C278D"/>
    <w:rsid w:val="008C2955"/>
    <w:rsid w:val="008C2A8A"/>
    <w:rsid w:val="008C3597"/>
    <w:rsid w:val="008C4DB2"/>
    <w:rsid w:val="008C5109"/>
    <w:rsid w:val="008C551C"/>
    <w:rsid w:val="008C5F7B"/>
    <w:rsid w:val="008C6139"/>
    <w:rsid w:val="008C6382"/>
    <w:rsid w:val="008C63E7"/>
    <w:rsid w:val="008C7E27"/>
    <w:rsid w:val="008C7E75"/>
    <w:rsid w:val="008D0483"/>
    <w:rsid w:val="008D0674"/>
    <w:rsid w:val="008D06F1"/>
    <w:rsid w:val="008D0826"/>
    <w:rsid w:val="008D1744"/>
    <w:rsid w:val="008D17AC"/>
    <w:rsid w:val="008D1D1C"/>
    <w:rsid w:val="008D25B0"/>
    <w:rsid w:val="008D3269"/>
    <w:rsid w:val="008D32FB"/>
    <w:rsid w:val="008D3493"/>
    <w:rsid w:val="008D382E"/>
    <w:rsid w:val="008D3C00"/>
    <w:rsid w:val="008D3D72"/>
    <w:rsid w:val="008D41FC"/>
    <w:rsid w:val="008D4651"/>
    <w:rsid w:val="008D4953"/>
    <w:rsid w:val="008D4ED9"/>
    <w:rsid w:val="008D4F56"/>
    <w:rsid w:val="008D560C"/>
    <w:rsid w:val="008D59A5"/>
    <w:rsid w:val="008D60FE"/>
    <w:rsid w:val="008D6711"/>
    <w:rsid w:val="008D6C99"/>
    <w:rsid w:val="008D6F84"/>
    <w:rsid w:val="008D6FDF"/>
    <w:rsid w:val="008D7022"/>
    <w:rsid w:val="008D7198"/>
    <w:rsid w:val="008D791B"/>
    <w:rsid w:val="008D7B67"/>
    <w:rsid w:val="008D7E13"/>
    <w:rsid w:val="008E02B4"/>
    <w:rsid w:val="008E05D1"/>
    <w:rsid w:val="008E0CAC"/>
    <w:rsid w:val="008E1659"/>
    <w:rsid w:val="008E19E9"/>
    <w:rsid w:val="008E2555"/>
    <w:rsid w:val="008E2834"/>
    <w:rsid w:val="008E2AD4"/>
    <w:rsid w:val="008E2C28"/>
    <w:rsid w:val="008E33CE"/>
    <w:rsid w:val="008E3CD6"/>
    <w:rsid w:val="008E4228"/>
    <w:rsid w:val="008E4DF2"/>
    <w:rsid w:val="008E4FC4"/>
    <w:rsid w:val="008E5226"/>
    <w:rsid w:val="008E5246"/>
    <w:rsid w:val="008E5816"/>
    <w:rsid w:val="008E5AA4"/>
    <w:rsid w:val="008E5B5E"/>
    <w:rsid w:val="008E5F39"/>
    <w:rsid w:val="008E5F74"/>
    <w:rsid w:val="008E5FA2"/>
    <w:rsid w:val="008E6429"/>
    <w:rsid w:val="008E723B"/>
    <w:rsid w:val="008E7307"/>
    <w:rsid w:val="008E769A"/>
    <w:rsid w:val="008E7BCC"/>
    <w:rsid w:val="008F0435"/>
    <w:rsid w:val="008F04D6"/>
    <w:rsid w:val="008F07F3"/>
    <w:rsid w:val="008F09DA"/>
    <w:rsid w:val="008F0ABB"/>
    <w:rsid w:val="008F0DCF"/>
    <w:rsid w:val="008F1464"/>
    <w:rsid w:val="008F1584"/>
    <w:rsid w:val="008F15E9"/>
    <w:rsid w:val="008F15EC"/>
    <w:rsid w:val="008F165E"/>
    <w:rsid w:val="008F17A6"/>
    <w:rsid w:val="008F184B"/>
    <w:rsid w:val="008F1EA3"/>
    <w:rsid w:val="008F1FA2"/>
    <w:rsid w:val="008F2678"/>
    <w:rsid w:val="008F273B"/>
    <w:rsid w:val="008F2E72"/>
    <w:rsid w:val="008F33DF"/>
    <w:rsid w:val="008F40EA"/>
    <w:rsid w:val="008F4145"/>
    <w:rsid w:val="008F41BC"/>
    <w:rsid w:val="008F4496"/>
    <w:rsid w:val="008F4C3C"/>
    <w:rsid w:val="008F4F33"/>
    <w:rsid w:val="008F5784"/>
    <w:rsid w:val="008F5DD6"/>
    <w:rsid w:val="008F6441"/>
    <w:rsid w:val="008F65D0"/>
    <w:rsid w:val="008F67CD"/>
    <w:rsid w:val="008F6E84"/>
    <w:rsid w:val="008F705E"/>
    <w:rsid w:val="008F76A1"/>
    <w:rsid w:val="008F79E1"/>
    <w:rsid w:val="008F7AA6"/>
    <w:rsid w:val="008F7F60"/>
    <w:rsid w:val="008F7F73"/>
    <w:rsid w:val="009006BD"/>
    <w:rsid w:val="00900732"/>
    <w:rsid w:val="009009FF"/>
    <w:rsid w:val="0090143C"/>
    <w:rsid w:val="00901DB6"/>
    <w:rsid w:val="00902496"/>
    <w:rsid w:val="00902E5D"/>
    <w:rsid w:val="00903056"/>
    <w:rsid w:val="00903467"/>
    <w:rsid w:val="00903C8F"/>
    <w:rsid w:val="00903EA1"/>
    <w:rsid w:val="009043E0"/>
    <w:rsid w:val="009053D6"/>
    <w:rsid w:val="0090551D"/>
    <w:rsid w:val="00905753"/>
    <w:rsid w:val="0090586A"/>
    <w:rsid w:val="00905D87"/>
    <w:rsid w:val="00906209"/>
    <w:rsid w:val="009064C3"/>
    <w:rsid w:val="009067F6"/>
    <w:rsid w:val="00906A76"/>
    <w:rsid w:val="009070CC"/>
    <w:rsid w:val="0090761E"/>
    <w:rsid w:val="009076B3"/>
    <w:rsid w:val="00907963"/>
    <w:rsid w:val="00907FFE"/>
    <w:rsid w:val="009103D7"/>
    <w:rsid w:val="00910855"/>
    <w:rsid w:val="00910978"/>
    <w:rsid w:val="009116EB"/>
    <w:rsid w:val="00911B53"/>
    <w:rsid w:val="009122C5"/>
    <w:rsid w:val="00912329"/>
    <w:rsid w:val="009128AC"/>
    <w:rsid w:val="00912C0A"/>
    <w:rsid w:val="00913058"/>
    <w:rsid w:val="009130F8"/>
    <w:rsid w:val="0091347F"/>
    <w:rsid w:val="009134CB"/>
    <w:rsid w:val="009138C2"/>
    <w:rsid w:val="0091390C"/>
    <w:rsid w:val="009142CA"/>
    <w:rsid w:val="00914359"/>
    <w:rsid w:val="009144D6"/>
    <w:rsid w:val="00914A81"/>
    <w:rsid w:val="00914AD2"/>
    <w:rsid w:val="00914C09"/>
    <w:rsid w:val="00914E30"/>
    <w:rsid w:val="00914FF2"/>
    <w:rsid w:val="00915487"/>
    <w:rsid w:val="00915558"/>
    <w:rsid w:val="00915770"/>
    <w:rsid w:val="009162E6"/>
    <w:rsid w:val="009170DF"/>
    <w:rsid w:val="009172C4"/>
    <w:rsid w:val="009173EF"/>
    <w:rsid w:val="00917542"/>
    <w:rsid w:val="009207C5"/>
    <w:rsid w:val="00920BB7"/>
    <w:rsid w:val="00920F83"/>
    <w:rsid w:val="00920FD8"/>
    <w:rsid w:val="009213A2"/>
    <w:rsid w:val="009215B6"/>
    <w:rsid w:val="009215BA"/>
    <w:rsid w:val="00921773"/>
    <w:rsid w:val="00921B69"/>
    <w:rsid w:val="00921BF0"/>
    <w:rsid w:val="009220E1"/>
    <w:rsid w:val="00922458"/>
    <w:rsid w:val="0092245C"/>
    <w:rsid w:val="009228D9"/>
    <w:rsid w:val="009229D9"/>
    <w:rsid w:val="00922BC7"/>
    <w:rsid w:val="00923CC2"/>
    <w:rsid w:val="00923E30"/>
    <w:rsid w:val="009242D8"/>
    <w:rsid w:val="00924559"/>
    <w:rsid w:val="00924AF3"/>
    <w:rsid w:val="00924FAA"/>
    <w:rsid w:val="00925335"/>
    <w:rsid w:val="0092544B"/>
    <w:rsid w:val="009256A7"/>
    <w:rsid w:val="00925829"/>
    <w:rsid w:val="009259A7"/>
    <w:rsid w:val="009261AE"/>
    <w:rsid w:val="00927BDD"/>
    <w:rsid w:val="00930754"/>
    <w:rsid w:val="009308CA"/>
    <w:rsid w:val="00930AAF"/>
    <w:rsid w:val="00930DD5"/>
    <w:rsid w:val="00931193"/>
    <w:rsid w:val="009313A6"/>
    <w:rsid w:val="00931FB7"/>
    <w:rsid w:val="00932005"/>
    <w:rsid w:val="00932906"/>
    <w:rsid w:val="00932EEE"/>
    <w:rsid w:val="00932EF7"/>
    <w:rsid w:val="009332DC"/>
    <w:rsid w:val="00933554"/>
    <w:rsid w:val="0093368A"/>
    <w:rsid w:val="009337B4"/>
    <w:rsid w:val="00933C1C"/>
    <w:rsid w:val="00933D47"/>
    <w:rsid w:val="009347F6"/>
    <w:rsid w:val="009353BF"/>
    <w:rsid w:val="00935427"/>
    <w:rsid w:val="0093576A"/>
    <w:rsid w:val="00935872"/>
    <w:rsid w:val="00935A79"/>
    <w:rsid w:val="00935E68"/>
    <w:rsid w:val="00935E87"/>
    <w:rsid w:val="00936114"/>
    <w:rsid w:val="00936D61"/>
    <w:rsid w:val="00937498"/>
    <w:rsid w:val="00937AD4"/>
    <w:rsid w:val="00937D80"/>
    <w:rsid w:val="009405A7"/>
    <w:rsid w:val="00940889"/>
    <w:rsid w:val="00940926"/>
    <w:rsid w:val="009434C2"/>
    <w:rsid w:val="00943BB9"/>
    <w:rsid w:val="00943E06"/>
    <w:rsid w:val="00943E18"/>
    <w:rsid w:val="0094402C"/>
    <w:rsid w:val="0094411C"/>
    <w:rsid w:val="009443AF"/>
    <w:rsid w:val="009455FB"/>
    <w:rsid w:val="0094566F"/>
    <w:rsid w:val="009459F2"/>
    <w:rsid w:val="00946180"/>
    <w:rsid w:val="00946215"/>
    <w:rsid w:val="009465DA"/>
    <w:rsid w:val="00946C0C"/>
    <w:rsid w:val="00946F9B"/>
    <w:rsid w:val="009475E1"/>
    <w:rsid w:val="00947657"/>
    <w:rsid w:val="009478C0"/>
    <w:rsid w:val="00950799"/>
    <w:rsid w:val="00950C99"/>
    <w:rsid w:val="009514B0"/>
    <w:rsid w:val="00951510"/>
    <w:rsid w:val="00951558"/>
    <w:rsid w:val="00952220"/>
    <w:rsid w:val="0095235F"/>
    <w:rsid w:val="00952504"/>
    <w:rsid w:val="0095256C"/>
    <w:rsid w:val="00953101"/>
    <w:rsid w:val="009536E0"/>
    <w:rsid w:val="0095445B"/>
    <w:rsid w:val="00954471"/>
    <w:rsid w:val="00954583"/>
    <w:rsid w:val="009548FE"/>
    <w:rsid w:val="009558B3"/>
    <w:rsid w:val="009559A2"/>
    <w:rsid w:val="0095685E"/>
    <w:rsid w:val="00956903"/>
    <w:rsid w:val="00956DA0"/>
    <w:rsid w:val="00957D9E"/>
    <w:rsid w:val="00957DEC"/>
    <w:rsid w:val="00960153"/>
    <w:rsid w:val="00960792"/>
    <w:rsid w:val="009618C6"/>
    <w:rsid w:val="00961B0B"/>
    <w:rsid w:val="00961D6E"/>
    <w:rsid w:val="00961E0F"/>
    <w:rsid w:val="00961E13"/>
    <w:rsid w:val="00961E54"/>
    <w:rsid w:val="0096209A"/>
    <w:rsid w:val="009623EA"/>
    <w:rsid w:val="00962D54"/>
    <w:rsid w:val="00962DB3"/>
    <w:rsid w:val="009630A9"/>
    <w:rsid w:val="00963AC1"/>
    <w:rsid w:val="0096438E"/>
    <w:rsid w:val="0096495F"/>
    <w:rsid w:val="00964C2C"/>
    <w:rsid w:val="00964C58"/>
    <w:rsid w:val="00964DD2"/>
    <w:rsid w:val="00965860"/>
    <w:rsid w:val="00965BF4"/>
    <w:rsid w:val="00966029"/>
    <w:rsid w:val="00966288"/>
    <w:rsid w:val="00966474"/>
    <w:rsid w:val="009664D8"/>
    <w:rsid w:val="009665FF"/>
    <w:rsid w:val="00966752"/>
    <w:rsid w:val="00966A9B"/>
    <w:rsid w:val="0096783F"/>
    <w:rsid w:val="00967DBF"/>
    <w:rsid w:val="00970614"/>
    <w:rsid w:val="00970740"/>
    <w:rsid w:val="00970896"/>
    <w:rsid w:val="0097099C"/>
    <w:rsid w:val="00970A27"/>
    <w:rsid w:val="00970C84"/>
    <w:rsid w:val="00971035"/>
    <w:rsid w:val="009714B9"/>
    <w:rsid w:val="009717BA"/>
    <w:rsid w:val="009717F5"/>
    <w:rsid w:val="00971954"/>
    <w:rsid w:val="009726F2"/>
    <w:rsid w:val="00972AE3"/>
    <w:rsid w:val="00972B0D"/>
    <w:rsid w:val="00972D89"/>
    <w:rsid w:val="00973437"/>
    <w:rsid w:val="009735A7"/>
    <w:rsid w:val="0097389F"/>
    <w:rsid w:val="00973D42"/>
    <w:rsid w:val="00974038"/>
    <w:rsid w:val="009742E4"/>
    <w:rsid w:val="0097542C"/>
    <w:rsid w:val="00975574"/>
    <w:rsid w:val="009757D9"/>
    <w:rsid w:val="00975CC2"/>
    <w:rsid w:val="00975F9D"/>
    <w:rsid w:val="00980006"/>
    <w:rsid w:val="009803FA"/>
    <w:rsid w:val="009803FC"/>
    <w:rsid w:val="0098051D"/>
    <w:rsid w:val="0098113A"/>
    <w:rsid w:val="009811AC"/>
    <w:rsid w:val="00981780"/>
    <w:rsid w:val="00981FA7"/>
    <w:rsid w:val="00982619"/>
    <w:rsid w:val="00982FC1"/>
    <w:rsid w:val="009831CB"/>
    <w:rsid w:val="009832E6"/>
    <w:rsid w:val="00983391"/>
    <w:rsid w:val="009838B0"/>
    <w:rsid w:val="00983A65"/>
    <w:rsid w:val="00983BAA"/>
    <w:rsid w:val="00983DD0"/>
    <w:rsid w:val="00983F3C"/>
    <w:rsid w:val="009842BA"/>
    <w:rsid w:val="00984309"/>
    <w:rsid w:val="00984B5B"/>
    <w:rsid w:val="00984C92"/>
    <w:rsid w:val="00985154"/>
    <w:rsid w:val="009855B3"/>
    <w:rsid w:val="0098570D"/>
    <w:rsid w:val="00985A66"/>
    <w:rsid w:val="0098600C"/>
    <w:rsid w:val="00986873"/>
    <w:rsid w:val="00987260"/>
    <w:rsid w:val="009873C6"/>
    <w:rsid w:val="0098743D"/>
    <w:rsid w:val="009877EA"/>
    <w:rsid w:val="00987C4A"/>
    <w:rsid w:val="009900B0"/>
    <w:rsid w:val="0099096C"/>
    <w:rsid w:val="00990DB2"/>
    <w:rsid w:val="00991074"/>
    <w:rsid w:val="009913CF"/>
    <w:rsid w:val="00991717"/>
    <w:rsid w:val="00991BFA"/>
    <w:rsid w:val="00991D34"/>
    <w:rsid w:val="00992867"/>
    <w:rsid w:val="00992C18"/>
    <w:rsid w:val="00993203"/>
    <w:rsid w:val="009935A1"/>
    <w:rsid w:val="009936BF"/>
    <w:rsid w:val="009949AC"/>
    <w:rsid w:val="00995601"/>
    <w:rsid w:val="0099587F"/>
    <w:rsid w:val="00996A87"/>
    <w:rsid w:val="00996E1A"/>
    <w:rsid w:val="009970C1"/>
    <w:rsid w:val="00997A20"/>
    <w:rsid w:val="009A06AB"/>
    <w:rsid w:val="009A0A3A"/>
    <w:rsid w:val="009A0DC5"/>
    <w:rsid w:val="009A1096"/>
    <w:rsid w:val="009A18FC"/>
    <w:rsid w:val="009A222F"/>
    <w:rsid w:val="009A2E60"/>
    <w:rsid w:val="009A325E"/>
    <w:rsid w:val="009A349B"/>
    <w:rsid w:val="009A35B7"/>
    <w:rsid w:val="009A4679"/>
    <w:rsid w:val="009A565D"/>
    <w:rsid w:val="009A5FC6"/>
    <w:rsid w:val="009A640E"/>
    <w:rsid w:val="009A6474"/>
    <w:rsid w:val="009A6634"/>
    <w:rsid w:val="009A6CDB"/>
    <w:rsid w:val="009A779C"/>
    <w:rsid w:val="009A7B07"/>
    <w:rsid w:val="009A7CCD"/>
    <w:rsid w:val="009A7E04"/>
    <w:rsid w:val="009B0CD8"/>
    <w:rsid w:val="009B1B15"/>
    <w:rsid w:val="009B1EEB"/>
    <w:rsid w:val="009B20A6"/>
    <w:rsid w:val="009B2104"/>
    <w:rsid w:val="009B2954"/>
    <w:rsid w:val="009B36AD"/>
    <w:rsid w:val="009B3D1E"/>
    <w:rsid w:val="009B4805"/>
    <w:rsid w:val="009B4E18"/>
    <w:rsid w:val="009B4E69"/>
    <w:rsid w:val="009B51D2"/>
    <w:rsid w:val="009B566E"/>
    <w:rsid w:val="009B5687"/>
    <w:rsid w:val="009B5694"/>
    <w:rsid w:val="009B5838"/>
    <w:rsid w:val="009B5D38"/>
    <w:rsid w:val="009B63BD"/>
    <w:rsid w:val="009B6436"/>
    <w:rsid w:val="009B7296"/>
    <w:rsid w:val="009B73EF"/>
    <w:rsid w:val="009B7E85"/>
    <w:rsid w:val="009C03AE"/>
    <w:rsid w:val="009C0511"/>
    <w:rsid w:val="009C0AD0"/>
    <w:rsid w:val="009C0AE0"/>
    <w:rsid w:val="009C1864"/>
    <w:rsid w:val="009C1B6C"/>
    <w:rsid w:val="009C2849"/>
    <w:rsid w:val="009C285D"/>
    <w:rsid w:val="009C2A9F"/>
    <w:rsid w:val="009C2E5E"/>
    <w:rsid w:val="009C337E"/>
    <w:rsid w:val="009C44AC"/>
    <w:rsid w:val="009C4667"/>
    <w:rsid w:val="009C4949"/>
    <w:rsid w:val="009C4ABA"/>
    <w:rsid w:val="009C4CA1"/>
    <w:rsid w:val="009C5173"/>
    <w:rsid w:val="009C547C"/>
    <w:rsid w:val="009C5595"/>
    <w:rsid w:val="009C5A8C"/>
    <w:rsid w:val="009C5D86"/>
    <w:rsid w:val="009C5DB7"/>
    <w:rsid w:val="009C658D"/>
    <w:rsid w:val="009C6CF8"/>
    <w:rsid w:val="009C7054"/>
    <w:rsid w:val="009C75F8"/>
    <w:rsid w:val="009C7A12"/>
    <w:rsid w:val="009C7EF9"/>
    <w:rsid w:val="009D015A"/>
    <w:rsid w:val="009D0398"/>
    <w:rsid w:val="009D1098"/>
    <w:rsid w:val="009D254D"/>
    <w:rsid w:val="009D2797"/>
    <w:rsid w:val="009D28A2"/>
    <w:rsid w:val="009D2AFE"/>
    <w:rsid w:val="009D2FF5"/>
    <w:rsid w:val="009D34F3"/>
    <w:rsid w:val="009D3CDD"/>
    <w:rsid w:val="009D3E11"/>
    <w:rsid w:val="009D3F2E"/>
    <w:rsid w:val="009D43C3"/>
    <w:rsid w:val="009D44E8"/>
    <w:rsid w:val="009D4784"/>
    <w:rsid w:val="009D47E4"/>
    <w:rsid w:val="009D4975"/>
    <w:rsid w:val="009D4C7B"/>
    <w:rsid w:val="009D4CB9"/>
    <w:rsid w:val="009D4DBC"/>
    <w:rsid w:val="009D4EAB"/>
    <w:rsid w:val="009D53F0"/>
    <w:rsid w:val="009D5D37"/>
    <w:rsid w:val="009D5D81"/>
    <w:rsid w:val="009D7522"/>
    <w:rsid w:val="009E07AD"/>
    <w:rsid w:val="009E13BD"/>
    <w:rsid w:val="009E17BD"/>
    <w:rsid w:val="009E18CA"/>
    <w:rsid w:val="009E1ABD"/>
    <w:rsid w:val="009E1B6D"/>
    <w:rsid w:val="009E2348"/>
    <w:rsid w:val="009E23E4"/>
    <w:rsid w:val="009E25BF"/>
    <w:rsid w:val="009E2817"/>
    <w:rsid w:val="009E3B74"/>
    <w:rsid w:val="009E3DDF"/>
    <w:rsid w:val="009E4C6F"/>
    <w:rsid w:val="009E51A6"/>
    <w:rsid w:val="009E5368"/>
    <w:rsid w:val="009E540A"/>
    <w:rsid w:val="009E6928"/>
    <w:rsid w:val="009E79DA"/>
    <w:rsid w:val="009E7B63"/>
    <w:rsid w:val="009F0407"/>
    <w:rsid w:val="009F0E44"/>
    <w:rsid w:val="009F10DA"/>
    <w:rsid w:val="009F167A"/>
    <w:rsid w:val="009F16EC"/>
    <w:rsid w:val="009F18E2"/>
    <w:rsid w:val="009F1C4F"/>
    <w:rsid w:val="009F1CAC"/>
    <w:rsid w:val="009F2111"/>
    <w:rsid w:val="009F211B"/>
    <w:rsid w:val="009F2354"/>
    <w:rsid w:val="009F294E"/>
    <w:rsid w:val="009F2A92"/>
    <w:rsid w:val="009F2D23"/>
    <w:rsid w:val="009F32CA"/>
    <w:rsid w:val="009F3607"/>
    <w:rsid w:val="009F397E"/>
    <w:rsid w:val="009F39A3"/>
    <w:rsid w:val="009F3A33"/>
    <w:rsid w:val="009F3B49"/>
    <w:rsid w:val="009F42F6"/>
    <w:rsid w:val="009F430D"/>
    <w:rsid w:val="009F4326"/>
    <w:rsid w:val="009F48B6"/>
    <w:rsid w:val="009F4DDB"/>
    <w:rsid w:val="009F55B6"/>
    <w:rsid w:val="009F561B"/>
    <w:rsid w:val="009F5BEE"/>
    <w:rsid w:val="009F60E1"/>
    <w:rsid w:val="009F68AC"/>
    <w:rsid w:val="009F6A46"/>
    <w:rsid w:val="009F6AED"/>
    <w:rsid w:val="009F6B74"/>
    <w:rsid w:val="009F6F55"/>
    <w:rsid w:val="009F6FA2"/>
    <w:rsid w:val="009F730F"/>
    <w:rsid w:val="009F7D89"/>
    <w:rsid w:val="00A003B2"/>
    <w:rsid w:val="00A00AE2"/>
    <w:rsid w:val="00A00AFA"/>
    <w:rsid w:val="00A00B0F"/>
    <w:rsid w:val="00A01021"/>
    <w:rsid w:val="00A01049"/>
    <w:rsid w:val="00A012F3"/>
    <w:rsid w:val="00A014BC"/>
    <w:rsid w:val="00A014F1"/>
    <w:rsid w:val="00A0167F"/>
    <w:rsid w:val="00A01B9D"/>
    <w:rsid w:val="00A02316"/>
    <w:rsid w:val="00A027BD"/>
    <w:rsid w:val="00A02FA4"/>
    <w:rsid w:val="00A02FC3"/>
    <w:rsid w:val="00A036E9"/>
    <w:rsid w:val="00A03BF5"/>
    <w:rsid w:val="00A03CC4"/>
    <w:rsid w:val="00A03FE9"/>
    <w:rsid w:val="00A041A9"/>
    <w:rsid w:val="00A042A0"/>
    <w:rsid w:val="00A04CEC"/>
    <w:rsid w:val="00A0572E"/>
    <w:rsid w:val="00A05F95"/>
    <w:rsid w:val="00A06927"/>
    <w:rsid w:val="00A06FC9"/>
    <w:rsid w:val="00A07BEA"/>
    <w:rsid w:val="00A07C9C"/>
    <w:rsid w:val="00A100EC"/>
    <w:rsid w:val="00A10541"/>
    <w:rsid w:val="00A1057E"/>
    <w:rsid w:val="00A1077C"/>
    <w:rsid w:val="00A10B92"/>
    <w:rsid w:val="00A10EF0"/>
    <w:rsid w:val="00A11AB1"/>
    <w:rsid w:val="00A125C5"/>
    <w:rsid w:val="00A12839"/>
    <w:rsid w:val="00A12D09"/>
    <w:rsid w:val="00A130C0"/>
    <w:rsid w:val="00A13182"/>
    <w:rsid w:val="00A13247"/>
    <w:rsid w:val="00A13886"/>
    <w:rsid w:val="00A13D8B"/>
    <w:rsid w:val="00A13DEE"/>
    <w:rsid w:val="00A13F57"/>
    <w:rsid w:val="00A1460F"/>
    <w:rsid w:val="00A146E9"/>
    <w:rsid w:val="00A1528D"/>
    <w:rsid w:val="00A15366"/>
    <w:rsid w:val="00A15C15"/>
    <w:rsid w:val="00A15C3B"/>
    <w:rsid w:val="00A165D6"/>
    <w:rsid w:val="00A16C79"/>
    <w:rsid w:val="00A1715E"/>
    <w:rsid w:val="00A17679"/>
    <w:rsid w:val="00A17696"/>
    <w:rsid w:val="00A177FF"/>
    <w:rsid w:val="00A20140"/>
    <w:rsid w:val="00A201D4"/>
    <w:rsid w:val="00A20D11"/>
    <w:rsid w:val="00A2133F"/>
    <w:rsid w:val="00A21968"/>
    <w:rsid w:val="00A219E0"/>
    <w:rsid w:val="00A219FF"/>
    <w:rsid w:val="00A21CD5"/>
    <w:rsid w:val="00A21D2D"/>
    <w:rsid w:val="00A21F45"/>
    <w:rsid w:val="00A22F65"/>
    <w:rsid w:val="00A23073"/>
    <w:rsid w:val="00A23721"/>
    <w:rsid w:val="00A237B5"/>
    <w:rsid w:val="00A240F2"/>
    <w:rsid w:val="00A2471E"/>
    <w:rsid w:val="00A24EAF"/>
    <w:rsid w:val="00A250D9"/>
    <w:rsid w:val="00A2514A"/>
    <w:rsid w:val="00A2598B"/>
    <w:rsid w:val="00A26020"/>
    <w:rsid w:val="00A26643"/>
    <w:rsid w:val="00A27759"/>
    <w:rsid w:val="00A27B9C"/>
    <w:rsid w:val="00A27F92"/>
    <w:rsid w:val="00A30209"/>
    <w:rsid w:val="00A30C49"/>
    <w:rsid w:val="00A310AA"/>
    <w:rsid w:val="00A310CE"/>
    <w:rsid w:val="00A317CE"/>
    <w:rsid w:val="00A32257"/>
    <w:rsid w:val="00A322C7"/>
    <w:rsid w:val="00A32693"/>
    <w:rsid w:val="00A32D97"/>
    <w:rsid w:val="00A335EA"/>
    <w:rsid w:val="00A33B70"/>
    <w:rsid w:val="00A33C76"/>
    <w:rsid w:val="00A33FF0"/>
    <w:rsid w:val="00A348D8"/>
    <w:rsid w:val="00A34D1C"/>
    <w:rsid w:val="00A35143"/>
    <w:rsid w:val="00A351F4"/>
    <w:rsid w:val="00A35689"/>
    <w:rsid w:val="00A35E58"/>
    <w:rsid w:val="00A362F1"/>
    <w:rsid w:val="00A36670"/>
    <w:rsid w:val="00A36CBC"/>
    <w:rsid w:val="00A372DE"/>
    <w:rsid w:val="00A37EC6"/>
    <w:rsid w:val="00A37FF5"/>
    <w:rsid w:val="00A4027A"/>
    <w:rsid w:val="00A40BB6"/>
    <w:rsid w:val="00A40F7E"/>
    <w:rsid w:val="00A40FFE"/>
    <w:rsid w:val="00A419B1"/>
    <w:rsid w:val="00A41AA7"/>
    <w:rsid w:val="00A420D3"/>
    <w:rsid w:val="00A4254B"/>
    <w:rsid w:val="00A42670"/>
    <w:rsid w:val="00A42FC9"/>
    <w:rsid w:val="00A4306F"/>
    <w:rsid w:val="00A434DE"/>
    <w:rsid w:val="00A4355F"/>
    <w:rsid w:val="00A43787"/>
    <w:rsid w:val="00A43A1C"/>
    <w:rsid w:val="00A43BBE"/>
    <w:rsid w:val="00A43DB6"/>
    <w:rsid w:val="00A44B1C"/>
    <w:rsid w:val="00A44F43"/>
    <w:rsid w:val="00A4540F"/>
    <w:rsid w:val="00A45CE6"/>
    <w:rsid w:val="00A46461"/>
    <w:rsid w:val="00A467AC"/>
    <w:rsid w:val="00A46DB1"/>
    <w:rsid w:val="00A46E15"/>
    <w:rsid w:val="00A47127"/>
    <w:rsid w:val="00A471DF"/>
    <w:rsid w:val="00A4720B"/>
    <w:rsid w:val="00A47550"/>
    <w:rsid w:val="00A50277"/>
    <w:rsid w:val="00A50EBB"/>
    <w:rsid w:val="00A51870"/>
    <w:rsid w:val="00A51BE1"/>
    <w:rsid w:val="00A51F37"/>
    <w:rsid w:val="00A5229F"/>
    <w:rsid w:val="00A5309C"/>
    <w:rsid w:val="00A53677"/>
    <w:rsid w:val="00A536DE"/>
    <w:rsid w:val="00A53968"/>
    <w:rsid w:val="00A53E1B"/>
    <w:rsid w:val="00A53EFC"/>
    <w:rsid w:val="00A540B3"/>
    <w:rsid w:val="00A540B6"/>
    <w:rsid w:val="00A5413A"/>
    <w:rsid w:val="00A542CD"/>
    <w:rsid w:val="00A54388"/>
    <w:rsid w:val="00A5481B"/>
    <w:rsid w:val="00A55622"/>
    <w:rsid w:val="00A5572C"/>
    <w:rsid w:val="00A558A1"/>
    <w:rsid w:val="00A55C36"/>
    <w:rsid w:val="00A55FB2"/>
    <w:rsid w:val="00A563FE"/>
    <w:rsid w:val="00A56915"/>
    <w:rsid w:val="00A56E7F"/>
    <w:rsid w:val="00A601E2"/>
    <w:rsid w:val="00A60719"/>
    <w:rsid w:val="00A61AF8"/>
    <w:rsid w:val="00A62B91"/>
    <w:rsid w:val="00A634E2"/>
    <w:rsid w:val="00A63A3A"/>
    <w:rsid w:val="00A6404B"/>
    <w:rsid w:val="00A64860"/>
    <w:rsid w:val="00A64A9A"/>
    <w:rsid w:val="00A64B52"/>
    <w:rsid w:val="00A65A30"/>
    <w:rsid w:val="00A66CE4"/>
    <w:rsid w:val="00A66FC0"/>
    <w:rsid w:val="00A676BF"/>
    <w:rsid w:val="00A67B7D"/>
    <w:rsid w:val="00A703D2"/>
    <w:rsid w:val="00A7046E"/>
    <w:rsid w:val="00A705FC"/>
    <w:rsid w:val="00A70645"/>
    <w:rsid w:val="00A7118C"/>
    <w:rsid w:val="00A717BA"/>
    <w:rsid w:val="00A71945"/>
    <w:rsid w:val="00A71B11"/>
    <w:rsid w:val="00A71D5D"/>
    <w:rsid w:val="00A72A24"/>
    <w:rsid w:val="00A72B2E"/>
    <w:rsid w:val="00A72F86"/>
    <w:rsid w:val="00A73407"/>
    <w:rsid w:val="00A7347B"/>
    <w:rsid w:val="00A7356B"/>
    <w:rsid w:val="00A74953"/>
    <w:rsid w:val="00A74DF9"/>
    <w:rsid w:val="00A763A2"/>
    <w:rsid w:val="00A7648C"/>
    <w:rsid w:val="00A76A98"/>
    <w:rsid w:val="00A76D9C"/>
    <w:rsid w:val="00A76F78"/>
    <w:rsid w:val="00A774C5"/>
    <w:rsid w:val="00A77529"/>
    <w:rsid w:val="00A80B42"/>
    <w:rsid w:val="00A80E98"/>
    <w:rsid w:val="00A81316"/>
    <w:rsid w:val="00A8162F"/>
    <w:rsid w:val="00A817FC"/>
    <w:rsid w:val="00A81812"/>
    <w:rsid w:val="00A81917"/>
    <w:rsid w:val="00A81A5E"/>
    <w:rsid w:val="00A81B4B"/>
    <w:rsid w:val="00A82589"/>
    <w:rsid w:val="00A825E2"/>
    <w:rsid w:val="00A82DB1"/>
    <w:rsid w:val="00A830B2"/>
    <w:rsid w:val="00A83502"/>
    <w:rsid w:val="00A8479D"/>
    <w:rsid w:val="00A849F5"/>
    <w:rsid w:val="00A84A98"/>
    <w:rsid w:val="00A84E53"/>
    <w:rsid w:val="00A852C9"/>
    <w:rsid w:val="00A858C8"/>
    <w:rsid w:val="00A85953"/>
    <w:rsid w:val="00A859AE"/>
    <w:rsid w:val="00A85CD6"/>
    <w:rsid w:val="00A85E29"/>
    <w:rsid w:val="00A86FB6"/>
    <w:rsid w:val="00A87128"/>
    <w:rsid w:val="00A87F93"/>
    <w:rsid w:val="00A9013B"/>
    <w:rsid w:val="00A90A56"/>
    <w:rsid w:val="00A9105D"/>
    <w:rsid w:val="00A91641"/>
    <w:rsid w:val="00A916FF"/>
    <w:rsid w:val="00A9195B"/>
    <w:rsid w:val="00A91B6A"/>
    <w:rsid w:val="00A92380"/>
    <w:rsid w:val="00A929E6"/>
    <w:rsid w:val="00A92FE0"/>
    <w:rsid w:val="00A93149"/>
    <w:rsid w:val="00A93260"/>
    <w:rsid w:val="00A93635"/>
    <w:rsid w:val="00A9386D"/>
    <w:rsid w:val="00A93EC3"/>
    <w:rsid w:val="00A94BCD"/>
    <w:rsid w:val="00A950F3"/>
    <w:rsid w:val="00A95BAA"/>
    <w:rsid w:val="00A95CC7"/>
    <w:rsid w:val="00A9736A"/>
    <w:rsid w:val="00A97703"/>
    <w:rsid w:val="00A97C83"/>
    <w:rsid w:val="00A97FB7"/>
    <w:rsid w:val="00AA0C55"/>
    <w:rsid w:val="00AA0E7E"/>
    <w:rsid w:val="00AA1187"/>
    <w:rsid w:val="00AA1577"/>
    <w:rsid w:val="00AA18AC"/>
    <w:rsid w:val="00AA1970"/>
    <w:rsid w:val="00AA1E3C"/>
    <w:rsid w:val="00AA20AB"/>
    <w:rsid w:val="00AA2488"/>
    <w:rsid w:val="00AA36C4"/>
    <w:rsid w:val="00AA3786"/>
    <w:rsid w:val="00AA38B7"/>
    <w:rsid w:val="00AA3AC1"/>
    <w:rsid w:val="00AA421C"/>
    <w:rsid w:val="00AA4281"/>
    <w:rsid w:val="00AA446D"/>
    <w:rsid w:val="00AA4485"/>
    <w:rsid w:val="00AA4C06"/>
    <w:rsid w:val="00AA4C60"/>
    <w:rsid w:val="00AA4C70"/>
    <w:rsid w:val="00AA57A1"/>
    <w:rsid w:val="00AA588E"/>
    <w:rsid w:val="00AA5DB8"/>
    <w:rsid w:val="00AA6326"/>
    <w:rsid w:val="00AA6360"/>
    <w:rsid w:val="00AA6932"/>
    <w:rsid w:val="00AA6F4B"/>
    <w:rsid w:val="00AA7224"/>
    <w:rsid w:val="00AA7263"/>
    <w:rsid w:val="00AA74B9"/>
    <w:rsid w:val="00AA76E5"/>
    <w:rsid w:val="00AA7C55"/>
    <w:rsid w:val="00AB0B77"/>
    <w:rsid w:val="00AB0BA6"/>
    <w:rsid w:val="00AB0CF2"/>
    <w:rsid w:val="00AB1394"/>
    <w:rsid w:val="00AB1945"/>
    <w:rsid w:val="00AB1BCD"/>
    <w:rsid w:val="00AB1CE1"/>
    <w:rsid w:val="00AB1F42"/>
    <w:rsid w:val="00AB1FC8"/>
    <w:rsid w:val="00AB22E9"/>
    <w:rsid w:val="00AB374B"/>
    <w:rsid w:val="00AB3CAC"/>
    <w:rsid w:val="00AB3E3E"/>
    <w:rsid w:val="00AB400A"/>
    <w:rsid w:val="00AB457E"/>
    <w:rsid w:val="00AB4902"/>
    <w:rsid w:val="00AB4B58"/>
    <w:rsid w:val="00AB4BF4"/>
    <w:rsid w:val="00AB56B0"/>
    <w:rsid w:val="00AB5809"/>
    <w:rsid w:val="00AB5D27"/>
    <w:rsid w:val="00AB6F59"/>
    <w:rsid w:val="00AB6FDF"/>
    <w:rsid w:val="00AC0486"/>
    <w:rsid w:val="00AC0705"/>
    <w:rsid w:val="00AC0769"/>
    <w:rsid w:val="00AC12DC"/>
    <w:rsid w:val="00AC16B2"/>
    <w:rsid w:val="00AC206F"/>
    <w:rsid w:val="00AC28E9"/>
    <w:rsid w:val="00AC3A88"/>
    <w:rsid w:val="00AC3C4C"/>
    <w:rsid w:val="00AC3CF2"/>
    <w:rsid w:val="00AC3FB9"/>
    <w:rsid w:val="00AC4173"/>
    <w:rsid w:val="00AC43C6"/>
    <w:rsid w:val="00AC4695"/>
    <w:rsid w:val="00AC4EB3"/>
    <w:rsid w:val="00AC4F1A"/>
    <w:rsid w:val="00AC5E61"/>
    <w:rsid w:val="00AC6467"/>
    <w:rsid w:val="00AC66A9"/>
    <w:rsid w:val="00AC6890"/>
    <w:rsid w:val="00AC6F43"/>
    <w:rsid w:val="00AC7056"/>
    <w:rsid w:val="00AC70CA"/>
    <w:rsid w:val="00AC74E1"/>
    <w:rsid w:val="00AC786D"/>
    <w:rsid w:val="00AD02C6"/>
    <w:rsid w:val="00AD1289"/>
    <w:rsid w:val="00AD1D27"/>
    <w:rsid w:val="00AD21EB"/>
    <w:rsid w:val="00AD26DA"/>
    <w:rsid w:val="00AD29EC"/>
    <w:rsid w:val="00AD2B11"/>
    <w:rsid w:val="00AD2C3F"/>
    <w:rsid w:val="00AD2E81"/>
    <w:rsid w:val="00AD3042"/>
    <w:rsid w:val="00AD3085"/>
    <w:rsid w:val="00AD3B09"/>
    <w:rsid w:val="00AD4557"/>
    <w:rsid w:val="00AD5388"/>
    <w:rsid w:val="00AD540D"/>
    <w:rsid w:val="00AD540E"/>
    <w:rsid w:val="00AD563E"/>
    <w:rsid w:val="00AD58D1"/>
    <w:rsid w:val="00AD5A6F"/>
    <w:rsid w:val="00AD6031"/>
    <w:rsid w:val="00AD637F"/>
    <w:rsid w:val="00AD64E8"/>
    <w:rsid w:val="00AD656E"/>
    <w:rsid w:val="00AD660E"/>
    <w:rsid w:val="00AD74AA"/>
    <w:rsid w:val="00AD7FAD"/>
    <w:rsid w:val="00AE023D"/>
    <w:rsid w:val="00AE02CB"/>
    <w:rsid w:val="00AE0341"/>
    <w:rsid w:val="00AE0548"/>
    <w:rsid w:val="00AE0A92"/>
    <w:rsid w:val="00AE0FFE"/>
    <w:rsid w:val="00AE11DC"/>
    <w:rsid w:val="00AE12C8"/>
    <w:rsid w:val="00AE1A99"/>
    <w:rsid w:val="00AE1DD1"/>
    <w:rsid w:val="00AE1F5C"/>
    <w:rsid w:val="00AE207D"/>
    <w:rsid w:val="00AE2165"/>
    <w:rsid w:val="00AE2333"/>
    <w:rsid w:val="00AE2BD3"/>
    <w:rsid w:val="00AE2BDB"/>
    <w:rsid w:val="00AE3220"/>
    <w:rsid w:val="00AE3264"/>
    <w:rsid w:val="00AE33B8"/>
    <w:rsid w:val="00AE35B9"/>
    <w:rsid w:val="00AE3706"/>
    <w:rsid w:val="00AE393F"/>
    <w:rsid w:val="00AE3FFF"/>
    <w:rsid w:val="00AE41C6"/>
    <w:rsid w:val="00AE47A9"/>
    <w:rsid w:val="00AE49ED"/>
    <w:rsid w:val="00AE524A"/>
    <w:rsid w:val="00AE5939"/>
    <w:rsid w:val="00AE597A"/>
    <w:rsid w:val="00AE5E9A"/>
    <w:rsid w:val="00AE6188"/>
    <w:rsid w:val="00AE63DF"/>
    <w:rsid w:val="00AE6D90"/>
    <w:rsid w:val="00AE761C"/>
    <w:rsid w:val="00AE7E98"/>
    <w:rsid w:val="00AE7F79"/>
    <w:rsid w:val="00AF0549"/>
    <w:rsid w:val="00AF099B"/>
    <w:rsid w:val="00AF0A10"/>
    <w:rsid w:val="00AF2101"/>
    <w:rsid w:val="00AF24F3"/>
    <w:rsid w:val="00AF2515"/>
    <w:rsid w:val="00AF2866"/>
    <w:rsid w:val="00AF2869"/>
    <w:rsid w:val="00AF2F44"/>
    <w:rsid w:val="00AF3040"/>
    <w:rsid w:val="00AF3493"/>
    <w:rsid w:val="00AF3BC1"/>
    <w:rsid w:val="00AF4AD1"/>
    <w:rsid w:val="00AF4C18"/>
    <w:rsid w:val="00AF4C2B"/>
    <w:rsid w:val="00AF4DD0"/>
    <w:rsid w:val="00AF5739"/>
    <w:rsid w:val="00AF5C5B"/>
    <w:rsid w:val="00AF5FA4"/>
    <w:rsid w:val="00AF6053"/>
    <w:rsid w:val="00AF6A2F"/>
    <w:rsid w:val="00AF6E49"/>
    <w:rsid w:val="00AF7540"/>
    <w:rsid w:val="00AF7B86"/>
    <w:rsid w:val="00AF7D90"/>
    <w:rsid w:val="00B003DD"/>
    <w:rsid w:val="00B0078E"/>
    <w:rsid w:val="00B00F6F"/>
    <w:rsid w:val="00B01524"/>
    <w:rsid w:val="00B016B6"/>
    <w:rsid w:val="00B01835"/>
    <w:rsid w:val="00B01927"/>
    <w:rsid w:val="00B02B8A"/>
    <w:rsid w:val="00B0342A"/>
    <w:rsid w:val="00B03A97"/>
    <w:rsid w:val="00B03B00"/>
    <w:rsid w:val="00B03BAA"/>
    <w:rsid w:val="00B04210"/>
    <w:rsid w:val="00B0495F"/>
    <w:rsid w:val="00B04A09"/>
    <w:rsid w:val="00B04A67"/>
    <w:rsid w:val="00B0528A"/>
    <w:rsid w:val="00B05606"/>
    <w:rsid w:val="00B0583C"/>
    <w:rsid w:val="00B05D5B"/>
    <w:rsid w:val="00B06025"/>
    <w:rsid w:val="00B06098"/>
    <w:rsid w:val="00B06154"/>
    <w:rsid w:val="00B06A9A"/>
    <w:rsid w:val="00B06AA6"/>
    <w:rsid w:val="00B07252"/>
    <w:rsid w:val="00B0747B"/>
    <w:rsid w:val="00B07C02"/>
    <w:rsid w:val="00B07C98"/>
    <w:rsid w:val="00B105D6"/>
    <w:rsid w:val="00B10870"/>
    <w:rsid w:val="00B10D41"/>
    <w:rsid w:val="00B10DC3"/>
    <w:rsid w:val="00B112F8"/>
    <w:rsid w:val="00B11AA3"/>
    <w:rsid w:val="00B11B17"/>
    <w:rsid w:val="00B12051"/>
    <w:rsid w:val="00B123DA"/>
    <w:rsid w:val="00B123FF"/>
    <w:rsid w:val="00B12BB3"/>
    <w:rsid w:val="00B13572"/>
    <w:rsid w:val="00B135B3"/>
    <w:rsid w:val="00B13B3B"/>
    <w:rsid w:val="00B147C2"/>
    <w:rsid w:val="00B15992"/>
    <w:rsid w:val="00B15B5D"/>
    <w:rsid w:val="00B15E2E"/>
    <w:rsid w:val="00B160D5"/>
    <w:rsid w:val="00B1736F"/>
    <w:rsid w:val="00B175D7"/>
    <w:rsid w:val="00B17874"/>
    <w:rsid w:val="00B17AA9"/>
    <w:rsid w:val="00B17C8A"/>
    <w:rsid w:val="00B17F52"/>
    <w:rsid w:val="00B202DD"/>
    <w:rsid w:val="00B202F7"/>
    <w:rsid w:val="00B204EB"/>
    <w:rsid w:val="00B205A1"/>
    <w:rsid w:val="00B20CB4"/>
    <w:rsid w:val="00B21153"/>
    <w:rsid w:val="00B21632"/>
    <w:rsid w:val="00B21FB6"/>
    <w:rsid w:val="00B2207F"/>
    <w:rsid w:val="00B22423"/>
    <w:rsid w:val="00B22765"/>
    <w:rsid w:val="00B227EB"/>
    <w:rsid w:val="00B22AA6"/>
    <w:rsid w:val="00B230A1"/>
    <w:rsid w:val="00B25252"/>
    <w:rsid w:val="00B25298"/>
    <w:rsid w:val="00B2552C"/>
    <w:rsid w:val="00B2583D"/>
    <w:rsid w:val="00B30182"/>
    <w:rsid w:val="00B314ED"/>
    <w:rsid w:val="00B31F6F"/>
    <w:rsid w:val="00B32B5A"/>
    <w:rsid w:val="00B3353F"/>
    <w:rsid w:val="00B335E2"/>
    <w:rsid w:val="00B342DA"/>
    <w:rsid w:val="00B34577"/>
    <w:rsid w:val="00B347D9"/>
    <w:rsid w:val="00B34BF8"/>
    <w:rsid w:val="00B34C0A"/>
    <w:rsid w:val="00B34F0F"/>
    <w:rsid w:val="00B3515F"/>
    <w:rsid w:val="00B352A9"/>
    <w:rsid w:val="00B354AF"/>
    <w:rsid w:val="00B356B4"/>
    <w:rsid w:val="00B35962"/>
    <w:rsid w:val="00B359C0"/>
    <w:rsid w:val="00B360E8"/>
    <w:rsid w:val="00B3629E"/>
    <w:rsid w:val="00B3659A"/>
    <w:rsid w:val="00B367D2"/>
    <w:rsid w:val="00B36EF5"/>
    <w:rsid w:val="00B373B4"/>
    <w:rsid w:val="00B377BA"/>
    <w:rsid w:val="00B37DF8"/>
    <w:rsid w:val="00B40141"/>
    <w:rsid w:val="00B407E7"/>
    <w:rsid w:val="00B409EF"/>
    <w:rsid w:val="00B40A81"/>
    <w:rsid w:val="00B40B56"/>
    <w:rsid w:val="00B40D4F"/>
    <w:rsid w:val="00B4127B"/>
    <w:rsid w:val="00B41555"/>
    <w:rsid w:val="00B41A3F"/>
    <w:rsid w:val="00B4202F"/>
    <w:rsid w:val="00B421C9"/>
    <w:rsid w:val="00B431FC"/>
    <w:rsid w:val="00B436D1"/>
    <w:rsid w:val="00B43B31"/>
    <w:rsid w:val="00B43BE2"/>
    <w:rsid w:val="00B43C3F"/>
    <w:rsid w:val="00B445FD"/>
    <w:rsid w:val="00B44910"/>
    <w:rsid w:val="00B45046"/>
    <w:rsid w:val="00B45090"/>
    <w:rsid w:val="00B457F4"/>
    <w:rsid w:val="00B45BBF"/>
    <w:rsid w:val="00B461A5"/>
    <w:rsid w:val="00B4620F"/>
    <w:rsid w:val="00B46449"/>
    <w:rsid w:val="00B46610"/>
    <w:rsid w:val="00B47621"/>
    <w:rsid w:val="00B47AA4"/>
    <w:rsid w:val="00B47FDF"/>
    <w:rsid w:val="00B5011D"/>
    <w:rsid w:val="00B50253"/>
    <w:rsid w:val="00B5081E"/>
    <w:rsid w:val="00B50827"/>
    <w:rsid w:val="00B50899"/>
    <w:rsid w:val="00B51122"/>
    <w:rsid w:val="00B511EC"/>
    <w:rsid w:val="00B51606"/>
    <w:rsid w:val="00B51AAD"/>
    <w:rsid w:val="00B51ACD"/>
    <w:rsid w:val="00B51C97"/>
    <w:rsid w:val="00B51CF4"/>
    <w:rsid w:val="00B51D5B"/>
    <w:rsid w:val="00B51E0F"/>
    <w:rsid w:val="00B51F2D"/>
    <w:rsid w:val="00B522DF"/>
    <w:rsid w:val="00B5290E"/>
    <w:rsid w:val="00B530C1"/>
    <w:rsid w:val="00B534CE"/>
    <w:rsid w:val="00B538C1"/>
    <w:rsid w:val="00B53AC3"/>
    <w:rsid w:val="00B54183"/>
    <w:rsid w:val="00B5475F"/>
    <w:rsid w:val="00B54AA6"/>
    <w:rsid w:val="00B54D10"/>
    <w:rsid w:val="00B54D2F"/>
    <w:rsid w:val="00B54F88"/>
    <w:rsid w:val="00B55966"/>
    <w:rsid w:val="00B562FA"/>
    <w:rsid w:val="00B56368"/>
    <w:rsid w:val="00B564C2"/>
    <w:rsid w:val="00B56AE1"/>
    <w:rsid w:val="00B56B3A"/>
    <w:rsid w:val="00B56B63"/>
    <w:rsid w:val="00B56BD0"/>
    <w:rsid w:val="00B574FF"/>
    <w:rsid w:val="00B57C4B"/>
    <w:rsid w:val="00B6084A"/>
    <w:rsid w:val="00B608BF"/>
    <w:rsid w:val="00B60E4A"/>
    <w:rsid w:val="00B60EAD"/>
    <w:rsid w:val="00B6153B"/>
    <w:rsid w:val="00B616D0"/>
    <w:rsid w:val="00B61B27"/>
    <w:rsid w:val="00B61CA7"/>
    <w:rsid w:val="00B62014"/>
    <w:rsid w:val="00B620C4"/>
    <w:rsid w:val="00B62AC9"/>
    <w:rsid w:val="00B62AD2"/>
    <w:rsid w:val="00B634EB"/>
    <w:rsid w:val="00B63CE3"/>
    <w:rsid w:val="00B63D58"/>
    <w:rsid w:val="00B6443D"/>
    <w:rsid w:val="00B646C0"/>
    <w:rsid w:val="00B64DE6"/>
    <w:rsid w:val="00B65002"/>
    <w:rsid w:val="00B650E4"/>
    <w:rsid w:val="00B65249"/>
    <w:rsid w:val="00B65670"/>
    <w:rsid w:val="00B659CB"/>
    <w:rsid w:val="00B65DBE"/>
    <w:rsid w:val="00B66062"/>
    <w:rsid w:val="00B66281"/>
    <w:rsid w:val="00B666DB"/>
    <w:rsid w:val="00B668D3"/>
    <w:rsid w:val="00B66B2E"/>
    <w:rsid w:val="00B66ED1"/>
    <w:rsid w:val="00B67645"/>
    <w:rsid w:val="00B67A45"/>
    <w:rsid w:val="00B67D02"/>
    <w:rsid w:val="00B70047"/>
    <w:rsid w:val="00B7047B"/>
    <w:rsid w:val="00B70627"/>
    <w:rsid w:val="00B70CD3"/>
    <w:rsid w:val="00B71390"/>
    <w:rsid w:val="00B71888"/>
    <w:rsid w:val="00B71E09"/>
    <w:rsid w:val="00B72024"/>
    <w:rsid w:val="00B72267"/>
    <w:rsid w:val="00B72F90"/>
    <w:rsid w:val="00B73818"/>
    <w:rsid w:val="00B73D90"/>
    <w:rsid w:val="00B73E47"/>
    <w:rsid w:val="00B7401A"/>
    <w:rsid w:val="00B742B2"/>
    <w:rsid w:val="00B742BA"/>
    <w:rsid w:val="00B74ACB"/>
    <w:rsid w:val="00B74DD8"/>
    <w:rsid w:val="00B7542D"/>
    <w:rsid w:val="00B756CE"/>
    <w:rsid w:val="00B75771"/>
    <w:rsid w:val="00B75881"/>
    <w:rsid w:val="00B75C1F"/>
    <w:rsid w:val="00B761DF"/>
    <w:rsid w:val="00B76295"/>
    <w:rsid w:val="00B765E8"/>
    <w:rsid w:val="00B76D1B"/>
    <w:rsid w:val="00B76EB6"/>
    <w:rsid w:val="00B805FB"/>
    <w:rsid w:val="00B80668"/>
    <w:rsid w:val="00B8069D"/>
    <w:rsid w:val="00B809F2"/>
    <w:rsid w:val="00B8199D"/>
    <w:rsid w:val="00B81E5D"/>
    <w:rsid w:val="00B824C8"/>
    <w:rsid w:val="00B825E8"/>
    <w:rsid w:val="00B8297E"/>
    <w:rsid w:val="00B84E4C"/>
    <w:rsid w:val="00B85360"/>
    <w:rsid w:val="00B85F33"/>
    <w:rsid w:val="00B869D5"/>
    <w:rsid w:val="00B86C2C"/>
    <w:rsid w:val="00B86EBE"/>
    <w:rsid w:val="00B86F6A"/>
    <w:rsid w:val="00B87176"/>
    <w:rsid w:val="00B879F9"/>
    <w:rsid w:val="00B902E4"/>
    <w:rsid w:val="00B904A7"/>
    <w:rsid w:val="00B913D1"/>
    <w:rsid w:val="00B92453"/>
    <w:rsid w:val="00B9292A"/>
    <w:rsid w:val="00B92C6D"/>
    <w:rsid w:val="00B93EB4"/>
    <w:rsid w:val="00B943FA"/>
    <w:rsid w:val="00B94498"/>
    <w:rsid w:val="00B9510B"/>
    <w:rsid w:val="00B95965"/>
    <w:rsid w:val="00B95B4C"/>
    <w:rsid w:val="00B9631C"/>
    <w:rsid w:val="00B979BE"/>
    <w:rsid w:val="00B97C57"/>
    <w:rsid w:val="00BA043C"/>
    <w:rsid w:val="00BA0B97"/>
    <w:rsid w:val="00BA17DC"/>
    <w:rsid w:val="00BA22D1"/>
    <w:rsid w:val="00BA2A6C"/>
    <w:rsid w:val="00BA312F"/>
    <w:rsid w:val="00BA31CD"/>
    <w:rsid w:val="00BA3419"/>
    <w:rsid w:val="00BA356D"/>
    <w:rsid w:val="00BA365B"/>
    <w:rsid w:val="00BA42A2"/>
    <w:rsid w:val="00BA43BB"/>
    <w:rsid w:val="00BA44F2"/>
    <w:rsid w:val="00BA4789"/>
    <w:rsid w:val="00BA4A58"/>
    <w:rsid w:val="00BA5812"/>
    <w:rsid w:val="00BA65EA"/>
    <w:rsid w:val="00BA7F16"/>
    <w:rsid w:val="00BB0394"/>
    <w:rsid w:val="00BB0579"/>
    <w:rsid w:val="00BB069A"/>
    <w:rsid w:val="00BB0F0D"/>
    <w:rsid w:val="00BB14AC"/>
    <w:rsid w:val="00BB1961"/>
    <w:rsid w:val="00BB1F01"/>
    <w:rsid w:val="00BB3C23"/>
    <w:rsid w:val="00BB4776"/>
    <w:rsid w:val="00BB4C01"/>
    <w:rsid w:val="00BB553A"/>
    <w:rsid w:val="00BB58CE"/>
    <w:rsid w:val="00BB6957"/>
    <w:rsid w:val="00BB724E"/>
    <w:rsid w:val="00BC01CB"/>
    <w:rsid w:val="00BC05B6"/>
    <w:rsid w:val="00BC066C"/>
    <w:rsid w:val="00BC07FF"/>
    <w:rsid w:val="00BC0A6B"/>
    <w:rsid w:val="00BC0F44"/>
    <w:rsid w:val="00BC11EA"/>
    <w:rsid w:val="00BC22E4"/>
    <w:rsid w:val="00BC2491"/>
    <w:rsid w:val="00BC251A"/>
    <w:rsid w:val="00BC25EB"/>
    <w:rsid w:val="00BC2788"/>
    <w:rsid w:val="00BC27B8"/>
    <w:rsid w:val="00BC307C"/>
    <w:rsid w:val="00BC30D8"/>
    <w:rsid w:val="00BC3905"/>
    <w:rsid w:val="00BC49A3"/>
    <w:rsid w:val="00BC4FCE"/>
    <w:rsid w:val="00BC57AC"/>
    <w:rsid w:val="00BC5D19"/>
    <w:rsid w:val="00BC6670"/>
    <w:rsid w:val="00BC69AA"/>
    <w:rsid w:val="00BC6B67"/>
    <w:rsid w:val="00BD0328"/>
    <w:rsid w:val="00BD032B"/>
    <w:rsid w:val="00BD0A8F"/>
    <w:rsid w:val="00BD0E0E"/>
    <w:rsid w:val="00BD1572"/>
    <w:rsid w:val="00BD29AA"/>
    <w:rsid w:val="00BD30D3"/>
    <w:rsid w:val="00BD321E"/>
    <w:rsid w:val="00BD35A3"/>
    <w:rsid w:val="00BD37FA"/>
    <w:rsid w:val="00BD38D2"/>
    <w:rsid w:val="00BD41CB"/>
    <w:rsid w:val="00BD46C5"/>
    <w:rsid w:val="00BD470C"/>
    <w:rsid w:val="00BD4C15"/>
    <w:rsid w:val="00BD5122"/>
    <w:rsid w:val="00BD5698"/>
    <w:rsid w:val="00BD570E"/>
    <w:rsid w:val="00BD5795"/>
    <w:rsid w:val="00BD5D98"/>
    <w:rsid w:val="00BD61C4"/>
    <w:rsid w:val="00BD68D5"/>
    <w:rsid w:val="00BD6E76"/>
    <w:rsid w:val="00BD7288"/>
    <w:rsid w:val="00BD7301"/>
    <w:rsid w:val="00BD7CF1"/>
    <w:rsid w:val="00BE02D7"/>
    <w:rsid w:val="00BE0319"/>
    <w:rsid w:val="00BE06CB"/>
    <w:rsid w:val="00BE070A"/>
    <w:rsid w:val="00BE0E59"/>
    <w:rsid w:val="00BE17C9"/>
    <w:rsid w:val="00BE238A"/>
    <w:rsid w:val="00BE2640"/>
    <w:rsid w:val="00BE2A29"/>
    <w:rsid w:val="00BE3177"/>
    <w:rsid w:val="00BE3190"/>
    <w:rsid w:val="00BE3C2E"/>
    <w:rsid w:val="00BE3CC2"/>
    <w:rsid w:val="00BE4C36"/>
    <w:rsid w:val="00BE52B8"/>
    <w:rsid w:val="00BE52DF"/>
    <w:rsid w:val="00BE55DA"/>
    <w:rsid w:val="00BE5761"/>
    <w:rsid w:val="00BE5A6B"/>
    <w:rsid w:val="00BE5B79"/>
    <w:rsid w:val="00BE5D2A"/>
    <w:rsid w:val="00BE629D"/>
    <w:rsid w:val="00BE6B31"/>
    <w:rsid w:val="00BE7792"/>
    <w:rsid w:val="00BE797B"/>
    <w:rsid w:val="00BE79AB"/>
    <w:rsid w:val="00BF0754"/>
    <w:rsid w:val="00BF07DF"/>
    <w:rsid w:val="00BF0C4F"/>
    <w:rsid w:val="00BF15AD"/>
    <w:rsid w:val="00BF244E"/>
    <w:rsid w:val="00BF252A"/>
    <w:rsid w:val="00BF26ED"/>
    <w:rsid w:val="00BF2BC1"/>
    <w:rsid w:val="00BF2CAF"/>
    <w:rsid w:val="00BF2E8D"/>
    <w:rsid w:val="00BF30B7"/>
    <w:rsid w:val="00BF34DB"/>
    <w:rsid w:val="00BF34EF"/>
    <w:rsid w:val="00BF3AD9"/>
    <w:rsid w:val="00BF3DB3"/>
    <w:rsid w:val="00BF409B"/>
    <w:rsid w:val="00BF44CB"/>
    <w:rsid w:val="00BF48DA"/>
    <w:rsid w:val="00BF4945"/>
    <w:rsid w:val="00BF52C4"/>
    <w:rsid w:val="00BF54F2"/>
    <w:rsid w:val="00BF5578"/>
    <w:rsid w:val="00BF5706"/>
    <w:rsid w:val="00BF5C42"/>
    <w:rsid w:val="00BF5D67"/>
    <w:rsid w:val="00BF5E9D"/>
    <w:rsid w:val="00BF6F02"/>
    <w:rsid w:val="00BF7758"/>
    <w:rsid w:val="00C00137"/>
    <w:rsid w:val="00C00207"/>
    <w:rsid w:val="00C006BB"/>
    <w:rsid w:val="00C007DC"/>
    <w:rsid w:val="00C00838"/>
    <w:rsid w:val="00C0085A"/>
    <w:rsid w:val="00C00D84"/>
    <w:rsid w:val="00C00DAA"/>
    <w:rsid w:val="00C01189"/>
    <w:rsid w:val="00C01601"/>
    <w:rsid w:val="00C0179E"/>
    <w:rsid w:val="00C01875"/>
    <w:rsid w:val="00C01CAF"/>
    <w:rsid w:val="00C02509"/>
    <w:rsid w:val="00C0277F"/>
    <w:rsid w:val="00C029C6"/>
    <w:rsid w:val="00C02AE0"/>
    <w:rsid w:val="00C039B0"/>
    <w:rsid w:val="00C03EEE"/>
    <w:rsid w:val="00C041FE"/>
    <w:rsid w:val="00C044BB"/>
    <w:rsid w:val="00C04785"/>
    <w:rsid w:val="00C04A7F"/>
    <w:rsid w:val="00C0555A"/>
    <w:rsid w:val="00C076D4"/>
    <w:rsid w:val="00C07CA0"/>
    <w:rsid w:val="00C106C3"/>
    <w:rsid w:val="00C106F0"/>
    <w:rsid w:val="00C10DF1"/>
    <w:rsid w:val="00C10F21"/>
    <w:rsid w:val="00C11149"/>
    <w:rsid w:val="00C1120A"/>
    <w:rsid w:val="00C116C0"/>
    <w:rsid w:val="00C11E81"/>
    <w:rsid w:val="00C12086"/>
    <w:rsid w:val="00C12167"/>
    <w:rsid w:val="00C129DB"/>
    <w:rsid w:val="00C12B8F"/>
    <w:rsid w:val="00C136B0"/>
    <w:rsid w:val="00C14137"/>
    <w:rsid w:val="00C14330"/>
    <w:rsid w:val="00C14D7B"/>
    <w:rsid w:val="00C15071"/>
    <w:rsid w:val="00C15816"/>
    <w:rsid w:val="00C15DBF"/>
    <w:rsid w:val="00C15ED9"/>
    <w:rsid w:val="00C16004"/>
    <w:rsid w:val="00C162B7"/>
    <w:rsid w:val="00C16477"/>
    <w:rsid w:val="00C16660"/>
    <w:rsid w:val="00C16838"/>
    <w:rsid w:val="00C17491"/>
    <w:rsid w:val="00C20781"/>
    <w:rsid w:val="00C20B1B"/>
    <w:rsid w:val="00C20BB6"/>
    <w:rsid w:val="00C20E85"/>
    <w:rsid w:val="00C21564"/>
    <w:rsid w:val="00C2163E"/>
    <w:rsid w:val="00C22052"/>
    <w:rsid w:val="00C22889"/>
    <w:rsid w:val="00C22A0D"/>
    <w:rsid w:val="00C22BFF"/>
    <w:rsid w:val="00C22D87"/>
    <w:rsid w:val="00C22FDE"/>
    <w:rsid w:val="00C23094"/>
    <w:rsid w:val="00C24096"/>
    <w:rsid w:val="00C24A48"/>
    <w:rsid w:val="00C2526C"/>
    <w:rsid w:val="00C25DD6"/>
    <w:rsid w:val="00C266B8"/>
    <w:rsid w:val="00C27436"/>
    <w:rsid w:val="00C27B25"/>
    <w:rsid w:val="00C27F91"/>
    <w:rsid w:val="00C30067"/>
    <w:rsid w:val="00C3006A"/>
    <w:rsid w:val="00C30253"/>
    <w:rsid w:val="00C30673"/>
    <w:rsid w:val="00C30E35"/>
    <w:rsid w:val="00C30EB4"/>
    <w:rsid w:val="00C30F7D"/>
    <w:rsid w:val="00C3134F"/>
    <w:rsid w:val="00C32117"/>
    <w:rsid w:val="00C32119"/>
    <w:rsid w:val="00C3213C"/>
    <w:rsid w:val="00C322B1"/>
    <w:rsid w:val="00C3297F"/>
    <w:rsid w:val="00C329B5"/>
    <w:rsid w:val="00C3351C"/>
    <w:rsid w:val="00C34975"/>
    <w:rsid w:val="00C34FA0"/>
    <w:rsid w:val="00C353E6"/>
    <w:rsid w:val="00C35D3B"/>
    <w:rsid w:val="00C35D3F"/>
    <w:rsid w:val="00C36301"/>
    <w:rsid w:val="00C36620"/>
    <w:rsid w:val="00C36F25"/>
    <w:rsid w:val="00C36F43"/>
    <w:rsid w:val="00C370FC"/>
    <w:rsid w:val="00C371F8"/>
    <w:rsid w:val="00C374DE"/>
    <w:rsid w:val="00C3771F"/>
    <w:rsid w:val="00C37929"/>
    <w:rsid w:val="00C37E1E"/>
    <w:rsid w:val="00C401DA"/>
    <w:rsid w:val="00C402AA"/>
    <w:rsid w:val="00C404A9"/>
    <w:rsid w:val="00C409C1"/>
    <w:rsid w:val="00C40A9B"/>
    <w:rsid w:val="00C40BCA"/>
    <w:rsid w:val="00C42270"/>
    <w:rsid w:val="00C42F69"/>
    <w:rsid w:val="00C43133"/>
    <w:rsid w:val="00C43855"/>
    <w:rsid w:val="00C43BE9"/>
    <w:rsid w:val="00C44541"/>
    <w:rsid w:val="00C44781"/>
    <w:rsid w:val="00C44B0A"/>
    <w:rsid w:val="00C4514E"/>
    <w:rsid w:val="00C455D5"/>
    <w:rsid w:val="00C45FC5"/>
    <w:rsid w:val="00C46105"/>
    <w:rsid w:val="00C466E7"/>
    <w:rsid w:val="00C46BD2"/>
    <w:rsid w:val="00C46DD8"/>
    <w:rsid w:val="00C470E2"/>
    <w:rsid w:val="00C475C0"/>
    <w:rsid w:val="00C47AD4"/>
    <w:rsid w:val="00C47B2F"/>
    <w:rsid w:val="00C50026"/>
    <w:rsid w:val="00C505C2"/>
    <w:rsid w:val="00C50737"/>
    <w:rsid w:val="00C50AF6"/>
    <w:rsid w:val="00C50C79"/>
    <w:rsid w:val="00C512F1"/>
    <w:rsid w:val="00C51452"/>
    <w:rsid w:val="00C51EEB"/>
    <w:rsid w:val="00C52511"/>
    <w:rsid w:val="00C52D81"/>
    <w:rsid w:val="00C5337D"/>
    <w:rsid w:val="00C5350B"/>
    <w:rsid w:val="00C537D6"/>
    <w:rsid w:val="00C54321"/>
    <w:rsid w:val="00C54E7E"/>
    <w:rsid w:val="00C54ED6"/>
    <w:rsid w:val="00C54F4F"/>
    <w:rsid w:val="00C54FCF"/>
    <w:rsid w:val="00C55198"/>
    <w:rsid w:val="00C55486"/>
    <w:rsid w:val="00C560AF"/>
    <w:rsid w:val="00C56528"/>
    <w:rsid w:val="00C56585"/>
    <w:rsid w:val="00C56608"/>
    <w:rsid w:val="00C567E6"/>
    <w:rsid w:val="00C569CF"/>
    <w:rsid w:val="00C56A8A"/>
    <w:rsid w:val="00C60446"/>
    <w:rsid w:val="00C6078F"/>
    <w:rsid w:val="00C60CF6"/>
    <w:rsid w:val="00C61604"/>
    <w:rsid w:val="00C616A6"/>
    <w:rsid w:val="00C6243D"/>
    <w:rsid w:val="00C625D0"/>
    <w:rsid w:val="00C63283"/>
    <w:rsid w:val="00C6350B"/>
    <w:rsid w:val="00C636C5"/>
    <w:rsid w:val="00C639E5"/>
    <w:rsid w:val="00C63AC8"/>
    <w:rsid w:val="00C63B95"/>
    <w:rsid w:val="00C64621"/>
    <w:rsid w:val="00C64736"/>
    <w:rsid w:val="00C6510A"/>
    <w:rsid w:val="00C652E7"/>
    <w:rsid w:val="00C6572F"/>
    <w:rsid w:val="00C6605D"/>
    <w:rsid w:val="00C661E9"/>
    <w:rsid w:val="00C6624B"/>
    <w:rsid w:val="00C665A7"/>
    <w:rsid w:val="00C665DF"/>
    <w:rsid w:val="00C66AE8"/>
    <w:rsid w:val="00C66BAD"/>
    <w:rsid w:val="00C700DF"/>
    <w:rsid w:val="00C70290"/>
    <w:rsid w:val="00C7038B"/>
    <w:rsid w:val="00C70441"/>
    <w:rsid w:val="00C70EA1"/>
    <w:rsid w:val="00C710A3"/>
    <w:rsid w:val="00C7128B"/>
    <w:rsid w:val="00C71B0C"/>
    <w:rsid w:val="00C71BE9"/>
    <w:rsid w:val="00C71F36"/>
    <w:rsid w:val="00C72123"/>
    <w:rsid w:val="00C72CE6"/>
    <w:rsid w:val="00C732BB"/>
    <w:rsid w:val="00C733A6"/>
    <w:rsid w:val="00C74288"/>
    <w:rsid w:val="00C74307"/>
    <w:rsid w:val="00C744CC"/>
    <w:rsid w:val="00C74BBA"/>
    <w:rsid w:val="00C74F40"/>
    <w:rsid w:val="00C75576"/>
    <w:rsid w:val="00C7614D"/>
    <w:rsid w:val="00C76DAC"/>
    <w:rsid w:val="00C772B4"/>
    <w:rsid w:val="00C772CB"/>
    <w:rsid w:val="00C774FB"/>
    <w:rsid w:val="00C77E68"/>
    <w:rsid w:val="00C8024B"/>
    <w:rsid w:val="00C802BB"/>
    <w:rsid w:val="00C80C96"/>
    <w:rsid w:val="00C80D4B"/>
    <w:rsid w:val="00C81962"/>
    <w:rsid w:val="00C819F9"/>
    <w:rsid w:val="00C81B79"/>
    <w:rsid w:val="00C81B86"/>
    <w:rsid w:val="00C82801"/>
    <w:rsid w:val="00C82E11"/>
    <w:rsid w:val="00C82EA0"/>
    <w:rsid w:val="00C834E4"/>
    <w:rsid w:val="00C838CC"/>
    <w:rsid w:val="00C83B92"/>
    <w:rsid w:val="00C83BA5"/>
    <w:rsid w:val="00C83CFB"/>
    <w:rsid w:val="00C841D0"/>
    <w:rsid w:val="00C841E9"/>
    <w:rsid w:val="00C84673"/>
    <w:rsid w:val="00C85834"/>
    <w:rsid w:val="00C85E22"/>
    <w:rsid w:val="00C85E62"/>
    <w:rsid w:val="00C86272"/>
    <w:rsid w:val="00C8648E"/>
    <w:rsid w:val="00C86752"/>
    <w:rsid w:val="00C868B9"/>
    <w:rsid w:val="00C869F4"/>
    <w:rsid w:val="00C87851"/>
    <w:rsid w:val="00C878FD"/>
    <w:rsid w:val="00C87DE1"/>
    <w:rsid w:val="00C87F08"/>
    <w:rsid w:val="00C91454"/>
    <w:rsid w:val="00C91C82"/>
    <w:rsid w:val="00C925F5"/>
    <w:rsid w:val="00C927C8"/>
    <w:rsid w:val="00C92AA7"/>
    <w:rsid w:val="00C93935"/>
    <w:rsid w:val="00C94128"/>
    <w:rsid w:val="00C94915"/>
    <w:rsid w:val="00C94A15"/>
    <w:rsid w:val="00C94DD6"/>
    <w:rsid w:val="00C94E4A"/>
    <w:rsid w:val="00C95098"/>
    <w:rsid w:val="00C9510E"/>
    <w:rsid w:val="00C95A2C"/>
    <w:rsid w:val="00C96674"/>
    <w:rsid w:val="00C96865"/>
    <w:rsid w:val="00C96CC0"/>
    <w:rsid w:val="00C96ECD"/>
    <w:rsid w:val="00C97168"/>
    <w:rsid w:val="00C972B1"/>
    <w:rsid w:val="00C97537"/>
    <w:rsid w:val="00C97641"/>
    <w:rsid w:val="00C9769F"/>
    <w:rsid w:val="00C97EDA"/>
    <w:rsid w:val="00CA09D3"/>
    <w:rsid w:val="00CA0E35"/>
    <w:rsid w:val="00CA21FD"/>
    <w:rsid w:val="00CA2264"/>
    <w:rsid w:val="00CA2862"/>
    <w:rsid w:val="00CA2EAB"/>
    <w:rsid w:val="00CA337C"/>
    <w:rsid w:val="00CA3F4E"/>
    <w:rsid w:val="00CA40DC"/>
    <w:rsid w:val="00CA4294"/>
    <w:rsid w:val="00CA49D4"/>
    <w:rsid w:val="00CA4A17"/>
    <w:rsid w:val="00CA4A32"/>
    <w:rsid w:val="00CA4E8C"/>
    <w:rsid w:val="00CA56B6"/>
    <w:rsid w:val="00CA5AE0"/>
    <w:rsid w:val="00CA5AF7"/>
    <w:rsid w:val="00CA5D52"/>
    <w:rsid w:val="00CA6234"/>
    <w:rsid w:val="00CA6393"/>
    <w:rsid w:val="00CA63FD"/>
    <w:rsid w:val="00CA6744"/>
    <w:rsid w:val="00CA686B"/>
    <w:rsid w:val="00CA68B0"/>
    <w:rsid w:val="00CA6FFB"/>
    <w:rsid w:val="00CA7176"/>
    <w:rsid w:val="00CA729C"/>
    <w:rsid w:val="00CA7373"/>
    <w:rsid w:val="00CA7BDA"/>
    <w:rsid w:val="00CA7DF8"/>
    <w:rsid w:val="00CB0413"/>
    <w:rsid w:val="00CB0E87"/>
    <w:rsid w:val="00CB1312"/>
    <w:rsid w:val="00CB18FF"/>
    <w:rsid w:val="00CB1A52"/>
    <w:rsid w:val="00CB1D53"/>
    <w:rsid w:val="00CB29AA"/>
    <w:rsid w:val="00CB330D"/>
    <w:rsid w:val="00CB39B0"/>
    <w:rsid w:val="00CB39B4"/>
    <w:rsid w:val="00CB3C6F"/>
    <w:rsid w:val="00CB3CCD"/>
    <w:rsid w:val="00CB4F83"/>
    <w:rsid w:val="00CB54FB"/>
    <w:rsid w:val="00CB561C"/>
    <w:rsid w:val="00CB5720"/>
    <w:rsid w:val="00CB5927"/>
    <w:rsid w:val="00CB5A54"/>
    <w:rsid w:val="00CB5C3B"/>
    <w:rsid w:val="00CB657D"/>
    <w:rsid w:val="00CB69C8"/>
    <w:rsid w:val="00CB6B7E"/>
    <w:rsid w:val="00CB6E08"/>
    <w:rsid w:val="00CB6F00"/>
    <w:rsid w:val="00CB708C"/>
    <w:rsid w:val="00CB7204"/>
    <w:rsid w:val="00CB7301"/>
    <w:rsid w:val="00CB7A85"/>
    <w:rsid w:val="00CB7CA6"/>
    <w:rsid w:val="00CB7F99"/>
    <w:rsid w:val="00CC0170"/>
    <w:rsid w:val="00CC0299"/>
    <w:rsid w:val="00CC0C5B"/>
    <w:rsid w:val="00CC0CC8"/>
    <w:rsid w:val="00CC0D49"/>
    <w:rsid w:val="00CC0E26"/>
    <w:rsid w:val="00CC0E30"/>
    <w:rsid w:val="00CC1955"/>
    <w:rsid w:val="00CC1B6F"/>
    <w:rsid w:val="00CC1CC4"/>
    <w:rsid w:val="00CC2388"/>
    <w:rsid w:val="00CC239A"/>
    <w:rsid w:val="00CC26E1"/>
    <w:rsid w:val="00CC27DC"/>
    <w:rsid w:val="00CC295F"/>
    <w:rsid w:val="00CC36C4"/>
    <w:rsid w:val="00CC37D2"/>
    <w:rsid w:val="00CC3F11"/>
    <w:rsid w:val="00CC3F8E"/>
    <w:rsid w:val="00CC42F9"/>
    <w:rsid w:val="00CC43A4"/>
    <w:rsid w:val="00CC4B45"/>
    <w:rsid w:val="00CC4CE3"/>
    <w:rsid w:val="00CC5075"/>
    <w:rsid w:val="00CC527B"/>
    <w:rsid w:val="00CC530B"/>
    <w:rsid w:val="00CC54D0"/>
    <w:rsid w:val="00CC57AE"/>
    <w:rsid w:val="00CC70C1"/>
    <w:rsid w:val="00CC71FD"/>
    <w:rsid w:val="00CC752A"/>
    <w:rsid w:val="00CC7A6A"/>
    <w:rsid w:val="00CC7AE5"/>
    <w:rsid w:val="00CD07C1"/>
    <w:rsid w:val="00CD0C08"/>
    <w:rsid w:val="00CD0CEA"/>
    <w:rsid w:val="00CD0D73"/>
    <w:rsid w:val="00CD0DEB"/>
    <w:rsid w:val="00CD0F7D"/>
    <w:rsid w:val="00CD1303"/>
    <w:rsid w:val="00CD14EF"/>
    <w:rsid w:val="00CD1FE6"/>
    <w:rsid w:val="00CD2034"/>
    <w:rsid w:val="00CD28E5"/>
    <w:rsid w:val="00CD2D2F"/>
    <w:rsid w:val="00CD2F65"/>
    <w:rsid w:val="00CD2F9A"/>
    <w:rsid w:val="00CD30DC"/>
    <w:rsid w:val="00CD36C4"/>
    <w:rsid w:val="00CD37B7"/>
    <w:rsid w:val="00CD3EF0"/>
    <w:rsid w:val="00CD3FF5"/>
    <w:rsid w:val="00CD4203"/>
    <w:rsid w:val="00CD46D1"/>
    <w:rsid w:val="00CD4839"/>
    <w:rsid w:val="00CD4924"/>
    <w:rsid w:val="00CD5EAF"/>
    <w:rsid w:val="00CD5ECA"/>
    <w:rsid w:val="00CD606B"/>
    <w:rsid w:val="00CD60EA"/>
    <w:rsid w:val="00CD7201"/>
    <w:rsid w:val="00CD72D9"/>
    <w:rsid w:val="00CD7307"/>
    <w:rsid w:val="00CD7AB9"/>
    <w:rsid w:val="00CD7EC2"/>
    <w:rsid w:val="00CE00AE"/>
    <w:rsid w:val="00CE025E"/>
    <w:rsid w:val="00CE03AE"/>
    <w:rsid w:val="00CE03FC"/>
    <w:rsid w:val="00CE0609"/>
    <w:rsid w:val="00CE077E"/>
    <w:rsid w:val="00CE08B8"/>
    <w:rsid w:val="00CE1AB3"/>
    <w:rsid w:val="00CE1AC0"/>
    <w:rsid w:val="00CE1BF8"/>
    <w:rsid w:val="00CE23DC"/>
    <w:rsid w:val="00CE2477"/>
    <w:rsid w:val="00CE2A55"/>
    <w:rsid w:val="00CE2E4E"/>
    <w:rsid w:val="00CE3541"/>
    <w:rsid w:val="00CE381B"/>
    <w:rsid w:val="00CE3C21"/>
    <w:rsid w:val="00CE427D"/>
    <w:rsid w:val="00CE433C"/>
    <w:rsid w:val="00CE4A71"/>
    <w:rsid w:val="00CE4F80"/>
    <w:rsid w:val="00CE5346"/>
    <w:rsid w:val="00CE56DE"/>
    <w:rsid w:val="00CE7031"/>
    <w:rsid w:val="00CE7040"/>
    <w:rsid w:val="00CE7795"/>
    <w:rsid w:val="00CE7D91"/>
    <w:rsid w:val="00CF01DE"/>
    <w:rsid w:val="00CF028B"/>
    <w:rsid w:val="00CF139F"/>
    <w:rsid w:val="00CF16EB"/>
    <w:rsid w:val="00CF1C2C"/>
    <w:rsid w:val="00CF1D32"/>
    <w:rsid w:val="00CF1E52"/>
    <w:rsid w:val="00CF1FDC"/>
    <w:rsid w:val="00CF258E"/>
    <w:rsid w:val="00CF2CE4"/>
    <w:rsid w:val="00CF2D68"/>
    <w:rsid w:val="00CF313F"/>
    <w:rsid w:val="00CF3331"/>
    <w:rsid w:val="00CF33F3"/>
    <w:rsid w:val="00CF3531"/>
    <w:rsid w:val="00CF3BE7"/>
    <w:rsid w:val="00CF3D11"/>
    <w:rsid w:val="00CF43D8"/>
    <w:rsid w:val="00CF4E25"/>
    <w:rsid w:val="00CF4E4F"/>
    <w:rsid w:val="00CF565C"/>
    <w:rsid w:val="00CF5947"/>
    <w:rsid w:val="00CF59BF"/>
    <w:rsid w:val="00CF5A18"/>
    <w:rsid w:val="00CF5A26"/>
    <w:rsid w:val="00CF5E85"/>
    <w:rsid w:val="00CF6863"/>
    <w:rsid w:val="00CF6C17"/>
    <w:rsid w:val="00CF70D5"/>
    <w:rsid w:val="00CF7100"/>
    <w:rsid w:val="00CF77B2"/>
    <w:rsid w:val="00D003F3"/>
    <w:rsid w:val="00D00764"/>
    <w:rsid w:val="00D007B2"/>
    <w:rsid w:val="00D007E9"/>
    <w:rsid w:val="00D00D26"/>
    <w:rsid w:val="00D017D7"/>
    <w:rsid w:val="00D021B1"/>
    <w:rsid w:val="00D0234C"/>
    <w:rsid w:val="00D025B3"/>
    <w:rsid w:val="00D0273D"/>
    <w:rsid w:val="00D02B5A"/>
    <w:rsid w:val="00D02DFB"/>
    <w:rsid w:val="00D038BD"/>
    <w:rsid w:val="00D039AE"/>
    <w:rsid w:val="00D0405E"/>
    <w:rsid w:val="00D041BF"/>
    <w:rsid w:val="00D04A12"/>
    <w:rsid w:val="00D05081"/>
    <w:rsid w:val="00D05674"/>
    <w:rsid w:val="00D05A51"/>
    <w:rsid w:val="00D05A7B"/>
    <w:rsid w:val="00D06038"/>
    <w:rsid w:val="00D06183"/>
    <w:rsid w:val="00D0631B"/>
    <w:rsid w:val="00D06680"/>
    <w:rsid w:val="00D0711A"/>
    <w:rsid w:val="00D07329"/>
    <w:rsid w:val="00D073A3"/>
    <w:rsid w:val="00D0768E"/>
    <w:rsid w:val="00D1001F"/>
    <w:rsid w:val="00D102CB"/>
    <w:rsid w:val="00D10D4D"/>
    <w:rsid w:val="00D10E0A"/>
    <w:rsid w:val="00D11089"/>
    <w:rsid w:val="00D12844"/>
    <w:rsid w:val="00D128FC"/>
    <w:rsid w:val="00D13744"/>
    <w:rsid w:val="00D14AF5"/>
    <w:rsid w:val="00D14B74"/>
    <w:rsid w:val="00D14E4B"/>
    <w:rsid w:val="00D14F2C"/>
    <w:rsid w:val="00D14F3C"/>
    <w:rsid w:val="00D1538D"/>
    <w:rsid w:val="00D15E1C"/>
    <w:rsid w:val="00D16948"/>
    <w:rsid w:val="00D16EC8"/>
    <w:rsid w:val="00D1711A"/>
    <w:rsid w:val="00D17253"/>
    <w:rsid w:val="00D173D8"/>
    <w:rsid w:val="00D178D3"/>
    <w:rsid w:val="00D17A4D"/>
    <w:rsid w:val="00D20180"/>
    <w:rsid w:val="00D20740"/>
    <w:rsid w:val="00D208A9"/>
    <w:rsid w:val="00D21252"/>
    <w:rsid w:val="00D21B3E"/>
    <w:rsid w:val="00D21B8E"/>
    <w:rsid w:val="00D22409"/>
    <w:rsid w:val="00D22418"/>
    <w:rsid w:val="00D2288C"/>
    <w:rsid w:val="00D228D3"/>
    <w:rsid w:val="00D22C42"/>
    <w:rsid w:val="00D230AA"/>
    <w:rsid w:val="00D23722"/>
    <w:rsid w:val="00D23A6D"/>
    <w:rsid w:val="00D23D6A"/>
    <w:rsid w:val="00D2431D"/>
    <w:rsid w:val="00D24B7D"/>
    <w:rsid w:val="00D251AF"/>
    <w:rsid w:val="00D251FA"/>
    <w:rsid w:val="00D25287"/>
    <w:rsid w:val="00D25B15"/>
    <w:rsid w:val="00D2600F"/>
    <w:rsid w:val="00D27417"/>
    <w:rsid w:val="00D275B3"/>
    <w:rsid w:val="00D27A0F"/>
    <w:rsid w:val="00D27B5F"/>
    <w:rsid w:val="00D304F3"/>
    <w:rsid w:val="00D30B68"/>
    <w:rsid w:val="00D30B96"/>
    <w:rsid w:val="00D30C17"/>
    <w:rsid w:val="00D30F62"/>
    <w:rsid w:val="00D3113E"/>
    <w:rsid w:val="00D318AD"/>
    <w:rsid w:val="00D31B5A"/>
    <w:rsid w:val="00D31BBF"/>
    <w:rsid w:val="00D3252B"/>
    <w:rsid w:val="00D32912"/>
    <w:rsid w:val="00D32DAB"/>
    <w:rsid w:val="00D3396C"/>
    <w:rsid w:val="00D33DF9"/>
    <w:rsid w:val="00D34892"/>
    <w:rsid w:val="00D34A54"/>
    <w:rsid w:val="00D34DD8"/>
    <w:rsid w:val="00D34E02"/>
    <w:rsid w:val="00D34EB0"/>
    <w:rsid w:val="00D352D5"/>
    <w:rsid w:val="00D353BA"/>
    <w:rsid w:val="00D357BF"/>
    <w:rsid w:val="00D35BB3"/>
    <w:rsid w:val="00D3643A"/>
    <w:rsid w:val="00D36575"/>
    <w:rsid w:val="00D3735C"/>
    <w:rsid w:val="00D37387"/>
    <w:rsid w:val="00D37442"/>
    <w:rsid w:val="00D37833"/>
    <w:rsid w:val="00D402DA"/>
    <w:rsid w:val="00D40C71"/>
    <w:rsid w:val="00D41C52"/>
    <w:rsid w:val="00D43A14"/>
    <w:rsid w:val="00D43E01"/>
    <w:rsid w:val="00D445FE"/>
    <w:rsid w:val="00D44CBD"/>
    <w:rsid w:val="00D451C8"/>
    <w:rsid w:val="00D45485"/>
    <w:rsid w:val="00D455DA"/>
    <w:rsid w:val="00D45679"/>
    <w:rsid w:val="00D456CF"/>
    <w:rsid w:val="00D45E3B"/>
    <w:rsid w:val="00D46476"/>
    <w:rsid w:val="00D46E64"/>
    <w:rsid w:val="00D4708F"/>
    <w:rsid w:val="00D47435"/>
    <w:rsid w:val="00D476E2"/>
    <w:rsid w:val="00D477D8"/>
    <w:rsid w:val="00D4789D"/>
    <w:rsid w:val="00D512C3"/>
    <w:rsid w:val="00D51AD8"/>
    <w:rsid w:val="00D5213E"/>
    <w:rsid w:val="00D5247C"/>
    <w:rsid w:val="00D524AA"/>
    <w:rsid w:val="00D525D5"/>
    <w:rsid w:val="00D525F8"/>
    <w:rsid w:val="00D52779"/>
    <w:rsid w:val="00D52786"/>
    <w:rsid w:val="00D52AA7"/>
    <w:rsid w:val="00D533F9"/>
    <w:rsid w:val="00D5340B"/>
    <w:rsid w:val="00D53522"/>
    <w:rsid w:val="00D546A0"/>
    <w:rsid w:val="00D54DEC"/>
    <w:rsid w:val="00D55278"/>
    <w:rsid w:val="00D555E8"/>
    <w:rsid w:val="00D56677"/>
    <w:rsid w:val="00D56B7E"/>
    <w:rsid w:val="00D57038"/>
    <w:rsid w:val="00D570CC"/>
    <w:rsid w:val="00D5754C"/>
    <w:rsid w:val="00D577C2"/>
    <w:rsid w:val="00D57940"/>
    <w:rsid w:val="00D60110"/>
    <w:rsid w:val="00D60FA0"/>
    <w:rsid w:val="00D6112E"/>
    <w:rsid w:val="00D6178E"/>
    <w:rsid w:val="00D61B50"/>
    <w:rsid w:val="00D61D00"/>
    <w:rsid w:val="00D623CF"/>
    <w:rsid w:val="00D62BEA"/>
    <w:rsid w:val="00D630FE"/>
    <w:rsid w:val="00D63A1C"/>
    <w:rsid w:val="00D63CB3"/>
    <w:rsid w:val="00D6490C"/>
    <w:rsid w:val="00D6490D"/>
    <w:rsid w:val="00D64E99"/>
    <w:rsid w:val="00D65041"/>
    <w:rsid w:val="00D653FE"/>
    <w:rsid w:val="00D65B2E"/>
    <w:rsid w:val="00D65B8C"/>
    <w:rsid w:val="00D6651A"/>
    <w:rsid w:val="00D669DA"/>
    <w:rsid w:val="00D66C0F"/>
    <w:rsid w:val="00D67002"/>
    <w:rsid w:val="00D6711C"/>
    <w:rsid w:val="00D67769"/>
    <w:rsid w:val="00D67935"/>
    <w:rsid w:val="00D70067"/>
    <w:rsid w:val="00D701F7"/>
    <w:rsid w:val="00D708A3"/>
    <w:rsid w:val="00D70CA5"/>
    <w:rsid w:val="00D70DA4"/>
    <w:rsid w:val="00D717C9"/>
    <w:rsid w:val="00D736EA"/>
    <w:rsid w:val="00D73A42"/>
    <w:rsid w:val="00D74906"/>
    <w:rsid w:val="00D74E7D"/>
    <w:rsid w:val="00D75EBE"/>
    <w:rsid w:val="00D76138"/>
    <w:rsid w:val="00D7636B"/>
    <w:rsid w:val="00D76385"/>
    <w:rsid w:val="00D76EBA"/>
    <w:rsid w:val="00D76FC6"/>
    <w:rsid w:val="00D771D0"/>
    <w:rsid w:val="00D77802"/>
    <w:rsid w:val="00D77D66"/>
    <w:rsid w:val="00D77D98"/>
    <w:rsid w:val="00D77DA9"/>
    <w:rsid w:val="00D80700"/>
    <w:rsid w:val="00D80757"/>
    <w:rsid w:val="00D80EC3"/>
    <w:rsid w:val="00D81697"/>
    <w:rsid w:val="00D81741"/>
    <w:rsid w:val="00D8190B"/>
    <w:rsid w:val="00D81C08"/>
    <w:rsid w:val="00D823E4"/>
    <w:rsid w:val="00D82A95"/>
    <w:rsid w:val="00D82CB1"/>
    <w:rsid w:val="00D83679"/>
    <w:rsid w:val="00D836FA"/>
    <w:rsid w:val="00D83A5A"/>
    <w:rsid w:val="00D84119"/>
    <w:rsid w:val="00D8469D"/>
    <w:rsid w:val="00D849A6"/>
    <w:rsid w:val="00D84B01"/>
    <w:rsid w:val="00D84C0A"/>
    <w:rsid w:val="00D84C39"/>
    <w:rsid w:val="00D84FDC"/>
    <w:rsid w:val="00D8518C"/>
    <w:rsid w:val="00D86513"/>
    <w:rsid w:val="00D86993"/>
    <w:rsid w:val="00D86B0C"/>
    <w:rsid w:val="00D86C03"/>
    <w:rsid w:val="00D86CB5"/>
    <w:rsid w:val="00D87729"/>
    <w:rsid w:val="00D87C36"/>
    <w:rsid w:val="00D87FEE"/>
    <w:rsid w:val="00D90941"/>
    <w:rsid w:val="00D90FF0"/>
    <w:rsid w:val="00D91192"/>
    <w:rsid w:val="00D91B10"/>
    <w:rsid w:val="00D92E9D"/>
    <w:rsid w:val="00D9353B"/>
    <w:rsid w:val="00D93704"/>
    <w:rsid w:val="00D93F72"/>
    <w:rsid w:val="00D94E6B"/>
    <w:rsid w:val="00D94EBB"/>
    <w:rsid w:val="00D94F8D"/>
    <w:rsid w:val="00D9561F"/>
    <w:rsid w:val="00D956AC"/>
    <w:rsid w:val="00D95CD2"/>
    <w:rsid w:val="00D96136"/>
    <w:rsid w:val="00D96FE8"/>
    <w:rsid w:val="00D96FEC"/>
    <w:rsid w:val="00D976E0"/>
    <w:rsid w:val="00DA039D"/>
    <w:rsid w:val="00DA0A09"/>
    <w:rsid w:val="00DA0E89"/>
    <w:rsid w:val="00DA130E"/>
    <w:rsid w:val="00DA1549"/>
    <w:rsid w:val="00DA1BDF"/>
    <w:rsid w:val="00DA1EC5"/>
    <w:rsid w:val="00DA2ABD"/>
    <w:rsid w:val="00DA38F3"/>
    <w:rsid w:val="00DA4047"/>
    <w:rsid w:val="00DA4231"/>
    <w:rsid w:val="00DA68E3"/>
    <w:rsid w:val="00DA6A04"/>
    <w:rsid w:val="00DA71EF"/>
    <w:rsid w:val="00DB0598"/>
    <w:rsid w:val="00DB1025"/>
    <w:rsid w:val="00DB171C"/>
    <w:rsid w:val="00DB17F9"/>
    <w:rsid w:val="00DB18D2"/>
    <w:rsid w:val="00DB19DF"/>
    <w:rsid w:val="00DB23C1"/>
    <w:rsid w:val="00DB2906"/>
    <w:rsid w:val="00DB2BD3"/>
    <w:rsid w:val="00DB335B"/>
    <w:rsid w:val="00DB38B2"/>
    <w:rsid w:val="00DB3AC5"/>
    <w:rsid w:val="00DB3FD3"/>
    <w:rsid w:val="00DB435C"/>
    <w:rsid w:val="00DB4546"/>
    <w:rsid w:val="00DB47A3"/>
    <w:rsid w:val="00DB4C5B"/>
    <w:rsid w:val="00DB56A6"/>
    <w:rsid w:val="00DB56BE"/>
    <w:rsid w:val="00DB5717"/>
    <w:rsid w:val="00DB5A81"/>
    <w:rsid w:val="00DB5E04"/>
    <w:rsid w:val="00DB5FC3"/>
    <w:rsid w:val="00DB6B28"/>
    <w:rsid w:val="00DB6E68"/>
    <w:rsid w:val="00DB6EF0"/>
    <w:rsid w:val="00DB726F"/>
    <w:rsid w:val="00DB7916"/>
    <w:rsid w:val="00DB7A44"/>
    <w:rsid w:val="00DC014B"/>
    <w:rsid w:val="00DC0CFB"/>
    <w:rsid w:val="00DC0E23"/>
    <w:rsid w:val="00DC13A5"/>
    <w:rsid w:val="00DC13E1"/>
    <w:rsid w:val="00DC17C2"/>
    <w:rsid w:val="00DC182B"/>
    <w:rsid w:val="00DC182C"/>
    <w:rsid w:val="00DC1EC3"/>
    <w:rsid w:val="00DC26F2"/>
    <w:rsid w:val="00DC35B8"/>
    <w:rsid w:val="00DC3913"/>
    <w:rsid w:val="00DC399D"/>
    <w:rsid w:val="00DC3AFF"/>
    <w:rsid w:val="00DC3DFD"/>
    <w:rsid w:val="00DC4225"/>
    <w:rsid w:val="00DC44AD"/>
    <w:rsid w:val="00DC5BD2"/>
    <w:rsid w:val="00DC72A3"/>
    <w:rsid w:val="00DC72CE"/>
    <w:rsid w:val="00DC74B5"/>
    <w:rsid w:val="00DC78BE"/>
    <w:rsid w:val="00DD00DD"/>
    <w:rsid w:val="00DD0502"/>
    <w:rsid w:val="00DD07F1"/>
    <w:rsid w:val="00DD09AF"/>
    <w:rsid w:val="00DD0B3D"/>
    <w:rsid w:val="00DD1900"/>
    <w:rsid w:val="00DD2267"/>
    <w:rsid w:val="00DD2334"/>
    <w:rsid w:val="00DD27CC"/>
    <w:rsid w:val="00DD2A87"/>
    <w:rsid w:val="00DD2C42"/>
    <w:rsid w:val="00DD2E54"/>
    <w:rsid w:val="00DD32F4"/>
    <w:rsid w:val="00DD43BB"/>
    <w:rsid w:val="00DD4E58"/>
    <w:rsid w:val="00DD56B0"/>
    <w:rsid w:val="00DD56DF"/>
    <w:rsid w:val="00DD5AF9"/>
    <w:rsid w:val="00DD7940"/>
    <w:rsid w:val="00DE0907"/>
    <w:rsid w:val="00DE0D3E"/>
    <w:rsid w:val="00DE1AC8"/>
    <w:rsid w:val="00DE25A3"/>
    <w:rsid w:val="00DE2673"/>
    <w:rsid w:val="00DE295B"/>
    <w:rsid w:val="00DE2A09"/>
    <w:rsid w:val="00DE2BA9"/>
    <w:rsid w:val="00DE2EDF"/>
    <w:rsid w:val="00DE371E"/>
    <w:rsid w:val="00DE52FD"/>
    <w:rsid w:val="00DE5698"/>
    <w:rsid w:val="00DE6608"/>
    <w:rsid w:val="00DE6D95"/>
    <w:rsid w:val="00DE7106"/>
    <w:rsid w:val="00DE714C"/>
    <w:rsid w:val="00DE7638"/>
    <w:rsid w:val="00DE79D4"/>
    <w:rsid w:val="00DF0754"/>
    <w:rsid w:val="00DF0997"/>
    <w:rsid w:val="00DF0BAD"/>
    <w:rsid w:val="00DF0BD8"/>
    <w:rsid w:val="00DF0C40"/>
    <w:rsid w:val="00DF10D1"/>
    <w:rsid w:val="00DF1851"/>
    <w:rsid w:val="00DF1A97"/>
    <w:rsid w:val="00DF1AC5"/>
    <w:rsid w:val="00DF1CA2"/>
    <w:rsid w:val="00DF1EA0"/>
    <w:rsid w:val="00DF305E"/>
    <w:rsid w:val="00DF3667"/>
    <w:rsid w:val="00DF3E1D"/>
    <w:rsid w:val="00DF4076"/>
    <w:rsid w:val="00DF4608"/>
    <w:rsid w:val="00DF48D6"/>
    <w:rsid w:val="00DF4E5B"/>
    <w:rsid w:val="00DF55C9"/>
    <w:rsid w:val="00DF5B13"/>
    <w:rsid w:val="00DF5B6E"/>
    <w:rsid w:val="00DF5DD9"/>
    <w:rsid w:val="00DF6173"/>
    <w:rsid w:val="00DF62E5"/>
    <w:rsid w:val="00DF64C8"/>
    <w:rsid w:val="00DF6F1A"/>
    <w:rsid w:val="00DF718D"/>
    <w:rsid w:val="00DF7572"/>
    <w:rsid w:val="00DF77D5"/>
    <w:rsid w:val="00DF7E39"/>
    <w:rsid w:val="00E000C4"/>
    <w:rsid w:val="00E00581"/>
    <w:rsid w:val="00E00837"/>
    <w:rsid w:val="00E0106C"/>
    <w:rsid w:val="00E010E6"/>
    <w:rsid w:val="00E01499"/>
    <w:rsid w:val="00E014F9"/>
    <w:rsid w:val="00E017DC"/>
    <w:rsid w:val="00E01D95"/>
    <w:rsid w:val="00E01F2B"/>
    <w:rsid w:val="00E02111"/>
    <w:rsid w:val="00E021D4"/>
    <w:rsid w:val="00E023FA"/>
    <w:rsid w:val="00E02586"/>
    <w:rsid w:val="00E025B7"/>
    <w:rsid w:val="00E03221"/>
    <w:rsid w:val="00E0376C"/>
    <w:rsid w:val="00E03BB2"/>
    <w:rsid w:val="00E0458A"/>
    <w:rsid w:val="00E049A2"/>
    <w:rsid w:val="00E04DD6"/>
    <w:rsid w:val="00E05223"/>
    <w:rsid w:val="00E053CC"/>
    <w:rsid w:val="00E0575D"/>
    <w:rsid w:val="00E05815"/>
    <w:rsid w:val="00E05F6B"/>
    <w:rsid w:val="00E062F4"/>
    <w:rsid w:val="00E06365"/>
    <w:rsid w:val="00E06D1A"/>
    <w:rsid w:val="00E06ECD"/>
    <w:rsid w:val="00E07FA0"/>
    <w:rsid w:val="00E10295"/>
    <w:rsid w:val="00E10953"/>
    <w:rsid w:val="00E10E80"/>
    <w:rsid w:val="00E10F4A"/>
    <w:rsid w:val="00E111A0"/>
    <w:rsid w:val="00E11950"/>
    <w:rsid w:val="00E124F0"/>
    <w:rsid w:val="00E1250A"/>
    <w:rsid w:val="00E12F07"/>
    <w:rsid w:val="00E131A2"/>
    <w:rsid w:val="00E13516"/>
    <w:rsid w:val="00E136F3"/>
    <w:rsid w:val="00E13DC3"/>
    <w:rsid w:val="00E142F2"/>
    <w:rsid w:val="00E144C3"/>
    <w:rsid w:val="00E14E15"/>
    <w:rsid w:val="00E150EB"/>
    <w:rsid w:val="00E1539E"/>
    <w:rsid w:val="00E15AC4"/>
    <w:rsid w:val="00E16BC0"/>
    <w:rsid w:val="00E16C87"/>
    <w:rsid w:val="00E17106"/>
    <w:rsid w:val="00E17198"/>
    <w:rsid w:val="00E17396"/>
    <w:rsid w:val="00E1753C"/>
    <w:rsid w:val="00E17874"/>
    <w:rsid w:val="00E179FC"/>
    <w:rsid w:val="00E20181"/>
    <w:rsid w:val="00E20276"/>
    <w:rsid w:val="00E209EE"/>
    <w:rsid w:val="00E20CED"/>
    <w:rsid w:val="00E213C9"/>
    <w:rsid w:val="00E21624"/>
    <w:rsid w:val="00E2181D"/>
    <w:rsid w:val="00E21937"/>
    <w:rsid w:val="00E21DCA"/>
    <w:rsid w:val="00E220FB"/>
    <w:rsid w:val="00E221FB"/>
    <w:rsid w:val="00E22396"/>
    <w:rsid w:val="00E2246A"/>
    <w:rsid w:val="00E22B4A"/>
    <w:rsid w:val="00E22DA0"/>
    <w:rsid w:val="00E22E7B"/>
    <w:rsid w:val="00E23237"/>
    <w:rsid w:val="00E23E32"/>
    <w:rsid w:val="00E23E3E"/>
    <w:rsid w:val="00E24039"/>
    <w:rsid w:val="00E24157"/>
    <w:rsid w:val="00E241A3"/>
    <w:rsid w:val="00E242E5"/>
    <w:rsid w:val="00E242FA"/>
    <w:rsid w:val="00E246D2"/>
    <w:rsid w:val="00E24A85"/>
    <w:rsid w:val="00E24E9D"/>
    <w:rsid w:val="00E264F5"/>
    <w:rsid w:val="00E26563"/>
    <w:rsid w:val="00E268B3"/>
    <w:rsid w:val="00E26CA6"/>
    <w:rsid w:val="00E27646"/>
    <w:rsid w:val="00E27C4E"/>
    <w:rsid w:val="00E30BF2"/>
    <w:rsid w:val="00E30C5C"/>
    <w:rsid w:val="00E31694"/>
    <w:rsid w:val="00E316D1"/>
    <w:rsid w:val="00E32BFB"/>
    <w:rsid w:val="00E3371E"/>
    <w:rsid w:val="00E33F27"/>
    <w:rsid w:val="00E33F52"/>
    <w:rsid w:val="00E343E7"/>
    <w:rsid w:val="00E344A3"/>
    <w:rsid w:val="00E34B38"/>
    <w:rsid w:val="00E34B72"/>
    <w:rsid w:val="00E34D0A"/>
    <w:rsid w:val="00E353F2"/>
    <w:rsid w:val="00E35514"/>
    <w:rsid w:val="00E35C0B"/>
    <w:rsid w:val="00E363D6"/>
    <w:rsid w:val="00E36ACF"/>
    <w:rsid w:val="00E373D7"/>
    <w:rsid w:val="00E37E95"/>
    <w:rsid w:val="00E400C5"/>
    <w:rsid w:val="00E403CD"/>
    <w:rsid w:val="00E40591"/>
    <w:rsid w:val="00E40A54"/>
    <w:rsid w:val="00E4113A"/>
    <w:rsid w:val="00E41263"/>
    <w:rsid w:val="00E412AF"/>
    <w:rsid w:val="00E4170C"/>
    <w:rsid w:val="00E41E73"/>
    <w:rsid w:val="00E420C3"/>
    <w:rsid w:val="00E4298D"/>
    <w:rsid w:val="00E42B9F"/>
    <w:rsid w:val="00E42E81"/>
    <w:rsid w:val="00E42EDE"/>
    <w:rsid w:val="00E42F6A"/>
    <w:rsid w:val="00E43112"/>
    <w:rsid w:val="00E433D2"/>
    <w:rsid w:val="00E43A2D"/>
    <w:rsid w:val="00E43B5C"/>
    <w:rsid w:val="00E44B6A"/>
    <w:rsid w:val="00E44DC5"/>
    <w:rsid w:val="00E45369"/>
    <w:rsid w:val="00E4564B"/>
    <w:rsid w:val="00E45BCB"/>
    <w:rsid w:val="00E45FA7"/>
    <w:rsid w:val="00E46047"/>
    <w:rsid w:val="00E4642E"/>
    <w:rsid w:val="00E46ACC"/>
    <w:rsid w:val="00E46C62"/>
    <w:rsid w:val="00E47170"/>
    <w:rsid w:val="00E473E3"/>
    <w:rsid w:val="00E47CAD"/>
    <w:rsid w:val="00E50CCE"/>
    <w:rsid w:val="00E51001"/>
    <w:rsid w:val="00E518E4"/>
    <w:rsid w:val="00E5198F"/>
    <w:rsid w:val="00E51E89"/>
    <w:rsid w:val="00E5269E"/>
    <w:rsid w:val="00E5348A"/>
    <w:rsid w:val="00E53A79"/>
    <w:rsid w:val="00E5404F"/>
    <w:rsid w:val="00E54433"/>
    <w:rsid w:val="00E545AF"/>
    <w:rsid w:val="00E54D9D"/>
    <w:rsid w:val="00E54F79"/>
    <w:rsid w:val="00E55315"/>
    <w:rsid w:val="00E5555E"/>
    <w:rsid w:val="00E55BC7"/>
    <w:rsid w:val="00E55BE8"/>
    <w:rsid w:val="00E55D32"/>
    <w:rsid w:val="00E562BF"/>
    <w:rsid w:val="00E56420"/>
    <w:rsid w:val="00E56B61"/>
    <w:rsid w:val="00E56BA7"/>
    <w:rsid w:val="00E57569"/>
    <w:rsid w:val="00E57B58"/>
    <w:rsid w:val="00E57BE6"/>
    <w:rsid w:val="00E60398"/>
    <w:rsid w:val="00E603F5"/>
    <w:rsid w:val="00E60A6A"/>
    <w:rsid w:val="00E60EF8"/>
    <w:rsid w:val="00E60FB5"/>
    <w:rsid w:val="00E61156"/>
    <w:rsid w:val="00E61620"/>
    <w:rsid w:val="00E61A40"/>
    <w:rsid w:val="00E61F5D"/>
    <w:rsid w:val="00E63755"/>
    <w:rsid w:val="00E64449"/>
    <w:rsid w:val="00E6493D"/>
    <w:rsid w:val="00E653FF"/>
    <w:rsid w:val="00E656A1"/>
    <w:rsid w:val="00E65B28"/>
    <w:rsid w:val="00E65C38"/>
    <w:rsid w:val="00E65E71"/>
    <w:rsid w:val="00E65FDD"/>
    <w:rsid w:val="00E67231"/>
    <w:rsid w:val="00E67323"/>
    <w:rsid w:val="00E67402"/>
    <w:rsid w:val="00E67442"/>
    <w:rsid w:val="00E6748C"/>
    <w:rsid w:val="00E67E26"/>
    <w:rsid w:val="00E67F37"/>
    <w:rsid w:val="00E70153"/>
    <w:rsid w:val="00E7018F"/>
    <w:rsid w:val="00E70765"/>
    <w:rsid w:val="00E70D46"/>
    <w:rsid w:val="00E70FC7"/>
    <w:rsid w:val="00E714E4"/>
    <w:rsid w:val="00E7187E"/>
    <w:rsid w:val="00E736ED"/>
    <w:rsid w:val="00E73B04"/>
    <w:rsid w:val="00E73C20"/>
    <w:rsid w:val="00E74854"/>
    <w:rsid w:val="00E755AA"/>
    <w:rsid w:val="00E75BC6"/>
    <w:rsid w:val="00E75D05"/>
    <w:rsid w:val="00E76BE6"/>
    <w:rsid w:val="00E771E0"/>
    <w:rsid w:val="00E77549"/>
    <w:rsid w:val="00E77B6B"/>
    <w:rsid w:val="00E77DF3"/>
    <w:rsid w:val="00E80129"/>
    <w:rsid w:val="00E806B7"/>
    <w:rsid w:val="00E80CC7"/>
    <w:rsid w:val="00E815A5"/>
    <w:rsid w:val="00E81C3A"/>
    <w:rsid w:val="00E81E15"/>
    <w:rsid w:val="00E81E57"/>
    <w:rsid w:val="00E820C6"/>
    <w:rsid w:val="00E8232F"/>
    <w:rsid w:val="00E82662"/>
    <w:rsid w:val="00E82FE7"/>
    <w:rsid w:val="00E831C5"/>
    <w:rsid w:val="00E83310"/>
    <w:rsid w:val="00E84696"/>
    <w:rsid w:val="00E849DB"/>
    <w:rsid w:val="00E84A94"/>
    <w:rsid w:val="00E85A60"/>
    <w:rsid w:val="00E85DCD"/>
    <w:rsid w:val="00E85EEE"/>
    <w:rsid w:val="00E8612A"/>
    <w:rsid w:val="00E869BD"/>
    <w:rsid w:val="00E86B52"/>
    <w:rsid w:val="00E86EF6"/>
    <w:rsid w:val="00E86F9E"/>
    <w:rsid w:val="00E870CB"/>
    <w:rsid w:val="00E87172"/>
    <w:rsid w:val="00E871E7"/>
    <w:rsid w:val="00E87DE1"/>
    <w:rsid w:val="00E90361"/>
    <w:rsid w:val="00E90727"/>
    <w:rsid w:val="00E907E3"/>
    <w:rsid w:val="00E914D7"/>
    <w:rsid w:val="00E91790"/>
    <w:rsid w:val="00E91BBF"/>
    <w:rsid w:val="00E91FF9"/>
    <w:rsid w:val="00E9227A"/>
    <w:rsid w:val="00E926FF"/>
    <w:rsid w:val="00E92FB4"/>
    <w:rsid w:val="00E93188"/>
    <w:rsid w:val="00E935DA"/>
    <w:rsid w:val="00E93671"/>
    <w:rsid w:val="00E93C3B"/>
    <w:rsid w:val="00E93E6C"/>
    <w:rsid w:val="00E94121"/>
    <w:rsid w:val="00E941AC"/>
    <w:rsid w:val="00E941CD"/>
    <w:rsid w:val="00E9438E"/>
    <w:rsid w:val="00E943FB"/>
    <w:rsid w:val="00E94467"/>
    <w:rsid w:val="00E95352"/>
    <w:rsid w:val="00E967D5"/>
    <w:rsid w:val="00E96A7E"/>
    <w:rsid w:val="00E96BCB"/>
    <w:rsid w:val="00E973F6"/>
    <w:rsid w:val="00E97531"/>
    <w:rsid w:val="00E976E4"/>
    <w:rsid w:val="00E977E5"/>
    <w:rsid w:val="00E97DE5"/>
    <w:rsid w:val="00E97F6F"/>
    <w:rsid w:val="00EA10CE"/>
    <w:rsid w:val="00EA165B"/>
    <w:rsid w:val="00EA1A21"/>
    <w:rsid w:val="00EA1AB7"/>
    <w:rsid w:val="00EA2EFF"/>
    <w:rsid w:val="00EA373D"/>
    <w:rsid w:val="00EA394E"/>
    <w:rsid w:val="00EA4086"/>
    <w:rsid w:val="00EA4662"/>
    <w:rsid w:val="00EA49F7"/>
    <w:rsid w:val="00EA4ADD"/>
    <w:rsid w:val="00EA4F85"/>
    <w:rsid w:val="00EA524F"/>
    <w:rsid w:val="00EA5FEA"/>
    <w:rsid w:val="00EA6CD7"/>
    <w:rsid w:val="00EA6DB0"/>
    <w:rsid w:val="00EA7186"/>
    <w:rsid w:val="00EA793F"/>
    <w:rsid w:val="00EA7BD4"/>
    <w:rsid w:val="00EA7E55"/>
    <w:rsid w:val="00EB029C"/>
    <w:rsid w:val="00EB054A"/>
    <w:rsid w:val="00EB071A"/>
    <w:rsid w:val="00EB0BC9"/>
    <w:rsid w:val="00EB0D6F"/>
    <w:rsid w:val="00EB1339"/>
    <w:rsid w:val="00EB1490"/>
    <w:rsid w:val="00EB19BA"/>
    <w:rsid w:val="00EB2232"/>
    <w:rsid w:val="00EB2589"/>
    <w:rsid w:val="00EB2AF8"/>
    <w:rsid w:val="00EB2BB4"/>
    <w:rsid w:val="00EB2E67"/>
    <w:rsid w:val="00EB3525"/>
    <w:rsid w:val="00EB3A74"/>
    <w:rsid w:val="00EB3EEF"/>
    <w:rsid w:val="00EB4223"/>
    <w:rsid w:val="00EB43C3"/>
    <w:rsid w:val="00EB4980"/>
    <w:rsid w:val="00EB57DE"/>
    <w:rsid w:val="00EB69B4"/>
    <w:rsid w:val="00EB6AC0"/>
    <w:rsid w:val="00EB77F7"/>
    <w:rsid w:val="00EC0291"/>
    <w:rsid w:val="00EC02E5"/>
    <w:rsid w:val="00EC0718"/>
    <w:rsid w:val="00EC091C"/>
    <w:rsid w:val="00EC1003"/>
    <w:rsid w:val="00EC15AA"/>
    <w:rsid w:val="00EC1A03"/>
    <w:rsid w:val="00EC2348"/>
    <w:rsid w:val="00EC2BC4"/>
    <w:rsid w:val="00EC3752"/>
    <w:rsid w:val="00EC3948"/>
    <w:rsid w:val="00EC39DF"/>
    <w:rsid w:val="00EC3DE7"/>
    <w:rsid w:val="00EC3E39"/>
    <w:rsid w:val="00EC3E43"/>
    <w:rsid w:val="00EC4859"/>
    <w:rsid w:val="00EC50CC"/>
    <w:rsid w:val="00EC5337"/>
    <w:rsid w:val="00EC5523"/>
    <w:rsid w:val="00EC6ACC"/>
    <w:rsid w:val="00EC6EF8"/>
    <w:rsid w:val="00EC715E"/>
    <w:rsid w:val="00EC727C"/>
    <w:rsid w:val="00EC7727"/>
    <w:rsid w:val="00EC7815"/>
    <w:rsid w:val="00EC7882"/>
    <w:rsid w:val="00EC79FF"/>
    <w:rsid w:val="00EC7A68"/>
    <w:rsid w:val="00EC7BB0"/>
    <w:rsid w:val="00ED01E4"/>
    <w:rsid w:val="00ED0279"/>
    <w:rsid w:val="00ED0E21"/>
    <w:rsid w:val="00ED13DF"/>
    <w:rsid w:val="00ED15E1"/>
    <w:rsid w:val="00ED1CDA"/>
    <w:rsid w:val="00ED2869"/>
    <w:rsid w:val="00ED3223"/>
    <w:rsid w:val="00ED3CB3"/>
    <w:rsid w:val="00ED40DA"/>
    <w:rsid w:val="00ED451E"/>
    <w:rsid w:val="00ED4650"/>
    <w:rsid w:val="00ED4E28"/>
    <w:rsid w:val="00ED537F"/>
    <w:rsid w:val="00ED58FF"/>
    <w:rsid w:val="00ED5AD4"/>
    <w:rsid w:val="00ED6261"/>
    <w:rsid w:val="00ED69EF"/>
    <w:rsid w:val="00ED71CA"/>
    <w:rsid w:val="00ED72E7"/>
    <w:rsid w:val="00ED7761"/>
    <w:rsid w:val="00ED779E"/>
    <w:rsid w:val="00ED7DC9"/>
    <w:rsid w:val="00EE0259"/>
    <w:rsid w:val="00EE03F7"/>
    <w:rsid w:val="00EE05CF"/>
    <w:rsid w:val="00EE08C2"/>
    <w:rsid w:val="00EE10BB"/>
    <w:rsid w:val="00EE1FE5"/>
    <w:rsid w:val="00EE231C"/>
    <w:rsid w:val="00EE259B"/>
    <w:rsid w:val="00EE2F13"/>
    <w:rsid w:val="00EE438A"/>
    <w:rsid w:val="00EE46A9"/>
    <w:rsid w:val="00EE46B4"/>
    <w:rsid w:val="00EE47B3"/>
    <w:rsid w:val="00EE4C27"/>
    <w:rsid w:val="00EE4F2C"/>
    <w:rsid w:val="00EE526C"/>
    <w:rsid w:val="00EE5D77"/>
    <w:rsid w:val="00EE5E65"/>
    <w:rsid w:val="00EE61B8"/>
    <w:rsid w:val="00EE6B8A"/>
    <w:rsid w:val="00EE6FE9"/>
    <w:rsid w:val="00EE7362"/>
    <w:rsid w:val="00EE77B6"/>
    <w:rsid w:val="00EE7A94"/>
    <w:rsid w:val="00EE7B72"/>
    <w:rsid w:val="00EE7C7D"/>
    <w:rsid w:val="00EE7FC4"/>
    <w:rsid w:val="00EF0231"/>
    <w:rsid w:val="00EF0313"/>
    <w:rsid w:val="00EF04D7"/>
    <w:rsid w:val="00EF1229"/>
    <w:rsid w:val="00EF1549"/>
    <w:rsid w:val="00EF17C4"/>
    <w:rsid w:val="00EF1C65"/>
    <w:rsid w:val="00EF1CF8"/>
    <w:rsid w:val="00EF208A"/>
    <w:rsid w:val="00EF2493"/>
    <w:rsid w:val="00EF26F5"/>
    <w:rsid w:val="00EF2732"/>
    <w:rsid w:val="00EF3DCD"/>
    <w:rsid w:val="00EF43DD"/>
    <w:rsid w:val="00EF476D"/>
    <w:rsid w:val="00EF53AB"/>
    <w:rsid w:val="00EF59A6"/>
    <w:rsid w:val="00EF5CE7"/>
    <w:rsid w:val="00EF5FDD"/>
    <w:rsid w:val="00EF66AF"/>
    <w:rsid w:val="00EF6C93"/>
    <w:rsid w:val="00EF6EAB"/>
    <w:rsid w:val="00EF7391"/>
    <w:rsid w:val="00F00000"/>
    <w:rsid w:val="00F0019E"/>
    <w:rsid w:val="00F0025E"/>
    <w:rsid w:val="00F00437"/>
    <w:rsid w:val="00F009D2"/>
    <w:rsid w:val="00F013B6"/>
    <w:rsid w:val="00F01943"/>
    <w:rsid w:val="00F01DB5"/>
    <w:rsid w:val="00F024C4"/>
    <w:rsid w:val="00F0250B"/>
    <w:rsid w:val="00F02B05"/>
    <w:rsid w:val="00F02CAD"/>
    <w:rsid w:val="00F02CCC"/>
    <w:rsid w:val="00F02FC1"/>
    <w:rsid w:val="00F03DD8"/>
    <w:rsid w:val="00F03F24"/>
    <w:rsid w:val="00F043E4"/>
    <w:rsid w:val="00F0476F"/>
    <w:rsid w:val="00F047CD"/>
    <w:rsid w:val="00F04B3F"/>
    <w:rsid w:val="00F04C12"/>
    <w:rsid w:val="00F052D6"/>
    <w:rsid w:val="00F05318"/>
    <w:rsid w:val="00F054BD"/>
    <w:rsid w:val="00F06639"/>
    <w:rsid w:val="00F06A9C"/>
    <w:rsid w:val="00F10B37"/>
    <w:rsid w:val="00F11252"/>
    <w:rsid w:val="00F11664"/>
    <w:rsid w:val="00F1192D"/>
    <w:rsid w:val="00F11A39"/>
    <w:rsid w:val="00F11C74"/>
    <w:rsid w:val="00F11EBB"/>
    <w:rsid w:val="00F12DA2"/>
    <w:rsid w:val="00F131D8"/>
    <w:rsid w:val="00F13315"/>
    <w:rsid w:val="00F136C1"/>
    <w:rsid w:val="00F13A12"/>
    <w:rsid w:val="00F140DE"/>
    <w:rsid w:val="00F14535"/>
    <w:rsid w:val="00F14C95"/>
    <w:rsid w:val="00F14FFB"/>
    <w:rsid w:val="00F15482"/>
    <w:rsid w:val="00F15898"/>
    <w:rsid w:val="00F1607A"/>
    <w:rsid w:val="00F166C7"/>
    <w:rsid w:val="00F168E3"/>
    <w:rsid w:val="00F16ACC"/>
    <w:rsid w:val="00F17525"/>
    <w:rsid w:val="00F176EF"/>
    <w:rsid w:val="00F17731"/>
    <w:rsid w:val="00F17A43"/>
    <w:rsid w:val="00F17E65"/>
    <w:rsid w:val="00F17F0A"/>
    <w:rsid w:val="00F202AB"/>
    <w:rsid w:val="00F206A2"/>
    <w:rsid w:val="00F207D7"/>
    <w:rsid w:val="00F208AB"/>
    <w:rsid w:val="00F20995"/>
    <w:rsid w:val="00F20B94"/>
    <w:rsid w:val="00F21329"/>
    <w:rsid w:val="00F214B8"/>
    <w:rsid w:val="00F2150A"/>
    <w:rsid w:val="00F2156F"/>
    <w:rsid w:val="00F224BC"/>
    <w:rsid w:val="00F231D8"/>
    <w:rsid w:val="00F231DF"/>
    <w:rsid w:val="00F23C61"/>
    <w:rsid w:val="00F23D32"/>
    <w:rsid w:val="00F23F1A"/>
    <w:rsid w:val="00F242B7"/>
    <w:rsid w:val="00F244C7"/>
    <w:rsid w:val="00F249D8"/>
    <w:rsid w:val="00F2531F"/>
    <w:rsid w:val="00F2562A"/>
    <w:rsid w:val="00F25838"/>
    <w:rsid w:val="00F259B2"/>
    <w:rsid w:val="00F25BC9"/>
    <w:rsid w:val="00F25D4D"/>
    <w:rsid w:val="00F25DF3"/>
    <w:rsid w:val="00F25F37"/>
    <w:rsid w:val="00F25FAA"/>
    <w:rsid w:val="00F26069"/>
    <w:rsid w:val="00F260FF"/>
    <w:rsid w:val="00F26725"/>
    <w:rsid w:val="00F26AD0"/>
    <w:rsid w:val="00F26D62"/>
    <w:rsid w:val="00F26EC2"/>
    <w:rsid w:val="00F26FB1"/>
    <w:rsid w:val="00F26FE9"/>
    <w:rsid w:val="00F2714B"/>
    <w:rsid w:val="00F27718"/>
    <w:rsid w:val="00F27757"/>
    <w:rsid w:val="00F278B4"/>
    <w:rsid w:val="00F27DC2"/>
    <w:rsid w:val="00F27F1A"/>
    <w:rsid w:val="00F30793"/>
    <w:rsid w:val="00F307C0"/>
    <w:rsid w:val="00F30818"/>
    <w:rsid w:val="00F30BBA"/>
    <w:rsid w:val="00F329FF"/>
    <w:rsid w:val="00F33C41"/>
    <w:rsid w:val="00F34118"/>
    <w:rsid w:val="00F344EF"/>
    <w:rsid w:val="00F350E8"/>
    <w:rsid w:val="00F3526A"/>
    <w:rsid w:val="00F35A26"/>
    <w:rsid w:val="00F35DBC"/>
    <w:rsid w:val="00F36C7D"/>
    <w:rsid w:val="00F36F88"/>
    <w:rsid w:val="00F37C17"/>
    <w:rsid w:val="00F408CB"/>
    <w:rsid w:val="00F409FC"/>
    <w:rsid w:val="00F4102D"/>
    <w:rsid w:val="00F4114C"/>
    <w:rsid w:val="00F41301"/>
    <w:rsid w:val="00F41BB8"/>
    <w:rsid w:val="00F42682"/>
    <w:rsid w:val="00F42EB0"/>
    <w:rsid w:val="00F434C0"/>
    <w:rsid w:val="00F4362D"/>
    <w:rsid w:val="00F43898"/>
    <w:rsid w:val="00F43D87"/>
    <w:rsid w:val="00F442BE"/>
    <w:rsid w:val="00F443CC"/>
    <w:rsid w:val="00F44AA2"/>
    <w:rsid w:val="00F45C54"/>
    <w:rsid w:val="00F46360"/>
    <w:rsid w:val="00F46632"/>
    <w:rsid w:val="00F4675E"/>
    <w:rsid w:val="00F46C5F"/>
    <w:rsid w:val="00F4736C"/>
    <w:rsid w:val="00F47B8E"/>
    <w:rsid w:val="00F502D8"/>
    <w:rsid w:val="00F505E6"/>
    <w:rsid w:val="00F5070B"/>
    <w:rsid w:val="00F50CC9"/>
    <w:rsid w:val="00F5106D"/>
    <w:rsid w:val="00F51496"/>
    <w:rsid w:val="00F52E97"/>
    <w:rsid w:val="00F53BDB"/>
    <w:rsid w:val="00F546C9"/>
    <w:rsid w:val="00F54AF8"/>
    <w:rsid w:val="00F54C0B"/>
    <w:rsid w:val="00F54D89"/>
    <w:rsid w:val="00F554DE"/>
    <w:rsid w:val="00F555A3"/>
    <w:rsid w:val="00F55C0C"/>
    <w:rsid w:val="00F5680E"/>
    <w:rsid w:val="00F571B4"/>
    <w:rsid w:val="00F57523"/>
    <w:rsid w:val="00F57FAF"/>
    <w:rsid w:val="00F57FBE"/>
    <w:rsid w:val="00F60043"/>
    <w:rsid w:val="00F600D1"/>
    <w:rsid w:val="00F6067B"/>
    <w:rsid w:val="00F60835"/>
    <w:rsid w:val="00F60A28"/>
    <w:rsid w:val="00F60B6C"/>
    <w:rsid w:val="00F60CD2"/>
    <w:rsid w:val="00F6144A"/>
    <w:rsid w:val="00F61821"/>
    <w:rsid w:val="00F618AF"/>
    <w:rsid w:val="00F62341"/>
    <w:rsid w:val="00F626C7"/>
    <w:rsid w:val="00F628A1"/>
    <w:rsid w:val="00F63C41"/>
    <w:rsid w:val="00F64487"/>
    <w:rsid w:val="00F64600"/>
    <w:rsid w:val="00F648C7"/>
    <w:rsid w:val="00F653D4"/>
    <w:rsid w:val="00F6549E"/>
    <w:rsid w:val="00F65C35"/>
    <w:rsid w:val="00F65D42"/>
    <w:rsid w:val="00F6603D"/>
    <w:rsid w:val="00F66429"/>
    <w:rsid w:val="00F66731"/>
    <w:rsid w:val="00F669F1"/>
    <w:rsid w:val="00F66A38"/>
    <w:rsid w:val="00F66FB4"/>
    <w:rsid w:val="00F670A2"/>
    <w:rsid w:val="00F67220"/>
    <w:rsid w:val="00F67C49"/>
    <w:rsid w:val="00F702E3"/>
    <w:rsid w:val="00F70676"/>
    <w:rsid w:val="00F706F9"/>
    <w:rsid w:val="00F7070E"/>
    <w:rsid w:val="00F709DF"/>
    <w:rsid w:val="00F71669"/>
    <w:rsid w:val="00F71A07"/>
    <w:rsid w:val="00F71A5B"/>
    <w:rsid w:val="00F71DE7"/>
    <w:rsid w:val="00F7232E"/>
    <w:rsid w:val="00F724E7"/>
    <w:rsid w:val="00F72E4D"/>
    <w:rsid w:val="00F7312D"/>
    <w:rsid w:val="00F74309"/>
    <w:rsid w:val="00F746AA"/>
    <w:rsid w:val="00F746F8"/>
    <w:rsid w:val="00F749B9"/>
    <w:rsid w:val="00F74A5B"/>
    <w:rsid w:val="00F74C94"/>
    <w:rsid w:val="00F75A86"/>
    <w:rsid w:val="00F75B53"/>
    <w:rsid w:val="00F75D66"/>
    <w:rsid w:val="00F765CF"/>
    <w:rsid w:val="00F76ADE"/>
    <w:rsid w:val="00F76CFD"/>
    <w:rsid w:val="00F76D87"/>
    <w:rsid w:val="00F76DD9"/>
    <w:rsid w:val="00F77054"/>
    <w:rsid w:val="00F778FD"/>
    <w:rsid w:val="00F77B44"/>
    <w:rsid w:val="00F77B86"/>
    <w:rsid w:val="00F77CBA"/>
    <w:rsid w:val="00F8022C"/>
    <w:rsid w:val="00F8030A"/>
    <w:rsid w:val="00F806FF"/>
    <w:rsid w:val="00F80812"/>
    <w:rsid w:val="00F80BD3"/>
    <w:rsid w:val="00F80DFB"/>
    <w:rsid w:val="00F810A6"/>
    <w:rsid w:val="00F8196C"/>
    <w:rsid w:val="00F81E28"/>
    <w:rsid w:val="00F82142"/>
    <w:rsid w:val="00F821F8"/>
    <w:rsid w:val="00F822C1"/>
    <w:rsid w:val="00F82684"/>
    <w:rsid w:val="00F8293F"/>
    <w:rsid w:val="00F82BE2"/>
    <w:rsid w:val="00F83061"/>
    <w:rsid w:val="00F830AE"/>
    <w:rsid w:val="00F836D6"/>
    <w:rsid w:val="00F84573"/>
    <w:rsid w:val="00F84821"/>
    <w:rsid w:val="00F84A9E"/>
    <w:rsid w:val="00F84E71"/>
    <w:rsid w:val="00F85BBA"/>
    <w:rsid w:val="00F85CF0"/>
    <w:rsid w:val="00F85DDC"/>
    <w:rsid w:val="00F8620A"/>
    <w:rsid w:val="00F86975"/>
    <w:rsid w:val="00F87733"/>
    <w:rsid w:val="00F87AD3"/>
    <w:rsid w:val="00F87B86"/>
    <w:rsid w:val="00F87CE3"/>
    <w:rsid w:val="00F90011"/>
    <w:rsid w:val="00F9049E"/>
    <w:rsid w:val="00F905D2"/>
    <w:rsid w:val="00F907D2"/>
    <w:rsid w:val="00F9121C"/>
    <w:rsid w:val="00F91DA6"/>
    <w:rsid w:val="00F9265E"/>
    <w:rsid w:val="00F92C9F"/>
    <w:rsid w:val="00F92F42"/>
    <w:rsid w:val="00F93461"/>
    <w:rsid w:val="00F93CDA"/>
    <w:rsid w:val="00F93DFE"/>
    <w:rsid w:val="00F93EB5"/>
    <w:rsid w:val="00F942F4"/>
    <w:rsid w:val="00F949D0"/>
    <w:rsid w:val="00F94A3B"/>
    <w:rsid w:val="00F94A63"/>
    <w:rsid w:val="00F94F61"/>
    <w:rsid w:val="00F95408"/>
    <w:rsid w:val="00F9552B"/>
    <w:rsid w:val="00F95B14"/>
    <w:rsid w:val="00F95C78"/>
    <w:rsid w:val="00F95E92"/>
    <w:rsid w:val="00F962BF"/>
    <w:rsid w:val="00F964B7"/>
    <w:rsid w:val="00F96B5D"/>
    <w:rsid w:val="00F96CE4"/>
    <w:rsid w:val="00F96E76"/>
    <w:rsid w:val="00F96EDB"/>
    <w:rsid w:val="00F97436"/>
    <w:rsid w:val="00F976E0"/>
    <w:rsid w:val="00F97A46"/>
    <w:rsid w:val="00F97BA9"/>
    <w:rsid w:val="00F97D5C"/>
    <w:rsid w:val="00FA010E"/>
    <w:rsid w:val="00FA0382"/>
    <w:rsid w:val="00FA0698"/>
    <w:rsid w:val="00FA0E3D"/>
    <w:rsid w:val="00FA0E9B"/>
    <w:rsid w:val="00FA239C"/>
    <w:rsid w:val="00FA250A"/>
    <w:rsid w:val="00FA2A37"/>
    <w:rsid w:val="00FA34A4"/>
    <w:rsid w:val="00FA395D"/>
    <w:rsid w:val="00FA3992"/>
    <w:rsid w:val="00FA3C4A"/>
    <w:rsid w:val="00FA43A8"/>
    <w:rsid w:val="00FA45C0"/>
    <w:rsid w:val="00FA45D2"/>
    <w:rsid w:val="00FA586A"/>
    <w:rsid w:val="00FA6B53"/>
    <w:rsid w:val="00FA6D1E"/>
    <w:rsid w:val="00FA7319"/>
    <w:rsid w:val="00FA7775"/>
    <w:rsid w:val="00FA784E"/>
    <w:rsid w:val="00FB0511"/>
    <w:rsid w:val="00FB20EE"/>
    <w:rsid w:val="00FB2294"/>
    <w:rsid w:val="00FB2CE1"/>
    <w:rsid w:val="00FB2E0E"/>
    <w:rsid w:val="00FB3192"/>
    <w:rsid w:val="00FB338F"/>
    <w:rsid w:val="00FB42E8"/>
    <w:rsid w:val="00FB430A"/>
    <w:rsid w:val="00FB4B91"/>
    <w:rsid w:val="00FB4F15"/>
    <w:rsid w:val="00FB53CE"/>
    <w:rsid w:val="00FB5C81"/>
    <w:rsid w:val="00FB5FC7"/>
    <w:rsid w:val="00FB6443"/>
    <w:rsid w:val="00FB68AD"/>
    <w:rsid w:val="00FB69EF"/>
    <w:rsid w:val="00FB7405"/>
    <w:rsid w:val="00FB768A"/>
    <w:rsid w:val="00FB79E8"/>
    <w:rsid w:val="00FC02E5"/>
    <w:rsid w:val="00FC049E"/>
    <w:rsid w:val="00FC0977"/>
    <w:rsid w:val="00FC11F8"/>
    <w:rsid w:val="00FC14B2"/>
    <w:rsid w:val="00FC1A76"/>
    <w:rsid w:val="00FC1F41"/>
    <w:rsid w:val="00FC2420"/>
    <w:rsid w:val="00FC2B36"/>
    <w:rsid w:val="00FC2B6F"/>
    <w:rsid w:val="00FC2B98"/>
    <w:rsid w:val="00FC2C50"/>
    <w:rsid w:val="00FC2D13"/>
    <w:rsid w:val="00FC2FFC"/>
    <w:rsid w:val="00FC30B5"/>
    <w:rsid w:val="00FC3A9A"/>
    <w:rsid w:val="00FC3ED4"/>
    <w:rsid w:val="00FC4FE4"/>
    <w:rsid w:val="00FC5246"/>
    <w:rsid w:val="00FC5658"/>
    <w:rsid w:val="00FC602C"/>
    <w:rsid w:val="00FC6178"/>
    <w:rsid w:val="00FC6425"/>
    <w:rsid w:val="00FC65FA"/>
    <w:rsid w:val="00FC69C0"/>
    <w:rsid w:val="00FC6E9D"/>
    <w:rsid w:val="00FC7009"/>
    <w:rsid w:val="00FC732E"/>
    <w:rsid w:val="00FC7389"/>
    <w:rsid w:val="00FC7828"/>
    <w:rsid w:val="00FD0070"/>
    <w:rsid w:val="00FD0927"/>
    <w:rsid w:val="00FD1121"/>
    <w:rsid w:val="00FD1451"/>
    <w:rsid w:val="00FD15FD"/>
    <w:rsid w:val="00FD1E76"/>
    <w:rsid w:val="00FD20FD"/>
    <w:rsid w:val="00FD2102"/>
    <w:rsid w:val="00FD21EF"/>
    <w:rsid w:val="00FD22D9"/>
    <w:rsid w:val="00FD24D6"/>
    <w:rsid w:val="00FD2BBC"/>
    <w:rsid w:val="00FD2C4D"/>
    <w:rsid w:val="00FD2D55"/>
    <w:rsid w:val="00FD373E"/>
    <w:rsid w:val="00FD3FF5"/>
    <w:rsid w:val="00FD5393"/>
    <w:rsid w:val="00FD561C"/>
    <w:rsid w:val="00FD56DA"/>
    <w:rsid w:val="00FD6A7D"/>
    <w:rsid w:val="00FD7235"/>
    <w:rsid w:val="00FD72D6"/>
    <w:rsid w:val="00FD7E8C"/>
    <w:rsid w:val="00FE08FC"/>
    <w:rsid w:val="00FE092D"/>
    <w:rsid w:val="00FE0C08"/>
    <w:rsid w:val="00FE0C8C"/>
    <w:rsid w:val="00FE0E8C"/>
    <w:rsid w:val="00FE1706"/>
    <w:rsid w:val="00FE17D5"/>
    <w:rsid w:val="00FE20B0"/>
    <w:rsid w:val="00FE2624"/>
    <w:rsid w:val="00FE2A8D"/>
    <w:rsid w:val="00FE2BFE"/>
    <w:rsid w:val="00FE2C88"/>
    <w:rsid w:val="00FE2D93"/>
    <w:rsid w:val="00FE3105"/>
    <w:rsid w:val="00FE34D6"/>
    <w:rsid w:val="00FE3A4D"/>
    <w:rsid w:val="00FE3AAE"/>
    <w:rsid w:val="00FE435C"/>
    <w:rsid w:val="00FE43E7"/>
    <w:rsid w:val="00FE4D90"/>
    <w:rsid w:val="00FE4EEF"/>
    <w:rsid w:val="00FE4F09"/>
    <w:rsid w:val="00FE5227"/>
    <w:rsid w:val="00FE5273"/>
    <w:rsid w:val="00FE5B03"/>
    <w:rsid w:val="00FE6ED9"/>
    <w:rsid w:val="00FE75CC"/>
    <w:rsid w:val="00FE77D2"/>
    <w:rsid w:val="00FE7983"/>
    <w:rsid w:val="00FE7A2D"/>
    <w:rsid w:val="00FE7C0F"/>
    <w:rsid w:val="00FF0531"/>
    <w:rsid w:val="00FF084B"/>
    <w:rsid w:val="00FF1019"/>
    <w:rsid w:val="00FF10D4"/>
    <w:rsid w:val="00FF1398"/>
    <w:rsid w:val="00FF142A"/>
    <w:rsid w:val="00FF15E0"/>
    <w:rsid w:val="00FF2415"/>
    <w:rsid w:val="00FF252E"/>
    <w:rsid w:val="00FF2EDE"/>
    <w:rsid w:val="00FF3122"/>
    <w:rsid w:val="00FF3C14"/>
    <w:rsid w:val="00FF3EEE"/>
    <w:rsid w:val="00FF4112"/>
    <w:rsid w:val="00FF483A"/>
    <w:rsid w:val="00FF4BEB"/>
    <w:rsid w:val="00FF511A"/>
    <w:rsid w:val="00FF5156"/>
    <w:rsid w:val="00FF5C0C"/>
    <w:rsid w:val="00FF654B"/>
    <w:rsid w:val="00FF6779"/>
    <w:rsid w:val="00FF6FC4"/>
    <w:rsid w:val="00FF704B"/>
    <w:rsid w:val="00FF7065"/>
    <w:rsid w:val="00FF715A"/>
    <w:rsid w:val="00FF78D0"/>
    <w:rsid w:val="00FF7D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61EBEADF"/>
  <w15:docId w15:val="{435E55AE-0A11-4043-8D22-B354E2A5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9DA"/>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aliases w:val="h1,título 1,1,l1"/>
    <w:basedOn w:val="Normal"/>
    <w:next w:val="Normal"/>
    <w:link w:val="Heading1Char"/>
    <w:qFormat/>
    <w:rsid w:val="00A74DF9"/>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qFormat/>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A74DF9"/>
    <w:pPr>
      <w:tabs>
        <w:tab w:val="clear" w:pos="567"/>
        <w:tab w:val="clear" w:pos="1134"/>
        <w:tab w:val="clear" w:pos="1701"/>
        <w:tab w:val="clear" w:pos="2268"/>
        <w:tab w:val="clear" w:pos="2835"/>
        <w:tab w:val="left" w:pos="964"/>
        <w:tab w:val="right" w:leader="dot" w:pos="9639"/>
      </w:tabs>
      <w:spacing w:before="240"/>
      <w:ind w:left="964" w:hanging="964"/>
    </w:pPr>
  </w:style>
  <w:style w:type="paragraph" w:styleId="TOC7">
    <w:name w:val="toc 7"/>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rsid w:val="00813E5E"/>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aliases w:val="超级链接,Style 58,超????,超?级链,하이퍼링크2,하이퍼링크21,CEO_Hyperlink"/>
    <w:uiPriority w:val="99"/>
    <w:qFormat/>
    <w:rsid w:val="0009399A"/>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uiPriority w:val="39"/>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uiPriority w:val="99"/>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link w:val="TabletitleChar"/>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link w:val="TabletextChar"/>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b w:val="0"/>
      <w:i/>
    </w:rPr>
  </w:style>
  <w:style w:type="character" w:styleId="PageNumber">
    <w:name w:val="page number"/>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link w:val="ResNoChar"/>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aliases w:val="h1 Char,título 1 Char,1 Char,l1 Char"/>
    <w:link w:val="Heading1"/>
    <w:rsid w:val="00A74DF9"/>
    <w:rPr>
      <w:rFonts w:ascii="Calibri" w:eastAsia="SimSun" w:hAnsi="Calibri"/>
      <w:b/>
      <w:sz w:val="28"/>
      <w:lang w:val="en-GB" w:eastAsia="en-US"/>
    </w:rPr>
  </w:style>
  <w:style w:type="character" w:customStyle="1" w:styleId="Heading2Char">
    <w:name w:val="Heading 2 Char"/>
    <w:link w:val="Heading2"/>
    <w:rsid w:val="0022373A"/>
    <w:rPr>
      <w:rFonts w:ascii="Calibri" w:hAnsi="Calibri"/>
      <w:b/>
      <w:sz w:val="24"/>
      <w:lang w:val="en-GB" w:eastAsia="en-US"/>
    </w:rPr>
  </w:style>
  <w:style w:type="character" w:customStyle="1" w:styleId="Heading3Char">
    <w:name w:val="Heading 3 Char"/>
    <w:link w:val="Heading3"/>
    <w:rsid w:val="0022373A"/>
    <w:rPr>
      <w:rFonts w:ascii="Calibri" w:hAnsi="Calibri"/>
      <w:b/>
      <w:sz w:val="24"/>
      <w:lang w:val="en-GB" w:eastAsia="en-US"/>
    </w:rPr>
  </w:style>
  <w:style w:type="character" w:customStyle="1" w:styleId="Heading4Char">
    <w:name w:val="Heading 4 Char"/>
    <w:link w:val="Heading4"/>
    <w:rsid w:val="0022373A"/>
    <w:rPr>
      <w:rFonts w:ascii="Calibri" w:hAnsi="Calibri"/>
      <w:b/>
      <w:sz w:val="24"/>
      <w:lang w:val="en-GB" w:eastAsia="en-US"/>
    </w:rPr>
  </w:style>
  <w:style w:type="character" w:customStyle="1" w:styleId="Heading5Char">
    <w:name w:val="Heading 5 Char"/>
    <w:link w:val="Heading5"/>
    <w:rsid w:val="0022373A"/>
    <w:rPr>
      <w:rFonts w:ascii="Calibri" w:hAnsi="Calibri"/>
      <w:b/>
      <w:sz w:val="24"/>
      <w:lang w:val="en-GB" w:eastAsia="en-US"/>
    </w:rPr>
  </w:style>
  <w:style w:type="character" w:customStyle="1" w:styleId="Heading6Char">
    <w:name w:val="Heading 6 Char"/>
    <w:link w:val="Heading6"/>
    <w:rsid w:val="0022373A"/>
    <w:rPr>
      <w:rFonts w:ascii="Calibri" w:hAnsi="Calibri"/>
      <w:b/>
      <w:sz w:val="24"/>
      <w:lang w:val="en-GB" w:eastAsia="en-US"/>
    </w:rPr>
  </w:style>
  <w:style w:type="character" w:customStyle="1" w:styleId="Heading7Char">
    <w:name w:val="Heading 7 Char"/>
    <w:link w:val="Heading7"/>
    <w:rsid w:val="0022373A"/>
    <w:rPr>
      <w:rFonts w:ascii="Calibri" w:hAnsi="Calibri"/>
      <w:b/>
      <w:sz w:val="24"/>
      <w:lang w:val="en-GB" w:eastAsia="en-US"/>
    </w:rPr>
  </w:style>
  <w:style w:type="character" w:customStyle="1" w:styleId="Heading8Char">
    <w:name w:val="Heading 8 Char"/>
    <w:link w:val="Heading8"/>
    <w:rsid w:val="0022373A"/>
    <w:rPr>
      <w:rFonts w:ascii="Calibri" w:hAnsi="Calibri"/>
      <w:b/>
      <w:sz w:val="24"/>
      <w:lang w:val="en-GB" w:eastAsia="en-US"/>
    </w:rPr>
  </w:style>
  <w:style w:type="character" w:customStyle="1" w:styleId="Heading9Char">
    <w:name w:val="Heading 9 Char"/>
    <w:link w:val="Heading9"/>
    <w:rsid w:val="0022373A"/>
    <w:rPr>
      <w:rFonts w:ascii="Calibri" w:hAnsi="Calibri"/>
      <w:b/>
      <w:sz w:val="24"/>
      <w:lang w:val="en-GB" w:eastAsia="en-US"/>
    </w:rPr>
  </w:style>
  <w:style w:type="character" w:customStyle="1" w:styleId="FooterChar">
    <w:name w:val="Footer Char"/>
    <w:link w:val="Footer"/>
    <w:rsid w:val="0022373A"/>
    <w:rPr>
      <w:rFonts w:ascii="Calibri" w:hAnsi="Calibri"/>
      <w:caps/>
      <w:noProof/>
      <w:sz w:val="16"/>
      <w:lang w:val="en-GB" w:eastAsia="en-US"/>
    </w:rPr>
  </w:style>
  <w:style w:type="character" w:customStyle="1" w:styleId="HeaderChar">
    <w:name w:val="Header Char"/>
    <w:link w:val="Header"/>
    <w:uiPriority w:val="99"/>
    <w:rsid w:val="0022373A"/>
    <w:rPr>
      <w:rFonts w:ascii="Calibri" w:hAnsi="Calibri"/>
      <w:sz w:val="18"/>
      <w:lang w:val="en-GB" w:eastAsia="en-US"/>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link w:val="FootnoteText"/>
    <w:rsid w:val="0022373A"/>
    <w:rPr>
      <w:rFonts w:ascii="Calibri" w:hAnsi="Calibri"/>
      <w:sz w:val="24"/>
      <w:lang w:val="en-GB" w:eastAsia="en-US"/>
    </w:rPr>
  </w:style>
  <w:style w:type="character" w:customStyle="1" w:styleId="NormalaftertitleChar">
    <w:name w:val="Normal after title Char"/>
    <w:link w:val="Normalaftertitle"/>
    <w:rsid w:val="0022373A"/>
    <w:rPr>
      <w:rFonts w:ascii="Calibri" w:hAnsi="Calibri"/>
      <w:sz w:val="24"/>
      <w:lang w:val="en-GB" w:eastAsia="en-US"/>
    </w:rPr>
  </w:style>
  <w:style w:type="character" w:customStyle="1" w:styleId="CallChar">
    <w:name w:val="Call Char"/>
    <w:link w:val="Call"/>
    <w:rsid w:val="0022373A"/>
    <w:rPr>
      <w:rFonts w:ascii="Calibri" w:hAnsi="Calibri"/>
      <w:i/>
      <w:sz w:val="24"/>
      <w:lang w:val="en-GB" w:eastAsia="en-US"/>
    </w:rPr>
  </w:style>
  <w:style w:type="paragraph" w:styleId="NormalWeb">
    <w:name w:val="Normal (Web)"/>
    <w:basedOn w:val="Normal"/>
    <w:uiPriority w:val="99"/>
    <w:unhideWhenUsed/>
    <w:rsid w:val="002237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table" w:styleId="TableGrid">
    <w:name w:val="Table Grid"/>
    <w:basedOn w:val="TableNormal"/>
    <w:uiPriority w:val="39"/>
    <w:rsid w:val="0022373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22373A"/>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sz w:val="22"/>
      <w:lang w:val="fr-FR"/>
    </w:rPr>
  </w:style>
  <w:style w:type="paragraph" w:customStyle="1" w:styleId="TableHead0">
    <w:name w:val="Table_Head"/>
    <w:basedOn w:val="TableText0"/>
    <w:rsid w:val="0022373A"/>
    <w:pPr>
      <w:keepNext/>
      <w:spacing w:before="480" w:after="0"/>
      <w:jc w:val="center"/>
    </w:pPr>
    <w:rPr>
      <w:b/>
    </w:rPr>
  </w:style>
  <w:style w:type="paragraph" w:styleId="BalloonText">
    <w:name w:val="Balloon Text"/>
    <w:basedOn w:val="Normal"/>
    <w:link w:val="BalloonTextChar"/>
    <w:uiPriority w:val="99"/>
    <w:unhideWhenUsed/>
    <w:rsid w:val="0022373A"/>
    <w:pPr>
      <w:widowControl w:val="0"/>
      <w:tabs>
        <w:tab w:val="clear" w:pos="567"/>
        <w:tab w:val="clear" w:pos="1134"/>
        <w:tab w:val="clear" w:pos="1701"/>
        <w:tab w:val="clear" w:pos="2268"/>
        <w:tab w:val="clear" w:pos="2835"/>
      </w:tabs>
      <w:kinsoku w:val="0"/>
      <w:overflowPunct/>
      <w:autoSpaceDE/>
      <w:autoSpaceDN/>
      <w:adjustRightInd/>
      <w:spacing w:before="0"/>
      <w:textAlignment w:val="auto"/>
    </w:pPr>
    <w:rPr>
      <w:rFonts w:ascii="Tahoma" w:hAnsi="Tahoma" w:cs="Tahoma"/>
      <w:sz w:val="16"/>
      <w:szCs w:val="16"/>
      <w:lang w:val="en-US" w:eastAsia="zh-CN"/>
    </w:rPr>
  </w:style>
  <w:style w:type="character" w:customStyle="1" w:styleId="BalloonTextChar">
    <w:name w:val="Balloon Text Char"/>
    <w:link w:val="BalloonText"/>
    <w:uiPriority w:val="99"/>
    <w:rsid w:val="0022373A"/>
    <w:rPr>
      <w:rFonts w:ascii="Tahoma" w:eastAsia="SimSun" w:hAnsi="Tahoma" w:cs="Tahoma"/>
      <w:sz w:val="16"/>
      <w:szCs w:val="16"/>
    </w:rPr>
  </w:style>
  <w:style w:type="paragraph" w:styleId="BodyTextIndent">
    <w:name w:val="Body Text Indent"/>
    <w:basedOn w:val="Normal"/>
    <w:link w:val="BodyTextIndentChar"/>
    <w:rsid w:val="0022373A"/>
    <w:pPr>
      <w:tabs>
        <w:tab w:val="clear" w:pos="567"/>
        <w:tab w:val="clear" w:pos="1701"/>
        <w:tab w:val="clear" w:pos="2268"/>
        <w:tab w:val="clear" w:pos="2835"/>
        <w:tab w:val="left" w:pos="0"/>
        <w:tab w:val="left" w:pos="851"/>
      </w:tabs>
      <w:spacing w:before="80" w:line="0" w:lineRule="atLeast"/>
      <w:ind w:left="1134" w:hanging="283"/>
    </w:pPr>
    <w:rPr>
      <w:rFonts w:ascii="Times New Roman" w:hAnsi="Times New Roman"/>
      <w:lang w:val="fr-FR"/>
    </w:rPr>
  </w:style>
  <w:style w:type="character" w:customStyle="1" w:styleId="BodyTextIndentChar">
    <w:name w:val="Body Text Indent Char"/>
    <w:link w:val="BodyTextIndent"/>
    <w:rsid w:val="0022373A"/>
    <w:rPr>
      <w:rFonts w:ascii="Times New Roman" w:hAnsi="Times New Roman"/>
      <w:sz w:val="24"/>
      <w:lang w:val="fr-FR" w:eastAsia="en-US"/>
    </w:rPr>
  </w:style>
  <w:style w:type="paragraph" w:styleId="BodyTextIndent3">
    <w:name w:val="Body Text Indent 3"/>
    <w:basedOn w:val="Normal"/>
    <w:link w:val="BodyTextIndent3Char"/>
    <w:rsid w:val="0022373A"/>
    <w:pPr>
      <w:tabs>
        <w:tab w:val="clear" w:pos="1701"/>
        <w:tab w:val="clear" w:pos="2268"/>
        <w:tab w:val="clear" w:pos="2835"/>
        <w:tab w:val="left" w:pos="851"/>
        <w:tab w:val="left" w:pos="1418"/>
      </w:tabs>
      <w:spacing w:line="240" w:lineRule="atLeast"/>
      <w:ind w:left="34"/>
    </w:pPr>
    <w:rPr>
      <w:rFonts w:ascii="Times New Roman" w:hAnsi="Times New Roman"/>
      <w:lang w:val="fr-FR"/>
    </w:rPr>
  </w:style>
  <w:style w:type="character" w:customStyle="1" w:styleId="BodyTextIndent3Char">
    <w:name w:val="Body Text Indent 3 Char"/>
    <w:link w:val="BodyTextIndent3"/>
    <w:rsid w:val="0022373A"/>
    <w:rPr>
      <w:rFonts w:ascii="Times New Roman" w:hAnsi="Times New Roman"/>
      <w:sz w:val="24"/>
      <w:lang w:val="fr-FR" w:eastAsia="en-US"/>
    </w:rPr>
  </w:style>
  <w:style w:type="paragraph" w:styleId="BodyText3">
    <w:name w:val="Body Text 3"/>
    <w:basedOn w:val="Normal"/>
    <w:link w:val="BodyText3Char"/>
    <w:uiPriority w:val="99"/>
    <w:unhideWhenUsed/>
    <w:rsid w:val="0022373A"/>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hAnsi="Times New Roman"/>
      <w:sz w:val="16"/>
      <w:szCs w:val="16"/>
      <w:lang w:val="en-US" w:eastAsia="zh-CN"/>
    </w:rPr>
  </w:style>
  <w:style w:type="character" w:customStyle="1" w:styleId="BodyText3Char">
    <w:name w:val="Body Text 3 Char"/>
    <w:link w:val="BodyText3"/>
    <w:uiPriority w:val="99"/>
    <w:rsid w:val="0022373A"/>
    <w:rPr>
      <w:rFonts w:ascii="Times New Roman" w:eastAsia="SimSun" w:hAnsi="Times New Roman"/>
      <w:sz w:val="16"/>
      <w:szCs w:val="16"/>
    </w:rPr>
  </w:style>
  <w:style w:type="character" w:styleId="Strong">
    <w:name w:val="Strong"/>
    <w:uiPriority w:val="22"/>
    <w:qFormat/>
    <w:rsid w:val="0022373A"/>
    <w:rPr>
      <w:b/>
      <w:bCs/>
    </w:rPr>
  </w:style>
  <w:style w:type="character" w:styleId="CommentReference">
    <w:name w:val="annotation reference"/>
    <w:uiPriority w:val="99"/>
    <w:unhideWhenUsed/>
    <w:rsid w:val="0022373A"/>
    <w:rPr>
      <w:sz w:val="16"/>
      <w:szCs w:val="16"/>
    </w:rPr>
  </w:style>
  <w:style w:type="paragraph" w:styleId="CommentText">
    <w:name w:val="annotation text"/>
    <w:basedOn w:val="Normal"/>
    <w:link w:val="CommentTextChar"/>
    <w:uiPriority w:val="99"/>
    <w:unhideWhenUsed/>
    <w:rsid w:val="0022373A"/>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cs="Arial"/>
      <w:b/>
      <w:sz w:val="20"/>
      <w:lang w:val="fr-FR" w:eastAsia="fr-FR"/>
    </w:rPr>
  </w:style>
  <w:style w:type="character" w:customStyle="1" w:styleId="CommentTextChar">
    <w:name w:val="Comment Text Char"/>
    <w:link w:val="CommentText"/>
    <w:uiPriority w:val="99"/>
    <w:rsid w:val="0022373A"/>
    <w:rPr>
      <w:rFonts w:ascii="Times New Roman" w:hAnsi="Times New Roman" w:cs="Arial"/>
      <w:b/>
      <w:lang w:val="fr-FR" w:eastAsia="fr-FR"/>
    </w:rPr>
  </w:style>
  <w:style w:type="paragraph" w:styleId="CommentSubject">
    <w:name w:val="annotation subject"/>
    <w:basedOn w:val="CommentText"/>
    <w:next w:val="CommentText"/>
    <w:link w:val="CommentSubjectChar"/>
    <w:uiPriority w:val="99"/>
    <w:unhideWhenUsed/>
    <w:rsid w:val="0022373A"/>
    <w:rPr>
      <w:bCs/>
    </w:rPr>
  </w:style>
  <w:style w:type="character" w:customStyle="1" w:styleId="CommentSubjectChar">
    <w:name w:val="Comment Subject Char"/>
    <w:link w:val="CommentSubject"/>
    <w:uiPriority w:val="99"/>
    <w:rsid w:val="0022373A"/>
    <w:rPr>
      <w:rFonts w:ascii="Times New Roman" w:hAnsi="Times New Roman" w:cs="Arial"/>
      <w:b/>
      <w:bCs/>
      <w:lang w:val="fr-FR" w:eastAsia="fr-FR"/>
    </w:rPr>
  </w:style>
  <w:style w:type="paragraph" w:styleId="Revision">
    <w:name w:val="Revision"/>
    <w:hidden/>
    <w:uiPriority w:val="99"/>
    <w:semiHidden/>
    <w:rsid w:val="0022373A"/>
    <w:rPr>
      <w:rFonts w:ascii="Times New Roman" w:eastAsia="SimSun" w:hAnsi="Times New Roman"/>
      <w:sz w:val="24"/>
      <w:szCs w:val="24"/>
    </w:rPr>
  </w:style>
  <w:style w:type="paragraph" w:styleId="Caption">
    <w:name w:val="caption"/>
    <w:basedOn w:val="Normal"/>
    <w:next w:val="Normal"/>
    <w:uiPriority w:val="35"/>
    <w:unhideWhenUsed/>
    <w:qFormat/>
    <w:rsid w:val="0022373A"/>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hAnsi="Times New Roman"/>
      <w:b/>
      <w:bCs/>
      <w:color w:val="4F81BD"/>
      <w:sz w:val="18"/>
      <w:szCs w:val="18"/>
      <w:lang w:val="en-US" w:eastAsia="zh-CN"/>
    </w:rPr>
  </w:style>
  <w:style w:type="paragraph" w:styleId="NoSpacing">
    <w:name w:val="No Spacing"/>
    <w:uiPriority w:val="1"/>
    <w:qFormat/>
    <w:rsid w:val="00CB1A52"/>
    <w:pPr>
      <w:spacing w:before="120" w:after="120" w:line="288" w:lineRule="auto"/>
    </w:pPr>
    <w:rPr>
      <w:rFonts w:ascii="Arial" w:hAnsi="Arial" w:cs="Arial"/>
      <w:szCs w:val="24"/>
      <w:lang w:val="fr-FR" w:eastAsia="fr-FR"/>
    </w:rPr>
  </w:style>
  <w:style w:type="paragraph" w:styleId="ListParagraph">
    <w:name w:val="List Paragraph"/>
    <w:aliases w:val="List Paragraph1,Recommendation,List Paragraph11,Bullet List,FooterText,numbered,Paragraphe de liste1,Bulletr List Paragraph,Bullet 1,Numbered Para 1,Dot pt,No Spacing1,List Paragraph Char Char Char,Indicator Text,Bullet Points"/>
    <w:basedOn w:val="Normal"/>
    <w:link w:val="ListParagraphChar"/>
    <w:uiPriority w:val="34"/>
    <w:qFormat/>
    <w:rsid w:val="0041159C"/>
    <w:pPr>
      <w:widowControl w:val="0"/>
      <w:tabs>
        <w:tab w:val="clear" w:pos="567"/>
        <w:tab w:val="clear" w:pos="1134"/>
        <w:tab w:val="clear" w:pos="1701"/>
        <w:tab w:val="clear" w:pos="2268"/>
        <w:tab w:val="clear" w:pos="2835"/>
      </w:tabs>
      <w:kinsoku w:val="0"/>
      <w:overflowPunct/>
      <w:autoSpaceDE/>
      <w:autoSpaceDN/>
      <w:adjustRightInd/>
      <w:spacing w:before="0"/>
      <w:ind w:left="720"/>
      <w:contextualSpacing/>
      <w:textAlignment w:val="auto"/>
    </w:pPr>
    <w:rPr>
      <w:rFonts w:ascii="Times New Roman" w:hAnsi="Times New Roman"/>
      <w:szCs w:val="24"/>
      <w:lang w:val="en-US" w:eastAsia="zh-CN"/>
    </w:rPr>
  </w:style>
  <w:style w:type="paragraph" w:customStyle="1" w:styleId="headingb0">
    <w:name w:val="heading_b"/>
    <w:basedOn w:val="Heading3"/>
    <w:next w:val="Normal"/>
    <w:link w:val="headingbChar"/>
    <w:uiPriority w:val="99"/>
    <w:rsid w:val="0041159C"/>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lang w:val="fr-FR"/>
    </w:rPr>
  </w:style>
  <w:style w:type="numbering" w:customStyle="1" w:styleId="NoList1">
    <w:name w:val="No List1"/>
    <w:next w:val="NoList"/>
    <w:uiPriority w:val="99"/>
    <w:semiHidden/>
    <w:unhideWhenUsed/>
    <w:rsid w:val="0041159C"/>
  </w:style>
  <w:style w:type="numbering" w:customStyle="1" w:styleId="NoList2">
    <w:name w:val="No List2"/>
    <w:next w:val="NoList"/>
    <w:uiPriority w:val="99"/>
    <w:semiHidden/>
    <w:unhideWhenUsed/>
    <w:rsid w:val="003F74FA"/>
  </w:style>
  <w:style w:type="paragraph" w:customStyle="1" w:styleId="font5">
    <w:name w:val="font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65">
    <w:name w:val="xl6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6">
    <w:name w:val="xl66"/>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67">
    <w:name w:val="xl67"/>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68">
    <w:name w:val="xl68"/>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sz w:val="22"/>
      <w:szCs w:val="22"/>
      <w:lang w:val="en-US" w:eastAsia="zh-CN"/>
    </w:rPr>
  </w:style>
  <w:style w:type="paragraph" w:customStyle="1" w:styleId="xl69">
    <w:name w:val="xl69"/>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0">
    <w:name w:val="xl70"/>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1">
    <w:name w:val="xl71"/>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sz w:val="22"/>
      <w:szCs w:val="22"/>
      <w:lang w:val="en-US" w:eastAsia="zh-CN"/>
    </w:rPr>
  </w:style>
  <w:style w:type="paragraph" w:customStyle="1" w:styleId="xl72">
    <w:name w:val="xl72"/>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3">
    <w:name w:val="xl73"/>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4">
    <w:name w:val="xl74"/>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75">
    <w:name w:val="xl7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6">
    <w:name w:val="xl76"/>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77">
    <w:name w:val="xl77"/>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color w:val="000000"/>
      <w:sz w:val="22"/>
      <w:szCs w:val="22"/>
      <w:lang w:val="en-US" w:eastAsia="zh-CN"/>
    </w:rPr>
  </w:style>
  <w:style w:type="paragraph" w:customStyle="1" w:styleId="xl78">
    <w:name w:val="xl78"/>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79">
    <w:name w:val="xl79"/>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0">
    <w:name w:val="xl80"/>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1">
    <w:name w:val="xl81"/>
    <w:basedOn w:val="Normal"/>
    <w:rsid w:val="003F74FA"/>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2">
    <w:name w:val="xl82"/>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color w:val="000000"/>
      <w:sz w:val="22"/>
      <w:szCs w:val="22"/>
      <w:lang w:val="en-US" w:eastAsia="zh-CN"/>
    </w:rPr>
  </w:style>
  <w:style w:type="paragraph" w:customStyle="1" w:styleId="xl83">
    <w:name w:val="xl83"/>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4">
    <w:name w:val="xl84"/>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5">
    <w:name w:val="xl8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color w:val="000000"/>
      <w:sz w:val="22"/>
      <w:szCs w:val="22"/>
      <w:lang w:val="en-US" w:eastAsia="zh-CN"/>
    </w:rPr>
  </w:style>
  <w:style w:type="paragraph" w:customStyle="1" w:styleId="xl86">
    <w:name w:val="xl86"/>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7">
    <w:name w:val="xl87"/>
    <w:basedOn w:val="Normal"/>
    <w:rsid w:val="003F74FA"/>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8">
    <w:name w:val="xl88"/>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89">
    <w:name w:val="xl89"/>
    <w:basedOn w:val="Normal"/>
    <w:rsid w:val="003F74FA"/>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0">
    <w:name w:val="xl90"/>
    <w:basedOn w:val="Normal"/>
    <w:rsid w:val="003F74FA"/>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91">
    <w:name w:val="xl91"/>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2">
    <w:name w:val="xl92"/>
    <w:basedOn w:val="Normal"/>
    <w:rsid w:val="003F74FA"/>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3">
    <w:name w:val="xl93"/>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0"/>
      <w:lang w:val="en-US" w:eastAsia="zh-CN"/>
    </w:rPr>
  </w:style>
  <w:style w:type="paragraph" w:styleId="Title">
    <w:name w:val="Title"/>
    <w:basedOn w:val="Normal"/>
    <w:link w:val="TitleChar"/>
    <w:qFormat/>
    <w:rsid w:val="00F67220"/>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hAnsi="Arial"/>
      <w:b/>
      <w:bCs/>
      <w:sz w:val="22"/>
      <w:szCs w:val="24"/>
      <w:lang w:eastAsia="zh-CN"/>
    </w:rPr>
  </w:style>
  <w:style w:type="character" w:customStyle="1" w:styleId="TitleChar">
    <w:name w:val="Title Char"/>
    <w:link w:val="Title"/>
    <w:rsid w:val="00F67220"/>
    <w:rPr>
      <w:rFonts w:ascii="Arial" w:eastAsia="SimSun" w:hAnsi="Arial"/>
      <w:b/>
      <w:bCs/>
      <w:sz w:val="22"/>
      <w:szCs w:val="24"/>
      <w:lang w:val="en-GB"/>
    </w:rPr>
  </w:style>
  <w:style w:type="paragraph" w:styleId="BlockText">
    <w:name w:val="Block Text"/>
    <w:basedOn w:val="Normal"/>
    <w:rsid w:val="00682E1B"/>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hAnsi="Univers"/>
      <w:sz w:val="21"/>
      <w:szCs w:val="21"/>
    </w:rPr>
  </w:style>
  <w:style w:type="character" w:styleId="Emphasis">
    <w:name w:val="Emphasis"/>
    <w:basedOn w:val="DefaultParagraphFont"/>
    <w:uiPriority w:val="20"/>
    <w:qFormat/>
    <w:rsid w:val="00210C5D"/>
    <w:rPr>
      <w:i/>
      <w:iCs/>
    </w:rPr>
  </w:style>
  <w:style w:type="paragraph" w:customStyle="1" w:styleId="Default">
    <w:name w:val="Default"/>
    <w:rsid w:val="008E2834"/>
    <w:pPr>
      <w:autoSpaceDE w:val="0"/>
      <w:autoSpaceDN w:val="0"/>
      <w:adjustRightInd w:val="0"/>
    </w:pPr>
    <w:rPr>
      <w:rFonts w:ascii="Calibri" w:hAnsi="Calibri" w:cs="Calibri"/>
      <w:color w:val="000000"/>
      <w:sz w:val="24"/>
      <w:szCs w:val="24"/>
    </w:rPr>
  </w:style>
  <w:style w:type="character" w:customStyle="1" w:styleId="intro">
    <w:name w:val="intro"/>
    <w:basedOn w:val="DefaultParagraphFont"/>
    <w:rsid w:val="00AA7224"/>
  </w:style>
  <w:style w:type="character" w:customStyle="1" w:styleId="ms-rtefontsize-2">
    <w:name w:val="ms-rtefontsize-2"/>
    <w:basedOn w:val="DefaultParagraphFont"/>
    <w:rsid w:val="00CB5927"/>
  </w:style>
  <w:style w:type="paragraph" w:styleId="Date">
    <w:name w:val="Date"/>
    <w:basedOn w:val="Normal"/>
    <w:next w:val="Normal"/>
    <w:link w:val="DateChar"/>
    <w:rsid w:val="006973F1"/>
  </w:style>
  <w:style w:type="character" w:customStyle="1" w:styleId="DateChar">
    <w:name w:val="Date Char"/>
    <w:basedOn w:val="DefaultParagraphFont"/>
    <w:link w:val="Date"/>
    <w:rsid w:val="006973F1"/>
    <w:rPr>
      <w:rFonts w:ascii="Calibri" w:hAnsi="Calibri"/>
      <w:sz w:val="24"/>
      <w:lang w:val="en-GB" w:eastAsia="en-US"/>
    </w:rPr>
  </w:style>
  <w:style w:type="paragraph" w:customStyle="1" w:styleId="elencopuntato1">
    <w:name w:val="elenco puntato 1"/>
    <w:basedOn w:val="ListParagraph"/>
    <w:qFormat/>
    <w:rsid w:val="00A0167F"/>
    <w:pPr>
      <w:widowControl/>
      <w:numPr>
        <w:numId w:val="2"/>
      </w:numPr>
      <w:kinsoku/>
      <w:adjustRightInd w:val="0"/>
      <w:spacing w:before="120" w:line="319" w:lineRule="auto"/>
      <w:ind w:left="851" w:hanging="284"/>
      <w:contextualSpacing w:val="0"/>
      <w:jc w:val="both"/>
    </w:pPr>
    <w:rPr>
      <w:rFonts w:ascii="Arial" w:eastAsiaTheme="minorHAnsi" w:hAnsi="Arial"/>
      <w:lang w:val="en-GB" w:eastAsia="it-IT"/>
    </w:rPr>
  </w:style>
  <w:style w:type="paragraph" w:customStyle="1" w:styleId="elencopuntatononrientrato">
    <w:name w:val="elenco puntato non rientrato"/>
    <w:basedOn w:val="elencopuntato1"/>
    <w:qFormat/>
    <w:rsid w:val="00A0167F"/>
    <w:pPr>
      <w:numPr>
        <w:numId w:val="1"/>
      </w:numPr>
      <w:tabs>
        <w:tab w:val="num" w:pos="360"/>
      </w:tabs>
      <w:ind w:left="284" w:hanging="284"/>
    </w:pPr>
  </w:style>
  <w:style w:type="paragraph" w:customStyle="1" w:styleId="Pa8">
    <w:name w:val="Pa8"/>
    <w:basedOn w:val="Default"/>
    <w:next w:val="Default"/>
    <w:uiPriority w:val="99"/>
    <w:rsid w:val="0042562F"/>
    <w:pPr>
      <w:spacing w:line="191" w:lineRule="atLeast"/>
    </w:pPr>
    <w:rPr>
      <w:rFonts w:ascii="Avenir Next LT Pro" w:hAnsi="Avenir Next LT Pro" w:cs="Times New Roman"/>
      <w:color w:val="auto"/>
    </w:rPr>
  </w:style>
  <w:style w:type="paragraph" w:styleId="BodyText">
    <w:name w:val="Body Text"/>
    <w:basedOn w:val="Normal"/>
    <w:link w:val="BodyTextChar"/>
    <w:unhideWhenUsed/>
    <w:rsid w:val="009053D6"/>
    <w:pPr>
      <w:spacing w:after="120"/>
    </w:pPr>
  </w:style>
  <w:style w:type="character" w:customStyle="1" w:styleId="BodyTextChar">
    <w:name w:val="Body Text Char"/>
    <w:basedOn w:val="DefaultParagraphFont"/>
    <w:link w:val="BodyText"/>
    <w:rsid w:val="009053D6"/>
    <w:rPr>
      <w:rFonts w:ascii="Calibri" w:hAnsi="Calibri"/>
      <w:sz w:val="24"/>
      <w:lang w:val="en-GB" w:eastAsia="en-US"/>
    </w:rPr>
  </w:style>
  <w:style w:type="character" w:customStyle="1" w:styleId="Style1Char">
    <w:name w:val="Style1 Char"/>
    <w:basedOn w:val="DefaultParagraphFont"/>
    <w:link w:val="Style1"/>
    <w:locked/>
    <w:rsid w:val="009053D6"/>
    <w:rPr>
      <w:rFonts w:eastAsia="DengXian"/>
      <w:b/>
      <w:iCs/>
      <w:color w:val="548DD4" w:themeColor="text2" w:themeTint="99"/>
      <w:sz w:val="24"/>
      <w:szCs w:val="24"/>
      <w:lang w:eastAsia="en-US"/>
    </w:rPr>
  </w:style>
  <w:style w:type="paragraph" w:customStyle="1" w:styleId="Style1">
    <w:name w:val="Style1"/>
    <w:basedOn w:val="Normal"/>
    <w:link w:val="Style1Char"/>
    <w:qFormat/>
    <w:rsid w:val="009053D6"/>
    <w:pPr>
      <w:keepNext/>
      <w:tabs>
        <w:tab w:val="clear" w:pos="567"/>
        <w:tab w:val="clear" w:pos="1134"/>
        <w:tab w:val="clear" w:pos="1701"/>
        <w:tab w:val="clear" w:pos="2268"/>
        <w:tab w:val="clear" w:pos="2835"/>
      </w:tabs>
      <w:overflowPunct/>
      <w:autoSpaceDE/>
      <w:autoSpaceDN/>
      <w:adjustRightInd/>
      <w:spacing w:before="280" w:after="280" w:line="280" w:lineRule="atLeast"/>
      <w:jc w:val="both"/>
      <w:textAlignment w:val="auto"/>
      <w:outlineLvl w:val="7"/>
    </w:pPr>
    <w:rPr>
      <w:rFonts w:ascii="CG Times" w:eastAsia="DengXian" w:hAnsi="CG Times"/>
      <w:b/>
      <w:iCs/>
      <w:color w:val="548DD4" w:themeColor="text2" w:themeTint="99"/>
      <w:szCs w:val="24"/>
      <w:lang w:val="en-US"/>
    </w:rPr>
  </w:style>
  <w:style w:type="character" w:customStyle="1" w:styleId="ListParagraphChar">
    <w:name w:val="List Paragraph Char"/>
    <w:aliases w:val="List Paragraph1 Char,Recommendation Char,List Paragraph11 Char,Bullet List Char,FooterText Char,numbered Char,Paragraphe de liste1 Char,Bulletr List Paragraph Char,Bullet 1 Char,Numbered Para 1 Char,Dot pt Char,No Spacing1 Char"/>
    <w:basedOn w:val="DefaultParagraphFont"/>
    <w:link w:val="ListParagraph"/>
    <w:uiPriority w:val="34"/>
    <w:qFormat/>
    <w:rsid w:val="00344B4A"/>
    <w:rPr>
      <w:rFonts w:ascii="Times New Roman" w:eastAsia="SimSun" w:hAnsi="Times New Roman"/>
      <w:sz w:val="24"/>
      <w:szCs w:val="24"/>
    </w:rPr>
  </w:style>
  <w:style w:type="character" w:customStyle="1" w:styleId="ms-rtethemefontface-1">
    <w:name w:val="ms-rtethemefontface-1"/>
    <w:basedOn w:val="DefaultParagraphFont"/>
    <w:rsid w:val="00D251AF"/>
  </w:style>
  <w:style w:type="paragraph" w:customStyle="1" w:styleId="paragraph">
    <w:name w:val="paragraph"/>
    <w:basedOn w:val="Normal"/>
    <w:rsid w:val="00D911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HAnsi" w:cs="Calibri"/>
      <w:sz w:val="22"/>
      <w:szCs w:val="22"/>
      <w:lang w:eastAsia="en-GB"/>
    </w:rPr>
  </w:style>
  <w:style w:type="character" w:customStyle="1" w:styleId="normaltextrun">
    <w:name w:val="normaltextrun"/>
    <w:basedOn w:val="DefaultParagraphFont"/>
    <w:rsid w:val="00D91192"/>
  </w:style>
  <w:style w:type="character" w:customStyle="1" w:styleId="eop">
    <w:name w:val="eop"/>
    <w:basedOn w:val="DefaultParagraphFont"/>
    <w:rsid w:val="00D91192"/>
  </w:style>
  <w:style w:type="character" w:customStyle="1" w:styleId="ms-rteforecolor-2">
    <w:name w:val="ms-rteforecolor-2"/>
    <w:basedOn w:val="DefaultParagraphFont"/>
    <w:rsid w:val="00562749"/>
  </w:style>
  <w:style w:type="table" w:customStyle="1" w:styleId="TableGrid1">
    <w:name w:val="Table Grid1"/>
    <w:basedOn w:val="TableNormal"/>
    <w:next w:val="TableGrid"/>
    <w:uiPriority w:val="39"/>
    <w:rsid w:val="008F17A6"/>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10pt">
    <w:name w:val="Normal + After 10 pt"/>
    <w:basedOn w:val="Normal"/>
    <w:rsid w:val="008F17A6"/>
    <w:pPr>
      <w:tabs>
        <w:tab w:val="clear" w:pos="567"/>
        <w:tab w:val="clear" w:pos="1134"/>
        <w:tab w:val="clear" w:pos="1701"/>
        <w:tab w:val="clear" w:pos="2268"/>
        <w:tab w:val="clear" w:pos="2835"/>
      </w:tabs>
      <w:overflowPunct/>
      <w:autoSpaceDE/>
      <w:autoSpaceDN/>
      <w:adjustRightInd/>
      <w:spacing w:before="0" w:after="200"/>
      <w:textAlignment w:val="auto"/>
    </w:pPr>
    <w:rPr>
      <w:rFonts w:ascii="Arial" w:hAnsi="Arial"/>
      <w:sz w:val="20"/>
      <w:szCs w:val="24"/>
      <w:lang w:eastAsia="fr-FR"/>
    </w:rPr>
  </w:style>
  <w:style w:type="table" w:styleId="GridTable4-Accent6">
    <w:name w:val="Grid Table 4 Accent 6"/>
    <w:basedOn w:val="TableNormal"/>
    <w:uiPriority w:val="49"/>
    <w:rsid w:val="008F17A6"/>
    <w:rPr>
      <w:rFonts w:ascii="Times New Roman" w:hAnsi="Times New Roman"/>
      <w:lang w:val="fr-CH" w:eastAsia="fr-CH"/>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2">
    <w:name w:val="Table Grid2"/>
    <w:basedOn w:val="TableNormal"/>
    <w:next w:val="TableGrid"/>
    <w:uiPriority w:val="39"/>
    <w:rsid w:val="00B135B3"/>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1D27"/>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next w:val="GridTable4-Accent6"/>
    <w:uiPriority w:val="49"/>
    <w:rsid w:val="00AD1D27"/>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
    <w:name w:val="Table Grid4"/>
    <w:basedOn w:val="TableNormal"/>
    <w:next w:val="TableGrid"/>
    <w:uiPriority w:val="39"/>
    <w:rsid w:val="00AD1D27"/>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2">
    <w:name w:val="Grid Table 4 - Accent 62"/>
    <w:basedOn w:val="TableNormal"/>
    <w:next w:val="GridTable4-Accent6"/>
    <w:uiPriority w:val="49"/>
    <w:rsid w:val="00AD1D27"/>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
    <w:name w:val="Table Grid5"/>
    <w:basedOn w:val="TableNormal"/>
    <w:next w:val="TableGrid"/>
    <w:uiPriority w:val="39"/>
    <w:rsid w:val="00803B0F"/>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
    <w:name w:val="Grid Table 4 - Accent 63"/>
    <w:basedOn w:val="TableNormal"/>
    <w:next w:val="GridTable4-Accent6"/>
    <w:uiPriority w:val="49"/>
    <w:rsid w:val="00803B0F"/>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UnresolvedMention1">
    <w:name w:val="Unresolved Mention1"/>
    <w:basedOn w:val="DefaultParagraphFont"/>
    <w:uiPriority w:val="99"/>
    <w:semiHidden/>
    <w:unhideWhenUsed/>
    <w:rsid w:val="00706ADE"/>
    <w:rPr>
      <w:color w:val="605E5C"/>
      <w:shd w:val="clear" w:color="auto" w:fill="E1DFDD"/>
    </w:rPr>
  </w:style>
  <w:style w:type="paragraph" w:customStyle="1" w:styleId="xmsonormal">
    <w:name w:val="x_msonormal"/>
    <w:basedOn w:val="Normal"/>
    <w:rsid w:val="00D6490C"/>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 w:val="22"/>
      <w:szCs w:val="22"/>
      <w:lang w:eastAsia="en-GB"/>
    </w:rPr>
  </w:style>
  <w:style w:type="paragraph" w:customStyle="1" w:styleId="msonormal0">
    <w:name w:val="msonormal"/>
    <w:basedOn w:val="Normal"/>
    <w:rsid w:val="0069080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table" w:styleId="GridTable1Light-Accent1">
    <w:name w:val="Grid Table 1 Light Accent 1"/>
    <w:basedOn w:val="TableNormal"/>
    <w:uiPriority w:val="46"/>
    <w:rsid w:val="0085081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1">
    <w:name w:val="Heading 1 Char1"/>
    <w:aliases w:val="h1 Char1,título 1 Char1,1 Char1,l1 Char1"/>
    <w:basedOn w:val="DefaultParagraphFont"/>
    <w:rsid w:val="008C2A8A"/>
    <w:rPr>
      <w:rFonts w:asciiTheme="majorHAnsi" w:eastAsiaTheme="majorEastAsia" w:hAnsiTheme="majorHAnsi" w:cstheme="majorBidi"/>
      <w:color w:val="365F91" w:themeColor="accent1" w:themeShade="BF"/>
      <w:sz w:val="32"/>
      <w:szCs w:val="32"/>
      <w:lang w:val="en-GB" w:eastAsia="en-US"/>
    </w:rPr>
  </w:style>
  <w:style w:type="character" w:customStyle="1" w:styleId="enumlev1Char">
    <w:name w:val="enumlev1 Char"/>
    <w:basedOn w:val="DefaultParagraphFont"/>
    <w:link w:val="enumlev1"/>
    <w:locked/>
    <w:rsid w:val="00E111A0"/>
    <w:rPr>
      <w:rFonts w:ascii="Calibri" w:eastAsia="SimSun" w:hAnsi="Calibri"/>
      <w:sz w:val="24"/>
      <w:lang w:val="en-GB" w:eastAsia="en-US"/>
    </w:rPr>
  </w:style>
  <w:style w:type="character" w:customStyle="1" w:styleId="RestitleChar">
    <w:name w:val="Res_title Char"/>
    <w:basedOn w:val="DefaultParagraphFont"/>
    <w:link w:val="Restitle"/>
    <w:locked/>
    <w:rsid w:val="00E02111"/>
    <w:rPr>
      <w:rFonts w:ascii="Calibri" w:eastAsia="SimSun" w:hAnsi="Calibri"/>
      <w:b/>
      <w:sz w:val="28"/>
      <w:lang w:val="en-GB" w:eastAsia="en-US"/>
    </w:rPr>
  </w:style>
  <w:style w:type="paragraph" w:styleId="TOCHeading">
    <w:name w:val="TOC Heading"/>
    <w:basedOn w:val="Heading1"/>
    <w:next w:val="Normal"/>
    <w:uiPriority w:val="39"/>
    <w:unhideWhenUsed/>
    <w:qFormat/>
    <w:rsid w:val="00A74DF9"/>
    <w:pPr>
      <w:tabs>
        <w:tab w:val="clear" w:pos="567"/>
        <w:tab w:val="clear" w:pos="1134"/>
        <w:tab w:val="clear" w:pos="1701"/>
        <w:tab w:val="clear" w:pos="2268"/>
        <w:tab w:val="clear" w:pos="283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transsent">
    <w:name w:val="transsent"/>
    <w:basedOn w:val="DefaultParagraphFont"/>
    <w:rsid w:val="00C512F1"/>
  </w:style>
  <w:style w:type="paragraph" w:customStyle="1" w:styleId="NormalCH">
    <w:name w:val="NormalCH"/>
    <w:basedOn w:val="Normal"/>
    <w:next w:val="Normal"/>
    <w:uiPriority w:val="99"/>
    <w:qFormat/>
    <w:rsid w:val="009630A9"/>
    <w:pPr>
      <w:tabs>
        <w:tab w:val="clear" w:pos="567"/>
        <w:tab w:val="clear" w:pos="1134"/>
        <w:tab w:val="clear" w:pos="1701"/>
        <w:tab w:val="clear" w:pos="2268"/>
        <w:tab w:val="clear" w:pos="2835"/>
        <w:tab w:val="left" w:pos="794"/>
        <w:tab w:val="left" w:pos="1191"/>
        <w:tab w:val="left" w:pos="1588"/>
        <w:tab w:val="left" w:pos="1985"/>
      </w:tabs>
      <w:ind w:firstLineChars="200" w:firstLine="200"/>
    </w:pPr>
    <w:rPr>
      <w:szCs w:val="19"/>
      <w:lang w:eastAsia="zh-CN"/>
    </w:rPr>
  </w:style>
  <w:style w:type="character" w:customStyle="1" w:styleId="AnnextitleChar">
    <w:name w:val="Annex_title Char"/>
    <w:basedOn w:val="DefaultParagraphFont"/>
    <w:link w:val="Annextitle"/>
    <w:locked/>
    <w:rsid w:val="009630A9"/>
    <w:rPr>
      <w:rFonts w:ascii="Calibri" w:eastAsia="SimSun" w:hAnsi="Calibri"/>
      <w:b/>
      <w:sz w:val="28"/>
      <w:lang w:val="en-GB" w:eastAsia="en-US"/>
    </w:rPr>
  </w:style>
  <w:style w:type="character" w:customStyle="1" w:styleId="TabletextChar">
    <w:name w:val="Table_text Char"/>
    <w:link w:val="Tabletext"/>
    <w:locked/>
    <w:rsid w:val="009630A9"/>
    <w:rPr>
      <w:rFonts w:ascii="Calibri" w:eastAsia="SimSun" w:hAnsi="Calibri"/>
      <w:sz w:val="22"/>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basedOn w:val="DefaultParagraphFont"/>
    <w:semiHidden/>
    <w:rsid w:val="009630A9"/>
    <w:rPr>
      <w:rFonts w:ascii="Calibri" w:hAnsi="Calibri"/>
      <w:lang w:val="en-GB" w:eastAsia="en-US"/>
    </w:rPr>
  </w:style>
  <w:style w:type="paragraph" w:styleId="EndnoteText">
    <w:name w:val="endnote text"/>
    <w:basedOn w:val="Normal"/>
    <w:link w:val="EndnoteTextChar"/>
    <w:uiPriority w:val="99"/>
    <w:semiHidden/>
    <w:unhideWhenUsed/>
    <w:rsid w:val="009630A9"/>
    <w:pPr>
      <w:tabs>
        <w:tab w:val="clear" w:pos="567"/>
        <w:tab w:val="clear" w:pos="1134"/>
        <w:tab w:val="clear" w:pos="1701"/>
        <w:tab w:val="clear" w:pos="2268"/>
        <w:tab w:val="clear" w:pos="2835"/>
        <w:tab w:val="left" w:pos="794"/>
        <w:tab w:val="left" w:pos="1191"/>
        <w:tab w:val="left" w:pos="1588"/>
        <w:tab w:val="left" w:pos="1985"/>
      </w:tabs>
      <w:jc w:val="both"/>
      <w:textAlignment w:val="auto"/>
    </w:pPr>
    <w:rPr>
      <w:rFonts w:ascii="Times New Roman" w:eastAsiaTheme="minorEastAsia" w:hAnsi="Times New Roman"/>
      <w:sz w:val="20"/>
    </w:rPr>
  </w:style>
  <w:style w:type="character" w:customStyle="1" w:styleId="EndnoteTextChar">
    <w:name w:val="Endnote Text Char"/>
    <w:basedOn w:val="DefaultParagraphFont"/>
    <w:link w:val="EndnoteText"/>
    <w:uiPriority w:val="99"/>
    <w:semiHidden/>
    <w:rsid w:val="009630A9"/>
    <w:rPr>
      <w:rFonts w:ascii="Times New Roman" w:hAnsi="Times New Roman"/>
      <w:lang w:val="en-GB" w:eastAsia="en-US"/>
    </w:rPr>
  </w:style>
  <w:style w:type="paragraph" w:styleId="ListBullet">
    <w:name w:val="List Bullet"/>
    <w:basedOn w:val="Normal"/>
    <w:autoRedefine/>
    <w:uiPriority w:val="99"/>
    <w:semiHidden/>
    <w:unhideWhenUsed/>
    <w:rsid w:val="009630A9"/>
    <w:pPr>
      <w:widowControl w:val="0"/>
      <w:tabs>
        <w:tab w:val="clear" w:pos="567"/>
        <w:tab w:val="clear" w:pos="1134"/>
        <w:tab w:val="clear" w:pos="1701"/>
        <w:tab w:val="clear" w:pos="2268"/>
        <w:tab w:val="clear" w:pos="2835"/>
        <w:tab w:val="num" w:pos="360"/>
      </w:tabs>
      <w:overflowPunct/>
      <w:autoSpaceDE/>
      <w:autoSpaceDN/>
      <w:adjustRightInd/>
      <w:snapToGrid w:val="0"/>
      <w:spacing w:before="100" w:after="100"/>
      <w:ind w:left="360" w:hanging="360"/>
      <w:textAlignment w:val="auto"/>
    </w:pPr>
    <w:rPr>
      <w:rFonts w:ascii="Times New Roman" w:eastAsia="Times New Roman" w:hAnsi="Times New Roman"/>
      <w:lang w:val="en-US"/>
    </w:rPr>
  </w:style>
  <w:style w:type="paragraph" w:styleId="ListNumber">
    <w:name w:val="List Number"/>
    <w:basedOn w:val="Normal"/>
    <w:uiPriority w:val="99"/>
    <w:unhideWhenUsed/>
    <w:rsid w:val="009630A9"/>
    <w:pPr>
      <w:widowControl w:val="0"/>
      <w:numPr>
        <w:numId w:val="3"/>
      </w:numPr>
      <w:tabs>
        <w:tab w:val="clear" w:pos="567"/>
        <w:tab w:val="clear" w:pos="1134"/>
        <w:tab w:val="clear" w:pos="1701"/>
        <w:tab w:val="clear" w:pos="2268"/>
        <w:tab w:val="clear" w:pos="283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2">
    <w:name w:val="List Bullet 2"/>
    <w:basedOn w:val="Normal"/>
    <w:autoRedefine/>
    <w:uiPriority w:val="99"/>
    <w:semiHidden/>
    <w:unhideWhenUsed/>
    <w:rsid w:val="009630A9"/>
    <w:pPr>
      <w:widowControl w:val="0"/>
      <w:numPr>
        <w:numId w:val="4"/>
      </w:numPr>
      <w:tabs>
        <w:tab w:val="clear" w:pos="567"/>
        <w:tab w:val="clear" w:pos="1134"/>
        <w:tab w:val="clear" w:pos="1701"/>
        <w:tab w:val="clear" w:pos="2268"/>
        <w:tab w:val="clear" w:pos="283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3">
    <w:name w:val="List Bullet 3"/>
    <w:basedOn w:val="Normal"/>
    <w:autoRedefine/>
    <w:uiPriority w:val="99"/>
    <w:semiHidden/>
    <w:unhideWhenUsed/>
    <w:rsid w:val="009630A9"/>
    <w:pPr>
      <w:widowControl w:val="0"/>
      <w:numPr>
        <w:numId w:val="5"/>
      </w:numPr>
      <w:tabs>
        <w:tab w:val="clear" w:pos="567"/>
        <w:tab w:val="clear" w:pos="1134"/>
        <w:tab w:val="clear" w:pos="1701"/>
        <w:tab w:val="clear" w:pos="2268"/>
        <w:tab w:val="clear" w:pos="283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4">
    <w:name w:val="List Bullet 4"/>
    <w:basedOn w:val="Normal"/>
    <w:autoRedefine/>
    <w:uiPriority w:val="99"/>
    <w:semiHidden/>
    <w:unhideWhenUsed/>
    <w:rsid w:val="009630A9"/>
    <w:pPr>
      <w:widowControl w:val="0"/>
      <w:numPr>
        <w:numId w:val="6"/>
      </w:numPr>
      <w:tabs>
        <w:tab w:val="clear" w:pos="567"/>
        <w:tab w:val="clear" w:pos="1134"/>
        <w:tab w:val="clear" w:pos="1701"/>
        <w:tab w:val="clear" w:pos="2268"/>
        <w:tab w:val="clear" w:pos="283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5">
    <w:name w:val="List Bullet 5"/>
    <w:basedOn w:val="Normal"/>
    <w:autoRedefine/>
    <w:uiPriority w:val="99"/>
    <w:semiHidden/>
    <w:unhideWhenUsed/>
    <w:rsid w:val="009630A9"/>
    <w:pPr>
      <w:widowControl w:val="0"/>
      <w:tabs>
        <w:tab w:val="clear" w:pos="567"/>
        <w:tab w:val="clear" w:pos="1134"/>
        <w:tab w:val="clear" w:pos="1701"/>
        <w:tab w:val="clear" w:pos="2268"/>
        <w:tab w:val="clear" w:pos="2835"/>
        <w:tab w:val="num" w:pos="1492"/>
      </w:tabs>
      <w:overflowPunct/>
      <w:autoSpaceDE/>
      <w:autoSpaceDN/>
      <w:adjustRightInd/>
      <w:snapToGrid w:val="0"/>
      <w:spacing w:before="100" w:after="100"/>
      <w:ind w:left="1492" w:hanging="360"/>
      <w:textAlignment w:val="auto"/>
    </w:pPr>
    <w:rPr>
      <w:rFonts w:ascii="Times New Roman" w:eastAsia="Times New Roman" w:hAnsi="Times New Roman"/>
      <w:lang w:val="en-US"/>
    </w:rPr>
  </w:style>
  <w:style w:type="paragraph" w:styleId="ListNumber2">
    <w:name w:val="List Number 2"/>
    <w:basedOn w:val="Normal"/>
    <w:uiPriority w:val="99"/>
    <w:semiHidden/>
    <w:unhideWhenUsed/>
    <w:rsid w:val="009630A9"/>
    <w:pPr>
      <w:widowControl w:val="0"/>
      <w:numPr>
        <w:numId w:val="7"/>
      </w:numPr>
      <w:tabs>
        <w:tab w:val="clear" w:pos="567"/>
        <w:tab w:val="clear" w:pos="1134"/>
        <w:tab w:val="clear" w:pos="1701"/>
        <w:tab w:val="clear" w:pos="2268"/>
        <w:tab w:val="clear" w:pos="283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Number3">
    <w:name w:val="List Number 3"/>
    <w:basedOn w:val="Normal"/>
    <w:uiPriority w:val="99"/>
    <w:semiHidden/>
    <w:unhideWhenUsed/>
    <w:rsid w:val="009630A9"/>
    <w:pPr>
      <w:widowControl w:val="0"/>
      <w:numPr>
        <w:numId w:val="8"/>
      </w:numPr>
      <w:tabs>
        <w:tab w:val="clear" w:pos="567"/>
        <w:tab w:val="clear" w:pos="1134"/>
        <w:tab w:val="clear" w:pos="1701"/>
        <w:tab w:val="clear" w:pos="2268"/>
        <w:tab w:val="clear" w:pos="283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Number4">
    <w:name w:val="List Number 4"/>
    <w:basedOn w:val="Normal"/>
    <w:uiPriority w:val="99"/>
    <w:semiHidden/>
    <w:unhideWhenUsed/>
    <w:rsid w:val="009630A9"/>
    <w:pPr>
      <w:widowControl w:val="0"/>
      <w:numPr>
        <w:numId w:val="9"/>
      </w:numPr>
      <w:tabs>
        <w:tab w:val="clear" w:pos="567"/>
        <w:tab w:val="clear" w:pos="1134"/>
        <w:tab w:val="clear" w:pos="1701"/>
        <w:tab w:val="clear" w:pos="2268"/>
        <w:tab w:val="clear" w:pos="283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Number5">
    <w:name w:val="List Number 5"/>
    <w:basedOn w:val="Normal"/>
    <w:uiPriority w:val="99"/>
    <w:semiHidden/>
    <w:unhideWhenUsed/>
    <w:rsid w:val="009630A9"/>
    <w:pPr>
      <w:widowControl w:val="0"/>
      <w:numPr>
        <w:numId w:val="10"/>
      </w:numPr>
      <w:tabs>
        <w:tab w:val="clear" w:pos="567"/>
        <w:tab w:val="clear" w:pos="1134"/>
        <w:tab w:val="clear" w:pos="1701"/>
        <w:tab w:val="clear" w:pos="2268"/>
        <w:tab w:val="clear" w:pos="283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BodyText2">
    <w:name w:val="Body Text 2"/>
    <w:basedOn w:val="Normal"/>
    <w:link w:val="BodyText2Char"/>
    <w:uiPriority w:val="99"/>
    <w:semiHidden/>
    <w:unhideWhenUsed/>
    <w:rsid w:val="009630A9"/>
    <w:pPr>
      <w:tabs>
        <w:tab w:val="clear" w:pos="567"/>
        <w:tab w:val="clear" w:pos="1134"/>
        <w:tab w:val="clear" w:pos="1701"/>
        <w:tab w:val="clear" w:pos="2268"/>
        <w:tab w:val="clear" w:pos="2835"/>
        <w:tab w:val="left" w:pos="794"/>
        <w:tab w:val="left" w:pos="1191"/>
        <w:tab w:val="left" w:pos="1588"/>
        <w:tab w:val="left" w:pos="1985"/>
      </w:tabs>
      <w:jc w:val="both"/>
      <w:textAlignment w:val="auto"/>
    </w:pPr>
    <w:rPr>
      <w:rFonts w:ascii="Times New Roman" w:eastAsia="Times New Roman" w:hAnsi="Times New Roman"/>
      <w:sz w:val="22"/>
    </w:rPr>
  </w:style>
  <w:style w:type="character" w:customStyle="1" w:styleId="BodyText2Char">
    <w:name w:val="Body Text 2 Char"/>
    <w:basedOn w:val="DefaultParagraphFont"/>
    <w:link w:val="BodyText2"/>
    <w:uiPriority w:val="99"/>
    <w:semiHidden/>
    <w:rsid w:val="009630A9"/>
    <w:rPr>
      <w:rFonts w:ascii="Times New Roman" w:eastAsia="Times New Roman" w:hAnsi="Times New Roman"/>
      <w:sz w:val="22"/>
      <w:lang w:val="en-GB" w:eastAsia="en-US"/>
    </w:rPr>
  </w:style>
  <w:style w:type="paragraph" w:styleId="BodyTextIndent2">
    <w:name w:val="Body Text Indent 2"/>
    <w:basedOn w:val="Normal"/>
    <w:link w:val="BodyTextIndent2Char"/>
    <w:uiPriority w:val="99"/>
    <w:semiHidden/>
    <w:unhideWhenUsed/>
    <w:rsid w:val="009630A9"/>
    <w:pPr>
      <w:widowControl w:val="0"/>
      <w:tabs>
        <w:tab w:val="clear" w:pos="567"/>
        <w:tab w:val="clear" w:pos="1134"/>
        <w:tab w:val="clear" w:pos="1701"/>
        <w:tab w:val="clear" w:pos="2268"/>
        <w:tab w:val="clear" w:pos="283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semiHidden/>
    <w:rsid w:val="009630A9"/>
    <w:rPr>
      <w:rFonts w:ascii="Times New Roman" w:hAnsi="Times New Roman"/>
      <w:sz w:val="24"/>
      <w:szCs w:val="24"/>
    </w:rPr>
  </w:style>
  <w:style w:type="paragraph" w:styleId="DocumentMap">
    <w:name w:val="Document Map"/>
    <w:basedOn w:val="Normal"/>
    <w:link w:val="DocumentMapChar"/>
    <w:uiPriority w:val="99"/>
    <w:semiHidden/>
    <w:unhideWhenUsed/>
    <w:rsid w:val="009630A9"/>
    <w:pPr>
      <w:shd w:val="clear" w:color="auto" w:fill="000080"/>
      <w:tabs>
        <w:tab w:val="clear" w:pos="567"/>
        <w:tab w:val="clear" w:pos="1134"/>
        <w:tab w:val="clear" w:pos="1701"/>
        <w:tab w:val="clear" w:pos="2268"/>
        <w:tab w:val="clear" w:pos="2835"/>
        <w:tab w:val="left" w:pos="794"/>
        <w:tab w:val="left" w:pos="1191"/>
        <w:tab w:val="left" w:pos="1588"/>
        <w:tab w:val="left" w:pos="1985"/>
      </w:tabs>
      <w:textAlignment w:val="auto"/>
    </w:pPr>
    <w:rPr>
      <w:rFonts w:ascii="Tahoma" w:eastAsia="Times New Roman" w:hAnsi="Tahoma" w:cs="Tahoma"/>
    </w:rPr>
  </w:style>
  <w:style w:type="character" w:customStyle="1" w:styleId="DocumentMapChar">
    <w:name w:val="Document Map Char"/>
    <w:basedOn w:val="DefaultParagraphFont"/>
    <w:link w:val="DocumentMap"/>
    <w:uiPriority w:val="99"/>
    <w:semiHidden/>
    <w:rsid w:val="009630A9"/>
    <w:rPr>
      <w:rFonts w:ascii="Tahoma" w:eastAsia="Times New Roman" w:hAnsi="Tahoma" w:cs="Tahoma"/>
      <w:sz w:val="24"/>
      <w:shd w:val="clear" w:color="auto" w:fill="000080"/>
      <w:lang w:val="en-GB" w:eastAsia="en-US"/>
    </w:rPr>
  </w:style>
  <w:style w:type="paragraph" w:styleId="Quote">
    <w:name w:val="Quote"/>
    <w:basedOn w:val="Normal"/>
    <w:next w:val="Normal"/>
    <w:link w:val="QuoteChar"/>
    <w:uiPriority w:val="29"/>
    <w:qFormat/>
    <w:rsid w:val="009630A9"/>
    <w:pPr>
      <w:spacing w:before="200" w:after="160"/>
      <w:ind w:left="864" w:right="864"/>
      <w:jc w:val="center"/>
      <w:textAlignment w:val="auto"/>
    </w:pPr>
    <w:rPr>
      <w:rFonts w:eastAsiaTheme="minorEastAsia"/>
      <w:i/>
      <w:iCs/>
      <w:color w:val="404040" w:themeColor="text1" w:themeTint="BF"/>
    </w:rPr>
  </w:style>
  <w:style w:type="character" w:customStyle="1" w:styleId="QuoteChar">
    <w:name w:val="Quote Char"/>
    <w:basedOn w:val="DefaultParagraphFont"/>
    <w:link w:val="Quote"/>
    <w:uiPriority w:val="29"/>
    <w:rsid w:val="009630A9"/>
    <w:rPr>
      <w:rFonts w:ascii="Calibri" w:hAnsi="Calibri"/>
      <w:i/>
      <w:iCs/>
      <w:color w:val="404040" w:themeColor="text1" w:themeTint="BF"/>
      <w:sz w:val="24"/>
      <w:lang w:val="en-GB" w:eastAsia="en-US"/>
    </w:rPr>
  </w:style>
  <w:style w:type="character" w:customStyle="1" w:styleId="ResNoChar">
    <w:name w:val="Res_No Char"/>
    <w:basedOn w:val="DefaultParagraphFont"/>
    <w:link w:val="ResNo"/>
    <w:locked/>
    <w:rsid w:val="009630A9"/>
    <w:rPr>
      <w:rFonts w:ascii="Calibri" w:eastAsia="SimSun" w:hAnsi="Calibri"/>
      <w:caps/>
      <w:sz w:val="28"/>
      <w:lang w:val="en-GB" w:eastAsia="en-US"/>
    </w:rPr>
  </w:style>
  <w:style w:type="character" w:customStyle="1" w:styleId="headingbChar">
    <w:name w:val="heading_b Char"/>
    <w:basedOn w:val="DefaultParagraphFont"/>
    <w:link w:val="headingb0"/>
    <w:uiPriority w:val="99"/>
    <w:locked/>
    <w:rsid w:val="009630A9"/>
    <w:rPr>
      <w:rFonts w:ascii="Times New Roman" w:eastAsia="SimSun" w:hAnsi="Times New Roman"/>
      <w:b/>
      <w:sz w:val="24"/>
      <w:lang w:val="fr-FR" w:eastAsia="en-US"/>
    </w:rPr>
  </w:style>
  <w:style w:type="paragraph" w:customStyle="1" w:styleId="nlist">
    <w:name w:val="nlist"/>
    <w:basedOn w:val="Normal"/>
    <w:uiPriority w:val="99"/>
    <w:rsid w:val="009630A9"/>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Times New Roman" w:hAnsi="Verdana"/>
      <w:sz w:val="18"/>
      <w:szCs w:val="18"/>
      <w:lang w:val="en-US"/>
    </w:rPr>
  </w:style>
  <w:style w:type="paragraph" w:customStyle="1" w:styleId="P2">
    <w:name w:val="P2"/>
    <w:basedOn w:val="Normal"/>
    <w:uiPriority w:val="99"/>
    <w:rsid w:val="009630A9"/>
    <w:pPr>
      <w:tabs>
        <w:tab w:val="clear" w:pos="567"/>
        <w:tab w:val="clear" w:pos="1134"/>
        <w:tab w:val="clear" w:pos="1701"/>
        <w:tab w:val="clear" w:pos="2268"/>
        <w:tab w:val="clear" w:pos="2835"/>
      </w:tabs>
      <w:spacing w:before="240"/>
      <w:ind w:left="1247"/>
      <w:jc w:val="both"/>
      <w:textAlignment w:val="auto"/>
    </w:pPr>
    <w:rPr>
      <w:rFonts w:ascii="Arial" w:eastAsia="Times New Roman" w:hAnsi="Arial"/>
      <w:sz w:val="22"/>
      <w:lang w:val="fr-FR" w:eastAsia="fr-FR"/>
    </w:rPr>
  </w:style>
  <w:style w:type="paragraph" w:customStyle="1" w:styleId="TableTitle0">
    <w:name w:val="Table_Title"/>
    <w:basedOn w:val="Normal"/>
    <w:next w:val="TableText0"/>
    <w:uiPriority w:val="99"/>
    <w:rsid w:val="009630A9"/>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textAlignment w:val="auto"/>
    </w:pPr>
    <w:rPr>
      <w:b/>
      <w:lang w:val="fr-FR"/>
    </w:rPr>
  </w:style>
  <w:style w:type="paragraph" w:customStyle="1" w:styleId="xl63">
    <w:name w:val="xl63"/>
    <w:basedOn w:val="Normal"/>
    <w:uiPriority w:val="99"/>
    <w:rsid w:val="009630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4">
    <w:name w:val="xl64"/>
    <w:basedOn w:val="Normal"/>
    <w:uiPriority w:val="99"/>
    <w:rsid w:val="009630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plist">
    <w:name w:val="plist"/>
    <w:basedOn w:val="Normal"/>
    <w:uiPriority w:val="99"/>
    <w:rsid w:val="009630A9"/>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Times New Roman" w:hAnsi="Verdana"/>
      <w:sz w:val="18"/>
      <w:szCs w:val="18"/>
      <w:lang w:val="en-US" w:eastAsia="zh-CN"/>
    </w:rPr>
  </w:style>
  <w:style w:type="paragraph" w:customStyle="1" w:styleId="Style7">
    <w:name w:val="Style7"/>
    <w:basedOn w:val="Normal"/>
    <w:uiPriority w:val="99"/>
    <w:rsid w:val="009630A9"/>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Times New Roman" w:hAnsi="Times New Roman"/>
      <w:sz w:val="22"/>
      <w:szCs w:val="22"/>
      <w:lang w:val="fr-CH"/>
    </w:rPr>
  </w:style>
  <w:style w:type="paragraph" w:customStyle="1" w:styleId="call0">
    <w:name w:val="call"/>
    <w:basedOn w:val="Normal"/>
    <w:next w:val="Normal"/>
    <w:rsid w:val="009630A9"/>
    <w:pPr>
      <w:keepNext/>
      <w:keepLines/>
      <w:tabs>
        <w:tab w:val="clear" w:pos="567"/>
        <w:tab w:val="clear" w:pos="1134"/>
        <w:tab w:val="clear" w:pos="1701"/>
        <w:tab w:val="clear" w:pos="2268"/>
        <w:tab w:val="clear" w:pos="2835"/>
        <w:tab w:val="left" w:pos="794"/>
        <w:tab w:val="left" w:pos="1191"/>
        <w:tab w:val="left" w:pos="1588"/>
        <w:tab w:val="left" w:pos="1985"/>
      </w:tabs>
      <w:spacing w:before="160" w:line="0" w:lineRule="atLeast"/>
      <w:ind w:left="794"/>
      <w:textAlignment w:val="auto"/>
    </w:pPr>
    <w:rPr>
      <w:rFonts w:ascii="Times New Roman" w:eastAsia="STKaiti" w:hAnsi="Times New Roman"/>
      <w:lang w:val="fr-FR"/>
    </w:rPr>
  </w:style>
  <w:style w:type="paragraph" w:customStyle="1" w:styleId="xl94">
    <w:name w:val="xl94"/>
    <w:basedOn w:val="Normal"/>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5">
    <w:name w:val="xl95"/>
    <w:basedOn w:val="Normal"/>
    <w:rsid w:val="009630A9"/>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6">
    <w:name w:val="xl96"/>
    <w:basedOn w:val="Normal"/>
    <w:rsid w:val="009630A9"/>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7">
    <w:name w:val="xl97"/>
    <w:basedOn w:val="Normal"/>
    <w:rsid w:val="009630A9"/>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8">
    <w:name w:val="xl98"/>
    <w:basedOn w:val="Normal"/>
    <w:rsid w:val="009630A9"/>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9">
    <w:name w:val="xl99"/>
    <w:basedOn w:val="Normal"/>
    <w:rsid w:val="009630A9"/>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0">
    <w:name w:val="xl100"/>
    <w:basedOn w:val="Normal"/>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imes New Roman" w:hAnsi="Century Gothic"/>
      <w:sz w:val="16"/>
      <w:szCs w:val="16"/>
      <w:lang w:val="en-US" w:eastAsia="zh-CN"/>
    </w:rPr>
  </w:style>
  <w:style w:type="paragraph" w:customStyle="1" w:styleId="xl101">
    <w:name w:val="xl101"/>
    <w:basedOn w:val="Normal"/>
    <w:rsid w:val="009630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2">
    <w:name w:val="xl102"/>
    <w:basedOn w:val="Normal"/>
    <w:rsid w:val="009630A9"/>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3">
    <w:name w:val="xl103"/>
    <w:basedOn w:val="Normal"/>
    <w:rsid w:val="009630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color w:val="FF0000"/>
      <w:sz w:val="16"/>
      <w:szCs w:val="16"/>
      <w:lang w:val="en-US" w:eastAsia="zh-CN"/>
    </w:rPr>
  </w:style>
  <w:style w:type="paragraph" w:customStyle="1" w:styleId="xl104">
    <w:name w:val="xl104"/>
    <w:basedOn w:val="Normal"/>
    <w:rsid w:val="009630A9"/>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b/>
      <w:bCs/>
      <w:sz w:val="16"/>
      <w:szCs w:val="16"/>
      <w:lang w:val="en-US" w:eastAsia="zh-CN"/>
    </w:rPr>
  </w:style>
  <w:style w:type="paragraph" w:customStyle="1" w:styleId="xl105">
    <w:name w:val="xl105"/>
    <w:basedOn w:val="Normal"/>
    <w:rsid w:val="009630A9"/>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b/>
      <w:bCs/>
      <w:sz w:val="16"/>
      <w:szCs w:val="16"/>
      <w:lang w:val="en-US" w:eastAsia="zh-CN"/>
    </w:rPr>
  </w:style>
  <w:style w:type="paragraph" w:customStyle="1" w:styleId="xl106">
    <w:name w:val="xl106"/>
    <w:basedOn w:val="Normal"/>
    <w:rsid w:val="009630A9"/>
    <w:pPr>
      <w:pBdr>
        <w:top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b/>
      <w:bCs/>
      <w:sz w:val="16"/>
      <w:szCs w:val="16"/>
      <w:lang w:val="en-US" w:eastAsia="zh-CN"/>
    </w:rPr>
  </w:style>
  <w:style w:type="paragraph" w:customStyle="1" w:styleId="Committee">
    <w:name w:val="Committee"/>
    <w:basedOn w:val="Normal"/>
    <w:uiPriority w:val="99"/>
    <w:qFormat/>
    <w:rsid w:val="009630A9"/>
    <w:pPr>
      <w:tabs>
        <w:tab w:val="clear" w:pos="567"/>
        <w:tab w:val="clear" w:pos="1134"/>
        <w:tab w:val="clear" w:pos="1701"/>
        <w:tab w:val="clear" w:pos="2268"/>
        <w:tab w:val="clear" w:pos="2835"/>
        <w:tab w:val="left" w:pos="794"/>
        <w:tab w:val="left" w:pos="1191"/>
        <w:tab w:val="left" w:pos="1588"/>
        <w:tab w:val="left" w:pos="1985"/>
      </w:tabs>
      <w:textAlignment w:val="auto"/>
    </w:pPr>
    <w:rPr>
      <w:rFonts w:asciiTheme="minorHAnsi" w:eastAsia="Times New Roman" w:hAnsiTheme="minorHAnsi" w:cs="Times New Roman Bold"/>
      <w:b/>
      <w:caps/>
    </w:rPr>
  </w:style>
  <w:style w:type="paragraph" w:customStyle="1" w:styleId="CEOcontributionStart">
    <w:name w:val="CEO_contributionStart"/>
    <w:basedOn w:val="Normal"/>
    <w:uiPriority w:val="99"/>
    <w:rsid w:val="009630A9"/>
    <w:pPr>
      <w:tabs>
        <w:tab w:val="clear" w:pos="567"/>
        <w:tab w:val="clear" w:pos="1134"/>
        <w:tab w:val="clear" w:pos="1701"/>
        <w:tab w:val="clear" w:pos="2268"/>
        <w:tab w:val="clear" w:pos="283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uiPriority w:val="99"/>
    <w:rsid w:val="009630A9"/>
    <w:pPr>
      <w:tabs>
        <w:tab w:val="clear" w:pos="567"/>
        <w:tab w:val="clear" w:pos="1134"/>
        <w:tab w:val="clear" w:pos="1701"/>
        <w:tab w:val="clear" w:pos="2268"/>
        <w:tab w:val="clear" w:pos="2835"/>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uiPriority w:val="99"/>
    <w:rsid w:val="009630A9"/>
    <w:pPr>
      <w:tabs>
        <w:tab w:val="clear" w:pos="567"/>
        <w:tab w:val="clear" w:pos="1134"/>
        <w:tab w:val="clear" w:pos="1701"/>
        <w:tab w:val="clear" w:pos="2268"/>
        <w:tab w:val="clear" w:pos="2835"/>
        <w:tab w:val="left" w:pos="993"/>
      </w:tabs>
      <w:spacing w:before="240"/>
      <w:ind w:left="993" w:hanging="993"/>
      <w:textAlignment w:val="auto"/>
    </w:pPr>
    <w:rPr>
      <w:rFonts w:ascii="Arial" w:eastAsia="Times New Roman" w:hAnsi="Arial"/>
      <w:sz w:val="22"/>
      <w:szCs w:val="22"/>
    </w:rPr>
  </w:style>
  <w:style w:type="paragraph" w:customStyle="1" w:styleId="Normalaftertitle0">
    <w:name w:val="Normal_after_title"/>
    <w:basedOn w:val="Normal"/>
    <w:next w:val="Normal"/>
    <w:uiPriority w:val="99"/>
    <w:rsid w:val="009630A9"/>
    <w:pPr>
      <w:tabs>
        <w:tab w:val="clear" w:pos="567"/>
        <w:tab w:val="clear" w:pos="1134"/>
        <w:tab w:val="clear" w:pos="1701"/>
        <w:tab w:val="clear" w:pos="2268"/>
        <w:tab w:val="clear" w:pos="2835"/>
        <w:tab w:val="left" w:pos="794"/>
        <w:tab w:val="left" w:pos="1191"/>
        <w:tab w:val="left" w:pos="1588"/>
        <w:tab w:val="left" w:pos="1985"/>
      </w:tabs>
      <w:spacing w:before="360"/>
      <w:textAlignment w:val="auto"/>
    </w:pPr>
    <w:rPr>
      <w:rFonts w:ascii="Times New Roman" w:eastAsia="Times New Roman" w:hAnsi="Times New Roman"/>
    </w:rPr>
  </w:style>
  <w:style w:type="character" w:customStyle="1" w:styleId="TabletitleBRChar">
    <w:name w:val="Table_title_BR Char"/>
    <w:link w:val="TabletitleBR"/>
    <w:locked/>
    <w:rsid w:val="009630A9"/>
    <w:rPr>
      <w:rFonts w:ascii="Times New Roman" w:eastAsia="Times New Roman" w:hAnsi="Times New Roman"/>
      <w:b/>
      <w:sz w:val="24"/>
      <w:lang w:val="en-GB" w:eastAsia="en-US"/>
    </w:rPr>
  </w:style>
  <w:style w:type="paragraph" w:customStyle="1" w:styleId="TabletitleBR">
    <w:name w:val="Table_title_BR"/>
    <w:basedOn w:val="Normal"/>
    <w:next w:val="Tablehead"/>
    <w:link w:val="TabletitleBRChar"/>
    <w:rsid w:val="009630A9"/>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textAlignment w:val="auto"/>
    </w:pPr>
    <w:rPr>
      <w:rFonts w:ascii="Times New Roman" w:eastAsia="Times New Roman" w:hAnsi="Times New Roman"/>
      <w:b/>
    </w:rPr>
  </w:style>
  <w:style w:type="character" w:customStyle="1" w:styleId="AnnexNotitleChar">
    <w:name w:val="Annex_No &amp; title Char"/>
    <w:link w:val="AnnexNotitle"/>
    <w:locked/>
    <w:rsid w:val="009630A9"/>
    <w:rPr>
      <w:rFonts w:ascii="Times New Roman" w:eastAsia="Times New Roman" w:hAnsi="Times New Roman"/>
      <w:b/>
      <w:sz w:val="28"/>
      <w:lang w:val="en-GB" w:eastAsia="en-US"/>
    </w:rPr>
  </w:style>
  <w:style w:type="paragraph" w:customStyle="1" w:styleId="AnnexNotitle">
    <w:name w:val="Annex_No &amp; title"/>
    <w:basedOn w:val="Normal"/>
    <w:next w:val="Normalaftertitle0"/>
    <w:link w:val="AnnexNotitleChar"/>
    <w:rsid w:val="009630A9"/>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textAlignment w:val="auto"/>
    </w:pPr>
    <w:rPr>
      <w:rFonts w:ascii="Times New Roman" w:eastAsia="Times New Roman" w:hAnsi="Times New Roman"/>
      <w:b/>
      <w:sz w:val="28"/>
    </w:rPr>
  </w:style>
  <w:style w:type="character" w:customStyle="1" w:styleId="TableNoBRChar">
    <w:name w:val="Table_No_BR Char"/>
    <w:link w:val="TableNoBR"/>
    <w:locked/>
    <w:rsid w:val="009630A9"/>
    <w:rPr>
      <w:rFonts w:ascii="Times New Roman" w:eastAsia="Times New Roman" w:hAnsi="Times New Roman"/>
      <w:caps/>
      <w:sz w:val="24"/>
      <w:lang w:val="en-GB" w:eastAsia="en-US"/>
    </w:rPr>
  </w:style>
  <w:style w:type="paragraph" w:customStyle="1" w:styleId="TableNoBR">
    <w:name w:val="Table_No_BR"/>
    <w:basedOn w:val="Normal"/>
    <w:next w:val="TabletitleBR"/>
    <w:link w:val="TableNoBRChar"/>
    <w:rsid w:val="009630A9"/>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textAlignment w:val="auto"/>
    </w:pPr>
    <w:rPr>
      <w:rFonts w:ascii="Times New Roman" w:eastAsia="Times New Roman" w:hAnsi="Times New Roman"/>
      <w:caps/>
    </w:rPr>
  </w:style>
  <w:style w:type="paragraph" w:customStyle="1" w:styleId="FigureNotitle">
    <w:name w:val="Figure_No &amp; title"/>
    <w:basedOn w:val="Normal"/>
    <w:next w:val="Normalaftertitle0"/>
    <w:uiPriority w:val="99"/>
    <w:rsid w:val="009630A9"/>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textAlignment w:val="auto"/>
    </w:pPr>
    <w:rPr>
      <w:rFonts w:ascii="Times New Roman" w:eastAsia="Times New Roman" w:hAnsi="Times New Roman"/>
      <w:b/>
    </w:rPr>
  </w:style>
  <w:style w:type="paragraph" w:customStyle="1" w:styleId="AppendixNotitle">
    <w:name w:val="Appendix_No &amp; title"/>
    <w:basedOn w:val="AnnexNotitle"/>
    <w:next w:val="Normalaftertitle0"/>
    <w:uiPriority w:val="99"/>
    <w:rsid w:val="009630A9"/>
  </w:style>
  <w:style w:type="paragraph" w:customStyle="1" w:styleId="FooterQP">
    <w:name w:val="Footer_QP"/>
    <w:basedOn w:val="Normal"/>
    <w:uiPriority w:val="99"/>
    <w:rsid w:val="009630A9"/>
    <w:pPr>
      <w:tabs>
        <w:tab w:val="clear" w:pos="567"/>
        <w:tab w:val="clear" w:pos="1134"/>
        <w:tab w:val="clear" w:pos="1701"/>
        <w:tab w:val="clear" w:pos="2268"/>
        <w:tab w:val="clear" w:pos="2835"/>
        <w:tab w:val="left" w:pos="907"/>
        <w:tab w:val="right" w:pos="8789"/>
        <w:tab w:val="right" w:pos="9639"/>
      </w:tabs>
      <w:spacing w:before="0"/>
      <w:textAlignment w:val="auto"/>
    </w:pPr>
    <w:rPr>
      <w:rFonts w:ascii="Times New Roman" w:eastAsia="Times New Roman" w:hAnsi="Times New Roman"/>
      <w:b/>
      <w:sz w:val="22"/>
    </w:rPr>
  </w:style>
  <w:style w:type="paragraph" w:customStyle="1" w:styleId="ASN1">
    <w:name w:val="ASN.1"/>
    <w:basedOn w:val="Normal"/>
    <w:uiPriority w:val="99"/>
    <w:rsid w:val="009630A9"/>
    <w:pPr>
      <w:tabs>
        <w:tab w:val="left" w:pos="794"/>
        <w:tab w:val="left" w:pos="1191"/>
        <w:tab w:val="left" w:pos="1588"/>
        <w:tab w:val="left" w:pos="1985"/>
        <w:tab w:val="left" w:pos="3402"/>
        <w:tab w:val="left" w:pos="3969"/>
        <w:tab w:val="left" w:pos="4536"/>
        <w:tab w:val="left" w:pos="5103"/>
        <w:tab w:val="left" w:pos="5670"/>
      </w:tabs>
      <w:spacing w:before="0"/>
      <w:textAlignment w:val="auto"/>
    </w:pPr>
    <w:rPr>
      <w:rFonts w:ascii="Courier New" w:eastAsia="Times New Roman" w:hAnsi="Courier New"/>
      <w:b/>
      <w:noProof/>
      <w:sz w:val="20"/>
    </w:rPr>
  </w:style>
  <w:style w:type="paragraph" w:customStyle="1" w:styleId="Formal">
    <w:name w:val="Formal"/>
    <w:basedOn w:val="ASN1"/>
    <w:uiPriority w:val="99"/>
    <w:rsid w:val="009630A9"/>
    <w:rPr>
      <w:b w:val="0"/>
    </w:rPr>
  </w:style>
  <w:style w:type="paragraph" w:customStyle="1" w:styleId="RecNoBR">
    <w:name w:val="Rec_No_BR"/>
    <w:basedOn w:val="Normal"/>
    <w:next w:val="Rectitle"/>
    <w:uiPriority w:val="99"/>
    <w:rsid w:val="009630A9"/>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textAlignment w:val="auto"/>
    </w:pPr>
    <w:rPr>
      <w:rFonts w:ascii="Times New Roman" w:eastAsia="Times New Roman" w:hAnsi="Times New Roman"/>
      <w:caps/>
      <w:sz w:val="28"/>
    </w:rPr>
  </w:style>
  <w:style w:type="paragraph" w:customStyle="1" w:styleId="QuestionNoBR">
    <w:name w:val="Question_No_BR"/>
    <w:basedOn w:val="RecNoBR"/>
    <w:next w:val="Questiontitle"/>
    <w:uiPriority w:val="99"/>
    <w:rsid w:val="009630A9"/>
  </w:style>
  <w:style w:type="paragraph" w:customStyle="1" w:styleId="RepNoBR">
    <w:name w:val="Rep_No_BR"/>
    <w:basedOn w:val="RecNoBR"/>
    <w:next w:val="Reptitle"/>
    <w:uiPriority w:val="99"/>
    <w:rsid w:val="009630A9"/>
  </w:style>
  <w:style w:type="paragraph" w:customStyle="1" w:styleId="ResNoBR">
    <w:name w:val="Res_No_BR"/>
    <w:basedOn w:val="RecNoBR"/>
    <w:next w:val="Restitle"/>
    <w:uiPriority w:val="99"/>
    <w:rsid w:val="009630A9"/>
  </w:style>
  <w:style w:type="paragraph" w:customStyle="1" w:styleId="Section1">
    <w:name w:val="Section_1"/>
    <w:basedOn w:val="Normal"/>
    <w:next w:val="Normal"/>
    <w:uiPriority w:val="99"/>
    <w:rsid w:val="009630A9"/>
    <w:pPr>
      <w:tabs>
        <w:tab w:val="clear" w:pos="567"/>
        <w:tab w:val="clear" w:pos="1134"/>
        <w:tab w:val="clear" w:pos="1701"/>
        <w:tab w:val="clear" w:pos="2268"/>
        <w:tab w:val="clear" w:pos="2835"/>
      </w:tabs>
      <w:spacing w:before="624"/>
      <w:jc w:val="center"/>
      <w:textAlignment w:val="auto"/>
    </w:pPr>
    <w:rPr>
      <w:rFonts w:ascii="Times New Roman" w:eastAsia="Times New Roman" w:hAnsi="Times New Roman"/>
      <w:b/>
    </w:rPr>
  </w:style>
  <w:style w:type="paragraph" w:customStyle="1" w:styleId="Section2">
    <w:name w:val="Section_2"/>
    <w:basedOn w:val="Normal"/>
    <w:next w:val="Normal"/>
    <w:uiPriority w:val="99"/>
    <w:rsid w:val="009630A9"/>
    <w:pPr>
      <w:tabs>
        <w:tab w:val="clear" w:pos="567"/>
        <w:tab w:val="clear" w:pos="1134"/>
        <w:tab w:val="clear" w:pos="1701"/>
        <w:tab w:val="clear" w:pos="2268"/>
        <w:tab w:val="clear" w:pos="2835"/>
      </w:tabs>
      <w:spacing w:before="240"/>
      <w:jc w:val="center"/>
      <w:textAlignment w:val="auto"/>
    </w:pPr>
    <w:rPr>
      <w:rFonts w:ascii="Times New Roman" w:eastAsia="Times New Roman" w:hAnsi="Times New Roman"/>
      <w:i/>
    </w:rPr>
  </w:style>
  <w:style w:type="paragraph" w:customStyle="1" w:styleId="TableNotitle">
    <w:name w:val="Table_No &amp; title"/>
    <w:basedOn w:val="Normal"/>
    <w:next w:val="Tablehead"/>
    <w:uiPriority w:val="99"/>
    <w:rsid w:val="009630A9"/>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textAlignment w:val="auto"/>
    </w:pPr>
    <w:rPr>
      <w:rFonts w:ascii="Times New Roman" w:eastAsia="Times New Roman" w:hAnsi="Times New Roman"/>
      <w:b/>
    </w:rPr>
  </w:style>
  <w:style w:type="paragraph" w:customStyle="1" w:styleId="FiguretitleBR">
    <w:name w:val="Figure_title_BR"/>
    <w:basedOn w:val="TabletitleBR"/>
    <w:next w:val="Figurewithouttitle"/>
    <w:uiPriority w:val="99"/>
    <w:rsid w:val="009630A9"/>
    <w:pPr>
      <w:keepNext w:val="0"/>
      <w:spacing w:after="480"/>
    </w:pPr>
  </w:style>
  <w:style w:type="paragraph" w:customStyle="1" w:styleId="FigureNoBR">
    <w:name w:val="Figure_No_BR"/>
    <w:basedOn w:val="Normal"/>
    <w:next w:val="FiguretitleBR"/>
    <w:uiPriority w:val="99"/>
    <w:rsid w:val="009630A9"/>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textAlignment w:val="auto"/>
    </w:pPr>
    <w:rPr>
      <w:rFonts w:ascii="Times New Roman" w:eastAsia="Times New Roman" w:hAnsi="Times New Roman"/>
      <w:caps/>
    </w:rPr>
  </w:style>
  <w:style w:type="paragraph" w:customStyle="1" w:styleId="H2">
    <w:name w:val="H2"/>
    <w:basedOn w:val="Normal"/>
    <w:next w:val="Normal"/>
    <w:uiPriority w:val="99"/>
    <w:rsid w:val="009630A9"/>
    <w:pPr>
      <w:keepNext/>
      <w:widowControl w:val="0"/>
      <w:tabs>
        <w:tab w:val="clear" w:pos="567"/>
        <w:tab w:val="clear" w:pos="1134"/>
        <w:tab w:val="clear" w:pos="1701"/>
        <w:tab w:val="clear" w:pos="2268"/>
        <w:tab w:val="clear" w:pos="2835"/>
      </w:tabs>
      <w:overflowPunct/>
      <w:autoSpaceDE/>
      <w:autoSpaceDN/>
      <w:adjustRightInd/>
      <w:snapToGrid w:val="0"/>
      <w:spacing w:before="100" w:after="100"/>
      <w:textAlignment w:val="auto"/>
      <w:outlineLvl w:val="2"/>
    </w:pPr>
    <w:rPr>
      <w:rFonts w:ascii="Times New Roman" w:eastAsia="Times New Roman" w:hAnsi="Times New Roman"/>
      <w:b/>
      <w:sz w:val="36"/>
      <w:lang w:val="en-US"/>
    </w:rPr>
  </w:style>
  <w:style w:type="paragraph" w:customStyle="1" w:styleId="Blockquote">
    <w:name w:val="Blockquote"/>
    <w:basedOn w:val="Normal"/>
    <w:uiPriority w:val="99"/>
    <w:rsid w:val="009630A9"/>
    <w:pPr>
      <w:widowControl w:val="0"/>
      <w:tabs>
        <w:tab w:val="clear" w:pos="567"/>
        <w:tab w:val="clear" w:pos="1134"/>
        <w:tab w:val="clear" w:pos="1701"/>
        <w:tab w:val="clear" w:pos="2268"/>
        <w:tab w:val="clear" w:pos="2835"/>
      </w:tabs>
      <w:overflowPunct/>
      <w:autoSpaceDE/>
      <w:autoSpaceDN/>
      <w:adjustRightInd/>
      <w:snapToGrid w:val="0"/>
      <w:spacing w:before="100" w:after="100"/>
      <w:ind w:left="360" w:right="360"/>
      <w:textAlignment w:val="auto"/>
    </w:pPr>
    <w:rPr>
      <w:rFonts w:ascii="Times New Roman" w:eastAsia="Times New Roman" w:hAnsi="Times New Roman"/>
      <w:lang w:val="en-US"/>
    </w:rPr>
  </w:style>
  <w:style w:type="paragraph" w:customStyle="1" w:styleId="H4">
    <w:name w:val="H4"/>
    <w:basedOn w:val="Normal"/>
    <w:next w:val="Normal"/>
    <w:uiPriority w:val="99"/>
    <w:rsid w:val="009630A9"/>
    <w:pPr>
      <w:keepNext/>
      <w:widowControl w:val="0"/>
      <w:tabs>
        <w:tab w:val="clear" w:pos="567"/>
        <w:tab w:val="clear" w:pos="1134"/>
        <w:tab w:val="clear" w:pos="1701"/>
        <w:tab w:val="clear" w:pos="2268"/>
        <w:tab w:val="clear" w:pos="2835"/>
      </w:tabs>
      <w:overflowPunct/>
      <w:autoSpaceDE/>
      <w:autoSpaceDN/>
      <w:adjustRightInd/>
      <w:snapToGrid w:val="0"/>
      <w:spacing w:before="100" w:after="100"/>
      <w:textAlignment w:val="auto"/>
      <w:outlineLvl w:val="4"/>
    </w:pPr>
    <w:rPr>
      <w:rFonts w:ascii="Times New Roman" w:eastAsia="Times New Roman" w:hAnsi="Times New Roman"/>
      <w:b/>
      <w:lang w:val="en-US"/>
    </w:rPr>
  </w:style>
  <w:style w:type="paragraph" w:customStyle="1" w:styleId="H3">
    <w:name w:val="H3"/>
    <w:basedOn w:val="Normal"/>
    <w:next w:val="Normal"/>
    <w:uiPriority w:val="99"/>
    <w:rsid w:val="009630A9"/>
    <w:pPr>
      <w:keepNext/>
      <w:widowControl w:val="0"/>
      <w:tabs>
        <w:tab w:val="clear" w:pos="567"/>
        <w:tab w:val="clear" w:pos="1134"/>
        <w:tab w:val="clear" w:pos="1701"/>
        <w:tab w:val="clear" w:pos="2268"/>
        <w:tab w:val="clear" w:pos="2835"/>
      </w:tabs>
      <w:overflowPunct/>
      <w:autoSpaceDE/>
      <w:autoSpaceDN/>
      <w:adjustRightInd/>
      <w:snapToGrid w:val="0"/>
      <w:spacing w:before="100" w:after="100"/>
      <w:textAlignment w:val="auto"/>
      <w:outlineLvl w:val="3"/>
    </w:pPr>
    <w:rPr>
      <w:rFonts w:ascii="Times New Roman" w:eastAsia="Times New Roman" w:hAnsi="Times New Roman"/>
      <w:b/>
      <w:sz w:val="28"/>
      <w:lang w:val="en-US"/>
    </w:rPr>
  </w:style>
  <w:style w:type="paragraph" w:customStyle="1" w:styleId="DefinitionList">
    <w:name w:val="Definition List"/>
    <w:basedOn w:val="Normal"/>
    <w:next w:val="DefinitionTerm"/>
    <w:uiPriority w:val="99"/>
    <w:rsid w:val="009630A9"/>
    <w:pPr>
      <w:widowControl w:val="0"/>
      <w:tabs>
        <w:tab w:val="clear" w:pos="567"/>
        <w:tab w:val="clear" w:pos="1134"/>
        <w:tab w:val="clear" w:pos="1701"/>
        <w:tab w:val="clear" w:pos="2268"/>
        <w:tab w:val="clear" w:pos="2835"/>
      </w:tabs>
      <w:overflowPunct/>
      <w:autoSpaceDE/>
      <w:autoSpaceDN/>
      <w:adjustRightInd/>
      <w:snapToGrid w:val="0"/>
      <w:spacing w:before="0"/>
      <w:ind w:left="360"/>
      <w:textAlignment w:val="auto"/>
    </w:pPr>
    <w:rPr>
      <w:rFonts w:ascii="Times New Roman" w:eastAsia="Times New Roman" w:hAnsi="Times New Roman"/>
      <w:lang w:val="en-US"/>
    </w:rPr>
  </w:style>
  <w:style w:type="paragraph" w:customStyle="1" w:styleId="DefinitionTerm">
    <w:name w:val="Definition Term"/>
    <w:basedOn w:val="Normal"/>
    <w:next w:val="DefinitionList"/>
    <w:uiPriority w:val="99"/>
    <w:rsid w:val="009630A9"/>
    <w:pPr>
      <w:widowControl w:val="0"/>
      <w:tabs>
        <w:tab w:val="clear" w:pos="567"/>
        <w:tab w:val="clear" w:pos="1134"/>
        <w:tab w:val="clear" w:pos="1701"/>
        <w:tab w:val="clear" w:pos="2268"/>
        <w:tab w:val="clear" w:pos="2835"/>
      </w:tabs>
      <w:overflowPunct/>
      <w:autoSpaceDE/>
      <w:autoSpaceDN/>
      <w:adjustRightInd/>
      <w:snapToGrid w:val="0"/>
      <w:spacing w:before="0"/>
      <w:textAlignment w:val="auto"/>
    </w:pPr>
    <w:rPr>
      <w:rFonts w:ascii="Times New Roman" w:eastAsia="Times New Roman" w:hAnsi="Times New Roman"/>
      <w:lang w:val="en-US"/>
    </w:rPr>
  </w:style>
  <w:style w:type="paragraph" w:customStyle="1" w:styleId="H1">
    <w:name w:val="H1"/>
    <w:basedOn w:val="Normal"/>
    <w:next w:val="Normal"/>
    <w:uiPriority w:val="99"/>
    <w:rsid w:val="009630A9"/>
    <w:pPr>
      <w:keepNext/>
      <w:widowControl w:val="0"/>
      <w:tabs>
        <w:tab w:val="clear" w:pos="567"/>
        <w:tab w:val="clear" w:pos="1134"/>
        <w:tab w:val="clear" w:pos="1701"/>
        <w:tab w:val="clear" w:pos="2268"/>
        <w:tab w:val="clear" w:pos="2835"/>
      </w:tabs>
      <w:overflowPunct/>
      <w:autoSpaceDE/>
      <w:autoSpaceDN/>
      <w:adjustRightInd/>
      <w:snapToGrid w:val="0"/>
      <w:spacing w:before="100" w:after="100"/>
      <w:textAlignment w:val="auto"/>
      <w:outlineLvl w:val="1"/>
    </w:pPr>
    <w:rPr>
      <w:rFonts w:ascii="Times New Roman" w:eastAsia="Times New Roman" w:hAnsi="Times New Roman"/>
      <w:b/>
      <w:kern w:val="36"/>
      <w:sz w:val="48"/>
      <w:lang w:val="en-US"/>
    </w:rPr>
  </w:style>
  <w:style w:type="paragraph" w:customStyle="1" w:styleId="H5">
    <w:name w:val="H5"/>
    <w:basedOn w:val="Normal"/>
    <w:next w:val="Normal"/>
    <w:uiPriority w:val="99"/>
    <w:rsid w:val="009630A9"/>
    <w:pPr>
      <w:keepNext/>
      <w:widowControl w:val="0"/>
      <w:tabs>
        <w:tab w:val="clear" w:pos="567"/>
        <w:tab w:val="clear" w:pos="1134"/>
        <w:tab w:val="clear" w:pos="1701"/>
        <w:tab w:val="clear" w:pos="2268"/>
        <w:tab w:val="clear" w:pos="2835"/>
      </w:tabs>
      <w:overflowPunct/>
      <w:autoSpaceDE/>
      <w:autoSpaceDN/>
      <w:adjustRightInd/>
      <w:snapToGrid w:val="0"/>
      <w:spacing w:before="100" w:after="100"/>
      <w:textAlignment w:val="auto"/>
      <w:outlineLvl w:val="5"/>
    </w:pPr>
    <w:rPr>
      <w:rFonts w:ascii="Times New Roman" w:eastAsia="Times New Roman" w:hAnsi="Times New Roman"/>
      <w:b/>
      <w:sz w:val="20"/>
      <w:lang w:val="en-US"/>
    </w:rPr>
  </w:style>
  <w:style w:type="paragraph" w:customStyle="1" w:styleId="H6">
    <w:name w:val="H6"/>
    <w:basedOn w:val="Normal"/>
    <w:next w:val="Normal"/>
    <w:uiPriority w:val="99"/>
    <w:rsid w:val="009630A9"/>
    <w:pPr>
      <w:keepNext/>
      <w:widowControl w:val="0"/>
      <w:tabs>
        <w:tab w:val="clear" w:pos="567"/>
        <w:tab w:val="clear" w:pos="1134"/>
        <w:tab w:val="clear" w:pos="1701"/>
        <w:tab w:val="clear" w:pos="2268"/>
        <w:tab w:val="clear" w:pos="2835"/>
      </w:tabs>
      <w:overflowPunct/>
      <w:autoSpaceDE/>
      <w:autoSpaceDN/>
      <w:adjustRightInd/>
      <w:snapToGrid w:val="0"/>
      <w:spacing w:before="100" w:after="100"/>
      <w:textAlignment w:val="auto"/>
      <w:outlineLvl w:val="6"/>
    </w:pPr>
    <w:rPr>
      <w:rFonts w:ascii="Times New Roman" w:eastAsia="Times New Roman" w:hAnsi="Times New Roman"/>
      <w:b/>
      <w:sz w:val="16"/>
      <w:lang w:val="en-US"/>
    </w:rPr>
  </w:style>
  <w:style w:type="paragraph" w:customStyle="1" w:styleId="Address">
    <w:name w:val="Address"/>
    <w:basedOn w:val="Normal"/>
    <w:next w:val="Normal"/>
    <w:uiPriority w:val="99"/>
    <w:rsid w:val="009630A9"/>
    <w:pPr>
      <w:widowControl w:val="0"/>
      <w:tabs>
        <w:tab w:val="clear" w:pos="567"/>
        <w:tab w:val="clear" w:pos="1134"/>
        <w:tab w:val="clear" w:pos="1701"/>
        <w:tab w:val="clear" w:pos="2268"/>
        <w:tab w:val="clear" w:pos="2835"/>
      </w:tabs>
      <w:overflowPunct/>
      <w:autoSpaceDE/>
      <w:autoSpaceDN/>
      <w:adjustRightInd/>
      <w:snapToGrid w:val="0"/>
      <w:spacing w:before="0"/>
      <w:textAlignment w:val="auto"/>
    </w:pPr>
    <w:rPr>
      <w:rFonts w:ascii="Times New Roman" w:eastAsia="Times New Roman" w:hAnsi="Times New Roman"/>
      <w:i/>
      <w:lang w:val="en-US"/>
    </w:rPr>
  </w:style>
  <w:style w:type="paragraph" w:customStyle="1" w:styleId="Preformatted">
    <w:name w:val="Preformatted"/>
    <w:basedOn w:val="Normal"/>
    <w:uiPriority w:val="99"/>
    <w:rsid w:val="009630A9"/>
    <w:pPr>
      <w:widowControl w:val="0"/>
      <w:tabs>
        <w:tab w:val="clear" w:pos="567"/>
        <w:tab w:val="clear" w:pos="1134"/>
        <w:tab w:val="clear" w:pos="1701"/>
        <w:tab w:val="clear" w:pos="2268"/>
        <w:tab w:val="clear" w:pos="283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napToGrid w:val="0"/>
      <w:spacing w:before="0"/>
      <w:textAlignment w:val="auto"/>
    </w:pPr>
    <w:rPr>
      <w:rFonts w:ascii="Courier New" w:eastAsia="Times New Roman" w:hAnsi="Courier New"/>
      <w:sz w:val="20"/>
      <w:lang w:val="en-US"/>
    </w:rPr>
  </w:style>
  <w:style w:type="paragraph" w:customStyle="1" w:styleId="HeadingA">
    <w:name w:val="Heading_A"/>
    <w:basedOn w:val="Headingb"/>
    <w:uiPriority w:val="99"/>
    <w:qFormat/>
    <w:rsid w:val="009630A9"/>
    <w:pPr>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before="200"/>
      <w:ind w:left="794" w:hanging="794"/>
      <w:textAlignment w:val="auto"/>
      <w:outlineLvl w:val="9"/>
    </w:pPr>
    <w:rPr>
      <w:rFonts w:eastAsiaTheme="minorEastAsia"/>
      <w:sz w:val="26"/>
      <w:szCs w:val="26"/>
    </w:rPr>
  </w:style>
  <w:style w:type="paragraph" w:customStyle="1" w:styleId="xl29">
    <w:name w:val="xl29"/>
    <w:basedOn w:val="Normal"/>
    <w:uiPriority w:val="99"/>
    <w:rsid w:val="009630A9"/>
    <w:pPr>
      <w:pBdr>
        <w:top w:val="single" w:sz="4" w:space="0" w:color="auto"/>
        <w:bottom w:val="single" w:sz="8" w:space="0" w:color="auto"/>
      </w:pBdr>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24">
    <w:name w:val="xl24"/>
    <w:basedOn w:val="Normal"/>
    <w:uiPriority w:val="99"/>
    <w:rsid w:val="009630A9"/>
    <w:pPr>
      <w:pBdr>
        <w:top w:val="single" w:sz="4" w:space="0" w:color="auto"/>
        <w:bottom w:val="double" w:sz="6" w:space="0" w:color="auto"/>
      </w:pBdr>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uiPriority w:val="99"/>
    <w:rsid w:val="009630A9"/>
    <w:pPr>
      <w:pBdr>
        <w:top w:val="single" w:sz="4" w:space="0" w:color="auto"/>
        <w:bottom w:val="double" w:sz="6" w:space="0" w:color="auto"/>
      </w:pBdr>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uiPriority w:val="99"/>
    <w:rsid w:val="009630A9"/>
    <w:pPr>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7">
    <w:name w:val="xl27"/>
    <w:basedOn w:val="Normal"/>
    <w:uiPriority w:val="99"/>
    <w:rsid w:val="009630A9"/>
    <w:pPr>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uiPriority w:val="99"/>
    <w:rsid w:val="009630A9"/>
    <w:pPr>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30">
    <w:name w:val="xl30"/>
    <w:basedOn w:val="Normal"/>
    <w:uiPriority w:val="99"/>
    <w:rsid w:val="009630A9"/>
    <w:pPr>
      <w:pBdr>
        <w:top w:val="single" w:sz="4" w:space="0" w:color="auto"/>
        <w:bottom w:val="single" w:sz="8" w:space="0" w:color="auto"/>
      </w:pBdr>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uiPriority w:val="99"/>
    <w:rsid w:val="009630A9"/>
    <w:pPr>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39">
    <w:name w:val="xl39"/>
    <w:basedOn w:val="Normal"/>
    <w:uiPriority w:val="99"/>
    <w:rsid w:val="009630A9"/>
    <w:pPr>
      <w:pBdr>
        <w:top w:val="single" w:sz="4" w:space="0" w:color="auto"/>
      </w:pBdr>
      <w:shd w:val="clear" w:color="auto" w:fill="FFFFFF"/>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uiPriority w:val="99"/>
    <w:rsid w:val="009630A9"/>
    <w:pPr>
      <w:pBdr>
        <w:top w:val="single" w:sz="4" w:space="0" w:color="auto"/>
      </w:pBdr>
      <w:shd w:val="clear" w:color="auto" w:fill="FFFFFF"/>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uiPriority w:val="99"/>
    <w:rsid w:val="009630A9"/>
    <w:pPr>
      <w:pBdr>
        <w:top w:val="single" w:sz="4" w:space="0" w:color="auto"/>
      </w:pBdr>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uiPriority w:val="99"/>
    <w:rsid w:val="009630A9"/>
    <w:pPr>
      <w:shd w:val="clear" w:color="auto" w:fill="FFFFFF"/>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uiPriority w:val="99"/>
    <w:rsid w:val="009630A9"/>
    <w:pPr>
      <w:shd w:val="clear" w:color="auto" w:fill="FFFFFF"/>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uiPriority w:val="99"/>
    <w:rsid w:val="009630A9"/>
    <w:pPr>
      <w:shd w:val="clear" w:color="auto" w:fill="FFFFFF"/>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uiPriority w:val="99"/>
    <w:rsid w:val="009630A9"/>
    <w:pPr>
      <w:shd w:val="clear" w:color="auto" w:fill="FFFFFF"/>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uiPriority w:val="99"/>
    <w:rsid w:val="009630A9"/>
    <w:pPr>
      <w:shd w:val="clear" w:color="auto" w:fill="FFFFFF"/>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uiPriority w:val="99"/>
    <w:rsid w:val="009630A9"/>
    <w:pPr>
      <w:shd w:val="clear" w:color="auto" w:fill="FFFFFF"/>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uiPriority w:val="99"/>
    <w:rsid w:val="009630A9"/>
    <w:pPr>
      <w:pBdr>
        <w:top w:val="single" w:sz="4" w:space="0" w:color="auto"/>
        <w:bottom w:val="single" w:sz="4" w:space="0" w:color="auto"/>
      </w:pBdr>
      <w:shd w:val="clear" w:color="auto" w:fill="FFFFFF"/>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uiPriority w:val="99"/>
    <w:rsid w:val="009630A9"/>
    <w:pPr>
      <w:pBdr>
        <w:top w:val="single" w:sz="4" w:space="0" w:color="auto"/>
        <w:bottom w:val="single" w:sz="4" w:space="0" w:color="auto"/>
      </w:pBdr>
      <w:shd w:val="clear" w:color="auto" w:fill="FFFFFF"/>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uiPriority w:val="99"/>
    <w:rsid w:val="009630A9"/>
    <w:pPr>
      <w:pBdr>
        <w:top w:val="single" w:sz="4" w:space="0" w:color="auto"/>
      </w:pBdr>
      <w:shd w:val="clear" w:color="auto" w:fill="FFFFFF"/>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uiPriority w:val="99"/>
    <w:rsid w:val="009630A9"/>
    <w:pPr>
      <w:pBdr>
        <w:top w:val="single" w:sz="4" w:space="0" w:color="auto"/>
      </w:pBdr>
      <w:shd w:val="clear" w:color="auto" w:fill="FFFFFF"/>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uiPriority w:val="99"/>
    <w:rsid w:val="009630A9"/>
    <w:pPr>
      <w:shd w:val="clear" w:color="auto" w:fill="FFFFFF"/>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uiPriority w:val="99"/>
    <w:rsid w:val="009630A9"/>
    <w:pPr>
      <w:shd w:val="clear" w:color="auto" w:fill="FFFFFF"/>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uiPriority w:val="99"/>
    <w:rsid w:val="009630A9"/>
    <w:pPr>
      <w:pBdr>
        <w:top w:val="single" w:sz="4" w:space="0" w:color="auto"/>
      </w:pBdr>
      <w:shd w:val="clear" w:color="auto" w:fill="FFFFFF"/>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uiPriority w:val="99"/>
    <w:rsid w:val="009630A9"/>
    <w:pPr>
      <w:pBdr>
        <w:top w:val="single" w:sz="4" w:space="0" w:color="auto"/>
        <w:bottom w:val="single" w:sz="4" w:space="0" w:color="auto"/>
      </w:pBdr>
      <w:shd w:val="clear" w:color="auto" w:fill="FFFFFF"/>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uiPriority w:val="99"/>
    <w:rsid w:val="009630A9"/>
    <w:pPr>
      <w:pBdr>
        <w:top w:val="single" w:sz="4" w:space="0" w:color="auto"/>
        <w:bottom w:val="single" w:sz="4" w:space="0" w:color="auto"/>
      </w:pBdr>
      <w:shd w:val="clear" w:color="auto" w:fill="FFFFFF"/>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uiPriority w:val="99"/>
    <w:rsid w:val="009630A9"/>
    <w:pPr>
      <w:shd w:val="clear" w:color="auto" w:fill="FFFFFF"/>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uiPriority w:val="99"/>
    <w:rsid w:val="009630A9"/>
    <w:pPr>
      <w:pBdr>
        <w:top w:val="single" w:sz="4" w:space="0" w:color="auto"/>
      </w:pBdr>
      <w:shd w:val="clear" w:color="auto" w:fill="FFFFFF"/>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uiPriority w:val="99"/>
    <w:rsid w:val="009630A9"/>
    <w:pPr>
      <w:pBdr>
        <w:top w:val="single" w:sz="4" w:space="0" w:color="auto"/>
        <w:bottom w:val="single" w:sz="4" w:space="0" w:color="auto"/>
      </w:pBdr>
      <w:shd w:val="clear" w:color="auto" w:fill="FFFFFF"/>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uiPriority w:val="99"/>
    <w:rsid w:val="009630A9"/>
    <w:pPr>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uiPriority w:val="99"/>
    <w:rsid w:val="009630A9"/>
    <w:pPr>
      <w:pBdr>
        <w:bottom w:val="single" w:sz="4" w:space="0" w:color="auto"/>
      </w:pBdr>
      <w:shd w:val="clear" w:color="auto" w:fill="FFFFFF"/>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uiPriority w:val="99"/>
    <w:rsid w:val="009630A9"/>
    <w:pPr>
      <w:pBdr>
        <w:bottom w:val="single" w:sz="4" w:space="0" w:color="auto"/>
      </w:pBdr>
      <w:shd w:val="clear" w:color="auto" w:fill="FFFFFF"/>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jc w:val="both"/>
      <w:textAlignment w:val="auto"/>
    </w:pPr>
    <w:rPr>
      <w:rFonts w:ascii="Times New Roman" w:eastAsia="Arial Unicode MS" w:hAnsi="Times New Roman"/>
      <w:lang w:val="en-US"/>
    </w:rPr>
  </w:style>
  <w:style w:type="paragraph" w:customStyle="1" w:styleId="Tabletext1">
    <w:name w:val="Table text"/>
    <w:uiPriority w:val="99"/>
    <w:rsid w:val="009630A9"/>
    <w:pPr>
      <w:spacing w:before="180"/>
      <w:jc w:val="both"/>
    </w:pPr>
    <w:rPr>
      <w:rFonts w:ascii="Calibri" w:hAnsi="Calibri"/>
      <w:szCs w:val="18"/>
      <w:lang w:val="en-GB"/>
    </w:rPr>
  </w:style>
  <w:style w:type="paragraph" w:customStyle="1" w:styleId="xl32">
    <w:name w:val="xl32"/>
    <w:basedOn w:val="Normal"/>
    <w:uiPriority w:val="99"/>
    <w:rsid w:val="009630A9"/>
    <w:pPr>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textAlignment w:val="auto"/>
    </w:pPr>
    <w:rPr>
      <w:rFonts w:ascii="Times New Roman" w:eastAsia="Arial Unicode MS" w:hAnsi="Times New Roman"/>
      <w:szCs w:val="24"/>
      <w:lang w:val="en-US"/>
    </w:rPr>
  </w:style>
  <w:style w:type="paragraph" w:customStyle="1" w:styleId="xl107">
    <w:name w:val="xl107"/>
    <w:basedOn w:val="Normal"/>
    <w:rsid w:val="009630A9"/>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08">
    <w:name w:val="xl108"/>
    <w:basedOn w:val="Normal"/>
    <w:rsid w:val="009630A9"/>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09">
    <w:name w:val="xl109"/>
    <w:basedOn w:val="Normal"/>
    <w:rsid w:val="009630A9"/>
    <w:pPr>
      <w:pBdr>
        <w:top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10">
    <w:name w:val="xl110"/>
    <w:basedOn w:val="Normal"/>
    <w:rsid w:val="009630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1">
    <w:name w:val="xl111"/>
    <w:basedOn w:val="Normal"/>
    <w:rsid w:val="009630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2">
    <w:name w:val="xl112"/>
    <w:basedOn w:val="Normal"/>
    <w:rsid w:val="009630A9"/>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3">
    <w:name w:val="xl113"/>
    <w:basedOn w:val="Normal"/>
    <w:rsid w:val="009630A9"/>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4">
    <w:name w:val="xl114"/>
    <w:basedOn w:val="Normal"/>
    <w:rsid w:val="009630A9"/>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15">
    <w:name w:val="xl115"/>
    <w:basedOn w:val="Normal"/>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16">
    <w:name w:val="xl116"/>
    <w:basedOn w:val="Normal"/>
    <w:rsid w:val="009630A9"/>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17">
    <w:name w:val="xl117"/>
    <w:basedOn w:val="Normal"/>
    <w:rsid w:val="009630A9"/>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8">
    <w:name w:val="xl118"/>
    <w:basedOn w:val="Normal"/>
    <w:rsid w:val="009630A9"/>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9">
    <w:name w:val="xl119"/>
    <w:basedOn w:val="Normal"/>
    <w:rsid w:val="009630A9"/>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20">
    <w:name w:val="xl120"/>
    <w:basedOn w:val="Normal"/>
    <w:rsid w:val="009630A9"/>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1">
    <w:name w:val="xl121"/>
    <w:basedOn w:val="Normal"/>
    <w:rsid w:val="009630A9"/>
    <w:pPr>
      <w:pBdr>
        <w:top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2">
    <w:name w:val="xl122"/>
    <w:basedOn w:val="Normal"/>
    <w:rsid w:val="009630A9"/>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3">
    <w:name w:val="xl123"/>
    <w:basedOn w:val="Normal"/>
    <w:rsid w:val="009630A9"/>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4">
    <w:name w:val="xl124"/>
    <w:basedOn w:val="Normal"/>
    <w:rsid w:val="009630A9"/>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5">
    <w:name w:val="xl125"/>
    <w:basedOn w:val="Normal"/>
    <w:rsid w:val="009630A9"/>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6">
    <w:name w:val="xl126"/>
    <w:basedOn w:val="Normal"/>
    <w:rsid w:val="009630A9"/>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7">
    <w:name w:val="xl127"/>
    <w:basedOn w:val="Normal"/>
    <w:rsid w:val="009630A9"/>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8">
    <w:name w:val="xl128"/>
    <w:basedOn w:val="Normal"/>
    <w:rsid w:val="009630A9"/>
    <w:pPr>
      <w:pBdr>
        <w:top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9">
    <w:name w:val="xl129"/>
    <w:basedOn w:val="Normal"/>
    <w:rsid w:val="009630A9"/>
    <w:pPr>
      <w:pBdr>
        <w:top w:val="double" w:sz="6"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0">
    <w:name w:val="xl130"/>
    <w:basedOn w:val="Normal"/>
    <w:rsid w:val="009630A9"/>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1">
    <w:name w:val="xl131"/>
    <w:basedOn w:val="Normal"/>
    <w:rsid w:val="009630A9"/>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2">
    <w:name w:val="xl132"/>
    <w:basedOn w:val="Normal"/>
    <w:rsid w:val="009630A9"/>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3">
    <w:name w:val="xl133"/>
    <w:basedOn w:val="Normal"/>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4">
    <w:name w:val="xl134"/>
    <w:basedOn w:val="Normal"/>
    <w:rsid w:val="009630A9"/>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5">
    <w:name w:val="xl135"/>
    <w:basedOn w:val="Normal"/>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36">
    <w:name w:val="xl136"/>
    <w:basedOn w:val="Normal"/>
    <w:rsid w:val="009630A9"/>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7">
    <w:name w:val="xl137"/>
    <w:basedOn w:val="Normal"/>
    <w:rsid w:val="009630A9"/>
    <w:pPr>
      <w:pBdr>
        <w:top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38">
    <w:name w:val="xl138"/>
    <w:basedOn w:val="Normal"/>
    <w:rsid w:val="009630A9"/>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39">
    <w:name w:val="xl139"/>
    <w:basedOn w:val="Normal"/>
    <w:rsid w:val="009630A9"/>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40">
    <w:name w:val="xl140"/>
    <w:basedOn w:val="Normal"/>
    <w:rsid w:val="009630A9"/>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1">
    <w:name w:val="xl141"/>
    <w:basedOn w:val="Normal"/>
    <w:rsid w:val="009630A9"/>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2">
    <w:name w:val="xl142"/>
    <w:basedOn w:val="Normal"/>
    <w:rsid w:val="009630A9"/>
    <w:pPr>
      <w:pBdr>
        <w:top w:val="double" w:sz="6"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3">
    <w:name w:val="xl143"/>
    <w:basedOn w:val="Normal"/>
    <w:rsid w:val="009630A9"/>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4">
    <w:name w:val="xl144"/>
    <w:basedOn w:val="Normal"/>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5">
    <w:name w:val="xl145"/>
    <w:basedOn w:val="Normal"/>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6">
    <w:name w:val="xl146"/>
    <w:basedOn w:val="Normal"/>
    <w:rsid w:val="009630A9"/>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7">
    <w:name w:val="xl147"/>
    <w:basedOn w:val="Normal"/>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8">
    <w:name w:val="xl148"/>
    <w:basedOn w:val="Normal"/>
    <w:rsid w:val="009630A9"/>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9">
    <w:name w:val="xl149"/>
    <w:basedOn w:val="Normal"/>
    <w:rsid w:val="009630A9"/>
    <w:pPr>
      <w:pBdr>
        <w:top w:val="double" w:sz="6"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0">
    <w:name w:val="xl150"/>
    <w:basedOn w:val="Normal"/>
    <w:rsid w:val="009630A9"/>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1">
    <w:name w:val="xl151"/>
    <w:basedOn w:val="Normal"/>
    <w:rsid w:val="009630A9"/>
    <w:pPr>
      <w:pBdr>
        <w:top w:val="double" w:sz="6"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2">
    <w:name w:val="xl152"/>
    <w:basedOn w:val="Normal"/>
    <w:rsid w:val="009630A9"/>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3">
    <w:name w:val="xl153"/>
    <w:basedOn w:val="Normal"/>
    <w:rsid w:val="009630A9"/>
    <w:pPr>
      <w:pBdr>
        <w:top w:val="double" w:sz="6"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4">
    <w:name w:val="xl154"/>
    <w:basedOn w:val="Normal"/>
    <w:rsid w:val="009630A9"/>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5">
    <w:name w:val="xl155"/>
    <w:basedOn w:val="Normal"/>
    <w:rsid w:val="009630A9"/>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6">
    <w:name w:val="xl156"/>
    <w:basedOn w:val="Normal"/>
    <w:rsid w:val="009630A9"/>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7">
    <w:name w:val="xl157"/>
    <w:basedOn w:val="Normal"/>
    <w:rsid w:val="009630A9"/>
    <w:pPr>
      <w:pBdr>
        <w:top w:val="double" w:sz="6"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8">
    <w:name w:val="xl158"/>
    <w:basedOn w:val="Normal"/>
    <w:rsid w:val="009630A9"/>
    <w:pPr>
      <w:pBdr>
        <w:top w:val="single" w:sz="4" w:space="0" w:color="auto"/>
        <w:bottom w:val="single" w:sz="4" w:space="0" w:color="auto"/>
      </w:pBdr>
      <w:shd w:val="clear" w:color="auto"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9">
    <w:name w:val="xl159"/>
    <w:basedOn w:val="Normal"/>
    <w:rsid w:val="009630A9"/>
    <w:pPr>
      <w:pBdr>
        <w:top w:val="single" w:sz="4" w:space="0" w:color="auto"/>
        <w:bottom w:val="double" w:sz="6" w:space="0" w:color="auto"/>
        <w:right w:val="single" w:sz="4" w:space="0" w:color="auto"/>
      </w:pBdr>
      <w:shd w:val="clear" w:color="auto"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0">
    <w:name w:val="xl160"/>
    <w:basedOn w:val="Normal"/>
    <w:rsid w:val="009630A9"/>
    <w:pPr>
      <w:pBdr>
        <w:top w:val="single" w:sz="4" w:space="0" w:color="auto"/>
        <w:left w:val="single" w:sz="4" w:space="0" w:color="auto"/>
        <w:bottom w:val="double" w:sz="6" w:space="0" w:color="auto"/>
        <w:right w:val="single" w:sz="4" w:space="0" w:color="auto"/>
      </w:pBdr>
      <w:shd w:val="clear" w:color="auto"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1">
    <w:name w:val="xl161"/>
    <w:basedOn w:val="Normal"/>
    <w:rsid w:val="009630A9"/>
    <w:pPr>
      <w:pBdr>
        <w:top w:val="single" w:sz="4" w:space="0" w:color="auto"/>
        <w:left w:val="single" w:sz="4" w:space="0" w:color="auto"/>
        <w:bottom w:val="double" w:sz="6" w:space="0" w:color="auto"/>
        <w:right w:val="single" w:sz="4" w:space="0" w:color="auto"/>
      </w:pBdr>
      <w:shd w:val="clear" w:color="auto"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2">
    <w:name w:val="xl162"/>
    <w:basedOn w:val="Normal"/>
    <w:rsid w:val="009630A9"/>
    <w:pPr>
      <w:pBdr>
        <w:top w:val="single" w:sz="4" w:space="0" w:color="auto"/>
        <w:left w:val="single" w:sz="4" w:space="0" w:color="auto"/>
        <w:bottom w:val="double" w:sz="6" w:space="0" w:color="auto"/>
      </w:pBdr>
      <w:shd w:val="clear" w:color="auto"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3">
    <w:name w:val="xl163"/>
    <w:basedOn w:val="Normal"/>
    <w:rsid w:val="009630A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4">
    <w:name w:val="xl164"/>
    <w:basedOn w:val="Normal"/>
    <w:rsid w:val="009630A9"/>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5">
    <w:name w:val="xl165"/>
    <w:basedOn w:val="Normal"/>
    <w:rsid w:val="009630A9"/>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6">
    <w:name w:val="xl166"/>
    <w:basedOn w:val="Normal"/>
    <w:rsid w:val="009630A9"/>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7">
    <w:name w:val="xl167"/>
    <w:basedOn w:val="Normal"/>
    <w:rsid w:val="009630A9"/>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8">
    <w:name w:val="xl168"/>
    <w:basedOn w:val="Normal"/>
    <w:rsid w:val="009630A9"/>
    <w:pPr>
      <w:pBdr>
        <w:top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9">
    <w:name w:val="xl169"/>
    <w:basedOn w:val="Normal"/>
    <w:rsid w:val="009630A9"/>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0">
    <w:name w:val="xl170"/>
    <w:basedOn w:val="Normal"/>
    <w:rsid w:val="009630A9"/>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1">
    <w:name w:val="xl171"/>
    <w:basedOn w:val="Normal"/>
    <w:rsid w:val="009630A9"/>
    <w:pPr>
      <w:pBdr>
        <w:top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2">
    <w:name w:val="xl172"/>
    <w:basedOn w:val="Normal"/>
    <w:rsid w:val="009630A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3">
    <w:name w:val="xl173"/>
    <w:basedOn w:val="Normal"/>
    <w:rsid w:val="009630A9"/>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4">
    <w:name w:val="xl174"/>
    <w:basedOn w:val="Normal"/>
    <w:rsid w:val="009630A9"/>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5">
    <w:name w:val="xl175"/>
    <w:basedOn w:val="Normal"/>
    <w:rsid w:val="009630A9"/>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6">
    <w:name w:val="xl176"/>
    <w:basedOn w:val="Normal"/>
    <w:rsid w:val="009630A9"/>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7">
    <w:name w:val="xl177"/>
    <w:basedOn w:val="Normal"/>
    <w:rsid w:val="009630A9"/>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8">
    <w:name w:val="xl178"/>
    <w:basedOn w:val="Normal"/>
    <w:rsid w:val="009630A9"/>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9">
    <w:name w:val="xl179"/>
    <w:basedOn w:val="Normal"/>
    <w:rsid w:val="009630A9"/>
    <w:pPr>
      <w:pBdr>
        <w:top w:val="double" w:sz="6"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0">
    <w:name w:val="xl180"/>
    <w:basedOn w:val="Normal"/>
    <w:rsid w:val="009630A9"/>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1">
    <w:name w:val="xl181"/>
    <w:basedOn w:val="Normal"/>
    <w:rsid w:val="009630A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2">
    <w:name w:val="xl182"/>
    <w:basedOn w:val="Normal"/>
    <w:rsid w:val="009630A9"/>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3">
    <w:name w:val="xl183"/>
    <w:basedOn w:val="Normal"/>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4">
    <w:name w:val="xl184"/>
    <w:basedOn w:val="Normal"/>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5">
    <w:name w:val="xl185"/>
    <w:basedOn w:val="Normal"/>
    <w:rsid w:val="009630A9"/>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6">
    <w:name w:val="xl186"/>
    <w:basedOn w:val="Normal"/>
    <w:rsid w:val="009630A9"/>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7">
    <w:name w:val="xl187"/>
    <w:basedOn w:val="Normal"/>
    <w:rsid w:val="009630A9"/>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8">
    <w:name w:val="xl188"/>
    <w:basedOn w:val="Normal"/>
    <w:rsid w:val="009630A9"/>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9">
    <w:name w:val="xl189"/>
    <w:basedOn w:val="Normal"/>
    <w:rsid w:val="009630A9"/>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Cs w:val="24"/>
      <w:lang w:val="en-US" w:eastAsia="zh-CN"/>
    </w:rPr>
  </w:style>
  <w:style w:type="paragraph" w:customStyle="1" w:styleId="xl190">
    <w:name w:val="xl190"/>
    <w:basedOn w:val="Normal"/>
    <w:uiPriority w:val="99"/>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1">
    <w:name w:val="xl191"/>
    <w:basedOn w:val="Normal"/>
    <w:uiPriority w:val="99"/>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2">
    <w:name w:val="xl192"/>
    <w:basedOn w:val="Normal"/>
    <w:uiPriority w:val="99"/>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color w:val="000000"/>
      <w:sz w:val="20"/>
      <w:lang w:val="en-US" w:eastAsia="zh-CN"/>
    </w:rPr>
  </w:style>
  <w:style w:type="paragraph" w:customStyle="1" w:styleId="xl193">
    <w:name w:val="xl193"/>
    <w:basedOn w:val="Normal"/>
    <w:uiPriority w:val="99"/>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4">
    <w:name w:val="xl194"/>
    <w:basedOn w:val="Normal"/>
    <w:uiPriority w:val="99"/>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5">
    <w:name w:val="xl195"/>
    <w:basedOn w:val="Normal"/>
    <w:uiPriority w:val="99"/>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6">
    <w:name w:val="xl196"/>
    <w:basedOn w:val="Normal"/>
    <w:uiPriority w:val="99"/>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7">
    <w:name w:val="xl197"/>
    <w:basedOn w:val="Normal"/>
    <w:uiPriority w:val="99"/>
    <w:rsid w:val="009630A9"/>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8">
    <w:name w:val="xl198"/>
    <w:basedOn w:val="Normal"/>
    <w:uiPriority w:val="99"/>
    <w:rsid w:val="009630A9"/>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9">
    <w:name w:val="xl199"/>
    <w:basedOn w:val="Normal"/>
    <w:uiPriority w:val="99"/>
    <w:rsid w:val="009630A9"/>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0">
    <w:name w:val="xl200"/>
    <w:basedOn w:val="Normal"/>
    <w:uiPriority w:val="99"/>
    <w:rsid w:val="009630A9"/>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1">
    <w:name w:val="xl201"/>
    <w:basedOn w:val="Normal"/>
    <w:uiPriority w:val="99"/>
    <w:rsid w:val="009630A9"/>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2">
    <w:name w:val="xl202"/>
    <w:basedOn w:val="Normal"/>
    <w:uiPriority w:val="99"/>
    <w:rsid w:val="009630A9"/>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3">
    <w:name w:val="xl203"/>
    <w:basedOn w:val="Normal"/>
    <w:uiPriority w:val="99"/>
    <w:rsid w:val="009630A9"/>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4">
    <w:name w:val="xl204"/>
    <w:basedOn w:val="Normal"/>
    <w:uiPriority w:val="99"/>
    <w:rsid w:val="009630A9"/>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5">
    <w:name w:val="xl205"/>
    <w:basedOn w:val="Normal"/>
    <w:uiPriority w:val="99"/>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6">
    <w:name w:val="xl206"/>
    <w:basedOn w:val="Normal"/>
    <w:uiPriority w:val="99"/>
    <w:rsid w:val="009630A9"/>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7">
    <w:name w:val="xl207"/>
    <w:basedOn w:val="Normal"/>
    <w:uiPriority w:val="99"/>
    <w:rsid w:val="009630A9"/>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8">
    <w:name w:val="xl208"/>
    <w:basedOn w:val="Normal"/>
    <w:uiPriority w:val="99"/>
    <w:rsid w:val="009630A9"/>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9">
    <w:name w:val="xl209"/>
    <w:basedOn w:val="Normal"/>
    <w:uiPriority w:val="99"/>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210">
    <w:name w:val="xl210"/>
    <w:basedOn w:val="Normal"/>
    <w:uiPriority w:val="99"/>
    <w:rsid w:val="009630A9"/>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1">
    <w:name w:val="xl211"/>
    <w:basedOn w:val="Normal"/>
    <w:uiPriority w:val="99"/>
    <w:rsid w:val="009630A9"/>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2">
    <w:name w:val="xl212"/>
    <w:basedOn w:val="Normal"/>
    <w:uiPriority w:val="99"/>
    <w:rsid w:val="009630A9"/>
    <w:pPr>
      <w:pBdr>
        <w:top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3">
    <w:name w:val="xl213"/>
    <w:basedOn w:val="Normal"/>
    <w:uiPriority w:val="99"/>
    <w:rsid w:val="009630A9"/>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4">
    <w:name w:val="xl214"/>
    <w:basedOn w:val="Normal"/>
    <w:uiPriority w:val="99"/>
    <w:rsid w:val="009630A9"/>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5">
    <w:name w:val="xl215"/>
    <w:basedOn w:val="Normal"/>
    <w:uiPriority w:val="99"/>
    <w:rsid w:val="009630A9"/>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6">
    <w:name w:val="xl216"/>
    <w:basedOn w:val="Normal"/>
    <w:uiPriority w:val="99"/>
    <w:rsid w:val="009630A9"/>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7">
    <w:name w:val="xl217"/>
    <w:basedOn w:val="Normal"/>
    <w:uiPriority w:val="99"/>
    <w:rsid w:val="009630A9"/>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18">
    <w:name w:val="xl218"/>
    <w:basedOn w:val="Normal"/>
    <w:uiPriority w:val="99"/>
    <w:rsid w:val="009630A9"/>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19">
    <w:name w:val="xl219"/>
    <w:basedOn w:val="Normal"/>
    <w:uiPriority w:val="99"/>
    <w:rsid w:val="009630A9"/>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0">
    <w:name w:val="xl220"/>
    <w:basedOn w:val="Normal"/>
    <w:uiPriority w:val="99"/>
    <w:rsid w:val="009630A9"/>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1">
    <w:name w:val="xl221"/>
    <w:basedOn w:val="Normal"/>
    <w:uiPriority w:val="99"/>
    <w:rsid w:val="009630A9"/>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2">
    <w:name w:val="xl222"/>
    <w:basedOn w:val="Normal"/>
    <w:uiPriority w:val="99"/>
    <w:rsid w:val="009630A9"/>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3">
    <w:name w:val="xl223"/>
    <w:basedOn w:val="Normal"/>
    <w:uiPriority w:val="99"/>
    <w:rsid w:val="009630A9"/>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24">
    <w:name w:val="xl224"/>
    <w:basedOn w:val="Normal"/>
    <w:uiPriority w:val="99"/>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25">
    <w:name w:val="xl225"/>
    <w:basedOn w:val="Normal"/>
    <w:uiPriority w:val="99"/>
    <w:rsid w:val="009630A9"/>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377">
    <w:name w:val="xl2377"/>
    <w:basedOn w:val="Normal"/>
    <w:uiPriority w:val="99"/>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8">
    <w:name w:val="xl2378"/>
    <w:basedOn w:val="Normal"/>
    <w:uiPriority w:val="99"/>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9">
    <w:name w:val="xl2379"/>
    <w:basedOn w:val="Normal"/>
    <w:uiPriority w:val="99"/>
    <w:rsid w:val="009630A9"/>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80">
    <w:name w:val="xl2380"/>
    <w:basedOn w:val="Normal"/>
    <w:uiPriority w:val="99"/>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1">
    <w:name w:val="xl2381"/>
    <w:basedOn w:val="Normal"/>
    <w:uiPriority w:val="99"/>
    <w:rsid w:val="009630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2">
    <w:name w:val="xl2382"/>
    <w:basedOn w:val="Normal"/>
    <w:uiPriority w:val="99"/>
    <w:rsid w:val="009630A9"/>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3">
    <w:name w:val="xl2383"/>
    <w:basedOn w:val="Normal"/>
    <w:uiPriority w:val="99"/>
    <w:rsid w:val="009630A9"/>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4">
    <w:name w:val="xl2384"/>
    <w:basedOn w:val="Normal"/>
    <w:uiPriority w:val="99"/>
    <w:rsid w:val="009630A9"/>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5">
    <w:name w:val="xl2385"/>
    <w:basedOn w:val="Normal"/>
    <w:uiPriority w:val="99"/>
    <w:rsid w:val="009630A9"/>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6">
    <w:name w:val="xl2386"/>
    <w:basedOn w:val="Normal"/>
    <w:uiPriority w:val="99"/>
    <w:rsid w:val="009630A9"/>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7">
    <w:name w:val="xl2387"/>
    <w:basedOn w:val="Normal"/>
    <w:uiPriority w:val="99"/>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8">
    <w:name w:val="xl2388"/>
    <w:basedOn w:val="Normal"/>
    <w:uiPriority w:val="99"/>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89">
    <w:name w:val="xl2389"/>
    <w:basedOn w:val="Normal"/>
    <w:uiPriority w:val="99"/>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0">
    <w:name w:val="xl2390"/>
    <w:basedOn w:val="Normal"/>
    <w:uiPriority w:val="99"/>
    <w:rsid w:val="009630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1">
    <w:name w:val="xl2391"/>
    <w:basedOn w:val="Normal"/>
    <w:uiPriority w:val="99"/>
    <w:rsid w:val="009630A9"/>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92">
    <w:name w:val="xl2392"/>
    <w:basedOn w:val="Normal"/>
    <w:uiPriority w:val="99"/>
    <w:rsid w:val="009630A9"/>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3">
    <w:name w:val="xl2393"/>
    <w:basedOn w:val="Normal"/>
    <w:uiPriority w:val="99"/>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4">
    <w:name w:val="xl2394"/>
    <w:basedOn w:val="Normal"/>
    <w:uiPriority w:val="99"/>
    <w:rsid w:val="009630A9"/>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5">
    <w:name w:val="xl2395"/>
    <w:basedOn w:val="Normal"/>
    <w:uiPriority w:val="99"/>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6">
    <w:name w:val="xl2396"/>
    <w:basedOn w:val="Normal"/>
    <w:uiPriority w:val="99"/>
    <w:rsid w:val="009630A9"/>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7">
    <w:name w:val="xl2397"/>
    <w:basedOn w:val="Normal"/>
    <w:uiPriority w:val="99"/>
    <w:rsid w:val="009630A9"/>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98">
    <w:name w:val="xl2398"/>
    <w:basedOn w:val="Normal"/>
    <w:uiPriority w:val="99"/>
    <w:rsid w:val="009630A9"/>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9">
    <w:name w:val="xl2399"/>
    <w:basedOn w:val="Normal"/>
    <w:uiPriority w:val="99"/>
    <w:rsid w:val="009630A9"/>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0">
    <w:name w:val="xl2400"/>
    <w:basedOn w:val="Normal"/>
    <w:uiPriority w:val="99"/>
    <w:rsid w:val="009630A9"/>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01">
    <w:name w:val="xl2401"/>
    <w:basedOn w:val="Normal"/>
    <w:uiPriority w:val="99"/>
    <w:rsid w:val="009630A9"/>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2">
    <w:name w:val="xl2402"/>
    <w:basedOn w:val="Normal"/>
    <w:uiPriority w:val="99"/>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3">
    <w:name w:val="xl2403"/>
    <w:basedOn w:val="Normal"/>
    <w:uiPriority w:val="99"/>
    <w:rsid w:val="009630A9"/>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4">
    <w:name w:val="xl2404"/>
    <w:basedOn w:val="Normal"/>
    <w:rsid w:val="009630A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5">
    <w:name w:val="xl2405"/>
    <w:basedOn w:val="Normal"/>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06">
    <w:name w:val="xl2406"/>
    <w:basedOn w:val="Normal"/>
    <w:rsid w:val="009630A9"/>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7">
    <w:name w:val="xl2407"/>
    <w:basedOn w:val="Normal"/>
    <w:rsid w:val="009630A9"/>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8">
    <w:name w:val="xl2408"/>
    <w:basedOn w:val="Normal"/>
    <w:rsid w:val="009630A9"/>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09">
    <w:name w:val="xl2409"/>
    <w:basedOn w:val="Normal"/>
    <w:rsid w:val="009630A9"/>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10">
    <w:name w:val="xl2410"/>
    <w:basedOn w:val="Normal"/>
    <w:rsid w:val="009630A9"/>
    <w:pPr>
      <w:pBdr>
        <w:top w:val="single" w:sz="4" w:space="0" w:color="auto"/>
        <w:left w:val="single" w:sz="4" w:space="0" w:color="auto"/>
        <w:bottom w:val="single" w:sz="4" w:space="0" w:color="auto"/>
        <w:right w:val="single" w:sz="4" w:space="0" w:color="auto"/>
      </w:pBdr>
      <w:shd w:val="clear" w:color="auto"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1">
    <w:name w:val="xl2411"/>
    <w:basedOn w:val="Normal"/>
    <w:rsid w:val="009630A9"/>
    <w:pPr>
      <w:pBdr>
        <w:top w:val="single" w:sz="4" w:space="0" w:color="auto"/>
        <w:left w:val="single" w:sz="4" w:space="0" w:color="auto"/>
        <w:bottom w:val="double" w:sz="6" w:space="0" w:color="auto"/>
        <w:right w:val="single" w:sz="4" w:space="0" w:color="auto"/>
      </w:pBdr>
      <w:shd w:val="clear" w:color="auto"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12">
    <w:name w:val="xl2412"/>
    <w:basedOn w:val="Normal"/>
    <w:rsid w:val="009630A9"/>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3">
    <w:name w:val="xl2413"/>
    <w:basedOn w:val="Normal"/>
    <w:rsid w:val="009630A9"/>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4">
    <w:name w:val="xl2414"/>
    <w:basedOn w:val="Normal"/>
    <w:rsid w:val="009630A9"/>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5">
    <w:name w:val="xl2415"/>
    <w:basedOn w:val="Normal"/>
    <w:rsid w:val="009630A9"/>
    <w:pPr>
      <w:pBdr>
        <w:top w:val="double" w:sz="6"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6">
    <w:name w:val="xl2416"/>
    <w:basedOn w:val="Normal"/>
    <w:rsid w:val="009630A9"/>
    <w:pPr>
      <w:pBdr>
        <w:top w:val="double" w:sz="6"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7">
    <w:name w:val="xl2417"/>
    <w:basedOn w:val="Normal"/>
    <w:rsid w:val="009630A9"/>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18">
    <w:name w:val="xl2418"/>
    <w:basedOn w:val="Normal"/>
    <w:rsid w:val="009630A9"/>
    <w:pPr>
      <w:pBdr>
        <w:top w:val="single" w:sz="4" w:space="0" w:color="auto"/>
        <w:left w:val="single" w:sz="4" w:space="0" w:color="auto"/>
        <w:bottom w:val="double" w:sz="6" w:space="0" w:color="auto"/>
      </w:pBdr>
      <w:shd w:val="clear" w:color="auto" w:fill="808080"/>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9">
    <w:name w:val="xl2419"/>
    <w:basedOn w:val="Normal"/>
    <w:rsid w:val="009630A9"/>
    <w:pPr>
      <w:pBdr>
        <w:top w:val="single" w:sz="4" w:space="0" w:color="auto"/>
        <w:left w:val="single" w:sz="4" w:space="0" w:color="auto"/>
        <w:bottom w:val="double" w:sz="6" w:space="0" w:color="auto"/>
        <w:right w:val="single" w:sz="4" w:space="0" w:color="auto"/>
      </w:pBdr>
      <w:shd w:val="clear" w:color="auto" w:fill="808080"/>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20">
    <w:name w:val="xl2420"/>
    <w:basedOn w:val="Normal"/>
    <w:rsid w:val="009630A9"/>
    <w:pPr>
      <w:pBdr>
        <w:top w:val="single" w:sz="4" w:space="0" w:color="auto"/>
        <w:left w:val="single" w:sz="4" w:space="0" w:color="auto"/>
        <w:bottom w:val="double" w:sz="6" w:space="0" w:color="auto"/>
        <w:right w:val="single" w:sz="4" w:space="0" w:color="auto"/>
      </w:pBdr>
      <w:shd w:val="clear" w:color="auto" w:fill="808080"/>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21">
    <w:name w:val="xl2421"/>
    <w:basedOn w:val="Normal"/>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2">
    <w:name w:val="xl2422"/>
    <w:basedOn w:val="Normal"/>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3">
    <w:name w:val="xl2423"/>
    <w:basedOn w:val="Normal"/>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4">
    <w:name w:val="xl2424"/>
    <w:basedOn w:val="Normal"/>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5">
    <w:name w:val="xl2425"/>
    <w:basedOn w:val="Normal"/>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6">
    <w:name w:val="xl2426"/>
    <w:basedOn w:val="Normal"/>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7">
    <w:name w:val="xl2427"/>
    <w:basedOn w:val="Normal"/>
    <w:rsid w:val="009630A9"/>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8">
    <w:name w:val="xl2428"/>
    <w:basedOn w:val="Normal"/>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29">
    <w:name w:val="xl2429"/>
    <w:basedOn w:val="Normal"/>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30">
    <w:name w:val="xl2430"/>
    <w:basedOn w:val="Normal"/>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8"/>
      <w:szCs w:val="18"/>
      <w:lang w:eastAsia="zh-CN"/>
    </w:rPr>
  </w:style>
  <w:style w:type="paragraph" w:customStyle="1" w:styleId="Pa0">
    <w:name w:val="Pa0"/>
    <w:basedOn w:val="Default"/>
    <w:next w:val="Default"/>
    <w:uiPriority w:val="99"/>
    <w:rsid w:val="009630A9"/>
    <w:pPr>
      <w:spacing w:line="191" w:lineRule="atLeast"/>
    </w:pPr>
    <w:rPr>
      <w:rFonts w:ascii="Calibri Light" w:hAnsi="Calibri Light" w:cs="Times New Roman"/>
      <w:color w:val="auto"/>
      <w:lang w:val="en-GB"/>
    </w:rPr>
  </w:style>
  <w:style w:type="paragraph" w:customStyle="1" w:styleId="xl2431">
    <w:name w:val="xl2431"/>
    <w:basedOn w:val="Normal"/>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2">
    <w:name w:val="xl2432"/>
    <w:basedOn w:val="Normal"/>
    <w:rsid w:val="009630A9"/>
    <w:pPr>
      <w:pBdr>
        <w:top w:val="single" w:sz="4" w:space="0" w:color="auto"/>
        <w:left w:val="single" w:sz="8"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3">
    <w:name w:val="xl2433"/>
    <w:basedOn w:val="Normal"/>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4">
    <w:name w:val="xl2434"/>
    <w:basedOn w:val="Normal"/>
    <w:rsid w:val="009630A9"/>
    <w:pPr>
      <w:pBdr>
        <w:top w:val="single" w:sz="4" w:space="0" w:color="auto"/>
        <w:left w:val="single" w:sz="4" w:space="0" w:color="auto"/>
        <w:bottom w:val="single" w:sz="4" w:space="0" w:color="auto"/>
        <w:right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5">
    <w:name w:val="xl2435"/>
    <w:basedOn w:val="Normal"/>
    <w:rsid w:val="009630A9"/>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6">
    <w:name w:val="xl2436"/>
    <w:basedOn w:val="Normal"/>
    <w:rsid w:val="009630A9"/>
    <w:pPr>
      <w:pBdr>
        <w:top w:val="single" w:sz="4" w:space="0" w:color="auto"/>
        <w:left w:val="single" w:sz="4" w:space="0" w:color="auto"/>
        <w:bottom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7">
    <w:name w:val="xl2437"/>
    <w:basedOn w:val="Normal"/>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8">
    <w:name w:val="xl2438"/>
    <w:basedOn w:val="Normal"/>
    <w:rsid w:val="009630A9"/>
    <w:pPr>
      <w:pBdr>
        <w:top w:val="single" w:sz="4" w:space="0" w:color="auto"/>
        <w:left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9">
    <w:name w:val="xl2439"/>
    <w:basedOn w:val="Normal"/>
    <w:rsid w:val="009630A9"/>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0">
    <w:name w:val="xl2440"/>
    <w:basedOn w:val="Normal"/>
    <w:rsid w:val="009630A9"/>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1">
    <w:name w:val="xl2441"/>
    <w:basedOn w:val="Normal"/>
    <w:rsid w:val="009630A9"/>
    <w:pPr>
      <w:pBdr>
        <w:left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2">
    <w:name w:val="xl2442"/>
    <w:basedOn w:val="Normal"/>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3">
    <w:name w:val="xl2443"/>
    <w:basedOn w:val="Normal"/>
    <w:rsid w:val="009630A9"/>
    <w:pPr>
      <w:pBdr>
        <w:top w:val="single" w:sz="4"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4">
    <w:name w:val="xl2444"/>
    <w:basedOn w:val="Normal"/>
    <w:rsid w:val="009630A9"/>
    <w:pPr>
      <w:pBdr>
        <w:top w:val="single" w:sz="4" w:space="0" w:color="auto"/>
        <w:left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5">
    <w:name w:val="xl2445"/>
    <w:basedOn w:val="Normal"/>
    <w:rsid w:val="009630A9"/>
    <w:pPr>
      <w:pBdr>
        <w:top w:val="single" w:sz="4" w:space="0" w:color="auto"/>
        <w:left w:val="single" w:sz="4" w:space="0" w:color="auto"/>
        <w:bottom w:val="single" w:sz="8"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6">
    <w:name w:val="xl2446"/>
    <w:basedOn w:val="Normal"/>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47">
    <w:name w:val="xl2447"/>
    <w:basedOn w:val="Normal"/>
    <w:rsid w:val="009630A9"/>
    <w:pPr>
      <w:pBdr>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8">
    <w:name w:val="xl2448"/>
    <w:basedOn w:val="Normal"/>
    <w:rsid w:val="009630A9"/>
    <w:pPr>
      <w:pBdr>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9">
    <w:name w:val="xl2449"/>
    <w:basedOn w:val="Normal"/>
    <w:rsid w:val="009630A9"/>
    <w:pPr>
      <w:pBdr>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0">
    <w:name w:val="xl2450"/>
    <w:basedOn w:val="Normal"/>
    <w:rsid w:val="009630A9"/>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1">
    <w:name w:val="xl2451"/>
    <w:basedOn w:val="Normal"/>
    <w:rsid w:val="009630A9"/>
    <w:pPr>
      <w:pBdr>
        <w:left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52">
    <w:name w:val="xl2452"/>
    <w:basedOn w:val="Normal"/>
    <w:rsid w:val="009630A9"/>
    <w:pPr>
      <w:pBdr>
        <w:left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3">
    <w:name w:val="xl2453"/>
    <w:basedOn w:val="Normal"/>
    <w:rsid w:val="009630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4">
    <w:name w:val="xl2454"/>
    <w:basedOn w:val="Normal"/>
    <w:rsid w:val="009630A9"/>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55">
    <w:name w:val="xl2455"/>
    <w:basedOn w:val="Normal"/>
    <w:rsid w:val="009630A9"/>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6">
    <w:name w:val="xl2456"/>
    <w:basedOn w:val="Normal"/>
    <w:rsid w:val="009630A9"/>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7">
    <w:name w:val="xl2457"/>
    <w:basedOn w:val="Normal"/>
    <w:rsid w:val="009630A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8">
    <w:name w:val="xl2458"/>
    <w:basedOn w:val="Normal"/>
    <w:rsid w:val="009630A9"/>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9">
    <w:name w:val="xl2459"/>
    <w:basedOn w:val="Normal"/>
    <w:rsid w:val="009630A9"/>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0">
    <w:name w:val="xl2460"/>
    <w:basedOn w:val="Normal"/>
    <w:rsid w:val="009630A9"/>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1">
    <w:name w:val="xl2461"/>
    <w:basedOn w:val="Normal"/>
    <w:rsid w:val="009630A9"/>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62">
    <w:name w:val="xl2462"/>
    <w:basedOn w:val="Normal"/>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3">
    <w:name w:val="xl2463"/>
    <w:basedOn w:val="Normal"/>
    <w:rsid w:val="009630A9"/>
    <w:pPr>
      <w:pBdr>
        <w:left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4">
    <w:name w:val="xl2464"/>
    <w:basedOn w:val="Normal"/>
    <w:rsid w:val="009630A9"/>
    <w:pPr>
      <w:pBdr>
        <w:top w:val="single" w:sz="4"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5">
    <w:name w:val="xl2465"/>
    <w:basedOn w:val="Normal"/>
    <w:rsid w:val="009630A9"/>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6">
    <w:name w:val="xl2466"/>
    <w:basedOn w:val="Normal"/>
    <w:rsid w:val="009630A9"/>
    <w:pPr>
      <w:pBdr>
        <w:top w:val="single" w:sz="8"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7">
    <w:name w:val="xl2467"/>
    <w:basedOn w:val="Normal"/>
    <w:rsid w:val="009630A9"/>
    <w:pPr>
      <w:pBdr>
        <w:top w:val="single" w:sz="8" w:space="0" w:color="auto"/>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8">
    <w:name w:val="xl2468"/>
    <w:basedOn w:val="Normal"/>
    <w:rsid w:val="009630A9"/>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9">
    <w:name w:val="xl2469"/>
    <w:basedOn w:val="Normal"/>
    <w:rsid w:val="009630A9"/>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0">
    <w:name w:val="xl2470"/>
    <w:basedOn w:val="Normal"/>
    <w:rsid w:val="009630A9"/>
    <w:pPr>
      <w:pBdr>
        <w:top w:val="single" w:sz="4" w:space="0" w:color="auto"/>
        <w:left w:val="single" w:sz="8"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1">
    <w:name w:val="xl2471"/>
    <w:basedOn w:val="Normal"/>
    <w:rsid w:val="009630A9"/>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72">
    <w:name w:val="xl2472"/>
    <w:basedOn w:val="Normal"/>
    <w:rsid w:val="009630A9"/>
    <w:pPr>
      <w:pBdr>
        <w:top w:val="single" w:sz="4"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3">
    <w:name w:val="xl2473"/>
    <w:basedOn w:val="Normal"/>
    <w:rsid w:val="009630A9"/>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74">
    <w:name w:val="xl2474"/>
    <w:basedOn w:val="Normal"/>
    <w:rsid w:val="009630A9"/>
    <w:pPr>
      <w:pBdr>
        <w:top w:val="single" w:sz="8" w:space="0" w:color="auto"/>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5">
    <w:name w:val="xl2475"/>
    <w:basedOn w:val="Normal"/>
    <w:rsid w:val="009630A9"/>
    <w:pPr>
      <w:pBdr>
        <w:top w:val="double" w:sz="6" w:space="0" w:color="auto"/>
        <w:left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6">
    <w:name w:val="xl2476"/>
    <w:basedOn w:val="Normal"/>
    <w:rsid w:val="009630A9"/>
    <w:pPr>
      <w:pBdr>
        <w:top w:val="double" w:sz="6"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7">
    <w:name w:val="xl2477"/>
    <w:basedOn w:val="Normal"/>
    <w:rsid w:val="009630A9"/>
    <w:pPr>
      <w:pBdr>
        <w:top w:val="double" w:sz="6" w:space="0" w:color="auto"/>
        <w:bottom w:val="single" w:sz="8"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8">
    <w:name w:val="xl2478"/>
    <w:basedOn w:val="Normal"/>
    <w:rsid w:val="009630A9"/>
    <w:pPr>
      <w:pBdr>
        <w:top w:val="single" w:sz="4" w:space="0" w:color="auto"/>
        <w:lef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9">
    <w:name w:val="xl2479"/>
    <w:basedOn w:val="Normal"/>
    <w:rsid w:val="009630A9"/>
    <w:pPr>
      <w:pBdr>
        <w:top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80">
    <w:name w:val="xl2480"/>
    <w:basedOn w:val="Normal"/>
    <w:rsid w:val="009630A9"/>
    <w:pPr>
      <w:pBdr>
        <w:top w:val="single" w:sz="8" w:space="0" w:color="auto"/>
        <w:left w:val="single" w:sz="4" w:space="0" w:color="auto"/>
        <w:bottom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81">
    <w:name w:val="xl2481"/>
    <w:basedOn w:val="Normal"/>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2">
    <w:name w:val="xl2482"/>
    <w:basedOn w:val="Normal"/>
    <w:rsid w:val="009630A9"/>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3">
    <w:name w:val="xl2483"/>
    <w:basedOn w:val="Normal"/>
    <w:rsid w:val="009630A9"/>
    <w:pPr>
      <w:pBdr>
        <w:left w:val="single" w:sz="8"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4">
    <w:name w:val="xl2484"/>
    <w:basedOn w:val="Normal"/>
    <w:rsid w:val="009630A9"/>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5">
    <w:name w:val="xl2485"/>
    <w:basedOn w:val="Normal"/>
    <w:rsid w:val="009630A9"/>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6">
    <w:name w:val="xl2486"/>
    <w:basedOn w:val="Normal"/>
    <w:rsid w:val="009630A9"/>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7">
    <w:name w:val="xl2487"/>
    <w:basedOn w:val="Normal"/>
    <w:rsid w:val="009630A9"/>
    <w:pPr>
      <w:pBdr>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8">
    <w:name w:val="xl2488"/>
    <w:basedOn w:val="Normal"/>
    <w:rsid w:val="009630A9"/>
    <w:pPr>
      <w:pBdr>
        <w:left w:val="single" w:sz="8"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9">
    <w:name w:val="xl2489"/>
    <w:basedOn w:val="Normal"/>
    <w:rsid w:val="009630A9"/>
    <w:pPr>
      <w:pBdr>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90">
    <w:name w:val="xl2490"/>
    <w:basedOn w:val="Normal"/>
    <w:rsid w:val="009630A9"/>
    <w:pPr>
      <w:pBdr>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91">
    <w:name w:val="xl2491"/>
    <w:basedOn w:val="Normal"/>
    <w:rsid w:val="009630A9"/>
    <w:pPr>
      <w:pBdr>
        <w:left w:val="single" w:sz="4" w:space="0" w:color="auto"/>
        <w:bottom w:val="single" w:sz="8"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character" w:styleId="PlaceholderText">
    <w:name w:val="Placeholder Text"/>
    <w:basedOn w:val="DefaultParagraphFont"/>
    <w:uiPriority w:val="99"/>
    <w:semiHidden/>
    <w:rsid w:val="009630A9"/>
    <w:rPr>
      <w:color w:val="808080"/>
    </w:rPr>
  </w:style>
  <w:style w:type="character" w:customStyle="1" w:styleId="lang-en">
    <w:name w:val="lang-en"/>
    <w:basedOn w:val="DefaultParagraphFont"/>
    <w:rsid w:val="009630A9"/>
  </w:style>
  <w:style w:type="character" w:customStyle="1" w:styleId="shorttext">
    <w:name w:val="short_text"/>
    <w:basedOn w:val="DefaultParagraphFont"/>
    <w:rsid w:val="009630A9"/>
  </w:style>
  <w:style w:type="character" w:customStyle="1" w:styleId="labellist">
    <w:name w:val="label_list"/>
    <w:basedOn w:val="DefaultParagraphFont"/>
    <w:rsid w:val="009630A9"/>
  </w:style>
  <w:style w:type="character" w:customStyle="1" w:styleId="Appdef">
    <w:name w:val="App_def"/>
    <w:basedOn w:val="DefaultParagraphFont"/>
    <w:rsid w:val="009630A9"/>
    <w:rPr>
      <w:rFonts w:ascii="Times New Roman" w:hAnsi="Times New Roman" w:cs="Times New Roman" w:hint="default"/>
      <w:b/>
      <w:bCs w:val="0"/>
    </w:rPr>
  </w:style>
  <w:style w:type="character" w:customStyle="1" w:styleId="Appref">
    <w:name w:val="App_ref"/>
    <w:basedOn w:val="DefaultParagraphFont"/>
    <w:rsid w:val="009630A9"/>
  </w:style>
  <w:style w:type="character" w:customStyle="1" w:styleId="Artdef">
    <w:name w:val="Art_def"/>
    <w:basedOn w:val="DefaultParagraphFont"/>
    <w:rsid w:val="009630A9"/>
    <w:rPr>
      <w:rFonts w:ascii="Times New Roman" w:hAnsi="Times New Roman" w:cs="Times New Roman" w:hint="default"/>
      <w:b/>
      <w:bCs w:val="0"/>
    </w:rPr>
  </w:style>
  <w:style w:type="character" w:customStyle="1" w:styleId="Artref">
    <w:name w:val="Art_ref"/>
    <w:basedOn w:val="DefaultParagraphFont"/>
    <w:rsid w:val="009630A9"/>
  </w:style>
  <w:style w:type="character" w:customStyle="1" w:styleId="Recdef">
    <w:name w:val="Rec_def"/>
    <w:basedOn w:val="DefaultParagraphFont"/>
    <w:rsid w:val="009630A9"/>
    <w:rPr>
      <w:b/>
      <w:bCs w:val="0"/>
    </w:rPr>
  </w:style>
  <w:style w:type="character" w:customStyle="1" w:styleId="Resdef">
    <w:name w:val="Res_def"/>
    <w:basedOn w:val="DefaultParagraphFont"/>
    <w:rsid w:val="009630A9"/>
    <w:rPr>
      <w:rFonts w:ascii="Times New Roman" w:hAnsi="Times New Roman" w:cs="Times New Roman" w:hint="default"/>
      <w:b/>
      <w:bCs w:val="0"/>
    </w:rPr>
  </w:style>
  <w:style w:type="character" w:customStyle="1" w:styleId="Tablefreq">
    <w:name w:val="Table_freq"/>
    <w:basedOn w:val="DefaultParagraphFont"/>
    <w:rsid w:val="009630A9"/>
    <w:rPr>
      <w:b/>
      <w:bCs w:val="0"/>
      <w:color w:val="auto"/>
    </w:rPr>
  </w:style>
  <w:style w:type="character" w:customStyle="1" w:styleId="HTMLMarkup">
    <w:name w:val="HTML Markup"/>
    <w:rsid w:val="009630A9"/>
    <w:rPr>
      <w:vanish/>
      <w:webHidden w:val="0"/>
      <w:color w:val="FF0000"/>
      <w:specVanish w:val="0"/>
    </w:rPr>
  </w:style>
  <w:style w:type="character" w:customStyle="1" w:styleId="Definition">
    <w:name w:val="Definition"/>
    <w:rsid w:val="009630A9"/>
    <w:rPr>
      <w:i/>
      <w:iCs w:val="0"/>
    </w:rPr>
  </w:style>
  <w:style w:type="character" w:customStyle="1" w:styleId="CITE">
    <w:name w:val="CITE"/>
    <w:rsid w:val="009630A9"/>
    <w:rPr>
      <w:i/>
      <w:iCs w:val="0"/>
    </w:rPr>
  </w:style>
  <w:style w:type="character" w:customStyle="1" w:styleId="CODE">
    <w:name w:val="CODE"/>
    <w:rsid w:val="009630A9"/>
    <w:rPr>
      <w:rFonts w:ascii="Courier New" w:hAnsi="Courier New" w:cs="Courier New" w:hint="default"/>
      <w:sz w:val="20"/>
    </w:rPr>
  </w:style>
  <w:style w:type="character" w:customStyle="1" w:styleId="Keyboard">
    <w:name w:val="Keyboard"/>
    <w:rsid w:val="009630A9"/>
    <w:rPr>
      <w:rFonts w:ascii="Courier New" w:hAnsi="Courier New" w:cs="Courier New" w:hint="default"/>
      <w:b/>
      <w:bCs w:val="0"/>
      <w:sz w:val="20"/>
    </w:rPr>
  </w:style>
  <w:style w:type="character" w:customStyle="1" w:styleId="Sample">
    <w:name w:val="Sample"/>
    <w:rsid w:val="009630A9"/>
    <w:rPr>
      <w:rFonts w:ascii="Courier New" w:hAnsi="Courier New" w:cs="Courier New" w:hint="default"/>
    </w:rPr>
  </w:style>
  <w:style w:type="character" w:customStyle="1" w:styleId="Typewriter">
    <w:name w:val="Typewriter"/>
    <w:rsid w:val="009630A9"/>
    <w:rPr>
      <w:rFonts w:ascii="Courier New" w:hAnsi="Courier New" w:cs="Courier New" w:hint="default"/>
      <w:sz w:val="20"/>
    </w:rPr>
  </w:style>
  <w:style w:type="character" w:customStyle="1" w:styleId="Variable">
    <w:name w:val="Variable"/>
    <w:rsid w:val="009630A9"/>
    <w:rPr>
      <w:i/>
      <w:iCs w:val="0"/>
    </w:rPr>
  </w:style>
  <w:style w:type="character" w:customStyle="1" w:styleId="Comment">
    <w:name w:val="Comment"/>
    <w:rsid w:val="009630A9"/>
    <w:rPr>
      <w:vanish/>
      <w:webHidden w:val="0"/>
      <w:specVanish w:val="0"/>
    </w:rPr>
  </w:style>
  <w:style w:type="character" w:customStyle="1" w:styleId="TabletitleChar">
    <w:name w:val="Table_title Char"/>
    <w:basedOn w:val="DefaultParagraphFont"/>
    <w:link w:val="Tabletitle"/>
    <w:locked/>
    <w:rsid w:val="009630A9"/>
    <w:rPr>
      <w:rFonts w:ascii="Calibri" w:eastAsia="SimSun" w:hAnsi="Calibri"/>
      <w:b/>
      <w:sz w:val="24"/>
      <w:lang w:val="en-GB" w:eastAsia="en-US"/>
    </w:rPr>
  </w:style>
  <w:style w:type="table" w:customStyle="1" w:styleId="GridTable1Light-Accent51">
    <w:name w:val="Grid Table 1 Light - Accent 51"/>
    <w:basedOn w:val="TableNormal"/>
    <w:uiPriority w:val="46"/>
    <w:rsid w:val="009630A9"/>
    <w:rPr>
      <w:rFonts w:asciiTheme="minorHAnsi" w:hAnsiTheme="minorHAnsi" w:cstheme="minorBidi"/>
      <w:sz w:val="22"/>
      <w:szCs w:val="22"/>
      <w:lang w:val="en-GB"/>
    </w:rPr>
    <w:tblPr>
      <w:tblStyleRowBandSize w:val="1"/>
      <w:tblStyleColBandSize w:val="1"/>
      <w:tblInd w:w="0" w:type="nil"/>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1Light-Accent51">
    <w:name w:val="List Table 1 Light - Accent 51"/>
    <w:basedOn w:val="TableNormal"/>
    <w:uiPriority w:val="46"/>
    <w:rsid w:val="009630A9"/>
    <w:rPr>
      <w:rFonts w:asciiTheme="minorHAnsi" w:hAnsiTheme="minorHAnsi" w:cstheme="minorBidi"/>
      <w:sz w:val="22"/>
      <w:szCs w:val="22"/>
      <w:lang w:val="en-GB"/>
    </w:rPr>
    <w:tblPr>
      <w:tblStyleRowBandSize w:val="1"/>
      <w:tblStyleColBandSize w:val="1"/>
      <w:tblInd w:w="0" w:type="nil"/>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DarkList1">
    <w:name w:val="Dark List1"/>
    <w:basedOn w:val="TableNormal"/>
    <w:uiPriority w:val="70"/>
    <w:rsid w:val="009630A9"/>
    <w:rPr>
      <w:rFonts w:asciiTheme="minorHAnsi" w:hAnsiTheme="minorHAnsi" w:cstheme="minorBidi"/>
      <w:color w:val="FFFFFF" w:themeColor="background1"/>
      <w:sz w:val="22"/>
      <w:szCs w:val="22"/>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11">
    <w:name w:val="Dark List11"/>
    <w:basedOn w:val="TableNormal"/>
    <w:uiPriority w:val="70"/>
    <w:rsid w:val="009630A9"/>
    <w:rPr>
      <w:rFonts w:asciiTheme="minorHAnsi" w:hAnsiTheme="minorHAnsi" w:cstheme="minorBidi"/>
      <w:color w:val="FFFFFF" w:themeColor="background1"/>
      <w:sz w:val="22"/>
      <w:szCs w:val="22"/>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TableGrid6">
    <w:name w:val="Table Grid6"/>
    <w:basedOn w:val="TableNormal"/>
    <w:uiPriority w:val="59"/>
    <w:rsid w:val="009630A9"/>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9630A9"/>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9630A9"/>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
    <w:name w:val="AnnexB4"/>
    <w:basedOn w:val="TableNormal"/>
    <w:uiPriority w:val="99"/>
    <w:rsid w:val="009630A9"/>
    <w:rPr>
      <w:rFonts w:ascii="Calibri"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numbering" w:customStyle="1" w:styleId="Style3">
    <w:name w:val="Style3"/>
    <w:uiPriority w:val="99"/>
    <w:rsid w:val="009630A9"/>
    <w:pPr>
      <w:numPr>
        <w:numId w:val="11"/>
      </w:numPr>
    </w:pPr>
  </w:style>
  <w:style w:type="numbering" w:customStyle="1" w:styleId="Style2">
    <w:name w:val="Style2"/>
    <w:uiPriority w:val="99"/>
    <w:rsid w:val="009630A9"/>
    <w:pPr>
      <w:numPr>
        <w:numId w:val="12"/>
      </w:numPr>
    </w:pPr>
  </w:style>
  <w:style w:type="paragraph" w:customStyle="1" w:styleId="xl2492">
    <w:name w:val="xl2492"/>
    <w:basedOn w:val="Normal"/>
    <w:rsid w:val="009630A9"/>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imes New Roman" w:hAnsi="Century Gothic"/>
      <w:b/>
      <w:bCs/>
      <w:color w:val="000000"/>
      <w:sz w:val="16"/>
      <w:szCs w:val="16"/>
      <w:lang w:val="en-US" w:eastAsia="zh-CN"/>
    </w:rPr>
  </w:style>
  <w:style w:type="paragraph" w:customStyle="1" w:styleId="xl2493">
    <w:name w:val="xl2493"/>
    <w:basedOn w:val="Normal"/>
    <w:rsid w:val="009630A9"/>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494">
    <w:name w:val="xl2494"/>
    <w:basedOn w:val="Normal"/>
    <w:rsid w:val="009630A9"/>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495">
    <w:name w:val="xl2495"/>
    <w:basedOn w:val="Normal"/>
    <w:rsid w:val="009630A9"/>
    <w:pPr>
      <w:pBdr>
        <w:top w:val="single" w:sz="4" w:space="0" w:color="auto"/>
        <w:left w:val="single" w:sz="4" w:space="0" w:color="auto"/>
        <w:bottom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496">
    <w:name w:val="xl2496"/>
    <w:basedOn w:val="Normal"/>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497">
    <w:name w:val="xl2497"/>
    <w:basedOn w:val="Normal"/>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imes New Roman" w:hAnsi="Century Gothic"/>
      <w:color w:val="C00000"/>
      <w:sz w:val="16"/>
      <w:szCs w:val="16"/>
      <w:lang w:val="en-US" w:eastAsia="zh-CN"/>
    </w:rPr>
  </w:style>
  <w:style w:type="paragraph" w:customStyle="1" w:styleId="xl2498">
    <w:name w:val="xl2498"/>
    <w:basedOn w:val="Normal"/>
    <w:rsid w:val="009630A9"/>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imes New Roman" w:hAnsi="Century Gothic"/>
      <w:color w:val="C00000"/>
      <w:sz w:val="16"/>
      <w:szCs w:val="16"/>
      <w:lang w:val="en-US" w:eastAsia="zh-CN"/>
    </w:rPr>
  </w:style>
  <w:style w:type="paragraph" w:customStyle="1" w:styleId="xl2499">
    <w:name w:val="xl2499"/>
    <w:basedOn w:val="Normal"/>
    <w:rsid w:val="009630A9"/>
    <w:pPr>
      <w:pBdr>
        <w:top w:val="single" w:sz="4" w:space="0" w:color="auto"/>
        <w:left w:val="single" w:sz="4" w:space="0" w:color="auto"/>
        <w:bottom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500">
    <w:name w:val="xl2500"/>
    <w:basedOn w:val="Normal"/>
    <w:rsid w:val="009630A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501">
    <w:name w:val="xl2501"/>
    <w:basedOn w:val="Normal"/>
    <w:rsid w:val="009630A9"/>
    <w:pPr>
      <w:pBdr>
        <w:top w:val="single" w:sz="4" w:space="0" w:color="auto"/>
        <w:left w:val="single" w:sz="8"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502">
    <w:name w:val="xl2502"/>
    <w:basedOn w:val="Normal"/>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503">
    <w:name w:val="xl2503"/>
    <w:basedOn w:val="Normal"/>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04">
    <w:name w:val="xl2504"/>
    <w:basedOn w:val="Normal"/>
    <w:rsid w:val="009630A9"/>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05">
    <w:name w:val="xl2505"/>
    <w:basedOn w:val="Normal"/>
    <w:rsid w:val="009630A9"/>
    <w:pPr>
      <w:pBdr>
        <w:top w:val="single" w:sz="4" w:space="0" w:color="auto"/>
        <w:left w:val="single" w:sz="8"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506">
    <w:name w:val="xl2506"/>
    <w:basedOn w:val="Normal"/>
    <w:rsid w:val="009630A9"/>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imes New Roman" w:hAnsi="Century Gothic"/>
      <w:color w:val="C00000"/>
      <w:sz w:val="16"/>
      <w:szCs w:val="16"/>
      <w:lang w:val="en-US" w:eastAsia="zh-CN"/>
    </w:rPr>
  </w:style>
  <w:style w:type="paragraph" w:customStyle="1" w:styleId="xl2507">
    <w:name w:val="xl2507"/>
    <w:basedOn w:val="Normal"/>
    <w:rsid w:val="009630A9"/>
    <w:pPr>
      <w:pBdr>
        <w:top w:val="single" w:sz="4" w:space="0" w:color="auto"/>
        <w:left w:val="single" w:sz="8"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508">
    <w:name w:val="xl2508"/>
    <w:basedOn w:val="Normal"/>
    <w:rsid w:val="009630A9"/>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09">
    <w:name w:val="xl2509"/>
    <w:basedOn w:val="Normal"/>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imes New Roman" w:hAnsi="Century Gothic"/>
      <w:color w:val="000000"/>
      <w:sz w:val="16"/>
      <w:szCs w:val="16"/>
      <w:lang w:val="en-US" w:eastAsia="zh-CN"/>
    </w:rPr>
  </w:style>
  <w:style w:type="paragraph" w:customStyle="1" w:styleId="xl2510">
    <w:name w:val="xl2510"/>
    <w:basedOn w:val="Normal"/>
    <w:rsid w:val="009630A9"/>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11">
    <w:name w:val="xl2511"/>
    <w:basedOn w:val="Normal"/>
    <w:rsid w:val="009630A9"/>
    <w:pPr>
      <w:pBdr>
        <w:top w:val="single" w:sz="4" w:space="0" w:color="auto"/>
        <w:left w:val="single" w:sz="4" w:space="0" w:color="auto"/>
        <w:bottom w:val="single" w:sz="4" w:space="0" w:color="auto"/>
        <w:right w:val="single" w:sz="4" w:space="0" w:color="auto"/>
      </w:pBd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imes New Roman" w:hAnsi="Century Gothic"/>
      <w:color w:val="000000"/>
      <w:sz w:val="16"/>
      <w:szCs w:val="16"/>
      <w:lang w:val="en-US" w:eastAsia="zh-CN"/>
    </w:rPr>
  </w:style>
  <w:style w:type="paragraph" w:customStyle="1" w:styleId="xl2512">
    <w:name w:val="xl2512"/>
    <w:basedOn w:val="Normal"/>
    <w:rsid w:val="009630A9"/>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imes New Roman" w:hAnsi="Century Gothic"/>
      <w:color w:val="000000"/>
      <w:sz w:val="16"/>
      <w:szCs w:val="16"/>
      <w:lang w:val="en-US" w:eastAsia="zh-CN"/>
    </w:rPr>
  </w:style>
  <w:style w:type="paragraph" w:customStyle="1" w:styleId="xl2513">
    <w:name w:val="xl2513"/>
    <w:basedOn w:val="Normal"/>
    <w:rsid w:val="009630A9"/>
    <w:pPr>
      <w:pBdr>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4">
    <w:name w:val="xl2514"/>
    <w:basedOn w:val="Normal"/>
    <w:rsid w:val="009630A9"/>
    <w:pPr>
      <w:pBdr>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515">
    <w:name w:val="xl2515"/>
    <w:basedOn w:val="Normal"/>
    <w:rsid w:val="009630A9"/>
    <w:pPr>
      <w:pBdr>
        <w:left w:val="single" w:sz="4" w:space="0" w:color="auto"/>
        <w:bottom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6">
    <w:name w:val="xl2516"/>
    <w:basedOn w:val="Normal"/>
    <w:rsid w:val="009630A9"/>
    <w:pPr>
      <w:pBdr>
        <w:top w:val="single" w:sz="4" w:space="0" w:color="auto"/>
        <w:left w:val="single" w:sz="4" w:space="0" w:color="auto"/>
        <w:bottom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7">
    <w:name w:val="xl2517"/>
    <w:basedOn w:val="Normal"/>
    <w:rsid w:val="009630A9"/>
    <w:pPr>
      <w:pBdr>
        <w:top w:val="single" w:sz="4" w:space="0" w:color="auto"/>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8">
    <w:name w:val="xl2518"/>
    <w:basedOn w:val="Normal"/>
    <w:rsid w:val="009630A9"/>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9">
    <w:name w:val="xl2519"/>
    <w:basedOn w:val="Normal"/>
    <w:rsid w:val="009630A9"/>
    <w:pPr>
      <w:pBdr>
        <w:left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20">
    <w:name w:val="xl2520"/>
    <w:basedOn w:val="Normal"/>
    <w:rsid w:val="009630A9"/>
    <w:pPr>
      <w:pBdr>
        <w:left w:val="single" w:sz="8"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b/>
      <w:bCs/>
      <w:color w:val="000000"/>
      <w:sz w:val="16"/>
      <w:szCs w:val="16"/>
      <w:lang w:val="en-US" w:eastAsia="zh-CN"/>
    </w:rPr>
  </w:style>
  <w:style w:type="paragraph" w:customStyle="1" w:styleId="xl2521">
    <w:name w:val="xl2521"/>
    <w:basedOn w:val="Normal"/>
    <w:rsid w:val="009630A9"/>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imes New Roman" w:hAnsi="Century Gothic"/>
      <w:b/>
      <w:bCs/>
      <w:color w:val="000000"/>
      <w:sz w:val="16"/>
      <w:szCs w:val="16"/>
      <w:lang w:val="en-US" w:eastAsia="zh-CN"/>
    </w:rPr>
  </w:style>
  <w:style w:type="paragraph" w:customStyle="1" w:styleId="xl2522">
    <w:name w:val="xl2522"/>
    <w:basedOn w:val="Normal"/>
    <w:rsid w:val="009630A9"/>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523">
    <w:name w:val="xl2523"/>
    <w:basedOn w:val="Normal"/>
    <w:rsid w:val="009630A9"/>
    <w:pPr>
      <w:pBdr>
        <w:left w:val="single" w:sz="4" w:space="0" w:color="auto"/>
        <w:bottom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524">
    <w:name w:val="xl2524"/>
    <w:basedOn w:val="Normal"/>
    <w:rsid w:val="009630A9"/>
    <w:pPr>
      <w:pBdr>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numbering" w:customStyle="1" w:styleId="NoList11">
    <w:name w:val="No List11"/>
    <w:next w:val="NoList"/>
    <w:uiPriority w:val="99"/>
    <w:semiHidden/>
    <w:unhideWhenUsed/>
    <w:rsid w:val="009630A9"/>
  </w:style>
  <w:style w:type="table" w:customStyle="1" w:styleId="TableGrid8">
    <w:name w:val="Table Grid8"/>
    <w:basedOn w:val="TableNormal"/>
    <w:next w:val="TableGrid"/>
    <w:rsid w:val="009630A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next w:val="EndnoteText"/>
    <w:uiPriority w:val="99"/>
    <w:semiHidden/>
    <w:unhideWhenUsed/>
    <w:rsid w:val="009630A9"/>
    <w:pPr>
      <w:tabs>
        <w:tab w:val="clear" w:pos="567"/>
        <w:tab w:val="clear" w:pos="1134"/>
        <w:tab w:val="clear" w:pos="1701"/>
        <w:tab w:val="clear" w:pos="2268"/>
        <w:tab w:val="clear" w:pos="2835"/>
        <w:tab w:val="left" w:pos="794"/>
        <w:tab w:val="left" w:pos="1191"/>
        <w:tab w:val="left" w:pos="1588"/>
        <w:tab w:val="left" w:pos="1985"/>
      </w:tabs>
      <w:jc w:val="both"/>
      <w:textAlignment w:val="auto"/>
    </w:pPr>
    <w:rPr>
      <w:rFonts w:ascii="Times New Roman" w:hAnsi="Times New Roman" w:cs="Arial"/>
      <w:sz w:val="22"/>
      <w:szCs w:val="22"/>
    </w:rPr>
  </w:style>
  <w:style w:type="paragraph" w:customStyle="1" w:styleId="BodyText1">
    <w:name w:val="Body Text1"/>
    <w:basedOn w:val="Normal"/>
    <w:next w:val="BodyText"/>
    <w:uiPriority w:val="99"/>
    <w:semiHidden/>
    <w:unhideWhenUsed/>
    <w:rsid w:val="009630A9"/>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hAnsi="Times New Roman" w:cs="Arial"/>
      <w:szCs w:val="24"/>
      <w:lang w:val="en-US" w:eastAsia="zh-CN"/>
    </w:rPr>
  </w:style>
  <w:style w:type="paragraph" w:customStyle="1" w:styleId="BodyTextIndent21">
    <w:name w:val="Body Text Indent 21"/>
    <w:basedOn w:val="Normal"/>
    <w:next w:val="BodyTextIndent2"/>
    <w:uiPriority w:val="99"/>
    <w:semiHidden/>
    <w:unhideWhenUsed/>
    <w:rsid w:val="009630A9"/>
    <w:pPr>
      <w:widowControl w:val="0"/>
      <w:tabs>
        <w:tab w:val="clear" w:pos="567"/>
        <w:tab w:val="clear" w:pos="1134"/>
        <w:tab w:val="clear" w:pos="1701"/>
        <w:tab w:val="clear" w:pos="2268"/>
        <w:tab w:val="clear" w:pos="2835"/>
      </w:tabs>
      <w:kinsoku w:val="0"/>
      <w:overflowPunct/>
      <w:autoSpaceDE/>
      <w:autoSpaceDN/>
      <w:adjustRightInd/>
      <w:spacing w:before="0" w:after="120" w:line="480" w:lineRule="auto"/>
      <w:ind w:left="283"/>
      <w:textAlignment w:val="auto"/>
    </w:pPr>
    <w:rPr>
      <w:rFonts w:ascii="Times New Roman" w:hAnsi="Times New Roman" w:cs="Arial"/>
      <w:szCs w:val="24"/>
      <w:lang w:val="en-US" w:eastAsia="zh-CN"/>
    </w:rPr>
  </w:style>
  <w:style w:type="paragraph" w:customStyle="1" w:styleId="Quote1">
    <w:name w:val="Quote1"/>
    <w:basedOn w:val="Normal"/>
    <w:next w:val="Normal"/>
    <w:uiPriority w:val="29"/>
    <w:qFormat/>
    <w:rsid w:val="009630A9"/>
    <w:pPr>
      <w:spacing w:before="200" w:after="160"/>
      <w:ind w:left="864" w:right="864"/>
      <w:jc w:val="center"/>
      <w:textAlignment w:val="auto"/>
    </w:pPr>
    <w:rPr>
      <w:i/>
      <w:iCs/>
      <w:color w:val="404040"/>
    </w:rPr>
  </w:style>
  <w:style w:type="paragraph" w:customStyle="1" w:styleId="TOCHeading1">
    <w:name w:val="TOC Heading1"/>
    <w:basedOn w:val="Heading1"/>
    <w:next w:val="Normal"/>
    <w:uiPriority w:val="39"/>
    <w:semiHidden/>
    <w:unhideWhenUsed/>
    <w:qFormat/>
    <w:rsid w:val="009630A9"/>
    <w:pPr>
      <w:tabs>
        <w:tab w:val="clear" w:pos="567"/>
        <w:tab w:val="clear" w:pos="1134"/>
        <w:tab w:val="clear" w:pos="1701"/>
        <w:tab w:val="clear" w:pos="2268"/>
        <w:tab w:val="clear" w:pos="2835"/>
      </w:tabs>
      <w:overflowPunct/>
      <w:autoSpaceDE/>
      <w:autoSpaceDN/>
      <w:adjustRightInd/>
      <w:spacing w:line="276" w:lineRule="auto"/>
      <w:ind w:left="0" w:firstLine="0"/>
      <w:textAlignment w:val="auto"/>
      <w:outlineLvl w:val="9"/>
    </w:pPr>
    <w:rPr>
      <w:rFonts w:ascii="Cambria" w:hAnsi="Cambria"/>
      <w:bCs/>
      <w:color w:val="365F91"/>
      <w:szCs w:val="28"/>
      <w:lang w:val="en-US" w:eastAsia="ja-JP"/>
    </w:rPr>
  </w:style>
  <w:style w:type="table" w:customStyle="1" w:styleId="GridTable1Light-Accent511">
    <w:name w:val="Grid Table 1 Light - Accent 511"/>
    <w:basedOn w:val="TableNormal"/>
    <w:next w:val="GridTable1Light-Accent51"/>
    <w:uiPriority w:val="46"/>
    <w:rsid w:val="009630A9"/>
    <w:rPr>
      <w:rFonts w:ascii="Calibri" w:eastAsia="SimSun" w:hAnsi="Calibri" w:cs="Arial"/>
      <w:sz w:val="22"/>
      <w:szCs w:val="22"/>
      <w:lang w:val="en-GB"/>
    </w:rPr>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1Light-Accent511">
    <w:name w:val="List Table 1 Light - Accent 511"/>
    <w:basedOn w:val="TableNormal"/>
    <w:next w:val="ListTable1Light-Accent51"/>
    <w:uiPriority w:val="46"/>
    <w:rsid w:val="009630A9"/>
    <w:rPr>
      <w:rFonts w:ascii="Calibri" w:eastAsia="SimSun" w:hAnsi="Calibri" w:cs="Arial"/>
      <w:sz w:val="22"/>
      <w:szCs w:val="22"/>
      <w:lang w:val="en-GB"/>
    </w:rPr>
    <w:tblPr>
      <w:tblStyleRowBandSize w:val="1"/>
      <w:tblStyleColBandSize w:val="1"/>
      <w:tblInd w:w="0" w:type="nil"/>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DarkList12">
    <w:name w:val="Dark List12"/>
    <w:basedOn w:val="TableNormal"/>
    <w:uiPriority w:val="70"/>
    <w:rsid w:val="009630A9"/>
    <w:rPr>
      <w:rFonts w:ascii="Calibri" w:eastAsia="SimSun"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111">
    <w:name w:val="Dark List111"/>
    <w:basedOn w:val="TableNormal"/>
    <w:uiPriority w:val="70"/>
    <w:rsid w:val="009630A9"/>
    <w:rPr>
      <w:rFonts w:ascii="Calibri" w:eastAsia="SimSun"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eGrid13">
    <w:name w:val="Table Grid13"/>
    <w:basedOn w:val="TableNormal"/>
    <w:rsid w:val="009630A9"/>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630A9"/>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9630A9"/>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rsid w:val="009630A9"/>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sid w:val="009630A9"/>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1">
    <w:name w:val="AnnexB41"/>
    <w:basedOn w:val="TableNormal"/>
    <w:uiPriority w:val="99"/>
    <w:rsid w:val="009630A9"/>
    <w:rPr>
      <w:rFonts w:ascii="Calibri" w:eastAsia="SimSun"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numbering" w:customStyle="1" w:styleId="Style11">
    <w:name w:val="Style11"/>
    <w:uiPriority w:val="99"/>
    <w:rsid w:val="009630A9"/>
  </w:style>
  <w:style w:type="numbering" w:customStyle="1" w:styleId="Style31">
    <w:name w:val="Style31"/>
    <w:uiPriority w:val="99"/>
    <w:rsid w:val="009630A9"/>
  </w:style>
  <w:style w:type="numbering" w:customStyle="1" w:styleId="Style21">
    <w:name w:val="Style21"/>
    <w:uiPriority w:val="99"/>
    <w:rsid w:val="009630A9"/>
  </w:style>
  <w:style w:type="character" w:customStyle="1" w:styleId="EndnoteTextChar1">
    <w:name w:val="Endnote Text Char1"/>
    <w:basedOn w:val="DefaultParagraphFont"/>
    <w:uiPriority w:val="99"/>
    <w:semiHidden/>
    <w:rsid w:val="009630A9"/>
    <w:rPr>
      <w:sz w:val="20"/>
      <w:szCs w:val="20"/>
    </w:rPr>
  </w:style>
  <w:style w:type="character" w:customStyle="1" w:styleId="BodyTextChar1">
    <w:name w:val="Body Text Char1"/>
    <w:basedOn w:val="DefaultParagraphFont"/>
    <w:uiPriority w:val="99"/>
    <w:semiHidden/>
    <w:rsid w:val="009630A9"/>
  </w:style>
  <w:style w:type="character" w:customStyle="1" w:styleId="BodyTextIndent2Char1">
    <w:name w:val="Body Text Indent 2 Char1"/>
    <w:basedOn w:val="DefaultParagraphFont"/>
    <w:uiPriority w:val="99"/>
    <w:semiHidden/>
    <w:rsid w:val="009630A9"/>
  </w:style>
  <w:style w:type="character" w:customStyle="1" w:styleId="QuoteChar1">
    <w:name w:val="Quote Char1"/>
    <w:basedOn w:val="DefaultParagraphFont"/>
    <w:uiPriority w:val="29"/>
    <w:rsid w:val="009630A9"/>
    <w:rPr>
      <w:i/>
      <w:iCs/>
      <w:color w:val="404040"/>
    </w:rPr>
  </w:style>
  <w:style w:type="table" w:customStyle="1" w:styleId="GridTable1Light-Accent52">
    <w:name w:val="Grid Table 1 Light - Accent 52"/>
    <w:basedOn w:val="TableNormal"/>
    <w:next w:val="GridTable1Light-Accent51"/>
    <w:uiPriority w:val="46"/>
    <w:rsid w:val="009630A9"/>
    <w:rPr>
      <w:rFonts w:ascii="Calibri" w:eastAsia="SimSun" w:hAnsi="Calibri" w:cs="Arial"/>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2">
    <w:name w:val="List Table 1 Light - Accent 52"/>
    <w:basedOn w:val="TableNormal"/>
    <w:next w:val="ListTable1Light-Accent51"/>
    <w:uiPriority w:val="46"/>
    <w:rsid w:val="009630A9"/>
    <w:rPr>
      <w:rFonts w:ascii="Calibri" w:eastAsia="SimSun" w:hAnsi="Calibri" w:cs="Arial"/>
      <w:sz w:val="22"/>
      <w:szCs w:val="22"/>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1Light-Accent5">
    <w:name w:val="Grid Table 1 Light Accent 5"/>
    <w:basedOn w:val="TableNormal"/>
    <w:uiPriority w:val="46"/>
    <w:rsid w:val="009630A9"/>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9630A9"/>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9">
    <w:name w:val="Table Grid9"/>
    <w:basedOn w:val="TableNormal"/>
    <w:next w:val="TableGrid"/>
    <w:rsid w:val="009630A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9630A9"/>
    <w:rPr>
      <w:rFonts w:ascii="Calibri" w:eastAsia="SimSun" w:hAnsi="Calibri" w:cs="Arial"/>
      <w:sz w:val="22"/>
      <w:szCs w:val="22"/>
      <w:lang w:val="en-GB"/>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12">
    <w:name w:val="List Table 1 Light - Accent 512"/>
    <w:basedOn w:val="TableNormal"/>
    <w:uiPriority w:val="46"/>
    <w:rsid w:val="009630A9"/>
    <w:rPr>
      <w:rFonts w:ascii="Calibri" w:eastAsia="SimSun" w:hAnsi="Calibri" w:cs="Arial"/>
      <w:sz w:val="22"/>
      <w:szCs w:val="22"/>
      <w:lang w:val="en-GB"/>
    </w:rPr>
    <w:tblPr>
      <w:tblStyleRowBandSize w:val="1"/>
      <w:tblStyleColBandSize w:val="1"/>
      <w:tblInd w:w="0" w:type="nil"/>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arkList13">
    <w:name w:val="Dark List13"/>
    <w:basedOn w:val="TableNormal"/>
    <w:uiPriority w:val="70"/>
    <w:rsid w:val="009630A9"/>
    <w:rPr>
      <w:rFonts w:ascii="Calibri" w:eastAsia="SimSun"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112">
    <w:name w:val="Dark List112"/>
    <w:basedOn w:val="TableNormal"/>
    <w:uiPriority w:val="70"/>
    <w:rsid w:val="009630A9"/>
    <w:rPr>
      <w:rFonts w:ascii="Calibri" w:eastAsia="SimSun"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eGrid14">
    <w:name w:val="Table Grid14"/>
    <w:basedOn w:val="TableNormal"/>
    <w:rsid w:val="009630A9"/>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630A9"/>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9630A9"/>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59"/>
    <w:rsid w:val="009630A9"/>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uiPriority w:val="59"/>
    <w:rsid w:val="009630A9"/>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2">
    <w:name w:val="AnnexB42"/>
    <w:basedOn w:val="TableNormal"/>
    <w:uiPriority w:val="99"/>
    <w:rsid w:val="009630A9"/>
    <w:rPr>
      <w:rFonts w:ascii="Calibri" w:eastAsia="SimSun"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numbering" w:customStyle="1" w:styleId="Style12">
    <w:name w:val="Style12"/>
    <w:uiPriority w:val="99"/>
    <w:rsid w:val="009630A9"/>
  </w:style>
  <w:style w:type="numbering" w:customStyle="1" w:styleId="Style32">
    <w:name w:val="Style32"/>
    <w:uiPriority w:val="99"/>
    <w:rsid w:val="009630A9"/>
  </w:style>
  <w:style w:type="numbering" w:customStyle="1" w:styleId="Style22">
    <w:name w:val="Style22"/>
    <w:uiPriority w:val="99"/>
    <w:rsid w:val="009630A9"/>
  </w:style>
  <w:style w:type="numbering" w:customStyle="1" w:styleId="NoList12">
    <w:name w:val="No List12"/>
    <w:next w:val="NoList"/>
    <w:uiPriority w:val="99"/>
    <w:semiHidden/>
    <w:unhideWhenUsed/>
    <w:rsid w:val="009630A9"/>
  </w:style>
  <w:style w:type="numbering" w:customStyle="1" w:styleId="NoList111">
    <w:name w:val="No List111"/>
    <w:next w:val="NoList"/>
    <w:uiPriority w:val="99"/>
    <w:semiHidden/>
    <w:unhideWhenUsed/>
    <w:rsid w:val="009630A9"/>
  </w:style>
  <w:style w:type="table" w:customStyle="1" w:styleId="TableGrid81">
    <w:name w:val="Table Grid81"/>
    <w:basedOn w:val="TableNormal"/>
    <w:next w:val="TableGrid"/>
    <w:rsid w:val="009630A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next w:val="GridTable1Light-Accent51"/>
    <w:uiPriority w:val="46"/>
    <w:rsid w:val="009630A9"/>
    <w:rPr>
      <w:rFonts w:ascii="Calibri" w:eastAsia="SimSun" w:hAnsi="Calibri" w:cs="Arial"/>
      <w:sz w:val="22"/>
      <w:szCs w:val="22"/>
      <w:lang w:val="en-GB"/>
    </w:rPr>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1Light-Accent5111">
    <w:name w:val="List Table 1 Light - Accent 5111"/>
    <w:basedOn w:val="TableNormal"/>
    <w:next w:val="ListTable1Light-Accent51"/>
    <w:uiPriority w:val="46"/>
    <w:rsid w:val="009630A9"/>
    <w:rPr>
      <w:rFonts w:ascii="Calibri" w:eastAsia="SimSun" w:hAnsi="Calibri" w:cs="Arial"/>
      <w:sz w:val="22"/>
      <w:szCs w:val="22"/>
      <w:lang w:val="en-GB"/>
    </w:rPr>
    <w:tblPr>
      <w:tblStyleRowBandSize w:val="1"/>
      <w:tblStyleColBandSize w:val="1"/>
      <w:tblInd w:w="0" w:type="nil"/>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DarkList121">
    <w:name w:val="Dark List121"/>
    <w:basedOn w:val="TableNormal"/>
    <w:uiPriority w:val="70"/>
    <w:rsid w:val="009630A9"/>
    <w:rPr>
      <w:rFonts w:ascii="Calibri" w:eastAsia="SimSun"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1111">
    <w:name w:val="Dark List1111"/>
    <w:basedOn w:val="TableNormal"/>
    <w:uiPriority w:val="70"/>
    <w:rsid w:val="009630A9"/>
    <w:rPr>
      <w:rFonts w:ascii="Calibri" w:eastAsia="SimSun"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eGrid131">
    <w:name w:val="Table Grid131"/>
    <w:basedOn w:val="TableNormal"/>
    <w:rsid w:val="009630A9"/>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9630A9"/>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9630A9"/>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59"/>
    <w:rsid w:val="009630A9"/>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59"/>
    <w:rsid w:val="009630A9"/>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rsid w:val="009630A9"/>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11">
    <w:name w:val="AnnexB411"/>
    <w:basedOn w:val="TableNormal"/>
    <w:uiPriority w:val="99"/>
    <w:rsid w:val="009630A9"/>
    <w:rPr>
      <w:rFonts w:ascii="Calibri" w:eastAsia="SimSun"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numbering" w:customStyle="1" w:styleId="Style111">
    <w:name w:val="Style111"/>
    <w:uiPriority w:val="99"/>
    <w:rsid w:val="009630A9"/>
  </w:style>
  <w:style w:type="numbering" w:customStyle="1" w:styleId="Style311">
    <w:name w:val="Style311"/>
    <w:uiPriority w:val="99"/>
    <w:rsid w:val="009630A9"/>
  </w:style>
  <w:style w:type="numbering" w:customStyle="1" w:styleId="Style211">
    <w:name w:val="Style211"/>
    <w:uiPriority w:val="99"/>
    <w:rsid w:val="009630A9"/>
  </w:style>
  <w:style w:type="table" w:customStyle="1" w:styleId="GridTable1Light-Accent521">
    <w:name w:val="Grid Table 1 Light - Accent 521"/>
    <w:basedOn w:val="TableNormal"/>
    <w:next w:val="GridTable1Light-Accent51"/>
    <w:uiPriority w:val="46"/>
    <w:rsid w:val="009630A9"/>
    <w:rPr>
      <w:rFonts w:ascii="Calibri" w:eastAsia="SimSun" w:hAnsi="Calibri" w:cs="Arial"/>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21">
    <w:name w:val="List Table 1 Light - Accent 521"/>
    <w:basedOn w:val="TableNormal"/>
    <w:next w:val="ListTable1Light-Accent51"/>
    <w:uiPriority w:val="46"/>
    <w:rsid w:val="009630A9"/>
    <w:rPr>
      <w:rFonts w:ascii="Calibri" w:eastAsia="SimSun" w:hAnsi="Calibri" w:cs="Arial"/>
      <w:sz w:val="22"/>
      <w:szCs w:val="22"/>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3">
    <w:name w:val="Grid Table 1 Light - Accent 53"/>
    <w:basedOn w:val="TableNormal"/>
    <w:next w:val="GridTable1Light-Accent5"/>
    <w:uiPriority w:val="46"/>
    <w:rsid w:val="009630A9"/>
    <w:rPr>
      <w:rFonts w:ascii="Calibri" w:eastAsia="SimSun"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3">
    <w:name w:val="List Table 1 Light - Accent 53"/>
    <w:basedOn w:val="TableNormal"/>
    <w:next w:val="ListTable1Light-Accent5"/>
    <w:uiPriority w:val="46"/>
    <w:rsid w:val="009630A9"/>
    <w:rPr>
      <w:rFonts w:ascii="Calibri" w:eastAsia="SimSun"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st1">
    <w:name w:val="st1"/>
    <w:basedOn w:val="DefaultParagraphFont"/>
    <w:rsid w:val="009630A9"/>
  </w:style>
  <w:style w:type="paragraph" w:styleId="HTMLPreformatted">
    <w:name w:val="HTML Preformatted"/>
    <w:basedOn w:val="Normal"/>
    <w:link w:val="HTMLPreformattedChar"/>
    <w:uiPriority w:val="99"/>
    <w:unhideWhenUsed/>
    <w:rsid w:val="009630A9"/>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rsid w:val="009630A9"/>
    <w:rPr>
      <w:rFonts w:ascii="Courier New" w:eastAsia="Times New Roman" w:hAnsi="Courier New" w:cs="Courier New"/>
      <w:lang w:val="en-GB"/>
    </w:rPr>
  </w:style>
  <w:style w:type="numbering" w:customStyle="1" w:styleId="NoList3">
    <w:name w:val="No List3"/>
    <w:next w:val="NoList"/>
    <w:uiPriority w:val="99"/>
    <w:semiHidden/>
    <w:unhideWhenUsed/>
    <w:rsid w:val="009630A9"/>
  </w:style>
  <w:style w:type="table" w:customStyle="1" w:styleId="TableGrid10">
    <w:name w:val="Table Grid10"/>
    <w:basedOn w:val="TableNormal"/>
    <w:next w:val="TableGrid"/>
    <w:rsid w:val="009630A9"/>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30A9"/>
  </w:style>
  <w:style w:type="numbering" w:customStyle="1" w:styleId="NoList21">
    <w:name w:val="No List21"/>
    <w:next w:val="NoList"/>
    <w:uiPriority w:val="99"/>
    <w:semiHidden/>
    <w:unhideWhenUsed/>
    <w:rsid w:val="009630A9"/>
  </w:style>
  <w:style w:type="paragraph" w:customStyle="1" w:styleId="enu">
    <w:name w:val="enu"/>
    <w:basedOn w:val="Normal"/>
    <w:rsid w:val="009630A9"/>
    <w:pPr>
      <w:tabs>
        <w:tab w:val="clear" w:pos="567"/>
        <w:tab w:val="clear" w:pos="1134"/>
        <w:tab w:val="clear" w:pos="1701"/>
        <w:tab w:val="clear" w:pos="2268"/>
        <w:tab w:val="clear" w:pos="2835"/>
        <w:tab w:val="left" w:pos="794"/>
        <w:tab w:val="left" w:pos="1191"/>
        <w:tab w:val="left" w:pos="1588"/>
        <w:tab w:val="left" w:pos="1985"/>
      </w:tabs>
    </w:pPr>
    <w:rPr>
      <w:lang w:eastAsia="zh-CN"/>
    </w:rPr>
  </w:style>
  <w:style w:type="character" w:customStyle="1" w:styleId="bri">
    <w:name w:val="bri"/>
    <w:basedOn w:val="DefaultParagraphFont"/>
    <w:rsid w:val="009630A9"/>
  </w:style>
  <w:style w:type="paragraph" w:customStyle="1" w:styleId="headingb1">
    <w:name w:val="heading b"/>
    <w:basedOn w:val="Normal"/>
    <w:rsid w:val="009630A9"/>
    <w:pPr>
      <w:tabs>
        <w:tab w:val="clear" w:pos="567"/>
        <w:tab w:val="clear" w:pos="1134"/>
        <w:tab w:val="clear" w:pos="1701"/>
        <w:tab w:val="clear" w:pos="2268"/>
        <w:tab w:val="clear" w:pos="2835"/>
        <w:tab w:val="left" w:pos="794"/>
        <w:tab w:val="left" w:pos="1191"/>
        <w:tab w:val="left" w:pos="1588"/>
        <w:tab w:val="left" w:pos="1985"/>
      </w:tabs>
    </w:pPr>
    <w:rPr>
      <w:rFonts w:ascii="STKaiti" w:eastAsia="STKaiti" w:hAnsi="STKait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48">
      <w:bodyDiv w:val="1"/>
      <w:marLeft w:val="0"/>
      <w:marRight w:val="0"/>
      <w:marTop w:val="0"/>
      <w:marBottom w:val="0"/>
      <w:divBdr>
        <w:top w:val="none" w:sz="0" w:space="0" w:color="auto"/>
        <w:left w:val="none" w:sz="0" w:space="0" w:color="auto"/>
        <w:bottom w:val="none" w:sz="0" w:space="0" w:color="auto"/>
        <w:right w:val="none" w:sz="0" w:space="0" w:color="auto"/>
      </w:divBdr>
    </w:div>
    <w:div w:id="1444545">
      <w:bodyDiv w:val="1"/>
      <w:marLeft w:val="0"/>
      <w:marRight w:val="0"/>
      <w:marTop w:val="0"/>
      <w:marBottom w:val="0"/>
      <w:divBdr>
        <w:top w:val="none" w:sz="0" w:space="0" w:color="auto"/>
        <w:left w:val="none" w:sz="0" w:space="0" w:color="auto"/>
        <w:bottom w:val="none" w:sz="0" w:space="0" w:color="auto"/>
        <w:right w:val="none" w:sz="0" w:space="0" w:color="auto"/>
      </w:divBdr>
    </w:div>
    <w:div w:id="2248163">
      <w:bodyDiv w:val="1"/>
      <w:marLeft w:val="0"/>
      <w:marRight w:val="0"/>
      <w:marTop w:val="0"/>
      <w:marBottom w:val="0"/>
      <w:divBdr>
        <w:top w:val="none" w:sz="0" w:space="0" w:color="auto"/>
        <w:left w:val="none" w:sz="0" w:space="0" w:color="auto"/>
        <w:bottom w:val="none" w:sz="0" w:space="0" w:color="auto"/>
        <w:right w:val="none" w:sz="0" w:space="0" w:color="auto"/>
      </w:divBdr>
    </w:div>
    <w:div w:id="3896333">
      <w:bodyDiv w:val="1"/>
      <w:marLeft w:val="0"/>
      <w:marRight w:val="0"/>
      <w:marTop w:val="0"/>
      <w:marBottom w:val="0"/>
      <w:divBdr>
        <w:top w:val="none" w:sz="0" w:space="0" w:color="auto"/>
        <w:left w:val="none" w:sz="0" w:space="0" w:color="auto"/>
        <w:bottom w:val="none" w:sz="0" w:space="0" w:color="auto"/>
        <w:right w:val="none" w:sz="0" w:space="0" w:color="auto"/>
      </w:divBdr>
    </w:div>
    <w:div w:id="8878144">
      <w:bodyDiv w:val="1"/>
      <w:marLeft w:val="0"/>
      <w:marRight w:val="0"/>
      <w:marTop w:val="0"/>
      <w:marBottom w:val="0"/>
      <w:divBdr>
        <w:top w:val="none" w:sz="0" w:space="0" w:color="auto"/>
        <w:left w:val="none" w:sz="0" w:space="0" w:color="auto"/>
        <w:bottom w:val="none" w:sz="0" w:space="0" w:color="auto"/>
        <w:right w:val="none" w:sz="0" w:space="0" w:color="auto"/>
      </w:divBdr>
    </w:div>
    <w:div w:id="8995910">
      <w:bodyDiv w:val="1"/>
      <w:marLeft w:val="0"/>
      <w:marRight w:val="0"/>
      <w:marTop w:val="0"/>
      <w:marBottom w:val="0"/>
      <w:divBdr>
        <w:top w:val="none" w:sz="0" w:space="0" w:color="auto"/>
        <w:left w:val="none" w:sz="0" w:space="0" w:color="auto"/>
        <w:bottom w:val="none" w:sz="0" w:space="0" w:color="auto"/>
        <w:right w:val="none" w:sz="0" w:space="0" w:color="auto"/>
      </w:divBdr>
    </w:div>
    <w:div w:id="11302697">
      <w:bodyDiv w:val="1"/>
      <w:marLeft w:val="0"/>
      <w:marRight w:val="0"/>
      <w:marTop w:val="0"/>
      <w:marBottom w:val="0"/>
      <w:divBdr>
        <w:top w:val="none" w:sz="0" w:space="0" w:color="auto"/>
        <w:left w:val="none" w:sz="0" w:space="0" w:color="auto"/>
        <w:bottom w:val="none" w:sz="0" w:space="0" w:color="auto"/>
        <w:right w:val="none" w:sz="0" w:space="0" w:color="auto"/>
      </w:divBdr>
    </w:div>
    <w:div w:id="19093917">
      <w:bodyDiv w:val="1"/>
      <w:marLeft w:val="0"/>
      <w:marRight w:val="0"/>
      <w:marTop w:val="0"/>
      <w:marBottom w:val="0"/>
      <w:divBdr>
        <w:top w:val="none" w:sz="0" w:space="0" w:color="auto"/>
        <w:left w:val="none" w:sz="0" w:space="0" w:color="auto"/>
        <w:bottom w:val="none" w:sz="0" w:space="0" w:color="auto"/>
        <w:right w:val="none" w:sz="0" w:space="0" w:color="auto"/>
      </w:divBdr>
    </w:div>
    <w:div w:id="25107661">
      <w:bodyDiv w:val="1"/>
      <w:marLeft w:val="0"/>
      <w:marRight w:val="0"/>
      <w:marTop w:val="0"/>
      <w:marBottom w:val="0"/>
      <w:divBdr>
        <w:top w:val="none" w:sz="0" w:space="0" w:color="auto"/>
        <w:left w:val="none" w:sz="0" w:space="0" w:color="auto"/>
        <w:bottom w:val="none" w:sz="0" w:space="0" w:color="auto"/>
        <w:right w:val="none" w:sz="0" w:space="0" w:color="auto"/>
      </w:divBdr>
    </w:div>
    <w:div w:id="27414028">
      <w:bodyDiv w:val="1"/>
      <w:marLeft w:val="0"/>
      <w:marRight w:val="0"/>
      <w:marTop w:val="0"/>
      <w:marBottom w:val="0"/>
      <w:divBdr>
        <w:top w:val="none" w:sz="0" w:space="0" w:color="auto"/>
        <w:left w:val="none" w:sz="0" w:space="0" w:color="auto"/>
        <w:bottom w:val="none" w:sz="0" w:space="0" w:color="auto"/>
        <w:right w:val="none" w:sz="0" w:space="0" w:color="auto"/>
      </w:divBdr>
    </w:div>
    <w:div w:id="28455567">
      <w:bodyDiv w:val="1"/>
      <w:marLeft w:val="0"/>
      <w:marRight w:val="0"/>
      <w:marTop w:val="0"/>
      <w:marBottom w:val="0"/>
      <w:divBdr>
        <w:top w:val="none" w:sz="0" w:space="0" w:color="auto"/>
        <w:left w:val="none" w:sz="0" w:space="0" w:color="auto"/>
        <w:bottom w:val="none" w:sz="0" w:space="0" w:color="auto"/>
        <w:right w:val="none" w:sz="0" w:space="0" w:color="auto"/>
      </w:divBdr>
    </w:div>
    <w:div w:id="28730192">
      <w:bodyDiv w:val="1"/>
      <w:marLeft w:val="0"/>
      <w:marRight w:val="0"/>
      <w:marTop w:val="0"/>
      <w:marBottom w:val="0"/>
      <w:divBdr>
        <w:top w:val="none" w:sz="0" w:space="0" w:color="auto"/>
        <w:left w:val="none" w:sz="0" w:space="0" w:color="auto"/>
        <w:bottom w:val="none" w:sz="0" w:space="0" w:color="auto"/>
        <w:right w:val="none" w:sz="0" w:space="0" w:color="auto"/>
      </w:divBdr>
    </w:div>
    <w:div w:id="31544162">
      <w:bodyDiv w:val="1"/>
      <w:marLeft w:val="0"/>
      <w:marRight w:val="0"/>
      <w:marTop w:val="0"/>
      <w:marBottom w:val="0"/>
      <w:divBdr>
        <w:top w:val="none" w:sz="0" w:space="0" w:color="auto"/>
        <w:left w:val="none" w:sz="0" w:space="0" w:color="auto"/>
        <w:bottom w:val="none" w:sz="0" w:space="0" w:color="auto"/>
        <w:right w:val="none" w:sz="0" w:space="0" w:color="auto"/>
      </w:divBdr>
    </w:div>
    <w:div w:id="32973089">
      <w:bodyDiv w:val="1"/>
      <w:marLeft w:val="0"/>
      <w:marRight w:val="0"/>
      <w:marTop w:val="0"/>
      <w:marBottom w:val="0"/>
      <w:divBdr>
        <w:top w:val="none" w:sz="0" w:space="0" w:color="auto"/>
        <w:left w:val="none" w:sz="0" w:space="0" w:color="auto"/>
        <w:bottom w:val="none" w:sz="0" w:space="0" w:color="auto"/>
        <w:right w:val="none" w:sz="0" w:space="0" w:color="auto"/>
      </w:divBdr>
    </w:div>
    <w:div w:id="34087515">
      <w:bodyDiv w:val="1"/>
      <w:marLeft w:val="0"/>
      <w:marRight w:val="0"/>
      <w:marTop w:val="0"/>
      <w:marBottom w:val="0"/>
      <w:divBdr>
        <w:top w:val="none" w:sz="0" w:space="0" w:color="auto"/>
        <w:left w:val="none" w:sz="0" w:space="0" w:color="auto"/>
        <w:bottom w:val="none" w:sz="0" w:space="0" w:color="auto"/>
        <w:right w:val="none" w:sz="0" w:space="0" w:color="auto"/>
      </w:divBdr>
    </w:div>
    <w:div w:id="34696264">
      <w:bodyDiv w:val="1"/>
      <w:marLeft w:val="0"/>
      <w:marRight w:val="0"/>
      <w:marTop w:val="0"/>
      <w:marBottom w:val="0"/>
      <w:divBdr>
        <w:top w:val="none" w:sz="0" w:space="0" w:color="auto"/>
        <w:left w:val="none" w:sz="0" w:space="0" w:color="auto"/>
        <w:bottom w:val="none" w:sz="0" w:space="0" w:color="auto"/>
        <w:right w:val="none" w:sz="0" w:space="0" w:color="auto"/>
      </w:divBdr>
    </w:div>
    <w:div w:id="41909810">
      <w:bodyDiv w:val="1"/>
      <w:marLeft w:val="0"/>
      <w:marRight w:val="0"/>
      <w:marTop w:val="0"/>
      <w:marBottom w:val="0"/>
      <w:divBdr>
        <w:top w:val="none" w:sz="0" w:space="0" w:color="auto"/>
        <w:left w:val="none" w:sz="0" w:space="0" w:color="auto"/>
        <w:bottom w:val="none" w:sz="0" w:space="0" w:color="auto"/>
        <w:right w:val="none" w:sz="0" w:space="0" w:color="auto"/>
      </w:divBdr>
    </w:div>
    <w:div w:id="43022576">
      <w:bodyDiv w:val="1"/>
      <w:marLeft w:val="0"/>
      <w:marRight w:val="0"/>
      <w:marTop w:val="0"/>
      <w:marBottom w:val="0"/>
      <w:divBdr>
        <w:top w:val="none" w:sz="0" w:space="0" w:color="auto"/>
        <w:left w:val="none" w:sz="0" w:space="0" w:color="auto"/>
        <w:bottom w:val="none" w:sz="0" w:space="0" w:color="auto"/>
        <w:right w:val="none" w:sz="0" w:space="0" w:color="auto"/>
      </w:divBdr>
    </w:div>
    <w:div w:id="52897837">
      <w:bodyDiv w:val="1"/>
      <w:marLeft w:val="0"/>
      <w:marRight w:val="0"/>
      <w:marTop w:val="0"/>
      <w:marBottom w:val="0"/>
      <w:divBdr>
        <w:top w:val="none" w:sz="0" w:space="0" w:color="auto"/>
        <w:left w:val="none" w:sz="0" w:space="0" w:color="auto"/>
        <w:bottom w:val="none" w:sz="0" w:space="0" w:color="auto"/>
        <w:right w:val="none" w:sz="0" w:space="0" w:color="auto"/>
      </w:divBdr>
    </w:div>
    <w:div w:id="54398782">
      <w:bodyDiv w:val="1"/>
      <w:marLeft w:val="0"/>
      <w:marRight w:val="0"/>
      <w:marTop w:val="0"/>
      <w:marBottom w:val="0"/>
      <w:divBdr>
        <w:top w:val="none" w:sz="0" w:space="0" w:color="auto"/>
        <w:left w:val="none" w:sz="0" w:space="0" w:color="auto"/>
        <w:bottom w:val="none" w:sz="0" w:space="0" w:color="auto"/>
        <w:right w:val="none" w:sz="0" w:space="0" w:color="auto"/>
      </w:divBdr>
    </w:div>
    <w:div w:id="64105455">
      <w:bodyDiv w:val="1"/>
      <w:marLeft w:val="0"/>
      <w:marRight w:val="0"/>
      <w:marTop w:val="0"/>
      <w:marBottom w:val="0"/>
      <w:divBdr>
        <w:top w:val="none" w:sz="0" w:space="0" w:color="auto"/>
        <w:left w:val="none" w:sz="0" w:space="0" w:color="auto"/>
        <w:bottom w:val="none" w:sz="0" w:space="0" w:color="auto"/>
        <w:right w:val="none" w:sz="0" w:space="0" w:color="auto"/>
      </w:divBdr>
    </w:div>
    <w:div w:id="65538991">
      <w:bodyDiv w:val="1"/>
      <w:marLeft w:val="0"/>
      <w:marRight w:val="0"/>
      <w:marTop w:val="0"/>
      <w:marBottom w:val="0"/>
      <w:divBdr>
        <w:top w:val="none" w:sz="0" w:space="0" w:color="auto"/>
        <w:left w:val="none" w:sz="0" w:space="0" w:color="auto"/>
        <w:bottom w:val="none" w:sz="0" w:space="0" w:color="auto"/>
        <w:right w:val="none" w:sz="0" w:space="0" w:color="auto"/>
      </w:divBdr>
    </w:div>
    <w:div w:id="65689626">
      <w:bodyDiv w:val="1"/>
      <w:marLeft w:val="0"/>
      <w:marRight w:val="0"/>
      <w:marTop w:val="0"/>
      <w:marBottom w:val="0"/>
      <w:divBdr>
        <w:top w:val="none" w:sz="0" w:space="0" w:color="auto"/>
        <w:left w:val="none" w:sz="0" w:space="0" w:color="auto"/>
        <w:bottom w:val="none" w:sz="0" w:space="0" w:color="auto"/>
        <w:right w:val="none" w:sz="0" w:space="0" w:color="auto"/>
      </w:divBdr>
    </w:div>
    <w:div w:id="70350650">
      <w:bodyDiv w:val="1"/>
      <w:marLeft w:val="0"/>
      <w:marRight w:val="0"/>
      <w:marTop w:val="0"/>
      <w:marBottom w:val="0"/>
      <w:divBdr>
        <w:top w:val="none" w:sz="0" w:space="0" w:color="auto"/>
        <w:left w:val="none" w:sz="0" w:space="0" w:color="auto"/>
        <w:bottom w:val="none" w:sz="0" w:space="0" w:color="auto"/>
        <w:right w:val="none" w:sz="0" w:space="0" w:color="auto"/>
      </w:divBdr>
    </w:div>
    <w:div w:id="72119809">
      <w:bodyDiv w:val="1"/>
      <w:marLeft w:val="0"/>
      <w:marRight w:val="0"/>
      <w:marTop w:val="0"/>
      <w:marBottom w:val="0"/>
      <w:divBdr>
        <w:top w:val="none" w:sz="0" w:space="0" w:color="auto"/>
        <w:left w:val="none" w:sz="0" w:space="0" w:color="auto"/>
        <w:bottom w:val="none" w:sz="0" w:space="0" w:color="auto"/>
        <w:right w:val="none" w:sz="0" w:space="0" w:color="auto"/>
      </w:divBdr>
    </w:div>
    <w:div w:id="74982828">
      <w:bodyDiv w:val="1"/>
      <w:marLeft w:val="0"/>
      <w:marRight w:val="0"/>
      <w:marTop w:val="0"/>
      <w:marBottom w:val="0"/>
      <w:divBdr>
        <w:top w:val="none" w:sz="0" w:space="0" w:color="auto"/>
        <w:left w:val="none" w:sz="0" w:space="0" w:color="auto"/>
        <w:bottom w:val="none" w:sz="0" w:space="0" w:color="auto"/>
        <w:right w:val="none" w:sz="0" w:space="0" w:color="auto"/>
      </w:divBdr>
    </w:div>
    <w:div w:id="77795637">
      <w:bodyDiv w:val="1"/>
      <w:marLeft w:val="0"/>
      <w:marRight w:val="0"/>
      <w:marTop w:val="0"/>
      <w:marBottom w:val="0"/>
      <w:divBdr>
        <w:top w:val="none" w:sz="0" w:space="0" w:color="auto"/>
        <w:left w:val="none" w:sz="0" w:space="0" w:color="auto"/>
        <w:bottom w:val="none" w:sz="0" w:space="0" w:color="auto"/>
        <w:right w:val="none" w:sz="0" w:space="0" w:color="auto"/>
      </w:divBdr>
    </w:div>
    <w:div w:id="82379215">
      <w:bodyDiv w:val="1"/>
      <w:marLeft w:val="0"/>
      <w:marRight w:val="0"/>
      <w:marTop w:val="0"/>
      <w:marBottom w:val="0"/>
      <w:divBdr>
        <w:top w:val="none" w:sz="0" w:space="0" w:color="auto"/>
        <w:left w:val="none" w:sz="0" w:space="0" w:color="auto"/>
        <w:bottom w:val="none" w:sz="0" w:space="0" w:color="auto"/>
        <w:right w:val="none" w:sz="0" w:space="0" w:color="auto"/>
      </w:divBdr>
    </w:div>
    <w:div w:id="82455107">
      <w:bodyDiv w:val="1"/>
      <w:marLeft w:val="0"/>
      <w:marRight w:val="0"/>
      <w:marTop w:val="0"/>
      <w:marBottom w:val="0"/>
      <w:divBdr>
        <w:top w:val="none" w:sz="0" w:space="0" w:color="auto"/>
        <w:left w:val="none" w:sz="0" w:space="0" w:color="auto"/>
        <w:bottom w:val="none" w:sz="0" w:space="0" w:color="auto"/>
        <w:right w:val="none" w:sz="0" w:space="0" w:color="auto"/>
      </w:divBdr>
    </w:div>
    <w:div w:id="82843731">
      <w:bodyDiv w:val="1"/>
      <w:marLeft w:val="0"/>
      <w:marRight w:val="0"/>
      <w:marTop w:val="0"/>
      <w:marBottom w:val="0"/>
      <w:divBdr>
        <w:top w:val="none" w:sz="0" w:space="0" w:color="auto"/>
        <w:left w:val="none" w:sz="0" w:space="0" w:color="auto"/>
        <w:bottom w:val="none" w:sz="0" w:space="0" w:color="auto"/>
        <w:right w:val="none" w:sz="0" w:space="0" w:color="auto"/>
      </w:divBdr>
    </w:div>
    <w:div w:id="97797658">
      <w:bodyDiv w:val="1"/>
      <w:marLeft w:val="0"/>
      <w:marRight w:val="0"/>
      <w:marTop w:val="0"/>
      <w:marBottom w:val="0"/>
      <w:divBdr>
        <w:top w:val="none" w:sz="0" w:space="0" w:color="auto"/>
        <w:left w:val="none" w:sz="0" w:space="0" w:color="auto"/>
        <w:bottom w:val="none" w:sz="0" w:space="0" w:color="auto"/>
        <w:right w:val="none" w:sz="0" w:space="0" w:color="auto"/>
      </w:divBdr>
    </w:div>
    <w:div w:id="100691085">
      <w:bodyDiv w:val="1"/>
      <w:marLeft w:val="0"/>
      <w:marRight w:val="0"/>
      <w:marTop w:val="0"/>
      <w:marBottom w:val="0"/>
      <w:divBdr>
        <w:top w:val="none" w:sz="0" w:space="0" w:color="auto"/>
        <w:left w:val="none" w:sz="0" w:space="0" w:color="auto"/>
        <w:bottom w:val="none" w:sz="0" w:space="0" w:color="auto"/>
        <w:right w:val="none" w:sz="0" w:space="0" w:color="auto"/>
      </w:divBdr>
    </w:div>
    <w:div w:id="106777819">
      <w:bodyDiv w:val="1"/>
      <w:marLeft w:val="0"/>
      <w:marRight w:val="0"/>
      <w:marTop w:val="0"/>
      <w:marBottom w:val="0"/>
      <w:divBdr>
        <w:top w:val="none" w:sz="0" w:space="0" w:color="auto"/>
        <w:left w:val="none" w:sz="0" w:space="0" w:color="auto"/>
        <w:bottom w:val="none" w:sz="0" w:space="0" w:color="auto"/>
        <w:right w:val="none" w:sz="0" w:space="0" w:color="auto"/>
      </w:divBdr>
    </w:div>
    <w:div w:id="108817437">
      <w:bodyDiv w:val="1"/>
      <w:marLeft w:val="0"/>
      <w:marRight w:val="0"/>
      <w:marTop w:val="0"/>
      <w:marBottom w:val="0"/>
      <w:divBdr>
        <w:top w:val="none" w:sz="0" w:space="0" w:color="auto"/>
        <w:left w:val="none" w:sz="0" w:space="0" w:color="auto"/>
        <w:bottom w:val="none" w:sz="0" w:space="0" w:color="auto"/>
        <w:right w:val="none" w:sz="0" w:space="0" w:color="auto"/>
      </w:divBdr>
    </w:div>
    <w:div w:id="111485001">
      <w:bodyDiv w:val="1"/>
      <w:marLeft w:val="0"/>
      <w:marRight w:val="0"/>
      <w:marTop w:val="0"/>
      <w:marBottom w:val="0"/>
      <w:divBdr>
        <w:top w:val="none" w:sz="0" w:space="0" w:color="auto"/>
        <w:left w:val="none" w:sz="0" w:space="0" w:color="auto"/>
        <w:bottom w:val="none" w:sz="0" w:space="0" w:color="auto"/>
        <w:right w:val="none" w:sz="0" w:space="0" w:color="auto"/>
      </w:divBdr>
    </w:div>
    <w:div w:id="114952160">
      <w:bodyDiv w:val="1"/>
      <w:marLeft w:val="0"/>
      <w:marRight w:val="0"/>
      <w:marTop w:val="0"/>
      <w:marBottom w:val="0"/>
      <w:divBdr>
        <w:top w:val="none" w:sz="0" w:space="0" w:color="auto"/>
        <w:left w:val="none" w:sz="0" w:space="0" w:color="auto"/>
        <w:bottom w:val="none" w:sz="0" w:space="0" w:color="auto"/>
        <w:right w:val="none" w:sz="0" w:space="0" w:color="auto"/>
      </w:divBdr>
    </w:div>
    <w:div w:id="115411531">
      <w:bodyDiv w:val="1"/>
      <w:marLeft w:val="0"/>
      <w:marRight w:val="0"/>
      <w:marTop w:val="0"/>
      <w:marBottom w:val="0"/>
      <w:divBdr>
        <w:top w:val="none" w:sz="0" w:space="0" w:color="auto"/>
        <w:left w:val="none" w:sz="0" w:space="0" w:color="auto"/>
        <w:bottom w:val="none" w:sz="0" w:space="0" w:color="auto"/>
        <w:right w:val="none" w:sz="0" w:space="0" w:color="auto"/>
      </w:divBdr>
    </w:div>
    <w:div w:id="115562444">
      <w:bodyDiv w:val="1"/>
      <w:marLeft w:val="0"/>
      <w:marRight w:val="0"/>
      <w:marTop w:val="0"/>
      <w:marBottom w:val="0"/>
      <w:divBdr>
        <w:top w:val="none" w:sz="0" w:space="0" w:color="auto"/>
        <w:left w:val="none" w:sz="0" w:space="0" w:color="auto"/>
        <w:bottom w:val="none" w:sz="0" w:space="0" w:color="auto"/>
        <w:right w:val="none" w:sz="0" w:space="0" w:color="auto"/>
      </w:divBdr>
    </w:div>
    <w:div w:id="115607298">
      <w:bodyDiv w:val="1"/>
      <w:marLeft w:val="0"/>
      <w:marRight w:val="0"/>
      <w:marTop w:val="0"/>
      <w:marBottom w:val="0"/>
      <w:divBdr>
        <w:top w:val="none" w:sz="0" w:space="0" w:color="auto"/>
        <w:left w:val="none" w:sz="0" w:space="0" w:color="auto"/>
        <w:bottom w:val="none" w:sz="0" w:space="0" w:color="auto"/>
        <w:right w:val="none" w:sz="0" w:space="0" w:color="auto"/>
      </w:divBdr>
    </w:div>
    <w:div w:id="120851876">
      <w:bodyDiv w:val="1"/>
      <w:marLeft w:val="0"/>
      <w:marRight w:val="0"/>
      <w:marTop w:val="0"/>
      <w:marBottom w:val="0"/>
      <w:divBdr>
        <w:top w:val="none" w:sz="0" w:space="0" w:color="auto"/>
        <w:left w:val="none" w:sz="0" w:space="0" w:color="auto"/>
        <w:bottom w:val="none" w:sz="0" w:space="0" w:color="auto"/>
        <w:right w:val="none" w:sz="0" w:space="0" w:color="auto"/>
      </w:divBdr>
    </w:div>
    <w:div w:id="121966687">
      <w:bodyDiv w:val="1"/>
      <w:marLeft w:val="0"/>
      <w:marRight w:val="0"/>
      <w:marTop w:val="0"/>
      <w:marBottom w:val="0"/>
      <w:divBdr>
        <w:top w:val="none" w:sz="0" w:space="0" w:color="auto"/>
        <w:left w:val="none" w:sz="0" w:space="0" w:color="auto"/>
        <w:bottom w:val="none" w:sz="0" w:space="0" w:color="auto"/>
        <w:right w:val="none" w:sz="0" w:space="0" w:color="auto"/>
      </w:divBdr>
    </w:div>
    <w:div w:id="124742810">
      <w:bodyDiv w:val="1"/>
      <w:marLeft w:val="0"/>
      <w:marRight w:val="0"/>
      <w:marTop w:val="0"/>
      <w:marBottom w:val="0"/>
      <w:divBdr>
        <w:top w:val="none" w:sz="0" w:space="0" w:color="auto"/>
        <w:left w:val="none" w:sz="0" w:space="0" w:color="auto"/>
        <w:bottom w:val="none" w:sz="0" w:space="0" w:color="auto"/>
        <w:right w:val="none" w:sz="0" w:space="0" w:color="auto"/>
      </w:divBdr>
    </w:div>
    <w:div w:id="126049244">
      <w:bodyDiv w:val="1"/>
      <w:marLeft w:val="0"/>
      <w:marRight w:val="0"/>
      <w:marTop w:val="0"/>
      <w:marBottom w:val="0"/>
      <w:divBdr>
        <w:top w:val="none" w:sz="0" w:space="0" w:color="auto"/>
        <w:left w:val="none" w:sz="0" w:space="0" w:color="auto"/>
        <w:bottom w:val="none" w:sz="0" w:space="0" w:color="auto"/>
        <w:right w:val="none" w:sz="0" w:space="0" w:color="auto"/>
      </w:divBdr>
    </w:div>
    <w:div w:id="129253158">
      <w:bodyDiv w:val="1"/>
      <w:marLeft w:val="0"/>
      <w:marRight w:val="0"/>
      <w:marTop w:val="0"/>
      <w:marBottom w:val="0"/>
      <w:divBdr>
        <w:top w:val="none" w:sz="0" w:space="0" w:color="auto"/>
        <w:left w:val="none" w:sz="0" w:space="0" w:color="auto"/>
        <w:bottom w:val="none" w:sz="0" w:space="0" w:color="auto"/>
        <w:right w:val="none" w:sz="0" w:space="0" w:color="auto"/>
      </w:divBdr>
    </w:div>
    <w:div w:id="140463022">
      <w:bodyDiv w:val="1"/>
      <w:marLeft w:val="0"/>
      <w:marRight w:val="0"/>
      <w:marTop w:val="0"/>
      <w:marBottom w:val="0"/>
      <w:divBdr>
        <w:top w:val="none" w:sz="0" w:space="0" w:color="auto"/>
        <w:left w:val="none" w:sz="0" w:space="0" w:color="auto"/>
        <w:bottom w:val="none" w:sz="0" w:space="0" w:color="auto"/>
        <w:right w:val="none" w:sz="0" w:space="0" w:color="auto"/>
      </w:divBdr>
    </w:div>
    <w:div w:id="141822483">
      <w:bodyDiv w:val="1"/>
      <w:marLeft w:val="0"/>
      <w:marRight w:val="0"/>
      <w:marTop w:val="0"/>
      <w:marBottom w:val="0"/>
      <w:divBdr>
        <w:top w:val="none" w:sz="0" w:space="0" w:color="auto"/>
        <w:left w:val="none" w:sz="0" w:space="0" w:color="auto"/>
        <w:bottom w:val="none" w:sz="0" w:space="0" w:color="auto"/>
        <w:right w:val="none" w:sz="0" w:space="0" w:color="auto"/>
      </w:divBdr>
    </w:div>
    <w:div w:id="142428904">
      <w:bodyDiv w:val="1"/>
      <w:marLeft w:val="0"/>
      <w:marRight w:val="0"/>
      <w:marTop w:val="0"/>
      <w:marBottom w:val="0"/>
      <w:divBdr>
        <w:top w:val="none" w:sz="0" w:space="0" w:color="auto"/>
        <w:left w:val="none" w:sz="0" w:space="0" w:color="auto"/>
        <w:bottom w:val="none" w:sz="0" w:space="0" w:color="auto"/>
        <w:right w:val="none" w:sz="0" w:space="0" w:color="auto"/>
      </w:divBdr>
    </w:div>
    <w:div w:id="147481928">
      <w:bodyDiv w:val="1"/>
      <w:marLeft w:val="0"/>
      <w:marRight w:val="0"/>
      <w:marTop w:val="0"/>
      <w:marBottom w:val="0"/>
      <w:divBdr>
        <w:top w:val="none" w:sz="0" w:space="0" w:color="auto"/>
        <w:left w:val="none" w:sz="0" w:space="0" w:color="auto"/>
        <w:bottom w:val="none" w:sz="0" w:space="0" w:color="auto"/>
        <w:right w:val="none" w:sz="0" w:space="0" w:color="auto"/>
      </w:divBdr>
    </w:div>
    <w:div w:id="150023146">
      <w:bodyDiv w:val="1"/>
      <w:marLeft w:val="0"/>
      <w:marRight w:val="0"/>
      <w:marTop w:val="0"/>
      <w:marBottom w:val="0"/>
      <w:divBdr>
        <w:top w:val="none" w:sz="0" w:space="0" w:color="auto"/>
        <w:left w:val="none" w:sz="0" w:space="0" w:color="auto"/>
        <w:bottom w:val="none" w:sz="0" w:space="0" w:color="auto"/>
        <w:right w:val="none" w:sz="0" w:space="0" w:color="auto"/>
      </w:divBdr>
    </w:div>
    <w:div w:id="150220612">
      <w:bodyDiv w:val="1"/>
      <w:marLeft w:val="0"/>
      <w:marRight w:val="0"/>
      <w:marTop w:val="0"/>
      <w:marBottom w:val="0"/>
      <w:divBdr>
        <w:top w:val="none" w:sz="0" w:space="0" w:color="auto"/>
        <w:left w:val="none" w:sz="0" w:space="0" w:color="auto"/>
        <w:bottom w:val="none" w:sz="0" w:space="0" w:color="auto"/>
        <w:right w:val="none" w:sz="0" w:space="0" w:color="auto"/>
      </w:divBdr>
    </w:div>
    <w:div w:id="152529282">
      <w:bodyDiv w:val="1"/>
      <w:marLeft w:val="0"/>
      <w:marRight w:val="0"/>
      <w:marTop w:val="0"/>
      <w:marBottom w:val="0"/>
      <w:divBdr>
        <w:top w:val="none" w:sz="0" w:space="0" w:color="auto"/>
        <w:left w:val="none" w:sz="0" w:space="0" w:color="auto"/>
        <w:bottom w:val="none" w:sz="0" w:space="0" w:color="auto"/>
        <w:right w:val="none" w:sz="0" w:space="0" w:color="auto"/>
      </w:divBdr>
    </w:div>
    <w:div w:id="169609520">
      <w:bodyDiv w:val="1"/>
      <w:marLeft w:val="0"/>
      <w:marRight w:val="0"/>
      <w:marTop w:val="0"/>
      <w:marBottom w:val="0"/>
      <w:divBdr>
        <w:top w:val="none" w:sz="0" w:space="0" w:color="auto"/>
        <w:left w:val="none" w:sz="0" w:space="0" w:color="auto"/>
        <w:bottom w:val="none" w:sz="0" w:space="0" w:color="auto"/>
        <w:right w:val="none" w:sz="0" w:space="0" w:color="auto"/>
      </w:divBdr>
    </w:div>
    <w:div w:id="169952812">
      <w:bodyDiv w:val="1"/>
      <w:marLeft w:val="0"/>
      <w:marRight w:val="0"/>
      <w:marTop w:val="0"/>
      <w:marBottom w:val="0"/>
      <w:divBdr>
        <w:top w:val="none" w:sz="0" w:space="0" w:color="auto"/>
        <w:left w:val="none" w:sz="0" w:space="0" w:color="auto"/>
        <w:bottom w:val="none" w:sz="0" w:space="0" w:color="auto"/>
        <w:right w:val="none" w:sz="0" w:space="0" w:color="auto"/>
      </w:divBdr>
    </w:div>
    <w:div w:id="171381245">
      <w:bodyDiv w:val="1"/>
      <w:marLeft w:val="0"/>
      <w:marRight w:val="0"/>
      <w:marTop w:val="0"/>
      <w:marBottom w:val="0"/>
      <w:divBdr>
        <w:top w:val="none" w:sz="0" w:space="0" w:color="auto"/>
        <w:left w:val="none" w:sz="0" w:space="0" w:color="auto"/>
        <w:bottom w:val="none" w:sz="0" w:space="0" w:color="auto"/>
        <w:right w:val="none" w:sz="0" w:space="0" w:color="auto"/>
      </w:divBdr>
    </w:div>
    <w:div w:id="176969795">
      <w:bodyDiv w:val="1"/>
      <w:marLeft w:val="0"/>
      <w:marRight w:val="0"/>
      <w:marTop w:val="0"/>
      <w:marBottom w:val="0"/>
      <w:divBdr>
        <w:top w:val="none" w:sz="0" w:space="0" w:color="auto"/>
        <w:left w:val="none" w:sz="0" w:space="0" w:color="auto"/>
        <w:bottom w:val="none" w:sz="0" w:space="0" w:color="auto"/>
        <w:right w:val="none" w:sz="0" w:space="0" w:color="auto"/>
      </w:divBdr>
    </w:div>
    <w:div w:id="177694449">
      <w:bodyDiv w:val="1"/>
      <w:marLeft w:val="0"/>
      <w:marRight w:val="0"/>
      <w:marTop w:val="0"/>
      <w:marBottom w:val="0"/>
      <w:divBdr>
        <w:top w:val="none" w:sz="0" w:space="0" w:color="auto"/>
        <w:left w:val="none" w:sz="0" w:space="0" w:color="auto"/>
        <w:bottom w:val="none" w:sz="0" w:space="0" w:color="auto"/>
        <w:right w:val="none" w:sz="0" w:space="0" w:color="auto"/>
      </w:divBdr>
    </w:div>
    <w:div w:id="181091792">
      <w:bodyDiv w:val="1"/>
      <w:marLeft w:val="0"/>
      <w:marRight w:val="0"/>
      <w:marTop w:val="0"/>
      <w:marBottom w:val="0"/>
      <w:divBdr>
        <w:top w:val="none" w:sz="0" w:space="0" w:color="auto"/>
        <w:left w:val="none" w:sz="0" w:space="0" w:color="auto"/>
        <w:bottom w:val="none" w:sz="0" w:space="0" w:color="auto"/>
        <w:right w:val="none" w:sz="0" w:space="0" w:color="auto"/>
      </w:divBdr>
    </w:div>
    <w:div w:id="189103942">
      <w:bodyDiv w:val="1"/>
      <w:marLeft w:val="0"/>
      <w:marRight w:val="0"/>
      <w:marTop w:val="0"/>
      <w:marBottom w:val="0"/>
      <w:divBdr>
        <w:top w:val="none" w:sz="0" w:space="0" w:color="auto"/>
        <w:left w:val="none" w:sz="0" w:space="0" w:color="auto"/>
        <w:bottom w:val="none" w:sz="0" w:space="0" w:color="auto"/>
        <w:right w:val="none" w:sz="0" w:space="0" w:color="auto"/>
      </w:divBdr>
    </w:div>
    <w:div w:id="199247091">
      <w:bodyDiv w:val="1"/>
      <w:marLeft w:val="0"/>
      <w:marRight w:val="0"/>
      <w:marTop w:val="0"/>
      <w:marBottom w:val="0"/>
      <w:divBdr>
        <w:top w:val="none" w:sz="0" w:space="0" w:color="auto"/>
        <w:left w:val="none" w:sz="0" w:space="0" w:color="auto"/>
        <w:bottom w:val="none" w:sz="0" w:space="0" w:color="auto"/>
        <w:right w:val="none" w:sz="0" w:space="0" w:color="auto"/>
      </w:divBdr>
    </w:div>
    <w:div w:id="206570043">
      <w:bodyDiv w:val="1"/>
      <w:marLeft w:val="0"/>
      <w:marRight w:val="0"/>
      <w:marTop w:val="0"/>
      <w:marBottom w:val="0"/>
      <w:divBdr>
        <w:top w:val="none" w:sz="0" w:space="0" w:color="auto"/>
        <w:left w:val="none" w:sz="0" w:space="0" w:color="auto"/>
        <w:bottom w:val="none" w:sz="0" w:space="0" w:color="auto"/>
        <w:right w:val="none" w:sz="0" w:space="0" w:color="auto"/>
      </w:divBdr>
    </w:div>
    <w:div w:id="211118300">
      <w:bodyDiv w:val="1"/>
      <w:marLeft w:val="0"/>
      <w:marRight w:val="0"/>
      <w:marTop w:val="0"/>
      <w:marBottom w:val="0"/>
      <w:divBdr>
        <w:top w:val="none" w:sz="0" w:space="0" w:color="auto"/>
        <w:left w:val="none" w:sz="0" w:space="0" w:color="auto"/>
        <w:bottom w:val="none" w:sz="0" w:space="0" w:color="auto"/>
        <w:right w:val="none" w:sz="0" w:space="0" w:color="auto"/>
      </w:divBdr>
    </w:div>
    <w:div w:id="222060851">
      <w:bodyDiv w:val="1"/>
      <w:marLeft w:val="0"/>
      <w:marRight w:val="0"/>
      <w:marTop w:val="0"/>
      <w:marBottom w:val="0"/>
      <w:divBdr>
        <w:top w:val="none" w:sz="0" w:space="0" w:color="auto"/>
        <w:left w:val="none" w:sz="0" w:space="0" w:color="auto"/>
        <w:bottom w:val="none" w:sz="0" w:space="0" w:color="auto"/>
        <w:right w:val="none" w:sz="0" w:space="0" w:color="auto"/>
      </w:divBdr>
    </w:div>
    <w:div w:id="222109497">
      <w:bodyDiv w:val="1"/>
      <w:marLeft w:val="0"/>
      <w:marRight w:val="0"/>
      <w:marTop w:val="0"/>
      <w:marBottom w:val="0"/>
      <w:divBdr>
        <w:top w:val="none" w:sz="0" w:space="0" w:color="auto"/>
        <w:left w:val="none" w:sz="0" w:space="0" w:color="auto"/>
        <w:bottom w:val="none" w:sz="0" w:space="0" w:color="auto"/>
        <w:right w:val="none" w:sz="0" w:space="0" w:color="auto"/>
      </w:divBdr>
    </w:div>
    <w:div w:id="222762231">
      <w:bodyDiv w:val="1"/>
      <w:marLeft w:val="0"/>
      <w:marRight w:val="0"/>
      <w:marTop w:val="0"/>
      <w:marBottom w:val="0"/>
      <w:divBdr>
        <w:top w:val="none" w:sz="0" w:space="0" w:color="auto"/>
        <w:left w:val="none" w:sz="0" w:space="0" w:color="auto"/>
        <w:bottom w:val="none" w:sz="0" w:space="0" w:color="auto"/>
        <w:right w:val="none" w:sz="0" w:space="0" w:color="auto"/>
      </w:divBdr>
    </w:div>
    <w:div w:id="225996855">
      <w:bodyDiv w:val="1"/>
      <w:marLeft w:val="0"/>
      <w:marRight w:val="0"/>
      <w:marTop w:val="0"/>
      <w:marBottom w:val="0"/>
      <w:divBdr>
        <w:top w:val="none" w:sz="0" w:space="0" w:color="auto"/>
        <w:left w:val="none" w:sz="0" w:space="0" w:color="auto"/>
        <w:bottom w:val="none" w:sz="0" w:space="0" w:color="auto"/>
        <w:right w:val="none" w:sz="0" w:space="0" w:color="auto"/>
      </w:divBdr>
    </w:div>
    <w:div w:id="232005939">
      <w:bodyDiv w:val="1"/>
      <w:marLeft w:val="0"/>
      <w:marRight w:val="0"/>
      <w:marTop w:val="0"/>
      <w:marBottom w:val="0"/>
      <w:divBdr>
        <w:top w:val="none" w:sz="0" w:space="0" w:color="auto"/>
        <w:left w:val="none" w:sz="0" w:space="0" w:color="auto"/>
        <w:bottom w:val="none" w:sz="0" w:space="0" w:color="auto"/>
        <w:right w:val="none" w:sz="0" w:space="0" w:color="auto"/>
      </w:divBdr>
    </w:div>
    <w:div w:id="237401304">
      <w:bodyDiv w:val="1"/>
      <w:marLeft w:val="0"/>
      <w:marRight w:val="0"/>
      <w:marTop w:val="0"/>
      <w:marBottom w:val="0"/>
      <w:divBdr>
        <w:top w:val="none" w:sz="0" w:space="0" w:color="auto"/>
        <w:left w:val="none" w:sz="0" w:space="0" w:color="auto"/>
        <w:bottom w:val="none" w:sz="0" w:space="0" w:color="auto"/>
        <w:right w:val="none" w:sz="0" w:space="0" w:color="auto"/>
      </w:divBdr>
    </w:div>
    <w:div w:id="241110643">
      <w:bodyDiv w:val="1"/>
      <w:marLeft w:val="0"/>
      <w:marRight w:val="0"/>
      <w:marTop w:val="0"/>
      <w:marBottom w:val="0"/>
      <w:divBdr>
        <w:top w:val="none" w:sz="0" w:space="0" w:color="auto"/>
        <w:left w:val="none" w:sz="0" w:space="0" w:color="auto"/>
        <w:bottom w:val="none" w:sz="0" w:space="0" w:color="auto"/>
        <w:right w:val="none" w:sz="0" w:space="0" w:color="auto"/>
      </w:divBdr>
    </w:div>
    <w:div w:id="245849418">
      <w:bodyDiv w:val="1"/>
      <w:marLeft w:val="0"/>
      <w:marRight w:val="0"/>
      <w:marTop w:val="0"/>
      <w:marBottom w:val="0"/>
      <w:divBdr>
        <w:top w:val="none" w:sz="0" w:space="0" w:color="auto"/>
        <w:left w:val="none" w:sz="0" w:space="0" w:color="auto"/>
        <w:bottom w:val="none" w:sz="0" w:space="0" w:color="auto"/>
        <w:right w:val="none" w:sz="0" w:space="0" w:color="auto"/>
      </w:divBdr>
    </w:div>
    <w:div w:id="247471469">
      <w:bodyDiv w:val="1"/>
      <w:marLeft w:val="0"/>
      <w:marRight w:val="0"/>
      <w:marTop w:val="0"/>
      <w:marBottom w:val="0"/>
      <w:divBdr>
        <w:top w:val="none" w:sz="0" w:space="0" w:color="auto"/>
        <w:left w:val="none" w:sz="0" w:space="0" w:color="auto"/>
        <w:bottom w:val="none" w:sz="0" w:space="0" w:color="auto"/>
        <w:right w:val="none" w:sz="0" w:space="0" w:color="auto"/>
      </w:divBdr>
    </w:div>
    <w:div w:id="247930893">
      <w:bodyDiv w:val="1"/>
      <w:marLeft w:val="0"/>
      <w:marRight w:val="0"/>
      <w:marTop w:val="0"/>
      <w:marBottom w:val="0"/>
      <w:divBdr>
        <w:top w:val="none" w:sz="0" w:space="0" w:color="auto"/>
        <w:left w:val="none" w:sz="0" w:space="0" w:color="auto"/>
        <w:bottom w:val="none" w:sz="0" w:space="0" w:color="auto"/>
        <w:right w:val="none" w:sz="0" w:space="0" w:color="auto"/>
      </w:divBdr>
    </w:div>
    <w:div w:id="252393838">
      <w:bodyDiv w:val="1"/>
      <w:marLeft w:val="0"/>
      <w:marRight w:val="0"/>
      <w:marTop w:val="0"/>
      <w:marBottom w:val="0"/>
      <w:divBdr>
        <w:top w:val="none" w:sz="0" w:space="0" w:color="auto"/>
        <w:left w:val="none" w:sz="0" w:space="0" w:color="auto"/>
        <w:bottom w:val="none" w:sz="0" w:space="0" w:color="auto"/>
        <w:right w:val="none" w:sz="0" w:space="0" w:color="auto"/>
      </w:divBdr>
    </w:div>
    <w:div w:id="255555407">
      <w:bodyDiv w:val="1"/>
      <w:marLeft w:val="0"/>
      <w:marRight w:val="0"/>
      <w:marTop w:val="0"/>
      <w:marBottom w:val="0"/>
      <w:divBdr>
        <w:top w:val="none" w:sz="0" w:space="0" w:color="auto"/>
        <w:left w:val="none" w:sz="0" w:space="0" w:color="auto"/>
        <w:bottom w:val="none" w:sz="0" w:space="0" w:color="auto"/>
        <w:right w:val="none" w:sz="0" w:space="0" w:color="auto"/>
      </w:divBdr>
    </w:div>
    <w:div w:id="265962821">
      <w:bodyDiv w:val="1"/>
      <w:marLeft w:val="0"/>
      <w:marRight w:val="0"/>
      <w:marTop w:val="0"/>
      <w:marBottom w:val="0"/>
      <w:divBdr>
        <w:top w:val="none" w:sz="0" w:space="0" w:color="auto"/>
        <w:left w:val="none" w:sz="0" w:space="0" w:color="auto"/>
        <w:bottom w:val="none" w:sz="0" w:space="0" w:color="auto"/>
        <w:right w:val="none" w:sz="0" w:space="0" w:color="auto"/>
      </w:divBdr>
    </w:div>
    <w:div w:id="268515794">
      <w:bodyDiv w:val="1"/>
      <w:marLeft w:val="0"/>
      <w:marRight w:val="0"/>
      <w:marTop w:val="0"/>
      <w:marBottom w:val="0"/>
      <w:divBdr>
        <w:top w:val="none" w:sz="0" w:space="0" w:color="auto"/>
        <w:left w:val="none" w:sz="0" w:space="0" w:color="auto"/>
        <w:bottom w:val="none" w:sz="0" w:space="0" w:color="auto"/>
        <w:right w:val="none" w:sz="0" w:space="0" w:color="auto"/>
      </w:divBdr>
    </w:div>
    <w:div w:id="272975680">
      <w:bodyDiv w:val="1"/>
      <w:marLeft w:val="0"/>
      <w:marRight w:val="0"/>
      <w:marTop w:val="0"/>
      <w:marBottom w:val="0"/>
      <w:divBdr>
        <w:top w:val="none" w:sz="0" w:space="0" w:color="auto"/>
        <w:left w:val="none" w:sz="0" w:space="0" w:color="auto"/>
        <w:bottom w:val="none" w:sz="0" w:space="0" w:color="auto"/>
        <w:right w:val="none" w:sz="0" w:space="0" w:color="auto"/>
      </w:divBdr>
    </w:div>
    <w:div w:id="276762397">
      <w:bodyDiv w:val="1"/>
      <w:marLeft w:val="0"/>
      <w:marRight w:val="0"/>
      <w:marTop w:val="0"/>
      <w:marBottom w:val="0"/>
      <w:divBdr>
        <w:top w:val="none" w:sz="0" w:space="0" w:color="auto"/>
        <w:left w:val="none" w:sz="0" w:space="0" w:color="auto"/>
        <w:bottom w:val="none" w:sz="0" w:space="0" w:color="auto"/>
        <w:right w:val="none" w:sz="0" w:space="0" w:color="auto"/>
      </w:divBdr>
    </w:div>
    <w:div w:id="276911936">
      <w:bodyDiv w:val="1"/>
      <w:marLeft w:val="0"/>
      <w:marRight w:val="0"/>
      <w:marTop w:val="0"/>
      <w:marBottom w:val="0"/>
      <w:divBdr>
        <w:top w:val="none" w:sz="0" w:space="0" w:color="auto"/>
        <w:left w:val="none" w:sz="0" w:space="0" w:color="auto"/>
        <w:bottom w:val="none" w:sz="0" w:space="0" w:color="auto"/>
        <w:right w:val="none" w:sz="0" w:space="0" w:color="auto"/>
      </w:divBdr>
    </w:div>
    <w:div w:id="278024837">
      <w:bodyDiv w:val="1"/>
      <w:marLeft w:val="0"/>
      <w:marRight w:val="0"/>
      <w:marTop w:val="0"/>
      <w:marBottom w:val="0"/>
      <w:divBdr>
        <w:top w:val="none" w:sz="0" w:space="0" w:color="auto"/>
        <w:left w:val="none" w:sz="0" w:space="0" w:color="auto"/>
        <w:bottom w:val="none" w:sz="0" w:space="0" w:color="auto"/>
        <w:right w:val="none" w:sz="0" w:space="0" w:color="auto"/>
      </w:divBdr>
    </w:div>
    <w:div w:id="286357681">
      <w:bodyDiv w:val="1"/>
      <w:marLeft w:val="0"/>
      <w:marRight w:val="0"/>
      <w:marTop w:val="0"/>
      <w:marBottom w:val="0"/>
      <w:divBdr>
        <w:top w:val="none" w:sz="0" w:space="0" w:color="auto"/>
        <w:left w:val="none" w:sz="0" w:space="0" w:color="auto"/>
        <w:bottom w:val="none" w:sz="0" w:space="0" w:color="auto"/>
        <w:right w:val="none" w:sz="0" w:space="0" w:color="auto"/>
      </w:divBdr>
    </w:div>
    <w:div w:id="286398384">
      <w:bodyDiv w:val="1"/>
      <w:marLeft w:val="0"/>
      <w:marRight w:val="0"/>
      <w:marTop w:val="0"/>
      <w:marBottom w:val="0"/>
      <w:divBdr>
        <w:top w:val="none" w:sz="0" w:space="0" w:color="auto"/>
        <w:left w:val="none" w:sz="0" w:space="0" w:color="auto"/>
        <w:bottom w:val="none" w:sz="0" w:space="0" w:color="auto"/>
        <w:right w:val="none" w:sz="0" w:space="0" w:color="auto"/>
      </w:divBdr>
    </w:div>
    <w:div w:id="291324724">
      <w:bodyDiv w:val="1"/>
      <w:marLeft w:val="0"/>
      <w:marRight w:val="0"/>
      <w:marTop w:val="0"/>
      <w:marBottom w:val="0"/>
      <w:divBdr>
        <w:top w:val="none" w:sz="0" w:space="0" w:color="auto"/>
        <w:left w:val="none" w:sz="0" w:space="0" w:color="auto"/>
        <w:bottom w:val="none" w:sz="0" w:space="0" w:color="auto"/>
        <w:right w:val="none" w:sz="0" w:space="0" w:color="auto"/>
      </w:divBdr>
    </w:div>
    <w:div w:id="303891350">
      <w:bodyDiv w:val="1"/>
      <w:marLeft w:val="0"/>
      <w:marRight w:val="0"/>
      <w:marTop w:val="0"/>
      <w:marBottom w:val="0"/>
      <w:divBdr>
        <w:top w:val="none" w:sz="0" w:space="0" w:color="auto"/>
        <w:left w:val="none" w:sz="0" w:space="0" w:color="auto"/>
        <w:bottom w:val="none" w:sz="0" w:space="0" w:color="auto"/>
        <w:right w:val="none" w:sz="0" w:space="0" w:color="auto"/>
      </w:divBdr>
    </w:div>
    <w:div w:id="305746748">
      <w:bodyDiv w:val="1"/>
      <w:marLeft w:val="0"/>
      <w:marRight w:val="0"/>
      <w:marTop w:val="0"/>
      <w:marBottom w:val="0"/>
      <w:divBdr>
        <w:top w:val="none" w:sz="0" w:space="0" w:color="auto"/>
        <w:left w:val="none" w:sz="0" w:space="0" w:color="auto"/>
        <w:bottom w:val="none" w:sz="0" w:space="0" w:color="auto"/>
        <w:right w:val="none" w:sz="0" w:space="0" w:color="auto"/>
      </w:divBdr>
    </w:div>
    <w:div w:id="312216852">
      <w:bodyDiv w:val="1"/>
      <w:marLeft w:val="0"/>
      <w:marRight w:val="0"/>
      <w:marTop w:val="0"/>
      <w:marBottom w:val="0"/>
      <w:divBdr>
        <w:top w:val="none" w:sz="0" w:space="0" w:color="auto"/>
        <w:left w:val="none" w:sz="0" w:space="0" w:color="auto"/>
        <w:bottom w:val="none" w:sz="0" w:space="0" w:color="auto"/>
        <w:right w:val="none" w:sz="0" w:space="0" w:color="auto"/>
      </w:divBdr>
    </w:div>
    <w:div w:id="313073647">
      <w:bodyDiv w:val="1"/>
      <w:marLeft w:val="0"/>
      <w:marRight w:val="0"/>
      <w:marTop w:val="0"/>
      <w:marBottom w:val="0"/>
      <w:divBdr>
        <w:top w:val="none" w:sz="0" w:space="0" w:color="auto"/>
        <w:left w:val="none" w:sz="0" w:space="0" w:color="auto"/>
        <w:bottom w:val="none" w:sz="0" w:space="0" w:color="auto"/>
        <w:right w:val="none" w:sz="0" w:space="0" w:color="auto"/>
      </w:divBdr>
    </w:div>
    <w:div w:id="317072402">
      <w:bodyDiv w:val="1"/>
      <w:marLeft w:val="0"/>
      <w:marRight w:val="0"/>
      <w:marTop w:val="0"/>
      <w:marBottom w:val="0"/>
      <w:divBdr>
        <w:top w:val="none" w:sz="0" w:space="0" w:color="auto"/>
        <w:left w:val="none" w:sz="0" w:space="0" w:color="auto"/>
        <w:bottom w:val="none" w:sz="0" w:space="0" w:color="auto"/>
        <w:right w:val="none" w:sz="0" w:space="0" w:color="auto"/>
      </w:divBdr>
    </w:div>
    <w:div w:id="319426440">
      <w:bodyDiv w:val="1"/>
      <w:marLeft w:val="0"/>
      <w:marRight w:val="0"/>
      <w:marTop w:val="0"/>
      <w:marBottom w:val="0"/>
      <w:divBdr>
        <w:top w:val="none" w:sz="0" w:space="0" w:color="auto"/>
        <w:left w:val="none" w:sz="0" w:space="0" w:color="auto"/>
        <w:bottom w:val="none" w:sz="0" w:space="0" w:color="auto"/>
        <w:right w:val="none" w:sz="0" w:space="0" w:color="auto"/>
      </w:divBdr>
    </w:div>
    <w:div w:id="328410225">
      <w:bodyDiv w:val="1"/>
      <w:marLeft w:val="0"/>
      <w:marRight w:val="0"/>
      <w:marTop w:val="0"/>
      <w:marBottom w:val="0"/>
      <w:divBdr>
        <w:top w:val="none" w:sz="0" w:space="0" w:color="auto"/>
        <w:left w:val="none" w:sz="0" w:space="0" w:color="auto"/>
        <w:bottom w:val="none" w:sz="0" w:space="0" w:color="auto"/>
        <w:right w:val="none" w:sz="0" w:space="0" w:color="auto"/>
      </w:divBdr>
    </w:div>
    <w:div w:id="331955990">
      <w:bodyDiv w:val="1"/>
      <w:marLeft w:val="0"/>
      <w:marRight w:val="0"/>
      <w:marTop w:val="0"/>
      <w:marBottom w:val="0"/>
      <w:divBdr>
        <w:top w:val="none" w:sz="0" w:space="0" w:color="auto"/>
        <w:left w:val="none" w:sz="0" w:space="0" w:color="auto"/>
        <w:bottom w:val="none" w:sz="0" w:space="0" w:color="auto"/>
        <w:right w:val="none" w:sz="0" w:space="0" w:color="auto"/>
      </w:divBdr>
    </w:div>
    <w:div w:id="332419834">
      <w:bodyDiv w:val="1"/>
      <w:marLeft w:val="0"/>
      <w:marRight w:val="0"/>
      <w:marTop w:val="0"/>
      <w:marBottom w:val="0"/>
      <w:divBdr>
        <w:top w:val="none" w:sz="0" w:space="0" w:color="auto"/>
        <w:left w:val="none" w:sz="0" w:space="0" w:color="auto"/>
        <w:bottom w:val="none" w:sz="0" w:space="0" w:color="auto"/>
        <w:right w:val="none" w:sz="0" w:space="0" w:color="auto"/>
      </w:divBdr>
    </w:div>
    <w:div w:id="333071521">
      <w:bodyDiv w:val="1"/>
      <w:marLeft w:val="0"/>
      <w:marRight w:val="0"/>
      <w:marTop w:val="0"/>
      <w:marBottom w:val="0"/>
      <w:divBdr>
        <w:top w:val="none" w:sz="0" w:space="0" w:color="auto"/>
        <w:left w:val="none" w:sz="0" w:space="0" w:color="auto"/>
        <w:bottom w:val="none" w:sz="0" w:space="0" w:color="auto"/>
        <w:right w:val="none" w:sz="0" w:space="0" w:color="auto"/>
      </w:divBdr>
    </w:div>
    <w:div w:id="333338271">
      <w:bodyDiv w:val="1"/>
      <w:marLeft w:val="0"/>
      <w:marRight w:val="0"/>
      <w:marTop w:val="0"/>
      <w:marBottom w:val="0"/>
      <w:divBdr>
        <w:top w:val="none" w:sz="0" w:space="0" w:color="auto"/>
        <w:left w:val="none" w:sz="0" w:space="0" w:color="auto"/>
        <w:bottom w:val="none" w:sz="0" w:space="0" w:color="auto"/>
        <w:right w:val="none" w:sz="0" w:space="0" w:color="auto"/>
      </w:divBdr>
    </w:div>
    <w:div w:id="350566197">
      <w:bodyDiv w:val="1"/>
      <w:marLeft w:val="0"/>
      <w:marRight w:val="0"/>
      <w:marTop w:val="0"/>
      <w:marBottom w:val="0"/>
      <w:divBdr>
        <w:top w:val="none" w:sz="0" w:space="0" w:color="auto"/>
        <w:left w:val="none" w:sz="0" w:space="0" w:color="auto"/>
        <w:bottom w:val="none" w:sz="0" w:space="0" w:color="auto"/>
        <w:right w:val="none" w:sz="0" w:space="0" w:color="auto"/>
      </w:divBdr>
    </w:div>
    <w:div w:id="353001063">
      <w:bodyDiv w:val="1"/>
      <w:marLeft w:val="0"/>
      <w:marRight w:val="0"/>
      <w:marTop w:val="0"/>
      <w:marBottom w:val="0"/>
      <w:divBdr>
        <w:top w:val="none" w:sz="0" w:space="0" w:color="auto"/>
        <w:left w:val="none" w:sz="0" w:space="0" w:color="auto"/>
        <w:bottom w:val="none" w:sz="0" w:space="0" w:color="auto"/>
        <w:right w:val="none" w:sz="0" w:space="0" w:color="auto"/>
      </w:divBdr>
    </w:div>
    <w:div w:id="358236148">
      <w:bodyDiv w:val="1"/>
      <w:marLeft w:val="0"/>
      <w:marRight w:val="0"/>
      <w:marTop w:val="0"/>
      <w:marBottom w:val="0"/>
      <w:divBdr>
        <w:top w:val="none" w:sz="0" w:space="0" w:color="auto"/>
        <w:left w:val="none" w:sz="0" w:space="0" w:color="auto"/>
        <w:bottom w:val="none" w:sz="0" w:space="0" w:color="auto"/>
        <w:right w:val="none" w:sz="0" w:space="0" w:color="auto"/>
      </w:divBdr>
    </w:div>
    <w:div w:id="359093727">
      <w:bodyDiv w:val="1"/>
      <w:marLeft w:val="0"/>
      <w:marRight w:val="0"/>
      <w:marTop w:val="0"/>
      <w:marBottom w:val="0"/>
      <w:divBdr>
        <w:top w:val="none" w:sz="0" w:space="0" w:color="auto"/>
        <w:left w:val="none" w:sz="0" w:space="0" w:color="auto"/>
        <w:bottom w:val="none" w:sz="0" w:space="0" w:color="auto"/>
        <w:right w:val="none" w:sz="0" w:space="0" w:color="auto"/>
      </w:divBdr>
    </w:div>
    <w:div w:id="369847005">
      <w:bodyDiv w:val="1"/>
      <w:marLeft w:val="0"/>
      <w:marRight w:val="0"/>
      <w:marTop w:val="0"/>
      <w:marBottom w:val="0"/>
      <w:divBdr>
        <w:top w:val="none" w:sz="0" w:space="0" w:color="auto"/>
        <w:left w:val="none" w:sz="0" w:space="0" w:color="auto"/>
        <w:bottom w:val="none" w:sz="0" w:space="0" w:color="auto"/>
        <w:right w:val="none" w:sz="0" w:space="0" w:color="auto"/>
      </w:divBdr>
    </w:div>
    <w:div w:id="373121546">
      <w:bodyDiv w:val="1"/>
      <w:marLeft w:val="0"/>
      <w:marRight w:val="0"/>
      <w:marTop w:val="0"/>
      <w:marBottom w:val="0"/>
      <w:divBdr>
        <w:top w:val="none" w:sz="0" w:space="0" w:color="auto"/>
        <w:left w:val="none" w:sz="0" w:space="0" w:color="auto"/>
        <w:bottom w:val="none" w:sz="0" w:space="0" w:color="auto"/>
        <w:right w:val="none" w:sz="0" w:space="0" w:color="auto"/>
      </w:divBdr>
    </w:div>
    <w:div w:id="374544105">
      <w:bodyDiv w:val="1"/>
      <w:marLeft w:val="0"/>
      <w:marRight w:val="0"/>
      <w:marTop w:val="0"/>
      <w:marBottom w:val="0"/>
      <w:divBdr>
        <w:top w:val="none" w:sz="0" w:space="0" w:color="auto"/>
        <w:left w:val="none" w:sz="0" w:space="0" w:color="auto"/>
        <w:bottom w:val="none" w:sz="0" w:space="0" w:color="auto"/>
        <w:right w:val="none" w:sz="0" w:space="0" w:color="auto"/>
      </w:divBdr>
    </w:div>
    <w:div w:id="377247996">
      <w:bodyDiv w:val="1"/>
      <w:marLeft w:val="0"/>
      <w:marRight w:val="0"/>
      <w:marTop w:val="0"/>
      <w:marBottom w:val="0"/>
      <w:divBdr>
        <w:top w:val="none" w:sz="0" w:space="0" w:color="auto"/>
        <w:left w:val="none" w:sz="0" w:space="0" w:color="auto"/>
        <w:bottom w:val="none" w:sz="0" w:space="0" w:color="auto"/>
        <w:right w:val="none" w:sz="0" w:space="0" w:color="auto"/>
      </w:divBdr>
    </w:div>
    <w:div w:id="377441043">
      <w:bodyDiv w:val="1"/>
      <w:marLeft w:val="0"/>
      <w:marRight w:val="0"/>
      <w:marTop w:val="0"/>
      <w:marBottom w:val="0"/>
      <w:divBdr>
        <w:top w:val="none" w:sz="0" w:space="0" w:color="auto"/>
        <w:left w:val="none" w:sz="0" w:space="0" w:color="auto"/>
        <w:bottom w:val="none" w:sz="0" w:space="0" w:color="auto"/>
        <w:right w:val="none" w:sz="0" w:space="0" w:color="auto"/>
      </w:divBdr>
    </w:div>
    <w:div w:id="378668355">
      <w:bodyDiv w:val="1"/>
      <w:marLeft w:val="0"/>
      <w:marRight w:val="0"/>
      <w:marTop w:val="0"/>
      <w:marBottom w:val="0"/>
      <w:divBdr>
        <w:top w:val="none" w:sz="0" w:space="0" w:color="auto"/>
        <w:left w:val="none" w:sz="0" w:space="0" w:color="auto"/>
        <w:bottom w:val="none" w:sz="0" w:space="0" w:color="auto"/>
        <w:right w:val="none" w:sz="0" w:space="0" w:color="auto"/>
      </w:divBdr>
    </w:div>
    <w:div w:id="386075247">
      <w:bodyDiv w:val="1"/>
      <w:marLeft w:val="0"/>
      <w:marRight w:val="0"/>
      <w:marTop w:val="0"/>
      <w:marBottom w:val="0"/>
      <w:divBdr>
        <w:top w:val="none" w:sz="0" w:space="0" w:color="auto"/>
        <w:left w:val="none" w:sz="0" w:space="0" w:color="auto"/>
        <w:bottom w:val="none" w:sz="0" w:space="0" w:color="auto"/>
        <w:right w:val="none" w:sz="0" w:space="0" w:color="auto"/>
      </w:divBdr>
    </w:div>
    <w:div w:id="386149926">
      <w:bodyDiv w:val="1"/>
      <w:marLeft w:val="0"/>
      <w:marRight w:val="0"/>
      <w:marTop w:val="0"/>
      <w:marBottom w:val="0"/>
      <w:divBdr>
        <w:top w:val="none" w:sz="0" w:space="0" w:color="auto"/>
        <w:left w:val="none" w:sz="0" w:space="0" w:color="auto"/>
        <w:bottom w:val="none" w:sz="0" w:space="0" w:color="auto"/>
        <w:right w:val="none" w:sz="0" w:space="0" w:color="auto"/>
      </w:divBdr>
    </w:div>
    <w:div w:id="390542169">
      <w:bodyDiv w:val="1"/>
      <w:marLeft w:val="0"/>
      <w:marRight w:val="0"/>
      <w:marTop w:val="0"/>
      <w:marBottom w:val="0"/>
      <w:divBdr>
        <w:top w:val="none" w:sz="0" w:space="0" w:color="auto"/>
        <w:left w:val="none" w:sz="0" w:space="0" w:color="auto"/>
        <w:bottom w:val="none" w:sz="0" w:space="0" w:color="auto"/>
        <w:right w:val="none" w:sz="0" w:space="0" w:color="auto"/>
      </w:divBdr>
    </w:div>
    <w:div w:id="392579832">
      <w:bodyDiv w:val="1"/>
      <w:marLeft w:val="0"/>
      <w:marRight w:val="0"/>
      <w:marTop w:val="0"/>
      <w:marBottom w:val="0"/>
      <w:divBdr>
        <w:top w:val="none" w:sz="0" w:space="0" w:color="auto"/>
        <w:left w:val="none" w:sz="0" w:space="0" w:color="auto"/>
        <w:bottom w:val="none" w:sz="0" w:space="0" w:color="auto"/>
        <w:right w:val="none" w:sz="0" w:space="0" w:color="auto"/>
      </w:divBdr>
    </w:div>
    <w:div w:id="397897038">
      <w:bodyDiv w:val="1"/>
      <w:marLeft w:val="0"/>
      <w:marRight w:val="0"/>
      <w:marTop w:val="0"/>
      <w:marBottom w:val="0"/>
      <w:divBdr>
        <w:top w:val="none" w:sz="0" w:space="0" w:color="auto"/>
        <w:left w:val="none" w:sz="0" w:space="0" w:color="auto"/>
        <w:bottom w:val="none" w:sz="0" w:space="0" w:color="auto"/>
        <w:right w:val="none" w:sz="0" w:space="0" w:color="auto"/>
      </w:divBdr>
    </w:div>
    <w:div w:id="404572979">
      <w:bodyDiv w:val="1"/>
      <w:marLeft w:val="0"/>
      <w:marRight w:val="0"/>
      <w:marTop w:val="0"/>
      <w:marBottom w:val="0"/>
      <w:divBdr>
        <w:top w:val="none" w:sz="0" w:space="0" w:color="auto"/>
        <w:left w:val="none" w:sz="0" w:space="0" w:color="auto"/>
        <w:bottom w:val="none" w:sz="0" w:space="0" w:color="auto"/>
        <w:right w:val="none" w:sz="0" w:space="0" w:color="auto"/>
      </w:divBdr>
    </w:div>
    <w:div w:id="415327554">
      <w:bodyDiv w:val="1"/>
      <w:marLeft w:val="0"/>
      <w:marRight w:val="0"/>
      <w:marTop w:val="0"/>
      <w:marBottom w:val="0"/>
      <w:divBdr>
        <w:top w:val="none" w:sz="0" w:space="0" w:color="auto"/>
        <w:left w:val="none" w:sz="0" w:space="0" w:color="auto"/>
        <w:bottom w:val="none" w:sz="0" w:space="0" w:color="auto"/>
        <w:right w:val="none" w:sz="0" w:space="0" w:color="auto"/>
      </w:divBdr>
      <w:divsChild>
        <w:div w:id="1260873899">
          <w:marLeft w:val="0"/>
          <w:marRight w:val="0"/>
          <w:marTop w:val="0"/>
          <w:marBottom w:val="0"/>
          <w:divBdr>
            <w:top w:val="none" w:sz="0" w:space="0" w:color="auto"/>
            <w:left w:val="none" w:sz="0" w:space="0" w:color="auto"/>
            <w:bottom w:val="none" w:sz="0" w:space="0" w:color="auto"/>
            <w:right w:val="none" w:sz="0" w:space="0" w:color="auto"/>
          </w:divBdr>
          <w:divsChild>
            <w:div w:id="1975941053">
              <w:marLeft w:val="0"/>
              <w:marRight w:val="0"/>
              <w:marTop w:val="0"/>
              <w:marBottom w:val="0"/>
              <w:divBdr>
                <w:top w:val="none" w:sz="0" w:space="0" w:color="auto"/>
                <w:left w:val="none" w:sz="0" w:space="0" w:color="auto"/>
                <w:bottom w:val="none" w:sz="0" w:space="0" w:color="auto"/>
                <w:right w:val="none" w:sz="0" w:space="0" w:color="auto"/>
              </w:divBdr>
              <w:divsChild>
                <w:div w:id="1197430289">
                  <w:marLeft w:val="0"/>
                  <w:marRight w:val="0"/>
                  <w:marTop w:val="0"/>
                  <w:marBottom w:val="0"/>
                  <w:divBdr>
                    <w:top w:val="none" w:sz="0" w:space="0" w:color="auto"/>
                    <w:left w:val="none" w:sz="0" w:space="0" w:color="auto"/>
                    <w:bottom w:val="none" w:sz="0" w:space="0" w:color="auto"/>
                    <w:right w:val="none" w:sz="0" w:space="0" w:color="auto"/>
                  </w:divBdr>
                  <w:divsChild>
                    <w:div w:id="2097555494">
                      <w:marLeft w:val="0"/>
                      <w:marRight w:val="0"/>
                      <w:marTop w:val="0"/>
                      <w:marBottom w:val="0"/>
                      <w:divBdr>
                        <w:top w:val="none" w:sz="0" w:space="0" w:color="auto"/>
                        <w:left w:val="none" w:sz="0" w:space="0" w:color="auto"/>
                        <w:bottom w:val="none" w:sz="0" w:space="0" w:color="auto"/>
                        <w:right w:val="none" w:sz="0" w:space="0" w:color="auto"/>
                      </w:divBdr>
                      <w:divsChild>
                        <w:div w:id="310982326">
                          <w:marLeft w:val="0"/>
                          <w:marRight w:val="0"/>
                          <w:marTop w:val="0"/>
                          <w:marBottom w:val="0"/>
                          <w:divBdr>
                            <w:top w:val="none" w:sz="0" w:space="0" w:color="auto"/>
                            <w:left w:val="none" w:sz="0" w:space="0" w:color="auto"/>
                            <w:bottom w:val="none" w:sz="0" w:space="0" w:color="auto"/>
                            <w:right w:val="none" w:sz="0" w:space="0" w:color="auto"/>
                          </w:divBdr>
                          <w:divsChild>
                            <w:div w:id="1427267134">
                              <w:marLeft w:val="0"/>
                              <w:marRight w:val="0"/>
                              <w:marTop w:val="0"/>
                              <w:marBottom w:val="0"/>
                              <w:divBdr>
                                <w:top w:val="none" w:sz="0" w:space="0" w:color="auto"/>
                                <w:left w:val="none" w:sz="0" w:space="0" w:color="auto"/>
                                <w:bottom w:val="none" w:sz="0" w:space="0" w:color="auto"/>
                                <w:right w:val="none" w:sz="0" w:space="0" w:color="auto"/>
                              </w:divBdr>
                              <w:divsChild>
                                <w:div w:id="1227641730">
                                  <w:marLeft w:val="0"/>
                                  <w:marRight w:val="0"/>
                                  <w:marTop w:val="0"/>
                                  <w:marBottom w:val="0"/>
                                  <w:divBdr>
                                    <w:top w:val="none" w:sz="0" w:space="0" w:color="auto"/>
                                    <w:left w:val="none" w:sz="0" w:space="0" w:color="auto"/>
                                    <w:bottom w:val="none" w:sz="0" w:space="0" w:color="auto"/>
                                    <w:right w:val="none" w:sz="0" w:space="0" w:color="auto"/>
                                  </w:divBdr>
                                  <w:divsChild>
                                    <w:div w:id="926501581">
                                      <w:marLeft w:val="0"/>
                                      <w:marRight w:val="0"/>
                                      <w:marTop w:val="0"/>
                                      <w:marBottom w:val="0"/>
                                      <w:divBdr>
                                        <w:top w:val="none" w:sz="0" w:space="0" w:color="auto"/>
                                        <w:left w:val="none" w:sz="0" w:space="0" w:color="auto"/>
                                        <w:bottom w:val="none" w:sz="0" w:space="0" w:color="auto"/>
                                        <w:right w:val="none" w:sz="0" w:space="0" w:color="auto"/>
                                      </w:divBdr>
                                      <w:divsChild>
                                        <w:div w:id="612634937">
                                          <w:marLeft w:val="0"/>
                                          <w:marRight w:val="0"/>
                                          <w:marTop w:val="0"/>
                                          <w:marBottom w:val="0"/>
                                          <w:divBdr>
                                            <w:top w:val="none" w:sz="0" w:space="0" w:color="auto"/>
                                            <w:left w:val="none" w:sz="0" w:space="0" w:color="auto"/>
                                            <w:bottom w:val="none" w:sz="0" w:space="0" w:color="auto"/>
                                            <w:right w:val="none" w:sz="0" w:space="0" w:color="auto"/>
                                          </w:divBdr>
                                          <w:divsChild>
                                            <w:div w:id="1391541174">
                                              <w:marLeft w:val="0"/>
                                              <w:marRight w:val="0"/>
                                              <w:marTop w:val="0"/>
                                              <w:marBottom w:val="0"/>
                                              <w:divBdr>
                                                <w:top w:val="none" w:sz="0" w:space="0" w:color="auto"/>
                                                <w:left w:val="none" w:sz="0" w:space="0" w:color="auto"/>
                                                <w:bottom w:val="none" w:sz="0" w:space="0" w:color="auto"/>
                                                <w:right w:val="none" w:sz="0" w:space="0" w:color="auto"/>
                                              </w:divBdr>
                                            </w:div>
                                            <w:div w:id="1009720259">
                                              <w:marLeft w:val="0"/>
                                              <w:marRight w:val="0"/>
                                              <w:marTop w:val="0"/>
                                              <w:marBottom w:val="0"/>
                                              <w:divBdr>
                                                <w:top w:val="none" w:sz="0" w:space="0" w:color="auto"/>
                                                <w:left w:val="none" w:sz="0" w:space="0" w:color="auto"/>
                                                <w:bottom w:val="none" w:sz="0" w:space="0" w:color="auto"/>
                                                <w:right w:val="none" w:sz="0" w:space="0" w:color="auto"/>
                                              </w:divBdr>
                                            </w:div>
                                            <w:div w:id="3804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908234">
      <w:bodyDiv w:val="1"/>
      <w:marLeft w:val="0"/>
      <w:marRight w:val="0"/>
      <w:marTop w:val="0"/>
      <w:marBottom w:val="0"/>
      <w:divBdr>
        <w:top w:val="none" w:sz="0" w:space="0" w:color="auto"/>
        <w:left w:val="none" w:sz="0" w:space="0" w:color="auto"/>
        <w:bottom w:val="none" w:sz="0" w:space="0" w:color="auto"/>
        <w:right w:val="none" w:sz="0" w:space="0" w:color="auto"/>
      </w:divBdr>
    </w:div>
    <w:div w:id="419303257">
      <w:bodyDiv w:val="1"/>
      <w:marLeft w:val="0"/>
      <w:marRight w:val="0"/>
      <w:marTop w:val="0"/>
      <w:marBottom w:val="0"/>
      <w:divBdr>
        <w:top w:val="none" w:sz="0" w:space="0" w:color="auto"/>
        <w:left w:val="none" w:sz="0" w:space="0" w:color="auto"/>
        <w:bottom w:val="none" w:sz="0" w:space="0" w:color="auto"/>
        <w:right w:val="none" w:sz="0" w:space="0" w:color="auto"/>
      </w:divBdr>
    </w:div>
    <w:div w:id="420639950">
      <w:bodyDiv w:val="1"/>
      <w:marLeft w:val="0"/>
      <w:marRight w:val="0"/>
      <w:marTop w:val="0"/>
      <w:marBottom w:val="0"/>
      <w:divBdr>
        <w:top w:val="none" w:sz="0" w:space="0" w:color="auto"/>
        <w:left w:val="none" w:sz="0" w:space="0" w:color="auto"/>
        <w:bottom w:val="none" w:sz="0" w:space="0" w:color="auto"/>
        <w:right w:val="none" w:sz="0" w:space="0" w:color="auto"/>
      </w:divBdr>
    </w:div>
    <w:div w:id="422578786">
      <w:bodyDiv w:val="1"/>
      <w:marLeft w:val="0"/>
      <w:marRight w:val="0"/>
      <w:marTop w:val="0"/>
      <w:marBottom w:val="0"/>
      <w:divBdr>
        <w:top w:val="none" w:sz="0" w:space="0" w:color="auto"/>
        <w:left w:val="none" w:sz="0" w:space="0" w:color="auto"/>
        <w:bottom w:val="none" w:sz="0" w:space="0" w:color="auto"/>
        <w:right w:val="none" w:sz="0" w:space="0" w:color="auto"/>
      </w:divBdr>
    </w:div>
    <w:div w:id="424306166">
      <w:bodyDiv w:val="1"/>
      <w:marLeft w:val="0"/>
      <w:marRight w:val="0"/>
      <w:marTop w:val="0"/>
      <w:marBottom w:val="0"/>
      <w:divBdr>
        <w:top w:val="none" w:sz="0" w:space="0" w:color="auto"/>
        <w:left w:val="none" w:sz="0" w:space="0" w:color="auto"/>
        <w:bottom w:val="none" w:sz="0" w:space="0" w:color="auto"/>
        <w:right w:val="none" w:sz="0" w:space="0" w:color="auto"/>
      </w:divBdr>
    </w:div>
    <w:div w:id="426926835">
      <w:bodyDiv w:val="1"/>
      <w:marLeft w:val="0"/>
      <w:marRight w:val="0"/>
      <w:marTop w:val="0"/>
      <w:marBottom w:val="0"/>
      <w:divBdr>
        <w:top w:val="none" w:sz="0" w:space="0" w:color="auto"/>
        <w:left w:val="none" w:sz="0" w:space="0" w:color="auto"/>
        <w:bottom w:val="none" w:sz="0" w:space="0" w:color="auto"/>
        <w:right w:val="none" w:sz="0" w:space="0" w:color="auto"/>
      </w:divBdr>
    </w:div>
    <w:div w:id="440616168">
      <w:bodyDiv w:val="1"/>
      <w:marLeft w:val="0"/>
      <w:marRight w:val="0"/>
      <w:marTop w:val="0"/>
      <w:marBottom w:val="0"/>
      <w:divBdr>
        <w:top w:val="none" w:sz="0" w:space="0" w:color="auto"/>
        <w:left w:val="none" w:sz="0" w:space="0" w:color="auto"/>
        <w:bottom w:val="none" w:sz="0" w:space="0" w:color="auto"/>
        <w:right w:val="none" w:sz="0" w:space="0" w:color="auto"/>
      </w:divBdr>
    </w:div>
    <w:div w:id="444890345">
      <w:bodyDiv w:val="1"/>
      <w:marLeft w:val="0"/>
      <w:marRight w:val="0"/>
      <w:marTop w:val="0"/>
      <w:marBottom w:val="0"/>
      <w:divBdr>
        <w:top w:val="none" w:sz="0" w:space="0" w:color="auto"/>
        <w:left w:val="none" w:sz="0" w:space="0" w:color="auto"/>
        <w:bottom w:val="none" w:sz="0" w:space="0" w:color="auto"/>
        <w:right w:val="none" w:sz="0" w:space="0" w:color="auto"/>
      </w:divBdr>
    </w:div>
    <w:div w:id="446438008">
      <w:bodyDiv w:val="1"/>
      <w:marLeft w:val="0"/>
      <w:marRight w:val="0"/>
      <w:marTop w:val="0"/>
      <w:marBottom w:val="0"/>
      <w:divBdr>
        <w:top w:val="none" w:sz="0" w:space="0" w:color="auto"/>
        <w:left w:val="none" w:sz="0" w:space="0" w:color="auto"/>
        <w:bottom w:val="none" w:sz="0" w:space="0" w:color="auto"/>
        <w:right w:val="none" w:sz="0" w:space="0" w:color="auto"/>
      </w:divBdr>
    </w:div>
    <w:div w:id="448352288">
      <w:bodyDiv w:val="1"/>
      <w:marLeft w:val="0"/>
      <w:marRight w:val="0"/>
      <w:marTop w:val="0"/>
      <w:marBottom w:val="0"/>
      <w:divBdr>
        <w:top w:val="none" w:sz="0" w:space="0" w:color="auto"/>
        <w:left w:val="none" w:sz="0" w:space="0" w:color="auto"/>
        <w:bottom w:val="none" w:sz="0" w:space="0" w:color="auto"/>
        <w:right w:val="none" w:sz="0" w:space="0" w:color="auto"/>
      </w:divBdr>
    </w:div>
    <w:div w:id="452987416">
      <w:bodyDiv w:val="1"/>
      <w:marLeft w:val="0"/>
      <w:marRight w:val="0"/>
      <w:marTop w:val="0"/>
      <w:marBottom w:val="0"/>
      <w:divBdr>
        <w:top w:val="none" w:sz="0" w:space="0" w:color="auto"/>
        <w:left w:val="none" w:sz="0" w:space="0" w:color="auto"/>
        <w:bottom w:val="none" w:sz="0" w:space="0" w:color="auto"/>
        <w:right w:val="none" w:sz="0" w:space="0" w:color="auto"/>
      </w:divBdr>
    </w:div>
    <w:div w:id="454249897">
      <w:bodyDiv w:val="1"/>
      <w:marLeft w:val="0"/>
      <w:marRight w:val="0"/>
      <w:marTop w:val="0"/>
      <w:marBottom w:val="0"/>
      <w:divBdr>
        <w:top w:val="none" w:sz="0" w:space="0" w:color="auto"/>
        <w:left w:val="none" w:sz="0" w:space="0" w:color="auto"/>
        <w:bottom w:val="none" w:sz="0" w:space="0" w:color="auto"/>
        <w:right w:val="none" w:sz="0" w:space="0" w:color="auto"/>
      </w:divBdr>
    </w:div>
    <w:div w:id="454908843">
      <w:bodyDiv w:val="1"/>
      <w:marLeft w:val="0"/>
      <w:marRight w:val="0"/>
      <w:marTop w:val="0"/>
      <w:marBottom w:val="0"/>
      <w:divBdr>
        <w:top w:val="none" w:sz="0" w:space="0" w:color="auto"/>
        <w:left w:val="none" w:sz="0" w:space="0" w:color="auto"/>
        <w:bottom w:val="none" w:sz="0" w:space="0" w:color="auto"/>
        <w:right w:val="none" w:sz="0" w:space="0" w:color="auto"/>
      </w:divBdr>
    </w:div>
    <w:div w:id="457144841">
      <w:bodyDiv w:val="1"/>
      <w:marLeft w:val="0"/>
      <w:marRight w:val="0"/>
      <w:marTop w:val="0"/>
      <w:marBottom w:val="0"/>
      <w:divBdr>
        <w:top w:val="none" w:sz="0" w:space="0" w:color="auto"/>
        <w:left w:val="none" w:sz="0" w:space="0" w:color="auto"/>
        <w:bottom w:val="none" w:sz="0" w:space="0" w:color="auto"/>
        <w:right w:val="none" w:sz="0" w:space="0" w:color="auto"/>
      </w:divBdr>
    </w:div>
    <w:div w:id="457186462">
      <w:bodyDiv w:val="1"/>
      <w:marLeft w:val="0"/>
      <w:marRight w:val="0"/>
      <w:marTop w:val="0"/>
      <w:marBottom w:val="0"/>
      <w:divBdr>
        <w:top w:val="none" w:sz="0" w:space="0" w:color="auto"/>
        <w:left w:val="none" w:sz="0" w:space="0" w:color="auto"/>
        <w:bottom w:val="none" w:sz="0" w:space="0" w:color="auto"/>
        <w:right w:val="none" w:sz="0" w:space="0" w:color="auto"/>
      </w:divBdr>
    </w:div>
    <w:div w:id="458766736">
      <w:bodyDiv w:val="1"/>
      <w:marLeft w:val="0"/>
      <w:marRight w:val="0"/>
      <w:marTop w:val="0"/>
      <w:marBottom w:val="0"/>
      <w:divBdr>
        <w:top w:val="none" w:sz="0" w:space="0" w:color="auto"/>
        <w:left w:val="none" w:sz="0" w:space="0" w:color="auto"/>
        <w:bottom w:val="none" w:sz="0" w:space="0" w:color="auto"/>
        <w:right w:val="none" w:sz="0" w:space="0" w:color="auto"/>
      </w:divBdr>
    </w:div>
    <w:div w:id="459108875">
      <w:bodyDiv w:val="1"/>
      <w:marLeft w:val="0"/>
      <w:marRight w:val="0"/>
      <w:marTop w:val="0"/>
      <w:marBottom w:val="0"/>
      <w:divBdr>
        <w:top w:val="none" w:sz="0" w:space="0" w:color="auto"/>
        <w:left w:val="none" w:sz="0" w:space="0" w:color="auto"/>
        <w:bottom w:val="none" w:sz="0" w:space="0" w:color="auto"/>
        <w:right w:val="none" w:sz="0" w:space="0" w:color="auto"/>
      </w:divBdr>
    </w:div>
    <w:div w:id="465006207">
      <w:bodyDiv w:val="1"/>
      <w:marLeft w:val="0"/>
      <w:marRight w:val="0"/>
      <w:marTop w:val="0"/>
      <w:marBottom w:val="0"/>
      <w:divBdr>
        <w:top w:val="none" w:sz="0" w:space="0" w:color="auto"/>
        <w:left w:val="none" w:sz="0" w:space="0" w:color="auto"/>
        <w:bottom w:val="none" w:sz="0" w:space="0" w:color="auto"/>
        <w:right w:val="none" w:sz="0" w:space="0" w:color="auto"/>
      </w:divBdr>
    </w:div>
    <w:div w:id="468788676">
      <w:bodyDiv w:val="1"/>
      <w:marLeft w:val="0"/>
      <w:marRight w:val="0"/>
      <w:marTop w:val="0"/>
      <w:marBottom w:val="0"/>
      <w:divBdr>
        <w:top w:val="none" w:sz="0" w:space="0" w:color="auto"/>
        <w:left w:val="none" w:sz="0" w:space="0" w:color="auto"/>
        <w:bottom w:val="none" w:sz="0" w:space="0" w:color="auto"/>
        <w:right w:val="none" w:sz="0" w:space="0" w:color="auto"/>
      </w:divBdr>
    </w:div>
    <w:div w:id="469515380">
      <w:bodyDiv w:val="1"/>
      <w:marLeft w:val="0"/>
      <w:marRight w:val="0"/>
      <w:marTop w:val="0"/>
      <w:marBottom w:val="0"/>
      <w:divBdr>
        <w:top w:val="none" w:sz="0" w:space="0" w:color="auto"/>
        <w:left w:val="none" w:sz="0" w:space="0" w:color="auto"/>
        <w:bottom w:val="none" w:sz="0" w:space="0" w:color="auto"/>
        <w:right w:val="none" w:sz="0" w:space="0" w:color="auto"/>
      </w:divBdr>
    </w:div>
    <w:div w:id="469641332">
      <w:bodyDiv w:val="1"/>
      <w:marLeft w:val="0"/>
      <w:marRight w:val="0"/>
      <w:marTop w:val="0"/>
      <w:marBottom w:val="0"/>
      <w:divBdr>
        <w:top w:val="none" w:sz="0" w:space="0" w:color="auto"/>
        <w:left w:val="none" w:sz="0" w:space="0" w:color="auto"/>
        <w:bottom w:val="none" w:sz="0" w:space="0" w:color="auto"/>
        <w:right w:val="none" w:sz="0" w:space="0" w:color="auto"/>
      </w:divBdr>
    </w:div>
    <w:div w:id="470369451">
      <w:bodyDiv w:val="1"/>
      <w:marLeft w:val="0"/>
      <w:marRight w:val="0"/>
      <w:marTop w:val="0"/>
      <w:marBottom w:val="0"/>
      <w:divBdr>
        <w:top w:val="none" w:sz="0" w:space="0" w:color="auto"/>
        <w:left w:val="none" w:sz="0" w:space="0" w:color="auto"/>
        <w:bottom w:val="none" w:sz="0" w:space="0" w:color="auto"/>
        <w:right w:val="none" w:sz="0" w:space="0" w:color="auto"/>
      </w:divBdr>
    </w:div>
    <w:div w:id="471486124">
      <w:bodyDiv w:val="1"/>
      <w:marLeft w:val="0"/>
      <w:marRight w:val="0"/>
      <w:marTop w:val="0"/>
      <w:marBottom w:val="0"/>
      <w:divBdr>
        <w:top w:val="none" w:sz="0" w:space="0" w:color="auto"/>
        <w:left w:val="none" w:sz="0" w:space="0" w:color="auto"/>
        <w:bottom w:val="none" w:sz="0" w:space="0" w:color="auto"/>
        <w:right w:val="none" w:sz="0" w:space="0" w:color="auto"/>
      </w:divBdr>
    </w:div>
    <w:div w:id="471749789">
      <w:bodyDiv w:val="1"/>
      <w:marLeft w:val="0"/>
      <w:marRight w:val="0"/>
      <w:marTop w:val="0"/>
      <w:marBottom w:val="0"/>
      <w:divBdr>
        <w:top w:val="none" w:sz="0" w:space="0" w:color="auto"/>
        <w:left w:val="none" w:sz="0" w:space="0" w:color="auto"/>
        <w:bottom w:val="none" w:sz="0" w:space="0" w:color="auto"/>
        <w:right w:val="none" w:sz="0" w:space="0" w:color="auto"/>
      </w:divBdr>
    </w:div>
    <w:div w:id="473987406">
      <w:bodyDiv w:val="1"/>
      <w:marLeft w:val="0"/>
      <w:marRight w:val="0"/>
      <w:marTop w:val="0"/>
      <w:marBottom w:val="0"/>
      <w:divBdr>
        <w:top w:val="none" w:sz="0" w:space="0" w:color="auto"/>
        <w:left w:val="none" w:sz="0" w:space="0" w:color="auto"/>
        <w:bottom w:val="none" w:sz="0" w:space="0" w:color="auto"/>
        <w:right w:val="none" w:sz="0" w:space="0" w:color="auto"/>
      </w:divBdr>
    </w:div>
    <w:div w:id="474690166">
      <w:bodyDiv w:val="1"/>
      <w:marLeft w:val="0"/>
      <w:marRight w:val="0"/>
      <w:marTop w:val="0"/>
      <w:marBottom w:val="0"/>
      <w:divBdr>
        <w:top w:val="none" w:sz="0" w:space="0" w:color="auto"/>
        <w:left w:val="none" w:sz="0" w:space="0" w:color="auto"/>
        <w:bottom w:val="none" w:sz="0" w:space="0" w:color="auto"/>
        <w:right w:val="none" w:sz="0" w:space="0" w:color="auto"/>
      </w:divBdr>
    </w:div>
    <w:div w:id="479808820">
      <w:bodyDiv w:val="1"/>
      <w:marLeft w:val="0"/>
      <w:marRight w:val="0"/>
      <w:marTop w:val="0"/>
      <w:marBottom w:val="0"/>
      <w:divBdr>
        <w:top w:val="none" w:sz="0" w:space="0" w:color="auto"/>
        <w:left w:val="none" w:sz="0" w:space="0" w:color="auto"/>
        <w:bottom w:val="none" w:sz="0" w:space="0" w:color="auto"/>
        <w:right w:val="none" w:sz="0" w:space="0" w:color="auto"/>
      </w:divBdr>
    </w:div>
    <w:div w:id="481584852">
      <w:bodyDiv w:val="1"/>
      <w:marLeft w:val="0"/>
      <w:marRight w:val="0"/>
      <w:marTop w:val="0"/>
      <w:marBottom w:val="0"/>
      <w:divBdr>
        <w:top w:val="none" w:sz="0" w:space="0" w:color="auto"/>
        <w:left w:val="none" w:sz="0" w:space="0" w:color="auto"/>
        <w:bottom w:val="none" w:sz="0" w:space="0" w:color="auto"/>
        <w:right w:val="none" w:sz="0" w:space="0" w:color="auto"/>
      </w:divBdr>
    </w:div>
    <w:div w:id="481653789">
      <w:bodyDiv w:val="1"/>
      <w:marLeft w:val="0"/>
      <w:marRight w:val="0"/>
      <w:marTop w:val="0"/>
      <w:marBottom w:val="0"/>
      <w:divBdr>
        <w:top w:val="none" w:sz="0" w:space="0" w:color="auto"/>
        <w:left w:val="none" w:sz="0" w:space="0" w:color="auto"/>
        <w:bottom w:val="none" w:sz="0" w:space="0" w:color="auto"/>
        <w:right w:val="none" w:sz="0" w:space="0" w:color="auto"/>
      </w:divBdr>
    </w:div>
    <w:div w:id="481702169">
      <w:bodyDiv w:val="1"/>
      <w:marLeft w:val="0"/>
      <w:marRight w:val="0"/>
      <w:marTop w:val="0"/>
      <w:marBottom w:val="0"/>
      <w:divBdr>
        <w:top w:val="none" w:sz="0" w:space="0" w:color="auto"/>
        <w:left w:val="none" w:sz="0" w:space="0" w:color="auto"/>
        <w:bottom w:val="none" w:sz="0" w:space="0" w:color="auto"/>
        <w:right w:val="none" w:sz="0" w:space="0" w:color="auto"/>
      </w:divBdr>
    </w:div>
    <w:div w:id="488791527">
      <w:bodyDiv w:val="1"/>
      <w:marLeft w:val="0"/>
      <w:marRight w:val="0"/>
      <w:marTop w:val="0"/>
      <w:marBottom w:val="0"/>
      <w:divBdr>
        <w:top w:val="none" w:sz="0" w:space="0" w:color="auto"/>
        <w:left w:val="none" w:sz="0" w:space="0" w:color="auto"/>
        <w:bottom w:val="none" w:sz="0" w:space="0" w:color="auto"/>
        <w:right w:val="none" w:sz="0" w:space="0" w:color="auto"/>
      </w:divBdr>
    </w:div>
    <w:div w:id="490563249">
      <w:bodyDiv w:val="1"/>
      <w:marLeft w:val="0"/>
      <w:marRight w:val="0"/>
      <w:marTop w:val="0"/>
      <w:marBottom w:val="0"/>
      <w:divBdr>
        <w:top w:val="none" w:sz="0" w:space="0" w:color="auto"/>
        <w:left w:val="none" w:sz="0" w:space="0" w:color="auto"/>
        <w:bottom w:val="none" w:sz="0" w:space="0" w:color="auto"/>
        <w:right w:val="none" w:sz="0" w:space="0" w:color="auto"/>
      </w:divBdr>
    </w:div>
    <w:div w:id="497771485">
      <w:bodyDiv w:val="1"/>
      <w:marLeft w:val="0"/>
      <w:marRight w:val="0"/>
      <w:marTop w:val="0"/>
      <w:marBottom w:val="0"/>
      <w:divBdr>
        <w:top w:val="none" w:sz="0" w:space="0" w:color="auto"/>
        <w:left w:val="none" w:sz="0" w:space="0" w:color="auto"/>
        <w:bottom w:val="none" w:sz="0" w:space="0" w:color="auto"/>
        <w:right w:val="none" w:sz="0" w:space="0" w:color="auto"/>
      </w:divBdr>
    </w:div>
    <w:div w:id="498695397">
      <w:bodyDiv w:val="1"/>
      <w:marLeft w:val="0"/>
      <w:marRight w:val="0"/>
      <w:marTop w:val="0"/>
      <w:marBottom w:val="0"/>
      <w:divBdr>
        <w:top w:val="none" w:sz="0" w:space="0" w:color="auto"/>
        <w:left w:val="none" w:sz="0" w:space="0" w:color="auto"/>
        <w:bottom w:val="none" w:sz="0" w:space="0" w:color="auto"/>
        <w:right w:val="none" w:sz="0" w:space="0" w:color="auto"/>
      </w:divBdr>
    </w:div>
    <w:div w:id="501549456">
      <w:bodyDiv w:val="1"/>
      <w:marLeft w:val="0"/>
      <w:marRight w:val="0"/>
      <w:marTop w:val="0"/>
      <w:marBottom w:val="0"/>
      <w:divBdr>
        <w:top w:val="none" w:sz="0" w:space="0" w:color="auto"/>
        <w:left w:val="none" w:sz="0" w:space="0" w:color="auto"/>
        <w:bottom w:val="none" w:sz="0" w:space="0" w:color="auto"/>
        <w:right w:val="none" w:sz="0" w:space="0" w:color="auto"/>
      </w:divBdr>
    </w:div>
    <w:div w:id="503328376">
      <w:bodyDiv w:val="1"/>
      <w:marLeft w:val="0"/>
      <w:marRight w:val="0"/>
      <w:marTop w:val="0"/>
      <w:marBottom w:val="0"/>
      <w:divBdr>
        <w:top w:val="none" w:sz="0" w:space="0" w:color="auto"/>
        <w:left w:val="none" w:sz="0" w:space="0" w:color="auto"/>
        <w:bottom w:val="none" w:sz="0" w:space="0" w:color="auto"/>
        <w:right w:val="none" w:sz="0" w:space="0" w:color="auto"/>
      </w:divBdr>
    </w:div>
    <w:div w:id="504249466">
      <w:bodyDiv w:val="1"/>
      <w:marLeft w:val="0"/>
      <w:marRight w:val="0"/>
      <w:marTop w:val="0"/>
      <w:marBottom w:val="0"/>
      <w:divBdr>
        <w:top w:val="none" w:sz="0" w:space="0" w:color="auto"/>
        <w:left w:val="none" w:sz="0" w:space="0" w:color="auto"/>
        <w:bottom w:val="none" w:sz="0" w:space="0" w:color="auto"/>
        <w:right w:val="none" w:sz="0" w:space="0" w:color="auto"/>
      </w:divBdr>
    </w:div>
    <w:div w:id="505826312">
      <w:bodyDiv w:val="1"/>
      <w:marLeft w:val="0"/>
      <w:marRight w:val="0"/>
      <w:marTop w:val="0"/>
      <w:marBottom w:val="0"/>
      <w:divBdr>
        <w:top w:val="none" w:sz="0" w:space="0" w:color="auto"/>
        <w:left w:val="none" w:sz="0" w:space="0" w:color="auto"/>
        <w:bottom w:val="none" w:sz="0" w:space="0" w:color="auto"/>
        <w:right w:val="none" w:sz="0" w:space="0" w:color="auto"/>
      </w:divBdr>
    </w:div>
    <w:div w:id="513963210">
      <w:bodyDiv w:val="1"/>
      <w:marLeft w:val="0"/>
      <w:marRight w:val="0"/>
      <w:marTop w:val="0"/>
      <w:marBottom w:val="0"/>
      <w:divBdr>
        <w:top w:val="none" w:sz="0" w:space="0" w:color="auto"/>
        <w:left w:val="none" w:sz="0" w:space="0" w:color="auto"/>
        <w:bottom w:val="none" w:sz="0" w:space="0" w:color="auto"/>
        <w:right w:val="none" w:sz="0" w:space="0" w:color="auto"/>
      </w:divBdr>
    </w:div>
    <w:div w:id="514153374">
      <w:bodyDiv w:val="1"/>
      <w:marLeft w:val="0"/>
      <w:marRight w:val="0"/>
      <w:marTop w:val="0"/>
      <w:marBottom w:val="0"/>
      <w:divBdr>
        <w:top w:val="none" w:sz="0" w:space="0" w:color="auto"/>
        <w:left w:val="none" w:sz="0" w:space="0" w:color="auto"/>
        <w:bottom w:val="none" w:sz="0" w:space="0" w:color="auto"/>
        <w:right w:val="none" w:sz="0" w:space="0" w:color="auto"/>
      </w:divBdr>
    </w:div>
    <w:div w:id="526722974">
      <w:bodyDiv w:val="1"/>
      <w:marLeft w:val="0"/>
      <w:marRight w:val="0"/>
      <w:marTop w:val="0"/>
      <w:marBottom w:val="0"/>
      <w:divBdr>
        <w:top w:val="none" w:sz="0" w:space="0" w:color="auto"/>
        <w:left w:val="none" w:sz="0" w:space="0" w:color="auto"/>
        <w:bottom w:val="none" w:sz="0" w:space="0" w:color="auto"/>
        <w:right w:val="none" w:sz="0" w:space="0" w:color="auto"/>
      </w:divBdr>
    </w:div>
    <w:div w:id="528490303">
      <w:bodyDiv w:val="1"/>
      <w:marLeft w:val="0"/>
      <w:marRight w:val="0"/>
      <w:marTop w:val="0"/>
      <w:marBottom w:val="0"/>
      <w:divBdr>
        <w:top w:val="none" w:sz="0" w:space="0" w:color="auto"/>
        <w:left w:val="none" w:sz="0" w:space="0" w:color="auto"/>
        <w:bottom w:val="none" w:sz="0" w:space="0" w:color="auto"/>
        <w:right w:val="none" w:sz="0" w:space="0" w:color="auto"/>
      </w:divBdr>
    </w:div>
    <w:div w:id="534318840">
      <w:bodyDiv w:val="1"/>
      <w:marLeft w:val="0"/>
      <w:marRight w:val="0"/>
      <w:marTop w:val="0"/>
      <w:marBottom w:val="0"/>
      <w:divBdr>
        <w:top w:val="none" w:sz="0" w:space="0" w:color="auto"/>
        <w:left w:val="none" w:sz="0" w:space="0" w:color="auto"/>
        <w:bottom w:val="none" w:sz="0" w:space="0" w:color="auto"/>
        <w:right w:val="none" w:sz="0" w:space="0" w:color="auto"/>
      </w:divBdr>
    </w:div>
    <w:div w:id="535310890">
      <w:bodyDiv w:val="1"/>
      <w:marLeft w:val="0"/>
      <w:marRight w:val="0"/>
      <w:marTop w:val="0"/>
      <w:marBottom w:val="0"/>
      <w:divBdr>
        <w:top w:val="none" w:sz="0" w:space="0" w:color="auto"/>
        <w:left w:val="none" w:sz="0" w:space="0" w:color="auto"/>
        <w:bottom w:val="none" w:sz="0" w:space="0" w:color="auto"/>
        <w:right w:val="none" w:sz="0" w:space="0" w:color="auto"/>
      </w:divBdr>
    </w:div>
    <w:div w:id="535315684">
      <w:bodyDiv w:val="1"/>
      <w:marLeft w:val="0"/>
      <w:marRight w:val="0"/>
      <w:marTop w:val="0"/>
      <w:marBottom w:val="0"/>
      <w:divBdr>
        <w:top w:val="none" w:sz="0" w:space="0" w:color="auto"/>
        <w:left w:val="none" w:sz="0" w:space="0" w:color="auto"/>
        <w:bottom w:val="none" w:sz="0" w:space="0" w:color="auto"/>
        <w:right w:val="none" w:sz="0" w:space="0" w:color="auto"/>
      </w:divBdr>
    </w:div>
    <w:div w:id="539587916">
      <w:bodyDiv w:val="1"/>
      <w:marLeft w:val="0"/>
      <w:marRight w:val="0"/>
      <w:marTop w:val="0"/>
      <w:marBottom w:val="0"/>
      <w:divBdr>
        <w:top w:val="none" w:sz="0" w:space="0" w:color="auto"/>
        <w:left w:val="none" w:sz="0" w:space="0" w:color="auto"/>
        <w:bottom w:val="none" w:sz="0" w:space="0" w:color="auto"/>
        <w:right w:val="none" w:sz="0" w:space="0" w:color="auto"/>
      </w:divBdr>
    </w:div>
    <w:div w:id="546836282">
      <w:bodyDiv w:val="1"/>
      <w:marLeft w:val="0"/>
      <w:marRight w:val="0"/>
      <w:marTop w:val="0"/>
      <w:marBottom w:val="0"/>
      <w:divBdr>
        <w:top w:val="none" w:sz="0" w:space="0" w:color="auto"/>
        <w:left w:val="none" w:sz="0" w:space="0" w:color="auto"/>
        <w:bottom w:val="none" w:sz="0" w:space="0" w:color="auto"/>
        <w:right w:val="none" w:sz="0" w:space="0" w:color="auto"/>
      </w:divBdr>
    </w:div>
    <w:div w:id="551578684">
      <w:bodyDiv w:val="1"/>
      <w:marLeft w:val="0"/>
      <w:marRight w:val="0"/>
      <w:marTop w:val="0"/>
      <w:marBottom w:val="0"/>
      <w:divBdr>
        <w:top w:val="none" w:sz="0" w:space="0" w:color="auto"/>
        <w:left w:val="none" w:sz="0" w:space="0" w:color="auto"/>
        <w:bottom w:val="none" w:sz="0" w:space="0" w:color="auto"/>
        <w:right w:val="none" w:sz="0" w:space="0" w:color="auto"/>
      </w:divBdr>
    </w:div>
    <w:div w:id="553926978">
      <w:bodyDiv w:val="1"/>
      <w:marLeft w:val="0"/>
      <w:marRight w:val="0"/>
      <w:marTop w:val="0"/>
      <w:marBottom w:val="0"/>
      <w:divBdr>
        <w:top w:val="none" w:sz="0" w:space="0" w:color="auto"/>
        <w:left w:val="none" w:sz="0" w:space="0" w:color="auto"/>
        <w:bottom w:val="none" w:sz="0" w:space="0" w:color="auto"/>
        <w:right w:val="none" w:sz="0" w:space="0" w:color="auto"/>
      </w:divBdr>
    </w:div>
    <w:div w:id="559706990">
      <w:bodyDiv w:val="1"/>
      <w:marLeft w:val="0"/>
      <w:marRight w:val="0"/>
      <w:marTop w:val="0"/>
      <w:marBottom w:val="0"/>
      <w:divBdr>
        <w:top w:val="none" w:sz="0" w:space="0" w:color="auto"/>
        <w:left w:val="none" w:sz="0" w:space="0" w:color="auto"/>
        <w:bottom w:val="none" w:sz="0" w:space="0" w:color="auto"/>
        <w:right w:val="none" w:sz="0" w:space="0" w:color="auto"/>
      </w:divBdr>
    </w:div>
    <w:div w:id="562253611">
      <w:bodyDiv w:val="1"/>
      <w:marLeft w:val="0"/>
      <w:marRight w:val="0"/>
      <w:marTop w:val="0"/>
      <w:marBottom w:val="0"/>
      <w:divBdr>
        <w:top w:val="none" w:sz="0" w:space="0" w:color="auto"/>
        <w:left w:val="none" w:sz="0" w:space="0" w:color="auto"/>
        <w:bottom w:val="none" w:sz="0" w:space="0" w:color="auto"/>
        <w:right w:val="none" w:sz="0" w:space="0" w:color="auto"/>
      </w:divBdr>
    </w:div>
    <w:div w:id="562253702">
      <w:bodyDiv w:val="1"/>
      <w:marLeft w:val="0"/>
      <w:marRight w:val="0"/>
      <w:marTop w:val="0"/>
      <w:marBottom w:val="0"/>
      <w:divBdr>
        <w:top w:val="none" w:sz="0" w:space="0" w:color="auto"/>
        <w:left w:val="none" w:sz="0" w:space="0" w:color="auto"/>
        <w:bottom w:val="none" w:sz="0" w:space="0" w:color="auto"/>
        <w:right w:val="none" w:sz="0" w:space="0" w:color="auto"/>
      </w:divBdr>
    </w:div>
    <w:div w:id="564294791">
      <w:bodyDiv w:val="1"/>
      <w:marLeft w:val="0"/>
      <w:marRight w:val="0"/>
      <w:marTop w:val="0"/>
      <w:marBottom w:val="0"/>
      <w:divBdr>
        <w:top w:val="none" w:sz="0" w:space="0" w:color="auto"/>
        <w:left w:val="none" w:sz="0" w:space="0" w:color="auto"/>
        <w:bottom w:val="none" w:sz="0" w:space="0" w:color="auto"/>
        <w:right w:val="none" w:sz="0" w:space="0" w:color="auto"/>
      </w:divBdr>
    </w:div>
    <w:div w:id="570844730">
      <w:bodyDiv w:val="1"/>
      <w:marLeft w:val="0"/>
      <w:marRight w:val="0"/>
      <w:marTop w:val="0"/>
      <w:marBottom w:val="0"/>
      <w:divBdr>
        <w:top w:val="none" w:sz="0" w:space="0" w:color="auto"/>
        <w:left w:val="none" w:sz="0" w:space="0" w:color="auto"/>
        <w:bottom w:val="none" w:sz="0" w:space="0" w:color="auto"/>
        <w:right w:val="none" w:sz="0" w:space="0" w:color="auto"/>
      </w:divBdr>
    </w:div>
    <w:div w:id="575670256">
      <w:bodyDiv w:val="1"/>
      <w:marLeft w:val="0"/>
      <w:marRight w:val="0"/>
      <w:marTop w:val="0"/>
      <w:marBottom w:val="0"/>
      <w:divBdr>
        <w:top w:val="none" w:sz="0" w:space="0" w:color="auto"/>
        <w:left w:val="none" w:sz="0" w:space="0" w:color="auto"/>
        <w:bottom w:val="none" w:sz="0" w:space="0" w:color="auto"/>
        <w:right w:val="none" w:sz="0" w:space="0" w:color="auto"/>
      </w:divBdr>
    </w:div>
    <w:div w:id="577403213">
      <w:bodyDiv w:val="1"/>
      <w:marLeft w:val="0"/>
      <w:marRight w:val="0"/>
      <w:marTop w:val="0"/>
      <w:marBottom w:val="0"/>
      <w:divBdr>
        <w:top w:val="none" w:sz="0" w:space="0" w:color="auto"/>
        <w:left w:val="none" w:sz="0" w:space="0" w:color="auto"/>
        <w:bottom w:val="none" w:sz="0" w:space="0" w:color="auto"/>
        <w:right w:val="none" w:sz="0" w:space="0" w:color="auto"/>
      </w:divBdr>
    </w:div>
    <w:div w:id="585581297">
      <w:bodyDiv w:val="1"/>
      <w:marLeft w:val="0"/>
      <w:marRight w:val="0"/>
      <w:marTop w:val="0"/>
      <w:marBottom w:val="0"/>
      <w:divBdr>
        <w:top w:val="none" w:sz="0" w:space="0" w:color="auto"/>
        <w:left w:val="none" w:sz="0" w:space="0" w:color="auto"/>
        <w:bottom w:val="none" w:sz="0" w:space="0" w:color="auto"/>
        <w:right w:val="none" w:sz="0" w:space="0" w:color="auto"/>
      </w:divBdr>
    </w:div>
    <w:div w:id="593320693">
      <w:bodyDiv w:val="1"/>
      <w:marLeft w:val="0"/>
      <w:marRight w:val="0"/>
      <w:marTop w:val="0"/>
      <w:marBottom w:val="0"/>
      <w:divBdr>
        <w:top w:val="none" w:sz="0" w:space="0" w:color="auto"/>
        <w:left w:val="none" w:sz="0" w:space="0" w:color="auto"/>
        <w:bottom w:val="none" w:sz="0" w:space="0" w:color="auto"/>
        <w:right w:val="none" w:sz="0" w:space="0" w:color="auto"/>
      </w:divBdr>
    </w:div>
    <w:div w:id="594048333">
      <w:bodyDiv w:val="1"/>
      <w:marLeft w:val="0"/>
      <w:marRight w:val="0"/>
      <w:marTop w:val="0"/>
      <w:marBottom w:val="0"/>
      <w:divBdr>
        <w:top w:val="none" w:sz="0" w:space="0" w:color="auto"/>
        <w:left w:val="none" w:sz="0" w:space="0" w:color="auto"/>
        <w:bottom w:val="none" w:sz="0" w:space="0" w:color="auto"/>
        <w:right w:val="none" w:sz="0" w:space="0" w:color="auto"/>
      </w:divBdr>
    </w:div>
    <w:div w:id="594678780">
      <w:bodyDiv w:val="1"/>
      <w:marLeft w:val="0"/>
      <w:marRight w:val="0"/>
      <w:marTop w:val="0"/>
      <w:marBottom w:val="0"/>
      <w:divBdr>
        <w:top w:val="none" w:sz="0" w:space="0" w:color="auto"/>
        <w:left w:val="none" w:sz="0" w:space="0" w:color="auto"/>
        <w:bottom w:val="none" w:sz="0" w:space="0" w:color="auto"/>
        <w:right w:val="none" w:sz="0" w:space="0" w:color="auto"/>
      </w:divBdr>
    </w:div>
    <w:div w:id="597561145">
      <w:bodyDiv w:val="1"/>
      <w:marLeft w:val="0"/>
      <w:marRight w:val="0"/>
      <w:marTop w:val="0"/>
      <w:marBottom w:val="0"/>
      <w:divBdr>
        <w:top w:val="none" w:sz="0" w:space="0" w:color="auto"/>
        <w:left w:val="none" w:sz="0" w:space="0" w:color="auto"/>
        <w:bottom w:val="none" w:sz="0" w:space="0" w:color="auto"/>
        <w:right w:val="none" w:sz="0" w:space="0" w:color="auto"/>
      </w:divBdr>
    </w:div>
    <w:div w:id="604197579">
      <w:bodyDiv w:val="1"/>
      <w:marLeft w:val="0"/>
      <w:marRight w:val="0"/>
      <w:marTop w:val="0"/>
      <w:marBottom w:val="0"/>
      <w:divBdr>
        <w:top w:val="none" w:sz="0" w:space="0" w:color="auto"/>
        <w:left w:val="none" w:sz="0" w:space="0" w:color="auto"/>
        <w:bottom w:val="none" w:sz="0" w:space="0" w:color="auto"/>
        <w:right w:val="none" w:sz="0" w:space="0" w:color="auto"/>
      </w:divBdr>
    </w:div>
    <w:div w:id="609700777">
      <w:bodyDiv w:val="1"/>
      <w:marLeft w:val="0"/>
      <w:marRight w:val="0"/>
      <w:marTop w:val="0"/>
      <w:marBottom w:val="0"/>
      <w:divBdr>
        <w:top w:val="none" w:sz="0" w:space="0" w:color="auto"/>
        <w:left w:val="none" w:sz="0" w:space="0" w:color="auto"/>
        <w:bottom w:val="none" w:sz="0" w:space="0" w:color="auto"/>
        <w:right w:val="none" w:sz="0" w:space="0" w:color="auto"/>
      </w:divBdr>
    </w:div>
    <w:div w:id="611865894">
      <w:bodyDiv w:val="1"/>
      <w:marLeft w:val="0"/>
      <w:marRight w:val="0"/>
      <w:marTop w:val="0"/>
      <w:marBottom w:val="0"/>
      <w:divBdr>
        <w:top w:val="none" w:sz="0" w:space="0" w:color="auto"/>
        <w:left w:val="none" w:sz="0" w:space="0" w:color="auto"/>
        <w:bottom w:val="none" w:sz="0" w:space="0" w:color="auto"/>
        <w:right w:val="none" w:sz="0" w:space="0" w:color="auto"/>
      </w:divBdr>
    </w:div>
    <w:div w:id="629630838">
      <w:bodyDiv w:val="1"/>
      <w:marLeft w:val="0"/>
      <w:marRight w:val="0"/>
      <w:marTop w:val="0"/>
      <w:marBottom w:val="0"/>
      <w:divBdr>
        <w:top w:val="none" w:sz="0" w:space="0" w:color="auto"/>
        <w:left w:val="none" w:sz="0" w:space="0" w:color="auto"/>
        <w:bottom w:val="none" w:sz="0" w:space="0" w:color="auto"/>
        <w:right w:val="none" w:sz="0" w:space="0" w:color="auto"/>
      </w:divBdr>
    </w:div>
    <w:div w:id="631054544">
      <w:bodyDiv w:val="1"/>
      <w:marLeft w:val="0"/>
      <w:marRight w:val="0"/>
      <w:marTop w:val="0"/>
      <w:marBottom w:val="0"/>
      <w:divBdr>
        <w:top w:val="none" w:sz="0" w:space="0" w:color="auto"/>
        <w:left w:val="none" w:sz="0" w:space="0" w:color="auto"/>
        <w:bottom w:val="none" w:sz="0" w:space="0" w:color="auto"/>
        <w:right w:val="none" w:sz="0" w:space="0" w:color="auto"/>
      </w:divBdr>
    </w:div>
    <w:div w:id="632174044">
      <w:bodyDiv w:val="1"/>
      <w:marLeft w:val="0"/>
      <w:marRight w:val="0"/>
      <w:marTop w:val="0"/>
      <w:marBottom w:val="0"/>
      <w:divBdr>
        <w:top w:val="none" w:sz="0" w:space="0" w:color="auto"/>
        <w:left w:val="none" w:sz="0" w:space="0" w:color="auto"/>
        <w:bottom w:val="none" w:sz="0" w:space="0" w:color="auto"/>
        <w:right w:val="none" w:sz="0" w:space="0" w:color="auto"/>
      </w:divBdr>
    </w:div>
    <w:div w:id="632251570">
      <w:bodyDiv w:val="1"/>
      <w:marLeft w:val="0"/>
      <w:marRight w:val="0"/>
      <w:marTop w:val="0"/>
      <w:marBottom w:val="0"/>
      <w:divBdr>
        <w:top w:val="none" w:sz="0" w:space="0" w:color="auto"/>
        <w:left w:val="none" w:sz="0" w:space="0" w:color="auto"/>
        <w:bottom w:val="none" w:sz="0" w:space="0" w:color="auto"/>
        <w:right w:val="none" w:sz="0" w:space="0" w:color="auto"/>
      </w:divBdr>
    </w:div>
    <w:div w:id="638607218">
      <w:bodyDiv w:val="1"/>
      <w:marLeft w:val="0"/>
      <w:marRight w:val="0"/>
      <w:marTop w:val="0"/>
      <w:marBottom w:val="0"/>
      <w:divBdr>
        <w:top w:val="none" w:sz="0" w:space="0" w:color="auto"/>
        <w:left w:val="none" w:sz="0" w:space="0" w:color="auto"/>
        <w:bottom w:val="none" w:sz="0" w:space="0" w:color="auto"/>
        <w:right w:val="none" w:sz="0" w:space="0" w:color="auto"/>
      </w:divBdr>
    </w:div>
    <w:div w:id="640623898">
      <w:bodyDiv w:val="1"/>
      <w:marLeft w:val="0"/>
      <w:marRight w:val="0"/>
      <w:marTop w:val="0"/>
      <w:marBottom w:val="0"/>
      <w:divBdr>
        <w:top w:val="none" w:sz="0" w:space="0" w:color="auto"/>
        <w:left w:val="none" w:sz="0" w:space="0" w:color="auto"/>
        <w:bottom w:val="none" w:sz="0" w:space="0" w:color="auto"/>
        <w:right w:val="none" w:sz="0" w:space="0" w:color="auto"/>
      </w:divBdr>
    </w:div>
    <w:div w:id="641617634">
      <w:bodyDiv w:val="1"/>
      <w:marLeft w:val="0"/>
      <w:marRight w:val="0"/>
      <w:marTop w:val="0"/>
      <w:marBottom w:val="0"/>
      <w:divBdr>
        <w:top w:val="none" w:sz="0" w:space="0" w:color="auto"/>
        <w:left w:val="none" w:sz="0" w:space="0" w:color="auto"/>
        <w:bottom w:val="none" w:sz="0" w:space="0" w:color="auto"/>
        <w:right w:val="none" w:sz="0" w:space="0" w:color="auto"/>
      </w:divBdr>
    </w:div>
    <w:div w:id="646129399">
      <w:bodyDiv w:val="1"/>
      <w:marLeft w:val="0"/>
      <w:marRight w:val="0"/>
      <w:marTop w:val="0"/>
      <w:marBottom w:val="0"/>
      <w:divBdr>
        <w:top w:val="none" w:sz="0" w:space="0" w:color="auto"/>
        <w:left w:val="none" w:sz="0" w:space="0" w:color="auto"/>
        <w:bottom w:val="none" w:sz="0" w:space="0" w:color="auto"/>
        <w:right w:val="none" w:sz="0" w:space="0" w:color="auto"/>
      </w:divBdr>
    </w:div>
    <w:div w:id="650476492">
      <w:bodyDiv w:val="1"/>
      <w:marLeft w:val="0"/>
      <w:marRight w:val="0"/>
      <w:marTop w:val="0"/>
      <w:marBottom w:val="0"/>
      <w:divBdr>
        <w:top w:val="none" w:sz="0" w:space="0" w:color="auto"/>
        <w:left w:val="none" w:sz="0" w:space="0" w:color="auto"/>
        <w:bottom w:val="none" w:sz="0" w:space="0" w:color="auto"/>
        <w:right w:val="none" w:sz="0" w:space="0" w:color="auto"/>
      </w:divBdr>
    </w:div>
    <w:div w:id="651640534">
      <w:bodyDiv w:val="1"/>
      <w:marLeft w:val="0"/>
      <w:marRight w:val="0"/>
      <w:marTop w:val="0"/>
      <w:marBottom w:val="0"/>
      <w:divBdr>
        <w:top w:val="none" w:sz="0" w:space="0" w:color="auto"/>
        <w:left w:val="none" w:sz="0" w:space="0" w:color="auto"/>
        <w:bottom w:val="none" w:sz="0" w:space="0" w:color="auto"/>
        <w:right w:val="none" w:sz="0" w:space="0" w:color="auto"/>
      </w:divBdr>
    </w:div>
    <w:div w:id="656301362">
      <w:bodyDiv w:val="1"/>
      <w:marLeft w:val="0"/>
      <w:marRight w:val="0"/>
      <w:marTop w:val="0"/>
      <w:marBottom w:val="0"/>
      <w:divBdr>
        <w:top w:val="none" w:sz="0" w:space="0" w:color="auto"/>
        <w:left w:val="none" w:sz="0" w:space="0" w:color="auto"/>
        <w:bottom w:val="none" w:sz="0" w:space="0" w:color="auto"/>
        <w:right w:val="none" w:sz="0" w:space="0" w:color="auto"/>
      </w:divBdr>
    </w:div>
    <w:div w:id="658268948">
      <w:bodyDiv w:val="1"/>
      <w:marLeft w:val="0"/>
      <w:marRight w:val="0"/>
      <w:marTop w:val="0"/>
      <w:marBottom w:val="0"/>
      <w:divBdr>
        <w:top w:val="none" w:sz="0" w:space="0" w:color="auto"/>
        <w:left w:val="none" w:sz="0" w:space="0" w:color="auto"/>
        <w:bottom w:val="none" w:sz="0" w:space="0" w:color="auto"/>
        <w:right w:val="none" w:sz="0" w:space="0" w:color="auto"/>
      </w:divBdr>
    </w:div>
    <w:div w:id="658773307">
      <w:bodyDiv w:val="1"/>
      <w:marLeft w:val="0"/>
      <w:marRight w:val="0"/>
      <w:marTop w:val="0"/>
      <w:marBottom w:val="0"/>
      <w:divBdr>
        <w:top w:val="none" w:sz="0" w:space="0" w:color="auto"/>
        <w:left w:val="none" w:sz="0" w:space="0" w:color="auto"/>
        <w:bottom w:val="none" w:sz="0" w:space="0" w:color="auto"/>
        <w:right w:val="none" w:sz="0" w:space="0" w:color="auto"/>
      </w:divBdr>
    </w:div>
    <w:div w:id="661277563">
      <w:bodyDiv w:val="1"/>
      <w:marLeft w:val="0"/>
      <w:marRight w:val="0"/>
      <w:marTop w:val="0"/>
      <w:marBottom w:val="0"/>
      <w:divBdr>
        <w:top w:val="none" w:sz="0" w:space="0" w:color="auto"/>
        <w:left w:val="none" w:sz="0" w:space="0" w:color="auto"/>
        <w:bottom w:val="none" w:sz="0" w:space="0" w:color="auto"/>
        <w:right w:val="none" w:sz="0" w:space="0" w:color="auto"/>
      </w:divBdr>
    </w:div>
    <w:div w:id="661397766">
      <w:bodyDiv w:val="1"/>
      <w:marLeft w:val="0"/>
      <w:marRight w:val="0"/>
      <w:marTop w:val="0"/>
      <w:marBottom w:val="0"/>
      <w:divBdr>
        <w:top w:val="none" w:sz="0" w:space="0" w:color="auto"/>
        <w:left w:val="none" w:sz="0" w:space="0" w:color="auto"/>
        <w:bottom w:val="none" w:sz="0" w:space="0" w:color="auto"/>
        <w:right w:val="none" w:sz="0" w:space="0" w:color="auto"/>
      </w:divBdr>
    </w:div>
    <w:div w:id="665785710">
      <w:bodyDiv w:val="1"/>
      <w:marLeft w:val="0"/>
      <w:marRight w:val="0"/>
      <w:marTop w:val="0"/>
      <w:marBottom w:val="0"/>
      <w:divBdr>
        <w:top w:val="none" w:sz="0" w:space="0" w:color="auto"/>
        <w:left w:val="none" w:sz="0" w:space="0" w:color="auto"/>
        <w:bottom w:val="none" w:sz="0" w:space="0" w:color="auto"/>
        <w:right w:val="none" w:sz="0" w:space="0" w:color="auto"/>
      </w:divBdr>
    </w:div>
    <w:div w:id="666517597">
      <w:bodyDiv w:val="1"/>
      <w:marLeft w:val="0"/>
      <w:marRight w:val="0"/>
      <w:marTop w:val="0"/>
      <w:marBottom w:val="0"/>
      <w:divBdr>
        <w:top w:val="none" w:sz="0" w:space="0" w:color="auto"/>
        <w:left w:val="none" w:sz="0" w:space="0" w:color="auto"/>
        <w:bottom w:val="none" w:sz="0" w:space="0" w:color="auto"/>
        <w:right w:val="none" w:sz="0" w:space="0" w:color="auto"/>
      </w:divBdr>
    </w:div>
    <w:div w:id="667363470">
      <w:bodyDiv w:val="1"/>
      <w:marLeft w:val="0"/>
      <w:marRight w:val="0"/>
      <w:marTop w:val="0"/>
      <w:marBottom w:val="0"/>
      <w:divBdr>
        <w:top w:val="none" w:sz="0" w:space="0" w:color="auto"/>
        <w:left w:val="none" w:sz="0" w:space="0" w:color="auto"/>
        <w:bottom w:val="none" w:sz="0" w:space="0" w:color="auto"/>
        <w:right w:val="none" w:sz="0" w:space="0" w:color="auto"/>
      </w:divBdr>
    </w:div>
    <w:div w:id="668022956">
      <w:bodyDiv w:val="1"/>
      <w:marLeft w:val="0"/>
      <w:marRight w:val="0"/>
      <w:marTop w:val="0"/>
      <w:marBottom w:val="0"/>
      <w:divBdr>
        <w:top w:val="none" w:sz="0" w:space="0" w:color="auto"/>
        <w:left w:val="none" w:sz="0" w:space="0" w:color="auto"/>
        <w:bottom w:val="none" w:sz="0" w:space="0" w:color="auto"/>
        <w:right w:val="none" w:sz="0" w:space="0" w:color="auto"/>
      </w:divBdr>
    </w:div>
    <w:div w:id="675183918">
      <w:bodyDiv w:val="1"/>
      <w:marLeft w:val="0"/>
      <w:marRight w:val="0"/>
      <w:marTop w:val="0"/>
      <w:marBottom w:val="0"/>
      <w:divBdr>
        <w:top w:val="none" w:sz="0" w:space="0" w:color="auto"/>
        <w:left w:val="none" w:sz="0" w:space="0" w:color="auto"/>
        <w:bottom w:val="none" w:sz="0" w:space="0" w:color="auto"/>
        <w:right w:val="none" w:sz="0" w:space="0" w:color="auto"/>
      </w:divBdr>
    </w:div>
    <w:div w:id="676225022">
      <w:bodyDiv w:val="1"/>
      <w:marLeft w:val="0"/>
      <w:marRight w:val="0"/>
      <w:marTop w:val="0"/>
      <w:marBottom w:val="0"/>
      <w:divBdr>
        <w:top w:val="none" w:sz="0" w:space="0" w:color="auto"/>
        <w:left w:val="none" w:sz="0" w:space="0" w:color="auto"/>
        <w:bottom w:val="none" w:sz="0" w:space="0" w:color="auto"/>
        <w:right w:val="none" w:sz="0" w:space="0" w:color="auto"/>
      </w:divBdr>
    </w:div>
    <w:div w:id="676690682">
      <w:bodyDiv w:val="1"/>
      <w:marLeft w:val="0"/>
      <w:marRight w:val="0"/>
      <w:marTop w:val="0"/>
      <w:marBottom w:val="0"/>
      <w:divBdr>
        <w:top w:val="none" w:sz="0" w:space="0" w:color="auto"/>
        <w:left w:val="none" w:sz="0" w:space="0" w:color="auto"/>
        <w:bottom w:val="none" w:sz="0" w:space="0" w:color="auto"/>
        <w:right w:val="none" w:sz="0" w:space="0" w:color="auto"/>
      </w:divBdr>
    </w:div>
    <w:div w:id="680010296">
      <w:bodyDiv w:val="1"/>
      <w:marLeft w:val="0"/>
      <w:marRight w:val="0"/>
      <w:marTop w:val="0"/>
      <w:marBottom w:val="0"/>
      <w:divBdr>
        <w:top w:val="none" w:sz="0" w:space="0" w:color="auto"/>
        <w:left w:val="none" w:sz="0" w:space="0" w:color="auto"/>
        <w:bottom w:val="none" w:sz="0" w:space="0" w:color="auto"/>
        <w:right w:val="none" w:sz="0" w:space="0" w:color="auto"/>
      </w:divBdr>
    </w:div>
    <w:div w:id="682439915">
      <w:bodyDiv w:val="1"/>
      <w:marLeft w:val="0"/>
      <w:marRight w:val="0"/>
      <w:marTop w:val="0"/>
      <w:marBottom w:val="0"/>
      <w:divBdr>
        <w:top w:val="none" w:sz="0" w:space="0" w:color="auto"/>
        <w:left w:val="none" w:sz="0" w:space="0" w:color="auto"/>
        <w:bottom w:val="none" w:sz="0" w:space="0" w:color="auto"/>
        <w:right w:val="none" w:sz="0" w:space="0" w:color="auto"/>
      </w:divBdr>
    </w:div>
    <w:div w:id="687874845">
      <w:bodyDiv w:val="1"/>
      <w:marLeft w:val="0"/>
      <w:marRight w:val="0"/>
      <w:marTop w:val="0"/>
      <w:marBottom w:val="0"/>
      <w:divBdr>
        <w:top w:val="none" w:sz="0" w:space="0" w:color="auto"/>
        <w:left w:val="none" w:sz="0" w:space="0" w:color="auto"/>
        <w:bottom w:val="none" w:sz="0" w:space="0" w:color="auto"/>
        <w:right w:val="none" w:sz="0" w:space="0" w:color="auto"/>
      </w:divBdr>
    </w:div>
    <w:div w:id="691423607">
      <w:bodyDiv w:val="1"/>
      <w:marLeft w:val="0"/>
      <w:marRight w:val="0"/>
      <w:marTop w:val="0"/>
      <w:marBottom w:val="0"/>
      <w:divBdr>
        <w:top w:val="none" w:sz="0" w:space="0" w:color="auto"/>
        <w:left w:val="none" w:sz="0" w:space="0" w:color="auto"/>
        <w:bottom w:val="none" w:sz="0" w:space="0" w:color="auto"/>
        <w:right w:val="none" w:sz="0" w:space="0" w:color="auto"/>
      </w:divBdr>
    </w:div>
    <w:div w:id="694311061">
      <w:bodyDiv w:val="1"/>
      <w:marLeft w:val="0"/>
      <w:marRight w:val="0"/>
      <w:marTop w:val="0"/>
      <w:marBottom w:val="0"/>
      <w:divBdr>
        <w:top w:val="none" w:sz="0" w:space="0" w:color="auto"/>
        <w:left w:val="none" w:sz="0" w:space="0" w:color="auto"/>
        <w:bottom w:val="none" w:sz="0" w:space="0" w:color="auto"/>
        <w:right w:val="none" w:sz="0" w:space="0" w:color="auto"/>
      </w:divBdr>
    </w:div>
    <w:div w:id="695809126">
      <w:bodyDiv w:val="1"/>
      <w:marLeft w:val="0"/>
      <w:marRight w:val="0"/>
      <w:marTop w:val="0"/>
      <w:marBottom w:val="0"/>
      <w:divBdr>
        <w:top w:val="none" w:sz="0" w:space="0" w:color="auto"/>
        <w:left w:val="none" w:sz="0" w:space="0" w:color="auto"/>
        <w:bottom w:val="none" w:sz="0" w:space="0" w:color="auto"/>
        <w:right w:val="none" w:sz="0" w:space="0" w:color="auto"/>
      </w:divBdr>
    </w:div>
    <w:div w:id="699673139">
      <w:bodyDiv w:val="1"/>
      <w:marLeft w:val="0"/>
      <w:marRight w:val="0"/>
      <w:marTop w:val="0"/>
      <w:marBottom w:val="0"/>
      <w:divBdr>
        <w:top w:val="none" w:sz="0" w:space="0" w:color="auto"/>
        <w:left w:val="none" w:sz="0" w:space="0" w:color="auto"/>
        <w:bottom w:val="none" w:sz="0" w:space="0" w:color="auto"/>
        <w:right w:val="none" w:sz="0" w:space="0" w:color="auto"/>
      </w:divBdr>
    </w:div>
    <w:div w:id="704252620">
      <w:bodyDiv w:val="1"/>
      <w:marLeft w:val="0"/>
      <w:marRight w:val="0"/>
      <w:marTop w:val="0"/>
      <w:marBottom w:val="0"/>
      <w:divBdr>
        <w:top w:val="none" w:sz="0" w:space="0" w:color="auto"/>
        <w:left w:val="none" w:sz="0" w:space="0" w:color="auto"/>
        <w:bottom w:val="none" w:sz="0" w:space="0" w:color="auto"/>
        <w:right w:val="none" w:sz="0" w:space="0" w:color="auto"/>
      </w:divBdr>
    </w:div>
    <w:div w:id="705907876">
      <w:bodyDiv w:val="1"/>
      <w:marLeft w:val="0"/>
      <w:marRight w:val="0"/>
      <w:marTop w:val="0"/>
      <w:marBottom w:val="0"/>
      <w:divBdr>
        <w:top w:val="none" w:sz="0" w:space="0" w:color="auto"/>
        <w:left w:val="none" w:sz="0" w:space="0" w:color="auto"/>
        <w:bottom w:val="none" w:sz="0" w:space="0" w:color="auto"/>
        <w:right w:val="none" w:sz="0" w:space="0" w:color="auto"/>
      </w:divBdr>
    </w:div>
    <w:div w:id="713236177">
      <w:bodyDiv w:val="1"/>
      <w:marLeft w:val="0"/>
      <w:marRight w:val="0"/>
      <w:marTop w:val="0"/>
      <w:marBottom w:val="0"/>
      <w:divBdr>
        <w:top w:val="none" w:sz="0" w:space="0" w:color="auto"/>
        <w:left w:val="none" w:sz="0" w:space="0" w:color="auto"/>
        <w:bottom w:val="none" w:sz="0" w:space="0" w:color="auto"/>
        <w:right w:val="none" w:sz="0" w:space="0" w:color="auto"/>
      </w:divBdr>
    </w:div>
    <w:div w:id="715085999">
      <w:bodyDiv w:val="1"/>
      <w:marLeft w:val="0"/>
      <w:marRight w:val="0"/>
      <w:marTop w:val="0"/>
      <w:marBottom w:val="0"/>
      <w:divBdr>
        <w:top w:val="none" w:sz="0" w:space="0" w:color="auto"/>
        <w:left w:val="none" w:sz="0" w:space="0" w:color="auto"/>
        <w:bottom w:val="none" w:sz="0" w:space="0" w:color="auto"/>
        <w:right w:val="none" w:sz="0" w:space="0" w:color="auto"/>
      </w:divBdr>
    </w:div>
    <w:div w:id="719944398">
      <w:bodyDiv w:val="1"/>
      <w:marLeft w:val="0"/>
      <w:marRight w:val="0"/>
      <w:marTop w:val="0"/>
      <w:marBottom w:val="0"/>
      <w:divBdr>
        <w:top w:val="none" w:sz="0" w:space="0" w:color="auto"/>
        <w:left w:val="none" w:sz="0" w:space="0" w:color="auto"/>
        <w:bottom w:val="none" w:sz="0" w:space="0" w:color="auto"/>
        <w:right w:val="none" w:sz="0" w:space="0" w:color="auto"/>
      </w:divBdr>
    </w:div>
    <w:div w:id="720440337">
      <w:bodyDiv w:val="1"/>
      <w:marLeft w:val="0"/>
      <w:marRight w:val="0"/>
      <w:marTop w:val="0"/>
      <w:marBottom w:val="0"/>
      <w:divBdr>
        <w:top w:val="none" w:sz="0" w:space="0" w:color="auto"/>
        <w:left w:val="none" w:sz="0" w:space="0" w:color="auto"/>
        <w:bottom w:val="none" w:sz="0" w:space="0" w:color="auto"/>
        <w:right w:val="none" w:sz="0" w:space="0" w:color="auto"/>
      </w:divBdr>
    </w:div>
    <w:div w:id="723065043">
      <w:bodyDiv w:val="1"/>
      <w:marLeft w:val="0"/>
      <w:marRight w:val="0"/>
      <w:marTop w:val="0"/>
      <w:marBottom w:val="0"/>
      <w:divBdr>
        <w:top w:val="none" w:sz="0" w:space="0" w:color="auto"/>
        <w:left w:val="none" w:sz="0" w:space="0" w:color="auto"/>
        <w:bottom w:val="none" w:sz="0" w:space="0" w:color="auto"/>
        <w:right w:val="none" w:sz="0" w:space="0" w:color="auto"/>
      </w:divBdr>
    </w:div>
    <w:div w:id="723068387">
      <w:bodyDiv w:val="1"/>
      <w:marLeft w:val="0"/>
      <w:marRight w:val="0"/>
      <w:marTop w:val="0"/>
      <w:marBottom w:val="0"/>
      <w:divBdr>
        <w:top w:val="none" w:sz="0" w:space="0" w:color="auto"/>
        <w:left w:val="none" w:sz="0" w:space="0" w:color="auto"/>
        <w:bottom w:val="none" w:sz="0" w:space="0" w:color="auto"/>
        <w:right w:val="none" w:sz="0" w:space="0" w:color="auto"/>
      </w:divBdr>
    </w:div>
    <w:div w:id="724253127">
      <w:bodyDiv w:val="1"/>
      <w:marLeft w:val="0"/>
      <w:marRight w:val="0"/>
      <w:marTop w:val="0"/>
      <w:marBottom w:val="0"/>
      <w:divBdr>
        <w:top w:val="none" w:sz="0" w:space="0" w:color="auto"/>
        <w:left w:val="none" w:sz="0" w:space="0" w:color="auto"/>
        <w:bottom w:val="none" w:sz="0" w:space="0" w:color="auto"/>
        <w:right w:val="none" w:sz="0" w:space="0" w:color="auto"/>
      </w:divBdr>
    </w:div>
    <w:div w:id="733965348">
      <w:bodyDiv w:val="1"/>
      <w:marLeft w:val="0"/>
      <w:marRight w:val="0"/>
      <w:marTop w:val="0"/>
      <w:marBottom w:val="0"/>
      <w:divBdr>
        <w:top w:val="none" w:sz="0" w:space="0" w:color="auto"/>
        <w:left w:val="none" w:sz="0" w:space="0" w:color="auto"/>
        <w:bottom w:val="none" w:sz="0" w:space="0" w:color="auto"/>
        <w:right w:val="none" w:sz="0" w:space="0" w:color="auto"/>
      </w:divBdr>
    </w:div>
    <w:div w:id="736778381">
      <w:bodyDiv w:val="1"/>
      <w:marLeft w:val="0"/>
      <w:marRight w:val="0"/>
      <w:marTop w:val="0"/>
      <w:marBottom w:val="0"/>
      <w:divBdr>
        <w:top w:val="none" w:sz="0" w:space="0" w:color="auto"/>
        <w:left w:val="none" w:sz="0" w:space="0" w:color="auto"/>
        <w:bottom w:val="none" w:sz="0" w:space="0" w:color="auto"/>
        <w:right w:val="none" w:sz="0" w:space="0" w:color="auto"/>
      </w:divBdr>
    </w:div>
    <w:div w:id="742801393">
      <w:bodyDiv w:val="1"/>
      <w:marLeft w:val="0"/>
      <w:marRight w:val="0"/>
      <w:marTop w:val="0"/>
      <w:marBottom w:val="0"/>
      <w:divBdr>
        <w:top w:val="none" w:sz="0" w:space="0" w:color="auto"/>
        <w:left w:val="none" w:sz="0" w:space="0" w:color="auto"/>
        <w:bottom w:val="none" w:sz="0" w:space="0" w:color="auto"/>
        <w:right w:val="none" w:sz="0" w:space="0" w:color="auto"/>
      </w:divBdr>
    </w:div>
    <w:div w:id="753017915">
      <w:bodyDiv w:val="1"/>
      <w:marLeft w:val="0"/>
      <w:marRight w:val="0"/>
      <w:marTop w:val="0"/>
      <w:marBottom w:val="0"/>
      <w:divBdr>
        <w:top w:val="none" w:sz="0" w:space="0" w:color="auto"/>
        <w:left w:val="none" w:sz="0" w:space="0" w:color="auto"/>
        <w:bottom w:val="none" w:sz="0" w:space="0" w:color="auto"/>
        <w:right w:val="none" w:sz="0" w:space="0" w:color="auto"/>
      </w:divBdr>
    </w:div>
    <w:div w:id="754134519">
      <w:bodyDiv w:val="1"/>
      <w:marLeft w:val="0"/>
      <w:marRight w:val="0"/>
      <w:marTop w:val="0"/>
      <w:marBottom w:val="0"/>
      <w:divBdr>
        <w:top w:val="none" w:sz="0" w:space="0" w:color="auto"/>
        <w:left w:val="none" w:sz="0" w:space="0" w:color="auto"/>
        <w:bottom w:val="none" w:sz="0" w:space="0" w:color="auto"/>
        <w:right w:val="none" w:sz="0" w:space="0" w:color="auto"/>
      </w:divBdr>
    </w:div>
    <w:div w:id="754209608">
      <w:bodyDiv w:val="1"/>
      <w:marLeft w:val="0"/>
      <w:marRight w:val="0"/>
      <w:marTop w:val="0"/>
      <w:marBottom w:val="0"/>
      <w:divBdr>
        <w:top w:val="none" w:sz="0" w:space="0" w:color="auto"/>
        <w:left w:val="none" w:sz="0" w:space="0" w:color="auto"/>
        <w:bottom w:val="none" w:sz="0" w:space="0" w:color="auto"/>
        <w:right w:val="none" w:sz="0" w:space="0" w:color="auto"/>
      </w:divBdr>
    </w:div>
    <w:div w:id="760032676">
      <w:bodyDiv w:val="1"/>
      <w:marLeft w:val="0"/>
      <w:marRight w:val="0"/>
      <w:marTop w:val="0"/>
      <w:marBottom w:val="0"/>
      <w:divBdr>
        <w:top w:val="none" w:sz="0" w:space="0" w:color="auto"/>
        <w:left w:val="none" w:sz="0" w:space="0" w:color="auto"/>
        <w:bottom w:val="none" w:sz="0" w:space="0" w:color="auto"/>
        <w:right w:val="none" w:sz="0" w:space="0" w:color="auto"/>
      </w:divBdr>
    </w:div>
    <w:div w:id="761952128">
      <w:bodyDiv w:val="1"/>
      <w:marLeft w:val="0"/>
      <w:marRight w:val="0"/>
      <w:marTop w:val="0"/>
      <w:marBottom w:val="0"/>
      <w:divBdr>
        <w:top w:val="none" w:sz="0" w:space="0" w:color="auto"/>
        <w:left w:val="none" w:sz="0" w:space="0" w:color="auto"/>
        <w:bottom w:val="none" w:sz="0" w:space="0" w:color="auto"/>
        <w:right w:val="none" w:sz="0" w:space="0" w:color="auto"/>
      </w:divBdr>
    </w:div>
    <w:div w:id="763111668">
      <w:bodyDiv w:val="1"/>
      <w:marLeft w:val="0"/>
      <w:marRight w:val="0"/>
      <w:marTop w:val="0"/>
      <w:marBottom w:val="0"/>
      <w:divBdr>
        <w:top w:val="none" w:sz="0" w:space="0" w:color="auto"/>
        <w:left w:val="none" w:sz="0" w:space="0" w:color="auto"/>
        <w:bottom w:val="none" w:sz="0" w:space="0" w:color="auto"/>
        <w:right w:val="none" w:sz="0" w:space="0" w:color="auto"/>
      </w:divBdr>
    </w:div>
    <w:div w:id="777288889">
      <w:bodyDiv w:val="1"/>
      <w:marLeft w:val="0"/>
      <w:marRight w:val="0"/>
      <w:marTop w:val="0"/>
      <w:marBottom w:val="0"/>
      <w:divBdr>
        <w:top w:val="none" w:sz="0" w:space="0" w:color="auto"/>
        <w:left w:val="none" w:sz="0" w:space="0" w:color="auto"/>
        <w:bottom w:val="none" w:sz="0" w:space="0" w:color="auto"/>
        <w:right w:val="none" w:sz="0" w:space="0" w:color="auto"/>
      </w:divBdr>
    </w:div>
    <w:div w:id="779491380">
      <w:bodyDiv w:val="1"/>
      <w:marLeft w:val="0"/>
      <w:marRight w:val="0"/>
      <w:marTop w:val="0"/>
      <w:marBottom w:val="0"/>
      <w:divBdr>
        <w:top w:val="none" w:sz="0" w:space="0" w:color="auto"/>
        <w:left w:val="none" w:sz="0" w:space="0" w:color="auto"/>
        <w:bottom w:val="none" w:sz="0" w:space="0" w:color="auto"/>
        <w:right w:val="none" w:sz="0" w:space="0" w:color="auto"/>
      </w:divBdr>
    </w:div>
    <w:div w:id="779957271">
      <w:bodyDiv w:val="1"/>
      <w:marLeft w:val="0"/>
      <w:marRight w:val="0"/>
      <w:marTop w:val="0"/>
      <w:marBottom w:val="0"/>
      <w:divBdr>
        <w:top w:val="none" w:sz="0" w:space="0" w:color="auto"/>
        <w:left w:val="none" w:sz="0" w:space="0" w:color="auto"/>
        <w:bottom w:val="none" w:sz="0" w:space="0" w:color="auto"/>
        <w:right w:val="none" w:sz="0" w:space="0" w:color="auto"/>
      </w:divBdr>
    </w:div>
    <w:div w:id="781651937">
      <w:bodyDiv w:val="1"/>
      <w:marLeft w:val="0"/>
      <w:marRight w:val="0"/>
      <w:marTop w:val="0"/>
      <w:marBottom w:val="0"/>
      <w:divBdr>
        <w:top w:val="none" w:sz="0" w:space="0" w:color="auto"/>
        <w:left w:val="none" w:sz="0" w:space="0" w:color="auto"/>
        <w:bottom w:val="none" w:sz="0" w:space="0" w:color="auto"/>
        <w:right w:val="none" w:sz="0" w:space="0" w:color="auto"/>
      </w:divBdr>
    </w:div>
    <w:div w:id="781731373">
      <w:bodyDiv w:val="1"/>
      <w:marLeft w:val="0"/>
      <w:marRight w:val="0"/>
      <w:marTop w:val="0"/>
      <w:marBottom w:val="0"/>
      <w:divBdr>
        <w:top w:val="none" w:sz="0" w:space="0" w:color="auto"/>
        <w:left w:val="none" w:sz="0" w:space="0" w:color="auto"/>
        <w:bottom w:val="none" w:sz="0" w:space="0" w:color="auto"/>
        <w:right w:val="none" w:sz="0" w:space="0" w:color="auto"/>
      </w:divBdr>
    </w:div>
    <w:div w:id="788165620">
      <w:bodyDiv w:val="1"/>
      <w:marLeft w:val="0"/>
      <w:marRight w:val="0"/>
      <w:marTop w:val="0"/>
      <w:marBottom w:val="0"/>
      <w:divBdr>
        <w:top w:val="none" w:sz="0" w:space="0" w:color="auto"/>
        <w:left w:val="none" w:sz="0" w:space="0" w:color="auto"/>
        <w:bottom w:val="none" w:sz="0" w:space="0" w:color="auto"/>
        <w:right w:val="none" w:sz="0" w:space="0" w:color="auto"/>
      </w:divBdr>
    </w:div>
    <w:div w:id="792408864">
      <w:bodyDiv w:val="1"/>
      <w:marLeft w:val="0"/>
      <w:marRight w:val="0"/>
      <w:marTop w:val="0"/>
      <w:marBottom w:val="0"/>
      <w:divBdr>
        <w:top w:val="none" w:sz="0" w:space="0" w:color="auto"/>
        <w:left w:val="none" w:sz="0" w:space="0" w:color="auto"/>
        <w:bottom w:val="none" w:sz="0" w:space="0" w:color="auto"/>
        <w:right w:val="none" w:sz="0" w:space="0" w:color="auto"/>
      </w:divBdr>
      <w:divsChild>
        <w:div w:id="368993245">
          <w:marLeft w:val="0"/>
          <w:marRight w:val="0"/>
          <w:marTop w:val="0"/>
          <w:marBottom w:val="0"/>
          <w:divBdr>
            <w:top w:val="none" w:sz="0" w:space="0" w:color="auto"/>
            <w:left w:val="none" w:sz="0" w:space="0" w:color="auto"/>
            <w:bottom w:val="none" w:sz="0" w:space="0" w:color="auto"/>
            <w:right w:val="none" w:sz="0" w:space="0" w:color="auto"/>
          </w:divBdr>
          <w:divsChild>
            <w:div w:id="493686709">
              <w:marLeft w:val="0"/>
              <w:marRight w:val="0"/>
              <w:marTop w:val="0"/>
              <w:marBottom w:val="0"/>
              <w:divBdr>
                <w:top w:val="none" w:sz="0" w:space="0" w:color="auto"/>
                <w:left w:val="none" w:sz="0" w:space="0" w:color="auto"/>
                <w:bottom w:val="none" w:sz="0" w:space="0" w:color="auto"/>
                <w:right w:val="none" w:sz="0" w:space="0" w:color="auto"/>
              </w:divBdr>
              <w:divsChild>
                <w:div w:id="813567268">
                  <w:marLeft w:val="0"/>
                  <w:marRight w:val="0"/>
                  <w:marTop w:val="0"/>
                  <w:marBottom w:val="0"/>
                  <w:divBdr>
                    <w:top w:val="none" w:sz="0" w:space="0" w:color="auto"/>
                    <w:left w:val="none" w:sz="0" w:space="0" w:color="auto"/>
                    <w:bottom w:val="none" w:sz="0" w:space="0" w:color="auto"/>
                    <w:right w:val="none" w:sz="0" w:space="0" w:color="auto"/>
                  </w:divBdr>
                  <w:divsChild>
                    <w:div w:id="350374792">
                      <w:marLeft w:val="0"/>
                      <w:marRight w:val="0"/>
                      <w:marTop w:val="0"/>
                      <w:marBottom w:val="0"/>
                      <w:divBdr>
                        <w:top w:val="none" w:sz="0" w:space="0" w:color="auto"/>
                        <w:left w:val="none" w:sz="0" w:space="0" w:color="auto"/>
                        <w:bottom w:val="none" w:sz="0" w:space="0" w:color="auto"/>
                        <w:right w:val="none" w:sz="0" w:space="0" w:color="auto"/>
                      </w:divBdr>
                      <w:divsChild>
                        <w:div w:id="1492060938">
                          <w:marLeft w:val="0"/>
                          <w:marRight w:val="0"/>
                          <w:marTop w:val="0"/>
                          <w:marBottom w:val="0"/>
                          <w:divBdr>
                            <w:top w:val="none" w:sz="0" w:space="0" w:color="auto"/>
                            <w:left w:val="none" w:sz="0" w:space="0" w:color="auto"/>
                            <w:bottom w:val="none" w:sz="0" w:space="0" w:color="auto"/>
                            <w:right w:val="none" w:sz="0" w:space="0" w:color="auto"/>
                          </w:divBdr>
                          <w:divsChild>
                            <w:div w:id="643193217">
                              <w:marLeft w:val="0"/>
                              <w:marRight w:val="0"/>
                              <w:marTop w:val="0"/>
                              <w:marBottom w:val="0"/>
                              <w:divBdr>
                                <w:top w:val="none" w:sz="0" w:space="0" w:color="auto"/>
                                <w:left w:val="none" w:sz="0" w:space="0" w:color="auto"/>
                                <w:bottom w:val="none" w:sz="0" w:space="0" w:color="auto"/>
                                <w:right w:val="none" w:sz="0" w:space="0" w:color="auto"/>
                              </w:divBdr>
                              <w:divsChild>
                                <w:div w:id="185025982">
                                  <w:marLeft w:val="0"/>
                                  <w:marRight w:val="0"/>
                                  <w:marTop w:val="0"/>
                                  <w:marBottom w:val="0"/>
                                  <w:divBdr>
                                    <w:top w:val="none" w:sz="0" w:space="0" w:color="auto"/>
                                    <w:left w:val="none" w:sz="0" w:space="0" w:color="auto"/>
                                    <w:bottom w:val="none" w:sz="0" w:space="0" w:color="auto"/>
                                    <w:right w:val="none" w:sz="0" w:space="0" w:color="auto"/>
                                  </w:divBdr>
                                  <w:divsChild>
                                    <w:div w:id="132603607">
                                      <w:marLeft w:val="0"/>
                                      <w:marRight w:val="0"/>
                                      <w:marTop w:val="0"/>
                                      <w:marBottom w:val="0"/>
                                      <w:divBdr>
                                        <w:top w:val="none" w:sz="0" w:space="0" w:color="auto"/>
                                        <w:left w:val="none" w:sz="0" w:space="0" w:color="auto"/>
                                        <w:bottom w:val="none" w:sz="0" w:space="0" w:color="auto"/>
                                        <w:right w:val="none" w:sz="0" w:space="0" w:color="auto"/>
                                      </w:divBdr>
                                      <w:divsChild>
                                        <w:div w:id="3048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617320">
      <w:bodyDiv w:val="1"/>
      <w:marLeft w:val="0"/>
      <w:marRight w:val="0"/>
      <w:marTop w:val="0"/>
      <w:marBottom w:val="0"/>
      <w:divBdr>
        <w:top w:val="none" w:sz="0" w:space="0" w:color="auto"/>
        <w:left w:val="none" w:sz="0" w:space="0" w:color="auto"/>
        <w:bottom w:val="none" w:sz="0" w:space="0" w:color="auto"/>
        <w:right w:val="none" w:sz="0" w:space="0" w:color="auto"/>
      </w:divBdr>
    </w:div>
    <w:div w:id="803700681">
      <w:bodyDiv w:val="1"/>
      <w:marLeft w:val="0"/>
      <w:marRight w:val="0"/>
      <w:marTop w:val="0"/>
      <w:marBottom w:val="0"/>
      <w:divBdr>
        <w:top w:val="none" w:sz="0" w:space="0" w:color="auto"/>
        <w:left w:val="none" w:sz="0" w:space="0" w:color="auto"/>
        <w:bottom w:val="none" w:sz="0" w:space="0" w:color="auto"/>
        <w:right w:val="none" w:sz="0" w:space="0" w:color="auto"/>
      </w:divBdr>
    </w:div>
    <w:div w:id="811824197">
      <w:bodyDiv w:val="1"/>
      <w:marLeft w:val="0"/>
      <w:marRight w:val="0"/>
      <w:marTop w:val="0"/>
      <w:marBottom w:val="0"/>
      <w:divBdr>
        <w:top w:val="none" w:sz="0" w:space="0" w:color="auto"/>
        <w:left w:val="none" w:sz="0" w:space="0" w:color="auto"/>
        <w:bottom w:val="none" w:sz="0" w:space="0" w:color="auto"/>
        <w:right w:val="none" w:sz="0" w:space="0" w:color="auto"/>
      </w:divBdr>
    </w:div>
    <w:div w:id="812798451">
      <w:bodyDiv w:val="1"/>
      <w:marLeft w:val="0"/>
      <w:marRight w:val="0"/>
      <w:marTop w:val="0"/>
      <w:marBottom w:val="0"/>
      <w:divBdr>
        <w:top w:val="none" w:sz="0" w:space="0" w:color="auto"/>
        <w:left w:val="none" w:sz="0" w:space="0" w:color="auto"/>
        <w:bottom w:val="none" w:sz="0" w:space="0" w:color="auto"/>
        <w:right w:val="none" w:sz="0" w:space="0" w:color="auto"/>
      </w:divBdr>
    </w:div>
    <w:div w:id="817571650">
      <w:bodyDiv w:val="1"/>
      <w:marLeft w:val="0"/>
      <w:marRight w:val="0"/>
      <w:marTop w:val="0"/>
      <w:marBottom w:val="0"/>
      <w:divBdr>
        <w:top w:val="none" w:sz="0" w:space="0" w:color="auto"/>
        <w:left w:val="none" w:sz="0" w:space="0" w:color="auto"/>
        <w:bottom w:val="none" w:sz="0" w:space="0" w:color="auto"/>
        <w:right w:val="none" w:sz="0" w:space="0" w:color="auto"/>
      </w:divBdr>
    </w:div>
    <w:div w:id="817720402">
      <w:bodyDiv w:val="1"/>
      <w:marLeft w:val="0"/>
      <w:marRight w:val="0"/>
      <w:marTop w:val="0"/>
      <w:marBottom w:val="0"/>
      <w:divBdr>
        <w:top w:val="none" w:sz="0" w:space="0" w:color="auto"/>
        <w:left w:val="none" w:sz="0" w:space="0" w:color="auto"/>
        <w:bottom w:val="none" w:sz="0" w:space="0" w:color="auto"/>
        <w:right w:val="none" w:sz="0" w:space="0" w:color="auto"/>
      </w:divBdr>
    </w:div>
    <w:div w:id="824394808">
      <w:bodyDiv w:val="1"/>
      <w:marLeft w:val="0"/>
      <w:marRight w:val="0"/>
      <w:marTop w:val="0"/>
      <w:marBottom w:val="0"/>
      <w:divBdr>
        <w:top w:val="none" w:sz="0" w:space="0" w:color="auto"/>
        <w:left w:val="none" w:sz="0" w:space="0" w:color="auto"/>
        <w:bottom w:val="none" w:sz="0" w:space="0" w:color="auto"/>
        <w:right w:val="none" w:sz="0" w:space="0" w:color="auto"/>
      </w:divBdr>
    </w:div>
    <w:div w:id="831145596">
      <w:bodyDiv w:val="1"/>
      <w:marLeft w:val="0"/>
      <w:marRight w:val="0"/>
      <w:marTop w:val="0"/>
      <w:marBottom w:val="0"/>
      <w:divBdr>
        <w:top w:val="none" w:sz="0" w:space="0" w:color="auto"/>
        <w:left w:val="none" w:sz="0" w:space="0" w:color="auto"/>
        <w:bottom w:val="none" w:sz="0" w:space="0" w:color="auto"/>
        <w:right w:val="none" w:sz="0" w:space="0" w:color="auto"/>
      </w:divBdr>
    </w:div>
    <w:div w:id="831677011">
      <w:bodyDiv w:val="1"/>
      <w:marLeft w:val="0"/>
      <w:marRight w:val="0"/>
      <w:marTop w:val="0"/>
      <w:marBottom w:val="0"/>
      <w:divBdr>
        <w:top w:val="none" w:sz="0" w:space="0" w:color="auto"/>
        <w:left w:val="none" w:sz="0" w:space="0" w:color="auto"/>
        <w:bottom w:val="none" w:sz="0" w:space="0" w:color="auto"/>
        <w:right w:val="none" w:sz="0" w:space="0" w:color="auto"/>
      </w:divBdr>
    </w:div>
    <w:div w:id="833034770">
      <w:bodyDiv w:val="1"/>
      <w:marLeft w:val="0"/>
      <w:marRight w:val="0"/>
      <w:marTop w:val="0"/>
      <w:marBottom w:val="0"/>
      <w:divBdr>
        <w:top w:val="none" w:sz="0" w:space="0" w:color="auto"/>
        <w:left w:val="none" w:sz="0" w:space="0" w:color="auto"/>
        <w:bottom w:val="none" w:sz="0" w:space="0" w:color="auto"/>
        <w:right w:val="none" w:sz="0" w:space="0" w:color="auto"/>
      </w:divBdr>
    </w:div>
    <w:div w:id="835651413">
      <w:bodyDiv w:val="1"/>
      <w:marLeft w:val="0"/>
      <w:marRight w:val="0"/>
      <w:marTop w:val="0"/>
      <w:marBottom w:val="0"/>
      <w:divBdr>
        <w:top w:val="none" w:sz="0" w:space="0" w:color="auto"/>
        <w:left w:val="none" w:sz="0" w:space="0" w:color="auto"/>
        <w:bottom w:val="none" w:sz="0" w:space="0" w:color="auto"/>
        <w:right w:val="none" w:sz="0" w:space="0" w:color="auto"/>
      </w:divBdr>
    </w:div>
    <w:div w:id="838160135">
      <w:bodyDiv w:val="1"/>
      <w:marLeft w:val="0"/>
      <w:marRight w:val="0"/>
      <w:marTop w:val="0"/>
      <w:marBottom w:val="0"/>
      <w:divBdr>
        <w:top w:val="none" w:sz="0" w:space="0" w:color="auto"/>
        <w:left w:val="none" w:sz="0" w:space="0" w:color="auto"/>
        <w:bottom w:val="none" w:sz="0" w:space="0" w:color="auto"/>
        <w:right w:val="none" w:sz="0" w:space="0" w:color="auto"/>
      </w:divBdr>
    </w:div>
    <w:div w:id="838738087">
      <w:bodyDiv w:val="1"/>
      <w:marLeft w:val="0"/>
      <w:marRight w:val="0"/>
      <w:marTop w:val="0"/>
      <w:marBottom w:val="0"/>
      <w:divBdr>
        <w:top w:val="none" w:sz="0" w:space="0" w:color="auto"/>
        <w:left w:val="none" w:sz="0" w:space="0" w:color="auto"/>
        <w:bottom w:val="none" w:sz="0" w:space="0" w:color="auto"/>
        <w:right w:val="none" w:sz="0" w:space="0" w:color="auto"/>
      </w:divBdr>
    </w:div>
    <w:div w:id="840197303">
      <w:bodyDiv w:val="1"/>
      <w:marLeft w:val="0"/>
      <w:marRight w:val="0"/>
      <w:marTop w:val="0"/>
      <w:marBottom w:val="0"/>
      <w:divBdr>
        <w:top w:val="none" w:sz="0" w:space="0" w:color="auto"/>
        <w:left w:val="none" w:sz="0" w:space="0" w:color="auto"/>
        <w:bottom w:val="none" w:sz="0" w:space="0" w:color="auto"/>
        <w:right w:val="none" w:sz="0" w:space="0" w:color="auto"/>
      </w:divBdr>
    </w:div>
    <w:div w:id="844514295">
      <w:bodyDiv w:val="1"/>
      <w:marLeft w:val="0"/>
      <w:marRight w:val="0"/>
      <w:marTop w:val="0"/>
      <w:marBottom w:val="0"/>
      <w:divBdr>
        <w:top w:val="none" w:sz="0" w:space="0" w:color="auto"/>
        <w:left w:val="none" w:sz="0" w:space="0" w:color="auto"/>
        <w:bottom w:val="none" w:sz="0" w:space="0" w:color="auto"/>
        <w:right w:val="none" w:sz="0" w:space="0" w:color="auto"/>
      </w:divBdr>
    </w:div>
    <w:div w:id="845024225">
      <w:bodyDiv w:val="1"/>
      <w:marLeft w:val="0"/>
      <w:marRight w:val="0"/>
      <w:marTop w:val="0"/>
      <w:marBottom w:val="0"/>
      <w:divBdr>
        <w:top w:val="none" w:sz="0" w:space="0" w:color="auto"/>
        <w:left w:val="none" w:sz="0" w:space="0" w:color="auto"/>
        <w:bottom w:val="none" w:sz="0" w:space="0" w:color="auto"/>
        <w:right w:val="none" w:sz="0" w:space="0" w:color="auto"/>
      </w:divBdr>
    </w:div>
    <w:div w:id="845945967">
      <w:bodyDiv w:val="1"/>
      <w:marLeft w:val="0"/>
      <w:marRight w:val="0"/>
      <w:marTop w:val="0"/>
      <w:marBottom w:val="0"/>
      <w:divBdr>
        <w:top w:val="none" w:sz="0" w:space="0" w:color="auto"/>
        <w:left w:val="none" w:sz="0" w:space="0" w:color="auto"/>
        <w:bottom w:val="none" w:sz="0" w:space="0" w:color="auto"/>
        <w:right w:val="none" w:sz="0" w:space="0" w:color="auto"/>
      </w:divBdr>
    </w:div>
    <w:div w:id="846556163">
      <w:bodyDiv w:val="1"/>
      <w:marLeft w:val="0"/>
      <w:marRight w:val="0"/>
      <w:marTop w:val="0"/>
      <w:marBottom w:val="0"/>
      <w:divBdr>
        <w:top w:val="none" w:sz="0" w:space="0" w:color="auto"/>
        <w:left w:val="none" w:sz="0" w:space="0" w:color="auto"/>
        <w:bottom w:val="none" w:sz="0" w:space="0" w:color="auto"/>
        <w:right w:val="none" w:sz="0" w:space="0" w:color="auto"/>
      </w:divBdr>
    </w:div>
    <w:div w:id="848714182">
      <w:bodyDiv w:val="1"/>
      <w:marLeft w:val="0"/>
      <w:marRight w:val="0"/>
      <w:marTop w:val="0"/>
      <w:marBottom w:val="0"/>
      <w:divBdr>
        <w:top w:val="none" w:sz="0" w:space="0" w:color="auto"/>
        <w:left w:val="none" w:sz="0" w:space="0" w:color="auto"/>
        <w:bottom w:val="none" w:sz="0" w:space="0" w:color="auto"/>
        <w:right w:val="none" w:sz="0" w:space="0" w:color="auto"/>
      </w:divBdr>
    </w:div>
    <w:div w:id="853881153">
      <w:bodyDiv w:val="1"/>
      <w:marLeft w:val="0"/>
      <w:marRight w:val="0"/>
      <w:marTop w:val="0"/>
      <w:marBottom w:val="0"/>
      <w:divBdr>
        <w:top w:val="none" w:sz="0" w:space="0" w:color="auto"/>
        <w:left w:val="none" w:sz="0" w:space="0" w:color="auto"/>
        <w:bottom w:val="none" w:sz="0" w:space="0" w:color="auto"/>
        <w:right w:val="none" w:sz="0" w:space="0" w:color="auto"/>
      </w:divBdr>
    </w:div>
    <w:div w:id="854081125">
      <w:bodyDiv w:val="1"/>
      <w:marLeft w:val="0"/>
      <w:marRight w:val="0"/>
      <w:marTop w:val="0"/>
      <w:marBottom w:val="0"/>
      <w:divBdr>
        <w:top w:val="none" w:sz="0" w:space="0" w:color="auto"/>
        <w:left w:val="none" w:sz="0" w:space="0" w:color="auto"/>
        <w:bottom w:val="none" w:sz="0" w:space="0" w:color="auto"/>
        <w:right w:val="none" w:sz="0" w:space="0" w:color="auto"/>
      </w:divBdr>
    </w:div>
    <w:div w:id="856889210">
      <w:bodyDiv w:val="1"/>
      <w:marLeft w:val="0"/>
      <w:marRight w:val="0"/>
      <w:marTop w:val="0"/>
      <w:marBottom w:val="0"/>
      <w:divBdr>
        <w:top w:val="none" w:sz="0" w:space="0" w:color="auto"/>
        <w:left w:val="none" w:sz="0" w:space="0" w:color="auto"/>
        <w:bottom w:val="none" w:sz="0" w:space="0" w:color="auto"/>
        <w:right w:val="none" w:sz="0" w:space="0" w:color="auto"/>
      </w:divBdr>
    </w:div>
    <w:div w:id="858662169">
      <w:bodyDiv w:val="1"/>
      <w:marLeft w:val="0"/>
      <w:marRight w:val="0"/>
      <w:marTop w:val="0"/>
      <w:marBottom w:val="0"/>
      <w:divBdr>
        <w:top w:val="none" w:sz="0" w:space="0" w:color="auto"/>
        <w:left w:val="none" w:sz="0" w:space="0" w:color="auto"/>
        <w:bottom w:val="none" w:sz="0" w:space="0" w:color="auto"/>
        <w:right w:val="none" w:sz="0" w:space="0" w:color="auto"/>
      </w:divBdr>
    </w:div>
    <w:div w:id="860824155">
      <w:bodyDiv w:val="1"/>
      <w:marLeft w:val="0"/>
      <w:marRight w:val="0"/>
      <w:marTop w:val="0"/>
      <w:marBottom w:val="0"/>
      <w:divBdr>
        <w:top w:val="none" w:sz="0" w:space="0" w:color="auto"/>
        <w:left w:val="none" w:sz="0" w:space="0" w:color="auto"/>
        <w:bottom w:val="none" w:sz="0" w:space="0" w:color="auto"/>
        <w:right w:val="none" w:sz="0" w:space="0" w:color="auto"/>
      </w:divBdr>
    </w:div>
    <w:div w:id="861473585">
      <w:bodyDiv w:val="1"/>
      <w:marLeft w:val="0"/>
      <w:marRight w:val="0"/>
      <w:marTop w:val="0"/>
      <w:marBottom w:val="0"/>
      <w:divBdr>
        <w:top w:val="none" w:sz="0" w:space="0" w:color="auto"/>
        <w:left w:val="none" w:sz="0" w:space="0" w:color="auto"/>
        <w:bottom w:val="none" w:sz="0" w:space="0" w:color="auto"/>
        <w:right w:val="none" w:sz="0" w:space="0" w:color="auto"/>
      </w:divBdr>
    </w:div>
    <w:div w:id="865827170">
      <w:bodyDiv w:val="1"/>
      <w:marLeft w:val="0"/>
      <w:marRight w:val="0"/>
      <w:marTop w:val="0"/>
      <w:marBottom w:val="0"/>
      <w:divBdr>
        <w:top w:val="none" w:sz="0" w:space="0" w:color="auto"/>
        <w:left w:val="none" w:sz="0" w:space="0" w:color="auto"/>
        <w:bottom w:val="none" w:sz="0" w:space="0" w:color="auto"/>
        <w:right w:val="none" w:sz="0" w:space="0" w:color="auto"/>
      </w:divBdr>
    </w:div>
    <w:div w:id="871071182">
      <w:bodyDiv w:val="1"/>
      <w:marLeft w:val="0"/>
      <w:marRight w:val="0"/>
      <w:marTop w:val="0"/>
      <w:marBottom w:val="0"/>
      <w:divBdr>
        <w:top w:val="none" w:sz="0" w:space="0" w:color="auto"/>
        <w:left w:val="none" w:sz="0" w:space="0" w:color="auto"/>
        <w:bottom w:val="none" w:sz="0" w:space="0" w:color="auto"/>
        <w:right w:val="none" w:sz="0" w:space="0" w:color="auto"/>
      </w:divBdr>
    </w:div>
    <w:div w:id="873036242">
      <w:bodyDiv w:val="1"/>
      <w:marLeft w:val="0"/>
      <w:marRight w:val="0"/>
      <w:marTop w:val="0"/>
      <w:marBottom w:val="0"/>
      <w:divBdr>
        <w:top w:val="none" w:sz="0" w:space="0" w:color="auto"/>
        <w:left w:val="none" w:sz="0" w:space="0" w:color="auto"/>
        <w:bottom w:val="none" w:sz="0" w:space="0" w:color="auto"/>
        <w:right w:val="none" w:sz="0" w:space="0" w:color="auto"/>
      </w:divBdr>
    </w:div>
    <w:div w:id="874195045">
      <w:bodyDiv w:val="1"/>
      <w:marLeft w:val="0"/>
      <w:marRight w:val="0"/>
      <w:marTop w:val="0"/>
      <w:marBottom w:val="0"/>
      <w:divBdr>
        <w:top w:val="none" w:sz="0" w:space="0" w:color="auto"/>
        <w:left w:val="none" w:sz="0" w:space="0" w:color="auto"/>
        <w:bottom w:val="none" w:sz="0" w:space="0" w:color="auto"/>
        <w:right w:val="none" w:sz="0" w:space="0" w:color="auto"/>
      </w:divBdr>
    </w:div>
    <w:div w:id="884829214">
      <w:bodyDiv w:val="1"/>
      <w:marLeft w:val="0"/>
      <w:marRight w:val="0"/>
      <w:marTop w:val="0"/>
      <w:marBottom w:val="0"/>
      <w:divBdr>
        <w:top w:val="none" w:sz="0" w:space="0" w:color="auto"/>
        <w:left w:val="none" w:sz="0" w:space="0" w:color="auto"/>
        <w:bottom w:val="none" w:sz="0" w:space="0" w:color="auto"/>
        <w:right w:val="none" w:sz="0" w:space="0" w:color="auto"/>
      </w:divBdr>
    </w:div>
    <w:div w:id="886601263">
      <w:bodyDiv w:val="1"/>
      <w:marLeft w:val="0"/>
      <w:marRight w:val="0"/>
      <w:marTop w:val="0"/>
      <w:marBottom w:val="0"/>
      <w:divBdr>
        <w:top w:val="none" w:sz="0" w:space="0" w:color="auto"/>
        <w:left w:val="none" w:sz="0" w:space="0" w:color="auto"/>
        <w:bottom w:val="none" w:sz="0" w:space="0" w:color="auto"/>
        <w:right w:val="none" w:sz="0" w:space="0" w:color="auto"/>
      </w:divBdr>
    </w:div>
    <w:div w:id="893855797">
      <w:bodyDiv w:val="1"/>
      <w:marLeft w:val="0"/>
      <w:marRight w:val="0"/>
      <w:marTop w:val="0"/>
      <w:marBottom w:val="0"/>
      <w:divBdr>
        <w:top w:val="none" w:sz="0" w:space="0" w:color="auto"/>
        <w:left w:val="none" w:sz="0" w:space="0" w:color="auto"/>
        <w:bottom w:val="none" w:sz="0" w:space="0" w:color="auto"/>
        <w:right w:val="none" w:sz="0" w:space="0" w:color="auto"/>
      </w:divBdr>
    </w:div>
    <w:div w:id="898249658">
      <w:bodyDiv w:val="1"/>
      <w:marLeft w:val="0"/>
      <w:marRight w:val="0"/>
      <w:marTop w:val="0"/>
      <w:marBottom w:val="0"/>
      <w:divBdr>
        <w:top w:val="none" w:sz="0" w:space="0" w:color="auto"/>
        <w:left w:val="none" w:sz="0" w:space="0" w:color="auto"/>
        <w:bottom w:val="none" w:sz="0" w:space="0" w:color="auto"/>
        <w:right w:val="none" w:sz="0" w:space="0" w:color="auto"/>
      </w:divBdr>
    </w:div>
    <w:div w:id="898518312">
      <w:bodyDiv w:val="1"/>
      <w:marLeft w:val="0"/>
      <w:marRight w:val="0"/>
      <w:marTop w:val="0"/>
      <w:marBottom w:val="0"/>
      <w:divBdr>
        <w:top w:val="none" w:sz="0" w:space="0" w:color="auto"/>
        <w:left w:val="none" w:sz="0" w:space="0" w:color="auto"/>
        <w:bottom w:val="none" w:sz="0" w:space="0" w:color="auto"/>
        <w:right w:val="none" w:sz="0" w:space="0" w:color="auto"/>
      </w:divBdr>
    </w:div>
    <w:div w:id="902062840">
      <w:bodyDiv w:val="1"/>
      <w:marLeft w:val="0"/>
      <w:marRight w:val="0"/>
      <w:marTop w:val="0"/>
      <w:marBottom w:val="0"/>
      <w:divBdr>
        <w:top w:val="none" w:sz="0" w:space="0" w:color="auto"/>
        <w:left w:val="none" w:sz="0" w:space="0" w:color="auto"/>
        <w:bottom w:val="none" w:sz="0" w:space="0" w:color="auto"/>
        <w:right w:val="none" w:sz="0" w:space="0" w:color="auto"/>
      </w:divBdr>
    </w:div>
    <w:div w:id="910651954">
      <w:bodyDiv w:val="1"/>
      <w:marLeft w:val="0"/>
      <w:marRight w:val="0"/>
      <w:marTop w:val="0"/>
      <w:marBottom w:val="0"/>
      <w:divBdr>
        <w:top w:val="none" w:sz="0" w:space="0" w:color="auto"/>
        <w:left w:val="none" w:sz="0" w:space="0" w:color="auto"/>
        <w:bottom w:val="none" w:sz="0" w:space="0" w:color="auto"/>
        <w:right w:val="none" w:sz="0" w:space="0" w:color="auto"/>
      </w:divBdr>
    </w:div>
    <w:div w:id="920218894">
      <w:bodyDiv w:val="1"/>
      <w:marLeft w:val="0"/>
      <w:marRight w:val="0"/>
      <w:marTop w:val="0"/>
      <w:marBottom w:val="0"/>
      <w:divBdr>
        <w:top w:val="none" w:sz="0" w:space="0" w:color="auto"/>
        <w:left w:val="none" w:sz="0" w:space="0" w:color="auto"/>
        <w:bottom w:val="none" w:sz="0" w:space="0" w:color="auto"/>
        <w:right w:val="none" w:sz="0" w:space="0" w:color="auto"/>
      </w:divBdr>
    </w:div>
    <w:div w:id="927008020">
      <w:bodyDiv w:val="1"/>
      <w:marLeft w:val="0"/>
      <w:marRight w:val="0"/>
      <w:marTop w:val="0"/>
      <w:marBottom w:val="0"/>
      <w:divBdr>
        <w:top w:val="none" w:sz="0" w:space="0" w:color="auto"/>
        <w:left w:val="none" w:sz="0" w:space="0" w:color="auto"/>
        <w:bottom w:val="none" w:sz="0" w:space="0" w:color="auto"/>
        <w:right w:val="none" w:sz="0" w:space="0" w:color="auto"/>
      </w:divBdr>
    </w:div>
    <w:div w:id="932784658">
      <w:bodyDiv w:val="1"/>
      <w:marLeft w:val="0"/>
      <w:marRight w:val="0"/>
      <w:marTop w:val="0"/>
      <w:marBottom w:val="0"/>
      <w:divBdr>
        <w:top w:val="none" w:sz="0" w:space="0" w:color="auto"/>
        <w:left w:val="none" w:sz="0" w:space="0" w:color="auto"/>
        <w:bottom w:val="none" w:sz="0" w:space="0" w:color="auto"/>
        <w:right w:val="none" w:sz="0" w:space="0" w:color="auto"/>
      </w:divBdr>
    </w:div>
    <w:div w:id="933245949">
      <w:bodyDiv w:val="1"/>
      <w:marLeft w:val="0"/>
      <w:marRight w:val="0"/>
      <w:marTop w:val="0"/>
      <w:marBottom w:val="0"/>
      <w:divBdr>
        <w:top w:val="none" w:sz="0" w:space="0" w:color="auto"/>
        <w:left w:val="none" w:sz="0" w:space="0" w:color="auto"/>
        <w:bottom w:val="none" w:sz="0" w:space="0" w:color="auto"/>
        <w:right w:val="none" w:sz="0" w:space="0" w:color="auto"/>
      </w:divBdr>
    </w:div>
    <w:div w:id="936059122">
      <w:bodyDiv w:val="1"/>
      <w:marLeft w:val="0"/>
      <w:marRight w:val="0"/>
      <w:marTop w:val="0"/>
      <w:marBottom w:val="0"/>
      <w:divBdr>
        <w:top w:val="none" w:sz="0" w:space="0" w:color="auto"/>
        <w:left w:val="none" w:sz="0" w:space="0" w:color="auto"/>
        <w:bottom w:val="none" w:sz="0" w:space="0" w:color="auto"/>
        <w:right w:val="none" w:sz="0" w:space="0" w:color="auto"/>
      </w:divBdr>
    </w:div>
    <w:div w:id="937828285">
      <w:bodyDiv w:val="1"/>
      <w:marLeft w:val="0"/>
      <w:marRight w:val="0"/>
      <w:marTop w:val="0"/>
      <w:marBottom w:val="0"/>
      <w:divBdr>
        <w:top w:val="none" w:sz="0" w:space="0" w:color="auto"/>
        <w:left w:val="none" w:sz="0" w:space="0" w:color="auto"/>
        <w:bottom w:val="none" w:sz="0" w:space="0" w:color="auto"/>
        <w:right w:val="none" w:sz="0" w:space="0" w:color="auto"/>
      </w:divBdr>
    </w:div>
    <w:div w:id="938564262">
      <w:bodyDiv w:val="1"/>
      <w:marLeft w:val="0"/>
      <w:marRight w:val="0"/>
      <w:marTop w:val="0"/>
      <w:marBottom w:val="0"/>
      <w:divBdr>
        <w:top w:val="none" w:sz="0" w:space="0" w:color="auto"/>
        <w:left w:val="none" w:sz="0" w:space="0" w:color="auto"/>
        <w:bottom w:val="none" w:sz="0" w:space="0" w:color="auto"/>
        <w:right w:val="none" w:sz="0" w:space="0" w:color="auto"/>
      </w:divBdr>
    </w:div>
    <w:div w:id="941953814">
      <w:bodyDiv w:val="1"/>
      <w:marLeft w:val="0"/>
      <w:marRight w:val="0"/>
      <w:marTop w:val="0"/>
      <w:marBottom w:val="0"/>
      <w:divBdr>
        <w:top w:val="none" w:sz="0" w:space="0" w:color="auto"/>
        <w:left w:val="none" w:sz="0" w:space="0" w:color="auto"/>
        <w:bottom w:val="none" w:sz="0" w:space="0" w:color="auto"/>
        <w:right w:val="none" w:sz="0" w:space="0" w:color="auto"/>
      </w:divBdr>
    </w:div>
    <w:div w:id="942299218">
      <w:bodyDiv w:val="1"/>
      <w:marLeft w:val="0"/>
      <w:marRight w:val="0"/>
      <w:marTop w:val="0"/>
      <w:marBottom w:val="0"/>
      <w:divBdr>
        <w:top w:val="none" w:sz="0" w:space="0" w:color="auto"/>
        <w:left w:val="none" w:sz="0" w:space="0" w:color="auto"/>
        <w:bottom w:val="none" w:sz="0" w:space="0" w:color="auto"/>
        <w:right w:val="none" w:sz="0" w:space="0" w:color="auto"/>
      </w:divBdr>
    </w:div>
    <w:div w:id="950743137">
      <w:bodyDiv w:val="1"/>
      <w:marLeft w:val="0"/>
      <w:marRight w:val="0"/>
      <w:marTop w:val="0"/>
      <w:marBottom w:val="0"/>
      <w:divBdr>
        <w:top w:val="none" w:sz="0" w:space="0" w:color="auto"/>
        <w:left w:val="none" w:sz="0" w:space="0" w:color="auto"/>
        <w:bottom w:val="none" w:sz="0" w:space="0" w:color="auto"/>
        <w:right w:val="none" w:sz="0" w:space="0" w:color="auto"/>
      </w:divBdr>
    </w:div>
    <w:div w:id="955016796">
      <w:bodyDiv w:val="1"/>
      <w:marLeft w:val="0"/>
      <w:marRight w:val="0"/>
      <w:marTop w:val="0"/>
      <w:marBottom w:val="0"/>
      <w:divBdr>
        <w:top w:val="none" w:sz="0" w:space="0" w:color="auto"/>
        <w:left w:val="none" w:sz="0" w:space="0" w:color="auto"/>
        <w:bottom w:val="none" w:sz="0" w:space="0" w:color="auto"/>
        <w:right w:val="none" w:sz="0" w:space="0" w:color="auto"/>
      </w:divBdr>
    </w:div>
    <w:div w:id="956716728">
      <w:bodyDiv w:val="1"/>
      <w:marLeft w:val="0"/>
      <w:marRight w:val="0"/>
      <w:marTop w:val="0"/>
      <w:marBottom w:val="0"/>
      <w:divBdr>
        <w:top w:val="none" w:sz="0" w:space="0" w:color="auto"/>
        <w:left w:val="none" w:sz="0" w:space="0" w:color="auto"/>
        <w:bottom w:val="none" w:sz="0" w:space="0" w:color="auto"/>
        <w:right w:val="none" w:sz="0" w:space="0" w:color="auto"/>
      </w:divBdr>
    </w:div>
    <w:div w:id="964966949">
      <w:bodyDiv w:val="1"/>
      <w:marLeft w:val="0"/>
      <w:marRight w:val="0"/>
      <w:marTop w:val="0"/>
      <w:marBottom w:val="0"/>
      <w:divBdr>
        <w:top w:val="none" w:sz="0" w:space="0" w:color="auto"/>
        <w:left w:val="none" w:sz="0" w:space="0" w:color="auto"/>
        <w:bottom w:val="none" w:sz="0" w:space="0" w:color="auto"/>
        <w:right w:val="none" w:sz="0" w:space="0" w:color="auto"/>
      </w:divBdr>
    </w:div>
    <w:div w:id="966861372">
      <w:bodyDiv w:val="1"/>
      <w:marLeft w:val="0"/>
      <w:marRight w:val="0"/>
      <w:marTop w:val="0"/>
      <w:marBottom w:val="0"/>
      <w:divBdr>
        <w:top w:val="none" w:sz="0" w:space="0" w:color="auto"/>
        <w:left w:val="none" w:sz="0" w:space="0" w:color="auto"/>
        <w:bottom w:val="none" w:sz="0" w:space="0" w:color="auto"/>
        <w:right w:val="none" w:sz="0" w:space="0" w:color="auto"/>
      </w:divBdr>
    </w:div>
    <w:div w:id="968976677">
      <w:bodyDiv w:val="1"/>
      <w:marLeft w:val="0"/>
      <w:marRight w:val="0"/>
      <w:marTop w:val="0"/>
      <w:marBottom w:val="0"/>
      <w:divBdr>
        <w:top w:val="none" w:sz="0" w:space="0" w:color="auto"/>
        <w:left w:val="none" w:sz="0" w:space="0" w:color="auto"/>
        <w:bottom w:val="none" w:sz="0" w:space="0" w:color="auto"/>
        <w:right w:val="none" w:sz="0" w:space="0" w:color="auto"/>
      </w:divBdr>
    </w:div>
    <w:div w:id="973367261">
      <w:bodyDiv w:val="1"/>
      <w:marLeft w:val="0"/>
      <w:marRight w:val="0"/>
      <w:marTop w:val="0"/>
      <w:marBottom w:val="0"/>
      <w:divBdr>
        <w:top w:val="none" w:sz="0" w:space="0" w:color="auto"/>
        <w:left w:val="none" w:sz="0" w:space="0" w:color="auto"/>
        <w:bottom w:val="none" w:sz="0" w:space="0" w:color="auto"/>
        <w:right w:val="none" w:sz="0" w:space="0" w:color="auto"/>
      </w:divBdr>
    </w:div>
    <w:div w:id="973868098">
      <w:bodyDiv w:val="1"/>
      <w:marLeft w:val="0"/>
      <w:marRight w:val="0"/>
      <w:marTop w:val="0"/>
      <w:marBottom w:val="0"/>
      <w:divBdr>
        <w:top w:val="none" w:sz="0" w:space="0" w:color="auto"/>
        <w:left w:val="none" w:sz="0" w:space="0" w:color="auto"/>
        <w:bottom w:val="none" w:sz="0" w:space="0" w:color="auto"/>
        <w:right w:val="none" w:sz="0" w:space="0" w:color="auto"/>
      </w:divBdr>
    </w:div>
    <w:div w:id="975136205">
      <w:bodyDiv w:val="1"/>
      <w:marLeft w:val="0"/>
      <w:marRight w:val="0"/>
      <w:marTop w:val="0"/>
      <w:marBottom w:val="0"/>
      <w:divBdr>
        <w:top w:val="none" w:sz="0" w:space="0" w:color="auto"/>
        <w:left w:val="none" w:sz="0" w:space="0" w:color="auto"/>
        <w:bottom w:val="none" w:sz="0" w:space="0" w:color="auto"/>
        <w:right w:val="none" w:sz="0" w:space="0" w:color="auto"/>
      </w:divBdr>
    </w:div>
    <w:div w:id="976031705">
      <w:bodyDiv w:val="1"/>
      <w:marLeft w:val="0"/>
      <w:marRight w:val="0"/>
      <w:marTop w:val="0"/>
      <w:marBottom w:val="0"/>
      <w:divBdr>
        <w:top w:val="none" w:sz="0" w:space="0" w:color="auto"/>
        <w:left w:val="none" w:sz="0" w:space="0" w:color="auto"/>
        <w:bottom w:val="none" w:sz="0" w:space="0" w:color="auto"/>
        <w:right w:val="none" w:sz="0" w:space="0" w:color="auto"/>
      </w:divBdr>
    </w:div>
    <w:div w:id="979649219">
      <w:bodyDiv w:val="1"/>
      <w:marLeft w:val="0"/>
      <w:marRight w:val="0"/>
      <w:marTop w:val="0"/>
      <w:marBottom w:val="0"/>
      <w:divBdr>
        <w:top w:val="none" w:sz="0" w:space="0" w:color="auto"/>
        <w:left w:val="none" w:sz="0" w:space="0" w:color="auto"/>
        <w:bottom w:val="none" w:sz="0" w:space="0" w:color="auto"/>
        <w:right w:val="none" w:sz="0" w:space="0" w:color="auto"/>
      </w:divBdr>
    </w:div>
    <w:div w:id="980231047">
      <w:bodyDiv w:val="1"/>
      <w:marLeft w:val="0"/>
      <w:marRight w:val="0"/>
      <w:marTop w:val="0"/>
      <w:marBottom w:val="0"/>
      <w:divBdr>
        <w:top w:val="none" w:sz="0" w:space="0" w:color="auto"/>
        <w:left w:val="none" w:sz="0" w:space="0" w:color="auto"/>
        <w:bottom w:val="none" w:sz="0" w:space="0" w:color="auto"/>
        <w:right w:val="none" w:sz="0" w:space="0" w:color="auto"/>
      </w:divBdr>
    </w:div>
    <w:div w:id="980382298">
      <w:bodyDiv w:val="1"/>
      <w:marLeft w:val="0"/>
      <w:marRight w:val="0"/>
      <w:marTop w:val="0"/>
      <w:marBottom w:val="0"/>
      <w:divBdr>
        <w:top w:val="none" w:sz="0" w:space="0" w:color="auto"/>
        <w:left w:val="none" w:sz="0" w:space="0" w:color="auto"/>
        <w:bottom w:val="none" w:sz="0" w:space="0" w:color="auto"/>
        <w:right w:val="none" w:sz="0" w:space="0" w:color="auto"/>
      </w:divBdr>
    </w:div>
    <w:div w:id="986085451">
      <w:bodyDiv w:val="1"/>
      <w:marLeft w:val="0"/>
      <w:marRight w:val="0"/>
      <w:marTop w:val="0"/>
      <w:marBottom w:val="0"/>
      <w:divBdr>
        <w:top w:val="none" w:sz="0" w:space="0" w:color="auto"/>
        <w:left w:val="none" w:sz="0" w:space="0" w:color="auto"/>
        <w:bottom w:val="none" w:sz="0" w:space="0" w:color="auto"/>
        <w:right w:val="none" w:sz="0" w:space="0" w:color="auto"/>
      </w:divBdr>
    </w:div>
    <w:div w:id="992372462">
      <w:bodyDiv w:val="1"/>
      <w:marLeft w:val="0"/>
      <w:marRight w:val="0"/>
      <w:marTop w:val="0"/>
      <w:marBottom w:val="0"/>
      <w:divBdr>
        <w:top w:val="none" w:sz="0" w:space="0" w:color="auto"/>
        <w:left w:val="none" w:sz="0" w:space="0" w:color="auto"/>
        <w:bottom w:val="none" w:sz="0" w:space="0" w:color="auto"/>
        <w:right w:val="none" w:sz="0" w:space="0" w:color="auto"/>
      </w:divBdr>
    </w:div>
    <w:div w:id="992443366">
      <w:bodyDiv w:val="1"/>
      <w:marLeft w:val="0"/>
      <w:marRight w:val="0"/>
      <w:marTop w:val="0"/>
      <w:marBottom w:val="0"/>
      <w:divBdr>
        <w:top w:val="none" w:sz="0" w:space="0" w:color="auto"/>
        <w:left w:val="none" w:sz="0" w:space="0" w:color="auto"/>
        <w:bottom w:val="none" w:sz="0" w:space="0" w:color="auto"/>
        <w:right w:val="none" w:sz="0" w:space="0" w:color="auto"/>
      </w:divBdr>
    </w:div>
    <w:div w:id="992608684">
      <w:bodyDiv w:val="1"/>
      <w:marLeft w:val="0"/>
      <w:marRight w:val="0"/>
      <w:marTop w:val="0"/>
      <w:marBottom w:val="0"/>
      <w:divBdr>
        <w:top w:val="none" w:sz="0" w:space="0" w:color="auto"/>
        <w:left w:val="none" w:sz="0" w:space="0" w:color="auto"/>
        <w:bottom w:val="none" w:sz="0" w:space="0" w:color="auto"/>
        <w:right w:val="none" w:sz="0" w:space="0" w:color="auto"/>
      </w:divBdr>
    </w:div>
    <w:div w:id="995305532">
      <w:bodyDiv w:val="1"/>
      <w:marLeft w:val="0"/>
      <w:marRight w:val="0"/>
      <w:marTop w:val="0"/>
      <w:marBottom w:val="0"/>
      <w:divBdr>
        <w:top w:val="none" w:sz="0" w:space="0" w:color="auto"/>
        <w:left w:val="none" w:sz="0" w:space="0" w:color="auto"/>
        <w:bottom w:val="none" w:sz="0" w:space="0" w:color="auto"/>
        <w:right w:val="none" w:sz="0" w:space="0" w:color="auto"/>
      </w:divBdr>
    </w:div>
    <w:div w:id="1003585031">
      <w:bodyDiv w:val="1"/>
      <w:marLeft w:val="0"/>
      <w:marRight w:val="0"/>
      <w:marTop w:val="0"/>
      <w:marBottom w:val="0"/>
      <w:divBdr>
        <w:top w:val="none" w:sz="0" w:space="0" w:color="auto"/>
        <w:left w:val="none" w:sz="0" w:space="0" w:color="auto"/>
        <w:bottom w:val="none" w:sz="0" w:space="0" w:color="auto"/>
        <w:right w:val="none" w:sz="0" w:space="0" w:color="auto"/>
      </w:divBdr>
    </w:div>
    <w:div w:id="1018770746">
      <w:bodyDiv w:val="1"/>
      <w:marLeft w:val="0"/>
      <w:marRight w:val="0"/>
      <w:marTop w:val="0"/>
      <w:marBottom w:val="0"/>
      <w:divBdr>
        <w:top w:val="none" w:sz="0" w:space="0" w:color="auto"/>
        <w:left w:val="none" w:sz="0" w:space="0" w:color="auto"/>
        <w:bottom w:val="none" w:sz="0" w:space="0" w:color="auto"/>
        <w:right w:val="none" w:sz="0" w:space="0" w:color="auto"/>
      </w:divBdr>
    </w:div>
    <w:div w:id="1019087152">
      <w:bodyDiv w:val="1"/>
      <w:marLeft w:val="0"/>
      <w:marRight w:val="0"/>
      <w:marTop w:val="0"/>
      <w:marBottom w:val="0"/>
      <w:divBdr>
        <w:top w:val="none" w:sz="0" w:space="0" w:color="auto"/>
        <w:left w:val="none" w:sz="0" w:space="0" w:color="auto"/>
        <w:bottom w:val="none" w:sz="0" w:space="0" w:color="auto"/>
        <w:right w:val="none" w:sz="0" w:space="0" w:color="auto"/>
      </w:divBdr>
    </w:div>
    <w:div w:id="1021707353">
      <w:bodyDiv w:val="1"/>
      <w:marLeft w:val="0"/>
      <w:marRight w:val="0"/>
      <w:marTop w:val="0"/>
      <w:marBottom w:val="0"/>
      <w:divBdr>
        <w:top w:val="none" w:sz="0" w:space="0" w:color="auto"/>
        <w:left w:val="none" w:sz="0" w:space="0" w:color="auto"/>
        <w:bottom w:val="none" w:sz="0" w:space="0" w:color="auto"/>
        <w:right w:val="none" w:sz="0" w:space="0" w:color="auto"/>
      </w:divBdr>
    </w:div>
    <w:div w:id="1022824326">
      <w:bodyDiv w:val="1"/>
      <w:marLeft w:val="0"/>
      <w:marRight w:val="0"/>
      <w:marTop w:val="0"/>
      <w:marBottom w:val="0"/>
      <w:divBdr>
        <w:top w:val="none" w:sz="0" w:space="0" w:color="auto"/>
        <w:left w:val="none" w:sz="0" w:space="0" w:color="auto"/>
        <w:bottom w:val="none" w:sz="0" w:space="0" w:color="auto"/>
        <w:right w:val="none" w:sz="0" w:space="0" w:color="auto"/>
      </w:divBdr>
    </w:div>
    <w:div w:id="1022902319">
      <w:bodyDiv w:val="1"/>
      <w:marLeft w:val="0"/>
      <w:marRight w:val="0"/>
      <w:marTop w:val="0"/>
      <w:marBottom w:val="0"/>
      <w:divBdr>
        <w:top w:val="none" w:sz="0" w:space="0" w:color="auto"/>
        <w:left w:val="none" w:sz="0" w:space="0" w:color="auto"/>
        <w:bottom w:val="none" w:sz="0" w:space="0" w:color="auto"/>
        <w:right w:val="none" w:sz="0" w:space="0" w:color="auto"/>
      </w:divBdr>
    </w:div>
    <w:div w:id="1024864614">
      <w:bodyDiv w:val="1"/>
      <w:marLeft w:val="0"/>
      <w:marRight w:val="0"/>
      <w:marTop w:val="0"/>
      <w:marBottom w:val="0"/>
      <w:divBdr>
        <w:top w:val="none" w:sz="0" w:space="0" w:color="auto"/>
        <w:left w:val="none" w:sz="0" w:space="0" w:color="auto"/>
        <w:bottom w:val="none" w:sz="0" w:space="0" w:color="auto"/>
        <w:right w:val="none" w:sz="0" w:space="0" w:color="auto"/>
      </w:divBdr>
    </w:div>
    <w:div w:id="1029183795">
      <w:bodyDiv w:val="1"/>
      <w:marLeft w:val="0"/>
      <w:marRight w:val="0"/>
      <w:marTop w:val="0"/>
      <w:marBottom w:val="0"/>
      <w:divBdr>
        <w:top w:val="none" w:sz="0" w:space="0" w:color="auto"/>
        <w:left w:val="none" w:sz="0" w:space="0" w:color="auto"/>
        <w:bottom w:val="none" w:sz="0" w:space="0" w:color="auto"/>
        <w:right w:val="none" w:sz="0" w:space="0" w:color="auto"/>
      </w:divBdr>
    </w:div>
    <w:div w:id="1040934558">
      <w:bodyDiv w:val="1"/>
      <w:marLeft w:val="0"/>
      <w:marRight w:val="0"/>
      <w:marTop w:val="0"/>
      <w:marBottom w:val="0"/>
      <w:divBdr>
        <w:top w:val="none" w:sz="0" w:space="0" w:color="auto"/>
        <w:left w:val="none" w:sz="0" w:space="0" w:color="auto"/>
        <w:bottom w:val="none" w:sz="0" w:space="0" w:color="auto"/>
        <w:right w:val="none" w:sz="0" w:space="0" w:color="auto"/>
      </w:divBdr>
    </w:div>
    <w:div w:id="1046949729">
      <w:bodyDiv w:val="1"/>
      <w:marLeft w:val="0"/>
      <w:marRight w:val="0"/>
      <w:marTop w:val="0"/>
      <w:marBottom w:val="0"/>
      <w:divBdr>
        <w:top w:val="none" w:sz="0" w:space="0" w:color="auto"/>
        <w:left w:val="none" w:sz="0" w:space="0" w:color="auto"/>
        <w:bottom w:val="none" w:sz="0" w:space="0" w:color="auto"/>
        <w:right w:val="none" w:sz="0" w:space="0" w:color="auto"/>
      </w:divBdr>
    </w:div>
    <w:div w:id="1050225769">
      <w:bodyDiv w:val="1"/>
      <w:marLeft w:val="0"/>
      <w:marRight w:val="0"/>
      <w:marTop w:val="0"/>
      <w:marBottom w:val="0"/>
      <w:divBdr>
        <w:top w:val="none" w:sz="0" w:space="0" w:color="auto"/>
        <w:left w:val="none" w:sz="0" w:space="0" w:color="auto"/>
        <w:bottom w:val="none" w:sz="0" w:space="0" w:color="auto"/>
        <w:right w:val="none" w:sz="0" w:space="0" w:color="auto"/>
      </w:divBdr>
    </w:div>
    <w:div w:id="1058437493">
      <w:bodyDiv w:val="1"/>
      <w:marLeft w:val="0"/>
      <w:marRight w:val="0"/>
      <w:marTop w:val="0"/>
      <w:marBottom w:val="0"/>
      <w:divBdr>
        <w:top w:val="none" w:sz="0" w:space="0" w:color="auto"/>
        <w:left w:val="none" w:sz="0" w:space="0" w:color="auto"/>
        <w:bottom w:val="none" w:sz="0" w:space="0" w:color="auto"/>
        <w:right w:val="none" w:sz="0" w:space="0" w:color="auto"/>
      </w:divBdr>
    </w:div>
    <w:div w:id="1063992447">
      <w:bodyDiv w:val="1"/>
      <w:marLeft w:val="0"/>
      <w:marRight w:val="0"/>
      <w:marTop w:val="0"/>
      <w:marBottom w:val="0"/>
      <w:divBdr>
        <w:top w:val="none" w:sz="0" w:space="0" w:color="auto"/>
        <w:left w:val="none" w:sz="0" w:space="0" w:color="auto"/>
        <w:bottom w:val="none" w:sz="0" w:space="0" w:color="auto"/>
        <w:right w:val="none" w:sz="0" w:space="0" w:color="auto"/>
      </w:divBdr>
    </w:div>
    <w:div w:id="1065756372">
      <w:bodyDiv w:val="1"/>
      <w:marLeft w:val="0"/>
      <w:marRight w:val="0"/>
      <w:marTop w:val="0"/>
      <w:marBottom w:val="0"/>
      <w:divBdr>
        <w:top w:val="none" w:sz="0" w:space="0" w:color="auto"/>
        <w:left w:val="none" w:sz="0" w:space="0" w:color="auto"/>
        <w:bottom w:val="none" w:sz="0" w:space="0" w:color="auto"/>
        <w:right w:val="none" w:sz="0" w:space="0" w:color="auto"/>
      </w:divBdr>
    </w:div>
    <w:div w:id="1069692918">
      <w:bodyDiv w:val="1"/>
      <w:marLeft w:val="0"/>
      <w:marRight w:val="0"/>
      <w:marTop w:val="0"/>
      <w:marBottom w:val="0"/>
      <w:divBdr>
        <w:top w:val="none" w:sz="0" w:space="0" w:color="auto"/>
        <w:left w:val="none" w:sz="0" w:space="0" w:color="auto"/>
        <w:bottom w:val="none" w:sz="0" w:space="0" w:color="auto"/>
        <w:right w:val="none" w:sz="0" w:space="0" w:color="auto"/>
      </w:divBdr>
    </w:div>
    <w:div w:id="1073813044">
      <w:bodyDiv w:val="1"/>
      <w:marLeft w:val="0"/>
      <w:marRight w:val="0"/>
      <w:marTop w:val="0"/>
      <w:marBottom w:val="0"/>
      <w:divBdr>
        <w:top w:val="none" w:sz="0" w:space="0" w:color="auto"/>
        <w:left w:val="none" w:sz="0" w:space="0" w:color="auto"/>
        <w:bottom w:val="none" w:sz="0" w:space="0" w:color="auto"/>
        <w:right w:val="none" w:sz="0" w:space="0" w:color="auto"/>
      </w:divBdr>
    </w:div>
    <w:div w:id="1075277013">
      <w:bodyDiv w:val="1"/>
      <w:marLeft w:val="0"/>
      <w:marRight w:val="0"/>
      <w:marTop w:val="0"/>
      <w:marBottom w:val="0"/>
      <w:divBdr>
        <w:top w:val="none" w:sz="0" w:space="0" w:color="auto"/>
        <w:left w:val="none" w:sz="0" w:space="0" w:color="auto"/>
        <w:bottom w:val="none" w:sz="0" w:space="0" w:color="auto"/>
        <w:right w:val="none" w:sz="0" w:space="0" w:color="auto"/>
      </w:divBdr>
    </w:div>
    <w:div w:id="1084884514">
      <w:bodyDiv w:val="1"/>
      <w:marLeft w:val="0"/>
      <w:marRight w:val="0"/>
      <w:marTop w:val="0"/>
      <w:marBottom w:val="0"/>
      <w:divBdr>
        <w:top w:val="none" w:sz="0" w:space="0" w:color="auto"/>
        <w:left w:val="none" w:sz="0" w:space="0" w:color="auto"/>
        <w:bottom w:val="none" w:sz="0" w:space="0" w:color="auto"/>
        <w:right w:val="none" w:sz="0" w:space="0" w:color="auto"/>
      </w:divBdr>
    </w:div>
    <w:div w:id="1092314535">
      <w:bodyDiv w:val="1"/>
      <w:marLeft w:val="0"/>
      <w:marRight w:val="0"/>
      <w:marTop w:val="0"/>
      <w:marBottom w:val="0"/>
      <w:divBdr>
        <w:top w:val="none" w:sz="0" w:space="0" w:color="auto"/>
        <w:left w:val="none" w:sz="0" w:space="0" w:color="auto"/>
        <w:bottom w:val="none" w:sz="0" w:space="0" w:color="auto"/>
        <w:right w:val="none" w:sz="0" w:space="0" w:color="auto"/>
      </w:divBdr>
    </w:div>
    <w:div w:id="1094012726">
      <w:bodyDiv w:val="1"/>
      <w:marLeft w:val="0"/>
      <w:marRight w:val="0"/>
      <w:marTop w:val="0"/>
      <w:marBottom w:val="0"/>
      <w:divBdr>
        <w:top w:val="none" w:sz="0" w:space="0" w:color="auto"/>
        <w:left w:val="none" w:sz="0" w:space="0" w:color="auto"/>
        <w:bottom w:val="none" w:sz="0" w:space="0" w:color="auto"/>
        <w:right w:val="none" w:sz="0" w:space="0" w:color="auto"/>
      </w:divBdr>
    </w:div>
    <w:div w:id="1098871204">
      <w:bodyDiv w:val="1"/>
      <w:marLeft w:val="0"/>
      <w:marRight w:val="0"/>
      <w:marTop w:val="0"/>
      <w:marBottom w:val="0"/>
      <w:divBdr>
        <w:top w:val="none" w:sz="0" w:space="0" w:color="auto"/>
        <w:left w:val="none" w:sz="0" w:space="0" w:color="auto"/>
        <w:bottom w:val="none" w:sz="0" w:space="0" w:color="auto"/>
        <w:right w:val="none" w:sz="0" w:space="0" w:color="auto"/>
      </w:divBdr>
    </w:div>
    <w:div w:id="1102994746">
      <w:bodyDiv w:val="1"/>
      <w:marLeft w:val="0"/>
      <w:marRight w:val="0"/>
      <w:marTop w:val="0"/>
      <w:marBottom w:val="0"/>
      <w:divBdr>
        <w:top w:val="none" w:sz="0" w:space="0" w:color="auto"/>
        <w:left w:val="none" w:sz="0" w:space="0" w:color="auto"/>
        <w:bottom w:val="none" w:sz="0" w:space="0" w:color="auto"/>
        <w:right w:val="none" w:sz="0" w:space="0" w:color="auto"/>
      </w:divBdr>
    </w:div>
    <w:div w:id="1103375418">
      <w:bodyDiv w:val="1"/>
      <w:marLeft w:val="0"/>
      <w:marRight w:val="0"/>
      <w:marTop w:val="0"/>
      <w:marBottom w:val="0"/>
      <w:divBdr>
        <w:top w:val="none" w:sz="0" w:space="0" w:color="auto"/>
        <w:left w:val="none" w:sz="0" w:space="0" w:color="auto"/>
        <w:bottom w:val="none" w:sz="0" w:space="0" w:color="auto"/>
        <w:right w:val="none" w:sz="0" w:space="0" w:color="auto"/>
      </w:divBdr>
    </w:div>
    <w:div w:id="1107042614">
      <w:bodyDiv w:val="1"/>
      <w:marLeft w:val="0"/>
      <w:marRight w:val="0"/>
      <w:marTop w:val="0"/>
      <w:marBottom w:val="0"/>
      <w:divBdr>
        <w:top w:val="none" w:sz="0" w:space="0" w:color="auto"/>
        <w:left w:val="none" w:sz="0" w:space="0" w:color="auto"/>
        <w:bottom w:val="none" w:sz="0" w:space="0" w:color="auto"/>
        <w:right w:val="none" w:sz="0" w:space="0" w:color="auto"/>
      </w:divBdr>
    </w:div>
    <w:div w:id="1107769881">
      <w:bodyDiv w:val="1"/>
      <w:marLeft w:val="0"/>
      <w:marRight w:val="0"/>
      <w:marTop w:val="0"/>
      <w:marBottom w:val="0"/>
      <w:divBdr>
        <w:top w:val="none" w:sz="0" w:space="0" w:color="auto"/>
        <w:left w:val="none" w:sz="0" w:space="0" w:color="auto"/>
        <w:bottom w:val="none" w:sz="0" w:space="0" w:color="auto"/>
        <w:right w:val="none" w:sz="0" w:space="0" w:color="auto"/>
      </w:divBdr>
    </w:div>
    <w:div w:id="1109159358">
      <w:bodyDiv w:val="1"/>
      <w:marLeft w:val="0"/>
      <w:marRight w:val="0"/>
      <w:marTop w:val="0"/>
      <w:marBottom w:val="0"/>
      <w:divBdr>
        <w:top w:val="none" w:sz="0" w:space="0" w:color="auto"/>
        <w:left w:val="none" w:sz="0" w:space="0" w:color="auto"/>
        <w:bottom w:val="none" w:sz="0" w:space="0" w:color="auto"/>
        <w:right w:val="none" w:sz="0" w:space="0" w:color="auto"/>
      </w:divBdr>
    </w:div>
    <w:div w:id="1113749745">
      <w:bodyDiv w:val="1"/>
      <w:marLeft w:val="0"/>
      <w:marRight w:val="0"/>
      <w:marTop w:val="0"/>
      <w:marBottom w:val="0"/>
      <w:divBdr>
        <w:top w:val="none" w:sz="0" w:space="0" w:color="auto"/>
        <w:left w:val="none" w:sz="0" w:space="0" w:color="auto"/>
        <w:bottom w:val="none" w:sz="0" w:space="0" w:color="auto"/>
        <w:right w:val="none" w:sz="0" w:space="0" w:color="auto"/>
      </w:divBdr>
    </w:div>
    <w:div w:id="1116022090">
      <w:bodyDiv w:val="1"/>
      <w:marLeft w:val="0"/>
      <w:marRight w:val="0"/>
      <w:marTop w:val="0"/>
      <w:marBottom w:val="0"/>
      <w:divBdr>
        <w:top w:val="none" w:sz="0" w:space="0" w:color="auto"/>
        <w:left w:val="none" w:sz="0" w:space="0" w:color="auto"/>
        <w:bottom w:val="none" w:sz="0" w:space="0" w:color="auto"/>
        <w:right w:val="none" w:sz="0" w:space="0" w:color="auto"/>
      </w:divBdr>
    </w:div>
    <w:div w:id="1124151580">
      <w:bodyDiv w:val="1"/>
      <w:marLeft w:val="0"/>
      <w:marRight w:val="0"/>
      <w:marTop w:val="0"/>
      <w:marBottom w:val="0"/>
      <w:divBdr>
        <w:top w:val="none" w:sz="0" w:space="0" w:color="auto"/>
        <w:left w:val="none" w:sz="0" w:space="0" w:color="auto"/>
        <w:bottom w:val="none" w:sz="0" w:space="0" w:color="auto"/>
        <w:right w:val="none" w:sz="0" w:space="0" w:color="auto"/>
      </w:divBdr>
    </w:div>
    <w:div w:id="1125077507">
      <w:bodyDiv w:val="1"/>
      <w:marLeft w:val="0"/>
      <w:marRight w:val="0"/>
      <w:marTop w:val="0"/>
      <w:marBottom w:val="0"/>
      <w:divBdr>
        <w:top w:val="none" w:sz="0" w:space="0" w:color="auto"/>
        <w:left w:val="none" w:sz="0" w:space="0" w:color="auto"/>
        <w:bottom w:val="none" w:sz="0" w:space="0" w:color="auto"/>
        <w:right w:val="none" w:sz="0" w:space="0" w:color="auto"/>
      </w:divBdr>
    </w:div>
    <w:div w:id="1127508715">
      <w:bodyDiv w:val="1"/>
      <w:marLeft w:val="0"/>
      <w:marRight w:val="0"/>
      <w:marTop w:val="0"/>
      <w:marBottom w:val="0"/>
      <w:divBdr>
        <w:top w:val="none" w:sz="0" w:space="0" w:color="auto"/>
        <w:left w:val="none" w:sz="0" w:space="0" w:color="auto"/>
        <w:bottom w:val="none" w:sz="0" w:space="0" w:color="auto"/>
        <w:right w:val="none" w:sz="0" w:space="0" w:color="auto"/>
      </w:divBdr>
    </w:div>
    <w:div w:id="1128745311">
      <w:bodyDiv w:val="1"/>
      <w:marLeft w:val="0"/>
      <w:marRight w:val="0"/>
      <w:marTop w:val="0"/>
      <w:marBottom w:val="0"/>
      <w:divBdr>
        <w:top w:val="none" w:sz="0" w:space="0" w:color="auto"/>
        <w:left w:val="none" w:sz="0" w:space="0" w:color="auto"/>
        <w:bottom w:val="none" w:sz="0" w:space="0" w:color="auto"/>
        <w:right w:val="none" w:sz="0" w:space="0" w:color="auto"/>
      </w:divBdr>
    </w:div>
    <w:div w:id="1132098174">
      <w:bodyDiv w:val="1"/>
      <w:marLeft w:val="0"/>
      <w:marRight w:val="0"/>
      <w:marTop w:val="0"/>
      <w:marBottom w:val="0"/>
      <w:divBdr>
        <w:top w:val="none" w:sz="0" w:space="0" w:color="auto"/>
        <w:left w:val="none" w:sz="0" w:space="0" w:color="auto"/>
        <w:bottom w:val="none" w:sz="0" w:space="0" w:color="auto"/>
        <w:right w:val="none" w:sz="0" w:space="0" w:color="auto"/>
      </w:divBdr>
    </w:div>
    <w:div w:id="1132360155">
      <w:bodyDiv w:val="1"/>
      <w:marLeft w:val="0"/>
      <w:marRight w:val="0"/>
      <w:marTop w:val="0"/>
      <w:marBottom w:val="0"/>
      <w:divBdr>
        <w:top w:val="none" w:sz="0" w:space="0" w:color="auto"/>
        <w:left w:val="none" w:sz="0" w:space="0" w:color="auto"/>
        <w:bottom w:val="none" w:sz="0" w:space="0" w:color="auto"/>
        <w:right w:val="none" w:sz="0" w:space="0" w:color="auto"/>
      </w:divBdr>
    </w:div>
    <w:div w:id="1135483364">
      <w:bodyDiv w:val="1"/>
      <w:marLeft w:val="0"/>
      <w:marRight w:val="0"/>
      <w:marTop w:val="0"/>
      <w:marBottom w:val="0"/>
      <w:divBdr>
        <w:top w:val="none" w:sz="0" w:space="0" w:color="auto"/>
        <w:left w:val="none" w:sz="0" w:space="0" w:color="auto"/>
        <w:bottom w:val="none" w:sz="0" w:space="0" w:color="auto"/>
        <w:right w:val="none" w:sz="0" w:space="0" w:color="auto"/>
      </w:divBdr>
    </w:div>
    <w:div w:id="1135686367">
      <w:bodyDiv w:val="1"/>
      <w:marLeft w:val="0"/>
      <w:marRight w:val="0"/>
      <w:marTop w:val="0"/>
      <w:marBottom w:val="0"/>
      <w:divBdr>
        <w:top w:val="none" w:sz="0" w:space="0" w:color="auto"/>
        <w:left w:val="none" w:sz="0" w:space="0" w:color="auto"/>
        <w:bottom w:val="none" w:sz="0" w:space="0" w:color="auto"/>
        <w:right w:val="none" w:sz="0" w:space="0" w:color="auto"/>
      </w:divBdr>
    </w:div>
    <w:div w:id="1140029274">
      <w:bodyDiv w:val="1"/>
      <w:marLeft w:val="0"/>
      <w:marRight w:val="0"/>
      <w:marTop w:val="0"/>
      <w:marBottom w:val="0"/>
      <w:divBdr>
        <w:top w:val="none" w:sz="0" w:space="0" w:color="auto"/>
        <w:left w:val="none" w:sz="0" w:space="0" w:color="auto"/>
        <w:bottom w:val="none" w:sz="0" w:space="0" w:color="auto"/>
        <w:right w:val="none" w:sz="0" w:space="0" w:color="auto"/>
      </w:divBdr>
    </w:div>
    <w:div w:id="1140489541">
      <w:bodyDiv w:val="1"/>
      <w:marLeft w:val="0"/>
      <w:marRight w:val="0"/>
      <w:marTop w:val="0"/>
      <w:marBottom w:val="0"/>
      <w:divBdr>
        <w:top w:val="none" w:sz="0" w:space="0" w:color="auto"/>
        <w:left w:val="none" w:sz="0" w:space="0" w:color="auto"/>
        <w:bottom w:val="none" w:sz="0" w:space="0" w:color="auto"/>
        <w:right w:val="none" w:sz="0" w:space="0" w:color="auto"/>
      </w:divBdr>
    </w:div>
    <w:div w:id="1140609489">
      <w:bodyDiv w:val="1"/>
      <w:marLeft w:val="0"/>
      <w:marRight w:val="0"/>
      <w:marTop w:val="0"/>
      <w:marBottom w:val="0"/>
      <w:divBdr>
        <w:top w:val="none" w:sz="0" w:space="0" w:color="auto"/>
        <w:left w:val="none" w:sz="0" w:space="0" w:color="auto"/>
        <w:bottom w:val="none" w:sz="0" w:space="0" w:color="auto"/>
        <w:right w:val="none" w:sz="0" w:space="0" w:color="auto"/>
      </w:divBdr>
    </w:div>
    <w:div w:id="1142962628">
      <w:bodyDiv w:val="1"/>
      <w:marLeft w:val="0"/>
      <w:marRight w:val="0"/>
      <w:marTop w:val="0"/>
      <w:marBottom w:val="0"/>
      <w:divBdr>
        <w:top w:val="none" w:sz="0" w:space="0" w:color="auto"/>
        <w:left w:val="none" w:sz="0" w:space="0" w:color="auto"/>
        <w:bottom w:val="none" w:sz="0" w:space="0" w:color="auto"/>
        <w:right w:val="none" w:sz="0" w:space="0" w:color="auto"/>
      </w:divBdr>
    </w:div>
    <w:div w:id="1151866813">
      <w:bodyDiv w:val="1"/>
      <w:marLeft w:val="0"/>
      <w:marRight w:val="0"/>
      <w:marTop w:val="0"/>
      <w:marBottom w:val="0"/>
      <w:divBdr>
        <w:top w:val="none" w:sz="0" w:space="0" w:color="auto"/>
        <w:left w:val="none" w:sz="0" w:space="0" w:color="auto"/>
        <w:bottom w:val="none" w:sz="0" w:space="0" w:color="auto"/>
        <w:right w:val="none" w:sz="0" w:space="0" w:color="auto"/>
      </w:divBdr>
    </w:div>
    <w:div w:id="1152719554">
      <w:bodyDiv w:val="1"/>
      <w:marLeft w:val="0"/>
      <w:marRight w:val="0"/>
      <w:marTop w:val="0"/>
      <w:marBottom w:val="0"/>
      <w:divBdr>
        <w:top w:val="none" w:sz="0" w:space="0" w:color="auto"/>
        <w:left w:val="none" w:sz="0" w:space="0" w:color="auto"/>
        <w:bottom w:val="none" w:sz="0" w:space="0" w:color="auto"/>
        <w:right w:val="none" w:sz="0" w:space="0" w:color="auto"/>
      </w:divBdr>
    </w:div>
    <w:div w:id="1153254270">
      <w:bodyDiv w:val="1"/>
      <w:marLeft w:val="0"/>
      <w:marRight w:val="0"/>
      <w:marTop w:val="0"/>
      <w:marBottom w:val="0"/>
      <w:divBdr>
        <w:top w:val="none" w:sz="0" w:space="0" w:color="auto"/>
        <w:left w:val="none" w:sz="0" w:space="0" w:color="auto"/>
        <w:bottom w:val="none" w:sz="0" w:space="0" w:color="auto"/>
        <w:right w:val="none" w:sz="0" w:space="0" w:color="auto"/>
      </w:divBdr>
    </w:div>
    <w:div w:id="1154495022">
      <w:bodyDiv w:val="1"/>
      <w:marLeft w:val="0"/>
      <w:marRight w:val="0"/>
      <w:marTop w:val="0"/>
      <w:marBottom w:val="0"/>
      <w:divBdr>
        <w:top w:val="none" w:sz="0" w:space="0" w:color="auto"/>
        <w:left w:val="none" w:sz="0" w:space="0" w:color="auto"/>
        <w:bottom w:val="none" w:sz="0" w:space="0" w:color="auto"/>
        <w:right w:val="none" w:sz="0" w:space="0" w:color="auto"/>
      </w:divBdr>
    </w:div>
    <w:div w:id="1156605942">
      <w:bodyDiv w:val="1"/>
      <w:marLeft w:val="0"/>
      <w:marRight w:val="0"/>
      <w:marTop w:val="0"/>
      <w:marBottom w:val="0"/>
      <w:divBdr>
        <w:top w:val="none" w:sz="0" w:space="0" w:color="auto"/>
        <w:left w:val="none" w:sz="0" w:space="0" w:color="auto"/>
        <w:bottom w:val="none" w:sz="0" w:space="0" w:color="auto"/>
        <w:right w:val="none" w:sz="0" w:space="0" w:color="auto"/>
      </w:divBdr>
    </w:div>
    <w:div w:id="1157182654">
      <w:bodyDiv w:val="1"/>
      <w:marLeft w:val="0"/>
      <w:marRight w:val="0"/>
      <w:marTop w:val="0"/>
      <w:marBottom w:val="0"/>
      <w:divBdr>
        <w:top w:val="none" w:sz="0" w:space="0" w:color="auto"/>
        <w:left w:val="none" w:sz="0" w:space="0" w:color="auto"/>
        <w:bottom w:val="none" w:sz="0" w:space="0" w:color="auto"/>
        <w:right w:val="none" w:sz="0" w:space="0" w:color="auto"/>
      </w:divBdr>
    </w:div>
    <w:div w:id="1158426806">
      <w:bodyDiv w:val="1"/>
      <w:marLeft w:val="0"/>
      <w:marRight w:val="0"/>
      <w:marTop w:val="0"/>
      <w:marBottom w:val="0"/>
      <w:divBdr>
        <w:top w:val="none" w:sz="0" w:space="0" w:color="auto"/>
        <w:left w:val="none" w:sz="0" w:space="0" w:color="auto"/>
        <w:bottom w:val="none" w:sz="0" w:space="0" w:color="auto"/>
        <w:right w:val="none" w:sz="0" w:space="0" w:color="auto"/>
      </w:divBdr>
    </w:div>
    <w:div w:id="1158884662">
      <w:bodyDiv w:val="1"/>
      <w:marLeft w:val="0"/>
      <w:marRight w:val="0"/>
      <w:marTop w:val="0"/>
      <w:marBottom w:val="0"/>
      <w:divBdr>
        <w:top w:val="none" w:sz="0" w:space="0" w:color="auto"/>
        <w:left w:val="none" w:sz="0" w:space="0" w:color="auto"/>
        <w:bottom w:val="none" w:sz="0" w:space="0" w:color="auto"/>
        <w:right w:val="none" w:sz="0" w:space="0" w:color="auto"/>
      </w:divBdr>
    </w:div>
    <w:div w:id="1160661648">
      <w:bodyDiv w:val="1"/>
      <w:marLeft w:val="0"/>
      <w:marRight w:val="0"/>
      <w:marTop w:val="0"/>
      <w:marBottom w:val="0"/>
      <w:divBdr>
        <w:top w:val="none" w:sz="0" w:space="0" w:color="auto"/>
        <w:left w:val="none" w:sz="0" w:space="0" w:color="auto"/>
        <w:bottom w:val="none" w:sz="0" w:space="0" w:color="auto"/>
        <w:right w:val="none" w:sz="0" w:space="0" w:color="auto"/>
      </w:divBdr>
    </w:div>
    <w:div w:id="1162157781">
      <w:bodyDiv w:val="1"/>
      <w:marLeft w:val="0"/>
      <w:marRight w:val="0"/>
      <w:marTop w:val="0"/>
      <w:marBottom w:val="0"/>
      <w:divBdr>
        <w:top w:val="none" w:sz="0" w:space="0" w:color="auto"/>
        <w:left w:val="none" w:sz="0" w:space="0" w:color="auto"/>
        <w:bottom w:val="none" w:sz="0" w:space="0" w:color="auto"/>
        <w:right w:val="none" w:sz="0" w:space="0" w:color="auto"/>
      </w:divBdr>
    </w:div>
    <w:div w:id="1165584985">
      <w:bodyDiv w:val="1"/>
      <w:marLeft w:val="0"/>
      <w:marRight w:val="0"/>
      <w:marTop w:val="0"/>
      <w:marBottom w:val="0"/>
      <w:divBdr>
        <w:top w:val="none" w:sz="0" w:space="0" w:color="auto"/>
        <w:left w:val="none" w:sz="0" w:space="0" w:color="auto"/>
        <w:bottom w:val="none" w:sz="0" w:space="0" w:color="auto"/>
        <w:right w:val="none" w:sz="0" w:space="0" w:color="auto"/>
      </w:divBdr>
    </w:div>
    <w:div w:id="1167552249">
      <w:bodyDiv w:val="1"/>
      <w:marLeft w:val="0"/>
      <w:marRight w:val="0"/>
      <w:marTop w:val="0"/>
      <w:marBottom w:val="0"/>
      <w:divBdr>
        <w:top w:val="none" w:sz="0" w:space="0" w:color="auto"/>
        <w:left w:val="none" w:sz="0" w:space="0" w:color="auto"/>
        <w:bottom w:val="none" w:sz="0" w:space="0" w:color="auto"/>
        <w:right w:val="none" w:sz="0" w:space="0" w:color="auto"/>
      </w:divBdr>
    </w:div>
    <w:div w:id="1171482507">
      <w:bodyDiv w:val="1"/>
      <w:marLeft w:val="0"/>
      <w:marRight w:val="0"/>
      <w:marTop w:val="0"/>
      <w:marBottom w:val="0"/>
      <w:divBdr>
        <w:top w:val="none" w:sz="0" w:space="0" w:color="auto"/>
        <w:left w:val="none" w:sz="0" w:space="0" w:color="auto"/>
        <w:bottom w:val="none" w:sz="0" w:space="0" w:color="auto"/>
        <w:right w:val="none" w:sz="0" w:space="0" w:color="auto"/>
      </w:divBdr>
    </w:div>
    <w:div w:id="1172528882">
      <w:bodyDiv w:val="1"/>
      <w:marLeft w:val="0"/>
      <w:marRight w:val="0"/>
      <w:marTop w:val="0"/>
      <w:marBottom w:val="0"/>
      <w:divBdr>
        <w:top w:val="none" w:sz="0" w:space="0" w:color="auto"/>
        <w:left w:val="none" w:sz="0" w:space="0" w:color="auto"/>
        <w:bottom w:val="none" w:sz="0" w:space="0" w:color="auto"/>
        <w:right w:val="none" w:sz="0" w:space="0" w:color="auto"/>
      </w:divBdr>
    </w:div>
    <w:div w:id="1176966650">
      <w:bodyDiv w:val="1"/>
      <w:marLeft w:val="0"/>
      <w:marRight w:val="0"/>
      <w:marTop w:val="0"/>
      <w:marBottom w:val="0"/>
      <w:divBdr>
        <w:top w:val="none" w:sz="0" w:space="0" w:color="auto"/>
        <w:left w:val="none" w:sz="0" w:space="0" w:color="auto"/>
        <w:bottom w:val="none" w:sz="0" w:space="0" w:color="auto"/>
        <w:right w:val="none" w:sz="0" w:space="0" w:color="auto"/>
      </w:divBdr>
    </w:div>
    <w:div w:id="1178739811">
      <w:bodyDiv w:val="1"/>
      <w:marLeft w:val="0"/>
      <w:marRight w:val="0"/>
      <w:marTop w:val="0"/>
      <w:marBottom w:val="0"/>
      <w:divBdr>
        <w:top w:val="none" w:sz="0" w:space="0" w:color="auto"/>
        <w:left w:val="none" w:sz="0" w:space="0" w:color="auto"/>
        <w:bottom w:val="none" w:sz="0" w:space="0" w:color="auto"/>
        <w:right w:val="none" w:sz="0" w:space="0" w:color="auto"/>
      </w:divBdr>
    </w:div>
    <w:div w:id="1179932989">
      <w:bodyDiv w:val="1"/>
      <w:marLeft w:val="0"/>
      <w:marRight w:val="0"/>
      <w:marTop w:val="0"/>
      <w:marBottom w:val="0"/>
      <w:divBdr>
        <w:top w:val="none" w:sz="0" w:space="0" w:color="auto"/>
        <w:left w:val="none" w:sz="0" w:space="0" w:color="auto"/>
        <w:bottom w:val="none" w:sz="0" w:space="0" w:color="auto"/>
        <w:right w:val="none" w:sz="0" w:space="0" w:color="auto"/>
      </w:divBdr>
    </w:div>
    <w:div w:id="1182860037">
      <w:bodyDiv w:val="1"/>
      <w:marLeft w:val="0"/>
      <w:marRight w:val="0"/>
      <w:marTop w:val="0"/>
      <w:marBottom w:val="0"/>
      <w:divBdr>
        <w:top w:val="none" w:sz="0" w:space="0" w:color="auto"/>
        <w:left w:val="none" w:sz="0" w:space="0" w:color="auto"/>
        <w:bottom w:val="none" w:sz="0" w:space="0" w:color="auto"/>
        <w:right w:val="none" w:sz="0" w:space="0" w:color="auto"/>
      </w:divBdr>
    </w:div>
    <w:div w:id="1189370266">
      <w:bodyDiv w:val="1"/>
      <w:marLeft w:val="0"/>
      <w:marRight w:val="0"/>
      <w:marTop w:val="0"/>
      <w:marBottom w:val="0"/>
      <w:divBdr>
        <w:top w:val="none" w:sz="0" w:space="0" w:color="auto"/>
        <w:left w:val="none" w:sz="0" w:space="0" w:color="auto"/>
        <w:bottom w:val="none" w:sz="0" w:space="0" w:color="auto"/>
        <w:right w:val="none" w:sz="0" w:space="0" w:color="auto"/>
      </w:divBdr>
    </w:div>
    <w:div w:id="1189485388">
      <w:bodyDiv w:val="1"/>
      <w:marLeft w:val="0"/>
      <w:marRight w:val="0"/>
      <w:marTop w:val="0"/>
      <w:marBottom w:val="0"/>
      <w:divBdr>
        <w:top w:val="none" w:sz="0" w:space="0" w:color="auto"/>
        <w:left w:val="none" w:sz="0" w:space="0" w:color="auto"/>
        <w:bottom w:val="none" w:sz="0" w:space="0" w:color="auto"/>
        <w:right w:val="none" w:sz="0" w:space="0" w:color="auto"/>
      </w:divBdr>
    </w:div>
    <w:div w:id="1198350351">
      <w:bodyDiv w:val="1"/>
      <w:marLeft w:val="0"/>
      <w:marRight w:val="0"/>
      <w:marTop w:val="0"/>
      <w:marBottom w:val="0"/>
      <w:divBdr>
        <w:top w:val="none" w:sz="0" w:space="0" w:color="auto"/>
        <w:left w:val="none" w:sz="0" w:space="0" w:color="auto"/>
        <w:bottom w:val="none" w:sz="0" w:space="0" w:color="auto"/>
        <w:right w:val="none" w:sz="0" w:space="0" w:color="auto"/>
      </w:divBdr>
    </w:div>
    <w:div w:id="1205799375">
      <w:bodyDiv w:val="1"/>
      <w:marLeft w:val="0"/>
      <w:marRight w:val="0"/>
      <w:marTop w:val="0"/>
      <w:marBottom w:val="0"/>
      <w:divBdr>
        <w:top w:val="none" w:sz="0" w:space="0" w:color="auto"/>
        <w:left w:val="none" w:sz="0" w:space="0" w:color="auto"/>
        <w:bottom w:val="none" w:sz="0" w:space="0" w:color="auto"/>
        <w:right w:val="none" w:sz="0" w:space="0" w:color="auto"/>
      </w:divBdr>
    </w:div>
    <w:div w:id="1210996004">
      <w:bodyDiv w:val="1"/>
      <w:marLeft w:val="0"/>
      <w:marRight w:val="0"/>
      <w:marTop w:val="0"/>
      <w:marBottom w:val="0"/>
      <w:divBdr>
        <w:top w:val="none" w:sz="0" w:space="0" w:color="auto"/>
        <w:left w:val="none" w:sz="0" w:space="0" w:color="auto"/>
        <w:bottom w:val="none" w:sz="0" w:space="0" w:color="auto"/>
        <w:right w:val="none" w:sz="0" w:space="0" w:color="auto"/>
      </w:divBdr>
    </w:div>
    <w:div w:id="1212810201">
      <w:bodyDiv w:val="1"/>
      <w:marLeft w:val="0"/>
      <w:marRight w:val="0"/>
      <w:marTop w:val="0"/>
      <w:marBottom w:val="0"/>
      <w:divBdr>
        <w:top w:val="none" w:sz="0" w:space="0" w:color="auto"/>
        <w:left w:val="none" w:sz="0" w:space="0" w:color="auto"/>
        <w:bottom w:val="none" w:sz="0" w:space="0" w:color="auto"/>
        <w:right w:val="none" w:sz="0" w:space="0" w:color="auto"/>
      </w:divBdr>
    </w:div>
    <w:div w:id="1213079515">
      <w:bodyDiv w:val="1"/>
      <w:marLeft w:val="0"/>
      <w:marRight w:val="0"/>
      <w:marTop w:val="0"/>
      <w:marBottom w:val="0"/>
      <w:divBdr>
        <w:top w:val="none" w:sz="0" w:space="0" w:color="auto"/>
        <w:left w:val="none" w:sz="0" w:space="0" w:color="auto"/>
        <w:bottom w:val="none" w:sz="0" w:space="0" w:color="auto"/>
        <w:right w:val="none" w:sz="0" w:space="0" w:color="auto"/>
      </w:divBdr>
    </w:div>
    <w:div w:id="1213155766">
      <w:bodyDiv w:val="1"/>
      <w:marLeft w:val="0"/>
      <w:marRight w:val="0"/>
      <w:marTop w:val="0"/>
      <w:marBottom w:val="0"/>
      <w:divBdr>
        <w:top w:val="none" w:sz="0" w:space="0" w:color="auto"/>
        <w:left w:val="none" w:sz="0" w:space="0" w:color="auto"/>
        <w:bottom w:val="none" w:sz="0" w:space="0" w:color="auto"/>
        <w:right w:val="none" w:sz="0" w:space="0" w:color="auto"/>
      </w:divBdr>
    </w:div>
    <w:div w:id="1216545585">
      <w:bodyDiv w:val="1"/>
      <w:marLeft w:val="0"/>
      <w:marRight w:val="0"/>
      <w:marTop w:val="0"/>
      <w:marBottom w:val="0"/>
      <w:divBdr>
        <w:top w:val="none" w:sz="0" w:space="0" w:color="auto"/>
        <w:left w:val="none" w:sz="0" w:space="0" w:color="auto"/>
        <w:bottom w:val="none" w:sz="0" w:space="0" w:color="auto"/>
        <w:right w:val="none" w:sz="0" w:space="0" w:color="auto"/>
      </w:divBdr>
    </w:div>
    <w:div w:id="1217201761">
      <w:bodyDiv w:val="1"/>
      <w:marLeft w:val="0"/>
      <w:marRight w:val="0"/>
      <w:marTop w:val="0"/>
      <w:marBottom w:val="0"/>
      <w:divBdr>
        <w:top w:val="none" w:sz="0" w:space="0" w:color="auto"/>
        <w:left w:val="none" w:sz="0" w:space="0" w:color="auto"/>
        <w:bottom w:val="none" w:sz="0" w:space="0" w:color="auto"/>
        <w:right w:val="none" w:sz="0" w:space="0" w:color="auto"/>
      </w:divBdr>
    </w:div>
    <w:div w:id="1221985522">
      <w:bodyDiv w:val="1"/>
      <w:marLeft w:val="0"/>
      <w:marRight w:val="0"/>
      <w:marTop w:val="0"/>
      <w:marBottom w:val="0"/>
      <w:divBdr>
        <w:top w:val="none" w:sz="0" w:space="0" w:color="auto"/>
        <w:left w:val="none" w:sz="0" w:space="0" w:color="auto"/>
        <w:bottom w:val="none" w:sz="0" w:space="0" w:color="auto"/>
        <w:right w:val="none" w:sz="0" w:space="0" w:color="auto"/>
      </w:divBdr>
    </w:div>
    <w:div w:id="1222787893">
      <w:bodyDiv w:val="1"/>
      <w:marLeft w:val="0"/>
      <w:marRight w:val="0"/>
      <w:marTop w:val="0"/>
      <w:marBottom w:val="0"/>
      <w:divBdr>
        <w:top w:val="none" w:sz="0" w:space="0" w:color="auto"/>
        <w:left w:val="none" w:sz="0" w:space="0" w:color="auto"/>
        <w:bottom w:val="none" w:sz="0" w:space="0" w:color="auto"/>
        <w:right w:val="none" w:sz="0" w:space="0" w:color="auto"/>
      </w:divBdr>
    </w:div>
    <w:div w:id="1225289241">
      <w:bodyDiv w:val="1"/>
      <w:marLeft w:val="0"/>
      <w:marRight w:val="0"/>
      <w:marTop w:val="0"/>
      <w:marBottom w:val="0"/>
      <w:divBdr>
        <w:top w:val="none" w:sz="0" w:space="0" w:color="auto"/>
        <w:left w:val="none" w:sz="0" w:space="0" w:color="auto"/>
        <w:bottom w:val="none" w:sz="0" w:space="0" w:color="auto"/>
        <w:right w:val="none" w:sz="0" w:space="0" w:color="auto"/>
      </w:divBdr>
    </w:div>
    <w:div w:id="1226842632">
      <w:bodyDiv w:val="1"/>
      <w:marLeft w:val="0"/>
      <w:marRight w:val="0"/>
      <w:marTop w:val="0"/>
      <w:marBottom w:val="0"/>
      <w:divBdr>
        <w:top w:val="none" w:sz="0" w:space="0" w:color="auto"/>
        <w:left w:val="none" w:sz="0" w:space="0" w:color="auto"/>
        <w:bottom w:val="none" w:sz="0" w:space="0" w:color="auto"/>
        <w:right w:val="none" w:sz="0" w:space="0" w:color="auto"/>
      </w:divBdr>
    </w:div>
    <w:div w:id="1227035138">
      <w:bodyDiv w:val="1"/>
      <w:marLeft w:val="0"/>
      <w:marRight w:val="0"/>
      <w:marTop w:val="0"/>
      <w:marBottom w:val="0"/>
      <w:divBdr>
        <w:top w:val="none" w:sz="0" w:space="0" w:color="auto"/>
        <w:left w:val="none" w:sz="0" w:space="0" w:color="auto"/>
        <w:bottom w:val="none" w:sz="0" w:space="0" w:color="auto"/>
        <w:right w:val="none" w:sz="0" w:space="0" w:color="auto"/>
      </w:divBdr>
    </w:div>
    <w:div w:id="1229806657">
      <w:bodyDiv w:val="1"/>
      <w:marLeft w:val="0"/>
      <w:marRight w:val="0"/>
      <w:marTop w:val="0"/>
      <w:marBottom w:val="0"/>
      <w:divBdr>
        <w:top w:val="none" w:sz="0" w:space="0" w:color="auto"/>
        <w:left w:val="none" w:sz="0" w:space="0" w:color="auto"/>
        <w:bottom w:val="none" w:sz="0" w:space="0" w:color="auto"/>
        <w:right w:val="none" w:sz="0" w:space="0" w:color="auto"/>
      </w:divBdr>
    </w:div>
    <w:div w:id="1234316396">
      <w:bodyDiv w:val="1"/>
      <w:marLeft w:val="0"/>
      <w:marRight w:val="0"/>
      <w:marTop w:val="0"/>
      <w:marBottom w:val="0"/>
      <w:divBdr>
        <w:top w:val="none" w:sz="0" w:space="0" w:color="auto"/>
        <w:left w:val="none" w:sz="0" w:space="0" w:color="auto"/>
        <w:bottom w:val="none" w:sz="0" w:space="0" w:color="auto"/>
        <w:right w:val="none" w:sz="0" w:space="0" w:color="auto"/>
      </w:divBdr>
    </w:div>
    <w:div w:id="1236670501">
      <w:bodyDiv w:val="1"/>
      <w:marLeft w:val="0"/>
      <w:marRight w:val="0"/>
      <w:marTop w:val="0"/>
      <w:marBottom w:val="0"/>
      <w:divBdr>
        <w:top w:val="none" w:sz="0" w:space="0" w:color="auto"/>
        <w:left w:val="none" w:sz="0" w:space="0" w:color="auto"/>
        <w:bottom w:val="none" w:sz="0" w:space="0" w:color="auto"/>
        <w:right w:val="none" w:sz="0" w:space="0" w:color="auto"/>
      </w:divBdr>
    </w:div>
    <w:div w:id="1238248600">
      <w:bodyDiv w:val="1"/>
      <w:marLeft w:val="0"/>
      <w:marRight w:val="0"/>
      <w:marTop w:val="0"/>
      <w:marBottom w:val="0"/>
      <w:divBdr>
        <w:top w:val="none" w:sz="0" w:space="0" w:color="auto"/>
        <w:left w:val="none" w:sz="0" w:space="0" w:color="auto"/>
        <w:bottom w:val="none" w:sz="0" w:space="0" w:color="auto"/>
        <w:right w:val="none" w:sz="0" w:space="0" w:color="auto"/>
      </w:divBdr>
    </w:div>
    <w:div w:id="1239898625">
      <w:bodyDiv w:val="1"/>
      <w:marLeft w:val="0"/>
      <w:marRight w:val="0"/>
      <w:marTop w:val="0"/>
      <w:marBottom w:val="0"/>
      <w:divBdr>
        <w:top w:val="none" w:sz="0" w:space="0" w:color="auto"/>
        <w:left w:val="none" w:sz="0" w:space="0" w:color="auto"/>
        <w:bottom w:val="none" w:sz="0" w:space="0" w:color="auto"/>
        <w:right w:val="none" w:sz="0" w:space="0" w:color="auto"/>
      </w:divBdr>
    </w:div>
    <w:div w:id="1241058883">
      <w:bodyDiv w:val="1"/>
      <w:marLeft w:val="0"/>
      <w:marRight w:val="0"/>
      <w:marTop w:val="0"/>
      <w:marBottom w:val="0"/>
      <w:divBdr>
        <w:top w:val="none" w:sz="0" w:space="0" w:color="auto"/>
        <w:left w:val="none" w:sz="0" w:space="0" w:color="auto"/>
        <w:bottom w:val="none" w:sz="0" w:space="0" w:color="auto"/>
        <w:right w:val="none" w:sz="0" w:space="0" w:color="auto"/>
      </w:divBdr>
    </w:div>
    <w:div w:id="1248612231">
      <w:bodyDiv w:val="1"/>
      <w:marLeft w:val="0"/>
      <w:marRight w:val="0"/>
      <w:marTop w:val="0"/>
      <w:marBottom w:val="0"/>
      <w:divBdr>
        <w:top w:val="none" w:sz="0" w:space="0" w:color="auto"/>
        <w:left w:val="none" w:sz="0" w:space="0" w:color="auto"/>
        <w:bottom w:val="none" w:sz="0" w:space="0" w:color="auto"/>
        <w:right w:val="none" w:sz="0" w:space="0" w:color="auto"/>
      </w:divBdr>
    </w:div>
    <w:div w:id="1251157607">
      <w:bodyDiv w:val="1"/>
      <w:marLeft w:val="0"/>
      <w:marRight w:val="0"/>
      <w:marTop w:val="0"/>
      <w:marBottom w:val="0"/>
      <w:divBdr>
        <w:top w:val="none" w:sz="0" w:space="0" w:color="auto"/>
        <w:left w:val="none" w:sz="0" w:space="0" w:color="auto"/>
        <w:bottom w:val="none" w:sz="0" w:space="0" w:color="auto"/>
        <w:right w:val="none" w:sz="0" w:space="0" w:color="auto"/>
      </w:divBdr>
    </w:div>
    <w:div w:id="1251620390">
      <w:bodyDiv w:val="1"/>
      <w:marLeft w:val="0"/>
      <w:marRight w:val="0"/>
      <w:marTop w:val="0"/>
      <w:marBottom w:val="0"/>
      <w:divBdr>
        <w:top w:val="none" w:sz="0" w:space="0" w:color="auto"/>
        <w:left w:val="none" w:sz="0" w:space="0" w:color="auto"/>
        <w:bottom w:val="none" w:sz="0" w:space="0" w:color="auto"/>
        <w:right w:val="none" w:sz="0" w:space="0" w:color="auto"/>
      </w:divBdr>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
    <w:div w:id="1254701721">
      <w:bodyDiv w:val="1"/>
      <w:marLeft w:val="0"/>
      <w:marRight w:val="0"/>
      <w:marTop w:val="0"/>
      <w:marBottom w:val="0"/>
      <w:divBdr>
        <w:top w:val="none" w:sz="0" w:space="0" w:color="auto"/>
        <w:left w:val="none" w:sz="0" w:space="0" w:color="auto"/>
        <w:bottom w:val="none" w:sz="0" w:space="0" w:color="auto"/>
        <w:right w:val="none" w:sz="0" w:space="0" w:color="auto"/>
      </w:divBdr>
    </w:div>
    <w:div w:id="1257061025">
      <w:bodyDiv w:val="1"/>
      <w:marLeft w:val="0"/>
      <w:marRight w:val="0"/>
      <w:marTop w:val="0"/>
      <w:marBottom w:val="0"/>
      <w:divBdr>
        <w:top w:val="none" w:sz="0" w:space="0" w:color="auto"/>
        <w:left w:val="none" w:sz="0" w:space="0" w:color="auto"/>
        <w:bottom w:val="none" w:sz="0" w:space="0" w:color="auto"/>
        <w:right w:val="none" w:sz="0" w:space="0" w:color="auto"/>
      </w:divBdr>
    </w:div>
    <w:div w:id="1261641579">
      <w:bodyDiv w:val="1"/>
      <w:marLeft w:val="0"/>
      <w:marRight w:val="0"/>
      <w:marTop w:val="0"/>
      <w:marBottom w:val="0"/>
      <w:divBdr>
        <w:top w:val="none" w:sz="0" w:space="0" w:color="auto"/>
        <w:left w:val="none" w:sz="0" w:space="0" w:color="auto"/>
        <w:bottom w:val="none" w:sz="0" w:space="0" w:color="auto"/>
        <w:right w:val="none" w:sz="0" w:space="0" w:color="auto"/>
      </w:divBdr>
    </w:div>
    <w:div w:id="1263226060">
      <w:bodyDiv w:val="1"/>
      <w:marLeft w:val="0"/>
      <w:marRight w:val="0"/>
      <w:marTop w:val="0"/>
      <w:marBottom w:val="0"/>
      <w:divBdr>
        <w:top w:val="none" w:sz="0" w:space="0" w:color="auto"/>
        <w:left w:val="none" w:sz="0" w:space="0" w:color="auto"/>
        <w:bottom w:val="none" w:sz="0" w:space="0" w:color="auto"/>
        <w:right w:val="none" w:sz="0" w:space="0" w:color="auto"/>
      </w:divBdr>
    </w:div>
    <w:div w:id="1263755910">
      <w:bodyDiv w:val="1"/>
      <w:marLeft w:val="0"/>
      <w:marRight w:val="0"/>
      <w:marTop w:val="0"/>
      <w:marBottom w:val="0"/>
      <w:divBdr>
        <w:top w:val="none" w:sz="0" w:space="0" w:color="auto"/>
        <w:left w:val="none" w:sz="0" w:space="0" w:color="auto"/>
        <w:bottom w:val="none" w:sz="0" w:space="0" w:color="auto"/>
        <w:right w:val="none" w:sz="0" w:space="0" w:color="auto"/>
      </w:divBdr>
    </w:div>
    <w:div w:id="1267620643">
      <w:bodyDiv w:val="1"/>
      <w:marLeft w:val="0"/>
      <w:marRight w:val="0"/>
      <w:marTop w:val="0"/>
      <w:marBottom w:val="0"/>
      <w:divBdr>
        <w:top w:val="none" w:sz="0" w:space="0" w:color="auto"/>
        <w:left w:val="none" w:sz="0" w:space="0" w:color="auto"/>
        <w:bottom w:val="none" w:sz="0" w:space="0" w:color="auto"/>
        <w:right w:val="none" w:sz="0" w:space="0" w:color="auto"/>
      </w:divBdr>
    </w:div>
    <w:div w:id="1269503690">
      <w:bodyDiv w:val="1"/>
      <w:marLeft w:val="0"/>
      <w:marRight w:val="0"/>
      <w:marTop w:val="0"/>
      <w:marBottom w:val="0"/>
      <w:divBdr>
        <w:top w:val="none" w:sz="0" w:space="0" w:color="auto"/>
        <w:left w:val="none" w:sz="0" w:space="0" w:color="auto"/>
        <w:bottom w:val="none" w:sz="0" w:space="0" w:color="auto"/>
        <w:right w:val="none" w:sz="0" w:space="0" w:color="auto"/>
      </w:divBdr>
    </w:div>
    <w:div w:id="1269508863">
      <w:bodyDiv w:val="1"/>
      <w:marLeft w:val="0"/>
      <w:marRight w:val="0"/>
      <w:marTop w:val="0"/>
      <w:marBottom w:val="0"/>
      <w:divBdr>
        <w:top w:val="none" w:sz="0" w:space="0" w:color="auto"/>
        <w:left w:val="none" w:sz="0" w:space="0" w:color="auto"/>
        <w:bottom w:val="none" w:sz="0" w:space="0" w:color="auto"/>
        <w:right w:val="none" w:sz="0" w:space="0" w:color="auto"/>
      </w:divBdr>
    </w:div>
    <w:div w:id="1272013238">
      <w:bodyDiv w:val="1"/>
      <w:marLeft w:val="0"/>
      <w:marRight w:val="0"/>
      <w:marTop w:val="0"/>
      <w:marBottom w:val="0"/>
      <w:divBdr>
        <w:top w:val="none" w:sz="0" w:space="0" w:color="auto"/>
        <w:left w:val="none" w:sz="0" w:space="0" w:color="auto"/>
        <w:bottom w:val="none" w:sz="0" w:space="0" w:color="auto"/>
        <w:right w:val="none" w:sz="0" w:space="0" w:color="auto"/>
      </w:divBdr>
    </w:div>
    <w:div w:id="1277056030">
      <w:bodyDiv w:val="1"/>
      <w:marLeft w:val="0"/>
      <w:marRight w:val="0"/>
      <w:marTop w:val="0"/>
      <w:marBottom w:val="0"/>
      <w:divBdr>
        <w:top w:val="none" w:sz="0" w:space="0" w:color="auto"/>
        <w:left w:val="none" w:sz="0" w:space="0" w:color="auto"/>
        <w:bottom w:val="none" w:sz="0" w:space="0" w:color="auto"/>
        <w:right w:val="none" w:sz="0" w:space="0" w:color="auto"/>
      </w:divBdr>
    </w:div>
    <w:div w:id="1277325094">
      <w:bodyDiv w:val="1"/>
      <w:marLeft w:val="0"/>
      <w:marRight w:val="0"/>
      <w:marTop w:val="0"/>
      <w:marBottom w:val="0"/>
      <w:divBdr>
        <w:top w:val="none" w:sz="0" w:space="0" w:color="auto"/>
        <w:left w:val="none" w:sz="0" w:space="0" w:color="auto"/>
        <w:bottom w:val="none" w:sz="0" w:space="0" w:color="auto"/>
        <w:right w:val="none" w:sz="0" w:space="0" w:color="auto"/>
      </w:divBdr>
    </w:div>
    <w:div w:id="1277788070">
      <w:bodyDiv w:val="1"/>
      <w:marLeft w:val="0"/>
      <w:marRight w:val="0"/>
      <w:marTop w:val="0"/>
      <w:marBottom w:val="0"/>
      <w:divBdr>
        <w:top w:val="none" w:sz="0" w:space="0" w:color="auto"/>
        <w:left w:val="none" w:sz="0" w:space="0" w:color="auto"/>
        <w:bottom w:val="none" w:sz="0" w:space="0" w:color="auto"/>
        <w:right w:val="none" w:sz="0" w:space="0" w:color="auto"/>
      </w:divBdr>
    </w:div>
    <w:div w:id="1278026454">
      <w:bodyDiv w:val="1"/>
      <w:marLeft w:val="0"/>
      <w:marRight w:val="0"/>
      <w:marTop w:val="0"/>
      <w:marBottom w:val="0"/>
      <w:divBdr>
        <w:top w:val="none" w:sz="0" w:space="0" w:color="auto"/>
        <w:left w:val="none" w:sz="0" w:space="0" w:color="auto"/>
        <w:bottom w:val="none" w:sz="0" w:space="0" w:color="auto"/>
        <w:right w:val="none" w:sz="0" w:space="0" w:color="auto"/>
      </w:divBdr>
    </w:div>
    <w:div w:id="1278218587">
      <w:bodyDiv w:val="1"/>
      <w:marLeft w:val="0"/>
      <w:marRight w:val="0"/>
      <w:marTop w:val="0"/>
      <w:marBottom w:val="0"/>
      <w:divBdr>
        <w:top w:val="none" w:sz="0" w:space="0" w:color="auto"/>
        <w:left w:val="none" w:sz="0" w:space="0" w:color="auto"/>
        <w:bottom w:val="none" w:sz="0" w:space="0" w:color="auto"/>
        <w:right w:val="none" w:sz="0" w:space="0" w:color="auto"/>
      </w:divBdr>
    </w:div>
    <w:div w:id="1282567855">
      <w:bodyDiv w:val="1"/>
      <w:marLeft w:val="0"/>
      <w:marRight w:val="0"/>
      <w:marTop w:val="0"/>
      <w:marBottom w:val="0"/>
      <w:divBdr>
        <w:top w:val="none" w:sz="0" w:space="0" w:color="auto"/>
        <w:left w:val="none" w:sz="0" w:space="0" w:color="auto"/>
        <w:bottom w:val="none" w:sz="0" w:space="0" w:color="auto"/>
        <w:right w:val="none" w:sz="0" w:space="0" w:color="auto"/>
      </w:divBdr>
    </w:div>
    <w:div w:id="1284724830">
      <w:bodyDiv w:val="1"/>
      <w:marLeft w:val="0"/>
      <w:marRight w:val="0"/>
      <w:marTop w:val="0"/>
      <w:marBottom w:val="0"/>
      <w:divBdr>
        <w:top w:val="none" w:sz="0" w:space="0" w:color="auto"/>
        <w:left w:val="none" w:sz="0" w:space="0" w:color="auto"/>
        <w:bottom w:val="none" w:sz="0" w:space="0" w:color="auto"/>
        <w:right w:val="none" w:sz="0" w:space="0" w:color="auto"/>
      </w:divBdr>
    </w:div>
    <w:div w:id="1286892360">
      <w:bodyDiv w:val="1"/>
      <w:marLeft w:val="0"/>
      <w:marRight w:val="0"/>
      <w:marTop w:val="0"/>
      <w:marBottom w:val="0"/>
      <w:divBdr>
        <w:top w:val="none" w:sz="0" w:space="0" w:color="auto"/>
        <w:left w:val="none" w:sz="0" w:space="0" w:color="auto"/>
        <w:bottom w:val="none" w:sz="0" w:space="0" w:color="auto"/>
        <w:right w:val="none" w:sz="0" w:space="0" w:color="auto"/>
      </w:divBdr>
    </w:div>
    <w:div w:id="1288511098">
      <w:bodyDiv w:val="1"/>
      <w:marLeft w:val="0"/>
      <w:marRight w:val="0"/>
      <w:marTop w:val="0"/>
      <w:marBottom w:val="0"/>
      <w:divBdr>
        <w:top w:val="none" w:sz="0" w:space="0" w:color="auto"/>
        <w:left w:val="none" w:sz="0" w:space="0" w:color="auto"/>
        <w:bottom w:val="none" w:sz="0" w:space="0" w:color="auto"/>
        <w:right w:val="none" w:sz="0" w:space="0" w:color="auto"/>
      </w:divBdr>
    </w:div>
    <w:div w:id="1297957073">
      <w:bodyDiv w:val="1"/>
      <w:marLeft w:val="0"/>
      <w:marRight w:val="0"/>
      <w:marTop w:val="0"/>
      <w:marBottom w:val="0"/>
      <w:divBdr>
        <w:top w:val="none" w:sz="0" w:space="0" w:color="auto"/>
        <w:left w:val="none" w:sz="0" w:space="0" w:color="auto"/>
        <w:bottom w:val="none" w:sz="0" w:space="0" w:color="auto"/>
        <w:right w:val="none" w:sz="0" w:space="0" w:color="auto"/>
      </w:divBdr>
    </w:div>
    <w:div w:id="1299644864">
      <w:bodyDiv w:val="1"/>
      <w:marLeft w:val="0"/>
      <w:marRight w:val="0"/>
      <w:marTop w:val="0"/>
      <w:marBottom w:val="0"/>
      <w:divBdr>
        <w:top w:val="none" w:sz="0" w:space="0" w:color="auto"/>
        <w:left w:val="none" w:sz="0" w:space="0" w:color="auto"/>
        <w:bottom w:val="none" w:sz="0" w:space="0" w:color="auto"/>
        <w:right w:val="none" w:sz="0" w:space="0" w:color="auto"/>
      </w:divBdr>
    </w:div>
    <w:div w:id="1310789633">
      <w:bodyDiv w:val="1"/>
      <w:marLeft w:val="0"/>
      <w:marRight w:val="0"/>
      <w:marTop w:val="0"/>
      <w:marBottom w:val="0"/>
      <w:divBdr>
        <w:top w:val="none" w:sz="0" w:space="0" w:color="auto"/>
        <w:left w:val="none" w:sz="0" w:space="0" w:color="auto"/>
        <w:bottom w:val="none" w:sz="0" w:space="0" w:color="auto"/>
        <w:right w:val="none" w:sz="0" w:space="0" w:color="auto"/>
      </w:divBdr>
    </w:div>
    <w:div w:id="1311255281">
      <w:bodyDiv w:val="1"/>
      <w:marLeft w:val="0"/>
      <w:marRight w:val="0"/>
      <w:marTop w:val="0"/>
      <w:marBottom w:val="0"/>
      <w:divBdr>
        <w:top w:val="none" w:sz="0" w:space="0" w:color="auto"/>
        <w:left w:val="none" w:sz="0" w:space="0" w:color="auto"/>
        <w:bottom w:val="none" w:sz="0" w:space="0" w:color="auto"/>
        <w:right w:val="none" w:sz="0" w:space="0" w:color="auto"/>
      </w:divBdr>
    </w:div>
    <w:div w:id="1319532454">
      <w:bodyDiv w:val="1"/>
      <w:marLeft w:val="0"/>
      <w:marRight w:val="0"/>
      <w:marTop w:val="0"/>
      <w:marBottom w:val="0"/>
      <w:divBdr>
        <w:top w:val="none" w:sz="0" w:space="0" w:color="auto"/>
        <w:left w:val="none" w:sz="0" w:space="0" w:color="auto"/>
        <w:bottom w:val="none" w:sz="0" w:space="0" w:color="auto"/>
        <w:right w:val="none" w:sz="0" w:space="0" w:color="auto"/>
      </w:divBdr>
    </w:div>
    <w:div w:id="1328511326">
      <w:bodyDiv w:val="1"/>
      <w:marLeft w:val="0"/>
      <w:marRight w:val="0"/>
      <w:marTop w:val="0"/>
      <w:marBottom w:val="0"/>
      <w:divBdr>
        <w:top w:val="none" w:sz="0" w:space="0" w:color="auto"/>
        <w:left w:val="none" w:sz="0" w:space="0" w:color="auto"/>
        <w:bottom w:val="none" w:sz="0" w:space="0" w:color="auto"/>
        <w:right w:val="none" w:sz="0" w:space="0" w:color="auto"/>
      </w:divBdr>
    </w:div>
    <w:div w:id="1334458216">
      <w:bodyDiv w:val="1"/>
      <w:marLeft w:val="0"/>
      <w:marRight w:val="0"/>
      <w:marTop w:val="0"/>
      <w:marBottom w:val="0"/>
      <w:divBdr>
        <w:top w:val="none" w:sz="0" w:space="0" w:color="auto"/>
        <w:left w:val="none" w:sz="0" w:space="0" w:color="auto"/>
        <w:bottom w:val="none" w:sz="0" w:space="0" w:color="auto"/>
        <w:right w:val="none" w:sz="0" w:space="0" w:color="auto"/>
      </w:divBdr>
    </w:div>
    <w:div w:id="1342472152">
      <w:bodyDiv w:val="1"/>
      <w:marLeft w:val="0"/>
      <w:marRight w:val="0"/>
      <w:marTop w:val="0"/>
      <w:marBottom w:val="0"/>
      <w:divBdr>
        <w:top w:val="none" w:sz="0" w:space="0" w:color="auto"/>
        <w:left w:val="none" w:sz="0" w:space="0" w:color="auto"/>
        <w:bottom w:val="none" w:sz="0" w:space="0" w:color="auto"/>
        <w:right w:val="none" w:sz="0" w:space="0" w:color="auto"/>
      </w:divBdr>
    </w:div>
    <w:div w:id="1347100657">
      <w:bodyDiv w:val="1"/>
      <w:marLeft w:val="0"/>
      <w:marRight w:val="0"/>
      <w:marTop w:val="0"/>
      <w:marBottom w:val="0"/>
      <w:divBdr>
        <w:top w:val="none" w:sz="0" w:space="0" w:color="auto"/>
        <w:left w:val="none" w:sz="0" w:space="0" w:color="auto"/>
        <w:bottom w:val="none" w:sz="0" w:space="0" w:color="auto"/>
        <w:right w:val="none" w:sz="0" w:space="0" w:color="auto"/>
      </w:divBdr>
    </w:div>
    <w:div w:id="1348096378">
      <w:bodyDiv w:val="1"/>
      <w:marLeft w:val="0"/>
      <w:marRight w:val="0"/>
      <w:marTop w:val="0"/>
      <w:marBottom w:val="0"/>
      <w:divBdr>
        <w:top w:val="none" w:sz="0" w:space="0" w:color="auto"/>
        <w:left w:val="none" w:sz="0" w:space="0" w:color="auto"/>
        <w:bottom w:val="none" w:sz="0" w:space="0" w:color="auto"/>
        <w:right w:val="none" w:sz="0" w:space="0" w:color="auto"/>
      </w:divBdr>
    </w:div>
    <w:div w:id="1349335803">
      <w:bodyDiv w:val="1"/>
      <w:marLeft w:val="0"/>
      <w:marRight w:val="0"/>
      <w:marTop w:val="0"/>
      <w:marBottom w:val="0"/>
      <w:divBdr>
        <w:top w:val="none" w:sz="0" w:space="0" w:color="auto"/>
        <w:left w:val="none" w:sz="0" w:space="0" w:color="auto"/>
        <w:bottom w:val="none" w:sz="0" w:space="0" w:color="auto"/>
        <w:right w:val="none" w:sz="0" w:space="0" w:color="auto"/>
      </w:divBdr>
    </w:div>
    <w:div w:id="1351757083">
      <w:bodyDiv w:val="1"/>
      <w:marLeft w:val="0"/>
      <w:marRight w:val="0"/>
      <w:marTop w:val="0"/>
      <w:marBottom w:val="0"/>
      <w:divBdr>
        <w:top w:val="none" w:sz="0" w:space="0" w:color="auto"/>
        <w:left w:val="none" w:sz="0" w:space="0" w:color="auto"/>
        <w:bottom w:val="none" w:sz="0" w:space="0" w:color="auto"/>
        <w:right w:val="none" w:sz="0" w:space="0" w:color="auto"/>
      </w:divBdr>
    </w:div>
    <w:div w:id="1360667604">
      <w:bodyDiv w:val="1"/>
      <w:marLeft w:val="0"/>
      <w:marRight w:val="0"/>
      <w:marTop w:val="0"/>
      <w:marBottom w:val="0"/>
      <w:divBdr>
        <w:top w:val="none" w:sz="0" w:space="0" w:color="auto"/>
        <w:left w:val="none" w:sz="0" w:space="0" w:color="auto"/>
        <w:bottom w:val="none" w:sz="0" w:space="0" w:color="auto"/>
        <w:right w:val="none" w:sz="0" w:space="0" w:color="auto"/>
      </w:divBdr>
    </w:div>
    <w:div w:id="1364398664">
      <w:bodyDiv w:val="1"/>
      <w:marLeft w:val="0"/>
      <w:marRight w:val="0"/>
      <w:marTop w:val="0"/>
      <w:marBottom w:val="0"/>
      <w:divBdr>
        <w:top w:val="none" w:sz="0" w:space="0" w:color="auto"/>
        <w:left w:val="none" w:sz="0" w:space="0" w:color="auto"/>
        <w:bottom w:val="none" w:sz="0" w:space="0" w:color="auto"/>
        <w:right w:val="none" w:sz="0" w:space="0" w:color="auto"/>
      </w:divBdr>
    </w:div>
    <w:div w:id="1366364268">
      <w:bodyDiv w:val="1"/>
      <w:marLeft w:val="0"/>
      <w:marRight w:val="0"/>
      <w:marTop w:val="0"/>
      <w:marBottom w:val="0"/>
      <w:divBdr>
        <w:top w:val="none" w:sz="0" w:space="0" w:color="auto"/>
        <w:left w:val="none" w:sz="0" w:space="0" w:color="auto"/>
        <w:bottom w:val="none" w:sz="0" w:space="0" w:color="auto"/>
        <w:right w:val="none" w:sz="0" w:space="0" w:color="auto"/>
      </w:divBdr>
    </w:div>
    <w:div w:id="1374957930">
      <w:bodyDiv w:val="1"/>
      <w:marLeft w:val="0"/>
      <w:marRight w:val="0"/>
      <w:marTop w:val="0"/>
      <w:marBottom w:val="0"/>
      <w:divBdr>
        <w:top w:val="none" w:sz="0" w:space="0" w:color="auto"/>
        <w:left w:val="none" w:sz="0" w:space="0" w:color="auto"/>
        <w:bottom w:val="none" w:sz="0" w:space="0" w:color="auto"/>
        <w:right w:val="none" w:sz="0" w:space="0" w:color="auto"/>
      </w:divBdr>
    </w:div>
    <w:div w:id="1375276973">
      <w:bodyDiv w:val="1"/>
      <w:marLeft w:val="0"/>
      <w:marRight w:val="0"/>
      <w:marTop w:val="0"/>
      <w:marBottom w:val="0"/>
      <w:divBdr>
        <w:top w:val="none" w:sz="0" w:space="0" w:color="auto"/>
        <w:left w:val="none" w:sz="0" w:space="0" w:color="auto"/>
        <w:bottom w:val="none" w:sz="0" w:space="0" w:color="auto"/>
        <w:right w:val="none" w:sz="0" w:space="0" w:color="auto"/>
      </w:divBdr>
    </w:div>
    <w:div w:id="1377270227">
      <w:bodyDiv w:val="1"/>
      <w:marLeft w:val="0"/>
      <w:marRight w:val="0"/>
      <w:marTop w:val="0"/>
      <w:marBottom w:val="0"/>
      <w:divBdr>
        <w:top w:val="none" w:sz="0" w:space="0" w:color="auto"/>
        <w:left w:val="none" w:sz="0" w:space="0" w:color="auto"/>
        <w:bottom w:val="none" w:sz="0" w:space="0" w:color="auto"/>
        <w:right w:val="none" w:sz="0" w:space="0" w:color="auto"/>
      </w:divBdr>
    </w:div>
    <w:div w:id="1378122825">
      <w:bodyDiv w:val="1"/>
      <w:marLeft w:val="0"/>
      <w:marRight w:val="0"/>
      <w:marTop w:val="0"/>
      <w:marBottom w:val="0"/>
      <w:divBdr>
        <w:top w:val="none" w:sz="0" w:space="0" w:color="auto"/>
        <w:left w:val="none" w:sz="0" w:space="0" w:color="auto"/>
        <w:bottom w:val="none" w:sz="0" w:space="0" w:color="auto"/>
        <w:right w:val="none" w:sz="0" w:space="0" w:color="auto"/>
      </w:divBdr>
    </w:div>
    <w:div w:id="1383166983">
      <w:bodyDiv w:val="1"/>
      <w:marLeft w:val="0"/>
      <w:marRight w:val="0"/>
      <w:marTop w:val="0"/>
      <w:marBottom w:val="0"/>
      <w:divBdr>
        <w:top w:val="none" w:sz="0" w:space="0" w:color="auto"/>
        <w:left w:val="none" w:sz="0" w:space="0" w:color="auto"/>
        <w:bottom w:val="none" w:sz="0" w:space="0" w:color="auto"/>
        <w:right w:val="none" w:sz="0" w:space="0" w:color="auto"/>
      </w:divBdr>
    </w:div>
    <w:div w:id="1384675881">
      <w:bodyDiv w:val="1"/>
      <w:marLeft w:val="0"/>
      <w:marRight w:val="0"/>
      <w:marTop w:val="0"/>
      <w:marBottom w:val="0"/>
      <w:divBdr>
        <w:top w:val="none" w:sz="0" w:space="0" w:color="auto"/>
        <w:left w:val="none" w:sz="0" w:space="0" w:color="auto"/>
        <w:bottom w:val="none" w:sz="0" w:space="0" w:color="auto"/>
        <w:right w:val="none" w:sz="0" w:space="0" w:color="auto"/>
      </w:divBdr>
    </w:div>
    <w:div w:id="1384791303">
      <w:bodyDiv w:val="1"/>
      <w:marLeft w:val="0"/>
      <w:marRight w:val="0"/>
      <w:marTop w:val="0"/>
      <w:marBottom w:val="0"/>
      <w:divBdr>
        <w:top w:val="none" w:sz="0" w:space="0" w:color="auto"/>
        <w:left w:val="none" w:sz="0" w:space="0" w:color="auto"/>
        <w:bottom w:val="none" w:sz="0" w:space="0" w:color="auto"/>
        <w:right w:val="none" w:sz="0" w:space="0" w:color="auto"/>
      </w:divBdr>
    </w:div>
    <w:div w:id="1386418399">
      <w:bodyDiv w:val="1"/>
      <w:marLeft w:val="0"/>
      <w:marRight w:val="0"/>
      <w:marTop w:val="0"/>
      <w:marBottom w:val="0"/>
      <w:divBdr>
        <w:top w:val="none" w:sz="0" w:space="0" w:color="auto"/>
        <w:left w:val="none" w:sz="0" w:space="0" w:color="auto"/>
        <w:bottom w:val="none" w:sz="0" w:space="0" w:color="auto"/>
        <w:right w:val="none" w:sz="0" w:space="0" w:color="auto"/>
      </w:divBdr>
    </w:div>
    <w:div w:id="1396776222">
      <w:bodyDiv w:val="1"/>
      <w:marLeft w:val="0"/>
      <w:marRight w:val="0"/>
      <w:marTop w:val="0"/>
      <w:marBottom w:val="0"/>
      <w:divBdr>
        <w:top w:val="none" w:sz="0" w:space="0" w:color="auto"/>
        <w:left w:val="none" w:sz="0" w:space="0" w:color="auto"/>
        <w:bottom w:val="none" w:sz="0" w:space="0" w:color="auto"/>
        <w:right w:val="none" w:sz="0" w:space="0" w:color="auto"/>
      </w:divBdr>
    </w:div>
    <w:div w:id="1400321672">
      <w:bodyDiv w:val="1"/>
      <w:marLeft w:val="0"/>
      <w:marRight w:val="0"/>
      <w:marTop w:val="0"/>
      <w:marBottom w:val="0"/>
      <w:divBdr>
        <w:top w:val="none" w:sz="0" w:space="0" w:color="auto"/>
        <w:left w:val="none" w:sz="0" w:space="0" w:color="auto"/>
        <w:bottom w:val="none" w:sz="0" w:space="0" w:color="auto"/>
        <w:right w:val="none" w:sz="0" w:space="0" w:color="auto"/>
      </w:divBdr>
    </w:div>
    <w:div w:id="1401951178">
      <w:bodyDiv w:val="1"/>
      <w:marLeft w:val="0"/>
      <w:marRight w:val="0"/>
      <w:marTop w:val="0"/>
      <w:marBottom w:val="0"/>
      <w:divBdr>
        <w:top w:val="none" w:sz="0" w:space="0" w:color="auto"/>
        <w:left w:val="none" w:sz="0" w:space="0" w:color="auto"/>
        <w:bottom w:val="none" w:sz="0" w:space="0" w:color="auto"/>
        <w:right w:val="none" w:sz="0" w:space="0" w:color="auto"/>
      </w:divBdr>
    </w:div>
    <w:div w:id="1404569137">
      <w:bodyDiv w:val="1"/>
      <w:marLeft w:val="0"/>
      <w:marRight w:val="0"/>
      <w:marTop w:val="0"/>
      <w:marBottom w:val="0"/>
      <w:divBdr>
        <w:top w:val="none" w:sz="0" w:space="0" w:color="auto"/>
        <w:left w:val="none" w:sz="0" w:space="0" w:color="auto"/>
        <w:bottom w:val="none" w:sz="0" w:space="0" w:color="auto"/>
        <w:right w:val="none" w:sz="0" w:space="0" w:color="auto"/>
      </w:divBdr>
    </w:div>
    <w:div w:id="1404638536">
      <w:bodyDiv w:val="1"/>
      <w:marLeft w:val="0"/>
      <w:marRight w:val="0"/>
      <w:marTop w:val="0"/>
      <w:marBottom w:val="0"/>
      <w:divBdr>
        <w:top w:val="none" w:sz="0" w:space="0" w:color="auto"/>
        <w:left w:val="none" w:sz="0" w:space="0" w:color="auto"/>
        <w:bottom w:val="none" w:sz="0" w:space="0" w:color="auto"/>
        <w:right w:val="none" w:sz="0" w:space="0" w:color="auto"/>
      </w:divBdr>
    </w:div>
    <w:div w:id="1406147584">
      <w:bodyDiv w:val="1"/>
      <w:marLeft w:val="0"/>
      <w:marRight w:val="0"/>
      <w:marTop w:val="0"/>
      <w:marBottom w:val="0"/>
      <w:divBdr>
        <w:top w:val="none" w:sz="0" w:space="0" w:color="auto"/>
        <w:left w:val="none" w:sz="0" w:space="0" w:color="auto"/>
        <w:bottom w:val="none" w:sz="0" w:space="0" w:color="auto"/>
        <w:right w:val="none" w:sz="0" w:space="0" w:color="auto"/>
      </w:divBdr>
    </w:div>
    <w:div w:id="1408720936">
      <w:bodyDiv w:val="1"/>
      <w:marLeft w:val="0"/>
      <w:marRight w:val="0"/>
      <w:marTop w:val="0"/>
      <w:marBottom w:val="0"/>
      <w:divBdr>
        <w:top w:val="none" w:sz="0" w:space="0" w:color="auto"/>
        <w:left w:val="none" w:sz="0" w:space="0" w:color="auto"/>
        <w:bottom w:val="none" w:sz="0" w:space="0" w:color="auto"/>
        <w:right w:val="none" w:sz="0" w:space="0" w:color="auto"/>
      </w:divBdr>
    </w:div>
    <w:div w:id="1416437894">
      <w:bodyDiv w:val="1"/>
      <w:marLeft w:val="0"/>
      <w:marRight w:val="0"/>
      <w:marTop w:val="0"/>
      <w:marBottom w:val="0"/>
      <w:divBdr>
        <w:top w:val="none" w:sz="0" w:space="0" w:color="auto"/>
        <w:left w:val="none" w:sz="0" w:space="0" w:color="auto"/>
        <w:bottom w:val="none" w:sz="0" w:space="0" w:color="auto"/>
        <w:right w:val="none" w:sz="0" w:space="0" w:color="auto"/>
      </w:divBdr>
    </w:div>
    <w:div w:id="1419058543">
      <w:bodyDiv w:val="1"/>
      <w:marLeft w:val="0"/>
      <w:marRight w:val="0"/>
      <w:marTop w:val="0"/>
      <w:marBottom w:val="0"/>
      <w:divBdr>
        <w:top w:val="none" w:sz="0" w:space="0" w:color="auto"/>
        <w:left w:val="none" w:sz="0" w:space="0" w:color="auto"/>
        <w:bottom w:val="none" w:sz="0" w:space="0" w:color="auto"/>
        <w:right w:val="none" w:sz="0" w:space="0" w:color="auto"/>
      </w:divBdr>
    </w:div>
    <w:div w:id="1420130834">
      <w:bodyDiv w:val="1"/>
      <w:marLeft w:val="0"/>
      <w:marRight w:val="0"/>
      <w:marTop w:val="0"/>
      <w:marBottom w:val="0"/>
      <w:divBdr>
        <w:top w:val="none" w:sz="0" w:space="0" w:color="auto"/>
        <w:left w:val="none" w:sz="0" w:space="0" w:color="auto"/>
        <w:bottom w:val="none" w:sz="0" w:space="0" w:color="auto"/>
        <w:right w:val="none" w:sz="0" w:space="0" w:color="auto"/>
      </w:divBdr>
    </w:div>
    <w:div w:id="1420827275">
      <w:bodyDiv w:val="1"/>
      <w:marLeft w:val="0"/>
      <w:marRight w:val="0"/>
      <w:marTop w:val="0"/>
      <w:marBottom w:val="0"/>
      <w:divBdr>
        <w:top w:val="none" w:sz="0" w:space="0" w:color="auto"/>
        <w:left w:val="none" w:sz="0" w:space="0" w:color="auto"/>
        <w:bottom w:val="none" w:sz="0" w:space="0" w:color="auto"/>
        <w:right w:val="none" w:sz="0" w:space="0" w:color="auto"/>
      </w:divBdr>
    </w:div>
    <w:div w:id="1422680879">
      <w:bodyDiv w:val="1"/>
      <w:marLeft w:val="0"/>
      <w:marRight w:val="0"/>
      <w:marTop w:val="0"/>
      <w:marBottom w:val="0"/>
      <w:divBdr>
        <w:top w:val="none" w:sz="0" w:space="0" w:color="auto"/>
        <w:left w:val="none" w:sz="0" w:space="0" w:color="auto"/>
        <w:bottom w:val="none" w:sz="0" w:space="0" w:color="auto"/>
        <w:right w:val="none" w:sz="0" w:space="0" w:color="auto"/>
      </w:divBdr>
    </w:div>
    <w:div w:id="1430466952">
      <w:bodyDiv w:val="1"/>
      <w:marLeft w:val="0"/>
      <w:marRight w:val="0"/>
      <w:marTop w:val="0"/>
      <w:marBottom w:val="0"/>
      <w:divBdr>
        <w:top w:val="none" w:sz="0" w:space="0" w:color="auto"/>
        <w:left w:val="none" w:sz="0" w:space="0" w:color="auto"/>
        <w:bottom w:val="none" w:sz="0" w:space="0" w:color="auto"/>
        <w:right w:val="none" w:sz="0" w:space="0" w:color="auto"/>
      </w:divBdr>
    </w:div>
    <w:div w:id="1445728952">
      <w:bodyDiv w:val="1"/>
      <w:marLeft w:val="0"/>
      <w:marRight w:val="0"/>
      <w:marTop w:val="0"/>
      <w:marBottom w:val="0"/>
      <w:divBdr>
        <w:top w:val="none" w:sz="0" w:space="0" w:color="auto"/>
        <w:left w:val="none" w:sz="0" w:space="0" w:color="auto"/>
        <w:bottom w:val="none" w:sz="0" w:space="0" w:color="auto"/>
        <w:right w:val="none" w:sz="0" w:space="0" w:color="auto"/>
      </w:divBdr>
    </w:div>
    <w:div w:id="1449591207">
      <w:bodyDiv w:val="1"/>
      <w:marLeft w:val="0"/>
      <w:marRight w:val="0"/>
      <w:marTop w:val="0"/>
      <w:marBottom w:val="0"/>
      <w:divBdr>
        <w:top w:val="none" w:sz="0" w:space="0" w:color="auto"/>
        <w:left w:val="none" w:sz="0" w:space="0" w:color="auto"/>
        <w:bottom w:val="none" w:sz="0" w:space="0" w:color="auto"/>
        <w:right w:val="none" w:sz="0" w:space="0" w:color="auto"/>
      </w:divBdr>
    </w:div>
    <w:div w:id="1451051791">
      <w:bodyDiv w:val="1"/>
      <w:marLeft w:val="0"/>
      <w:marRight w:val="0"/>
      <w:marTop w:val="0"/>
      <w:marBottom w:val="0"/>
      <w:divBdr>
        <w:top w:val="none" w:sz="0" w:space="0" w:color="auto"/>
        <w:left w:val="none" w:sz="0" w:space="0" w:color="auto"/>
        <w:bottom w:val="none" w:sz="0" w:space="0" w:color="auto"/>
        <w:right w:val="none" w:sz="0" w:space="0" w:color="auto"/>
      </w:divBdr>
    </w:div>
    <w:div w:id="1458259068">
      <w:bodyDiv w:val="1"/>
      <w:marLeft w:val="0"/>
      <w:marRight w:val="0"/>
      <w:marTop w:val="0"/>
      <w:marBottom w:val="0"/>
      <w:divBdr>
        <w:top w:val="none" w:sz="0" w:space="0" w:color="auto"/>
        <w:left w:val="none" w:sz="0" w:space="0" w:color="auto"/>
        <w:bottom w:val="none" w:sz="0" w:space="0" w:color="auto"/>
        <w:right w:val="none" w:sz="0" w:space="0" w:color="auto"/>
      </w:divBdr>
    </w:div>
    <w:div w:id="1459110430">
      <w:bodyDiv w:val="1"/>
      <w:marLeft w:val="0"/>
      <w:marRight w:val="0"/>
      <w:marTop w:val="0"/>
      <w:marBottom w:val="0"/>
      <w:divBdr>
        <w:top w:val="none" w:sz="0" w:space="0" w:color="auto"/>
        <w:left w:val="none" w:sz="0" w:space="0" w:color="auto"/>
        <w:bottom w:val="none" w:sz="0" w:space="0" w:color="auto"/>
        <w:right w:val="none" w:sz="0" w:space="0" w:color="auto"/>
      </w:divBdr>
    </w:div>
    <w:div w:id="1462386945">
      <w:bodyDiv w:val="1"/>
      <w:marLeft w:val="0"/>
      <w:marRight w:val="0"/>
      <w:marTop w:val="0"/>
      <w:marBottom w:val="0"/>
      <w:divBdr>
        <w:top w:val="none" w:sz="0" w:space="0" w:color="auto"/>
        <w:left w:val="none" w:sz="0" w:space="0" w:color="auto"/>
        <w:bottom w:val="none" w:sz="0" w:space="0" w:color="auto"/>
        <w:right w:val="none" w:sz="0" w:space="0" w:color="auto"/>
      </w:divBdr>
    </w:div>
    <w:div w:id="1466462692">
      <w:bodyDiv w:val="1"/>
      <w:marLeft w:val="0"/>
      <w:marRight w:val="0"/>
      <w:marTop w:val="0"/>
      <w:marBottom w:val="0"/>
      <w:divBdr>
        <w:top w:val="none" w:sz="0" w:space="0" w:color="auto"/>
        <w:left w:val="none" w:sz="0" w:space="0" w:color="auto"/>
        <w:bottom w:val="none" w:sz="0" w:space="0" w:color="auto"/>
        <w:right w:val="none" w:sz="0" w:space="0" w:color="auto"/>
      </w:divBdr>
    </w:div>
    <w:div w:id="1470055057">
      <w:bodyDiv w:val="1"/>
      <w:marLeft w:val="0"/>
      <w:marRight w:val="0"/>
      <w:marTop w:val="0"/>
      <w:marBottom w:val="0"/>
      <w:divBdr>
        <w:top w:val="none" w:sz="0" w:space="0" w:color="auto"/>
        <w:left w:val="none" w:sz="0" w:space="0" w:color="auto"/>
        <w:bottom w:val="none" w:sz="0" w:space="0" w:color="auto"/>
        <w:right w:val="none" w:sz="0" w:space="0" w:color="auto"/>
      </w:divBdr>
    </w:div>
    <w:div w:id="1472013677">
      <w:bodyDiv w:val="1"/>
      <w:marLeft w:val="0"/>
      <w:marRight w:val="0"/>
      <w:marTop w:val="0"/>
      <w:marBottom w:val="0"/>
      <w:divBdr>
        <w:top w:val="none" w:sz="0" w:space="0" w:color="auto"/>
        <w:left w:val="none" w:sz="0" w:space="0" w:color="auto"/>
        <w:bottom w:val="none" w:sz="0" w:space="0" w:color="auto"/>
        <w:right w:val="none" w:sz="0" w:space="0" w:color="auto"/>
      </w:divBdr>
    </w:div>
    <w:div w:id="1483426698">
      <w:bodyDiv w:val="1"/>
      <w:marLeft w:val="0"/>
      <w:marRight w:val="0"/>
      <w:marTop w:val="0"/>
      <w:marBottom w:val="0"/>
      <w:divBdr>
        <w:top w:val="none" w:sz="0" w:space="0" w:color="auto"/>
        <w:left w:val="none" w:sz="0" w:space="0" w:color="auto"/>
        <w:bottom w:val="none" w:sz="0" w:space="0" w:color="auto"/>
        <w:right w:val="none" w:sz="0" w:space="0" w:color="auto"/>
      </w:divBdr>
    </w:div>
    <w:div w:id="1487554004">
      <w:bodyDiv w:val="1"/>
      <w:marLeft w:val="0"/>
      <w:marRight w:val="0"/>
      <w:marTop w:val="0"/>
      <w:marBottom w:val="0"/>
      <w:divBdr>
        <w:top w:val="none" w:sz="0" w:space="0" w:color="auto"/>
        <w:left w:val="none" w:sz="0" w:space="0" w:color="auto"/>
        <w:bottom w:val="none" w:sz="0" w:space="0" w:color="auto"/>
        <w:right w:val="none" w:sz="0" w:space="0" w:color="auto"/>
      </w:divBdr>
    </w:div>
    <w:div w:id="1488548911">
      <w:bodyDiv w:val="1"/>
      <w:marLeft w:val="0"/>
      <w:marRight w:val="0"/>
      <w:marTop w:val="0"/>
      <w:marBottom w:val="0"/>
      <w:divBdr>
        <w:top w:val="none" w:sz="0" w:space="0" w:color="auto"/>
        <w:left w:val="none" w:sz="0" w:space="0" w:color="auto"/>
        <w:bottom w:val="none" w:sz="0" w:space="0" w:color="auto"/>
        <w:right w:val="none" w:sz="0" w:space="0" w:color="auto"/>
      </w:divBdr>
    </w:div>
    <w:div w:id="1494950987">
      <w:bodyDiv w:val="1"/>
      <w:marLeft w:val="0"/>
      <w:marRight w:val="0"/>
      <w:marTop w:val="0"/>
      <w:marBottom w:val="0"/>
      <w:divBdr>
        <w:top w:val="none" w:sz="0" w:space="0" w:color="auto"/>
        <w:left w:val="none" w:sz="0" w:space="0" w:color="auto"/>
        <w:bottom w:val="none" w:sz="0" w:space="0" w:color="auto"/>
        <w:right w:val="none" w:sz="0" w:space="0" w:color="auto"/>
      </w:divBdr>
    </w:div>
    <w:div w:id="1495804929">
      <w:bodyDiv w:val="1"/>
      <w:marLeft w:val="0"/>
      <w:marRight w:val="0"/>
      <w:marTop w:val="0"/>
      <w:marBottom w:val="0"/>
      <w:divBdr>
        <w:top w:val="none" w:sz="0" w:space="0" w:color="auto"/>
        <w:left w:val="none" w:sz="0" w:space="0" w:color="auto"/>
        <w:bottom w:val="none" w:sz="0" w:space="0" w:color="auto"/>
        <w:right w:val="none" w:sz="0" w:space="0" w:color="auto"/>
      </w:divBdr>
    </w:div>
    <w:div w:id="1498231417">
      <w:bodyDiv w:val="1"/>
      <w:marLeft w:val="0"/>
      <w:marRight w:val="0"/>
      <w:marTop w:val="0"/>
      <w:marBottom w:val="0"/>
      <w:divBdr>
        <w:top w:val="none" w:sz="0" w:space="0" w:color="auto"/>
        <w:left w:val="none" w:sz="0" w:space="0" w:color="auto"/>
        <w:bottom w:val="none" w:sz="0" w:space="0" w:color="auto"/>
        <w:right w:val="none" w:sz="0" w:space="0" w:color="auto"/>
      </w:divBdr>
    </w:div>
    <w:div w:id="1499151913">
      <w:bodyDiv w:val="1"/>
      <w:marLeft w:val="0"/>
      <w:marRight w:val="0"/>
      <w:marTop w:val="0"/>
      <w:marBottom w:val="0"/>
      <w:divBdr>
        <w:top w:val="none" w:sz="0" w:space="0" w:color="auto"/>
        <w:left w:val="none" w:sz="0" w:space="0" w:color="auto"/>
        <w:bottom w:val="none" w:sz="0" w:space="0" w:color="auto"/>
        <w:right w:val="none" w:sz="0" w:space="0" w:color="auto"/>
      </w:divBdr>
    </w:div>
    <w:div w:id="1501963001">
      <w:bodyDiv w:val="1"/>
      <w:marLeft w:val="0"/>
      <w:marRight w:val="0"/>
      <w:marTop w:val="0"/>
      <w:marBottom w:val="0"/>
      <w:divBdr>
        <w:top w:val="none" w:sz="0" w:space="0" w:color="auto"/>
        <w:left w:val="none" w:sz="0" w:space="0" w:color="auto"/>
        <w:bottom w:val="none" w:sz="0" w:space="0" w:color="auto"/>
        <w:right w:val="none" w:sz="0" w:space="0" w:color="auto"/>
      </w:divBdr>
    </w:div>
    <w:div w:id="1502240477">
      <w:bodyDiv w:val="1"/>
      <w:marLeft w:val="0"/>
      <w:marRight w:val="0"/>
      <w:marTop w:val="0"/>
      <w:marBottom w:val="0"/>
      <w:divBdr>
        <w:top w:val="none" w:sz="0" w:space="0" w:color="auto"/>
        <w:left w:val="none" w:sz="0" w:space="0" w:color="auto"/>
        <w:bottom w:val="none" w:sz="0" w:space="0" w:color="auto"/>
        <w:right w:val="none" w:sz="0" w:space="0" w:color="auto"/>
      </w:divBdr>
    </w:div>
    <w:div w:id="1504738856">
      <w:bodyDiv w:val="1"/>
      <w:marLeft w:val="0"/>
      <w:marRight w:val="0"/>
      <w:marTop w:val="0"/>
      <w:marBottom w:val="0"/>
      <w:divBdr>
        <w:top w:val="none" w:sz="0" w:space="0" w:color="auto"/>
        <w:left w:val="none" w:sz="0" w:space="0" w:color="auto"/>
        <w:bottom w:val="none" w:sz="0" w:space="0" w:color="auto"/>
        <w:right w:val="none" w:sz="0" w:space="0" w:color="auto"/>
      </w:divBdr>
    </w:div>
    <w:div w:id="1506478879">
      <w:bodyDiv w:val="1"/>
      <w:marLeft w:val="0"/>
      <w:marRight w:val="0"/>
      <w:marTop w:val="0"/>
      <w:marBottom w:val="0"/>
      <w:divBdr>
        <w:top w:val="none" w:sz="0" w:space="0" w:color="auto"/>
        <w:left w:val="none" w:sz="0" w:space="0" w:color="auto"/>
        <w:bottom w:val="none" w:sz="0" w:space="0" w:color="auto"/>
        <w:right w:val="none" w:sz="0" w:space="0" w:color="auto"/>
      </w:divBdr>
    </w:div>
    <w:div w:id="1510559104">
      <w:bodyDiv w:val="1"/>
      <w:marLeft w:val="0"/>
      <w:marRight w:val="0"/>
      <w:marTop w:val="0"/>
      <w:marBottom w:val="0"/>
      <w:divBdr>
        <w:top w:val="none" w:sz="0" w:space="0" w:color="auto"/>
        <w:left w:val="none" w:sz="0" w:space="0" w:color="auto"/>
        <w:bottom w:val="none" w:sz="0" w:space="0" w:color="auto"/>
        <w:right w:val="none" w:sz="0" w:space="0" w:color="auto"/>
      </w:divBdr>
    </w:div>
    <w:div w:id="1513107459">
      <w:bodyDiv w:val="1"/>
      <w:marLeft w:val="0"/>
      <w:marRight w:val="0"/>
      <w:marTop w:val="0"/>
      <w:marBottom w:val="0"/>
      <w:divBdr>
        <w:top w:val="none" w:sz="0" w:space="0" w:color="auto"/>
        <w:left w:val="none" w:sz="0" w:space="0" w:color="auto"/>
        <w:bottom w:val="none" w:sz="0" w:space="0" w:color="auto"/>
        <w:right w:val="none" w:sz="0" w:space="0" w:color="auto"/>
      </w:divBdr>
    </w:div>
    <w:div w:id="1523938162">
      <w:bodyDiv w:val="1"/>
      <w:marLeft w:val="0"/>
      <w:marRight w:val="0"/>
      <w:marTop w:val="0"/>
      <w:marBottom w:val="0"/>
      <w:divBdr>
        <w:top w:val="none" w:sz="0" w:space="0" w:color="auto"/>
        <w:left w:val="none" w:sz="0" w:space="0" w:color="auto"/>
        <w:bottom w:val="none" w:sz="0" w:space="0" w:color="auto"/>
        <w:right w:val="none" w:sz="0" w:space="0" w:color="auto"/>
      </w:divBdr>
    </w:div>
    <w:div w:id="1526673131">
      <w:bodyDiv w:val="1"/>
      <w:marLeft w:val="0"/>
      <w:marRight w:val="0"/>
      <w:marTop w:val="0"/>
      <w:marBottom w:val="0"/>
      <w:divBdr>
        <w:top w:val="none" w:sz="0" w:space="0" w:color="auto"/>
        <w:left w:val="none" w:sz="0" w:space="0" w:color="auto"/>
        <w:bottom w:val="none" w:sz="0" w:space="0" w:color="auto"/>
        <w:right w:val="none" w:sz="0" w:space="0" w:color="auto"/>
      </w:divBdr>
    </w:div>
    <w:div w:id="1530795208">
      <w:bodyDiv w:val="1"/>
      <w:marLeft w:val="0"/>
      <w:marRight w:val="0"/>
      <w:marTop w:val="0"/>
      <w:marBottom w:val="0"/>
      <w:divBdr>
        <w:top w:val="none" w:sz="0" w:space="0" w:color="auto"/>
        <w:left w:val="none" w:sz="0" w:space="0" w:color="auto"/>
        <w:bottom w:val="none" w:sz="0" w:space="0" w:color="auto"/>
        <w:right w:val="none" w:sz="0" w:space="0" w:color="auto"/>
      </w:divBdr>
    </w:div>
    <w:div w:id="1538544422">
      <w:bodyDiv w:val="1"/>
      <w:marLeft w:val="0"/>
      <w:marRight w:val="0"/>
      <w:marTop w:val="0"/>
      <w:marBottom w:val="0"/>
      <w:divBdr>
        <w:top w:val="none" w:sz="0" w:space="0" w:color="auto"/>
        <w:left w:val="none" w:sz="0" w:space="0" w:color="auto"/>
        <w:bottom w:val="none" w:sz="0" w:space="0" w:color="auto"/>
        <w:right w:val="none" w:sz="0" w:space="0" w:color="auto"/>
      </w:divBdr>
    </w:div>
    <w:div w:id="1543983024">
      <w:bodyDiv w:val="1"/>
      <w:marLeft w:val="0"/>
      <w:marRight w:val="0"/>
      <w:marTop w:val="0"/>
      <w:marBottom w:val="0"/>
      <w:divBdr>
        <w:top w:val="none" w:sz="0" w:space="0" w:color="auto"/>
        <w:left w:val="none" w:sz="0" w:space="0" w:color="auto"/>
        <w:bottom w:val="none" w:sz="0" w:space="0" w:color="auto"/>
        <w:right w:val="none" w:sz="0" w:space="0" w:color="auto"/>
      </w:divBdr>
    </w:div>
    <w:div w:id="1548950632">
      <w:bodyDiv w:val="1"/>
      <w:marLeft w:val="0"/>
      <w:marRight w:val="0"/>
      <w:marTop w:val="0"/>
      <w:marBottom w:val="0"/>
      <w:divBdr>
        <w:top w:val="none" w:sz="0" w:space="0" w:color="auto"/>
        <w:left w:val="none" w:sz="0" w:space="0" w:color="auto"/>
        <w:bottom w:val="none" w:sz="0" w:space="0" w:color="auto"/>
        <w:right w:val="none" w:sz="0" w:space="0" w:color="auto"/>
      </w:divBdr>
    </w:div>
    <w:div w:id="1555776759">
      <w:bodyDiv w:val="1"/>
      <w:marLeft w:val="0"/>
      <w:marRight w:val="0"/>
      <w:marTop w:val="0"/>
      <w:marBottom w:val="0"/>
      <w:divBdr>
        <w:top w:val="none" w:sz="0" w:space="0" w:color="auto"/>
        <w:left w:val="none" w:sz="0" w:space="0" w:color="auto"/>
        <w:bottom w:val="none" w:sz="0" w:space="0" w:color="auto"/>
        <w:right w:val="none" w:sz="0" w:space="0" w:color="auto"/>
      </w:divBdr>
    </w:div>
    <w:div w:id="1558588193">
      <w:bodyDiv w:val="1"/>
      <w:marLeft w:val="0"/>
      <w:marRight w:val="0"/>
      <w:marTop w:val="0"/>
      <w:marBottom w:val="0"/>
      <w:divBdr>
        <w:top w:val="none" w:sz="0" w:space="0" w:color="auto"/>
        <w:left w:val="none" w:sz="0" w:space="0" w:color="auto"/>
        <w:bottom w:val="none" w:sz="0" w:space="0" w:color="auto"/>
        <w:right w:val="none" w:sz="0" w:space="0" w:color="auto"/>
      </w:divBdr>
    </w:div>
    <w:div w:id="1564676643">
      <w:bodyDiv w:val="1"/>
      <w:marLeft w:val="0"/>
      <w:marRight w:val="0"/>
      <w:marTop w:val="0"/>
      <w:marBottom w:val="0"/>
      <w:divBdr>
        <w:top w:val="none" w:sz="0" w:space="0" w:color="auto"/>
        <w:left w:val="none" w:sz="0" w:space="0" w:color="auto"/>
        <w:bottom w:val="none" w:sz="0" w:space="0" w:color="auto"/>
        <w:right w:val="none" w:sz="0" w:space="0" w:color="auto"/>
      </w:divBdr>
    </w:div>
    <w:div w:id="1568297607">
      <w:bodyDiv w:val="1"/>
      <w:marLeft w:val="0"/>
      <w:marRight w:val="0"/>
      <w:marTop w:val="0"/>
      <w:marBottom w:val="0"/>
      <w:divBdr>
        <w:top w:val="none" w:sz="0" w:space="0" w:color="auto"/>
        <w:left w:val="none" w:sz="0" w:space="0" w:color="auto"/>
        <w:bottom w:val="none" w:sz="0" w:space="0" w:color="auto"/>
        <w:right w:val="none" w:sz="0" w:space="0" w:color="auto"/>
      </w:divBdr>
    </w:div>
    <w:div w:id="1569531536">
      <w:bodyDiv w:val="1"/>
      <w:marLeft w:val="0"/>
      <w:marRight w:val="0"/>
      <w:marTop w:val="0"/>
      <w:marBottom w:val="0"/>
      <w:divBdr>
        <w:top w:val="none" w:sz="0" w:space="0" w:color="auto"/>
        <w:left w:val="none" w:sz="0" w:space="0" w:color="auto"/>
        <w:bottom w:val="none" w:sz="0" w:space="0" w:color="auto"/>
        <w:right w:val="none" w:sz="0" w:space="0" w:color="auto"/>
      </w:divBdr>
    </w:div>
    <w:div w:id="1570652231">
      <w:bodyDiv w:val="1"/>
      <w:marLeft w:val="0"/>
      <w:marRight w:val="0"/>
      <w:marTop w:val="0"/>
      <w:marBottom w:val="0"/>
      <w:divBdr>
        <w:top w:val="none" w:sz="0" w:space="0" w:color="auto"/>
        <w:left w:val="none" w:sz="0" w:space="0" w:color="auto"/>
        <w:bottom w:val="none" w:sz="0" w:space="0" w:color="auto"/>
        <w:right w:val="none" w:sz="0" w:space="0" w:color="auto"/>
      </w:divBdr>
    </w:div>
    <w:div w:id="1572886952">
      <w:bodyDiv w:val="1"/>
      <w:marLeft w:val="0"/>
      <w:marRight w:val="0"/>
      <w:marTop w:val="0"/>
      <w:marBottom w:val="0"/>
      <w:divBdr>
        <w:top w:val="none" w:sz="0" w:space="0" w:color="auto"/>
        <w:left w:val="none" w:sz="0" w:space="0" w:color="auto"/>
        <w:bottom w:val="none" w:sz="0" w:space="0" w:color="auto"/>
        <w:right w:val="none" w:sz="0" w:space="0" w:color="auto"/>
      </w:divBdr>
    </w:div>
    <w:div w:id="1575624975">
      <w:bodyDiv w:val="1"/>
      <w:marLeft w:val="0"/>
      <w:marRight w:val="0"/>
      <w:marTop w:val="0"/>
      <w:marBottom w:val="0"/>
      <w:divBdr>
        <w:top w:val="none" w:sz="0" w:space="0" w:color="auto"/>
        <w:left w:val="none" w:sz="0" w:space="0" w:color="auto"/>
        <w:bottom w:val="none" w:sz="0" w:space="0" w:color="auto"/>
        <w:right w:val="none" w:sz="0" w:space="0" w:color="auto"/>
      </w:divBdr>
    </w:div>
    <w:div w:id="1579435160">
      <w:bodyDiv w:val="1"/>
      <w:marLeft w:val="0"/>
      <w:marRight w:val="0"/>
      <w:marTop w:val="0"/>
      <w:marBottom w:val="0"/>
      <w:divBdr>
        <w:top w:val="none" w:sz="0" w:space="0" w:color="auto"/>
        <w:left w:val="none" w:sz="0" w:space="0" w:color="auto"/>
        <w:bottom w:val="none" w:sz="0" w:space="0" w:color="auto"/>
        <w:right w:val="none" w:sz="0" w:space="0" w:color="auto"/>
      </w:divBdr>
    </w:div>
    <w:div w:id="1580476472">
      <w:bodyDiv w:val="1"/>
      <w:marLeft w:val="0"/>
      <w:marRight w:val="0"/>
      <w:marTop w:val="0"/>
      <w:marBottom w:val="0"/>
      <w:divBdr>
        <w:top w:val="none" w:sz="0" w:space="0" w:color="auto"/>
        <w:left w:val="none" w:sz="0" w:space="0" w:color="auto"/>
        <w:bottom w:val="none" w:sz="0" w:space="0" w:color="auto"/>
        <w:right w:val="none" w:sz="0" w:space="0" w:color="auto"/>
      </w:divBdr>
    </w:div>
    <w:div w:id="1584334321">
      <w:bodyDiv w:val="1"/>
      <w:marLeft w:val="0"/>
      <w:marRight w:val="0"/>
      <w:marTop w:val="0"/>
      <w:marBottom w:val="0"/>
      <w:divBdr>
        <w:top w:val="none" w:sz="0" w:space="0" w:color="auto"/>
        <w:left w:val="none" w:sz="0" w:space="0" w:color="auto"/>
        <w:bottom w:val="none" w:sz="0" w:space="0" w:color="auto"/>
        <w:right w:val="none" w:sz="0" w:space="0" w:color="auto"/>
      </w:divBdr>
    </w:div>
    <w:div w:id="1586527189">
      <w:bodyDiv w:val="1"/>
      <w:marLeft w:val="0"/>
      <w:marRight w:val="0"/>
      <w:marTop w:val="0"/>
      <w:marBottom w:val="0"/>
      <w:divBdr>
        <w:top w:val="none" w:sz="0" w:space="0" w:color="auto"/>
        <w:left w:val="none" w:sz="0" w:space="0" w:color="auto"/>
        <w:bottom w:val="none" w:sz="0" w:space="0" w:color="auto"/>
        <w:right w:val="none" w:sz="0" w:space="0" w:color="auto"/>
      </w:divBdr>
    </w:div>
    <w:div w:id="1586569928">
      <w:bodyDiv w:val="1"/>
      <w:marLeft w:val="0"/>
      <w:marRight w:val="0"/>
      <w:marTop w:val="0"/>
      <w:marBottom w:val="0"/>
      <w:divBdr>
        <w:top w:val="none" w:sz="0" w:space="0" w:color="auto"/>
        <w:left w:val="none" w:sz="0" w:space="0" w:color="auto"/>
        <w:bottom w:val="none" w:sz="0" w:space="0" w:color="auto"/>
        <w:right w:val="none" w:sz="0" w:space="0" w:color="auto"/>
      </w:divBdr>
    </w:div>
    <w:div w:id="1586720842">
      <w:bodyDiv w:val="1"/>
      <w:marLeft w:val="0"/>
      <w:marRight w:val="0"/>
      <w:marTop w:val="0"/>
      <w:marBottom w:val="0"/>
      <w:divBdr>
        <w:top w:val="none" w:sz="0" w:space="0" w:color="auto"/>
        <w:left w:val="none" w:sz="0" w:space="0" w:color="auto"/>
        <w:bottom w:val="none" w:sz="0" w:space="0" w:color="auto"/>
        <w:right w:val="none" w:sz="0" w:space="0" w:color="auto"/>
      </w:divBdr>
    </w:div>
    <w:div w:id="1591159124">
      <w:bodyDiv w:val="1"/>
      <w:marLeft w:val="0"/>
      <w:marRight w:val="0"/>
      <w:marTop w:val="0"/>
      <w:marBottom w:val="0"/>
      <w:divBdr>
        <w:top w:val="none" w:sz="0" w:space="0" w:color="auto"/>
        <w:left w:val="none" w:sz="0" w:space="0" w:color="auto"/>
        <w:bottom w:val="none" w:sz="0" w:space="0" w:color="auto"/>
        <w:right w:val="none" w:sz="0" w:space="0" w:color="auto"/>
      </w:divBdr>
    </w:div>
    <w:div w:id="1596479180">
      <w:bodyDiv w:val="1"/>
      <w:marLeft w:val="0"/>
      <w:marRight w:val="0"/>
      <w:marTop w:val="0"/>
      <w:marBottom w:val="0"/>
      <w:divBdr>
        <w:top w:val="none" w:sz="0" w:space="0" w:color="auto"/>
        <w:left w:val="none" w:sz="0" w:space="0" w:color="auto"/>
        <w:bottom w:val="none" w:sz="0" w:space="0" w:color="auto"/>
        <w:right w:val="none" w:sz="0" w:space="0" w:color="auto"/>
      </w:divBdr>
    </w:div>
    <w:div w:id="1603996766">
      <w:bodyDiv w:val="1"/>
      <w:marLeft w:val="0"/>
      <w:marRight w:val="0"/>
      <w:marTop w:val="0"/>
      <w:marBottom w:val="0"/>
      <w:divBdr>
        <w:top w:val="none" w:sz="0" w:space="0" w:color="auto"/>
        <w:left w:val="none" w:sz="0" w:space="0" w:color="auto"/>
        <w:bottom w:val="none" w:sz="0" w:space="0" w:color="auto"/>
        <w:right w:val="none" w:sz="0" w:space="0" w:color="auto"/>
      </w:divBdr>
    </w:div>
    <w:div w:id="1605065542">
      <w:bodyDiv w:val="1"/>
      <w:marLeft w:val="0"/>
      <w:marRight w:val="0"/>
      <w:marTop w:val="0"/>
      <w:marBottom w:val="0"/>
      <w:divBdr>
        <w:top w:val="none" w:sz="0" w:space="0" w:color="auto"/>
        <w:left w:val="none" w:sz="0" w:space="0" w:color="auto"/>
        <w:bottom w:val="none" w:sz="0" w:space="0" w:color="auto"/>
        <w:right w:val="none" w:sz="0" w:space="0" w:color="auto"/>
      </w:divBdr>
    </w:div>
    <w:div w:id="1607078304">
      <w:bodyDiv w:val="1"/>
      <w:marLeft w:val="0"/>
      <w:marRight w:val="0"/>
      <w:marTop w:val="0"/>
      <w:marBottom w:val="0"/>
      <w:divBdr>
        <w:top w:val="none" w:sz="0" w:space="0" w:color="auto"/>
        <w:left w:val="none" w:sz="0" w:space="0" w:color="auto"/>
        <w:bottom w:val="none" w:sz="0" w:space="0" w:color="auto"/>
        <w:right w:val="none" w:sz="0" w:space="0" w:color="auto"/>
      </w:divBdr>
    </w:div>
    <w:div w:id="1613512806">
      <w:bodyDiv w:val="1"/>
      <w:marLeft w:val="0"/>
      <w:marRight w:val="0"/>
      <w:marTop w:val="0"/>
      <w:marBottom w:val="0"/>
      <w:divBdr>
        <w:top w:val="none" w:sz="0" w:space="0" w:color="auto"/>
        <w:left w:val="none" w:sz="0" w:space="0" w:color="auto"/>
        <w:bottom w:val="none" w:sz="0" w:space="0" w:color="auto"/>
        <w:right w:val="none" w:sz="0" w:space="0" w:color="auto"/>
      </w:divBdr>
    </w:div>
    <w:div w:id="1613629106">
      <w:bodyDiv w:val="1"/>
      <w:marLeft w:val="0"/>
      <w:marRight w:val="0"/>
      <w:marTop w:val="0"/>
      <w:marBottom w:val="0"/>
      <w:divBdr>
        <w:top w:val="none" w:sz="0" w:space="0" w:color="auto"/>
        <w:left w:val="none" w:sz="0" w:space="0" w:color="auto"/>
        <w:bottom w:val="none" w:sz="0" w:space="0" w:color="auto"/>
        <w:right w:val="none" w:sz="0" w:space="0" w:color="auto"/>
      </w:divBdr>
    </w:div>
    <w:div w:id="1616207847">
      <w:bodyDiv w:val="1"/>
      <w:marLeft w:val="0"/>
      <w:marRight w:val="0"/>
      <w:marTop w:val="0"/>
      <w:marBottom w:val="0"/>
      <w:divBdr>
        <w:top w:val="none" w:sz="0" w:space="0" w:color="auto"/>
        <w:left w:val="none" w:sz="0" w:space="0" w:color="auto"/>
        <w:bottom w:val="none" w:sz="0" w:space="0" w:color="auto"/>
        <w:right w:val="none" w:sz="0" w:space="0" w:color="auto"/>
      </w:divBdr>
    </w:div>
    <w:div w:id="1617910598">
      <w:bodyDiv w:val="1"/>
      <w:marLeft w:val="0"/>
      <w:marRight w:val="0"/>
      <w:marTop w:val="0"/>
      <w:marBottom w:val="0"/>
      <w:divBdr>
        <w:top w:val="none" w:sz="0" w:space="0" w:color="auto"/>
        <w:left w:val="none" w:sz="0" w:space="0" w:color="auto"/>
        <w:bottom w:val="none" w:sz="0" w:space="0" w:color="auto"/>
        <w:right w:val="none" w:sz="0" w:space="0" w:color="auto"/>
      </w:divBdr>
    </w:div>
    <w:div w:id="1621450998">
      <w:bodyDiv w:val="1"/>
      <w:marLeft w:val="0"/>
      <w:marRight w:val="0"/>
      <w:marTop w:val="0"/>
      <w:marBottom w:val="0"/>
      <w:divBdr>
        <w:top w:val="none" w:sz="0" w:space="0" w:color="auto"/>
        <w:left w:val="none" w:sz="0" w:space="0" w:color="auto"/>
        <w:bottom w:val="none" w:sz="0" w:space="0" w:color="auto"/>
        <w:right w:val="none" w:sz="0" w:space="0" w:color="auto"/>
      </w:divBdr>
    </w:div>
    <w:div w:id="1622149121">
      <w:bodyDiv w:val="1"/>
      <w:marLeft w:val="0"/>
      <w:marRight w:val="0"/>
      <w:marTop w:val="0"/>
      <w:marBottom w:val="0"/>
      <w:divBdr>
        <w:top w:val="none" w:sz="0" w:space="0" w:color="auto"/>
        <w:left w:val="none" w:sz="0" w:space="0" w:color="auto"/>
        <w:bottom w:val="none" w:sz="0" w:space="0" w:color="auto"/>
        <w:right w:val="none" w:sz="0" w:space="0" w:color="auto"/>
      </w:divBdr>
    </w:div>
    <w:div w:id="1622611039">
      <w:bodyDiv w:val="1"/>
      <w:marLeft w:val="0"/>
      <w:marRight w:val="0"/>
      <w:marTop w:val="0"/>
      <w:marBottom w:val="0"/>
      <w:divBdr>
        <w:top w:val="none" w:sz="0" w:space="0" w:color="auto"/>
        <w:left w:val="none" w:sz="0" w:space="0" w:color="auto"/>
        <w:bottom w:val="none" w:sz="0" w:space="0" w:color="auto"/>
        <w:right w:val="none" w:sz="0" w:space="0" w:color="auto"/>
      </w:divBdr>
    </w:div>
    <w:div w:id="1623342275">
      <w:bodyDiv w:val="1"/>
      <w:marLeft w:val="0"/>
      <w:marRight w:val="0"/>
      <w:marTop w:val="0"/>
      <w:marBottom w:val="0"/>
      <w:divBdr>
        <w:top w:val="none" w:sz="0" w:space="0" w:color="auto"/>
        <w:left w:val="none" w:sz="0" w:space="0" w:color="auto"/>
        <w:bottom w:val="none" w:sz="0" w:space="0" w:color="auto"/>
        <w:right w:val="none" w:sz="0" w:space="0" w:color="auto"/>
      </w:divBdr>
    </w:div>
    <w:div w:id="1625307829">
      <w:bodyDiv w:val="1"/>
      <w:marLeft w:val="0"/>
      <w:marRight w:val="0"/>
      <w:marTop w:val="0"/>
      <w:marBottom w:val="0"/>
      <w:divBdr>
        <w:top w:val="none" w:sz="0" w:space="0" w:color="auto"/>
        <w:left w:val="none" w:sz="0" w:space="0" w:color="auto"/>
        <w:bottom w:val="none" w:sz="0" w:space="0" w:color="auto"/>
        <w:right w:val="none" w:sz="0" w:space="0" w:color="auto"/>
      </w:divBdr>
    </w:div>
    <w:div w:id="1626303914">
      <w:bodyDiv w:val="1"/>
      <w:marLeft w:val="0"/>
      <w:marRight w:val="0"/>
      <w:marTop w:val="0"/>
      <w:marBottom w:val="0"/>
      <w:divBdr>
        <w:top w:val="none" w:sz="0" w:space="0" w:color="auto"/>
        <w:left w:val="none" w:sz="0" w:space="0" w:color="auto"/>
        <w:bottom w:val="none" w:sz="0" w:space="0" w:color="auto"/>
        <w:right w:val="none" w:sz="0" w:space="0" w:color="auto"/>
      </w:divBdr>
    </w:div>
    <w:div w:id="1631324993">
      <w:bodyDiv w:val="1"/>
      <w:marLeft w:val="0"/>
      <w:marRight w:val="0"/>
      <w:marTop w:val="0"/>
      <w:marBottom w:val="0"/>
      <w:divBdr>
        <w:top w:val="none" w:sz="0" w:space="0" w:color="auto"/>
        <w:left w:val="none" w:sz="0" w:space="0" w:color="auto"/>
        <w:bottom w:val="none" w:sz="0" w:space="0" w:color="auto"/>
        <w:right w:val="none" w:sz="0" w:space="0" w:color="auto"/>
      </w:divBdr>
    </w:div>
    <w:div w:id="1631588592">
      <w:bodyDiv w:val="1"/>
      <w:marLeft w:val="0"/>
      <w:marRight w:val="0"/>
      <w:marTop w:val="0"/>
      <w:marBottom w:val="0"/>
      <w:divBdr>
        <w:top w:val="none" w:sz="0" w:space="0" w:color="auto"/>
        <w:left w:val="none" w:sz="0" w:space="0" w:color="auto"/>
        <w:bottom w:val="none" w:sz="0" w:space="0" w:color="auto"/>
        <w:right w:val="none" w:sz="0" w:space="0" w:color="auto"/>
      </w:divBdr>
    </w:div>
    <w:div w:id="1634753684">
      <w:bodyDiv w:val="1"/>
      <w:marLeft w:val="0"/>
      <w:marRight w:val="0"/>
      <w:marTop w:val="0"/>
      <w:marBottom w:val="0"/>
      <w:divBdr>
        <w:top w:val="none" w:sz="0" w:space="0" w:color="auto"/>
        <w:left w:val="none" w:sz="0" w:space="0" w:color="auto"/>
        <w:bottom w:val="none" w:sz="0" w:space="0" w:color="auto"/>
        <w:right w:val="none" w:sz="0" w:space="0" w:color="auto"/>
      </w:divBdr>
    </w:div>
    <w:div w:id="1636985171">
      <w:bodyDiv w:val="1"/>
      <w:marLeft w:val="0"/>
      <w:marRight w:val="0"/>
      <w:marTop w:val="0"/>
      <w:marBottom w:val="0"/>
      <w:divBdr>
        <w:top w:val="none" w:sz="0" w:space="0" w:color="auto"/>
        <w:left w:val="none" w:sz="0" w:space="0" w:color="auto"/>
        <w:bottom w:val="none" w:sz="0" w:space="0" w:color="auto"/>
        <w:right w:val="none" w:sz="0" w:space="0" w:color="auto"/>
      </w:divBdr>
    </w:div>
    <w:div w:id="1638029547">
      <w:bodyDiv w:val="1"/>
      <w:marLeft w:val="0"/>
      <w:marRight w:val="0"/>
      <w:marTop w:val="0"/>
      <w:marBottom w:val="0"/>
      <w:divBdr>
        <w:top w:val="none" w:sz="0" w:space="0" w:color="auto"/>
        <w:left w:val="none" w:sz="0" w:space="0" w:color="auto"/>
        <w:bottom w:val="none" w:sz="0" w:space="0" w:color="auto"/>
        <w:right w:val="none" w:sz="0" w:space="0" w:color="auto"/>
      </w:divBdr>
    </w:div>
    <w:div w:id="1638997062">
      <w:bodyDiv w:val="1"/>
      <w:marLeft w:val="0"/>
      <w:marRight w:val="0"/>
      <w:marTop w:val="0"/>
      <w:marBottom w:val="0"/>
      <w:divBdr>
        <w:top w:val="none" w:sz="0" w:space="0" w:color="auto"/>
        <w:left w:val="none" w:sz="0" w:space="0" w:color="auto"/>
        <w:bottom w:val="none" w:sz="0" w:space="0" w:color="auto"/>
        <w:right w:val="none" w:sz="0" w:space="0" w:color="auto"/>
      </w:divBdr>
    </w:div>
    <w:div w:id="1646542598">
      <w:bodyDiv w:val="1"/>
      <w:marLeft w:val="0"/>
      <w:marRight w:val="0"/>
      <w:marTop w:val="0"/>
      <w:marBottom w:val="0"/>
      <w:divBdr>
        <w:top w:val="none" w:sz="0" w:space="0" w:color="auto"/>
        <w:left w:val="none" w:sz="0" w:space="0" w:color="auto"/>
        <w:bottom w:val="none" w:sz="0" w:space="0" w:color="auto"/>
        <w:right w:val="none" w:sz="0" w:space="0" w:color="auto"/>
      </w:divBdr>
    </w:div>
    <w:div w:id="1656257380">
      <w:bodyDiv w:val="1"/>
      <w:marLeft w:val="0"/>
      <w:marRight w:val="0"/>
      <w:marTop w:val="0"/>
      <w:marBottom w:val="0"/>
      <w:divBdr>
        <w:top w:val="none" w:sz="0" w:space="0" w:color="auto"/>
        <w:left w:val="none" w:sz="0" w:space="0" w:color="auto"/>
        <w:bottom w:val="none" w:sz="0" w:space="0" w:color="auto"/>
        <w:right w:val="none" w:sz="0" w:space="0" w:color="auto"/>
      </w:divBdr>
    </w:div>
    <w:div w:id="1657025564">
      <w:bodyDiv w:val="1"/>
      <w:marLeft w:val="0"/>
      <w:marRight w:val="0"/>
      <w:marTop w:val="0"/>
      <w:marBottom w:val="0"/>
      <w:divBdr>
        <w:top w:val="none" w:sz="0" w:space="0" w:color="auto"/>
        <w:left w:val="none" w:sz="0" w:space="0" w:color="auto"/>
        <w:bottom w:val="none" w:sz="0" w:space="0" w:color="auto"/>
        <w:right w:val="none" w:sz="0" w:space="0" w:color="auto"/>
      </w:divBdr>
    </w:div>
    <w:div w:id="1657755786">
      <w:bodyDiv w:val="1"/>
      <w:marLeft w:val="0"/>
      <w:marRight w:val="0"/>
      <w:marTop w:val="0"/>
      <w:marBottom w:val="0"/>
      <w:divBdr>
        <w:top w:val="none" w:sz="0" w:space="0" w:color="auto"/>
        <w:left w:val="none" w:sz="0" w:space="0" w:color="auto"/>
        <w:bottom w:val="none" w:sz="0" w:space="0" w:color="auto"/>
        <w:right w:val="none" w:sz="0" w:space="0" w:color="auto"/>
      </w:divBdr>
    </w:div>
    <w:div w:id="1658849624">
      <w:bodyDiv w:val="1"/>
      <w:marLeft w:val="0"/>
      <w:marRight w:val="0"/>
      <w:marTop w:val="0"/>
      <w:marBottom w:val="0"/>
      <w:divBdr>
        <w:top w:val="none" w:sz="0" w:space="0" w:color="auto"/>
        <w:left w:val="none" w:sz="0" w:space="0" w:color="auto"/>
        <w:bottom w:val="none" w:sz="0" w:space="0" w:color="auto"/>
        <w:right w:val="none" w:sz="0" w:space="0" w:color="auto"/>
      </w:divBdr>
    </w:div>
    <w:div w:id="1659769453">
      <w:bodyDiv w:val="1"/>
      <w:marLeft w:val="0"/>
      <w:marRight w:val="0"/>
      <w:marTop w:val="0"/>
      <w:marBottom w:val="0"/>
      <w:divBdr>
        <w:top w:val="none" w:sz="0" w:space="0" w:color="auto"/>
        <w:left w:val="none" w:sz="0" w:space="0" w:color="auto"/>
        <w:bottom w:val="none" w:sz="0" w:space="0" w:color="auto"/>
        <w:right w:val="none" w:sz="0" w:space="0" w:color="auto"/>
      </w:divBdr>
    </w:div>
    <w:div w:id="1669093287">
      <w:bodyDiv w:val="1"/>
      <w:marLeft w:val="0"/>
      <w:marRight w:val="0"/>
      <w:marTop w:val="0"/>
      <w:marBottom w:val="0"/>
      <w:divBdr>
        <w:top w:val="none" w:sz="0" w:space="0" w:color="auto"/>
        <w:left w:val="none" w:sz="0" w:space="0" w:color="auto"/>
        <w:bottom w:val="none" w:sz="0" w:space="0" w:color="auto"/>
        <w:right w:val="none" w:sz="0" w:space="0" w:color="auto"/>
      </w:divBdr>
    </w:div>
    <w:div w:id="1670212786">
      <w:bodyDiv w:val="1"/>
      <w:marLeft w:val="0"/>
      <w:marRight w:val="0"/>
      <w:marTop w:val="0"/>
      <w:marBottom w:val="0"/>
      <w:divBdr>
        <w:top w:val="none" w:sz="0" w:space="0" w:color="auto"/>
        <w:left w:val="none" w:sz="0" w:space="0" w:color="auto"/>
        <w:bottom w:val="none" w:sz="0" w:space="0" w:color="auto"/>
        <w:right w:val="none" w:sz="0" w:space="0" w:color="auto"/>
      </w:divBdr>
    </w:div>
    <w:div w:id="1677610207">
      <w:bodyDiv w:val="1"/>
      <w:marLeft w:val="0"/>
      <w:marRight w:val="0"/>
      <w:marTop w:val="0"/>
      <w:marBottom w:val="0"/>
      <w:divBdr>
        <w:top w:val="none" w:sz="0" w:space="0" w:color="auto"/>
        <w:left w:val="none" w:sz="0" w:space="0" w:color="auto"/>
        <w:bottom w:val="none" w:sz="0" w:space="0" w:color="auto"/>
        <w:right w:val="none" w:sz="0" w:space="0" w:color="auto"/>
      </w:divBdr>
    </w:div>
    <w:div w:id="1686055460">
      <w:bodyDiv w:val="1"/>
      <w:marLeft w:val="0"/>
      <w:marRight w:val="0"/>
      <w:marTop w:val="0"/>
      <w:marBottom w:val="0"/>
      <w:divBdr>
        <w:top w:val="none" w:sz="0" w:space="0" w:color="auto"/>
        <w:left w:val="none" w:sz="0" w:space="0" w:color="auto"/>
        <w:bottom w:val="none" w:sz="0" w:space="0" w:color="auto"/>
        <w:right w:val="none" w:sz="0" w:space="0" w:color="auto"/>
      </w:divBdr>
    </w:div>
    <w:div w:id="1687826273">
      <w:bodyDiv w:val="1"/>
      <w:marLeft w:val="0"/>
      <w:marRight w:val="0"/>
      <w:marTop w:val="0"/>
      <w:marBottom w:val="0"/>
      <w:divBdr>
        <w:top w:val="none" w:sz="0" w:space="0" w:color="auto"/>
        <w:left w:val="none" w:sz="0" w:space="0" w:color="auto"/>
        <w:bottom w:val="none" w:sz="0" w:space="0" w:color="auto"/>
        <w:right w:val="none" w:sz="0" w:space="0" w:color="auto"/>
      </w:divBdr>
    </w:div>
    <w:div w:id="1691762882">
      <w:bodyDiv w:val="1"/>
      <w:marLeft w:val="0"/>
      <w:marRight w:val="0"/>
      <w:marTop w:val="0"/>
      <w:marBottom w:val="0"/>
      <w:divBdr>
        <w:top w:val="none" w:sz="0" w:space="0" w:color="auto"/>
        <w:left w:val="none" w:sz="0" w:space="0" w:color="auto"/>
        <w:bottom w:val="none" w:sz="0" w:space="0" w:color="auto"/>
        <w:right w:val="none" w:sz="0" w:space="0" w:color="auto"/>
      </w:divBdr>
    </w:div>
    <w:div w:id="1692952191">
      <w:bodyDiv w:val="1"/>
      <w:marLeft w:val="0"/>
      <w:marRight w:val="0"/>
      <w:marTop w:val="0"/>
      <w:marBottom w:val="0"/>
      <w:divBdr>
        <w:top w:val="none" w:sz="0" w:space="0" w:color="auto"/>
        <w:left w:val="none" w:sz="0" w:space="0" w:color="auto"/>
        <w:bottom w:val="none" w:sz="0" w:space="0" w:color="auto"/>
        <w:right w:val="none" w:sz="0" w:space="0" w:color="auto"/>
      </w:divBdr>
    </w:div>
    <w:div w:id="1695694668">
      <w:bodyDiv w:val="1"/>
      <w:marLeft w:val="0"/>
      <w:marRight w:val="0"/>
      <w:marTop w:val="0"/>
      <w:marBottom w:val="0"/>
      <w:divBdr>
        <w:top w:val="none" w:sz="0" w:space="0" w:color="auto"/>
        <w:left w:val="none" w:sz="0" w:space="0" w:color="auto"/>
        <w:bottom w:val="none" w:sz="0" w:space="0" w:color="auto"/>
        <w:right w:val="none" w:sz="0" w:space="0" w:color="auto"/>
      </w:divBdr>
    </w:div>
    <w:div w:id="1695885170">
      <w:bodyDiv w:val="1"/>
      <w:marLeft w:val="0"/>
      <w:marRight w:val="0"/>
      <w:marTop w:val="0"/>
      <w:marBottom w:val="0"/>
      <w:divBdr>
        <w:top w:val="none" w:sz="0" w:space="0" w:color="auto"/>
        <w:left w:val="none" w:sz="0" w:space="0" w:color="auto"/>
        <w:bottom w:val="none" w:sz="0" w:space="0" w:color="auto"/>
        <w:right w:val="none" w:sz="0" w:space="0" w:color="auto"/>
      </w:divBdr>
    </w:div>
    <w:div w:id="1702971631">
      <w:bodyDiv w:val="1"/>
      <w:marLeft w:val="0"/>
      <w:marRight w:val="0"/>
      <w:marTop w:val="0"/>
      <w:marBottom w:val="0"/>
      <w:divBdr>
        <w:top w:val="none" w:sz="0" w:space="0" w:color="auto"/>
        <w:left w:val="none" w:sz="0" w:space="0" w:color="auto"/>
        <w:bottom w:val="none" w:sz="0" w:space="0" w:color="auto"/>
        <w:right w:val="none" w:sz="0" w:space="0" w:color="auto"/>
      </w:divBdr>
    </w:div>
    <w:div w:id="1703364946">
      <w:bodyDiv w:val="1"/>
      <w:marLeft w:val="0"/>
      <w:marRight w:val="0"/>
      <w:marTop w:val="0"/>
      <w:marBottom w:val="0"/>
      <w:divBdr>
        <w:top w:val="none" w:sz="0" w:space="0" w:color="auto"/>
        <w:left w:val="none" w:sz="0" w:space="0" w:color="auto"/>
        <w:bottom w:val="none" w:sz="0" w:space="0" w:color="auto"/>
        <w:right w:val="none" w:sz="0" w:space="0" w:color="auto"/>
      </w:divBdr>
    </w:div>
    <w:div w:id="1705206356">
      <w:bodyDiv w:val="1"/>
      <w:marLeft w:val="0"/>
      <w:marRight w:val="0"/>
      <w:marTop w:val="0"/>
      <w:marBottom w:val="0"/>
      <w:divBdr>
        <w:top w:val="none" w:sz="0" w:space="0" w:color="auto"/>
        <w:left w:val="none" w:sz="0" w:space="0" w:color="auto"/>
        <w:bottom w:val="none" w:sz="0" w:space="0" w:color="auto"/>
        <w:right w:val="none" w:sz="0" w:space="0" w:color="auto"/>
      </w:divBdr>
    </w:div>
    <w:div w:id="1711954723">
      <w:bodyDiv w:val="1"/>
      <w:marLeft w:val="0"/>
      <w:marRight w:val="0"/>
      <w:marTop w:val="0"/>
      <w:marBottom w:val="0"/>
      <w:divBdr>
        <w:top w:val="none" w:sz="0" w:space="0" w:color="auto"/>
        <w:left w:val="none" w:sz="0" w:space="0" w:color="auto"/>
        <w:bottom w:val="none" w:sz="0" w:space="0" w:color="auto"/>
        <w:right w:val="none" w:sz="0" w:space="0" w:color="auto"/>
      </w:divBdr>
    </w:div>
    <w:div w:id="1717927291">
      <w:bodyDiv w:val="1"/>
      <w:marLeft w:val="0"/>
      <w:marRight w:val="0"/>
      <w:marTop w:val="0"/>
      <w:marBottom w:val="0"/>
      <w:divBdr>
        <w:top w:val="none" w:sz="0" w:space="0" w:color="auto"/>
        <w:left w:val="none" w:sz="0" w:space="0" w:color="auto"/>
        <w:bottom w:val="none" w:sz="0" w:space="0" w:color="auto"/>
        <w:right w:val="none" w:sz="0" w:space="0" w:color="auto"/>
      </w:divBdr>
    </w:div>
    <w:div w:id="1720476938">
      <w:bodyDiv w:val="1"/>
      <w:marLeft w:val="0"/>
      <w:marRight w:val="0"/>
      <w:marTop w:val="0"/>
      <w:marBottom w:val="0"/>
      <w:divBdr>
        <w:top w:val="none" w:sz="0" w:space="0" w:color="auto"/>
        <w:left w:val="none" w:sz="0" w:space="0" w:color="auto"/>
        <w:bottom w:val="none" w:sz="0" w:space="0" w:color="auto"/>
        <w:right w:val="none" w:sz="0" w:space="0" w:color="auto"/>
      </w:divBdr>
    </w:div>
    <w:div w:id="1734157428">
      <w:bodyDiv w:val="1"/>
      <w:marLeft w:val="0"/>
      <w:marRight w:val="0"/>
      <w:marTop w:val="0"/>
      <w:marBottom w:val="0"/>
      <w:divBdr>
        <w:top w:val="none" w:sz="0" w:space="0" w:color="auto"/>
        <w:left w:val="none" w:sz="0" w:space="0" w:color="auto"/>
        <w:bottom w:val="none" w:sz="0" w:space="0" w:color="auto"/>
        <w:right w:val="none" w:sz="0" w:space="0" w:color="auto"/>
      </w:divBdr>
    </w:div>
    <w:div w:id="1734770569">
      <w:bodyDiv w:val="1"/>
      <w:marLeft w:val="0"/>
      <w:marRight w:val="0"/>
      <w:marTop w:val="0"/>
      <w:marBottom w:val="0"/>
      <w:divBdr>
        <w:top w:val="none" w:sz="0" w:space="0" w:color="auto"/>
        <w:left w:val="none" w:sz="0" w:space="0" w:color="auto"/>
        <w:bottom w:val="none" w:sz="0" w:space="0" w:color="auto"/>
        <w:right w:val="none" w:sz="0" w:space="0" w:color="auto"/>
      </w:divBdr>
    </w:div>
    <w:div w:id="1736391068">
      <w:bodyDiv w:val="1"/>
      <w:marLeft w:val="0"/>
      <w:marRight w:val="0"/>
      <w:marTop w:val="0"/>
      <w:marBottom w:val="0"/>
      <w:divBdr>
        <w:top w:val="none" w:sz="0" w:space="0" w:color="auto"/>
        <w:left w:val="none" w:sz="0" w:space="0" w:color="auto"/>
        <w:bottom w:val="none" w:sz="0" w:space="0" w:color="auto"/>
        <w:right w:val="none" w:sz="0" w:space="0" w:color="auto"/>
      </w:divBdr>
    </w:div>
    <w:div w:id="1740903113">
      <w:bodyDiv w:val="1"/>
      <w:marLeft w:val="0"/>
      <w:marRight w:val="0"/>
      <w:marTop w:val="0"/>
      <w:marBottom w:val="0"/>
      <w:divBdr>
        <w:top w:val="none" w:sz="0" w:space="0" w:color="auto"/>
        <w:left w:val="none" w:sz="0" w:space="0" w:color="auto"/>
        <w:bottom w:val="none" w:sz="0" w:space="0" w:color="auto"/>
        <w:right w:val="none" w:sz="0" w:space="0" w:color="auto"/>
      </w:divBdr>
    </w:div>
    <w:div w:id="1741245093">
      <w:bodyDiv w:val="1"/>
      <w:marLeft w:val="0"/>
      <w:marRight w:val="0"/>
      <w:marTop w:val="0"/>
      <w:marBottom w:val="0"/>
      <w:divBdr>
        <w:top w:val="none" w:sz="0" w:space="0" w:color="auto"/>
        <w:left w:val="none" w:sz="0" w:space="0" w:color="auto"/>
        <w:bottom w:val="none" w:sz="0" w:space="0" w:color="auto"/>
        <w:right w:val="none" w:sz="0" w:space="0" w:color="auto"/>
      </w:divBdr>
    </w:div>
    <w:div w:id="1753968974">
      <w:bodyDiv w:val="1"/>
      <w:marLeft w:val="0"/>
      <w:marRight w:val="0"/>
      <w:marTop w:val="0"/>
      <w:marBottom w:val="0"/>
      <w:divBdr>
        <w:top w:val="none" w:sz="0" w:space="0" w:color="auto"/>
        <w:left w:val="none" w:sz="0" w:space="0" w:color="auto"/>
        <w:bottom w:val="none" w:sz="0" w:space="0" w:color="auto"/>
        <w:right w:val="none" w:sz="0" w:space="0" w:color="auto"/>
      </w:divBdr>
    </w:div>
    <w:div w:id="1754424407">
      <w:bodyDiv w:val="1"/>
      <w:marLeft w:val="0"/>
      <w:marRight w:val="0"/>
      <w:marTop w:val="0"/>
      <w:marBottom w:val="0"/>
      <w:divBdr>
        <w:top w:val="none" w:sz="0" w:space="0" w:color="auto"/>
        <w:left w:val="none" w:sz="0" w:space="0" w:color="auto"/>
        <w:bottom w:val="none" w:sz="0" w:space="0" w:color="auto"/>
        <w:right w:val="none" w:sz="0" w:space="0" w:color="auto"/>
      </w:divBdr>
    </w:div>
    <w:div w:id="1760784781">
      <w:bodyDiv w:val="1"/>
      <w:marLeft w:val="0"/>
      <w:marRight w:val="0"/>
      <w:marTop w:val="0"/>
      <w:marBottom w:val="0"/>
      <w:divBdr>
        <w:top w:val="none" w:sz="0" w:space="0" w:color="auto"/>
        <w:left w:val="none" w:sz="0" w:space="0" w:color="auto"/>
        <w:bottom w:val="none" w:sz="0" w:space="0" w:color="auto"/>
        <w:right w:val="none" w:sz="0" w:space="0" w:color="auto"/>
      </w:divBdr>
    </w:div>
    <w:div w:id="1765296219">
      <w:bodyDiv w:val="1"/>
      <w:marLeft w:val="0"/>
      <w:marRight w:val="0"/>
      <w:marTop w:val="0"/>
      <w:marBottom w:val="0"/>
      <w:divBdr>
        <w:top w:val="none" w:sz="0" w:space="0" w:color="auto"/>
        <w:left w:val="none" w:sz="0" w:space="0" w:color="auto"/>
        <w:bottom w:val="none" w:sz="0" w:space="0" w:color="auto"/>
        <w:right w:val="none" w:sz="0" w:space="0" w:color="auto"/>
      </w:divBdr>
    </w:div>
    <w:div w:id="1768454207">
      <w:bodyDiv w:val="1"/>
      <w:marLeft w:val="0"/>
      <w:marRight w:val="0"/>
      <w:marTop w:val="0"/>
      <w:marBottom w:val="0"/>
      <w:divBdr>
        <w:top w:val="none" w:sz="0" w:space="0" w:color="auto"/>
        <w:left w:val="none" w:sz="0" w:space="0" w:color="auto"/>
        <w:bottom w:val="none" w:sz="0" w:space="0" w:color="auto"/>
        <w:right w:val="none" w:sz="0" w:space="0" w:color="auto"/>
      </w:divBdr>
    </w:div>
    <w:div w:id="1768889547">
      <w:bodyDiv w:val="1"/>
      <w:marLeft w:val="0"/>
      <w:marRight w:val="0"/>
      <w:marTop w:val="0"/>
      <w:marBottom w:val="0"/>
      <w:divBdr>
        <w:top w:val="none" w:sz="0" w:space="0" w:color="auto"/>
        <w:left w:val="none" w:sz="0" w:space="0" w:color="auto"/>
        <w:bottom w:val="none" w:sz="0" w:space="0" w:color="auto"/>
        <w:right w:val="none" w:sz="0" w:space="0" w:color="auto"/>
      </w:divBdr>
    </w:div>
    <w:div w:id="1776167548">
      <w:bodyDiv w:val="1"/>
      <w:marLeft w:val="0"/>
      <w:marRight w:val="0"/>
      <w:marTop w:val="0"/>
      <w:marBottom w:val="0"/>
      <w:divBdr>
        <w:top w:val="none" w:sz="0" w:space="0" w:color="auto"/>
        <w:left w:val="none" w:sz="0" w:space="0" w:color="auto"/>
        <w:bottom w:val="none" w:sz="0" w:space="0" w:color="auto"/>
        <w:right w:val="none" w:sz="0" w:space="0" w:color="auto"/>
      </w:divBdr>
    </w:div>
    <w:div w:id="1776822803">
      <w:bodyDiv w:val="1"/>
      <w:marLeft w:val="0"/>
      <w:marRight w:val="0"/>
      <w:marTop w:val="0"/>
      <w:marBottom w:val="0"/>
      <w:divBdr>
        <w:top w:val="none" w:sz="0" w:space="0" w:color="auto"/>
        <w:left w:val="none" w:sz="0" w:space="0" w:color="auto"/>
        <w:bottom w:val="none" w:sz="0" w:space="0" w:color="auto"/>
        <w:right w:val="none" w:sz="0" w:space="0" w:color="auto"/>
      </w:divBdr>
    </w:div>
    <w:div w:id="1779450075">
      <w:bodyDiv w:val="1"/>
      <w:marLeft w:val="0"/>
      <w:marRight w:val="0"/>
      <w:marTop w:val="0"/>
      <w:marBottom w:val="0"/>
      <w:divBdr>
        <w:top w:val="none" w:sz="0" w:space="0" w:color="auto"/>
        <w:left w:val="none" w:sz="0" w:space="0" w:color="auto"/>
        <w:bottom w:val="none" w:sz="0" w:space="0" w:color="auto"/>
        <w:right w:val="none" w:sz="0" w:space="0" w:color="auto"/>
      </w:divBdr>
    </w:div>
    <w:div w:id="1779639655">
      <w:bodyDiv w:val="1"/>
      <w:marLeft w:val="0"/>
      <w:marRight w:val="0"/>
      <w:marTop w:val="0"/>
      <w:marBottom w:val="0"/>
      <w:divBdr>
        <w:top w:val="none" w:sz="0" w:space="0" w:color="auto"/>
        <w:left w:val="none" w:sz="0" w:space="0" w:color="auto"/>
        <w:bottom w:val="none" w:sz="0" w:space="0" w:color="auto"/>
        <w:right w:val="none" w:sz="0" w:space="0" w:color="auto"/>
      </w:divBdr>
    </w:div>
    <w:div w:id="1783845417">
      <w:bodyDiv w:val="1"/>
      <w:marLeft w:val="0"/>
      <w:marRight w:val="0"/>
      <w:marTop w:val="0"/>
      <w:marBottom w:val="0"/>
      <w:divBdr>
        <w:top w:val="none" w:sz="0" w:space="0" w:color="auto"/>
        <w:left w:val="none" w:sz="0" w:space="0" w:color="auto"/>
        <w:bottom w:val="none" w:sz="0" w:space="0" w:color="auto"/>
        <w:right w:val="none" w:sz="0" w:space="0" w:color="auto"/>
      </w:divBdr>
    </w:div>
    <w:div w:id="1784181154">
      <w:bodyDiv w:val="1"/>
      <w:marLeft w:val="0"/>
      <w:marRight w:val="0"/>
      <w:marTop w:val="0"/>
      <w:marBottom w:val="0"/>
      <w:divBdr>
        <w:top w:val="none" w:sz="0" w:space="0" w:color="auto"/>
        <w:left w:val="none" w:sz="0" w:space="0" w:color="auto"/>
        <w:bottom w:val="none" w:sz="0" w:space="0" w:color="auto"/>
        <w:right w:val="none" w:sz="0" w:space="0" w:color="auto"/>
      </w:divBdr>
    </w:div>
    <w:div w:id="1787503910">
      <w:bodyDiv w:val="1"/>
      <w:marLeft w:val="0"/>
      <w:marRight w:val="0"/>
      <w:marTop w:val="0"/>
      <w:marBottom w:val="0"/>
      <w:divBdr>
        <w:top w:val="none" w:sz="0" w:space="0" w:color="auto"/>
        <w:left w:val="none" w:sz="0" w:space="0" w:color="auto"/>
        <w:bottom w:val="none" w:sz="0" w:space="0" w:color="auto"/>
        <w:right w:val="none" w:sz="0" w:space="0" w:color="auto"/>
      </w:divBdr>
    </w:div>
    <w:div w:id="1789158131">
      <w:bodyDiv w:val="1"/>
      <w:marLeft w:val="0"/>
      <w:marRight w:val="0"/>
      <w:marTop w:val="0"/>
      <w:marBottom w:val="0"/>
      <w:divBdr>
        <w:top w:val="none" w:sz="0" w:space="0" w:color="auto"/>
        <w:left w:val="none" w:sz="0" w:space="0" w:color="auto"/>
        <w:bottom w:val="none" w:sz="0" w:space="0" w:color="auto"/>
        <w:right w:val="none" w:sz="0" w:space="0" w:color="auto"/>
      </w:divBdr>
    </w:div>
    <w:div w:id="1789927239">
      <w:bodyDiv w:val="1"/>
      <w:marLeft w:val="0"/>
      <w:marRight w:val="0"/>
      <w:marTop w:val="0"/>
      <w:marBottom w:val="0"/>
      <w:divBdr>
        <w:top w:val="none" w:sz="0" w:space="0" w:color="auto"/>
        <w:left w:val="none" w:sz="0" w:space="0" w:color="auto"/>
        <w:bottom w:val="none" w:sz="0" w:space="0" w:color="auto"/>
        <w:right w:val="none" w:sz="0" w:space="0" w:color="auto"/>
      </w:divBdr>
    </w:div>
    <w:div w:id="1791246922">
      <w:bodyDiv w:val="1"/>
      <w:marLeft w:val="0"/>
      <w:marRight w:val="0"/>
      <w:marTop w:val="0"/>
      <w:marBottom w:val="0"/>
      <w:divBdr>
        <w:top w:val="none" w:sz="0" w:space="0" w:color="auto"/>
        <w:left w:val="none" w:sz="0" w:space="0" w:color="auto"/>
        <w:bottom w:val="none" w:sz="0" w:space="0" w:color="auto"/>
        <w:right w:val="none" w:sz="0" w:space="0" w:color="auto"/>
      </w:divBdr>
    </w:div>
    <w:div w:id="1796093498">
      <w:bodyDiv w:val="1"/>
      <w:marLeft w:val="0"/>
      <w:marRight w:val="0"/>
      <w:marTop w:val="0"/>
      <w:marBottom w:val="0"/>
      <w:divBdr>
        <w:top w:val="none" w:sz="0" w:space="0" w:color="auto"/>
        <w:left w:val="none" w:sz="0" w:space="0" w:color="auto"/>
        <w:bottom w:val="none" w:sz="0" w:space="0" w:color="auto"/>
        <w:right w:val="none" w:sz="0" w:space="0" w:color="auto"/>
      </w:divBdr>
    </w:div>
    <w:div w:id="1804613479">
      <w:bodyDiv w:val="1"/>
      <w:marLeft w:val="0"/>
      <w:marRight w:val="0"/>
      <w:marTop w:val="0"/>
      <w:marBottom w:val="0"/>
      <w:divBdr>
        <w:top w:val="none" w:sz="0" w:space="0" w:color="auto"/>
        <w:left w:val="none" w:sz="0" w:space="0" w:color="auto"/>
        <w:bottom w:val="none" w:sz="0" w:space="0" w:color="auto"/>
        <w:right w:val="none" w:sz="0" w:space="0" w:color="auto"/>
      </w:divBdr>
    </w:div>
    <w:div w:id="1806653069">
      <w:bodyDiv w:val="1"/>
      <w:marLeft w:val="0"/>
      <w:marRight w:val="0"/>
      <w:marTop w:val="0"/>
      <w:marBottom w:val="0"/>
      <w:divBdr>
        <w:top w:val="none" w:sz="0" w:space="0" w:color="auto"/>
        <w:left w:val="none" w:sz="0" w:space="0" w:color="auto"/>
        <w:bottom w:val="none" w:sz="0" w:space="0" w:color="auto"/>
        <w:right w:val="none" w:sz="0" w:space="0" w:color="auto"/>
      </w:divBdr>
    </w:div>
    <w:div w:id="1810316366">
      <w:bodyDiv w:val="1"/>
      <w:marLeft w:val="0"/>
      <w:marRight w:val="0"/>
      <w:marTop w:val="0"/>
      <w:marBottom w:val="0"/>
      <w:divBdr>
        <w:top w:val="none" w:sz="0" w:space="0" w:color="auto"/>
        <w:left w:val="none" w:sz="0" w:space="0" w:color="auto"/>
        <w:bottom w:val="none" w:sz="0" w:space="0" w:color="auto"/>
        <w:right w:val="none" w:sz="0" w:space="0" w:color="auto"/>
      </w:divBdr>
    </w:div>
    <w:div w:id="1818641096">
      <w:bodyDiv w:val="1"/>
      <w:marLeft w:val="0"/>
      <w:marRight w:val="0"/>
      <w:marTop w:val="0"/>
      <w:marBottom w:val="0"/>
      <w:divBdr>
        <w:top w:val="none" w:sz="0" w:space="0" w:color="auto"/>
        <w:left w:val="none" w:sz="0" w:space="0" w:color="auto"/>
        <w:bottom w:val="none" w:sz="0" w:space="0" w:color="auto"/>
        <w:right w:val="none" w:sz="0" w:space="0" w:color="auto"/>
      </w:divBdr>
    </w:div>
    <w:div w:id="1820539856">
      <w:bodyDiv w:val="1"/>
      <w:marLeft w:val="0"/>
      <w:marRight w:val="0"/>
      <w:marTop w:val="0"/>
      <w:marBottom w:val="0"/>
      <w:divBdr>
        <w:top w:val="none" w:sz="0" w:space="0" w:color="auto"/>
        <w:left w:val="none" w:sz="0" w:space="0" w:color="auto"/>
        <w:bottom w:val="none" w:sz="0" w:space="0" w:color="auto"/>
        <w:right w:val="none" w:sz="0" w:space="0" w:color="auto"/>
      </w:divBdr>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
    <w:div w:id="1829126338">
      <w:bodyDiv w:val="1"/>
      <w:marLeft w:val="0"/>
      <w:marRight w:val="0"/>
      <w:marTop w:val="0"/>
      <w:marBottom w:val="0"/>
      <w:divBdr>
        <w:top w:val="none" w:sz="0" w:space="0" w:color="auto"/>
        <w:left w:val="none" w:sz="0" w:space="0" w:color="auto"/>
        <w:bottom w:val="none" w:sz="0" w:space="0" w:color="auto"/>
        <w:right w:val="none" w:sz="0" w:space="0" w:color="auto"/>
      </w:divBdr>
    </w:div>
    <w:div w:id="1836260819">
      <w:bodyDiv w:val="1"/>
      <w:marLeft w:val="0"/>
      <w:marRight w:val="0"/>
      <w:marTop w:val="0"/>
      <w:marBottom w:val="0"/>
      <w:divBdr>
        <w:top w:val="none" w:sz="0" w:space="0" w:color="auto"/>
        <w:left w:val="none" w:sz="0" w:space="0" w:color="auto"/>
        <w:bottom w:val="none" w:sz="0" w:space="0" w:color="auto"/>
        <w:right w:val="none" w:sz="0" w:space="0" w:color="auto"/>
      </w:divBdr>
    </w:div>
    <w:div w:id="1836409201">
      <w:bodyDiv w:val="1"/>
      <w:marLeft w:val="0"/>
      <w:marRight w:val="0"/>
      <w:marTop w:val="0"/>
      <w:marBottom w:val="0"/>
      <w:divBdr>
        <w:top w:val="none" w:sz="0" w:space="0" w:color="auto"/>
        <w:left w:val="none" w:sz="0" w:space="0" w:color="auto"/>
        <w:bottom w:val="none" w:sz="0" w:space="0" w:color="auto"/>
        <w:right w:val="none" w:sz="0" w:space="0" w:color="auto"/>
      </w:divBdr>
    </w:div>
    <w:div w:id="1837070362">
      <w:bodyDiv w:val="1"/>
      <w:marLeft w:val="0"/>
      <w:marRight w:val="0"/>
      <w:marTop w:val="0"/>
      <w:marBottom w:val="0"/>
      <w:divBdr>
        <w:top w:val="none" w:sz="0" w:space="0" w:color="auto"/>
        <w:left w:val="none" w:sz="0" w:space="0" w:color="auto"/>
        <w:bottom w:val="none" w:sz="0" w:space="0" w:color="auto"/>
        <w:right w:val="none" w:sz="0" w:space="0" w:color="auto"/>
      </w:divBdr>
    </w:div>
    <w:div w:id="1840660755">
      <w:bodyDiv w:val="1"/>
      <w:marLeft w:val="0"/>
      <w:marRight w:val="0"/>
      <w:marTop w:val="0"/>
      <w:marBottom w:val="0"/>
      <w:divBdr>
        <w:top w:val="none" w:sz="0" w:space="0" w:color="auto"/>
        <w:left w:val="none" w:sz="0" w:space="0" w:color="auto"/>
        <w:bottom w:val="none" w:sz="0" w:space="0" w:color="auto"/>
        <w:right w:val="none" w:sz="0" w:space="0" w:color="auto"/>
      </w:divBdr>
    </w:div>
    <w:div w:id="1856730473">
      <w:bodyDiv w:val="1"/>
      <w:marLeft w:val="0"/>
      <w:marRight w:val="0"/>
      <w:marTop w:val="0"/>
      <w:marBottom w:val="0"/>
      <w:divBdr>
        <w:top w:val="none" w:sz="0" w:space="0" w:color="auto"/>
        <w:left w:val="none" w:sz="0" w:space="0" w:color="auto"/>
        <w:bottom w:val="none" w:sz="0" w:space="0" w:color="auto"/>
        <w:right w:val="none" w:sz="0" w:space="0" w:color="auto"/>
      </w:divBdr>
    </w:div>
    <w:div w:id="1856798108">
      <w:bodyDiv w:val="1"/>
      <w:marLeft w:val="0"/>
      <w:marRight w:val="0"/>
      <w:marTop w:val="0"/>
      <w:marBottom w:val="0"/>
      <w:divBdr>
        <w:top w:val="none" w:sz="0" w:space="0" w:color="auto"/>
        <w:left w:val="none" w:sz="0" w:space="0" w:color="auto"/>
        <w:bottom w:val="none" w:sz="0" w:space="0" w:color="auto"/>
        <w:right w:val="none" w:sz="0" w:space="0" w:color="auto"/>
      </w:divBdr>
    </w:div>
    <w:div w:id="1861889314">
      <w:bodyDiv w:val="1"/>
      <w:marLeft w:val="0"/>
      <w:marRight w:val="0"/>
      <w:marTop w:val="0"/>
      <w:marBottom w:val="0"/>
      <w:divBdr>
        <w:top w:val="none" w:sz="0" w:space="0" w:color="auto"/>
        <w:left w:val="none" w:sz="0" w:space="0" w:color="auto"/>
        <w:bottom w:val="none" w:sz="0" w:space="0" w:color="auto"/>
        <w:right w:val="none" w:sz="0" w:space="0" w:color="auto"/>
      </w:divBdr>
    </w:div>
    <w:div w:id="1866137709">
      <w:bodyDiv w:val="1"/>
      <w:marLeft w:val="0"/>
      <w:marRight w:val="0"/>
      <w:marTop w:val="0"/>
      <w:marBottom w:val="0"/>
      <w:divBdr>
        <w:top w:val="none" w:sz="0" w:space="0" w:color="auto"/>
        <w:left w:val="none" w:sz="0" w:space="0" w:color="auto"/>
        <w:bottom w:val="none" w:sz="0" w:space="0" w:color="auto"/>
        <w:right w:val="none" w:sz="0" w:space="0" w:color="auto"/>
      </w:divBdr>
    </w:div>
    <w:div w:id="1870947825">
      <w:bodyDiv w:val="1"/>
      <w:marLeft w:val="0"/>
      <w:marRight w:val="0"/>
      <w:marTop w:val="0"/>
      <w:marBottom w:val="0"/>
      <w:divBdr>
        <w:top w:val="none" w:sz="0" w:space="0" w:color="auto"/>
        <w:left w:val="none" w:sz="0" w:space="0" w:color="auto"/>
        <w:bottom w:val="none" w:sz="0" w:space="0" w:color="auto"/>
        <w:right w:val="none" w:sz="0" w:space="0" w:color="auto"/>
      </w:divBdr>
    </w:div>
    <w:div w:id="1881938268">
      <w:bodyDiv w:val="1"/>
      <w:marLeft w:val="0"/>
      <w:marRight w:val="0"/>
      <w:marTop w:val="0"/>
      <w:marBottom w:val="0"/>
      <w:divBdr>
        <w:top w:val="none" w:sz="0" w:space="0" w:color="auto"/>
        <w:left w:val="none" w:sz="0" w:space="0" w:color="auto"/>
        <w:bottom w:val="none" w:sz="0" w:space="0" w:color="auto"/>
        <w:right w:val="none" w:sz="0" w:space="0" w:color="auto"/>
      </w:divBdr>
    </w:div>
    <w:div w:id="1884173785">
      <w:bodyDiv w:val="1"/>
      <w:marLeft w:val="0"/>
      <w:marRight w:val="0"/>
      <w:marTop w:val="0"/>
      <w:marBottom w:val="0"/>
      <w:divBdr>
        <w:top w:val="none" w:sz="0" w:space="0" w:color="auto"/>
        <w:left w:val="none" w:sz="0" w:space="0" w:color="auto"/>
        <w:bottom w:val="none" w:sz="0" w:space="0" w:color="auto"/>
        <w:right w:val="none" w:sz="0" w:space="0" w:color="auto"/>
      </w:divBdr>
    </w:div>
    <w:div w:id="1884755325">
      <w:bodyDiv w:val="1"/>
      <w:marLeft w:val="0"/>
      <w:marRight w:val="0"/>
      <w:marTop w:val="0"/>
      <w:marBottom w:val="0"/>
      <w:divBdr>
        <w:top w:val="none" w:sz="0" w:space="0" w:color="auto"/>
        <w:left w:val="none" w:sz="0" w:space="0" w:color="auto"/>
        <w:bottom w:val="none" w:sz="0" w:space="0" w:color="auto"/>
        <w:right w:val="none" w:sz="0" w:space="0" w:color="auto"/>
      </w:divBdr>
    </w:div>
    <w:div w:id="1892619700">
      <w:bodyDiv w:val="1"/>
      <w:marLeft w:val="0"/>
      <w:marRight w:val="0"/>
      <w:marTop w:val="0"/>
      <w:marBottom w:val="0"/>
      <w:divBdr>
        <w:top w:val="none" w:sz="0" w:space="0" w:color="auto"/>
        <w:left w:val="none" w:sz="0" w:space="0" w:color="auto"/>
        <w:bottom w:val="none" w:sz="0" w:space="0" w:color="auto"/>
        <w:right w:val="none" w:sz="0" w:space="0" w:color="auto"/>
      </w:divBdr>
    </w:div>
    <w:div w:id="1895503260">
      <w:bodyDiv w:val="1"/>
      <w:marLeft w:val="0"/>
      <w:marRight w:val="0"/>
      <w:marTop w:val="0"/>
      <w:marBottom w:val="0"/>
      <w:divBdr>
        <w:top w:val="none" w:sz="0" w:space="0" w:color="auto"/>
        <w:left w:val="none" w:sz="0" w:space="0" w:color="auto"/>
        <w:bottom w:val="none" w:sz="0" w:space="0" w:color="auto"/>
        <w:right w:val="none" w:sz="0" w:space="0" w:color="auto"/>
      </w:divBdr>
    </w:div>
    <w:div w:id="1897203175">
      <w:bodyDiv w:val="1"/>
      <w:marLeft w:val="0"/>
      <w:marRight w:val="0"/>
      <w:marTop w:val="0"/>
      <w:marBottom w:val="0"/>
      <w:divBdr>
        <w:top w:val="none" w:sz="0" w:space="0" w:color="auto"/>
        <w:left w:val="none" w:sz="0" w:space="0" w:color="auto"/>
        <w:bottom w:val="none" w:sz="0" w:space="0" w:color="auto"/>
        <w:right w:val="none" w:sz="0" w:space="0" w:color="auto"/>
      </w:divBdr>
    </w:div>
    <w:div w:id="1898516738">
      <w:bodyDiv w:val="1"/>
      <w:marLeft w:val="0"/>
      <w:marRight w:val="0"/>
      <w:marTop w:val="0"/>
      <w:marBottom w:val="0"/>
      <w:divBdr>
        <w:top w:val="none" w:sz="0" w:space="0" w:color="auto"/>
        <w:left w:val="none" w:sz="0" w:space="0" w:color="auto"/>
        <w:bottom w:val="none" w:sz="0" w:space="0" w:color="auto"/>
        <w:right w:val="none" w:sz="0" w:space="0" w:color="auto"/>
      </w:divBdr>
    </w:div>
    <w:div w:id="1907102210">
      <w:bodyDiv w:val="1"/>
      <w:marLeft w:val="0"/>
      <w:marRight w:val="0"/>
      <w:marTop w:val="0"/>
      <w:marBottom w:val="0"/>
      <w:divBdr>
        <w:top w:val="none" w:sz="0" w:space="0" w:color="auto"/>
        <w:left w:val="none" w:sz="0" w:space="0" w:color="auto"/>
        <w:bottom w:val="none" w:sz="0" w:space="0" w:color="auto"/>
        <w:right w:val="none" w:sz="0" w:space="0" w:color="auto"/>
      </w:divBdr>
    </w:div>
    <w:div w:id="1912345598">
      <w:bodyDiv w:val="1"/>
      <w:marLeft w:val="0"/>
      <w:marRight w:val="0"/>
      <w:marTop w:val="0"/>
      <w:marBottom w:val="0"/>
      <w:divBdr>
        <w:top w:val="none" w:sz="0" w:space="0" w:color="auto"/>
        <w:left w:val="none" w:sz="0" w:space="0" w:color="auto"/>
        <w:bottom w:val="none" w:sz="0" w:space="0" w:color="auto"/>
        <w:right w:val="none" w:sz="0" w:space="0" w:color="auto"/>
      </w:divBdr>
    </w:div>
    <w:div w:id="1914972852">
      <w:bodyDiv w:val="1"/>
      <w:marLeft w:val="0"/>
      <w:marRight w:val="0"/>
      <w:marTop w:val="0"/>
      <w:marBottom w:val="0"/>
      <w:divBdr>
        <w:top w:val="none" w:sz="0" w:space="0" w:color="auto"/>
        <w:left w:val="none" w:sz="0" w:space="0" w:color="auto"/>
        <w:bottom w:val="none" w:sz="0" w:space="0" w:color="auto"/>
        <w:right w:val="none" w:sz="0" w:space="0" w:color="auto"/>
      </w:divBdr>
    </w:div>
    <w:div w:id="1915704708">
      <w:bodyDiv w:val="1"/>
      <w:marLeft w:val="0"/>
      <w:marRight w:val="0"/>
      <w:marTop w:val="0"/>
      <w:marBottom w:val="0"/>
      <w:divBdr>
        <w:top w:val="none" w:sz="0" w:space="0" w:color="auto"/>
        <w:left w:val="none" w:sz="0" w:space="0" w:color="auto"/>
        <w:bottom w:val="none" w:sz="0" w:space="0" w:color="auto"/>
        <w:right w:val="none" w:sz="0" w:space="0" w:color="auto"/>
      </w:divBdr>
    </w:div>
    <w:div w:id="1922908098">
      <w:bodyDiv w:val="1"/>
      <w:marLeft w:val="0"/>
      <w:marRight w:val="0"/>
      <w:marTop w:val="0"/>
      <w:marBottom w:val="0"/>
      <w:divBdr>
        <w:top w:val="none" w:sz="0" w:space="0" w:color="auto"/>
        <w:left w:val="none" w:sz="0" w:space="0" w:color="auto"/>
        <w:bottom w:val="none" w:sz="0" w:space="0" w:color="auto"/>
        <w:right w:val="none" w:sz="0" w:space="0" w:color="auto"/>
      </w:divBdr>
    </w:div>
    <w:div w:id="1927375186">
      <w:bodyDiv w:val="1"/>
      <w:marLeft w:val="0"/>
      <w:marRight w:val="0"/>
      <w:marTop w:val="0"/>
      <w:marBottom w:val="0"/>
      <w:divBdr>
        <w:top w:val="none" w:sz="0" w:space="0" w:color="auto"/>
        <w:left w:val="none" w:sz="0" w:space="0" w:color="auto"/>
        <w:bottom w:val="none" w:sz="0" w:space="0" w:color="auto"/>
        <w:right w:val="none" w:sz="0" w:space="0" w:color="auto"/>
      </w:divBdr>
    </w:div>
    <w:div w:id="1930238640">
      <w:bodyDiv w:val="1"/>
      <w:marLeft w:val="0"/>
      <w:marRight w:val="0"/>
      <w:marTop w:val="0"/>
      <w:marBottom w:val="0"/>
      <w:divBdr>
        <w:top w:val="none" w:sz="0" w:space="0" w:color="auto"/>
        <w:left w:val="none" w:sz="0" w:space="0" w:color="auto"/>
        <w:bottom w:val="none" w:sz="0" w:space="0" w:color="auto"/>
        <w:right w:val="none" w:sz="0" w:space="0" w:color="auto"/>
      </w:divBdr>
    </w:div>
    <w:div w:id="1930893904">
      <w:bodyDiv w:val="1"/>
      <w:marLeft w:val="0"/>
      <w:marRight w:val="0"/>
      <w:marTop w:val="0"/>
      <w:marBottom w:val="0"/>
      <w:divBdr>
        <w:top w:val="none" w:sz="0" w:space="0" w:color="auto"/>
        <w:left w:val="none" w:sz="0" w:space="0" w:color="auto"/>
        <w:bottom w:val="none" w:sz="0" w:space="0" w:color="auto"/>
        <w:right w:val="none" w:sz="0" w:space="0" w:color="auto"/>
      </w:divBdr>
    </w:div>
    <w:div w:id="1932278871">
      <w:bodyDiv w:val="1"/>
      <w:marLeft w:val="0"/>
      <w:marRight w:val="0"/>
      <w:marTop w:val="0"/>
      <w:marBottom w:val="0"/>
      <w:divBdr>
        <w:top w:val="none" w:sz="0" w:space="0" w:color="auto"/>
        <w:left w:val="none" w:sz="0" w:space="0" w:color="auto"/>
        <w:bottom w:val="none" w:sz="0" w:space="0" w:color="auto"/>
        <w:right w:val="none" w:sz="0" w:space="0" w:color="auto"/>
      </w:divBdr>
    </w:div>
    <w:div w:id="1935820475">
      <w:bodyDiv w:val="1"/>
      <w:marLeft w:val="0"/>
      <w:marRight w:val="0"/>
      <w:marTop w:val="0"/>
      <w:marBottom w:val="0"/>
      <w:divBdr>
        <w:top w:val="none" w:sz="0" w:space="0" w:color="auto"/>
        <w:left w:val="none" w:sz="0" w:space="0" w:color="auto"/>
        <w:bottom w:val="none" w:sz="0" w:space="0" w:color="auto"/>
        <w:right w:val="none" w:sz="0" w:space="0" w:color="auto"/>
      </w:divBdr>
    </w:div>
    <w:div w:id="1938058294">
      <w:bodyDiv w:val="1"/>
      <w:marLeft w:val="0"/>
      <w:marRight w:val="0"/>
      <w:marTop w:val="0"/>
      <w:marBottom w:val="0"/>
      <w:divBdr>
        <w:top w:val="none" w:sz="0" w:space="0" w:color="auto"/>
        <w:left w:val="none" w:sz="0" w:space="0" w:color="auto"/>
        <w:bottom w:val="none" w:sz="0" w:space="0" w:color="auto"/>
        <w:right w:val="none" w:sz="0" w:space="0" w:color="auto"/>
      </w:divBdr>
    </w:div>
    <w:div w:id="1938831788">
      <w:bodyDiv w:val="1"/>
      <w:marLeft w:val="0"/>
      <w:marRight w:val="0"/>
      <w:marTop w:val="0"/>
      <w:marBottom w:val="0"/>
      <w:divBdr>
        <w:top w:val="none" w:sz="0" w:space="0" w:color="auto"/>
        <w:left w:val="none" w:sz="0" w:space="0" w:color="auto"/>
        <w:bottom w:val="none" w:sz="0" w:space="0" w:color="auto"/>
        <w:right w:val="none" w:sz="0" w:space="0" w:color="auto"/>
      </w:divBdr>
    </w:div>
    <w:div w:id="1943950945">
      <w:bodyDiv w:val="1"/>
      <w:marLeft w:val="0"/>
      <w:marRight w:val="0"/>
      <w:marTop w:val="0"/>
      <w:marBottom w:val="0"/>
      <w:divBdr>
        <w:top w:val="none" w:sz="0" w:space="0" w:color="auto"/>
        <w:left w:val="none" w:sz="0" w:space="0" w:color="auto"/>
        <w:bottom w:val="none" w:sz="0" w:space="0" w:color="auto"/>
        <w:right w:val="none" w:sz="0" w:space="0" w:color="auto"/>
      </w:divBdr>
    </w:div>
    <w:div w:id="1945191579">
      <w:bodyDiv w:val="1"/>
      <w:marLeft w:val="0"/>
      <w:marRight w:val="0"/>
      <w:marTop w:val="0"/>
      <w:marBottom w:val="0"/>
      <w:divBdr>
        <w:top w:val="none" w:sz="0" w:space="0" w:color="auto"/>
        <w:left w:val="none" w:sz="0" w:space="0" w:color="auto"/>
        <w:bottom w:val="none" w:sz="0" w:space="0" w:color="auto"/>
        <w:right w:val="none" w:sz="0" w:space="0" w:color="auto"/>
      </w:divBdr>
    </w:div>
    <w:div w:id="1946158272">
      <w:bodyDiv w:val="1"/>
      <w:marLeft w:val="0"/>
      <w:marRight w:val="0"/>
      <w:marTop w:val="0"/>
      <w:marBottom w:val="0"/>
      <w:divBdr>
        <w:top w:val="none" w:sz="0" w:space="0" w:color="auto"/>
        <w:left w:val="none" w:sz="0" w:space="0" w:color="auto"/>
        <w:bottom w:val="none" w:sz="0" w:space="0" w:color="auto"/>
        <w:right w:val="none" w:sz="0" w:space="0" w:color="auto"/>
      </w:divBdr>
    </w:div>
    <w:div w:id="1950699000">
      <w:bodyDiv w:val="1"/>
      <w:marLeft w:val="0"/>
      <w:marRight w:val="0"/>
      <w:marTop w:val="0"/>
      <w:marBottom w:val="0"/>
      <w:divBdr>
        <w:top w:val="none" w:sz="0" w:space="0" w:color="auto"/>
        <w:left w:val="none" w:sz="0" w:space="0" w:color="auto"/>
        <w:bottom w:val="none" w:sz="0" w:space="0" w:color="auto"/>
        <w:right w:val="none" w:sz="0" w:space="0" w:color="auto"/>
      </w:divBdr>
    </w:div>
    <w:div w:id="1951087497">
      <w:bodyDiv w:val="1"/>
      <w:marLeft w:val="0"/>
      <w:marRight w:val="0"/>
      <w:marTop w:val="0"/>
      <w:marBottom w:val="0"/>
      <w:divBdr>
        <w:top w:val="none" w:sz="0" w:space="0" w:color="auto"/>
        <w:left w:val="none" w:sz="0" w:space="0" w:color="auto"/>
        <w:bottom w:val="none" w:sz="0" w:space="0" w:color="auto"/>
        <w:right w:val="none" w:sz="0" w:space="0" w:color="auto"/>
      </w:divBdr>
    </w:div>
    <w:div w:id="1953129535">
      <w:bodyDiv w:val="1"/>
      <w:marLeft w:val="0"/>
      <w:marRight w:val="0"/>
      <w:marTop w:val="0"/>
      <w:marBottom w:val="0"/>
      <w:divBdr>
        <w:top w:val="none" w:sz="0" w:space="0" w:color="auto"/>
        <w:left w:val="none" w:sz="0" w:space="0" w:color="auto"/>
        <w:bottom w:val="none" w:sz="0" w:space="0" w:color="auto"/>
        <w:right w:val="none" w:sz="0" w:space="0" w:color="auto"/>
      </w:divBdr>
    </w:div>
    <w:div w:id="1960987719">
      <w:bodyDiv w:val="1"/>
      <w:marLeft w:val="0"/>
      <w:marRight w:val="0"/>
      <w:marTop w:val="0"/>
      <w:marBottom w:val="0"/>
      <w:divBdr>
        <w:top w:val="none" w:sz="0" w:space="0" w:color="auto"/>
        <w:left w:val="none" w:sz="0" w:space="0" w:color="auto"/>
        <w:bottom w:val="none" w:sz="0" w:space="0" w:color="auto"/>
        <w:right w:val="none" w:sz="0" w:space="0" w:color="auto"/>
      </w:divBdr>
    </w:div>
    <w:div w:id="1965767815">
      <w:bodyDiv w:val="1"/>
      <w:marLeft w:val="0"/>
      <w:marRight w:val="0"/>
      <w:marTop w:val="0"/>
      <w:marBottom w:val="0"/>
      <w:divBdr>
        <w:top w:val="none" w:sz="0" w:space="0" w:color="auto"/>
        <w:left w:val="none" w:sz="0" w:space="0" w:color="auto"/>
        <w:bottom w:val="none" w:sz="0" w:space="0" w:color="auto"/>
        <w:right w:val="none" w:sz="0" w:space="0" w:color="auto"/>
      </w:divBdr>
    </w:div>
    <w:div w:id="1969430703">
      <w:bodyDiv w:val="1"/>
      <w:marLeft w:val="0"/>
      <w:marRight w:val="0"/>
      <w:marTop w:val="0"/>
      <w:marBottom w:val="0"/>
      <w:divBdr>
        <w:top w:val="none" w:sz="0" w:space="0" w:color="auto"/>
        <w:left w:val="none" w:sz="0" w:space="0" w:color="auto"/>
        <w:bottom w:val="none" w:sz="0" w:space="0" w:color="auto"/>
        <w:right w:val="none" w:sz="0" w:space="0" w:color="auto"/>
      </w:divBdr>
    </w:div>
    <w:div w:id="1977759222">
      <w:bodyDiv w:val="1"/>
      <w:marLeft w:val="0"/>
      <w:marRight w:val="0"/>
      <w:marTop w:val="0"/>
      <w:marBottom w:val="0"/>
      <w:divBdr>
        <w:top w:val="none" w:sz="0" w:space="0" w:color="auto"/>
        <w:left w:val="none" w:sz="0" w:space="0" w:color="auto"/>
        <w:bottom w:val="none" w:sz="0" w:space="0" w:color="auto"/>
        <w:right w:val="none" w:sz="0" w:space="0" w:color="auto"/>
      </w:divBdr>
    </w:div>
    <w:div w:id="1983390728">
      <w:bodyDiv w:val="1"/>
      <w:marLeft w:val="0"/>
      <w:marRight w:val="0"/>
      <w:marTop w:val="0"/>
      <w:marBottom w:val="0"/>
      <w:divBdr>
        <w:top w:val="none" w:sz="0" w:space="0" w:color="auto"/>
        <w:left w:val="none" w:sz="0" w:space="0" w:color="auto"/>
        <w:bottom w:val="none" w:sz="0" w:space="0" w:color="auto"/>
        <w:right w:val="none" w:sz="0" w:space="0" w:color="auto"/>
      </w:divBdr>
    </w:div>
    <w:div w:id="1984579816">
      <w:bodyDiv w:val="1"/>
      <w:marLeft w:val="0"/>
      <w:marRight w:val="0"/>
      <w:marTop w:val="0"/>
      <w:marBottom w:val="0"/>
      <w:divBdr>
        <w:top w:val="none" w:sz="0" w:space="0" w:color="auto"/>
        <w:left w:val="none" w:sz="0" w:space="0" w:color="auto"/>
        <w:bottom w:val="none" w:sz="0" w:space="0" w:color="auto"/>
        <w:right w:val="none" w:sz="0" w:space="0" w:color="auto"/>
      </w:divBdr>
    </w:div>
    <w:div w:id="1989286854">
      <w:bodyDiv w:val="1"/>
      <w:marLeft w:val="0"/>
      <w:marRight w:val="0"/>
      <w:marTop w:val="0"/>
      <w:marBottom w:val="0"/>
      <w:divBdr>
        <w:top w:val="none" w:sz="0" w:space="0" w:color="auto"/>
        <w:left w:val="none" w:sz="0" w:space="0" w:color="auto"/>
        <w:bottom w:val="none" w:sz="0" w:space="0" w:color="auto"/>
        <w:right w:val="none" w:sz="0" w:space="0" w:color="auto"/>
      </w:divBdr>
    </w:div>
    <w:div w:id="2003854215">
      <w:bodyDiv w:val="1"/>
      <w:marLeft w:val="0"/>
      <w:marRight w:val="0"/>
      <w:marTop w:val="0"/>
      <w:marBottom w:val="0"/>
      <w:divBdr>
        <w:top w:val="none" w:sz="0" w:space="0" w:color="auto"/>
        <w:left w:val="none" w:sz="0" w:space="0" w:color="auto"/>
        <w:bottom w:val="none" w:sz="0" w:space="0" w:color="auto"/>
        <w:right w:val="none" w:sz="0" w:space="0" w:color="auto"/>
      </w:divBdr>
    </w:div>
    <w:div w:id="2006786741">
      <w:bodyDiv w:val="1"/>
      <w:marLeft w:val="0"/>
      <w:marRight w:val="0"/>
      <w:marTop w:val="0"/>
      <w:marBottom w:val="0"/>
      <w:divBdr>
        <w:top w:val="none" w:sz="0" w:space="0" w:color="auto"/>
        <w:left w:val="none" w:sz="0" w:space="0" w:color="auto"/>
        <w:bottom w:val="none" w:sz="0" w:space="0" w:color="auto"/>
        <w:right w:val="none" w:sz="0" w:space="0" w:color="auto"/>
      </w:divBdr>
    </w:div>
    <w:div w:id="2010787246">
      <w:bodyDiv w:val="1"/>
      <w:marLeft w:val="0"/>
      <w:marRight w:val="0"/>
      <w:marTop w:val="0"/>
      <w:marBottom w:val="0"/>
      <w:divBdr>
        <w:top w:val="none" w:sz="0" w:space="0" w:color="auto"/>
        <w:left w:val="none" w:sz="0" w:space="0" w:color="auto"/>
        <w:bottom w:val="none" w:sz="0" w:space="0" w:color="auto"/>
        <w:right w:val="none" w:sz="0" w:space="0" w:color="auto"/>
      </w:divBdr>
    </w:div>
    <w:div w:id="2014644992">
      <w:bodyDiv w:val="1"/>
      <w:marLeft w:val="0"/>
      <w:marRight w:val="0"/>
      <w:marTop w:val="0"/>
      <w:marBottom w:val="0"/>
      <w:divBdr>
        <w:top w:val="none" w:sz="0" w:space="0" w:color="auto"/>
        <w:left w:val="none" w:sz="0" w:space="0" w:color="auto"/>
        <w:bottom w:val="none" w:sz="0" w:space="0" w:color="auto"/>
        <w:right w:val="none" w:sz="0" w:space="0" w:color="auto"/>
      </w:divBdr>
    </w:div>
    <w:div w:id="2015761514">
      <w:bodyDiv w:val="1"/>
      <w:marLeft w:val="0"/>
      <w:marRight w:val="0"/>
      <w:marTop w:val="0"/>
      <w:marBottom w:val="0"/>
      <w:divBdr>
        <w:top w:val="none" w:sz="0" w:space="0" w:color="auto"/>
        <w:left w:val="none" w:sz="0" w:space="0" w:color="auto"/>
        <w:bottom w:val="none" w:sz="0" w:space="0" w:color="auto"/>
        <w:right w:val="none" w:sz="0" w:space="0" w:color="auto"/>
      </w:divBdr>
    </w:div>
    <w:div w:id="2028284371">
      <w:bodyDiv w:val="1"/>
      <w:marLeft w:val="0"/>
      <w:marRight w:val="0"/>
      <w:marTop w:val="0"/>
      <w:marBottom w:val="0"/>
      <w:divBdr>
        <w:top w:val="none" w:sz="0" w:space="0" w:color="auto"/>
        <w:left w:val="none" w:sz="0" w:space="0" w:color="auto"/>
        <w:bottom w:val="none" w:sz="0" w:space="0" w:color="auto"/>
        <w:right w:val="none" w:sz="0" w:space="0" w:color="auto"/>
      </w:divBdr>
    </w:div>
    <w:div w:id="2033066651">
      <w:bodyDiv w:val="1"/>
      <w:marLeft w:val="0"/>
      <w:marRight w:val="0"/>
      <w:marTop w:val="0"/>
      <w:marBottom w:val="0"/>
      <w:divBdr>
        <w:top w:val="none" w:sz="0" w:space="0" w:color="auto"/>
        <w:left w:val="none" w:sz="0" w:space="0" w:color="auto"/>
        <w:bottom w:val="none" w:sz="0" w:space="0" w:color="auto"/>
        <w:right w:val="none" w:sz="0" w:space="0" w:color="auto"/>
      </w:divBdr>
    </w:div>
    <w:div w:id="2034379060">
      <w:bodyDiv w:val="1"/>
      <w:marLeft w:val="0"/>
      <w:marRight w:val="0"/>
      <w:marTop w:val="0"/>
      <w:marBottom w:val="0"/>
      <w:divBdr>
        <w:top w:val="none" w:sz="0" w:space="0" w:color="auto"/>
        <w:left w:val="none" w:sz="0" w:space="0" w:color="auto"/>
        <w:bottom w:val="none" w:sz="0" w:space="0" w:color="auto"/>
        <w:right w:val="none" w:sz="0" w:space="0" w:color="auto"/>
      </w:divBdr>
    </w:div>
    <w:div w:id="2037001138">
      <w:bodyDiv w:val="1"/>
      <w:marLeft w:val="0"/>
      <w:marRight w:val="0"/>
      <w:marTop w:val="0"/>
      <w:marBottom w:val="0"/>
      <w:divBdr>
        <w:top w:val="none" w:sz="0" w:space="0" w:color="auto"/>
        <w:left w:val="none" w:sz="0" w:space="0" w:color="auto"/>
        <w:bottom w:val="none" w:sz="0" w:space="0" w:color="auto"/>
        <w:right w:val="none" w:sz="0" w:space="0" w:color="auto"/>
      </w:divBdr>
    </w:div>
    <w:div w:id="2041474150">
      <w:bodyDiv w:val="1"/>
      <w:marLeft w:val="0"/>
      <w:marRight w:val="0"/>
      <w:marTop w:val="0"/>
      <w:marBottom w:val="0"/>
      <w:divBdr>
        <w:top w:val="none" w:sz="0" w:space="0" w:color="auto"/>
        <w:left w:val="none" w:sz="0" w:space="0" w:color="auto"/>
        <w:bottom w:val="none" w:sz="0" w:space="0" w:color="auto"/>
        <w:right w:val="none" w:sz="0" w:space="0" w:color="auto"/>
      </w:divBdr>
    </w:div>
    <w:div w:id="2042779090">
      <w:bodyDiv w:val="1"/>
      <w:marLeft w:val="0"/>
      <w:marRight w:val="0"/>
      <w:marTop w:val="0"/>
      <w:marBottom w:val="0"/>
      <w:divBdr>
        <w:top w:val="none" w:sz="0" w:space="0" w:color="auto"/>
        <w:left w:val="none" w:sz="0" w:space="0" w:color="auto"/>
        <w:bottom w:val="none" w:sz="0" w:space="0" w:color="auto"/>
        <w:right w:val="none" w:sz="0" w:space="0" w:color="auto"/>
      </w:divBdr>
    </w:div>
    <w:div w:id="2047943978">
      <w:bodyDiv w:val="1"/>
      <w:marLeft w:val="0"/>
      <w:marRight w:val="0"/>
      <w:marTop w:val="0"/>
      <w:marBottom w:val="0"/>
      <w:divBdr>
        <w:top w:val="none" w:sz="0" w:space="0" w:color="auto"/>
        <w:left w:val="none" w:sz="0" w:space="0" w:color="auto"/>
        <w:bottom w:val="none" w:sz="0" w:space="0" w:color="auto"/>
        <w:right w:val="none" w:sz="0" w:space="0" w:color="auto"/>
      </w:divBdr>
    </w:div>
    <w:div w:id="2051030432">
      <w:bodyDiv w:val="1"/>
      <w:marLeft w:val="0"/>
      <w:marRight w:val="0"/>
      <w:marTop w:val="0"/>
      <w:marBottom w:val="0"/>
      <w:divBdr>
        <w:top w:val="none" w:sz="0" w:space="0" w:color="auto"/>
        <w:left w:val="none" w:sz="0" w:space="0" w:color="auto"/>
        <w:bottom w:val="none" w:sz="0" w:space="0" w:color="auto"/>
        <w:right w:val="none" w:sz="0" w:space="0" w:color="auto"/>
      </w:divBdr>
    </w:div>
    <w:div w:id="2051219037">
      <w:bodyDiv w:val="1"/>
      <w:marLeft w:val="0"/>
      <w:marRight w:val="0"/>
      <w:marTop w:val="0"/>
      <w:marBottom w:val="0"/>
      <w:divBdr>
        <w:top w:val="none" w:sz="0" w:space="0" w:color="auto"/>
        <w:left w:val="none" w:sz="0" w:space="0" w:color="auto"/>
        <w:bottom w:val="none" w:sz="0" w:space="0" w:color="auto"/>
        <w:right w:val="none" w:sz="0" w:space="0" w:color="auto"/>
      </w:divBdr>
    </w:div>
    <w:div w:id="2055735843">
      <w:bodyDiv w:val="1"/>
      <w:marLeft w:val="0"/>
      <w:marRight w:val="0"/>
      <w:marTop w:val="0"/>
      <w:marBottom w:val="0"/>
      <w:divBdr>
        <w:top w:val="none" w:sz="0" w:space="0" w:color="auto"/>
        <w:left w:val="none" w:sz="0" w:space="0" w:color="auto"/>
        <w:bottom w:val="none" w:sz="0" w:space="0" w:color="auto"/>
        <w:right w:val="none" w:sz="0" w:space="0" w:color="auto"/>
      </w:divBdr>
    </w:div>
    <w:div w:id="2057192647">
      <w:bodyDiv w:val="1"/>
      <w:marLeft w:val="0"/>
      <w:marRight w:val="0"/>
      <w:marTop w:val="0"/>
      <w:marBottom w:val="0"/>
      <w:divBdr>
        <w:top w:val="none" w:sz="0" w:space="0" w:color="auto"/>
        <w:left w:val="none" w:sz="0" w:space="0" w:color="auto"/>
        <w:bottom w:val="none" w:sz="0" w:space="0" w:color="auto"/>
        <w:right w:val="none" w:sz="0" w:space="0" w:color="auto"/>
      </w:divBdr>
    </w:div>
    <w:div w:id="2059352814">
      <w:bodyDiv w:val="1"/>
      <w:marLeft w:val="0"/>
      <w:marRight w:val="0"/>
      <w:marTop w:val="0"/>
      <w:marBottom w:val="0"/>
      <w:divBdr>
        <w:top w:val="none" w:sz="0" w:space="0" w:color="auto"/>
        <w:left w:val="none" w:sz="0" w:space="0" w:color="auto"/>
        <w:bottom w:val="none" w:sz="0" w:space="0" w:color="auto"/>
        <w:right w:val="none" w:sz="0" w:space="0" w:color="auto"/>
      </w:divBdr>
    </w:div>
    <w:div w:id="2060202756">
      <w:bodyDiv w:val="1"/>
      <w:marLeft w:val="0"/>
      <w:marRight w:val="0"/>
      <w:marTop w:val="0"/>
      <w:marBottom w:val="0"/>
      <w:divBdr>
        <w:top w:val="none" w:sz="0" w:space="0" w:color="auto"/>
        <w:left w:val="none" w:sz="0" w:space="0" w:color="auto"/>
        <w:bottom w:val="none" w:sz="0" w:space="0" w:color="auto"/>
        <w:right w:val="none" w:sz="0" w:space="0" w:color="auto"/>
      </w:divBdr>
    </w:div>
    <w:div w:id="2060666523">
      <w:bodyDiv w:val="1"/>
      <w:marLeft w:val="0"/>
      <w:marRight w:val="0"/>
      <w:marTop w:val="0"/>
      <w:marBottom w:val="0"/>
      <w:divBdr>
        <w:top w:val="none" w:sz="0" w:space="0" w:color="auto"/>
        <w:left w:val="none" w:sz="0" w:space="0" w:color="auto"/>
        <w:bottom w:val="none" w:sz="0" w:space="0" w:color="auto"/>
        <w:right w:val="none" w:sz="0" w:space="0" w:color="auto"/>
      </w:divBdr>
    </w:div>
    <w:div w:id="2062174230">
      <w:bodyDiv w:val="1"/>
      <w:marLeft w:val="0"/>
      <w:marRight w:val="0"/>
      <w:marTop w:val="0"/>
      <w:marBottom w:val="0"/>
      <w:divBdr>
        <w:top w:val="none" w:sz="0" w:space="0" w:color="auto"/>
        <w:left w:val="none" w:sz="0" w:space="0" w:color="auto"/>
        <w:bottom w:val="none" w:sz="0" w:space="0" w:color="auto"/>
        <w:right w:val="none" w:sz="0" w:space="0" w:color="auto"/>
      </w:divBdr>
    </w:div>
    <w:div w:id="2065327365">
      <w:bodyDiv w:val="1"/>
      <w:marLeft w:val="0"/>
      <w:marRight w:val="0"/>
      <w:marTop w:val="0"/>
      <w:marBottom w:val="0"/>
      <w:divBdr>
        <w:top w:val="none" w:sz="0" w:space="0" w:color="auto"/>
        <w:left w:val="none" w:sz="0" w:space="0" w:color="auto"/>
        <w:bottom w:val="none" w:sz="0" w:space="0" w:color="auto"/>
        <w:right w:val="none" w:sz="0" w:space="0" w:color="auto"/>
      </w:divBdr>
    </w:div>
    <w:div w:id="2074616123">
      <w:bodyDiv w:val="1"/>
      <w:marLeft w:val="0"/>
      <w:marRight w:val="0"/>
      <w:marTop w:val="0"/>
      <w:marBottom w:val="0"/>
      <w:divBdr>
        <w:top w:val="none" w:sz="0" w:space="0" w:color="auto"/>
        <w:left w:val="none" w:sz="0" w:space="0" w:color="auto"/>
        <w:bottom w:val="none" w:sz="0" w:space="0" w:color="auto"/>
        <w:right w:val="none" w:sz="0" w:space="0" w:color="auto"/>
      </w:divBdr>
    </w:div>
    <w:div w:id="2075276451">
      <w:bodyDiv w:val="1"/>
      <w:marLeft w:val="0"/>
      <w:marRight w:val="0"/>
      <w:marTop w:val="0"/>
      <w:marBottom w:val="0"/>
      <w:divBdr>
        <w:top w:val="none" w:sz="0" w:space="0" w:color="auto"/>
        <w:left w:val="none" w:sz="0" w:space="0" w:color="auto"/>
        <w:bottom w:val="none" w:sz="0" w:space="0" w:color="auto"/>
        <w:right w:val="none" w:sz="0" w:space="0" w:color="auto"/>
      </w:divBdr>
    </w:div>
    <w:div w:id="2075732683">
      <w:bodyDiv w:val="1"/>
      <w:marLeft w:val="0"/>
      <w:marRight w:val="0"/>
      <w:marTop w:val="0"/>
      <w:marBottom w:val="0"/>
      <w:divBdr>
        <w:top w:val="none" w:sz="0" w:space="0" w:color="auto"/>
        <w:left w:val="none" w:sz="0" w:space="0" w:color="auto"/>
        <w:bottom w:val="none" w:sz="0" w:space="0" w:color="auto"/>
        <w:right w:val="none" w:sz="0" w:space="0" w:color="auto"/>
      </w:divBdr>
    </w:div>
    <w:div w:id="2076313372">
      <w:bodyDiv w:val="1"/>
      <w:marLeft w:val="0"/>
      <w:marRight w:val="0"/>
      <w:marTop w:val="0"/>
      <w:marBottom w:val="0"/>
      <w:divBdr>
        <w:top w:val="none" w:sz="0" w:space="0" w:color="auto"/>
        <w:left w:val="none" w:sz="0" w:space="0" w:color="auto"/>
        <w:bottom w:val="none" w:sz="0" w:space="0" w:color="auto"/>
        <w:right w:val="none" w:sz="0" w:space="0" w:color="auto"/>
      </w:divBdr>
    </w:div>
    <w:div w:id="2081443096">
      <w:bodyDiv w:val="1"/>
      <w:marLeft w:val="0"/>
      <w:marRight w:val="0"/>
      <w:marTop w:val="0"/>
      <w:marBottom w:val="0"/>
      <w:divBdr>
        <w:top w:val="none" w:sz="0" w:space="0" w:color="auto"/>
        <w:left w:val="none" w:sz="0" w:space="0" w:color="auto"/>
        <w:bottom w:val="none" w:sz="0" w:space="0" w:color="auto"/>
        <w:right w:val="none" w:sz="0" w:space="0" w:color="auto"/>
      </w:divBdr>
    </w:div>
    <w:div w:id="2083210921">
      <w:bodyDiv w:val="1"/>
      <w:marLeft w:val="0"/>
      <w:marRight w:val="0"/>
      <w:marTop w:val="0"/>
      <w:marBottom w:val="0"/>
      <w:divBdr>
        <w:top w:val="none" w:sz="0" w:space="0" w:color="auto"/>
        <w:left w:val="none" w:sz="0" w:space="0" w:color="auto"/>
        <w:bottom w:val="none" w:sz="0" w:space="0" w:color="auto"/>
        <w:right w:val="none" w:sz="0" w:space="0" w:color="auto"/>
      </w:divBdr>
    </w:div>
    <w:div w:id="2085298561">
      <w:bodyDiv w:val="1"/>
      <w:marLeft w:val="0"/>
      <w:marRight w:val="0"/>
      <w:marTop w:val="0"/>
      <w:marBottom w:val="0"/>
      <w:divBdr>
        <w:top w:val="none" w:sz="0" w:space="0" w:color="auto"/>
        <w:left w:val="none" w:sz="0" w:space="0" w:color="auto"/>
        <w:bottom w:val="none" w:sz="0" w:space="0" w:color="auto"/>
        <w:right w:val="none" w:sz="0" w:space="0" w:color="auto"/>
      </w:divBdr>
    </w:div>
    <w:div w:id="2087340901">
      <w:bodyDiv w:val="1"/>
      <w:marLeft w:val="0"/>
      <w:marRight w:val="0"/>
      <w:marTop w:val="0"/>
      <w:marBottom w:val="0"/>
      <w:divBdr>
        <w:top w:val="none" w:sz="0" w:space="0" w:color="auto"/>
        <w:left w:val="none" w:sz="0" w:space="0" w:color="auto"/>
        <w:bottom w:val="none" w:sz="0" w:space="0" w:color="auto"/>
        <w:right w:val="none" w:sz="0" w:space="0" w:color="auto"/>
      </w:divBdr>
    </w:div>
    <w:div w:id="2089380532">
      <w:bodyDiv w:val="1"/>
      <w:marLeft w:val="0"/>
      <w:marRight w:val="0"/>
      <w:marTop w:val="0"/>
      <w:marBottom w:val="0"/>
      <w:divBdr>
        <w:top w:val="none" w:sz="0" w:space="0" w:color="auto"/>
        <w:left w:val="none" w:sz="0" w:space="0" w:color="auto"/>
        <w:bottom w:val="none" w:sz="0" w:space="0" w:color="auto"/>
        <w:right w:val="none" w:sz="0" w:space="0" w:color="auto"/>
      </w:divBdr>
    </w:div>
    <w:div w:id="2095079582">
      <w:bodyDiv w:val="1"/>
      <w:marLeft w:val="0"/>
      <w:marRight w:val="0"/>
      <w:marTop w:val="0"/>
      <w:marBottom w:val="0"/>
      <w:divBdr>
        <w:top w:val="none" w:sz="0" w:space="0" w:color="auto"/>
        <w:left w:val="none" w:sz="0" w:space="0" w:color="auto"/>
        <w:bottom w:val="none" w:sz="0" w:space="0" w:color="auto"/>
        <w:right w:val="none" w:sz="0" w:space="0" w:color="auto"/>
      </w:divBdr>
    </w:div>
    <w:div w:id="2095399943">
      <w:bodyDiv w:val="1"/>
      <w:marLeft w:val="0"/>
      <w:marRight w:val="0"/>
      <w:marTop w:val="0"/>
      <w:marBottom w:val="0"/>
      <w:divBdr>
        <w:top w:val="none" w:sz="0" w:space="0" w:color="auto"/>
        <w:left w:val="none" w:sz="0" w:space="0" w:color="auto"/>
        <w:bottom w:val="none" w:sz="0" w:space="0" w:color="auto"/>
        <w:right w:val="none" w:sz="0" w:space="0" w:color="auto"/>
      </w:divBdr>
    </w:div>
    <w:div w:id="2102338099">
      <w:bodyDiv w:val="1"/>
      <w:marLeft w:val="0"/>
      <w:marRight w:val="0"/>
      <w:marTop w:val="0"/>
      <w:marBottom w:val="0"/>
      <w:divBdr>
        <w:top w:val="none" w:sz="0" w:space="0" w:color="auto"/>
        <w:left w:val="none" w:sz="0" w:space="0" w:color="auto"/>
        <w:bottom w:val="none" w:sz="0" w:space="0" w:color="auto"/>
        <w:right w:val="none" w:sz="0" w:space="0" w:color="auto"/>
      </w:divBdr>
    </w:div>
    <w:div w:id="2102604465">
      <w:bodyDiv w:val="1"/>
      <w:marLeft w:val="0"/>
      <w:marRight w:val="0"/>
      <w:marTop w:val="0"/>
      <w:marBottom w:val="0"/>
      <w:divBdr>
        <w:top w:val="none" w:sz="0" w:space="0" w:color="auto"/>
        <w:left w:val="none" w:sz="0" w:space="0" w:color="auto"/>
        <w:bottom w:val="none" w:sz="0" w:space="0" w:color="auto"/>
        <w:right w:val="none" w:sz="0" w:space="0" w:color="auto"/>
      </w:divBdr>
    </w:div>
    <w:div w:id="2103528569">
      <w:bodyDiv w:val="1"/>
      <w:marLeft w:val="0"/>
      <w:marRight w:val="0"/>
      <w:marTop w:val="0"/>
      <w:marBottom w:val="0"/>
      <w:divBdr>
        <w:top w:val="none" w:sz="0" w:space="0" w:color="auto"/>
        <w:left w:val="none" w:sz="0" w:space="0" w:color="auto"/>
        <w:bottom w:val="none" w:sz="0" w:space="0" w:color="auto"/>
        <w:right w:val="none" w:sz="0" w:space="0" w:color="auto"/>
      </w:divBdr>
    </w:div>
    <w:div w:id="2108035715">
      <w:bodyDiv w:val="1"/>
      <w:marLeft w:val="0"/>
      <w:marRight w:val="0"/>
      <w:marTop w:val="0"/>
      <w:marBottom w:val="0"/>
      <w:divBdr>
        <w:top w:val="none" w:sz="0" w:space="0" w:color="auto"/>
        <w:left w:val="none" w:sz="0" w:space="0" w:color="auto"/>
        <w:bottom w:val="none" w:sz="0" w:space="0" w:color="auto"/>
        <w:right w:val="none" w:sz="0" w:space="0" w:color="auto"/>
      </w:divBdr>
    </w:div>
    <w:div w:id="2109080577">
      <w:bodyDiv w:val="1"/>
      <w:marLeft w:val="0"/>
      <w:marRight w:val="0"/>
      <w:marTop w:val="0"/>
      <w:marBottom w:val="0"/>
      <w:divBdr>
        <w:top w:val="none" w:sz="0" w:space="0" w:color="auto"/>
        <w:left w:val="none" w:sz="0" w:space="0" w:color="auto"/>
        <w:bottom w:val="none" w:sz="0" w:space="0" w:color="auto"/>
        <w:right w:val="none" w:sz="0" w:space="0" w:color="auto"/>
      </w:divBdr>
    </w:div>
    <w:div w:id="2110462912">
      <w:bodyDiv w:val="1"/>
      <w:marLeft w:val="0"/>
      <w:marRight w:val="0"/>
      <w:marTop w:val="0"/>
      <w:marBottom w:val="0"/>
      <w:divBdr>
        <w:top w:val="none" w:sz="0" w:space="0" w:color="auto"/>
        <w:left w:val="none" w:sz="0" w:space="0" w:color="auto"/>
        <w:bottom w:val="none" w:sz="0" w:space="0" w:color="auto"/>
        <w:right w:val="none" w:sz="0" w:space="0" w:color="auto"/>
      </w:divBdr>
    </w:div>
    <w:div w:id="2112699325">
      <w:bodyDiv w:val="1"/>
      <w:marLeft w:val="0"/>
      <w:marRight w:val="0"/>
      <w:marTop w:val="0"/>
      <w:marBottom w:val="0"/>
      <w:divBdr>
        <w:top w:val="none" w:sz="0" w:space="0" w:color="auto"/>
        <w:left w:val="none" w:sz="0" w:space="0" w:color="auto"/>
        <w:bottom w:val="none" w:sz="0" w:space="0" w:color="auto"/>
        <w:right w:val="none" w:sz="0" w:space="0" w:color="auto"/>
      </w:divBdr>
    </w:div>
    <w:div w:id="2121752296">
      <w:bodyDiv w:val="1"/>
      <w:marLeft w:val="0"/>
      <w:marRight w:val="0"/>
      <w:marTop w:val="0"/>
      <w:marBottom w:val="0"/>
      <w:divBdr>
        <w:top w:val="none" w:sz="0" w:space="0" w:color="auto"/>
        <w:left w:val="none" w:sz="0" w:space="0" w:color="auto"/>
        <w:bottom w:val="none" w:sz="0" w:space="0" w:color="auto"/>
        <w:right w:val="none" w:sz="0" w:space="0" w:color="auto"/>
      </w:divBdr>
    </w:div>
    <w:div w:id="2122066443">
      <w:bodyDiv w:val="1"/>
      <w:marLeft w:val="0"/>
      <w:marRight w:val="0"/>
      <w:marTop w:val="0"/>
      <w:marBottom w:val="0"/>
      <w:divBdr>
        <w:top w:val="none" w:sz="0" w:space="0" w:color="auto"/>
        <w:left w:val="none" w:sz="0" w:space="0" w:color="auto"/>
        <w:bottom w:val="none" w:sz="0" w:space="0" w:color="auto"/>
        <w:right w:val="none" w:sz="0" w:space="0" w:color="auto"/>
      </w:divBdr>
    </w:div>
    <w:div w:id="2122412663">
      <w:bodyDiv w:val="1"/>
      <w:marLeft w:val="0"/>
      <w:marRight w:val="0"/>
      <w:marTop w:val="0"/>
      <w:marBottom w:val="0"/>
      <w:divBdr>
        <w:top w:val="none" w:sz="0" w:space="0" w:color="auto"/>
        <w:left w:val="none" w:sz="0" w:space="0" w:color="auto"/>
        <w:bottom w:val="none" w:sz="0" w:space="0" w:color="auto"/>
        <w:right w:val="none" w:sz="0" w:space="0" w:color="auto"/>
      </w:divBdr>
    </w:div>
    <w:div w:id="2126777141">
      <w:bodyDiv w:val="1"/>
      <w:marLeft w:val="0"/>
      <w:marRight w:val="0"/>
      <w:marTop w:val="0"/>
      <w:marBottom w:val="0"/>
      <w:divBdr>
        <w:top w:val="none" w:sz="0" w:space="0" w:color="auto"/>
        <w:left w:val="none" w:sz="0" w:space="0" w:color="auto"/>
        <w:bottom w:val="none" w:sz="0" w:space="0" w:color="auto"/>
        <w:right w:val="none" w:sz="0" w:space="0" w:color="auto"/>
      </w:divBdr>
    </w:div>
    <w:div w:id="2126848883">
      <w:bodyDiv w:val="1"/>
      <w:marLeft w:val="0"/>
      <w:marRight w:val="0"/>
      <w:marTop w:val="0"/>
      <w:marBottom w:val="0"/>
      <w:divBdr>
        <w:top w:val="none" w:sz="0" w:space="0" w:color="auto"/>
        <w:left w:val="none" w:sz="0" w:space="0" w:color="auto"/>
        <w:bottom w:val="none" w:sz="0" w:space="0" w:color="auto"/>
        <w:right w:val="none" w:sz="0" w:space="0" w:color="auto"/>
      </w:divBdr>
    </w:div>
    <w:div w:id="2133667258">
      <w:bodyDiv w:val="1"/>
      <w:marLeft w:val="0"/>
      <w:marRight w:val="0"/>
      <w:marTop w:val="0"/>
      <w:marBottom w:val="0"/>
      <w:divBdr>
        <w:top w:val="none" w:sz="0" w:space="0" w:color="auto"/>
        <w:left w:val="none" w:sz="0" w:space="0" w:color="auto"/>
        <w:bottom w:val="none" w:sz="0" w:space="0" w:color="auto"/>
        <w:right w:val="none" w:sz="0" w:space="0" w:color="auto"/>
      </w:divBdr>
    </w:div>
    <w:div w:id="2133667814">
      <w:bodyDiv w:val="1"/>
      <w:marLeft w:val="0"/>
      <w:marRight w:val="0"/>
      <w:marTop w:val="0"/>
      <w:marBottom w:val="0"/>
      <w:divBdr>
        <w:top w:val="none" w:sz="0" w:space="0" w:color="auto"/>
        <w:left w:val="none" w:sz="0" w:space="0" w:color="auto"/>
        <w:bottom w:val="none" w:sz="0" w:space="0" w:color="auto"/>
        <w:right w:val="none" w:sz="0" w:space="0" w:color="auto"/>
      </w:divBdr>
    </w:div>
    <w:div w:id="2138521474">
      <w:bodyDiv w:val="1"/>
      <w:marLeft w:val="0"/>
      <w:marRight w:val="0"/>
      <w:marTop w:val="0"/>
      <w:marBottom w:val="0"/>
      <w:divBdr>
        <w:top w:val="none" w:sz="0" w:space="0" w:color="auto"/>
        <w:left w:val="none" w:sz="0" w:space="0" w:color="auto"/>
        <w:bottom w:val="none" w:sz="0" w:space="0" w:color="auto"/>
        <w:right w:val="none" w:sz="0" w:space="0" w:color="auto"/>
      </w:divBdr>
    </w:div>
    <w:div w:id="2140948210">
      <w:bodyDiv w:val="1"/>
      <w:marLeft w:val="0"/>
      <w:marRight w:val="0"/>
      <w:marTop w:val="0"/>
      <w:marBottom w:val="0"/>
      <w:divBdr>
        <w:top w:val="none" w:sz="0" w:space="0" w:color="auto"/>
        <w:left w:val="none" w:sz="0" w:space="0" w:color="auto"/>
        <w:bottom w:val="none" w:sz="0" w:space="0" w:color="auto"/>
        <w:right w:val="none" w:sz="0" w:space="0" w:color="auto"/>
      </w:divBdr>
    </w:div>
    <w:div w:id="214430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R/Pages/default.aspx" TargetMode="External"/><Relationship Id="rId21" Type="http://schemas.openxmlformats.org/officeDocument/2006/relationships/image" Target="media/image5.png"/><Relationship Id="rId42" Type="http://schemas.openxmlformats.org/officeDocument/2006/relationships/footer" Target="footer2.xml"/><Relationship Id="rId47" Type="http://schemas.openxmlformats.org/officeDocument/2006/relationships/hyperlink" Target="https://www.itu.int/md/S21-CL-C-0063/en" TargetMode="External"/><Relationship Id="rId63" Type="http://schemas.openxmlformats.org/officeDocument/2006/relationships/image" Target="media/image13.emf"/><Relationship Id="rId68" Type="http://schemas.openxmlformats.org/officeDocument/2006/relationships/image" Target="media/image18.emf"/><Relationship Id="rId16" Type="http://schemas.openxmlformats.org/officeDocument/2006/relationships/chart" Target="charts/chart5.xml"/><Relationship Id="rId11" Type="http://schemas.openxmlformats.org/officeDocument/2006/relationships/image" Target="media/image2.png"/><Relationship Id="rId32" Type="http://schemas.openxmlformats.org/officeDocument/2006/relationships/hyperlink" Target="https://www.itu.int/online/mm/scripts/gensel11" TargetMode="External"/><Relationship Id="rId37" Type="http://schemas.openxmlformats.org/officeDocument/2006/relationships/hyperlink" Target="https://www.itu.int/md/S16-CL-C-0124/en" TargetMode="External"/><Relationship Id="rId53" Type="http://schemas.openxmlformats.org/officeDocument/2006/relationships/hyperlink" Target="https://www.itu.int/en/council/Documents/Financial-Regulations/S-GEN-REG_RGTFIN-2018-PDF-C.pdf" TargetMode="External"/><Relationship Id="rId58" Type="http://schemas.openxmlformats.org/officeDocument/2006/relationships/header" Target="header4.xml"/><Relationship Id="rId74" Type="http://schemas.openxmlformats.org/officeDocument/2006/relationships/footer" Target="footer6.xml"/><Relationship Id="rId79" Type="http://schemas.openxmlformats.org/officeDocument/2006/relationships/footer" Target="footer9.xml"/><Relationship Id="rId5" Type="http://schemas.openxmlformats.org/officeDocument/2006/relationships/webSettings" Target="webSettings.xml"/><Relationship Id="rId61" Type="http://schemas.openxmlformats.org/officeDocument/2006/relationships/image" Target="media/image11.emf"/><Relationship Id="rId19" Type="http://schemas.openxmlformats.org/officeDocument/2006/relationships/image" Target="media/image3.png"/><Relationship Id="rId14" Type="http://schemas.openxmlformats.org/officeDocument/2006/relationships/chart" Target="charts/chart3.xml"/><Relationship Id="rId22" Type="http://schemas.openxmlformats.org/officeDocument/2006/relationships/image" Target="media/image6.png"/><Relationship Id="rId27" Type="http://schemas.openxmlformats.org/officeDocument/2006/relationships/hyperlink" Target="https://www.itu.int/en/ITU-T/Pages/default.aspx" TargetMode="External"/><Relationship Id="rId30" Type="http://schemas.openxmlformats.org/officeDocument/2006/relationships/hyperlink" Target="http://www.itu.int/itu-wsis/implementation/" TargetMode="External"/><Relationship Id="rId35" Type="http://schemas.openxmlformats.org/officeDocument/2006/relationships/hyperlink" Target="https://www.itu.int/en/council/Pages/members.aspx" TargetMode="External"/><Relationship Id="rId43" Type="http://schemas.openxmlformats.org/officeDocument/2006/relationships/header" Target="header2.xml"/><Relationship Id="rId48" Type="http://schemas.openxmlformats.org/officeDocument/2006/relationships/hyperlink" Target="https://www.itu.int/md/S21-CL-C-0007/en" TargetMode="External"/><Relationship Id="rId56" Type="http://schemas.openxmlformats.org/officeDocument/2006/relationships/header" Target="header3.xml"/><Relationship Id="rId64" Type="http://schemas.openxmlformats.org/officeDocument/2006/relationships/image" Target="media/image14.emf"/><Relationship Id="rId69" Type="http://schemas.openxmlformats.org/officeDocument/2006/relationships/image" Target="media/image19.emf"/><Relationship Id="rId77" Type="http://schemas.openxmlformats.org/officeDocument/2006/relationships/header" Target="header6.xml"/><Relationship Id="rId8" Type="http://schemas.openxmlformats.org/officeDocument/2006/relationships/image" Target="media/image1.jpeg"/><Relationship Id="rId51" Type="http://schemas.openxmlformats.org/officeDocument/2006/relationships/image" Target="media/image9.emf"/><Relationship Id="rId72" Type="http://schemas.openxmlformats.org/officeDocument/2006/relationships/image" Target="media/image22.e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www.unsystem.org/en" TargetMode="External"/><Relationship Id="rId33" Type="http://schemas.openxmlformats.org/officeDocument/2006/relationships/hyperlink" Target="https://www.itu.int/online/mm/scripts/gensel11?_memb=A" TargetMode="External"/><Relationship Id="rId38" Type="http://schemas.openxmlformats.org/officeDocument/2006/relationships/hyperlink" Target="https://www.itu.int/md/S21-CL-C-0046/en" TargetMode="External"/><Relationship Id="rId46" Type="http://schemas.openxmlformats.org/officeDocument/2006/relationships/hyperlink" Target="https://www.itu.int/md/S20-CL-C-0075/en" TargetMode="External"/><Relationship Id="rId59" Type="http://schemas.openxmlformats.org/officeDocument/2006/relationships/footer" Target="footer5.xml"/><Relationship Id="rId67" Type="http://schemas.openxmlformats.org/officeDocument/2006/relationships/image" Target="media/image17.emf"/><Relationship Id="rId20" Type="http://schemas.openxmlformats.org/officeDocument/2006/relationships/image" Target="media/image4.png"/><Relationship Id="rId41" Type="http://schemas.openxmlformats.org/officeDocument/2006/relationships/footer" Target="footer1.xml"/><Relationship Id="rId54" Type="http://schemas.openxmlformats.org/officeDocument/2006/relationships/hyperlink" Target="http://www.itu.int/md/S22-CL-C-0040/en" TargetMode="External"/><Relationship Id="rId62" Type="http://schemas.openxmlformats.org/officeDocument/2006/relationships/image" Target="media/image12.emf"/><Relationship Id="rId70" Type="http://schemas.openxmlformats.org/officeDocument/2006/relationships/image" Target="media/image20.emf"/><Relationship Id="rId75"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image" Target="media/image7.png"/><Relationship Id="rId28" Type="http://schemas.openxmlformats.org/officeDocument/2006/relationships/hyperlink" Target="https://www.itu.int/en/ITU-D/Pages/default.aspx" TargetMode="External"/><Relationship Id="rId36" Type="http://schemas.openxmlformats.org/officeDocument/2006/relationships/hyperlink" Target="http://www.itu.int/ITU-R/index.asp?category=conferences&amp;link=rrb&amp;lang=en" TargetMode="External"/><Relationship Id="rId49" Type="http://schemas.openxmlformats.org/officeDocument/2006/relationships/hyperlink" Target="https://www.itu.int/md/S20-CL-C-0042/en" TargetMode="External"/><Relationship Id="rId57" Type="http://schemas.openxmlformats.org/officeDocument/2006/relationships/footer" Target="footer4.xml"/><Relationship Id="rId10" Type="http://schemas.openxmlformats.org/officeDocument/2006/relationships/hyperlink" Target="https://www.itu.int/en/council/Documents/Financial-Regulations/S-GEN-REG_RGTFIN-2018-PDF-C.pdf" TargetMode="External"/><Relationship Id="rId31" Type="http://schemas.openxmlformats.org/officeDocument/2006/relationships/hyperlink" Target="https://www.itu.int/online/mm/scripts/gensel8" TargetMode="External"/><Relationship Id="rId44" Type="http://schemas.openxmlformats.org/officeDocument/2006/relationships/footer" Target="footer3.xml"/><Relationship Id="rId52" Type="http://schemas.openxmlformats.org/officeDocument/2006/relationships/hyperlink" Target="https://www.itu.int/en/council/Documents/basic-texts/Convention-C.pdf" TargetMode="External"/><Relationship Id="rId60" Type="http://schemas.openxmlformats.org/officeDocument/2006/relationships/image" Target="media/image10.emf"/><Relationship Id="rId65" Type="http://schemas.openxmlformats.org/officeDocument/2006/relationships/image" Target="media/image15.emf"/><Relationship Id="rId73" Type="http://schemas.openxmlformats.org/officeDocument/2006/relationships/header" Target="header5.xml"/><Relationship Id="rId78" Type="http://schemas.openxmlformats.org/officeDocument/2006/relationships/footer" Target="footer8.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Convention-C.pdf" TargetMode="External"/><Relationship Id="rId13" Type="http://schemas.openxmlformats.org/officeDocument/2006/relationships/chart" Target="charts/chart2.xml"/><Relationship Id="rId18" Type="http://schemas.openxmlformats.org/officeDocument/2006/relationships/chart" Target="charts/chart7.xml"/><Relationship Id="rId39" Type="http://schemas.openxmlformats.org/officeDocument/2006/relationships/hyperlink" Target="http://www.unjspf.org" TargetMode="External"/><Relationship Id="rId34" Type="http://schemas.openxmlformats.org/officeDocument/2006/relationships/hyperlink" Target="https://www.itu.int/online/mm/scripts/gensel11?_memb=U" TargetMode="External"/><Relationship Id="rId50" Type="http://schemas.openxmlformats.org/officeDocument/2006/relationships/hyperlink" Target="https://www.itu.int/md/S21-CL-C-0074/en" TargetMode="External"/><Relationship Id="rId55" Type="http://schemas.openxmlformats.org/officeDocument/2006/relationships/hyperlink" Target="https://www.itu.int/md/S22-CL-C-0042/en" TargetMode="External"/><Relationship Id="rId76" Type="http://schemas.openxmlformats.org/officeDocument/2006/relationships/image" Target="media/image23.emf"/><Relationship Id="rId7" Type="http://schemas.openxmlformats.org/officeDocument/2006/relationships/endnotes" Target="endnotes.xml"/><Relationship Id="rId71" Type="http://schemas.openxmlformats.org/officeDocument/2006/relationships/image" Target="media/image21.emf"/><Relationship Id="rId2" Type="http://schemas.openxmlformats.org/officeDocument/2006/relationships/numbering" Target="numbering.xml"/><Relationship Id="rId29" Type="http://schemas.openxmlformats.org/officeDocument/2006/relationships/hyperlink" Target="http://www.itu.int/ITUTELECOM/index-en.html" TargetMode="External"/><Relationship Id="rId24" Type="http://schemas.openxmlformats.org/officeDocument/2006/relationships/image" Target="media/image8.png"/><Relationship Id="rId40" Type="http://schemas.openxmlformats.org/officeDocument/2006/relationships/header" Target="header1.xml"/><Relationship Id="rId45" Type="http://schemas.openxmlformats.org/officeDocument/2006/relationships/hyperlink" Target="https://www.itu.int/dms_ties/itu-s/md/20/cl/c/S20-CL-C-0074!!PDF-E.pdf" TargetMode="External"/><Relationship Id="rId66" Type="http://schemas.openxmlformats.org/officeDocument/2006/relationships/image" Target="media/image16.emf"/></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Q\AppData\Roaming\Microsoft\Templates\POOL%20C%20-%20ITU\PC_C2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COMPTA%20GENERALE\BOUCLEMENT\2020\MAQUETTE%20BOUCLEMENT%202020-claire.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COMPTA%20GENERALE\BOUCLEMENT\2020\MAQUETTE%20BOUCLEMENT%202020-clai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COMPTA%20GENERALE\BOUCLEMENT\2020\MAQUETTE%20BOUCLEMENT%202020-claire.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file:///C:\COMPTA%20GENERALE\BOUCLEMENT\2020\MAQUETTE%20BOUCLEMENT%202020-clair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COMPTA%20GENERALE\BOUCLEMENT\2020\MAQUETTE%20BOUCLEMENT%202020-claire.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3.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oleObject" Target="file:///C:\COMPTA%20GENERALE\BOUCLEMENT\2020\MAQUETTE%20BOUCLEMENT%202020-claire.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Highlights'!$B$25</c:f>
              <c:strCache>
                <c:ptCount val="1"/>
                <c:pt idx="0">
                  <c:v>2020</c:v>
                </c:pt>
              </c:strCache>
            </c:strRef>
          </c:tx>
          <c:spPr>
            <a:solidFill>
              <a:schemeClr val="accent1">
                <a:shade val="76000"/>
              </a:schemeClr>
            </a:solidFill>
            <a:ln>
              <a:noFill/>
            </a:ln>
            <a:effectLst/>
          </c:spPr>
          <c:invertIfNegative val="0"/>
          <c:dLbls>
            <c:dLbl>
              <c:idx val="3"/>
              <c:layout>
                <c:manualLayout>
                  <c:x val="-2.7777777777777776E-2"/>
                  <c:y val="0.1064814814814814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7B3-4027-8D42-76A277F5FB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'Financial Highlights'!$A$26:$A$29</c:f>
              <c:strCache>
                <c:ptCount val="4"/>
                <c:pt idx="0">
                  <c:v>Assessed contributions</c:v>
                </c:pt>
                <c:pt idx="1">
                  <c:v>Voluntary contributions</c:v>
                </c:pt>
                <c:pt idx="2">
                  <c:v>Other operating revenue</c:v>
                </c:pt>
                <c:pt idx="3">
                  <c:v>Finance revenue</c:v>
                </c:pt>
              </c:strCache>
            </c:strRef>
          </c:cat>
          <c:val>
            <c:numRef>
              <c:f>'Financial Highlights'!$B$26:$B$29</c:f>
              <c:numCache>
                <c:formatCode>_ * #,##0_ ;_ * \-#,##0_ ;_ * "-"??_ ;_ @_ </c:formatCode>
                <c:ptCount val="4"/>
                <c:pt idx="0">
                  <c:v>125740.73</c:v>
                </c:pt>
                <c:pt idx="1">
                  <c:v>8299.5299999999988</c:v>
                </c:pt>
                <c:pt idx="2">
                  <c:v>40198.377000000008</c:v>
                </c:pt>
                <c:pt idx="3">
                  <c:v>-4699.99</c:v>
                </c:pt>
              </c:numCache>
            </c:numRef>
          </c:val>
          <c:extLst>
            <c:ext xmlns:c16="http://schemas.microsoft.com/office/drawing/2014/chart" uri="{C3380CC4-5D6E-409C-BE32-E72D297353CC}">
              <c16:uniqueId val="{00000001-C7B3-4027-8D42-76A277F5FB20}"/>
            </c:ext>
          </c:extLst>
        </c:ser>
        <c:ser>
          <c:idx val="1"/>
          <c:order val="1"/>
          <c:tx>
            <c:strRef>
              <c:f>'Financial Highlights'!$C$25</c:f>
              <c:strCache>
                <c:ptCount val="1"/>
                <c:pt idx="0">
                  <c:v>2019</c:v>
                </c:pt>
              </c:strCache>
            </c:strRef>
          </c:tx>
          <c:spPr>
            <a:solidFill>
              <a:schemeClr val="accent1">
                <a:tint val="77000"/>
              </a:schemeClr>
            </a:solidFill>
            <a:ln>
              <a:noFill/>
            </a:ln>
            <a:effectLst/>
          </c:spPr>
          <c:invertIfNegative val="0"/>
          <c:dLbls>
            <c:dLbl>
              <c:idx val="0"/>
              <c:layout>
                <c:manualLayout>
                  <c:x val="3.0555555555555555E-2"/>
                  <c:y val="0.1064814814814814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7B3-4027-8D42-76A277F5FB20}"/>
                </c:ext>
              </c:extLst>
            </c:dLbl>
            <c:dLbl>
              <c:idx val="1"/>
              <c:layout>
                <c:manualLayout>
                  <c:x val="3.6111111111111108E-2"/>
                  <c:y val="2.777777777777769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7B3-4027-8D42-76A277F5FB20}"/>
                </c:ext>
              </c:extLst>
            </c:dLbl>
            <c:dLbl>
              <c:idx val="2"/>
              <c:layout>
                <c:manualLayout>
                  <c:x val="4.1666666666666567E-2"/>
                  <c:y val="7.87037037037037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7B3-4027-8D42-76A277F5FB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'Financial Highlights'!$A$26:$A$29</c:f>
              <c:strCache>
                <c:ptCount val="4"/>
                <c:pt idx="0">
                  <c:v>Assessed contributions</c:v>
                </c:pt>
                <c:pt idx="1">
                  <c:v>Voluntary contributions</c:v>
                </c:pt>
                <c:pt idx="2">
                  <c:v>Other operating revenue</c:v>
                </c:pt>
                <c:pt idx="3">
                  <c:v>Finance revenue</c:v>
                </c:pt>
              </c:strCache>
            </c:strRef>
          </c:cat>
          <c:val>
            <c:numRef>
              <c:f>'Financial Highlights'!$C$26:$C$29</c:f>
              <c:numCache>
                <c:formatCode>_ * #,##0_ ;_ * \-#,##0_ ;_ * "-"??_ ;_ @_ </c:formatCode>
                <c:ptCount val="4"/>
                <c:pt idx="0">
                  <c:v>126485</c:v>
                </c:pt>
                <c:pt idx="1">
                  <c:v>10456</c:v>
                </c:pt>
                <c:pt idx="2">
                  <c:v>39357</c:v>
                </c:pt>
                <c:pt idx="3">
                  <c:v>1245</c:v>
                </c:pt>
              </c:numCache>
            </c:numRef>
          </c:val>
          <c:extLst>
            <c:ext xmlns:c16="http://schemas.microsoft.com/office/drawing/2014/chart" uri="{C3380CC4-5D6E-409C-BE32-E72D297353CC}">
              <c16:uniqueId val="{00000005-C7B3-4027-8D42-76A277F5FB20}"/>
            </c:ext>
          </c:extLst>
        </c:ser>
        <c:dLbls>
          <c:showLegendKey val="0"/>
          <c:showVal val="0"/>
          <c:showCatName val="0"/>
          <c:showSerName val="0"/>
          <c:showPercent val="0"/>
          <c:showBubbleSize val="0"/>
        </c:dLbls>
        <c:gapWidth val="219"/>
        <c:overlap val="-27"/>
        <c:axId val="1574879839"/>
        <c:axId val="1574877343"/>
      </c:barChart>
      <c:catAx>
        <c:axId val="1574879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877343"/>
        <c:crosses val="autoZero"/>
        <c:auto val="1"/>
        <c:lblAlgn val="ctr"/>
        <c:lblOffset val="100"/>
        <c:noMultiLvlLbl val="0"/>
      </c:catAx>
      <c:valAx>
        <c:axId val="1574877343"/>
        <c:scaling>
          <c:orientation val="minMax"/>
          <c:min val="-5000"/>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87983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597071733554675E-2"/>
          <c:y val="0.11012370325195053"/>
          <c:w val="0.82280569021399019"/>
          <c:h val="0.81272124423937453"/>
        </c:manualLayout>
      </c:layout>
      <c:ofPieChart>
        <c:ofPieType val="bar"/>
        <c:varyColors val="1"/>
        <c:ser>
          <c:idx val="1"/>
          <c:order val="0"/>
          <c:spPr>
            <a:scene3d>
              <a:camera prst="orthographicFront"/>
              <a:lightRig rig="threePt" dir="t"/>
            </a:scene3d>
            <a:sp3d>
              <a:bevelT/>
            </a:sp3d>
          </c:spPr>
          <c:explosion val="5"/>
          <c:dPt>
            <c:idx val="0"/>
            <c:bubble3D val="0"/>
            <c:spPr>
              <a:solidFill>
                <a:schemeClr val="accent1">
                  <a:shade val="47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B790-4B2F-8C9B-A7E1F008BB13}"/>
              </c:ext>
            </c:extLst>
          </c:dPt>
          <c:dPt>
            <c:idx val="1"/>
            <c:bubble3D val="0"/>
            <c:explosion val="0"/>
            <c:spPr>
              <a:solidFill>
                <a:schemeClr val="accent1">
                  <a:shade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3-B790-4B2F-8C9B-A7E1F008BB13}"/>
              </c:ext>
            </c:extLst>
          </c:dPt>
          <c:dPt>
            <c:idx val="2"/>
            <c:bubble3D val="0"/>
            <c:spPr>
              <a:solidFill>
                <a:schemeClr val="accent1">
                  <a:shade val="82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5-B790-4B2F-8C9B-A7E1F008BB13}"/>
              </c:ext>
            </c:extLst>
          </c:dPt>
          <c:dPt>
            <c:idx val="3"/>
            <c:bubble3D val="0"/>
            <c:spPr>
              <a:solidFill>
                <a:schemeClr val="accent1"/>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7-B790-4B2F-8C9B-A7E1F008BB13}"/>
              </c:ext>
            </c:extLst>
          </c:dPt>
          <c:dPt>
            <c:idx val="4"/>
            <c:bubble3D val="0"/>
            <c:spPr>
              <a:solidFill>
                <a:schemeClr val="accent1">
                  <a:tint val="83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9-B790-4B2F-8C9B-A7E1F008BB13}"/>
              </c:ext>
            </c:extLst>
          </c:dPt>
          <c:dPt>
            <c:idx val="5"/>
            <c:bubble3D val="0"/>
            <c:spPr>
              <a:solidFill>
                <a:schemeClr val="accent1">
                  <a:tint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B-B790-4B2F-8C9B-A7E1F008BB13}"/>
              </c:ext>
            </c:extLst>
          </c:dPt>
          <c:dPt>
            <c:idx val="6"/>
            <c:bubble3D val="0"/>
            <c:spPr>
              <a:solidFill>
                <a:schemeClr val="accent1">
                  <a:tint val="48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D-B790-4B2F-8C9B-A7E1F008BB13}"/>
              </c:ext>
            </c:extLst>
          </c:dPt>
          <c:dPt>
            <c:idx val="7"/>
            <c:bubble3D val="0"/>
            <c:explosion val="0"/>
            <c:spPr>
              <a:solidFill>
                <a:schemeClr val="accent1">
                  <a:tint val="3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F-B790-4B2F-8C9B-A7E1F008BB13}"/>
              </c:ext>
            </c:extLst>
          </c:dPt>
          <c:dLbls>
            <c:dLbl>
              <c:idx val="0"/>
              <c:layout>
                <c:manualLayout>
                  <c:x val="0.10341104530737076"/>
                  <c:y val="-6.1796820851938959E-2"/>
                </c:manualLayout>
              </c:layout>
              <c:tx>
                <c:rich>
                  <a:bodyPr/>
                  <a:lstStyle/>
                  <a:p>
                    <a:r>
                      <a:rPr lang="zh-CN" altLang="en-US" sz="800" b="0" i="0" u="none" strike="noStrike" kern="1200" baseline="0">
                        <a:solidFill>
                          <a:schemeClr val="bg1"/>
                        </a:solidFill>
                      </a:rPr>
                      <a:t>分摊会费</a:t>
                    </a:r>
                    <a:r>
                      <a:rPr lang="zh-CN" altLang="en-US" baseline="0">
                        <a:solidFill>
                          <a:schemeClr val="bg1"/>
                        </a:solidFill>
                      </a:rPr>
                      <a:t>
</a:t>
                    </a:r>
                    <a:r>
                      <a:rPr lang="en-US" altLang="zh-CN" baseline="0">
                        <a:solidFill>
                          <a:schemeClr val="bg1"/>
                        </a:solidFill>
                      </a:rPr>
                      <a:t>74%</a:t>
                    </a:r>
                  </a:p>
                </c:rich>
              </c:tx>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B790-4B2F-8C9B-A7E1F008BB13}"/>
                </c:ext>
              </c:extLst>
            </c:dLbl>
            <c:dLbl>
              <c:idx val="1"/>
              <c:layout>
                <c:manualLayout>
                  <c:x val="-3.6454524381033568E-2"/>
                  <c:y val="-6.0241617525082093E-2"/>
                </c:manualLayout>
              </c:layout>
              <c:tx>
                <c:rich>
                  <a:bodyPr/>
                  <a:lstStyle/>
                  <a:p>
                    <a:r>
                      <a:rPr lang="zh-CN" altLang="en-US" sz="800" b="0" i="0" u="none" strike="noStrike" kern="1200" baseline="0">
                        <a:solidFill>
                          <a:sysClr val="windowText" lastClr="000000"/>
                        </a:solidFill>
                      </a:rPr>
                      <a:t>自愿捐款</a:t>
                    </a:r>
                    <a:r>
                      <a:rPr lang="zh-CN" altLang="en-US" baseline="0"/>
                      <a:t>
</a:t>
                    </a:r>
                    <a:fld id="{17643620-376B-497A-89AF-AF091B1CA78A}" type="PERCENTAGE">
                      <a:rPr lang="en-US" baseline="0"/>
                      <a:pPr/>
                      <a:t>[PERCENTAGE]</a:t>
                    </a:fld>
                    <a:endParaRPr lang="zh-CN" altLang="en-US" baseline="0"/>
                  </a:p>
                </c:rich>
              </c:tx>
              <c:showLegendKey val="1"/>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B790-4B2F-8C9B-A7E1F008BB13}"/>
                </c:ext>
              </c:extLst>
            </c:dLbl>
            <c:dLbl>
              <c:idx val="2"/>
              <c:layout>
                <c:manualLayout>
                  <c:x val="4.0186269451361313E-2"/>
                  <c:y val="-3.1889195668723246E-2"/>
                </c:manualLayout>
              </c:layout>
              <c:tx>
                <c:rich>
                  <a:bodyPr/>
                  <a:lstStyle/>
                  <a:p>
                    <a:r>
                      <a:rPr lang="zh-CN" altLang="en-US" sz="800" b="0" i="0" u="none" strike="noStrike" kern="1200" baseline="0">
                        <a:solidFill>
                          <a:sysClr val="windowText" lastClr="000000"/>
                        </a:solidFill>
                      </a:rPr>
                      <a:t>理财收入</a:t>
                    </a:r>
                    <a:r>
                      <a:rPr lang="zh-CN" altLang="en-US" baseline="0"/>
                      <a:t>
</a:t>
                    </a:r>
                    <a:r>
                      <a:rPr lang="en-US" altLang="zh-CN" baseline="0"/>
                      <a:t>-</a:t>
                    </a:r>
                    <a:fld id="{C946D024-7D96-4BC9-8CA5-80DE7FAACE10}" type="PERCENTAGE">
                      <a:rPr lang="en-US" baseline="0"/>
                      <a:pPr/>
                      <a:t>[PERCENTAGE]</a:t>
                    </a:fld>
                    <a:endParaRPr lang="en-US" altLang="zh-CN"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B790-4B2F-8C9B-A7E1F008BB13}"/>
                </c:ext>
              </c:extLst>
            </c:dLbl>
            <c:dLbl>
              <c:idx val="3"/>
              <c:delete val="1"/>
              <c:extLst>
                <c:ext xmlns:c15="http://schemas.microsoft.com/office/drawing/2012/chart" uri="{CE6537A1-D6FC-4f65-9D91-7224C49458BB}"/>
                <c:ext xmlns:c16="http://schemas.microsoft.com/office/drawing/2014/chart" uri="{C3380CC4-5D6E-409C-BE32-E72D297353CC}">
                  <c16:uniqueId val="{00000007-B790-4B2F-8C9B-A7E1F008BB13}"/>
                </c:ext>
              </c:extLst>
            </c:dLbl>
            <c:dLbl>
              <c:idx val="4"/>
              <c:layout>
                <c:manualLayout>
                  <c:x val="-0.12676348051430281"/>
                  <c:y val="-1.152243122387444E-3"/>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zh-CN" altLang="en-US" sz="800" b="0" i="0" u="none" strike="noStrike" kern="1200" baseline="0">
                        <a:solidFill>
                          <a:sysClr val="windowText" lastClr="000000"/>
                        </a:solidFill>
                      </a:rPr>
                      <a:t>出版物销售</a:t>
                    </a:r>
                    <a:r>
                      <a:rPr lang="zh-CN" altLang="en-US" baseline="0">
                        <a:solidFill>
                          <a:sysClr val="windowText" lastClr="000000"/>
                        </a:solidFill>
                      </a:rPr>
                      <a:t>
</a:t>
                    </a:r>
                    <a:r>
                      <a:rPr lang="en-US" altLang="zh-CN" baseline="0">
                        <a:solidFill>
                          <a:sysClr val="windowText" lastClr="000000"/>
                        </a:solidFill>
                      </a:rPr>
                      <a:t>43%</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2807814213096777"/>
                      <c:h val="0.12480163069894042"/>
                    </c:manualLayout>
                  </c15:layout>
                </c:ext>
                <c:ext xmlns:c16="http://schemas.microsoft.com/office/drawing/2014/chart" uri="{C3380CC4-5D6E-409C-BE32-E72D297353CC}">
                  <c16:uniqueId val="{00000009-B790-4B2F-8C9B-A7E1F008BB13}"/>
                </c:ext>
              </c:extLst>
            </c:dLbl>
            <c:dLbl>
              <c:idx val="5"/>
              <c:layout>
                <c:manualLayout>
                  <c:x val="-0.11471254858965414"/>
                  <c:y val="-5.7657723340138042E-3"/>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zh-CN" altLang="en-US" sz="800" b="0" i="0" u="none" strike="noStrike" kern="1200" baseline="0">
                        <a:solidFill>
                          <a:sysClr val="windowText" lastClr="000000"/>
                        </a:solidFill>
                      </a:rPr>
                      <a:t>卫星网络申报</a:t>
                    </a:r>
                    <a:r>
                      <a:rPr lang="zh-CN" altLang="en-US" baseline="0">
                        <a:solidFill>
                          <a:sysClr val="windowText" lastClr="000000"/>
                        </a:solidFill>
                      </a:rPr>
                      <a:t>
</a:t>
                    </a:r>
                    <a:r>
                      <a:rPr lang="en-US" altLang="zh-CN" baseline="0">
                        <a:solidFill>
                          <a:sysClr val="windowText" lastClr="000000"/>
                        </a:solidFill>
                      </a:rPr>
                      <a:t>34%</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4367706568324529"/>
                      <c:h val="0.12193484494993681"/>
                    </c:manualLayout>
                  </c15:layout>
                </c:ext>
                <c:ext xmlns:c16="http://schemas.microsoft.com/office/drawing/2014/chart" uri="{C3380CC4-5D6E-409C-BE32-E72D297353CC}">
                  <c16:uniqueId val="{0000000B-B790-4B2F-8C9B-A7E1F008BB13}"/>
                </c:ext>
              </c:extLst>
            </c:dLbl>
            <c:dLbl>
              <c:idx val="6"/>
              <c:layout>
                <c:manualLayout>
                  <c:x val="-0.12605654214596795"/>
                  <c:y val="3.310377752453382E-2"/>
                </c:manualLayout>
              </c:layout>
              <c:tx>
                <c:rich>
                  <a:bodyPr rot="0" spcFirstLastPara="1" vertOverflow="ellipsis" vert="horz" wrap="square" lIns="38100" tIns="19050" rIns="38100" bIns="19050" anchor="t" anchorCtr="0">
                    <a:noAutofit/>
                  </a:bodyPr>
                  <a:lstStyle/>
                  <a:p>
                    <a:pPr>
                      <a:defRPr sz="900" b="0" i="0" u="none" strike="noStrike" kern="1200" baseline="0">
                        <a:solidFill>
                          <a:sysClr val="windowText" lastClr="000000"/>
                        </a:solidFill>
                        <a:latin typeface="+mn-lt"/>
                        <a:ea typeface="+mn-ea"/>
                        <a:cs typeface="+mn-cs"/>
                      </a:defRPr>
                    </a:pPr>
                    <a:r>
                      <a:rPr lang="zh-CN" altLang="en-US" sz="800" b="0" i="0" u="none" strike="noStrike" kern="1200" baseline="0">
                        <a:solidFill>
                          <a:sysClr val="windowText" lastClr="000000"/>
                        </a:solidFill>
                      </a:rPr>
                      <a:t>其它营运收入</a:t>
                    </a:r>
                    <a:br>
                      <a:rPr lang="zh-CN" altLang="en-US" sz="800" b="0" i="0" u="none" strike="noStrike" kern="1200" baseline="0">
                        <a:solidFill>
                          <a:sysClr val="windowText" lastClr="000000"/>
                        </a:solidFill>
                      </a:rPr>
                    </a:br>
                    <a:r>
                      <a:rPr lang="en-US" altLang="zh-CN" baseline="0">
                        <a:solidFill>
                          <a:sysClr val="windowText" lastClr="000000"/>
                        </a:solidFill>
                      </a:rPr>
                      <a:t>23%</a:t>
                    </a:r>
                  </a:p>
                </c:rich>
              </c:tx>
              <c:spPr>
                <a:noFill/>
                <a:ln>
                  <a:noFill/>
                </a:ln>
                <a:effectLst/>
              </c:spPr>
              <c:txPr>
                <a:bodyPr rot="0" spcFirstLastPara="1" vertOverflow="ellipsis" vert="horz" wrap="square" lIns="38100" tIns="19050" rIns="38100" bIns="19050" anchor="t" anchorCtr="0">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4700873395099118"/>
                      <c:h val="0.15686135823931097"/>
                    </c:manualLayout>
                  </c15:layout>
                </c:ext>
                <c:ext xmlns:c16="http://schemas.microsoft.com/office/drawing/2014/chart" uri="{C3380CC4-5D6E-409C-BE32-E72D297353CC}">
                  <c16:uniqueId val="{0000000D-B790-4B2F-8C9B-A7E1F008BB13}"/>
                </c:ext>
              </c:extLst>
            </c:dLbl>
            <c:dLbl>
              <c:idx val="7"/>
              <c:layout>
                <c:manualLayout>
                  <c:x val="-0.16374886207469616"/>
                  <c:y val="7.9242118384640192E-3"/>
                </c:manualLayout>
              </c:layout>
              <c:tx>
                <c:rich>
                  <a:bodyPr/>
                  <a:lstStyle/>
                  <a:p>
                    <a:r>
                      <a:rPr lang="zh-CN" altLang="en-US" sz="800" b="0" i="0" u="none" strike="noStrike" kern="1200" baseline="0">
                        <a:solidFill>
                          <a:sysClr val="windowText" lastClr="000000"/>
                        </a:solidFill>
                      </a:rPr>
                      <a:t>营运收入</a:t>
                    </a:r>
                    <a:r>
                      <a:rPr lang="zh-CN" altLang="en-US" baseline="0">
                        <a:solidFill>
                          <a:schemeClr val="bg1"/>
                        </a:solidFill>
                      </a:rPr>
                      <a:t>
</a:t>
                    </a:r>
                    <a:r>
                      <a:rPr lang="en-US" altLang="zh-CN" baseline="0">
                        <a:solidFill>
                          <a:sysClr val="windowText" lastClr="000000"/>
                        </a:solidFill>
                      </a:rPr>
                      <a:t>24%</a:t>
                    </a:r>
                    <a:endParaRPr lang="zh-CN" altLang="en-US" baseline="0">
                      <a:solidFill>
                        <a:schemeClr val="bg1"/>
                      </a:solidFill>
                    </a:endParaRPr>
                  </a:p>
                </c:rich>
              </c:tx>
              <c:showLegendKey val="1"/>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B790-4B2F-8C9B-A7E1F008BB1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Highlights'!$A$33:$A$39</c:f>
              <c:strCache>
                <c:ptCount val="7"/>
                <c:pt idx="0">
                  <c:v>Assessed contributions</c:v>
                </c:pt>
                <c:pt idx="1">
                  <c:v>Voluntary contributions</c:v>
                </c:pt>
                <c:pt idx="2">
                  <c:v>Finance revenue</c:v>
                </c:pt>
                <c:pt idx="3">
                  <c:v>Extra budgetary revenue</c:v>
                </c:pt>
                <c:pt idx="4">
                  <c:v>Sales of publication</c:v>
                </c:pt>
                <c:pt idx="5">
                  <c:v>SNF</c:v>
                </c:pt>
                <c:pt idx="6">
                  <c:v>other </c:v>
                </c:pt>
              </c:strCache>
            </c:strRef>
          </c:cat>
          <c:val>
            <c:numRef>
              <c:f>'Financial Highlights'!$B$33:$B$39</c:f>
              <c:numCache>
                <c:formatCode>_ * #,##0_ ;_ * \-#,##0_ ;_ * "-"??_ ;_ @_ </c:formatCode>
                <c:ptCount val="7"/>
                <c:pt idx="0">
                  <c:v>125740.73</c:v>
                </c:pt>
                <c:pt idx="1">
                  <c:v>8299.5299999999988</c:v>
                </c:pt>
                <c:pt idx="2">
                  <c:v>-4699.99</c:v>
                </c:pt>
                <c:pt idx="3">
                  <c:v>74.180000000000007</c:v>
                </c:pt>
                <c:pt idx="4">
                  <c:v>17115.520000000004</c:v>
                </c:pt>
                <c:pt idx="5">
                  <c:v>13631.29</c:v>
                </c:pt>
                <c:pt idx="6" formatCode="General">
                  <c:v>9377.3870000000006</c:v>
                </c:pt>
              </c:numCache>
            </c:numRef>
          </c:val>
          <c:extLst>
            <c:ext xmlns:c16="http://schemas.microsoft.com/office/drawing/2014/chart" uri="{C3380CC4-5D6E-409C-BE32-E72D297353CC}">
              <c16:uniqueId val="{00000010-B790-4B2F-8C9B-A7E1F008BB13}"/>
            </c:ext>
          </c:extLst>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285234309980615E-2"/>
          <c:y val="9.6659559346126508E-2"/>
          <c:w val="0.91171476569001941"/>
          <c:h val="0.4612330921321402"/>
        </c:manualLayout>
      </c:layout>
      <c:barChart>
        <c:barDir val="col"/>
        <c:grouping val="clustered"/>
        <c:varyColors val="0"/>
        <c:ser>
          <c:idx val="0"/>
          <c:order val="0"/>
          <c:tx>
            <c:strRef>
              <c:f>'Financial Highlights'!$C$61</c:f>
              <c:strCache>
                <c:ptCount val="1"/>
                <c:pt idx="0">
                  <c:v>2020</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1.4524328249818447E-2"/>
                  <c:y val="-7.448789571694668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2BF-4154-935C-080AF963CB3B}"/>
                </c:ext>
              </c:extLst>
            </c:dLbl>
            <c:dLbl>
              <c:idx val="2"/>
              <c:layout>
                <c:manualLayout>
                  <c:x val="-2.0749040356883533E-2"/>
                  <c:y val="-1.862197392923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2BF-4154-935C-080AF963CB3B}"/>
                </c:ext>
              </c:extLst>
            </c:dLbl>
            <c:dLbl>
              <c:idx val="3"/>
              <c:layout>
                <c:manualLayout>
                  <c:x val="-6.2247121070650481E-3"/>
                  <c:y val="-3.7243947858473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2BF-4154-935C-080AF963CB3B}"/>
                </c:ext>
              </c:extLst>
            </c:dLbl>
            <c:dLbl>
              <c:idx val="7"/>
              <c:layout>
                <c:manualLayout>
                  <c:x val="-9.5522370098038295E-3"/>
                  <c:y val="6.047516198704108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C92-4C5B-9CD2-57DD949EC8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'Financial Highlights'!$A$63:$B$71</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Highlights'!$C$63:$C$71</c:f>
              <c:numCache>
                <c:formatCode>#,##0</c:formatCode>
                <c:ptCount val="9"/>
                <c:pt idx="0">
                  <c:v>153825.00902000011</c:v>
                </c:pt>
                <c:pt idx="1">
                  <c:v>1003.2751899999994</c:v>
                </c:pt>
                <c:pt idx="2">
                  <c:v>14512.124170000001</c:v>
                </c:pt>
                <c:pt idx="3">
                  <c:v>3004.1787800000006</c:v>
                </c:pt>
                <c:pt idx="4">
                  <c:v>2895.7347000000013</c:v>
                </c:pt>
                <c:pt idx="5">
                  <c:v>16598.213210000002</c:v>
                </c:pt>
                <c:pt idx="6">
                  <c:v>1598.8020300000003</c:v>
                </c:pt>
                <c:pt idx="7">
                  <c:v>8306.1690299999991</c:v>
                </c:pt>
                <c:pt idx="8" formatCode="0">
                  <c:v>15069</c:v>
                </c:pt>
              </c:numCache>
            </c:numRef>
          </c:val>
          <c:extLst>
            <c:ext xmlns:c16="http://schemas.microsoft.com/office/drawing/2014/chart" uri="{C3380CC4-5D6E-409C-BE32-E72D297353CC}">
              <c16:uniqueId val="{00000001-AC92-4C5B-9CD2-57DD949EC809}"/>
            </c:ext>
          </c:extLst>
        </c:ser>
        <c:ser>
          <c:idx val="1"/>
          <c:order val="1"/>
          <c:tx>
            <c:strRef>
              <c:f>'Financial Highlights'!$D$61</c:f>
              <c:strCache>
                <c:ptCount val="1"/>
                <c:pt idx="0">
                  <c:v>2019</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AC92-4C5B-9CD2-57DD949EC809}"/>
              </c:ext>
            </c:extLst>
          </c:dPt>
          <c:dLbls>
            <c:dLbl>
              <c:idx val="4"/>
              <c:layout>
                <c:manualLayout>
                  <c:x val="0"/>
                  <c:y val="-3.351955307262576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2BF-4154-935C-080AF963CB3B}"/>
                </c:ext>
              </c:extLst>
            </c:dLbl>
            <c:dLbl>
              <c:idx val="6"/>
              <c:layout>
                <c:manualLayout>
                  <c:x val="8.299616142753246E-3"/>
                  <c:y val="-2.60707635009311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2BF-4154-935C-080AF963CB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'Financial Highlights'!$A$63:$B$71</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Highlights'!$D$63:$D$71</c:f>
              <c:numCache>
                <c:formatCode>#,##0</c:formatCode>
                <c:ptCount val="9"/>
                <c:pt idx="0">
                  <c:v>203942</c:v>
                </c:pt>
                <c:pt idx="1">
                  <c:v>7767</c:v>
                </c:pt>
                <c:pt idx="2">
                  <c:v>13821</c:v>
                </c:pt>
                <c:pt idx="3">
                  <c:v>4175</c:v>
                </c:pt>
                <c:pt idx="4">
                  <c:v>3815</c:v>
                </c:pt>
                <c:pt idx="5">
                  <c:v>4570</c:v>
                </c:pt>
                <c:pt idx="6">
                  <c:v>1619</c:v>
                </c:pt>
                <c:pt idx="7">
                  <c:v>1252</c:v>
                </c:pt>
                <c:pt idx="8" formatCode="0">
                  <c:v>3679</c:v>
                </c:pt>
              </c:numCache>
            </c:numRef>
          </c:val>
          <c:extLst>
            <c:ext xmlns:c16="http://schemas.microsoft.com/office/drawing/2014/chart" uri="{C3380CC4-5D6E-409C-BE32-E72D297353CC}">
              <c16:uniqueId val="{00000004-AC92-4C5B-9CD2-57DD949EC809}"/>
            </c:ext>
          </c:extLst>
        </c:ser>
        <c:dLbls>
          <c:showLegendKey val="0"/>
          <c:showVal val="1"/>
          <c:showCatName val="0"/>
          <c:showSerName val="0"/>
          <c:showPercent val="0"/>
          <c:showBubbleSize val="0"/>
        </c:dLbls>
        <c:gapWidth val="100"/>
        <c:overlap val="-24"/>
        <c:axId val="422513544"/>
        <c:axId val="428000744"/>
      </c:barChart>
      <c:catAx>
        <c:axId val="4225135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000744"/>
        <c:crosses val="autoZero"/>
        <c:auto val="1"/>
        <c:lblAlgn val="ctr"/>
        <c:lblOffset val="100"/>
        <c:noMultiLvlLbl val="0"/>
      </c:catAx>
      <c:valAx>
        <c:axId val="428000744"/>
        <c:scaling>
          <c:orientation val="minMax"/>
          <c:max val="220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5135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470006971784777"/>
          <c:y val="6.2360744067455093E-2"/>
          <c:w val="0.50530424321959755"/>
          <c:h val="0.82828689519055643"/>
        </c:manualLayout>
      </c:layout>
      <c:pie3DChart>
        <c:varyColors val="1"/>
        <c:ser>
          <c:idx val="0"/>
          <c:order val="0"/>
          <c:explosion val="9"/>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BF-4F25-B73C-FA9B47636514}"/>
              </c:ext>
            </c:extLst>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BF-4F25-B73C-FA9B47636514}"/>
              </c:ext>
            </c:extLst>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DBF-4F25-B73C-FA9B47636514}"/>
              </c:ext>
            </c:extLst>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DBF-4F25-B73C-FA9B47636514}"/>
              </c:ext>
            </c:extLst>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ADBF-4F25-B73C-FA9B47636514}"/>
              </c:ext>
            </c:extLst>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ADBF-4F25-B73C-FA9B47636514}"/>
              </c:ext>
            </c:extLst>
          </c:dPt>
          <c:dLbls>
            <c:dLbl>
              <c:idx val="0"/>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rPr>
                      <a:t>现金和</a:t>
                    </a:r>
                    <a:br>
                      <a:rPr lang="zh-CN" altLang="en-US" sz="1000" b="1" i="0" u="none" strike="noStrike" kern="1200" spc="0" baseline="0">
                        <a:solidFill>
                          <a:sysClr val="windowText" lastClr="000000"/>
                        </a:solidFill>
                      </a:rPr>
                    </a:br>
                    <a:r>
                      <a:rPr lang="zh-CN" altLang="en-US" sz="1000" b="1" i="0" u="none" strike="noStrike" kern="1200" spc="0" baseline="0">
                        <a:solidFill>
                          <a:sysClr val="windowText" lastClr="000000"/>
                        </a:solidFill>
                      </a:rPr>
                      <a:t>现金等价物</a:t>
                    </a:r>
                    <a:r>
                      <a:rPr lang="zh-CN" altLang="en-US" baseline="0"/>
                      <a:t>
</a:t>
                    </a:r>
                    <a:fld id="{9E1BF632-62B0-44F9-AFD4-2A6509287C26}" type="PERCENTAGE">
                      <a:rPr lang="en-US"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ADBF-4F25-B73C-FA9B47636514}"/>
                </c:ext>
              </c:extLst>
            </c:dLbl>
            <c:dLbl>
              <c:idx val="1"/>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rPr>
                      <a:t>投资</a:t>
                    </a:r>
                    <a:r>
                      <a:rPr lang="zh-CN" altLang="en-US" baseline="0"/>
                      <a:t>
</a:t>
                    </a:r>
                    <a:fld id="{914BC100-3443-4E65-BC2C-1CC5753AA191}" type="PERCENTAGE">
                      <a:rPr lang="en-US"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ADBF-4F25-B73C-FA9B47636514}"/>
                </c:ext>
              </c:extLst>
            </c:dLbl>
            <c:dLbl>
              <c:idx val="2"/>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rPr>
                      <a:t>应收款项</a:t>
                    </a:r>
                    <a:r>
                      <a:rPr lang="zh-CN" altLang="en-US" baseline="0"/>
                      <a:t>
</a:t>
                    </a:r>
                    <a:fld id="{29CCF02C-0E6C-4E31-8486-91C2F2E519CD}" type="PERCENTAGE">
                      <a:rPr lang="en-US"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ADBF-4F25-B73C-FA9B47636514}"/>
                </c:ext>
              </c:extLst>
            </c:dLbl>
            <c:dLbl>
              <c:idx val="3"/>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rPr>
                      <a:t>其它</a:t>
                    </a:r>
                    <a:br>
                      <a:rPr lang="zh-CN" altLang="en-US" sz="1000" b="1" i="0" u="none" strike="noStrike" kern="1200" spc="0" baseline="0">
                        <a:solidFill>
                          <a:sysClr val="windowText" lastClr="000000"/>
                        </a:solidFill>
                      </a:rPr>
                    </a:br>
                    <a:r>
                      <a:rPr lang="zh-CN" altLang="en-US" sz="1000" b="1" i="0" u="none" strike="noStrike" kern="1200" spc="0" baseline="0">
                        <a:solidFill>
                          <a:sysClr val="windowText" lastClr="000000"/>
                        </a:solidFill>
                      </a:rPr>
                      <a:t>应收款项</a:t>
                    </a:r>
                    <a:r>
                      <a:rPr lang="zh-CN" altLang="en-US" baseline="0"/>
                      <a:t>
</a:t>
                    </a:r>
                    <a:fld id="{01C3DC97-B667-451E-AD01-1A843A5FE11B}" type="PERCENTAGE">
                      <a:rPr lang="en-US"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ADBF-4F25-B73C-FA9B47636514}"/>
                </c:ext>
              </c:extLst>
            </c:dLbl>
            <c:dLbl>
              <c:idx val="4"/>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rPr>
                      <a:t>物业、机器和</a:t>
                    </a:r>
                    <a:br>
                      <a:rPr lang="zh-CN" altLang="en-US" sz="1000" b="1" i="0" u="none" strike="noStrike" kern="1200" spc="0" baseline="0">
                        <a:solidFill>
                          <a:sysClr val="windowText" lastClr="000000"/>
                        </a:solidFill>
                      </a:rPr>
                    </a:br>
                    <a:r>
                      <a:rPr lang="zh-CN" altLang="en-US" sz="1000" b="1" i="0" u="none" strike="noStrike" kern="1200" spc="0" baseline="0">
                        <a:solidFill>
                          <a:sysClr val="windowText" lastClr="000000"/>
                        </a:solidFill>
                      </a:rPr>
                      <a:t>设备</a:t>
                    </a:r>
                    <a:r>
                      <a:rPr lang="zh-CN" altLang="en-US" baseline="0"/>
                      <a:t>
</a:t>
                    </a:r>
                    <a:fld id="{3ED79779-E900-48B0-AD18-D42E66AEB354}" type="PERCENTAGE">
                      <a:rPr lang="en-US"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ADBF-4F25-B73C-FA9B47636514}"/>
                </c:ext>
              </c:extLst>
            </c:dLbl>
            <c:dLbl>
              <c:idx val="5"/>
              <c:layout>
                <c:manualLayout>
                  <c:x val="-1.6666666666666691E-2"/>
                  <c:y val="-0.102418192386108"/>
                </c:manualLayout>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rPr>
                      <a:t>其它资产</a:t>
                    </a:r>
                    <a:r>
                      <a:rPr lang="zh-CN" altLang="en-US" baseline="0"/>
                      <a:t>
</a:t>
                    </a:r>
                    <a:fld id="{8BBCA03F-C716-4812-89EB-1D56EF022B5B}" type="PERCENTAGE">
                      <a:rPr lang="en-US"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ADBF-4F25-B73C-FA9B47636514}"/>
                </c:ext>
              </c:extLst>
            </c:dLbl>
            <c:dLbl>
              <c:idx val="6"/>
              <c:layout>
                <c:manualLayout>
                  <c:x val="0.13802083333333323"/>
                  <c:y val="-2.1887821753852215E-2"/>
                </c:manualLayout>
              </c:layout>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ADBF-4F25-B73C-FA9B47636514}"/>
                </c:ext>
              </c:extLst>
            </c:dLbl>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Highlights'!$B$88:$B$93</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Highlights'!$C$88:$C$93</c:f>
              <c:numCache>
                <c:formatCode>_ * #,##0_ ;_ * \-#,##0_ ;_ * "-"??_ ;_ @_ </c:formatCode>
                <c:ptCount val="6"/>
                <c:pt idx="0">
                  <c:v>99405.760019999987</c:v>
                </c:pt>
                <c:pt idx="1">
                  <c:v>95516.27</c:v>
                </c:pt>
                <c:pt idx="2">
                  <c:v>97787.19</c:v>
                </c:pt>
                <c:pt idx="3">
                  <c:v>26879.8835</c:v>
                </c:pt>
                <c:pt idx="4">
                  <c:v>78040.295000000013</c:v>
                </c:pt>
                <c:pt idx="5">
                  <c:v>10885.637999999999</c:v>
                </c:pt>
              </c:numCache>
            </c:numRef>
          </c:val>
          <c:extLst>
            <c:ext xmlns:c16="http://schemas.microsoft.com/office/drawing/2014/chart" uri="{C3380CC4-5D6E-409C-BE32-E72D297353CC}">
              <c16:uniqueId val="{0000000D-ADBF-4F25-B73C-FA9B47636514}"/>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aseline="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Highlights'!$C$86:$C$87</c:f>
              <c:strCache>
                <c:ptCount val="2"/>
                <c:pt idx="0">
                  <c:v>2020</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Highlights'!$B$88:$B$93</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Highlights'!$C$88:$C$93</c:f>
              <c:numCache>
                <c:formatCode>_ * #,##0_ ;_ * \-#,##0_ ;_ * "-"??_ ;_ @_ </c:formatCode>
                <c:ptCount val="6"/>
                <c:pt idx="0">
                  <c:v>99405.760019999987</c:v>
                </c:pt>
                <c:pt idx="1">
                  <c:v>95516.27</c:v>
                </c:pt>
                <c:pt idx="2">
                  <c:v>97787.19</c:v>
                </c:pt>
                <c:pt idx="3">
                  <c:v>26879.8835</c:v>
                </c:pt>
                <c:pt idx="4">
                  <c:v>78040.295000000013</c:v>
                </c:pt>
                <c:pt idx="5">
                  <c:v>10885.637999999999</c:v>
                </c:pt>
              </c:numCache>
            </c:numRef>
          </c:val>
          <c:extLst>
            <c:ext xmlns:c16="http://schemas.microsoft.com/office/drawing/2014/chart" uri="{C3380CC4-5D6E-409C-BE32-E72D297353CC}">
              <c16:uniqueId val="{00000000-5A9D-4B41-A690-EBB13EFE3BD5}"/>
            </c:ext>
          </c:extLst>
        </c:ser>
        <c:ser>
          <c:idx val="1"/>
          <c:order val="1"/>
          <c:tx>
            <c:strRef>
              <c:f>'Financial Highlights'!$D$86:$D$87</c:f>
              <c:strCache>
                <c:ptCount val="2"/>
                <c:pt idx="0">
                  <c:v>2019</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Highlights'!$B$88:$B$93</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Highlights'!$D$88:$D$93</c:f>
              <c:numCache>
                <c:formatCode>_ * #,##0_ ;_ * \-#,##0_ ;_ * "-"??_ ;_ @_ </c:formatCode>
                <c:ptCount val="6"/>
                <c:pt idx="0">
                  <c:v>178852</c:v>
                </c:pt>
                <c:pt idx="1">
                  <c:v>33329</c:v>
                </c:pt>
                <c:pt idx="2">
                  <c:v>94787</c:v>
                </c:pt>
                <c:pt idx="3">
                  <c:v>50243.856209999998</c:v>
                </c:pt>
                <c:pt idx="4">
                  <c:v>92675</c:v>
                </c:pt>
                <c:pt idx="5">
                  <c:v>7076</c:v>
                </c:pt>
              </c:numCache>
            </c:numRef>
          </c:val>
          <c:extLst>
            <c:ext xmlns:c16="http://schemas.microsoft.com/office/drawing/2014/chart" uri="{C3380CC4-5D6E-409C-BE32-E72D297353CC}">
              <c16:uniqueId val="{00000001-5A9D-4B41-A690-EBB13EFE3BD5}"/>
            </c:ext>
          </c:extLst>
        </c:ser>
        <c:dLbls>
          <c:showLegendKey val="0"/>
          <c:showVal val="0"/>
          <c:showCatName val="0"/>
          <c:showSerName val="0"/>
          <c:showPercent val="0"/>
          <c:showBubbleSize val="0"/>
        </c:dLbls>
        <c:gapWidth val="100"/>
        <c:overlap val="-24"/>
        <c:axId val="427995648"/>
        <c:axId val="427996040"/>
      </c:barChart>
      <c:catAx>
        <c:axId val="427995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996040"/>
        <c:crosses val="autoZero"/>
        <c:auto val="1"/>
        <c:lblAlgn val="ctr"/>
        <c:lblOffset val="100"/>
        <c:noMultiLvlLbl val="0"/>
      </c:catAx>
      <c:valAx>
        <c:axId val="427996040"/>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9956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94444444444445"/>
          <c:y val="0.28080593989178415"/>
          <c:w val="0.72777777777777775"/>
          <c:h val="0.68981481481481488"/>
        </c:manualLayout>
      </c:layout>
      <c:pie3DChart>
        <c:varyColors val="1"/>
        <c:ser>
          <c:idx val="0"/>
          <c:order val="0"/>
          <c:explosion val="5"/>
          <c:dPt>
            <c:idx val="0"/>
            <c:bubble3D val="0"/>
            <c:spPr>
              <a:solidFill>
                <a:schemeClr val="accent1">
                  <a:shade val="4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177-48C1-B6A4-93641D976B6A}"/>
              </c:ext>
            </c:extLst>
          </c:dPt>
          <c:dPt>
            <c:idx val="1"/>
            <c:bubble3D val="0"/>
            <c:spPr>
              <a:solidFill>
                <a:schemeClr val="accent1">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177-48C1-B6A4-93641D976B6A}"/>
              </c:ext>
            </c:extLst>
          </c:dPt>
          <c:dPt>
            <c:idx val="2"/>
            <c:bubble3D val="0"/>
            <c:spPr>
              <a:solidFill>
                <a:schemeClr val="accent1">
                  <a:shade val="8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2177-48C1-B6A4-93641D976B6A}"/>
              </c:ext>
            </c:extLst>
          </c:dPt>
          <c:dPt>
            <c:idx val="3"/>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2177-48C1-B6A4-93641D976B6A}"/>
              </c:ext>
            </c:extLst>
          </c:dPt>
          <c:dPt>
            <c:idx val="4"/>
            <c:bubble3D val="0"/>
            <c:spPr>
              <a:solidFill>
                <a:schemeClr val="accent1">
                  <a:tint val="8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2177-48C1-B6A4-93641D976B6A}"/>
              </c:ext>
            </c:extLst>
          </c:dPt>
          <c:dPt>
            <c:idx val="5"/>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2177-48C1-B6A4-93641D976B6A}"/>
              </c:ext>
            </c:extLst>
          </c:dPt>
          <c:dPt>
            <c:idx val="6"/>
            <c:bubble3D val="0"/>
            <c:spPr>
              <a:solidFill>
                <a:schemeClr val="accent1">
                  <a:tint val="4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2177-48C1-B6A4-93641D976B6A}"/>
              </c:ext>
            </c:extLst>
          </c:dPt>
          <c:dPt>
            <c:idx val="7"/>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2177-48C1-B6A4-93641D976B6A}"/>
              </c:ext>
            </c:extLst>
          </c:dPt>
          <c:dLbls>
            <c:dLbl>
              <c:idx val="0"/>
              <c:layout>
                <c:manualLayout>
                  <c:x val="-2.7777777777777779E-3"/>
                  <c:y val="-8.36901366151784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latin typeface="+mn-lt"/>
                        <a:ea typeface="SimSun" panose="02010600030101010101" pitchFamily="2" charset="-122"/>
                      </a:rPr>
                      <a:t>应付账款</a:t>
                    </a:r>
                    <a:br>
                      <a:rPr lang="zh-CN" altLang="en-US" sz="1000" b="1" i="0" u="none" strike="noStrike" kern="1200" spc="0" baseline="0">
                        <a:solidFill>
                          <a:sysClr val="windowText" lastClr="000000"/>
                        </a:solidFill>
                        <a:latin typeface="+mn-lt"/>
                        <a:ea typeface="SimSun" panose="02010600030101010101" pitchFamily="2" charset="-122"/>
                      </a:rPr>
                    </a:br>
                    <a:r>
                      <a:rPr lang="zh-CN" altLang="en-US" sz="1000" b="1" i="0" u="none" strike="noStrike" kern="1200" spc="0" baseline="0">
                        <a:solidFill>
                          <a:sysClr val="windowText" lastClr="000000"/>
                        </a:solidFill>
                        <a:latin typeface="+mn-lt"/>
                        <a:ea typeface="SimSun" panose="02010600030101010101" pitchFamily="2" charset="-122"/>
                      </a:rPr>
                      <a:t>及应计费用</a:t>
                    </a:r>
                    <a:r>
                      <a:rPr lang="zh-CN" altLang="en-US" baseline="0"/>
                      <a:t>
</a:t>
                    </a:r>
                    <a:fld id="{5C00B12B-B8A5-4465-BBDD-06B6038D61C5}" type="PERCENTAGE">
                      <a:rPr lang="en-US" baseline="0"/>
                      <a:pPr>
                        <a:defRPr>
                          <a:solidFill>
                            <a:sysClr val="windowText" lastClr="000000"/>
                          </a:solidFill>
                        </a:defRPr>
                      </a:pPr>
                      <a:t>[PERCENTAGE]</a:t>
                    </a:fld>
                    <a:endParaRPr lang="zh-CN" alt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2177-48C1-B6A4-93641D976B6A}"/>
                </c:ext>
              </c:extLst>
            </c:dLbl>
            <c:dLbl>
              <c:idx val="1"/>
              <c:layout>
                <c:manualLayout>
                  <c:x val="-3.6111111111111108E-2"/>
                  <c:y val="-5.170758448802421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latin typeface="+mn-lt"/>
                        <a:ea typeface="SimSun" panose="02010600030101010101" pitchFamily="2" charset="-122"/>
                      </a:rPr>
                      <a:t>递延收入</a:t>
                    </a:r>
                    <a:r>
                      <a:rPr lang="zh-CN" altLang="en-US" baseline="0"/>
                      <a:t>
</a:t>
                    </a:r>
                    <a:fld id="{068326D6-39F8-4F97-A6D4-9C2BF8D6C3F3}" type="PERCENTAGE">
                      <a:rPr lang="en-US" baseline="0"/>
                      <a:pPr>
                        <a:defRPr>
                          <a:solidFill>
                            <a:sysClr val="windowText" lastClr="000000"/>
                          </a:solidFill>
                        </a:defRPr>
                      </a:pPr>
                      <a:t>[PERCENTAGE]</a:t>
                    </a:fld>
                    <a:endParaRPr lang="zh-CN" alt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2177-48C1-B6A4-93641D976B6A}"/>
                </c:ext>
              </c:extLst>
            </c:dLbl>
            <c:dLbl>
              <c:idx val="2"/>
              <c:layout>
                <c:manualLayout>
                  <c:x val="-2.7777777777777776E-2"/>
                  <c:y val="-0.1058302956073413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latin typeface="+mn-lt"/>
                        <a:ea typeface="SimSun" panose="02010600030101010101" pitchFamily="2" charset="-122"/>
                      </a:rPr>
                      <a:t>其它负债</a:t>
                    </a:r>
                    <a:r>
                      <a:rPr lang="zh-CN" altLang="en-US" baseline="0"/>
                      <a:t>
</a:t>
                    </a:r>
                    <a:fld id="{240100AB-2F5F-4B02-940A-B3159681EC7E}" type="PERCENTAGE">
                      <a:rPr lang="en-US" baseline="0"/>
                      <a:pPr>
                        <a:defRPr>
                          <a:solidFill>
                            <a:sysClr val="windowText" lastClr="000000"/>
                          </a:solidFill>
                        </a:defRPr>
                      </a:pPr>
                      <a:t>[PERCENTAGE]</a:t>
                    </a:fld>
                    <a:endParaRPr lang="zh-CN" alt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2177-48C1-B6A4-93641D976B6A}"/>
                </c:ext>
              </c:extLst>
            </c:dLbl>
            <c:dLbl>
              <c:idx val="3"/>
              <c:layout>
                <c:manualLayout>
                  <c:x val="2.9337051618547581E-2"/>
                  <c:y val="-2.946223223521831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latin typeface="+mn-lt"/>
                        <a:ea typeface="SimSun" panose="02010600030101010101" pitchFamily="2" charset="-122"/>
                      </a:rPr>
                      <a:t>借贷</a:t>
                    </a:r>
                    <a:r>
                      <a:rPr lang="zh-CN" altLang="en-US" baseline="0"/>
                      <a:t>
</a:t>
                    </a:r>
                    <a:fld id="{84443EE5-EC14-4EA5-9573-6D1CD4BA84D5}" type="PERCENTAGE">
                      <a:rPr lang="en-US" baseline="0"/>
                      <a:pPr>
                        <a:defRPr>
                          <a:solidFill>
                            <a:sysClr val="windowText" lastClr="000000"/>
                          </a:solidFill>
                        </a:defRPr>
                      </a:pPr>
                      <a:t>[PERCENTAGE]</a:t>
                    </a:fld>
                    <a:endParaRPr lang="zh-CN" alt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2177-48C1-B6A4-93641D976B6A}"/>
                </c:ext>
              </c:extLst>
            </c:dLbl>
            <c:dLbl>
              <c:idx val="4"/>
              <c:layout>
                <c:manualLayout>
                  <c:x val="-5.2942475940507452E-2"/>
                  <c:y val="-8.398566008713753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latin typeface="+mn-lt"/>
                        <a:ea typeface="SimSun" panose="02010600030101010101" pitchFamily="2" charset="-122"/>
                      </a:rPr>
                      <a:t>职员福利</a:t>
                    </a:r>
                    <a:r>
                      <a:rPr lang="zh-CN" altLang="en-US" baseline="0"/>
                      <a:t>
</a:t>
                    </a:r>
                    <a:fld id="{2E325696-0934-42BE-BA60-2FB953D4D1FB}" type="PERCENTAGE">
                      <a:rPr lang="en-US" baseline="0"/>
                      <a:pPr>
                        <a:defRPr>
                          <a:solidFill>
                            <a:sysClr val="windowText" lastClr="000000"/>
                          </a:solidFill>
                        </a:defRPr>
                      </a:pPr>
                      <a:t>[PERCENTAGE]</a:t>
                    </a:fld>
                    <a:endParaRPr lang="zh-CN" alt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2177-48C1-B6A4-93641D976B6A}"/>
                </c:ext>
              </c:extLst>
            </c:dLbl>
            <c:dLbl>
              <c:idx val="5"/>
              <c:layout>
                <c:manualLayout>
                  <c:x val="-7.5991907261592301E-2"/>
                  <c:y val="-6.310606270399268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j-ea"/>
                        <a:cs typeface="+mn-cs"/>
                      </a:defRPr>
                    </a:pPr>
                    <a:r>
                      <a:rPr lang="zh-CN" altLang="en-US" sz="1000" b="1" i="0" u="none" strike="noStrike" kern="1200" spc="0" baseline="0">
                        <a:solidFill>
                          <a:sysClr val="windowText" lastClr="000000"/>
                        </a:solidFill>
                        <a:latin typeface="+mn-lt"/>
                        <a:ea typeface="SimSun" panose="02010600030101010101" pitchFamily="2" charset="-122"/>
                      </a:rPr>
                      <a:t>第三方基金</a:t>
                    </a:r>
                    <a:r>
                      <a:rPr lang="zh-CN" altLang="en-US" baseline="0">
                        <a:latin typeface="+mn-lt"/>
                        <a:ea typeface="+mj-ea"/>
                      </a:rPr>
                      <a:t>
</a:t>
                    </a:r>
                    <a:fld id="{2E2DF52D-56B8-4FF6-9918-0A6346674F4D}" type="PERCENTAGE">
                      <a:rPr lang="en-US" baseline="0">
                        <a:latin typeface="+mn-lt"/>
                        <a:ea typeface="+mj-ea"/>
                      </a:rPr>
                      <a:pPr>
                        <a:defRPr>
                          <a:solidFill>
                            <a:sysClr val="windowText" lastClr="000000"/>
                          </a:solidFill>
                          <a:ea typeface="+mj-ea"/>
                        </a:defRPr>
                      </a:pPr>
                      <a:t>[PERCENTAGE]</a:t>
                    </a:fld>
                    <a:endParaRPr lang="zh-CN" altLang="en-US" baseline="0">
                      <a:latin typeface="+mn-lt"/>
                      <a:ea typeface="+mj-ea"/>
                    </a:endParaRPr>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j-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2177-48C1-B6A4-93641D976B6A}"/>
                </c:ext>
              </c:extLst>
            </c:dLbl>
            <c:dLbl>
              <c:idx val="6"/>
              <c:layout>
                <c:manualLayout>
                  <c:x val="-1.9444444444444445E-2"/>
                  <c:y val="0.2000121406645255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2177-48C1-B6A4-93641D976B6A}"/>
                </c:ext>
              </c:extLst>
            </c:dLbl>
            <c:dLbl>
              <c:idx val="7"/>
              <c:layout>
                <c:manualLayout>
                  <c:x val="-0.16944444444444448"/>
                  <c:y val="-3.198401303033728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2177-48C1-B6A4-93641D976B6A}"/>
                </c:ext>
              </c:extLst>
            </c:dLbl>
            <c:dLbl>
              <c:idx val="9"/>
              <c:layout>
                <c:manualLayout>
                  <c:x val="-5.5555555555555558E-3"/>
                  <c:y val="0"/>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2177-48C1-B6A4-93641D976B6A}"/>
                </c:ext>
              </c:extLst>
            </c:dLbl>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'[1]Financial Highlights'!$C$113:$C$119</c:f>
              <c:strCache>
                <c:ptCount val="7"/>
                <c:pt idx="0">
                  <c:v>Payables and accruals</c:v>
                </c:pt>
                <c:pt idx="1">
                  <c:v>Deferred revenue</c:v>
                </c:pt>
                <c:pt idx="2">
                  <c:v>Other liabilities</c:v>
                </c:pt>
                <c:pt idx="3">
                  <c:v>Borrowings</c:v>
                </c:pt>
                <c:pt idx="4">
                  <c:v>Employee benefits</c:v>
                </c:pt>
                <c:pt idx="5">
                  <c:v>Third party funds</c:v>
                </c:pt>
              </c:strCache>
            </c:strRef>
          </c:cat>
          <c:val>
            <c:numRef>
              <c:f>'[1]Financial Highlights'!$D$113:$D$119</c:f>
              <c:numCache>
                <c:formatCode>General</c:formatCode>
                <c:ptCount val="7"/>
                <c:pt idx="0">
                  <c:v>7119.92</c:v>
                </c:pt>
                <c:pt idx="1">
                  <c:v>132565.67879000001</c:v>
                </c:pt>
                <c:pt idx="2">
                  <c:v>23933.065930000001</c:v>
                </c:pt>
                <c:pt idx="3">
                  <c:v>47109.79</c:v>
                </c:pt>
                <c:pt idx="4">
                  <c:v>656030.80000000005</c:v>
                </c:pt>
                <c:pt idx="5">
                  <c:v>42782.91</c:v>
                </c:pt>
              </c:numCache>
            </c:numRef>
          </c:val>
          <c:extLst>
            <c:ext xmlns:c16="http://schemas.microsoft.com/office/drawing/2014/chart" uri="{C3380CC4-5D6E-409C-BE32-E72D297353CC}">
              <c16:uniqueId val="{00000011-2177-48C1-B6A4-93641D976B6A}"/>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Highlights'!$D$112</c:f>
              <c:strCache>
                <c:ptCount val="1"/>
                <c:pt idx="0">
                  <c:v>2020</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c:spPr>
          <c:invertIfNegative val="0"/>
          <c:cat>
            <c:strRef>
              <c:f>'Financial Highlights'!$C$113:$C$118</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Highlights'!$D$113:$D$118</c:f>
              <c:numCache>
                <c:formatCode>_ * #,##0_ ;_ * \-#,##0_ ;_ * "-"??_ ;_ @_ </c:formatCode>
                <c:ptCount val="6"/>
                <c:pt idx="0">
                  <c:v>7119.92</c:v>
                </c:pt>
                <c:pt idx="1">
                  <c:v>132565.67879000001</c:v>
                </c:pt>
                <c:pt idx="2">
                  <c:v>23933.065930000001</c:v>
                </c:pt>
                <c:pt idx="3">
                  <c:v>47109.79</c:v>
                </c:pt>
                <c:pt idx="4">
                  <c:v>656030.80000000005</c:v>
                </c:pt>
                <c:pt idx="5">
                  <c:v>42782.91</c:v>
                </c:pt>
              </c:numCache>
            </c:numRef>
          </c:val>
          <c:extLst>
            <c:ext xmlns:c16="http://schemas.microsoft.com/office/drawing/2014/chart" uri="{C3380CC4-5D6E-409C-BE32-E72D297353CC}">
              <c16:uniqueId val="{00000000-E1ED-4D91-A218-4E033A2D8C60}"/>
            </c:ext>
          </c:extLst>
        </c:ser>
        <c:ser>
          <c:idx val="1"/>
          <c:order val="1"/>
          <c:tx>
            <c:strRef>
              <c:f>'Financial Highlights'!$E$112</c:f>
              <c:strCache>
                <c:ptCount val="1"/>
                <c:pt idx="0">
                  <c:v>2019</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balanced" dir="t"/>
            </a:scene3d>
            <a:sp3d>
              <a:bevelT/>
            </a:sp3d>
          </c:spPr>
          <c:invertIfNegative val="0"/>
          <c:cat>
            <c:strRef>
              <c:f>'Financial Highlights'!$C$113:$C$118</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Highlights'!$E$113:$E$118</c:f>
              <c:numCache>
                <c:formatCode>_ * #,##0_ ;_ * \-#,##0_ ;_ * "-"??_ ;_ @_ </c:formatCode>
                <c:ptCount val="6"/>
                <c:pt idx="0">
                  <c:v>9235.090000000002</c:v>
                </c:pt>
                <c:pt idx="1">
                  <c:v>135641.69</c:v>
                </c:pt>
                <c:pt idx="2">
                  <c:v>46961.93993</c:v>
                </c:pt>
                <c:pt idx="3">
                  <c:v>44948.92</c:v>
                </c:pt>
                <c:pt idx="4">
                  <c:v>635034</c:v>
                </c:pt>
                <c:pt idx="5">
                  <c:v>38325</c:v>
                </c:pt>
              </c:numCache>
            </c:numRef>
          </c:val>
          <c:extLst>
            <c:ext xmlns:c16="http://schemas.microsoft.com/office/drawing/2014/chart" uri="{C3380CC4-5D6E-409C-BE32-E72D297353CC}">
              <c16:uniqueId val="{00000001-E1ED-4D91-A218-4E033A2D8C60}"/>
            </c:ext>
          </c:extLst>
        </c:ser>
        <c:dLbls>
          <c:showLegendKey val="0"/>
          <c:showVal val="0"/>
          <c:showCatName val="0"/>
          <c:showSerName val="0"/>
          <c:showPercent val="0"/>
          <c:showBubbleSize val="0"/>
        </c:dLbls>
        <c:gapWidth val="100"/>
        <c:overlap val="-24"/>
        <c:axId val="356761288"/>
        <c:axId val="356762464"/>
      </c:barChart>
      <c:catAx>
        <c:axId val="3567612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56762464"/>
        <c:crosses val="autoZero"/>
        <c:auto val="1"/>
        <c:lblAlgn val="ctr"/>
        <c:lblOffset val="100"/>
        <c:noMultiLvlLbl val="0"/>
      </c:catAx>
      <c:valAx>
        <c:axId val="356762464"/>
        <c:scaling>
          <c:orientation val="minMax"/>
          <c:max val="650000"/>
        </c:scaling>
        <c:delete val="0"/>
        <c:axPos val="l"/>
        <c:majorGridlines>
          <c:spPr>
            <a:ln w="9525" cap="flat" cmpd="sng" algn="ctr">
              <a:solidFill>
                <a:schemeClr val="tx2">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56761288"/>
        <c:crosses val="autoZero"/>
        <c:crossBetween val="between"/>
        <c:majorUnit val="1000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0.16394</cdr:x>
      <cdr:y>0.76278</cdr:y>
    </cdr:from>
    <cdr:to>
      <cdr:x>0.98092</cdr:x>
      <cdr:y>0.86999</cdr:y>
    </cdr:to>
    <cdr:sp macro="" textlink="">
      <cdr:nvSpPr>
        <cdr:cNvPr id="2" name="文本框 1"/>
        <cdr:cNvSpPr txBox="1"/>
      </cdr:nvSpPr>
      <cdr:spPr>
        <a:xfrm xmlns:a="http://schemas.openxmlformats.org/drawingml/2006/main">
          <a:off x="749540" y="2086633"/>
          <a:ext cx="3735238" cy="293298"/>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000"/>
            <a:t>分摊会费</a:t>
          </a:r>
          <a:r>
            <a:rPr lang="en-US" altLang="zh-CN" sz="1000"/>
            <a:t>	 </a:t>
          </a:r>
          <a:r>
            <a:rPr lang="zh-CN" altLang="en-US" sz="1000"/>
            <a:t>自愿捐款</a:t>
          </a:r>
          <a:r>
            <a:rPr lang="en-US" altLang="zh-CN" sz="1000"/>
            <a:t>	</a:t>
          </a:r>
          <a:r>
            <a:rPr lang="zh-CN" altLang="en-US" sz="1000"/>
            <a:t>其它营运收入</a:t>
          </a:r>
          <a:r>
            <a:rPr lang="en-US" altLang="zh-CN" sz="1000"/>
            <a:t>	  </a:t>
          </a:r>
          <a:r>
            <a:rPr lang="zh-CN" altLang="en-US" sz="1000"/>
            <a:t>理财收入</a:t>
          </a:r>
          <a:endParaRPr lang="en-US" sz="1000"/>
        </a:p>
      </cdr:txBody>
    </cdr:sp>
  </cdr:relSizeAnchor>
</c:userShapes>
</file>

<file path=word/drawings/drawing2.xml><?xml version="1.0" encoding="utf-8"?>
<c:userShapes xmlns:c="http://schemas.openxmlformats.org/drawingml/2006/chart">
  <cdr:relSizeAnchor xmlns:cdr="http://schemas.openxmlformats.org/drawingml/2006/chartDrawing">
    <cdr:from>
      <cdr:x>0.07096</cdr:x>
      <cdr:y>0.54142</cdr:y>
    </cdr:from>
    <cdr:to>
      <cdr:x>0.10899</cdr:x>
      <cdr:y>0.86362</cdr:y>
    </cdr:to>
    <cdr:sp macro="" textlink="">
      <cdr:nvSpPr>
        <cdr:cNvPr id="2" name="Text Box 498"/>
        <cdr:cNvSpPr txBox="1"/>
      </cdr:nvSpPr>
      <cdr:spPr>
        <a:xfrm xmlns:a="http://schemas.openxmlformats.org/drawingml/2006/main" rot="18853490">
          <a:off x="1306" y="2313142"/>
          <a:ext cx="1115029" cy="236207"/>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hangingPunct="0">
            <a:spcBef>
              <a:spcPts val="600"/>
            </a:spcBef>
            <a:spcAft>
              <a:spcPts val="0"/>
            </a:spcAft>
          </a:pPr>
          <a:r>
            <a:rPr lang="en-GB" sz="900">
              <a:effectLst/>
              <a:ea typeface="Times New Roman" panose="02020603050405020304" pitchFamily="18" charset="0"/>
              <a:cs typeface="Times New Roman" panose="02020603050405020304" pitchFamily="18" charset="0"/>
            </a:rPr>
            <a:t>人员支出</a:t>
          </a:r>
          <a:endParaRPr lang="en-US" sz="1200">
            <a:effectLst/>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0.17132</cdr:x>
      <cdr:y>0.55343</cdr:y>
    </cdr:from>
    <cdr:to>
      <cdr:x>0.20936</cdr:x>
      <cdr:y>0.87564</cdr:y>
    </cdr:to>
    <cdr:sp macro="" textlink="">
      <cdr:nvSpPr>
        <cdr:cNvPr id="3" name="Text Box 499"/>
        <cdr:cNvSpPr txBox="1"/>
      </cdr:nvSpPr>
      <cdr:spPr>
        <a:xfrm xmlns:a="http://schemas.openxmlformats.org/drawingml/2006/main" rot="18853490">
          <a:off x="624673" y="2354691"/>
          <a:ext cx="1115066" cy="236260"/>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hangingPunct="0">
            <a:spcBef>
              <a:spcPts val="600"/>
            </a:spcBef>
            <a:spcAft>
              <a:spcPts val="0"/>
            </a:spcAft>
          </a:pPr>
          <a:r>
            <a:rPr lang="en-GB" sz="900">
              <a:effectLst/>
              <a:ea typeface="Times New Roman" panose="02020603050405020304" pitchFamily="18" charset="0"/>
              <a:cs typeface="Times New Roman" panose="02020603050405020304" pitchFamily="18" charset="0"/>
            </a:rPr>
            <a:t>差旅支出</a:t>
          </a:r>
          <a:endParaRPr lang="en-US" sz="1200">
            <a:effectLst/>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0.26464</cdr:x>
      <cdr:y>0.55067</cdr:y>
    </cdr:from>
    <cdr:to>
      <cdr:x>0.30267</cdr:x>
      <cdr:y>0.87288</cdr:y>
    </cdr:to>
    <cdr:sp macro="" textlink="">
      <cdr:nvSpPr>
        <cdr:cNvPr id="4" name="Text Box 21"/>
        <cdr:cNvSpPr txBox="1"/>
      </cdr:nvSpPr>
      <cdr:spPr>
        <a:xfrm xmlns:a="http://schemas.openxmlformats.org/drawingml/2006/main" rot="18853490">
          <a:off x="1204224" y="2345164"/>
          <a:ext cx="1115060" cy="236220"/>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hangingPunct="0">
            <a:spcBef>
              <a:spcPts val="600"/>
            </a:spcBef>
            <a:spcAft>
              <a:spcPts val="0"/>
            </a:spcAft>
            <a:tabLst>
              <a:tab pos="504190" algn="l"/>
              <a:tab pos="756285" algn="l"/>
              <a:tab pos="1008380" algn="l"/>
              <a:tab pos="1260475" algn="l"/>
            </a:tabLst>
          </a:pPr>
          <a:r>
            <a:rPr lang="zh-CN" sz="900">
              <a:effectLst/>
              <a:ea typeface="宋体" panose="02010600030101010101" pitchFamily="2" charset="-122"/>
              <a:cs typeface="Times New Roman" panose="02020603050405020304" pitchFamily="18" charset="0"/>
            </a:rPr>
            <a:t>合同服务</a:t>
          </a:r>
          <a:endParaRPr lang="en-US" sz="1200">
            <a:effectLst/>
            <a:ea typeface="宋体" panose="02010600030101010101" pitchFamily="2" charset="-122"/>
            <a:cs typeface="Times New Roman" panose="02020603050405020304" pitchFamily="18" charset="0"/>
          </a:endParaRPr>
        </a:p>
      </cdr:txBody>
    </cdr:sp>
  </cdr:relSizeAnchor>
  <cdr:relSizeAnchor xmlns:cdr="http://schemas.openxmlformats.org/drawingml/2006/chartDrawing">
    <cdr:from>
      <cdr:x>0.4562</cdr:x>
      <cdr:y>0.54075</cdr:y>
    </cdr:from>
    <cdr:to>
      <cdr:x>0.49096</cdr:x>
      <cdr:y>0.91525</cdr:y>
    </cdr:to>
    <cdr:sp macro="" textlink="">
      <cdr:nvSpPr>
        <cdr:cNvPr id="7" name="Text Box 19"/>
        <cdr:cNvSpPr txBox="1"/>
      </cdr:nvSpPr>
      <cdr:spPr>
        <a:xfrm xmlns:a="http://schemas.openxmlformats.org/drawingml/2006/main" rot="18853490">
          <a:off x="2293375" y="2411484"/>
          <a:ext cx="1296035" cy="215900"/>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hangingPunct="0">
            <a:spcBef>
              <a:spcPts val="600"/>
            </a:spcBef>
            <a:spcAft>
              <a:spcPts val="0"/>
            </a:spcAft>
            <a:tabLst>
              <a:tab pos="504190" algn="l"/>
              <a:tab pos="756285" algn="l"/>
              <a:tab pos="1008380" algn="l"/>
              <a:tab pos="1260475" algn="l"/>
            </a:tabLst>
          </a:pPr>
          <a:r>
            <a:rPr lang="zh-CN" sz="900">
              <a:effectLst/>
              <a:ea typeface="宋体" panose="02010600030101010101" pitchFamily="2" charset="-122"/>
              <a:cs typeface="Times New Roman" panose="02020603050405020304" pitchFamily="18" charset="0"/>
            </a:rPr>
            <a:t>设备和用品</a:t>
          </a:r>
          <a:endParaRPr lang="en-US" sz="1200">
            <a:effectLst/>
            <a:ea typeface="宋体" panose="02010600030101010101" pitchFamily="2" charset="-122"/>
            <a:cs typeface="Times New Roman" panose="02020603050405020304" pitchFamily="18" charset="0"/>
          </a:endParaRPr>
        </a:p>
      </cdr:txBody>
    </cdr:sp>
  </cdr:relSizeAnchor>
  <cdr:relSizeAnchor xmlns:cdr="http://schemas.openxmlformats.org/drawingml/2006/chartDrawing">
    <cdr:from>
      <cdr:x>0.4127</cdr:x>
      <cdr:y>0.73795</cdr:y>
    </cdr:from>
    <cdr:to>
      <cdr:x>0.68902</cdr:x>
      <cdr:y>0.77673</cdr:y>
    </cdr:to>
    <cdr:sp macro="" textlink="">
      <cdr:nvSpPr>
        <cdr:cNvPr id="8" name="Text Box 18"/>
        <cdr:cNvSpPr txBox="1"/>
      </cdr:nvSpPr>
      <cdr:spPr>
        <a:xfrm xmlns:a="http://schemas.openxmlformats.org/drawingml/2006/main" rot="18935195">
          <a:off x="2526040" y="2516373"/>
          <a:ext cx="1691290" cy="132237"/>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hangingPunct="0">
            <a:lnSpc>
              <a:spcPts val="900"/>
            </a:lnSpc>
            <a:spcBef>
              <a:spcPts val="600"/>
            </a:spcBef>
            <a:spcAft>
              <a:spcPts val="0"/>
            </a:spcAft>
            <a:tabLst>
              <a:tab pos="504190" algn="l"/>
              <a:tab pos="756285" algn="l"/>
              <a:tab pos="1008380" algn="l"/>
              <a:tab pos="1260475" algn="l"/>
            </a:tabLst>
          </a:pPr>
          <a:r>
            <a:rPr lang="zh-CN" sz="900">
              <a:effectLst/>
              <a:ea typeface="宋体" panose="02010600030101010101" pitchFamily="2" charset="-122"/>
              <a:cs typeface="Times New Roman" panose="02020603050405020304" pitchFamily="18" charset="0"/>
            </a:rPr>
            <a:t>折旧和减值损失</a:t>
          </a:r>
          <a:endParaRPr lang="en-US" sz="1200">
            <a:effectLst/>
            <a:ea typeface="宋体" panose="02010600030101010101" pitchFamily="2" charset="-122"/>
            <a:cs typeface="Times New Roman" panose="02020603050405020304" pitchFamily="18" charset="0"/>
          </a:endParaRPr>
        </a:p>
      </cdr:txBody>
    </cdr:sp>
  </cdr:relSizeAnchor>
  <cdr:relSizeAnchor xmlns:cdr="http://schemas.openxmlformats.org/drawingml/2006/chartDrawing">
    <cdr:from>
      <cdr:x>0.64712</cdr:x>
      <cdr:y>0.51043</cdr:y>
    </cdr:from>
    <cdr:to>
      <cdr:x>0.68648</cdr:x>
      <cdr:y>1</cdr:y>
    </cdr:to>
    <cdr:sp macro="" textlink="">
      <cdr:nvSpPr>
        <cdr:cNvPr id="9" name="Text Box 17"/>
        <cdr:cNvSpPr txBox="1"/>
      </cdr:nvSpPr>
      <cdr:spPr>
        <a:xfrm xmlns:a="http://schemas.openxmlformats.org/drawingml/2006/main" rot="18853490">
          <a:off x="3294307" y="2500007"/>
          <a:ext cx="1694265" cy="244475"/>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hangingPunct="0">
            <a:spcBef>
              <a:spcPts val="600"/>
            </a:spcBef>
            <a:spcAft>
              <a:spcPts val="0"/>
            </a:spcAft>
            <a:tabLst>
              <a:tab pos="504190" algn="l"/>
              <a:tab pos="756285" algn="l"/>
              <a:tab pos="1008380" algn="l"/>
              <a:tab pos="1260475" algn="l"/>
            </a:tabLst>
          </a:pPr>
          <a:r>
            <a:rPr lang="zh-CN" sz="900">
              <a:effectLst/>
              <a:ea typeface="宋体" panose="02010600030101010101" pitchFamily="2" charset="-122"/>
              <a:cs typeface="Times New Roman" panose="02020603050405020304" pitchFamily="18" charset="0"/>
            </a:rPr>
            <a:t>运输、通信及</a:t>
          </a:r>
          <a:r>
            <a:rPr lang="en-US" sz="900">
              <a:effectLst/>
              <a:ea typeface="宋体" panose="02010600030101010101" pitchFamily="2" charset="-122"/>
              <a:cs typeface="Times New Roman" panose="02020603050405020304" pitchFamily="18" charset="0"/>
            </a:rPr>
            <a:t>...</a:t>
          </a:r>
          <a:endParaRPr lang="en-US" sz="1200">
            <a:effectLst/>
            <a:ea typeface="宋体" panose="02010600030101010101" pitchFamily="2" charset="-122"/>
            <a:cs typeface="Times New Roman" panose="02020603050405020304" pitchFamily="18" charset="0"/>
          </a:endParaRPr>
        </a:p>
      </cdr:txBody>
    </cdr:sp>
  </cdr:relSizeAnchor>
  <cdr:relSizeAnchor xmlns:cdr="http://schemas.openxmlformats.org/drawingml/2006/chartDrawing">
    <cdr:from>
      <cdr:x>0.68554</cdr:x>
      <cdr:y>0.68468</cdr:y>
    </cdr:from>
    <cdr:to>
      <cdr:x>0.88267</cdr:x>
      <cdr:y>0.75294</cdr:y>
    </cdr:to>
    <cdr:sp macro="" textlink="">
      <cdr:nvSpPr>
        <cdr:cNvPr id="10" name="Text Box 16"/>
        <cdr:cNvSpPr txBox="1"/>
      </cdr:nvSpPr>
      <cdr:spPr>
        <a:xfrm xmlns:a="http://schemas.openxmlformats.org/drawingml/2006/main" rot="19021458">
          <a:off x="4257873" y="2369514"/>
          <a:ext cx="1224336" cy="236220"/>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hangingPunct="0">
            <a:spcBef>
              <a:spcPts val="600"/>
            </a:spcBef>
            <a:spcAft>
              <a:spcPts val="0"/>
            </a:spcAft>
            <a:tabLst>
              <a:tab pos="504190" algn="l"/>
              <a:tab pos="756285" algn="l"/>
              <a:tab pos="1008380" algn="l"/>
              <a:tab pos="1260475" algn="l"/>
            </a:tabLst>
          </a:pPr>
          <a:r>
            <a:rPr lang="zh-CN" sz="900">
              <a:effectLst/>
              <a:ea typeface="宋体" panose="02010600030101010101" pitchFamily="2" charset="-122"/>
              <a:cs typeface="Times New Roman" panose="02020603050405020304" pitchFamily="18" charset="0"/>
            </a:rPr>
            <a:t>其它支出</a:t>
          </a:r>
          <a:endParaRPr lang="en-US" sz="1200">
            <a:effectLst/>
            <a:ea typeface="宋体" panose="02010600030101010101" pitchFamily="2" charset="-122"/>
            <a:cs typeface="Times New Roman" panose="02020603050405020304" pitchFamily="18" charset="0"/>
          </a:endParaRPr>
        </a:p>
      </cdr:txBody>
    </cdr:sp>
  </cdr:relSizeAnchor>
  <cdr:relSizeAnchor xmlns:cdr="http://schemas.openxmlformats.org/drawingml/2006/chartDrawing">
    <cdr:from>
      <cdr:x>0.87775</cdr:x>
      <cdr:y>0.53073</cdr:y>
    </cdr:from>
    <cdr:to>
      <cdr:x>0.91578</cdr:x>
      <cdr:y>0.85293</cdr:y>
    </cdr:to>
    <cdr:sp macro="" textlink="">
      <cdr:nvSpPr>
        <cdr:cNvPr id="11" name="Text Box 15"/>
        <cdr:cNvSpPr txBox="1"/>
      </cdr:nvSpPr>
      <cdr:spPr>
        <a:xfrm xmlns:a="http://schemas.openxmlformats.org/drawingml/2006/main" rot="18853490">
          <a:off x="5012223" y="2276151"/>
          <a:ext cx="1115060" cy="236220"/>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hangingPunct="0">
            <a:spcBef>
              <a:spcPts val="600"/>
            </a:spcBef>
            <a:spcAft>
              <a:spcPts val="0"/>
            </a:spcAft>
            <a:tabLst>
              <a:tab pos="504190" algn="l"/>
              <a:tab pos="756285" algn="l"/>
              <a:tab pos="1008380" algn="l"/>
              <a:tab pos="1260475" algn="l"/>
            </a:tabLst>
          </a:pPr>
          <a:r>
            <a:rPr lang="zh-CN" altLang="en-US" sz="900">
              <a:effectLst/>
              <a:ea typeface="宋体" panose="02010600030101010101" pitchFamily="2" charset="-122"/>
              <a:cs typeface="Times New Roman" panose="02020603050405020304" pitchFamily="18" charset="0"/>
            </a:rPr>
            <a:t>理财</a:t>
          </a:r>
          <a:r>
            <a:rPr lang="zh-CN" sz="900">
              <a:effectLst/>
              <a:ea typeface="宋体" panose="02010600030101010101" pitchFamily="2" charset="-122"/>
              <a:cs typeface="Times New Roman" panose="02020603050405020304" pitchFamily="18" charset="0"/>
            </a:rPr>
            <a:t>费用</a:t>
          </a:r>
          <a:endParaRPr lang="en-US" sz="1200">
            <a:effectLst/>
            <a:ea typeface="宋体" panose="02010600030101010101" pitchFamily="2" charset="-122"/>
            <a:cs typeface="Times New Roman" panose="02020603050405020304" pitchFamily="18" charset="0"/>
          </a:endParaRPr>
        </a:p>
      </cdr:txBody>
    </cdr:sp>
  </cdr:relSizeAnchor>
  <cdr:relSizeAnchor xmlns:cdr="http://schemas.openxmlformats.org/drawingml/2006/chartDrawing">
    <cdr:from>
      <cdr:x>0.34416</cdr:x>
      <cdr:y>0.50804</cdr:y>
    </cdr:from>
    <cdr:to>
      <cdr:x>0.38544</cdr:x>
      <cdr:y>0.99391</cdr:y>
    </cdr:to>
    <cdr:sp macro="" textlink="">
      <cdr:nvSpPr>
        <cdr:cNvPr id="12" name="Text Box 20"/>
        <cdr:cNvSpPr txBox="1"/>
      </cdr:nvSpPr>
      <cdr:spPr>
        <a:xfrm xmlns:a="http://schemas.openxmlformats.org/drawingml/2006/main" rot="18853490">
          <a:off x="1425012" y="2470762"/>
          <a:ext cx="1681471" cy="256360"/>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hangingPunct="0">
            <a:spcBef>
              <a:spcPts val="600"/>
            </a:spcBef>
            <a:spcAft>
              <a:spcPts val="0"/>
            </a:spcAft>
            <a:tabLst>
              <a:tab pos="504190" algn="l"/>
              <a:tab pos="756285" algn="l"/>
              <a:tab pos="1008380" algn="l"/>
              <a:tab pos="1260475" algn="l"/>
            </a:tabLst>
          </a:pPr>
          <a:r>
            <a:rPr lang="zh-CN" sz="900">
              <a:effectLst/>
              <a:ea typeface="宋体" panose="02010600030101010101" pitchFamily="2" charset="-122"/>
              <a:cs typeface="Times New Roman" panose="02020603050405020304" pitchFamily="18" charset="0"/>
            </a:rPr>
            <a:t>办公设施租用和维护</a:t>
          </a:r>
          <a:endParaRPr lang="en-US" sz="1200">
            <a:effectLst/>
            <a:ea typeface="宋体" panose="02010600030101010101" pitchFamily="2" charset="-122"/>
            <a:cs typeface="Times New Roman" panose="02020603050405020304" pitchFamily="18" charset="0"/>
          </a:endParaRPr>
        </a:p>
      </cdr:txBody>
    </cdr:sp>
  </cdr:relSizeAnchor>
  <cdr:relSizeAnchor xmlns:cdr="http://schemas.openxmlformats.org/drawingml/2006/chartDrawing">
    <cdr:from>
      <cdr:x>0.22223</cdr:x>
      <cdr:y>0.88987</cdr:y>
    </cdr:from>
    <cdr:to>
      <cdr:x>0.29862</cdr:x>
      <cdr:y>0.95468</cdr:y>
    </cdr:to>
    <cdr:sp macro="" textlink="">
      <cdr:nvSpPr>
        <cdr:cNvPr id="13" name="文本框 12"/>
        <cdr:cNvSpPr txBox="1"/>
      </cdr:nvSpPr>
      <cdr:spPr>
        <a:xfrm xmlns:a="http://schemas.openxmlformats.org/drawingml/2006/main">
          <a:off x="1380227" y="3079630"/>
          <a:ext cx="474453" cy="224287"/>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0.03931</cdr:x>
      <cdr:y>0.73743</cdr:y>
    </cdr:from>
    <cdr:to>
      <cdr:x>0.99977</cdr:x>
      <cdr:y>0.87706</cdr:y>
    </cdr:to>
    <cdr:sp macro="" textlink="">
      <cdr:nvSpPr>
        <cdr:cNvPr id="2" name="Text Box 497"/>
        <cdr:cNvSpPr txBox="1"/>
      </cdr:nvSpPr>
      <cdr:spPr>
        <a:xfrm xmlns:a="http://schemas.openxmlformats.org/drawingml/2006/main">
          <a:off x="184971" y="2236913"/>
          <a:ext cx="4519301" cy="423553"/>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72000" tIns="0" rIns="72000" bIns="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hangingPunct="0">
            <a:spcBef>
              <a:spcPts val="600"/>
            </a:spcBef>
            <a:spcAft>
              <a:spcPts val="0"/>
            </a:spcAft>
            <a:tabLst>
              <a:tab pos="408940" algn="l"/>
              <a:tab pos="900430" algn="l"/>
              <a:tab pos="1244600" algn="l"/>
              <a:tab pos="1786890" algn="l"/>
              <a:tab pos="2444750" algn="l"/>
              <a:tab pos="3060700" algn="l"/>
              <a:tab pos="3768725" algn="l"/>
            </a:tabLst>
          </a:pPr>
          <a:r>
            <a:rPr lang="en-GB" sz="900">
              <a:effectLst/>
              <a:ea typeface="Times New Roman" panose="02020603050405020304" pitchFamily="18" charset="0"/>
              <a:cs typeface="Times New Roman" panose="02020603050405020304" pitchFamily="18" charset="0"/>
            </a:rPr>
            <a:t>	     现金和		投资	应收款项	    其它	物业、机器	其它资产</a:t>
          </a:r>
          <a:br>
            <a:rPr lang="en-GB" sz="900">
              <a:effectLst/>
              <a:ea typeface="Times New Roman" panose="02020603050405020304" pitchFamily="18" charset="0"/>
              <a:cs typeface="Times New Roman" panose="02020603050405020304" pitchFamily="18" charset="0"/>
            </a:rPr>
          </a:br>
          <a:r>
            <a:rPr lang="en-GB" sz="900">
              <a:effectLst/>
              <a:ea typeface="Times New Roman" panose="02020603050405020304" pitchFamily="18" charset="0"/>
              <a:cs typeface="Times New Roman" panose="02020603050405020304" pitchFamily="18" charset="0"/>
            </a:rPr>
            <a:t>	现金等价物			应收款项	     和设备	</a:t>
          </a:r>
          <a:endParaRPr lang="en-US" sz="1200">
            <a:effectLst/>
            <a:ea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0.12579</cdr:x>
      <cdr:y>0.75846</cdr:y>
    </cdr:from>
    <cdr:to>
      <cdr:x>0.99245</cdr:x>
      <cdr:y>0.87457</cdr:y>
    </cdr:to>
    <cdr:sp macro="" textlink="">
      <cdr:nvSpPr>
        <cdr:cNvPr id="2" name="Text Box 496"/>
        <cdr:cNvSpPr txBox="1"/>
      </cdr:nvSpPr>
      <cdr:spPr>
        <a:xfrm xmlns:a="http://schemas.openxmlformats.org/drawingml/2006/main">
          <a:off x="575124" y="2053159"/>
          <a:ext cx="3962370" cy="314316"/>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0" rIns="91440" bIns="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hangingPunct="0">
            <a:spcBef>
              <a:spcPts val="600"/>
            </a:spcBef>
            <a:spcAft>
              <a:spcPts val="0"/>
            </a:spcAft>
            <a:tabLst>
              <a:tab pos="270510" algn="l"/>
              <a:tab pos="693420" algn="l"/>
              <a:tab pos="1350645" algn="l"/>
              <a:tab pos="1710690" algn="l"/>
              <a:tab pos="2080260" algn="l"/>
              <a:tab pos="2613660" algn="l"/>
              <a:tab pos="3191510" algn="l"/>
            </a:tabLst>
          </a:pPr>
          <a:r>
            <a:rPr lang="en-GB" sz="900">
              <a:effectLst/>
              <a:ea typeface="Times New Roman" panose="02020603050405020304" pitchFamily="18" charset="0"/>
              <a:cs typeface="Times New Roman" panose="02020603050405020304" pitchFamily="18" charset="0"/>
            </a:rPr>
            <a:t>应付账款及	递延收入	其它负债	借贷	职员福利	第三方基金</a:t>
          </a:r>
          <a:br>
            <a:rPr lang="en-GB" sz="900">
              <a:effectLst/>
              <a:ea typeface="Times New Roman" panose="02020603050405020304" pitchFamily="18" charset="0"/>
              <a:cs typeface="Times New Roman" panose="02020603050405020304" pitchFamily="18" charset="0"/>
            </a:rPr>
          </a:br>
          <a:r>
            <a:rPr lang="en-GB" sz="900">
              <a:effectLst/>
              <a:ea typeface="Times New Roman" panose="02020603050405020304" pitchFamily="18" charset="0"/>
              <a:cs typeface="Times New Roman" panose="02020603050405020304" pitchFamily="18" charset="0"/>
            </a:rPr>
            <a:t>应计费用</a:t>
          </a:r>
          <a:endParaRPr lang="en-US" sz="1200">
            <a:effectLst/>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D4F6B-4758-46D4-A92D-6830C683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138</TotalTime>
  <Pages>108</Pages>
  <Words>52204</Words>
  <Characters>35898</Characters>
  <Application>Microsoft Office Word</Application>
  <DocSecurity>0</DocSecurity>
  <Lines>299</Lines>
  <Paragraphs>175</Paragraphs>
  <ScaleCrop>false</ScaleCrop>
  <HeadingPairs>
    <vt:vector size="2" baseType="variant">
      <vt:variant>
        <vt:lpstr>Title</vt:lpstr>
      </vt:variant>
      <vt:variant>
        <vt:i4>1</vt:i4>
      </vt:variant>
    </vt:vector>
  </HeadingPairs>
  <TitlesOfParts>
    <vt:vector size="1" baseType="lpstr">
      <vt:lpstr>Financial operating report for the financial year 2020</vt:lpstr>
    </vt:vector>
  </TitlesOfParts>
  <Company>ITU</Company>
  <LinksUpToDate>false</LinksUpToDate>
  <CharactersWithSpaces>87927</CharactersWithSpaces>
  <SharedDoc>false</SharedDoc>
  <HLinks>
    <vt:vector size="624" baseType="variant">
      <vt:variant>
        <vt:i4>3801198</vt:i4>
      </vt:variant>
      <vt:variant>
        <vt:i4>555</vt:i4>
      </vt:variant>
      <vt:variant>
        <vt:i4>0</vt:i4>
      </vt:variant>
      <vt:variant>
        <vt:i4>5</vt:i4>
      </vt:variant>
      <vt:variant>
        <vt:lpwstr>http://www.itu.int/md/S13-CL-C-0007/en</vt:lpwstr>
      </vt:variant>
      <vt:variant>
        <vt:lpwstr/>
      </vt:variant>
      <vt:variant>
        <vt:i4>3801185</vt:i4>
      </vt:variant>
      <vt:variant>
        <vt:i4>552</vt:i4>
      </vt:variant>
      <vt:variant>
        <vt:i4>0</vt:i4>
      </vt:variant>
      <vt:variant>
        <vt:i4>5</vt:i4>
      </vt:variant>
      <vt:variant>
        <vt:lpwstr>http://www.itu.int/md/S13-CL-C-0008/en</vt:lpwstr>
      </vt:variant>
      <vt:variant>
        <vt:lpwstr/>
      </vt:variant>
      <vt:variant>
        <vt:i4>3801198</vt:i4>
      </vt:variant>
      <vt:variant>
        <vt:i4>549</vt:i4>
      </vt:variant>
      <vt:variant>
        <vt:i4>0</vt:i4>
      </vt:variant>
      <vt:variant>
        <vt:i4>5</vt:i4>
      </vt:variant>
      <vt:variant>
        <vt:lpwstr>http://www.itu.int/md/S13-CL-C-0007/en</vt:lpwstr>
      </vt:variant>
      <vt:variant>
        <vt:lpwstr/>
      </vt:variant>
      <vt:variant>
        <vt:i4>2818170</vt:i4>
      </vt:variant>
      <vt:variant>
        <vt:i4>546</vt:i4>
      </vt:variant>
      <vt:variant>
        <vt:i4>0</vt:i4>
      </vt:variant>
      <vt:variant>
        <vt:i4>5</vt:i4>
      </vt:variant>
      <vt:variant>
        <vt:lpwstr>http://www.itu.int/council/finregs/Regl_Fin_10e.pdf</vt:lpwstr>
      </vt:variant>
      <vt:variant>
        <vt:lpwstr/>
      </vt:variant>
      <vt:variant>
        <vt:i4>6094856</vt:i4>
      </vt:variant>
      <vt:variant>
        <vt:i4>543</vt:i4>
      </vt:variant>
      <vt:variant>
        <vt:i4>0</vt:i4>
      </vt:variant>
      <vt:variant>
        <vt:i4>5</vt:i4>
      </vt:variant>
      <vt:variant>
        <vt:lpwstr>http://www.itu.int/council/pd/convention.doc</vt:lpwstr>
      </vt:variant>
      <vt:variant>
        <vt:lpwstr>cv101</vt:lpwstr>
      </vt:variant>
      <vt:variant>
        <vt:i4>3604515</vt:i4>
      </vt:variant>
      <vt:variant>
        <vt:i4>540</vt:i4>
      </vt:variant>
      <vt:variant>
        <vt:i4>0</vt:i4>
      </vt:variant>
      <vt:variant>
        <vt:i4>5</vt:i4>
      </vt:variant>
      <vt:variant>
        <vt:lpwstr>http://www.unjspf.org/</vt:lpwstr>
      </vt:variant>
      <vt:variant>
        <vt:lpwstr/>
      </vt:variant>
      <vt:variant>
        <vt:i4>655443</vt:i4>
      </vt:variant>
      <vt:variant>
        <vt:i4>537</vt:i4>
      </vt:variant>
      <vt:variant>
        <vt:i4>0</vt:i4>
      </vt:variant>
      <vt:variant>
        <vt:i4>5</vt:i4>
      </vt:variant>
      <vt:variant>
        <vt:lpwstr>http://www.itu.int/ITU-R/index.asp?category=conferences&amp;link=rrb&amp;lang=en</vt:lpwstr>
      </vt:variant>
      <vt:variant>
        <vt:lpwstr/>
      </vt:variant>
      <vt:variant>
        <vt:i4>1376321</vt:i4>
      </vt:variant>
      <vt:variant>
        <vt:i4>534</vt:i4>
      </vt:variant>
      <vt:variant>
        <vt:i4>0</vt:i4>
      </vt:variant>
      <vt:variant>
        <vt:i4>5</vt:i4>
      </vt:variant>
      <vt:variant>
        <vt:lpwstr>http://www.itu.int/council/index-en.html</vt:lpwstr>
      </vt:variant>
      <vt:variant>
        <vt:lpwstr/>
      </vt:variant>
      <vt:variant>
        <vt:i4>1966082</vt:i4>
      </vt:variant>
      <vt:variant>
        <vt:i4>531</vt:i4>
      </vt:variant>
      <vt:variant>
        <vt:i4>0</vt:i4>
      </vt:variant>
      <vt:variant>
        <vt:i4>5</vt:i4>
      </vt:variant>
      <vt:variant>
        <vt:lpwstr>http://www.itu.int/cgi-bin/htsh/mm/scripts/mm.list?_search=ASSOCIATES&amp;_languageid=1</vt:lpwstr>
      </vt:variant>
      <vt:variant>
        <vt:lpwstr/>
      </vt:variant>
      <vt:variant>
        <vt:i4>1114190</vt:i4>
      </vt:variant>
      <vt:variant>
        <vt:i4>528</vt:i4>
      </vt:variant>
      <vt:variant>
        <vt:i4>0</vt:i4>
      </vt:variant>
      <vt:variant>
        <vt:i4>5</vt:i4>
      </vt:variant>
      <vt:variant>
        <vt:lpwstr>http://www.itu.int/cgi-bin/htsh/mm/scripts/mm.list?_search=SEC&amp;_languageid=1</vt:lpwstr>
      </vt:variant>
      <vt:variant>
        <vt:lpwstr/>
      </vt:variant>
      <vt:variant>
        <vt:i4>7209000</vt:i4>
      </vt:variant>
      <vt:variant>
        <vt:i4>525</vt:i4>
      </vt:variant>
      <vt:variant>
        <vt:i4>0</vt:i4>
      </vt:variant>
      <vt:variant>
        <vt:i4>5</vt:i4>
      </vt:variant>
      <vt:variant>
        <vt:lpwstr>http://www.itu.int/cgi-bin/htsh/mm/scripts/mm.list?_search=ITUstates&amp;_languageid=1</vt:lpwstr>
      </vt:variant>
      <vt:variant>
        <vt:lpwstr/>
      </vt:variant>
      <vt:variant>
        <vt:i4>6488164</vt:i4>
      </vt:variant>
      <vt:variant>
        <vt:i4>522</vt:i4>
      </vt:variant>
      <vt:variant>
        <vt:i4>0</vt:i4>
      </vt:variant>
      <vt:variant>
        <vt:i4>5</vt:i4>
      </vt:variant>
      <vt:variant>
        <vt:lpwstr>http://www.itu.int/itu-wsis/implementation/</vt:lpwstr>
      </vt:variant>
      <vt:variant>
        <vt:lpwstr/>
      </vt:variant>
      <vt:variant>
        <vt:i4>3866723</vt:i4>
      </vt:variant>
      <vt:variant>
        <vt:i4>519</vt:i4>
      </vt:variant>
      <vt:variant>
        <vt:i4>0</vt:i4>
      </vt:variant>
      <vt:variant>
        <vt:i4>5</vt:i4>
      </vt:variant>
      <vt:variant>
        <vt:lpwstr>http://www.itu.int/ITUTELECOM/index-en.html</vt:lpwstr>
      </vt:variant>
      <vt:variant>
        <vt:lpwstr/>
      </vt:variant>
      <vt:variant>
        <vt:i4>8192046</vt:i4>
      </vt:variant>
      <vt:variant>
        <vt:i4>516</vt:i4>
      </vt:variant>
      <vt:variant>
        <vt:i4>0</vt:i4>
      </vt:variant>
      <vt:variant>
        <vt:i4>5</vt:i4>
      </vt:variant>
      <vt:variant>
        <vt:lpwstr>http://www.itu.int/net/ITU-D/index-en.aspx</vt:lpwstr>
      </vt:variant>
      <vt:variant>
        <vt:lpwstr/>
      </vt:variant>
      <vt:variant>
        <vt:i4>4325394</vt:i4>
      </vt:variant>
      <vt:variant>
        <vt:i4>513</vt:i4>
      </vt:variant>
      <vt:variant>
        <vt:i4>0</vt:i4>
      </vt:variant>
      <vt:variant>
        <vt:i4>5</vt:i4>
      </vt:variant>
      <vt:variant>
        <vt:lpwstr>http://www.itu.int/ITU-T/</vt:lpwstr>
      </vt:variant>
      <vt:variant>
        <vt:lpwstr/>
      </vt:variant>
      <vt:variant>
        <vt:i4>6619170</vt:i4>
      </vt:variant>
      <vt:variant>
        <vt:i4>510</vt:i4>
      </vt:variant>
      <vt:variant>
        <vt:i4>0</vt:i4>
      </vt:variant>
      <vt:variant>
        <vt:i4>5</vt:i4>
      </vt:variant>
      <vt:variant>
        <vt:lpwstr>http://www.itu.int/ITU-R/index.asp?category=information&amp;link=rhome&amp;lang=en</vt:lpwstr>
      </vt:variant>
      <vt:variant>
        <vt:lpwstr/>
      </vt:variant>
      <vt:variant>
        <vt:i4>2490419</vt:i4>
      </vt:variant>
      <vt:variant>
        <vt:i4>507</vt:i4>
      </vt:variant>
      <vt:variant>
        <vt:i4>0</vt:i4>
      </vt:variant>
      <vt:variant>
        <vt:i4>5</vt:i4>
      </vt:variant>
      <vt:variant>
        <vt:lpwstr>http://www.unsystem.org/en</vt:lpwstr>
      </vt:variant>
      <vt:variant>
        <vt:lpwstr/>
      </vt:variant>
      <vt:variant>
        <vt:i4>1179709</vt:i4>
      </vt:variant>
      <vt:variant>
        <vt:i4>500</vt:i4>
      </vt:variant>
      <vt:variant>
        <vt:i4>0</vt:i4>
      </vt:variant>
      <vt:variant>
        <vt:i4>5</vt:i4>
      </vt:variant>
      <vt:variant>
        <vt:lpwstr/>
      </vt:variant>
      <vt:variant>
        <vt:lpwstr>_Toc329011663</vt:lpwstr>
      </vt:variant>
      <vt:variant>
        <vt:i4>1179709</vt:i4>
      </vt:variant>
      <vt:variant>
        <vt:i4>494</vt:i4>
      </vt:variant>
      <vt:variant>
        <vt:i4>0</vt:i4>
      </vt:variant>
      <vt:variant>
        <vt:i4>5</vt:i4>
      </vt:variant>
      <vt:variant>
        <vt:lpwstr/>
      </vt:variant>
      <vt:variant>
        <vt:lpwstr>_Toc329011662</vt:lpwstr>
      </vt:variant>
      <vt:variant>
        <vt:i4>1179709</vt:i4>
      </vt:variant>
      <vt:variant>
        <vt:i4>488</vt:i4>
      </vt:variant>
      <vt:variant>
        <vt:i4>0</vt:i4>
      </vt:variant>
      <vt:variant>
        <vt:i4>5</vt:i4>
      </vt:variant>
      <vt:variant>
        <vt:lpwstr/>
      </vt:variant>
      <vt:variant>
        <vt:lpwstr>_Toc329011661</vt:lpwstr>
      </vt:variant>
      <vt:variant>
        <vt:i4>1179709</vt:i4>
      </vt:variant>
      <vt:variant>
        <vt:i4>482</vt:i4>
      </vt:variant>
      <vt:variant>
        <vt:i4>0</vt:i4>
      </vt:variant>
      <vt:variant>
        <vt:i4>5</vt:i4>
      </vt:variant>
      <vt:variant>
        <vt:lpwstr/>
      </vt:variant>
      <vt:variant>
        <vt:lpwstr>_Toc329011660</vt:lpwstr>
      </vt:variant>
      <vt:variant>
        <vt:i4>1114173</vt:i4>
      </vt:variant>
      <vt:variant>
        <vt:i4>476</vt:i4>
      </vt:variant>
      <vt:variant>
        <vt:i4>0</vt:i4>
      </vt:variant>
      <vt:variant>
        <vt:i4>5</vt:i4>
      </vt:variant>
      <vt:variant>
        <vt:lpwstr/>
      </vt:variant>
      <vt:variant>
        <vt:lpwstr>_Toc329011659</vt:lpwstr>
      </vt:variant>
      <vt:variant>
        <vt:i4>1114173</vt:i4>
      </vt:variant>
      <vt:variant>
        <vt:i4>470</vt:i4>
      </vt:variant>
      <vt:variant>
        <vt:i4>0</vt:i4>
      </vt:variant>
      <vt:variant>
        <vt:i4>5</vt:i4>
      </vt:variant>
      <vt:variant>
        <vt:lpwstr/>
      </vt:variant>
      <vt:variant>
        <vt:lpwstr>_Toc329011658</vt:lpwstr>
      </vt:variant>
      <vt:variant>
        <vt:i4>1114173</vt:i4>
      </vt:variant>
      <vt:variant>
        <vt:i4>464</vt:i4>
      </vt:variant>
      <vt:variant>
        <vt:i4>0</vt:i4>
      </vt:variant>
      <vt:variant>
        <vt:i4>5</vt:i4>
      </vt:variant>
      <vt:variant>
        <vt:lpwstr/>
      </vt:variant>
      <vt:variant>
        <vt:lpwstr>_Toc329011657</vt:lpwstr>
      </vt:variant>
      <vt:variant>
        <vt:i4>1114173</vt:i4>
      </vt:variant>
      <vt:variant>
        <vt:i4>458</vt:i4>
      </vt:variant>
      <vt:variant>
        <vt:i4>0</vt:i4>
      </vt:variant>
      <vt:variant>
        <vt:i4>5</vt:i4>
      </vt:variant>
      <vt:variant>
        <vt:lpwstr/>
      </vt:variant>
      <vt:variant>
        <vt:lpwstr>_Toc329011656</vt:lpwstr>
      </vt:variant>
      <vt:variant>
        <vt:i4>1114173</vt:i4>
      </vt:variant>
      <vt:variant>
        <vt:i4>452</vt:i4>
      </vt:variant>
      <vt:variant>
        <vt:i4>0</vt:i4>
      </vt:variant>
      <vt:variant>
        <vt:i4>5</vt:i4>
      </vt:variant>
      <vt:variant>
        <vt:lpwstr/>
      </vt:variant>
      <vt:variant>
        <vt:lpwstr>_Toc329011655</vt:lpwstr>
      </vt:variant>
      <vt:variant>
        <vt:i4>1114173</vt:i4>
      </vt:variant>
      <vt:variant>
        <vt:i4>446</vt:i4>
      </vt:variant>
      <vt:variant>
        <vt:i4>0</vt:i4>
      </vt:variant>
      <vt:variant>
        <vt:i4>5</vt:i4>
      </vt:variant>
      <vt:variant>
        <vt:lpwstr/>
      </vt:variant>
      <vt:variant>
        <vt:lpwstr>_Toc329011654</vt:lpwstr>
      </vt:variant>
      <vt:variant>
        <vt:i4>1114173</vt:i4>
      </vt:variant>
      <vt:variant>
        <vt:i4>440</vt:i4>
      </vt:variant>
      <vt:variant>
        <vt:i4>0</vt:i4>
      </vt:variant>
      <vt:variant>
        <vt:i4>5</vt:i4>
      </vt:variant>
      <vt:variant>
        <vt:lpwstr/>
      </vt:variant>
      <vt:variant>
        <vt:lpwstr>_Toc329011653</vt:lpwstr>
      </vt:variant>
      <vt:variant>
        <vt:i4>1114173</vt:i4>
      </vt:variant>
      <vt:variant>
        <vt:i4>434</vt:i4>
      </vt:variant>
      <vt:variant>
        <vt:i4>0</vt:i4>
      </vt:variant>
      <vt:variant>
        <vt:i4>5</vt:i4>
      </vt:variant>
      <vt:variant>
        <vt:lpwstr/>
      </vt:variant>
      <vt:variant>
        <vt:lpwstr>_Toc329011652</vt:lpwstr>
      </vt:variant>
      <vt:variant>
        <vt:i4>1114173</vt:i4>
      </vt:variant>
      <vt:variant>
        <vt:i4>428</vt:i4>
      </vt:variant>
      <vt:variant>
        <vt:i4>0</vt:i4>
      </vt:variant>
      <vt:variant>
        <vt:i4>5</vt:i4>
      </vt:variant>
      <vt:variant>
        <vt:lpwstr/>
      </vt:variant>
      <vt:variant>
        <vt:lpwstr>_Toc329011651</vt:lpwstr>
      </vt:variant>
      <vt:variant>
        <vt:i4>1114173</vt:i4>
      </vt:variant>
      <vt:variant>
        <vt:i4>422</vt:i4>
      </vt:variant>
      <vt:variant>
        <vt:i4>0</vt:i4>
      </vt:variant>
      <vt:variant>
        <vt:i4>5</vt:i4>
      </vt:variant>
      <vt:variant>
        <vt:lpwstr/>
      </vt:variant>
      <vt:variant>
        <vt:lpwstr>_Toc329011650</vt:lpwstr>
      </vt:variant>
      <vt:variant>
        <vt:i4>1048637</vt:i4>
      </vt:variant>
      <vt:variant>
        <vt:i4>416</vt:i4>
      </vt:variant>
      <vt:variant>
        <vt:i4>0</vt:i4>
      </vt:variant>
      <vt:variant>
        <vt:i4>5</vt:i4>
      </vt:variant>
      <vt:variant>
        <vt:lpwstr/>
      </vt:variant>
      <vt:variant>
        <vt:lpwstr>_Toc329011649</vt:lpwstr>
      </vt:variant>
      <vt:variant>
        <vt:i4>1048637</vt:i4>
      </vt:variant>
      <vt:variant>
        <vt:i4>410</vt:i4>
      </vt:variant>
      <vt:variant>
        <vt:i4>0</vt:i4>
      </vt:variant>
      <vt:variant>
        <vt:i4>5</vt:i4>
      </vt:variant>
      <vt:variant>
        <vt:lpwstr/>
      </vt:variant>
      <vt:variant>
        <vt:lpwstr>_Toc329011648</vt:lpwstr>
      </vt:variant>
      <vt:variant>
        <vt:i4>1048637</vt:i4>
      </vt:variant>
      <vt:variant>
        <vt:i4>404</vt:i4>
      </vt:variant>
      <vt:variant>
        <vt:i4>0</vt:i4>
      </vt:variant>
      <vt:variant>
        <vt:i4>5</vt:i4>
      </vt:variant>
      <vt:variant>
        <vt:lpwstr/>
      </vt:variant>
      <vt:variant>
        <vt:lpwstr>_Toc329011647</vt:lpwstr>
      </vt:variant>
      <vt:variant>
        <vt:i4>1048637</vt:i4>
      </vt:variant>
      <vt:variant>
        <vt:i4>398</vt:i4>
      </vt:variant>
      <vt:variant>
        <vt:i4>0</vt:i4>
      </vt:variant>
      <vt:variant>
        <vt:i4>5</vt:i4>
      </vt:variant>
      <vt:variant>
        <vt:lpwstr/>
      </vt:variant>
      <vt:variant>
        <vt:lpwstr>_Toc329011646</vt:lpwstr>
      </vt:variant>
      <vt:variant>
        <vt:i4>1048637</vt:i4>
      </vt:variant>
      <vt:variant>
        <vt:i4>392</vt:i4>
      </vt:variant>
      <vt:variant>
        <vt:i4>0</vt:i4>
      </vt:variant>
      <vt:variant>
        <vt:i4>5</vt:i4>
      </vt:variant>
      <vt:variant>
        <vt:lpwstr/>
      </vt:variant>
      <vt:variant>
        <vt:lpwstr>_Toc329011645</vt:lpwstr>
      </vt:variant>
      <vt:variant>
        <vt:i4>1048637</vt:i4>
      </vt:variant>
      <vt:variant>
        <vt:i4>386</vt:i4>
      </vt:variant>
      <vt:variant>
        <vt:i4>0</vt:i4>
      </vt:variant>
      <vt:variant>
        <vt:i4>5</vt:i4>
      </vt:variant>
      <vt:variant>
        <vt:lpwstr/>
      </vt:variant>
      <vt:variant>
        <vt:lpwstr>_Toc329011644</vt:lpwstr>
      </vt:variant>
      <vt:variant>
        <vt:i4>1048637</vt:i4>
      </vt:variant>
      <vt:variant>
        <vt:i4>380</vt:i4>
      </vt:variant>
      <vt:variant>
        <vt:i4>0</vt:i4>
      </vt:variant>
      <vt:variant>
        <vt:i4>5</vt:i4>
      </vt:variant>
      <vt:variant>
        <vt:lpwstr/>
      </vt:variant>
      <vt:variant>
        <vt:lpwstr>_Toc329011643</vt:lpwstr>
      </vt:variant>
      <vt:variant>
        <vt:i4>1048637</vt:i4>
      </vt:variant>
      <vt:variant>
        <vt:i4>374</vt:i4>
      </vt:variant>
      <vt:variant>
        <vt:i4>0</vt:i4>
      </vt:variant>
      <vt:variant>
        <vt:i4>5</vt:i4>
      </vt:variant>
      <vt:variant>
        <vt:lpwstr/>
      </vt:variant>
      <vt:variant>
        <vt:lpwstr>_Toc329011642</vt:lpwstr>
      </vt:variant>
      <vt:variant>
        <vt:i4>1048637</vt:i4>
      </vt:variant>
      <vt:variant>
        <vt:i4>368</vt:i4>
      </vt:variant>
      <vt:variant>
        <vt:i4>0</vt:i4>
      </vt:variant>
      <vt:variant>
        <vt:i4>5</vt:i4>
      </vt:variant>
      <vt:variant>
        <vt:lpwstr/>
      </vt:variant>
      <vt:variant>
        <vt:lpwstr>_Toc329011641</vt:lpwstr>
      </vt:variant>
      <vt:variant>
        <vt:i4>1048637</vt:i4>
      </vt:variant>
      <vt:variant>
        <vt:i4>362</vt:i4>
      </vt:variant>
      <vt:variant>
        <vt:i4>0</vt:i4>
      </vt:variant>
      <vt:variant>
        <vt:i4>5</vt:i4>
      </vt:variant>
      <vt:variant>
        <vt:lpwstr/>
      </vt:variant>
      <vt:variant>
        <vt:lpwstr>_Toc329011640</vt:lpwstr>
      </vt:variant>
      <vt:variant>
        <vt:i4>1507389</vt:i4>
      </vt:variant>
      <vt:variant>
        <vt:i4>356</vt:i4>
      </vt:variant>
      <vt:variant>
        <vt:i4>0</vt:i4>
      </vt:variant>
      <vt:variant>
        <vt:i4>5</vt:i4>
      </vt:variant>
      <vt:variant>
        <vt:lpwstr/>
      </vt:variant>
      <vt:variant>
        <vt:lpwstr>_Toc329011639</vt:lpwstr>
      </vt:variant>
      <vt:variant>
        <vt:i4>1507389</vt:i4>
      </vt:variant>
      <vt:variant>
        <vt:i4>350</vt:i4>
      </vt:variant>
      <vt:variant>
        <vt:i4>0</vt:i4>
      </vt:variant>
      <vt:variant>
        <vt:i4>5</vt:i4>
      </vt:variant>
      <vt:variant>
        <vt:lpwstr/>
      </vt:variant>
      <vt:variant>
        <vt:lpwstr>_Toc329011638</vt:lpwstr>
      </vt:variant>
      <vt:variant>
        <vt:i4>1507389</vt:i4>
      </vt:variant>
      <vt:variant>
        <vt:i4>344</vt:i4>
      </vt:variant>
      <vt:variant>
        <vt:i4>0</vt:i4>
      </vt:variant>
      <vt:variant>
        <vt:i4>5</vt:i4>
      </vt:variant>
      <vt:variant>
        <vt:lpwstr/>
      </vt:variant>
      <vt:variant>
        <vt:lpwstr>_Toc329011637</vt:lpwstr>
      </vt:variant>
      <vt:variant>
        <vt:i4>1507389</vt:i4>
      </vt:variant>
      <vt:variant>
        <vt:i4>338</vt:i4>
      </vt:variant>
      <vt:variant>
        <vt:i4>0</vt:i4>
      </vt:variant>
      <vt:variant>
        <vt:i4>5</vt:i4>
      </vt:variant>
      <vt:variant>
        <vt:lpwstr/>
      </vt:variant>
      <vt:variant>
        <vt:lpwstr>_Toc329011636</vt:lpwstr>
      </vt:variant>
      <vt:variant>
        <vt:i4>1507389</vt:i4>
      </vt:variant>
      <vt:variant>
        <vt:i4>332</vt:i4>
      </vt:variant>
      <vt:variant>
        <vt:i4>0</vt:i4>
      </vt:variant>
      <vt:variant>
        <vt:i4>5</vt:i4>
      </vt:variant>
      <vt:variant>
        <vt:lpwstr/>
      </vt:variant>
      <vt:variant>
        <vt:lpwstr>_Toc329011635</vt:lpwstr>
      </vt:variant>
      <vt:variant>
        <vt:i4>1507389</vt:i4>
      </vt:variant>
      <vt:variant>
        <vt:i4>326</vt:i4>
      </vt:variant>
      <vt:variant>
        <vt:i4>0</vt:i4>
      </vt:variant>
      <vt:variant>
        <vt:i4>5</vt:i4>
      </vt:variant>
      <vt:variant>
        <vt:lpwstr/>
      </vt:variant>
      <vt:variant>
        <vt:lpwstr>_Toc329011634</vt:lpwstr>
      </vt:variant>
      <vt:variant>
        <vt:i4>1507389</vt:i4>
      </vt:variant>
      <vt:variant>
        <vt:i4>320</vt:i4>
      </vt:variant>
      <vt:variant>
        <vt:i4>0</vt:i4>
      </vt:variant>
      <vt:variant>
        <vt:i4>5</vt:i4>
      </vt:variant>
      <vt:variant>
        <vt:lpwstr/>
      </vt:variant>
      <vt:variant>
        <vt:lpwstr>_Toc329011633</vt:lpwstr>
      </vt:variant>
      <vt:variant>
        <vt:i4>1507389</vt:i4>
      </vt:variant>
      <vt:variant>
        <vt:i4>314</vt:i4>
      </vt:variant>
      <vt:variant>
        <vt:i4>0</vt:i4>
      </vt:variant>
      <vt:variant>
        <vt:i4>5</vt:i4>
      </vt:variant>
      <vt:variant>
        <vt:lpwstr/>
      </vt:variant>
      <vt:variant>
        <vt:lpwstr>_Toc329011632</vt:lpwstr>
      </vt:variant>
      <vt:variant>
        <vt:i4>1507389</vt:i4>
      </vt:variant>
      <vt:variant>
        <vt:i4>308</vt:i4>
      </vt:variant>
      <vt:variant>
        <vt:i4>0</vt:i4>
      </vt:variant>
      <vt:variant>
        <vt:i4>5</vt:i4>
      </vt:variant>
      <vt:variant>
        <vt:lpwstr/>
      </vt:variant>
      <vt:variant>
        <vt:lpwstr>_Toc329011631</vt:lpwstr>
      </vt:variant>
      <vt:variant>
        <vt:i4>1507389</vt:i4>
      </vt:variant>
      <vt:variant>
        <vt:i4>302</vt:i4>
      </vt:variant>
      <vt:variant>
        <vt:i4>0</vt:i4>
      </vt:variant>
      <vt:variant>
        <vt:i4>5</vt:i4>
      </vt:variant>
      <vt:variant>
        <vt:lpwstr/>
      </vt:variant>
      <vt:variant>
        <vt:lpwstr>_Toc329011630</vt:lpwstr>
      </vt:variant>
      <vt:variant>
        <vt:i4>1441853</vt:i4>
      </vt:variant>
      <vt:variant>
        <vt:i4>296</vt:i4>
      </vt:variant>
      <vt:variant>
        <vt:i4>0</vt:i4>
      </vt:variant>
      <vt:variant>
        <vt:i4>5</vt:i4>
      </vt:variant>
      <vt:variant>
        <vt:lpwstr/>
      </vt:variant>
      <vt:variant>
        <vt:lpwstr>_Toc329011629</vt:lpwstr>
      </vt:variant>
      <vt:variant>
        <vt:i4>1441853</vt:i4>
      </vt:variant>
      <vt:variant>
        <vt:i4>290</vt:i4>
      </vt:variant>
      <vt:variant>
        <vt:i4>0</vt:i4>
      </vt:variant>
      <vt:variant>
        <vt:i4>5</vt:i4>
      </vt:variant>
      <vt:variant>
        <vt:lpwstr/>
      </vt:variant>
      <vt:variant>
        <vt:lpwstr>_Toc329011628</vt:lpwstr>
      </vt:variant>
      <vt:variant>
        <vt:i4>1441853</vt:i4>
      </vt:variant>
      <vt:variant>
        <vt:i4>284</vt:i4>
      </vt:variant>
      <vt:variant>
        <vt:i4>0</vt:i4>
      </vt:variant>
      <vt:variant>
        <vt:i4>5</vt:i4>
      </vt:variant>
      <vt:variant>
        <vt:lpwstr/>
      </vt:variant>
      <vt:variant>
        <vt:lpwstr>_Toc329011627</vt:lpwstr>
      </vt:variant>
      <vt:variant>
        <vt:i4>1441853</vt:i4>
      </vt:variant>
      <vt:variant>
        <vt:i4>278</vt:i4>
      </vt:variant>
      <vt:variant>
        <vt:i4>0</vt:i4>
      </vt:variant>
      <vt:variant>
        <vt:i4>5</vt:i4>
      </vt:variant>
      <vt:variant>
        <vt:lpwstr/>
      </vt:variant>
      <vt:variant>
        <vt:lpwstr>_Toc329011626</vt:lpwstr>
      </vt:variant>
      <vt:variant>
        <vt:i4>1441853</vt:i4>
      </vt:variant>
      <vt:variant>
        <vt:i4>272</vt:i4>
      </vt:variant>
      <vt:variant>
        <vt:i4>0</vt:i4>
      </vt:variant>
      <vt:variant>
        <vt:i4>5</vt:i4>
      </vt:variant>
      <vt:variant>
        <vt:lpwstr/>
      </vt:variant>
      <vt:variant>
        <vt:lpwstr>_Toc329011625</vt:lpwstr>
      </vt:variant>
      <vt:variant>
        <vt:i4>1441853</vt:i4>
      </vt:variant>
      <vt:variant>
        <vt:i4>266</vt:i4>
      </vt:variant>
      <vt:variant>
        <vt:i4>0</vt:i4>
      </vt:variant>
      <vt:variant>
        <vt:i4>5</vt:i4>
      </vt:variant>
      <vt:variant>
        <vt:lpwstr/>
      </vt:variant>
      <vt:variant>
        <vt:lpwstr>_Toc329011624</vt:lpwstr>
      </vt:variant>
      <vt:variant>
        <vt:i4>1441853</vt:i4>
      </vt:variant>
      <vt:variant>
        <vt:i4>260</vt:i4>
      </vt:variant>
      <vt:variant>
        <vt:i4>0</vt:i4>
      </vt:variant>
      <vt:variant>
        <vt:i4>5</vt:i4>
      </vt:variant>
      <vt:variant>
        <vt:lpwstr/>
      </vt:variant>
      <vt:variant>
        <vt:lpwstr>_Toc329011623</vt:lpwstr>
      </vt:variant>
      <vt:variant>
        <vt:i4>1441853</vt:i4>
      </vt:variant>
      <vt:variant>
        <vt:i4>254</vt:i4>
      </vt:variant>
      <vt:variant>
        <vt:i4>0</vt:i4>
      </vt:variant>
      <vt:variant>
        <vt:i4>5</vt:i4>
      </vt:variant>
      <vt:variant>
        <vt:lpwstr/>
      </vt:variant>
      <vt:variant>
        <vt:lpwstr>_Toc329011622</vt:lpwstr>
      </vt:variant>
      <vt:variant>
        <vt:i4>1441853</vt:i4>
      </vt:variant>
      <vt:variant>
        <vt:i4>248</vt:i4>
      </vt:variant>
      <vt:variant>
        <vt:i4>0</vt:i4>
      </vt:variant>
      <vt:variant>
        <vt:i4>5</vt:i4>
      </vt:variant>
      <vt:variant>
        <vt:lpwstr/>
      </vt:variant>
      <vt:variant>
        <vt:lpwstr>_Toc329011621</vt:lpwstr>
      </vt:variant>
      <vt:variant>
        <vt:i4>1441853</vt:i4>
      </vt:variant>
      <vt:variant>
        <vt:i4>242</vt:i4>
      </vt:variant>
      <vt:variant>
        <vt:i4>0</vt:i4>
      </vt:variant>
      <vt:variant>
        <vt:i4>5</vt:i4>
      </vt:variant>
      <vt:variant>
        <vt:lpwstr/>
      </vt:variant>
      <vt:variant>
        <vt:lpwstr>_Toc329011620</vt:lpwstr>
      </vt:variant>
      <vt:variant>
        <vt:i4>1376317</vt:i4>
      </vt:variant>
      <vt:variant>
        <vt:i4>236</vt:i4>
      </vt:variant>
      <vt:variant>
        <vt:i4>0</vt:i4>
      </vt:variant>
      <vt:variant>
        <vt:i4>5</vt:i4>
      </vt:variant>
      <vt:variant>
        <vt:lpwstr/>
      </vt:variant>
      <vt:variant>
        <vt:lpwstr>_Toc329011619</vt:lpwstr>
      </vt:variant>
      <vt:variant>
        <vt:i4>1376317</vt:i4>
      </vt:variant>
      <vt:variant>
        <vt:i4>230</vt:i4>
      </vt:variant>
      <vt:variant>
        <vt:i4>0</vt:i4>
      </vt:variant>
      <vt:variant>
        <vt:i4>5</vt:i4>
      </vt:variant>
      <vt:variant>
        <vt:lpwstr/>
      </vt:variant>
      <vt:variant>
        <vt:lpwstr>_Toc329011618</vt:lpwstr>
      </vt:variant>
      <vt:variant>
        <vt:i4>1376317</vt:i4>
      </vt:variant>
      <vt:variant>
        <vt:i4>224</vt:i4>
      </vt:variant>
      <vt:variant>
        <vt:i4>0</vt:i4>
      </vt:variant>
      <vt:variant>
        <vt:i4>5</vt:i4>
      </vt:variant>
      <vt:variant>
        <vt:lpwstr/>
      </vt:variant>
      <vt:variant>
        <vt:lpwstr>_Toc329011617</vt:lpwstr>
      </vt:variant>
      <vt:variant>
        <vt:i4>1376317</vt:i4>
      </vt:variant>
      <vt:variant>
        <vt:i4>218</vt:i4>
      </vt:variant>
      <vt:variant>
        <vt:i4>0</vt:i4>
      </vt:variant>
      <vt:variant>
        <vt:i4>5</vt:i4>
      </vt:variant>
      <vt:variant>
        <vt:lpwstr/>
      </vt:variant>
      <vt:variant>
        <vt:lpwstr>_Toc329011616</vt:lpwstr>
      </vt:variant>
      <vt:variant>
        <vt:i4>1376317</vt:i4>
      </vt:variant>
      <vt:variant>
        <vt:i4>212</vt:i4>
      </vt:variant>
      <vt:variant>
        <vt:i4>0</vt:i4>
      </vt:variant>
      <vt:variant>
        <vt:i4>5</vt:i4>
      </vt:variant>
      <vt:variant>
        <vt:lpwstr/>
      </vt:variant>
      <vt:variant>
        <vt:lpwstr>_Toc329011615</vt:lpwstr>
      </vt:variant>
      <vt:variant>
        <vt:i4>1376317</vt:i4>
      </vt:variant>
      <vt:variant>
        <vt:i4>206</vt:i4>
      </vt:variant>
      <vt:variant>
        <vt:i4>0</vt:i4>
      </vt:variant>
      <vt:variant>
        <vt:i4>5</vt:i4>
      </vt:variant>
      <vt:variant>
        <vt:lpwstr/>
      </vt:variant>
      <vt:variant>
        <vt:lpwstr>_Toc329011614</vt:lpwstr>
      </vt:variant>
      <vt:variant>
        <vt:i4>1376317</vt:i4>
      </vt:variant>
      <vt:variant>
        <vt:i4>200</vt:i4>
      </vt:variant>
      <vt:variant>
        <vt:i4>0</vt:i4>
      </vt:variant>
      <vt:variant>
        <vt:i4>5</vt:i4>
      </vt:variant>
      <vt:variant>
        <vt:lpwstr/>
      </vt:variant>
      <vt:variant>
        <vt:lpwstr>_Toc329011613</vt:lpwstr>
      </vt:variant>
      <vt:variant>
        <vt:i4>1376317</vt:i4>
      </vt:variant>
      <vt:variant>
        <vt:i4>194</vt:i4>
      </vt:variant>
      <vt:variant>
        <vt:i4>0</vt:i4>
      </vt:variant>
      <vt:variant>
        <vt:i4>5</vt:i4>
      </vt:variant>
      <vt:variant>
        <vt:lpwstr/>
      </vt:variant>
      <vt:variant>
        <vt:lpwstr>_Toc329011612</vt:lpwstr>
      </vt:variant>
      <vt:variant>
        <vt:i4>1376317</vt:i4>
      </vt:variant>
      <vt:variant>
        <vt:i4>188</vt:i4>
      </vt:variant>
      <vt:variant>
        <vt:i4>0</vt:i4>
      </vt:variant>
      <vt:variant>
        <vt:i4>5</vt:i4>
      </vt:variant>
      <vt:variant>
        <vt:lpwstr/>
      </vt:variant>
      <vt:variant>
        <vt:lpwstr>_Toc329011611</vt:lpwstr>
      </vt:variant>
      <vt:variant>
        <vt:i4>1376317</vt:i4>
      </vt:variant>
      <vt:variant>
        <vt:i4>182</vt:i4>
      </vt:variant>
      <vt:variant>
        <vt:i4>0</vt:i4>
      </vt:variant>
      <vt:variant>
        <vt:i4>5</vt:i4>
      </vt:variant>
      <vt:variant>
        <vt:lpwstr/>
      </vt:variant>
      <vt:variant>
        <vt:lpwstr>_Toc329011610</vt:lpwstr>
      </vt:variant>
      <vt:variant>
        <vt:i4>1310781</vt:i4>
      </vt:variant>
      <vt:variant>
        <vt:i4>176</vt:i4>
      </vt:variant>
      <vt:variant>
        <vt:i4>0</vt:i4>
      </vt:variant>
      <vt:variant>
        <vt:i4>5</vt:i4>
      </vt:variant>
      <vt:variant>
        <vt:lpwstr/>
      </vt:variant>
      <vt:variant>
        <vt:lpwstr>_Toc329011609</vt:lpwstr>
      </vt:variant>
      <vt:variant>
        <vt:i4>1310781</vt:i4>
      </vt:variant>
      <vt:variant>
        <vt:i4>170</vt:i4>
      </vt:variant>
      <vt:variant>
        <vt:i4>0</vt:i4>
      </vt:variant>
      <vt:variant>
        <vt:i4>5</vt:i4>
      </vt:variant>
      <vt:variant>
        <vt:lpwstr/>
      </vt:variant>
      <vt:variant>
        <vt:lpwstr>_Toc329011608</vt:lpwstr>
      </vt:variant>
      <vt:variant>
        <vt:i4>1310781</vt:i4>
      </vt:variant>
      <vt:variant>
        <vt:i4>164</vt:i4>
      </vt:variant>
      <vt:variant>
        <vt:i4>0</vt:i4>
      </vt:variant>
      <vt:variant>
        <vt:i4>5</vt:i4>
      </vt:variant>
      <vt:variant>
        <vt:lpwstr/>
      </vt:variant>
      <vt:variant>
        <vt:lpwstr>_Toc329011607</vt:lpwstr>
      </vt:variant>
      <vt:variant>
        <vt:i4>1310781</vt:i4>
      </vt:variant>
      <vt:variant>
        <vt:i4>158</vt:i4>
      </vt:variant>
      <vt:variant>
        <vt:i4>0</vt:i4>
      </vt:variant>
      <vt:variant>
        <vt:i4>5</vt:i4>
      </vt:variant>
      <vt:variant>
        <vt:lpwstr/>
      </vt:variant>
      <vt:variant>
        <vt:lpwstr>_Toc329011606</vt:lpwstr>
      </vt:variant>
      <vt:variant>
        <vt:i4>1310781</vt:i4>
      </vt:variant>
      <vt:variant>
        <vt:i4>152</vt:i4>
      </vt:variant>
      <vt:variant>
        <vt:i4>0</vt:i4>
      </vt:variant>
      <vt:variant>
        <vt:i4>5</vt:i4>
      </vt:variant>
      <vt:variant>
        <vt:lpwstr/>
      </vt:variant>
      <vt:variant>
        <vt:lpwstr>_Toc329011605</vt:lpwstr>
      </vt:variant>
      <vt:variant>
        <vt:i4>1310781</vt:i4>
      </vt:variant>
      <vt:variant>
        <vt:i4>146</vt:i4>
      </vt:variant>
      <vt:variant>
        <vt:i4>0</vt:i4>
      </vt:variant>
      <vt:variant>
        <vt:i4>5</vt:i4>
      </vt:variant>
      <vt:variant>
        <vt:lpwstr/>
      </vt:variant>
      <vt:variant>
        <vt:lpwstr>_Toc329011604</vt:lpwstr>
      </vt:variant>
      <vt:variant>
        <vt:i4>1310781</vt:i4>
      </vt:variant>
      <vt:variant>
        <vt:i4>140</vt:i4>
      </vt:variant>
      <vt:variant>
        <vt:i4>0</vt:i4>
      </vt:variant>
      <vt:variant>
        <vt:i4>5</vt:i4>
      </vt:variant>
      <vt:variant>
        <vt:lpwstr/>
      </vt:variant>
      <vt:variant>
        <vt:lpwstr>_Toc329011603</vt:lpwstr>
      </vt:variant>
      <vt:variant>
        <vt:i4>5636108</vt:i4>
      </vt:variant>
      <vt:variant>
        <vt:i4>135</vt:i4>
      </vt:variant>
      <vt:variant>
        <vt:i4>0</vt:i4>
      </vt:variant>
      <vt:variant>
        <vt:i4>5</vt:i4>
      </vt:variant>
      <vt:variant>
        <vt:lpwstr>http://www.itu.int/md/S11-CL-INF-0009/en</vt:lpwstr>
      </vt:variant>
      <vt:variant>
        <vt:lpwstr/>
      </vt:variant>
      <vt:variant>
        <vt:i4>1376308</vt:i4>
      </vt:variant>
      <vt:variant>
        <vt:i4>128</vt:i4>
      </vt:variant>
      <vt:variant>
        <vt:i4>0</vt:i4>
      </vt:variant>
      <vt:variant>
        <vt:i4>5</vt:i4>
      </vt:variant>
      <vt:variant>
        <vt:lpwstr/>
      </vt:variant>
      <vt:variant>
        <vt:lpwstr>_Toc357006014</vt:lpwstr>
      </vt:variant>
      <vt:variant>
        <vt:i4>1376308</vt:i4>
      </vt:variant>
      <vt:variant>
        <vt:i4>122</vt:i4>
      </vt:variant>
      <vt:variant>
        <vt:i4>0</vt:i4>
      </vt:variant>
      <vt:variant>
        <vt:i4>5</vt:i4>
      </vt:variant>
      <vt:variant>
        <vt:lpwstr/>
      </vt:variant>
      <vt:variant>
        <vt:lpwstr>_Toc357006013</vt:lpwstr>
      </vt:variant>
      <vt:variant>
        <vt:i4>1376308</vt:i4>
      </vt:variant>
      <vt:variant>
        <vt:i4>116</vt:i4>
      </vt:variant>
      <vt:variant>
        <vt:i4>0</vt:i4>
      </vt:variant>
      <vt:variant>
        <vt:i4>5</vt:i4>
      </vt:variant>
      <vt:variant>
        <vt:lpwstr/>
      </vt:variant>
      <vt:variant>
        <vt:lpwstr>_Toc357006012</vt:lpwstr>
      </vt:variant>
      <vt:variant>
        <vt:i4>1376308</vt:i4>
      </vt:variant>
      <vt:variant>
        <vt:i4>110</vt:i4>
      </vt:variant>
      <vt:variant>
        <vt:i4>0</vt:i4>
      </vt:variant>
      <vt:variant>
        <vt:i4>5</vt:i4>
      </vt:variant>
      <vt:variant>
        <vt:lpwstr/>
      </vt:variant>
      <vt:variant>
        <vt:lpwstr>_Toc357006011</vt:lpwstr>
      </vt:variant>
      <vt:variant>
        <vt:i4>1376308</vt:i4>
      </vt:variant>
      <vt:variant>
        <vt:i4>104</vt:i4>
      </vt:variant>
      <vt:variant>
        <vt:i4>0</vt:i4>
      </vt:variant>
      <vt:variant>
        <vt:i4>5</vt:i4>
      </vt:variant>
      <vt:variant>
        <vt:lpwstr/>
      </vt:variant>
      <vt:variant>
        <vt:lpwstr>_Toc357006010</vt:lpwstr>
      </vt:variant>
      <vt:variant>
        <vt:i4>1310772</vt:i4>
      </vt:variant>
      <vt:variant>
        <vt:i4>98</vt:i4>
      </vt:variant>
      <vt:variant>
        <vt:i4>0</vt:i4>
      </vt:variant>
      <vt:variant>
        <vt:i4>5</vt:i4>
      </vt:variant>
      <vt:variant>
        <vt:lpwstr/>
      </vt:variant>
      <vt:variant>
        <vt:lpwstr>_Toc357006009</vt:lpwstr>
      </vt:variant>
      <vt:variant>
        <vt:i4>1310772</vt:i4>
      </vt:variant>
      <vt:variant>
        <vt:i4>92</vt:i4>
      </vt:variant>
      <vt:variant>
        <vt:i4>0</vt:i4>
      </vt:variant>
      <vt:variant>
        <vt:i4>5</vt:i4>
      </vt:variant>
      <vt:variant>
        <vt:lpwstr/>
      </vt:variant>
      <vt:variant>
        <vt:lpwstr>_Toc357006008</vt:lpwstr>
      </vt:variant>
      <vt:variant>
        <vt:i4>1310772</vt:i4>
      </vt:variant>
      <vt:variant>
        <vt:i4>86</vt:i4>
      </vt:variant>
      <vt:variant>
        <vt:i4>0</vt:i4>
      </vt:variant>
      <vt:variant>
        <vt:i4>5</vt:i4>
      </vt:variant>
      <vt:variant>
        <vt:lpwstr/>
      </vt:variant>
      <vt:variant>
        <vt:lpwstr>_Toc357006007</vt:lpwstr>
      </vt:variant>
      <vt:variant>
        <vt:i4>1310772</vt:i4>
      </vt:variant>
      <vt:variant>
        <vt:i4>80</vt:i4>
      </vt:variant>
      <vt:variant>
        <vt:i4>0</vt:i4>
      </vt:variant>
      <vt:variant>
        <vt:i4>5</vt:i4>
      </vt:variant>
      <vt:variant>
        <vt:lpwstr/>
      </vt:variant>
      <vt:variant>
        <vt:lpwstr>_Toc357006006</vt:lpwstr>
      </vt:variant>
      <vt:variant>
        <vt:i4>1310772</vt:i4>
      </vt:variant>
      <vt:variant>
        <vt:i4>74</vt:i4>
      </vt:variant>
      <vt:variant>
        <vt:i4>0</vt:i4>
      </vt:variant>
      <vt:variant>
        <vt:i4>5</vt:i4>
      </vt:variant>
      <vt:variant>
        <vt:lpwstr/>
      </vt:variant>
      <vt:variant>
        <vt:lpwstr>_Toc357006005</vt:lpwstr>
      </vt:variant>
      <vt:variant>
        <vt:i4>1310772</vt:i4>
      </vt:variant>
      <vt:variant>
        <vt:i4>68</vt:i4>
      </vt:variant>
      <vt:variant>
        <vt:i4>0</vt:i4>
      </vt:variant>
      <vt:variant>
        <vt:i4>5</vt:i4>
      </vt:variant>
      <vt:variant>
        <vt:lpwstr/>
      </vt:variant>
      <vt:variant>
        <vt:lpwstr>_Toc357006004</vt:lpwstr>
      </vt:variant>
      <vt:variant>
        <vt:i4>1310772</vt:i4>
      </vt:variant>
      <vt:variant>
        <vt:i4>62</vt:i4>
      </vt:variant>
      <vt:variant>
        <vt:i4>0</vt:i4>
      </vt:variant>
      <vt:variant>
        <vt:i4>5</vt:i4>
      </vt:variant>
      <vt:variant>
        <vt:lpwstr/>
      </vt:variant>
      <vt:variant>
        <vt:lpwstr>_Toc357006003</vt:lpwstr>
      </vt:variant>
      <vt:variant>
        <vt:i4>1310772</vt:i4>
      </vt:variant>
      <vt:variant>
        <vt:i4>56</vt:i4>
      </vt:variant>
      <vt:variant>
        <vt:i4>0</vt:i4>
      </vt:variant>
      <vt:variant>
        <vt:i4>5</vt:i4>
      </vt:variant>
      <vt:variant>
        <vt:lpwstr/>
      </vt:variant>
      <vt:variant>
        <vt:lpwstr>_Toc357006002</vt:lpwstr>
      </vt:variant>
      <vt:variant>
        <vt:i4>1310772</vt:i4>
      </vt:variant>
      <vt:variant>
        <vt:i4>50</vt:i4>
      </vt:variant>
      <vt:variant>
        <vt:i4>0</vt:i4>
      </vt:variant>
      <vt:variant>
        <vt:i4>5</vt:i4>
      </vt:variant>
      <vt:variant>
        <vt:lpwstr/>
      </vt:variant>
      <vt:variant>
        <vt:lpwstr>_Toc357006001</vt:lpwstr>
      </vt:variant>
      <vt:variant>
        <vt:i4>1310772</vt:i4>
      </vt:variant>
      <vt:variant>
        <vt:i4>44</vt:i4>
      </vt:variant>
      <vt:variant>
        <vt:i4>0</vt:i4>
      </vt:variant>
      <vt:variant>
        <vt:i4>5</vt:i4>
      </vt:variant>
      <vt:variant>
        <vt:lpwstr/>
      </vt:variant>
      <vt:variant>
        <vt:lpwstr>_Toc357006000</vt:lpwstr>
      </vt:variant>
      <vt:variant>
        <vt:i4>1966141</vt:i4>
      </vt:variant>
      <vt:variant>
        <vt:i4>38</vt:i4>
      </vt:variant>
      <vt:variant>
        <vt:i4>0</vt:i4>
      </vt:variant>
      <vt:variant>
        <vt:i4>5</vt:i4>
      </vt:variant>
      <vt:variant>
        <vt:lpwstr/>
      </vt:variant>
      <vt:variant>
        <vt:lpwstr>_Toc357005999</vt:lpwstr>
      </vt:variant>
      <vt:variant>
        <vt:i4>1966141</vt:i4>
      </vt:variant>
      <vt:variant>
        <vt:i4>32</vt:i4>
      </vt:variant>
      <vt:variant>
        <vt:i4>0</vt:i4>
      </vt:variant>
      <vt:variant>
        <vt:i4>5</vt:i4>
      </vt:variant>
      <vt:variant>
        <vt:lpwstr/>
      </vt:variant>
      <vt:variant>
        <vt:lpwstr>_Toc357005998</vt:lpwstr>
      </vt:variant>
      <vt:variant>
        <vt:i4>1966141</vt:i4>
      </vt:variant>
      <vt:variant>
        <vt:i4>26</vt:i4>
      </vt:variant>
      <vt:variant>
        <vt:i4>0</vt:i4>
      </vt:variant>
      <vt:variant>
        <vt:i4>5</vt:i4>
      </vt:variant>
      <vt:variant>
        <vt:lpwstr/>
      </vt:variant>
      <vt:variant>
        <vt:lpwstr>_Toc357005997</vt:lpwstr>
      </vt:variant>
      <vt:variant>
        <vt:i4>1966141</vt:i4>
      </vt:variant>
      <vt:variant>
        <vt:i4>20</vt:i4>
      </vt:variant>
      <vt:variant>
        <vt:i4>0</vt:i4>
      </vt:variant>
      <vt:variant>
        <vt:i4>5</vt:i4>
      </vt:variant>
      <vt:variant>
        <vt:lpwstr/>
      </vt:variant>
      <vt:variant>
        <vt:lpwstr>_Toc357005996</vt:lpwstr>
      </vt:variant>
      <vt:variant>
        <vt:i4>1966141</vt:i4>
      </vt:variant>
      <vt:variant>
        <vt:i4>14</vt:i4>
      </vt:variant>
      <vt:variant>
        <vt:i4>0</vt:i4>
      </vt:variant>
      <vt:variant>
        <vt:i4>5</vt:i4>
      </vt:variant>
      <vt:variant>
        <vt:lpwstr/>
      </vt:variant>
      <vt:variant>
        <vt:lpwstr>_Toc357005995</vt:lpwstr>
      </vt:variant>
      <vt:variant>
        <vt:i4>1966141</vt:i4>
      </vt:variant>
      <vt:variant>
        <vt:i4>8</vt:i4>
      </vt:variant>
      <vt:variant>
        <vt:i4>0</vt:i4>
      </vt:variant>
      <vt:variant>
        <vt:i4>5</vt:i4>
      </vt:variant>
      <vt:variant>
        <vt:lpwstr/>
      </vt:variant>
      <vt:variant>
        <vt:lpwstr>_Toc357005994</vt:lpwstr>
      </vt:variant>
      <vt:variant>
        <vt:i4>3407911</vt:i4>
      </vt:variant>
      <vt:variant>
        <vt:i4>3</vt:i4>
      </vt:variant>
      <vt:variant>
        <vt:i4>0</vt:i4>
      </vt:variant>
      <vt:variant>
        <vt:i4>5</vt:i4>
      </vt:variant>
      <vt:variant>
        <vt:lpwstr>http://www.itu.int/council/finregs/Regl_Fin_Regles-05-rev-E.pdf</vt:lpwstr>
      </vt:variant>
      <vt:variant>
        <vt:lpwstr/>
      </vt:variant>
      <vt:variant>
        <vt:i4>2031703</vt:i4>
      </vt:variant>
      <vt:variant>
        <vt:i4>0</vt:i4>
      </vt:variant>
      <vt:variant>
        <vt:i4>0</vt:i4>
      </vt:variant>
      <vt:variant>
        <vt:i4>5</vt:i4>
      </vt:variant>
      <vt:variant>
        <vt:lpwstr>http://www.itu.int/council/Basic-Texts/convention-e.docx</vt:lpwstr>
      </vt:variant>
      <vt:variant>
        <vt:lpwstr>cv101</vt:lpwstr>
      </vt:variant>
      <vt:variant>
        <vt:i4>3342371</vt:i4>
      </vt:variant>
      <vt:variant>
        <vt:i4>36</vt:i4>
      </vt:variant>
      <vt:variant>
        <vt:i4>0</vt:i4>
      </vt:variant>
      <vt:variant>
        <vt:i4>5</vt:i4>
      </vt:variant>
      <vt:variant>
        <vt:lpwstr>http://www.itu.int/council</vt:lpwstr>
      </vt:variant>
      <vt:variant>
        <vt:lpwstr/>
      </vt:variant>
      <vt:variant>
        <vt:i4>3342371</vt:i4>
      </vt:variant>
      <vt:variant>
        <vt:i4>6</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operating report for the financial year 2020</dc:title>
  <dc:subject>Council 2022</dc:subject>
  <dc:creator>Brouard, Ricarda</dc:creator>
  <cp:keywords>C2022, C22, Council-22</cp:keywords>
  <cp:lastModifiedBy>LI, Ziqian</cp:lastModifiedBy>
  <cp:revision>7</cp:revision>
  <cp:lastPrinted>2021-04-28T14:58:00Z</cp:lastPrinted>
  <dcterms:created xsi:type="dcterms:W3CDTF">2022-03-24T11:35:00Z</dcterms:created>
  <dcterms:modified xsi:type="dcterms:W3CDTF">2023-04-18T12:16:00Z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